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02" w:rsidRDefault="004B7002" w:rsidP="008413E4">
      <w:pPr>
        <w:autoSpaceDE w:val="0"/>
        <w:autoSpaceDN w:val="0"/>
        <w:adjustRightInd w:val="0"/>
        <w:spacing w:line="240" w:lineRule="atLeast"/>
        <w:jc w:val="center"/>
        <w:rPr>
          <w:color w:val="000000"/>
          <w:sz w:val="22"/>
          <w:szCs w:val="22"/>
        </w:rPr>
      </w:pPr>
    </w:p>
    <w:p w:rsidR="008413E4" w:rsidRPr="009562F0" w:rsidRDefault="008413E4" w:rsidP="008413E4">
      <w:pPr>
        <w:autoSpaceDE w:val="0"/>
        <w:autoSpaceDN w:val="0"/>
        <w:adjustRightInd w:val="0"/>
        <w:spacing w:line="240" w:lineRule="atLeast"/>
        <w:jc w:val="center"/>
        <w:rPr>
          <w:b/>
          <w:bCs/>
          <w:color w:val="000000"/>
        </w:rPr>
      </w:pPr>
      <w:r w:rsidRPr="009562F0">
        <w:rPr>
          <w:color w:val="000000"/>
        </w:rPr>
        <w:t>Document of</w:t>
      </w:r>
    </w:p>
    <w:p w:rsidR="008413E4" w:rsidRPr="009562F0" w:rsidRDefault="008413E4" w:rsidP="008413E4">
      <w:pPr>
        <w:autoSpaceDE w:val="0"/>
        <w:autoSpaceDN w:val="0"/>
        <w:adjustRightInd w:val="0"/>
        <w:spacing w:line="240" w:lineRule="atLeast"/>
        <w:jc w:val="center"/>
        <w:rPr>
          <w:color w:val="000000"/>
        </w:rPr>
      </w:pPr>
      <w:r w:rsidRPr="009562F0">
        <w:rPr>
          <w:color w:val="000000"/>
        </w:rPr>
        <w:t xml:space="preserve">The </w:t>
      </w:r>
      <w:r w:rsidR="00ED6468" w:rsidRPr="009562F0">
        <w:rPr>
          <w:color w:val="000000"/>
        </w:rPr>
        <w:t>Bank</w:t>
      </w:r>
    </w:p>
    <w:p w:rsidR="008413E4" w:rsidRPr="009562F0" w:rsidRDefault="008413E4" w:rsidP="008413E4">
      <w:pPr>
        <w:autoSpaceDE w:val="0"/>
        <w:autoSpaceDN w:val="0"/>
        <w:adjustRightInd w:val="0"/>
        <w:spacing w:line="240" w:lineRule="atLeast"/>
        <w:rPr>
          <w:color w:val="000000"/>
        </w:rPr>
      </w:pPr>
    </w:p>
    <w:p w:rsidR="008413E4" w:rsidRPr="009562F0" w:rsidRDefault="00F44DA1" w:rsidP="000E6E0E">
      <w:pPr>
        <w:autoSpaceDE w:val="0"/>
        <w:autoSpaceDN w:val="0"/>
        <w:adjustRightInd w:val="0"/>
        <w:spacing w:line="240" w:lineRule="atLeast"/>
        <w:jc w:val="center"/>
        <w:rPr>
          <w:color w:val="000000"/>
        </w:rPr>
      </w:pPr>
      <w:r w:rsidRPr="009562F0">
        <w:rPr>
          <w:color w:val="000000"/>
        </w:rPr>
        <w:t>FOR OFFICIAL USE ONLY</w:t>
      </w:r>
    </w:p>
    <w:p w:rsidR="008413E4" w:rsidRPr="009562F0" w:rsidRDefault="008413E4" w:rsidP="008413E4">
      <w:pPr>
        <w:autoSpaceDE w:val="0"/>
        <w:autoSpaceDN w:val="0"/>
        <w:adjustRightInd w:val="0"/>
        <w:spacing w:line="240" w:lineRule="atLeast"/>
        <w:jc w:val="right"/>
        <w:rPr>
          <w:color w:val="000000"/>
        </w:rPr>
      </w:pPr>
      <w:r w:rsidRPr="009562F0">
        <w:rPr>
          <w:color w:val="000000"/>
        </w:rPr>
        <w:t xml:space="preserve">Report No: </w:t>
      </w:r>
      <w:r w:rsidR="00D53BD7" w:rsidRPr="009562F0">
        <w:rPr>
          <w:color w:val="000000"/>
        </w:rPr>
        <w:t>67386</w:t>
      </w:r>
      <w:r w:rsidR="0094434F" w:rsidRPr="009562F0">
        <w:rPr>
          <w:color w:val="000000"/>
        </w:rPr>
        <w:t>-NI</w:t>
      </w:r>
    </w:p>
    <w:p w:rsidR="000E6E0E" w:rsidRPr="009562F0" w:rsidRDefault="000E6E0E" w:rsidP="008413E4">
      <w:pPr>
        <w:autoSpaceDE w:val="0"/>
        <w:autoSpaceDN w:val="0"/>
        <w:adjustRightInd w:val="0"/>
        <w:spacing w:line="240" w:lineRule="atLeast"/>
        <w:jc w:val="right"/>
        <w:rPr>
          <w:color w:val="000000"/>
        </w:rPr>
      </w:pPr>
    </w:p>
    <w:p w:rsidR="008413E4" w:rsidRPr="009562F0" w:rsidRDefault="008413E4" w:rsidP="008413E4">
      <w:pPr>
        <w:autoSpaceDE w:val="0"/>
        <w:autoSpaceDN w:val="0"/>
        <w:adjustRightInd w:val="0"/>
        <w:spacing w:line="240" w:lineRule="atLeast"/>
        <w:jc w:val="center"/>
        <w:rPr>
          <w:caps/>
          <w:color w:val="000000"/>
        </w:rPr>
      </w:pPr>
      <w:r w:rsidRPr="009562F0">
        <w:rPr>
          <w:caps/>
          <w:color w:val="000000"/>
        </w:rPr>
        <w:t>Project appraisal document</w:t>
      </w:r>
    </w:p>
    <w:p w:rsidR="008413E4" w:rsidRPr="009562F0" w:rsidRDefault="008413E4" w:rsidP="008413E4">
      <w:pPr>
        <w:autoSpaceDE w:val="0"/>
        <w:autoSpaceDN w:val="0"/>
        <w:adjustRightInd w:val="0"/>
        <w:spacing w:line="240" w:lineRule="atLeast"/>
        <w:jc w:val="center"/>
        <w:rPr>
          <w:caps/>
          <w:color w:val="000000"/>
        </w:rPr>
      </w:pPr>
    </w:p>
    <w:p w:rsidR="008413E4" w:rsidRPr="009562F0" w:rsidRDefault="008413E4" w:rsidP="008413E4">
      <w:pPr>
        <w:autoSpaceDE w:val="0"/>
        <w:autoSpaceDN w:val="0"/>
        <w:adjustRightInd w:val="0"/>
        <w:spacing w:line="240" w:lineRule="atLeast"/>
        <w:jc w:val="center"/>
        <w:rPr>
          <w:caps/>
          <w:color w:val="000000"/>
        </w:rPr>
      </w:pPr>
      <w:r w:rsidRPr="009562F0">
        <w:rPr>
          <w:caps/>
          <w:color w:val="000000"/>
        </w:rPr>
        <w:t>ON A</w:t>
      </w:r>
    </w:p>
    <w:p w:rsidR="008413E4" w:rsidRPr="009562F0" w:rsidRDefault="008413E4" w:rsidP="008413E4">
      <w:pPr>
        <w:autoSpaceDE w:val="0"/>
        <w:autoSpaceDN w:val="0"/>
        <w:adjustRightInd w:val="0"/>
        <w:spacing w:line="240" w:lineRule="atLeast"/>
        <w:jc w:val="center"/>
        <w:rPr>
          <w:caps/>
          <w:color w:val="000000"/>
        </w:rPr>
      </w:pPr>
    </w:p>
    <w:p w:rsidR="009562F0" w:rsidRPr="009562F0" w:rsidRDefault="008413E4" w:rsidP="009562F0">
      <w:pPr>
        <w:autoSpaceDE w:val="0"/>
        <w:autoSpaceDN w:val="0"/>
        <w:adjustRightInd w:val="0"/>
        <w:spacing w:line="240" w:lineRule="atLeast"/>
        <w:ind w:left="-450" w:right="-630"/>
        <w:jc w:val="center"/>
        <w:rPr>
          <w:caps/>
          <w:color w:val="000000"/>
        </w:rPr>
      </w:pPr>
      <w:r w:rsidRPr="009562F0">
        <w:rPr>
          <w:caps/>
          <w:color w:val="000000"/>
        </w:rPr>
        <w:t xml:space="preserve">PROPOSED </w:t>
      </w:r>
      <w:r w:rsidR="00560AA3" w:rsidRPr="009562F0">
        <w:rPr>
          <w:caps/>
          <w:color w:val="000000"/>
        </w:rPr>
        <w:t>G</w:t>
      </w:r>
      <w:r w:rsidR="007C0029" w:rsidRPr="009562F0">
        <w:rPr>
          <w:caps/>
          <w:color w:val="000000"/>
        </w:rPr>
        <w:t>lobal partnership for education</w:t>
      </w:r>
      <w:r w:rsidR="009562F0" w:rsidRPr="009562F0">
        <w:rPr>
          <w:caps/>
          <w:color w:val="000000"/>
        </w:rPr>
        <w:t xml:space="preserve"> </w:t>
      </w:r>
      <w:r w:rsidR="008F308F" w:rsidRPr="009562F0">
        <w:rPr>
          <w:caps/>
          <w:color w:val="000000"/>
        </w:rPr>
        <w:t xml:space="preserve">FUND ii </w:t>
      </w:r>
    </w:p>
    <w:p w:rsidR="009562F0" w:rsidRPr="009562F0" w:rsidRDefault="009562F0" w:rsidP="009562F0">
      <w:pPr>
        <w:autoSpaceDE w:val="0"/>
        <w:autoSpaceDN w:val="0"/>
        <w:adjustRightInd w:val="0"/>
        <w:spacing w:line="240" w:lineRule="atLeast"/>
        <w:ind w:left="-450" w:right="-630"/>
        <w:jc w:val="center"/>
        <w:rPr>
          <w:caps/>
          <w:color w:val="000000"/>
        </w:rPr>
      </w:pPr>
    </w:p>
    <w:p w:rsidR="007C0029" w:rsidRPr="009562F0" w:rsidRDefault="008F308F" w:rsidP="009562F0">
      <w:pPr>
        <w:autoSpaceDE w:val="0"/>
        <w:autoSpaceDN w:val="0"/>
        <w:adjustRightInd w:val="0"/>
        <w:spacing w:line="240" w:lineRule="atLeast"/>
        <w:ind w:left="-450" w:right="-630"/>
        <w:jc w:val="center"/>
        <w:rPr>
          <w:caps/>
          <w:color w:val="000000"/>
        </w:rPr>
      </w:pPr>
      <w:r w:rsidRPr="009562F0">
        <w:rPr>
          <w:caps/>
          <w:color w:val="000000"/>
        </w:rPr>
        <w:t>TR</w:t>
      </w:r>
      <w:r w:rsidR="007C0029" w:rsidRPr="009562F0">
        <w:rPr>
          <w:caps/>
          <w:color w:val="000000"/>
        </w:rPr>
        <w:t>U</w:t>
      </w:r>
      <w:r w:rsidRPr="009562F0">
        <w:rPr>
          <w:caps/>
          <w:color w:val="000000"/>
        </w:rPr>
        <w:t>S</w:t>
      </w:r>
      <w:r w:rsidR="007C0029" w:rsidRPr="009562F0">
        <w:rPr>
          <w:caps/>
          <w:color w:val="000000"/>
        </w:rPr>
        <w:t>T FUND GRANT</w:t>
      </w:r>
    </w:p>
    <w:p w:rsidR="008413E4" w:rsidRPr="009562F0" w:rsidRDefault="008413E4" w:rsidP="008413E4">
      <w:pPr>
        <w:autoSpaceDE w:val="0"/>
        <w:autoSpaceDN w:val="0"/>
        <w:adjustRightInd w:val="0"/>
        <w:spacing w:line="240" w:lineRule="atLeast"/>
        <w:jc w:val="center"/>
        <w:rPr>
          <w:caps/>
          <w:color w:val="000000"/>
        </w:rPr>
      </w:pPr>
    </w:p>
    <w:p w:rsidR="008413E4" w:rsidRPr="009562F0" w:rsidRDefault="00560AA3" w:rsidP="008413E4">
      <w:pPr>
        <w:autoSpaceDE w:val="0"/>
        <w:autoSpaceDN w:val="0"/>
        <w:adjustRightInd w:val="0"/>
        <w:spacing w:line="240" w:lineRule="atLeast"/>
        <w:jc w:val="center"/>
        <w:rPr>
          <w:caps/>
        </w:rPr>
      </w:pPr>
      <w:r w:rsidRPr="009562F0">
        <w:rPr>
          <w:caps/>
        </w:rPr>
        <w:t>(</w:t>
      </w:r>
      <w:r w:rsidR="00040AF9" w:rsidRPr="009562F0">
        <w:rPr>
          <w:caps/>
        </w:rPr>
        <w:t>US$</w:t>
      </w:r>
      <w:r w:rsidRPr="009562F0">
        <w:rPr>
          <w:caps/>
        </w:rPr>
        <w:t>16.7</w:t>
      </w:r>
      <w:r w:rsidR="0079278E" w:rsidRPr="009562F0">
        <w:rPr>
          <w:caps/>
        </w:rPr>
        <w:t xml:space="preserve"> MILLION EQUIVALENT</w:t>
      </w:r>
      <w:r w:rsidR="001747D0" w:rsidRPr="009562F0">
        <w:rPr>
          <w:caps/>
        </w:rPr>
        <w:t>)</w:t>
      </w:r>
    </w:p>
    <w:p w:rsidR="001747D0" w:rsidRPr="009562F0" w:rsidRDefault="001747D0" w:rsidP="008413E4">
      <w:pPr>
        <w:autoSpaceDE w:val="0"/>
        <w:autoSpaceDN w:val="0"/>
        <w:adjustRightInd w:val="0"/>
        <w:spacing w:line="240" w:lineRule="atLeast"/>
        <w:jc w:val="center"/>
        <w:rPr>
          <w:caps/>
        </w:rPr>
      </w:pPr>
    </w:p>
    <w:p w:rsidR="001747D0" w:rsidRPr="009562F0" w:rsidRDefault="001747D0" w:rsidP="008413E4">
      <w:pPr>
        <w:autoSpaceDE w:val="0"/>
        <w:autoSpaceDN w:val="0"/>
        <w:adjustRightInd w:val="0"/>
        <w:spacing w:line="240" w:lineRule="atLeast"/>
        <w:jc w:val="center"/>
        <w:rPr>
          <w:caps/>
        </w:rPr>
      </w:pPr>
      <w:r w:rsidRPr="009562F0">
        <w:rPr>
          <w:caps/>
        </w:rPr>
        <w:t>and a</w:t>
      </w:r>
    </w:p>
    <w:p w:rsidR="008413E4" w:rsidRPr="009562F0" w:rsidRDefault="008413E4" w:rsidP="008413E4">
      <w:pPr>
        <w:autoSpaceDE w:val="0"/>
        <w:autoSpaceDN w:val="0"/>
        <w:adjustRightInd w:val="0"/>
        <w:spacing w:line="240" w:lineRule="atLeast"/>
        <w:jc w:val="center"/>
        <w:rPr>
          <w:caps/>
        </w:rPr>
      </w:pPr>
    </w:p>
    <w:p w:rsidR="001747D0" w:rsidRPr="009562F0" w:rsidRDefault="001747D0" w:rsidP="008413E4">
      <w:pPr>
        <w:autoSpaceDE w:val="0"/>
        <w:autoSpaceDN w:val="0"/>
        <w:adjustRightInd w:val="0"/>
        <w:spacing w:line="240" w:lineRule="atLeast"/>
        <w:jc w:val="center"/>
        <w:rPr>
          <w:caps/>
        </w:rPr>
      </w:pPr>
      <w:r w:rsidRPr="009562F0">
        <w:rPr>
          <w:caps/>
        </w:rPr>
        <w:t>proposed european union trust fund grant</w:t>
      </w:r>
    </w:p>
    <w:p w:rsidR="001747D0" w:rsidRPr="009562F0" w:rsidRDefault="001747D0" w:rsidP="008413E4">
      <w:pPr>
        <w:autoSpaceDE w:val="0"/>
        <w:autoSpaceDN w:val="0"/>
        <w:adjustRightInd w:val="0"/>
        <w:spacing w:line="240" w:lineRule="atLeast"/>
        <w:jc w:val="center"/>
        <w:rPr>
          <w:caps/>
        </w:rPr>
      </w:pPr>
    </w:p>
    <w:p w:rsidR="001747D0" w:rsidRPr="009562F0" w:rsidRDefault="0012583F" w:rsidP="008413E4">
      <w:pPr>
        <w:autoSpaceDE w:val="0"/>
        <w:autoSpaceDN w:val="0"/>
        <w:adjustRightInd w:val="0"/>
        <w:spacing w:line="240" w:lineRule="atLeast"/>
        <w:jc w:val="center"/>
        <w:rPr>
          <w:caps/>
        </w:rPr>
      </w:pPr>
      <w:r w:rsidRPr="009562F0">
        <w:rPr>
          <w:caps/>
        </w:rPr>
        <w:t xml:space="preserve">in the amount of </w:t>
      </w:r>
      <w:r w:rsidR="008F308F" w:rsidRPr="009562F0">
        <w:rPr>
          <w:caps/>
        </w:rPr>
        <w:t>EURO 26.9</w:t>
      </w:r>
      <w:r w:rsidR="001747D0" w:rsidRPr="009562F0">
        <w:rPr>
          <w:caps/>
        </w:rPr>
        <w:t xml:space="preserve"> million</w:t>
      </w:r>
    </w:p>
    <w:p w:rsidR="001747D0" w:rsidRPr="009562F0" w:rsidRDefault="001747D0" w:rsidP="008413E4">
      <w:pPr>
        <w:autoSpaceDE w:val="0"/>
        <w:autoSpaceDN w:val="0"/>
        <w:adjustRightInd w:val="0"/>
        <w:spacing w:line="240" w:lineRule="atLeast"/>
        <w:jc w:val="center"/>
        <w:rPr>
          <w:caps/>
        </w:rPr>
      </w:pPr>
    </w:p>
    <w:p w:rsidR="001747D0" w:rsidRPr="009562F0" w:rsidRDefault="001747D0" w:rsidP="008413E4">
      <w:pPr>
        <w:autoSpaceDE w:val="0"/>
        <w:autoSpaceDN w:val="0"/>
        <w:adjustRightInd w:val="0"/>
        <w:spacing w:line="240" w:lineRule="atLeast"/>
        <w:jc w:val="center"/>
        <w:rPr>
          <w:caps/>
        </w:rPr>
      </w:pPr>
      <w:r w:rsidRPr="009562F0">
        <w:rPr>
          <w:caps/>
        </w:rPr>
        <w:t>(US$35.2 MILLION EQUIVALENT)</w:t>
      </w:r>
    </w:p>
    <w:p w:rsidR="001747D0" w:rsidRPr="009562F0" w:rsidRDefault="001747D0" w:rsidP="008413E4">
      <w:pPr>
        <w:autoSpaceDE w:val="0"/>
        <w:autoSpaceDN w:val="0"/>
        <w:adjustRightInd w:val="0"/>
        <w:spacing w:line="240" w:lineRule="atLeast"/>
        <w:jc w:val="center"/>
        <w:rPr>
          <w:caps/>
        </w:rPr>
      </w:pPr>
      <w:r w:rsidRPr="009562F0">
        <w:rPr>
          <w:caps/>
        </w:rPr>
        <w:t xml:space="preserve"> </w:t>
      </w:r>
    </w:p>
    <w:p w:rsidR="008413E4" w:rsidRPr="009562F0" w:rsidRDefault="008413E4" w:rsidP="008413E4">
      <w:pPr>
        <w:autoSpaceDE w:val="0"/>
        <w:autoSpaceDN w:val="0"/>
        <w:adjustRightInd w:val="0"/>
        <w:spacing w:line="240" w:lineRule="atLeast"/>
        <w:jc w:val="center"/>
        <w:rPr>
          <w:caps/>
          <w:color w:val="000000"/>
        </w:rPr>
      </w:pPr>
      <w:r w:rsidRPr="009562F0">
        <w:rPr>
          <w:caps/>
          <w:color w:val="000000"/>
        </w:rPr>
        <w:t>TO THE</w:t>
      </w:r>
    </w:p>
    <w:p w:rsidR="008413E4" w:rsidRPr="009562F0" w:rsidRDefault="008413E4" w:rsidP="008413E4">
      <w:pPr>
        <w:autoSpaceDE w:val="0"/>
        <w:autoSpaceDN w:val="0"/>
        <w:adjustRightInd w:val="0"/>
        <w:spacing w:line="240" w:lineRule="atLeast"/>
        <w:jc w:val="center"/>
        <w:rPr>
          <w:caps/>
          <w:color w:val="000000"/>
        </w:rPr>
      </w:pPr>
    </w:p>
    <w:p w:rsidR="008413E4" w:rsidRPr="009562F0" w:rsidRDefault="00676858" w:rsidP="008413E4">
      <w:pPr>
        <w:autoSpaceDE w:val="0"/>
        <w:autoSpaceDN w:val="0"/>
        <w:adjustRightInd w:val="0"/>
        <w:spacing w:line="240" w:lineRule="atLeast"/>
        <w:jc w:val="center"/>
        <w:rPr>
          <w:caps/>
          <w:color w:val="000000"/>
        </w:rPr>
      </w:pPr>
      <w:r w:rsidRPr="009562F0">
        <w:rPr>
          <w:caps/>
          <w:color w:val="000000"/>
        </w:rPr>
        <w:t>Republic of nicaragua</w:t>
      </w:r>
    </w:p>
    <w:p w:rsidR="008413E4" w:rsidRPr="009562F0" w:rsidRDefault="008413E4" w:rsidP="008413E4">
      <w:pPr>
        <w:autoSpaceDE w:val="0"/>
        <w:autoSpaceDN w:val="0"/>
        <w:adjustRightInd w:val="0"/>
        <w:spacing w:line="240" w:lineRule="atLeast"/>
        <w:jc w:val="center"/>
        <w:rPr>
          <w:caps/>
          <w:color w:val="000000"/>
        </w:rPr>
      </w:pPr>
    </w:p>
    <w:p w:rsidR="008413E4" w:rsidRPr="009562F0" w:rsidRDefault="008413E4" w:rsidP="008413E4">
      <w:pPr>
        <w:autoSpaceDE w:val="0"/>
        <w:autoSpaceDN w:val="0"/>
        <w:adjustRightInd w:val="0"/>
        <w:spacing w:line="240" w:lineRule="atLeast"/>
        <w:jc w:val="center"/>
        <w:rPr>
          <w:caps/>
          <w:color w:val="000000"/>
        </w:rPr>
      </w:pPr>
      <w:r w:rsidRPr="009562F0">
        <w:rPr>
          <w:caps/>
          <w:color w:val="000000"/>
        </w:rPr>
        <w:t>FOR THE</w:t>
      </w:r>
    </w:p>
    <w:p w:rsidR="008413E4" w:rsidRPr="009562F0" w:rsidRDefault="008413E4" w:rsidP="008413E4">
      <w:pPr>
        <w:autoSpaceDE w:val="0"/>
        <w:autoSpaceDN w:val="0"/>
        <w:adjustRightInd w:val="0"/>
        <w:spacing w:line="240" w:lineRule="atLeast"/>
        <w:jc w:val="center"/>
        <w:rPr>
          <w:caps/>
          <w:color w:val="000000"/>
        </w:rPr>
      </w:pPr>
    </w:p>
    <w:p w:rsidR="008413E4" w:rsidRPr="009562F0" w:rsidRDefault="00F75474" w:rsidP="008413E4">
      <w:pPr>
        <w:autoSpaceDE w:val="0"/>
        <w:autoSpaceDN w:val="0"/>
        <w:adjustRightInd w:val="0"/>
        <w:spacing w:line="240" w:lineRule="atLeast"/>
        <w:jc w:val="center"/>
        <w:rPr>
          <w:color w:val="000000"/>
        </w:rPr>
      </w:pPr>
      <w:r w:rsidRPr="009562F0">
        <w:rPr>
          <w:color w:val="000000"/>
        </w:rPr>
        <w:t xml:space="preserve">EDUCATION SECTOR </w:t>
      </w:r>
      <w:r w:rsidR="00957D5E" w:rsidRPr="009562F0">
        <w:rPr>
          <w:color w:val="000000"/>
        </w:rPr>
        <w:t xml:space="preserve">STRATEGY SUPPORT </w:t>
      </w:r>
      <w:r w:rsidRPr="009562F0">
        <w:rPr>
          <w:color w:val="000000"/>
        </w:rPr>
        <w:t xml:space="preserve">PROJECT </w:t>
      </w:r>
    </w:p>
    <w:p w:rsidR="000564D8" w:rsidRPr="009562F0" w:rsidRDefault="000564D8" w:rsidP="008413E4">
      <w:pPr>
        <w:autoSpaceDE w:val="0"/>
        <w:autoSpaceDN w:val="0"/>
        <w:adjustRightInd w:val="0"/>
        <w:spacing w:line="240" w:lineRule="atLeast"/>
        <w:jc w:val="center"/>
        <w:rPr>
          <w:caps/>
          <w:color w:val="000000"/>
        </w:rPr>
      </w:pPr>
    </w:p>
    <w:p w:rsidR="008413E4" w:rsidRPr="009562F0" w:rsidRDefault="007E1614" w:rsidP="008413E4">
      <w:pPr>
        <w:autoSpaceDE w:val="0"/>
        <w:autoSpaceDN w:val="0"/>
        <w:adjustRightInd w:val="0"/>
        <w:spacing w:line="240" w:lineRule="atLeast"/>
        <w:jc w:val="center"/>
        <w:rPr>
          <w:color w:val="000000"/>
        </w:rPr>
      </w:pPr>
      <w:r w:rsidRPr="009562F0">
        <w:rPr>
          <w:color w:val="000000"/>
        </w:rPr>
        <w:t xml:space="preserve">APRIL </w:t>
      </w:r>
      <w:r w:rsidR="007C0029" w:rsidRPr="009562F0">
        <w:rPr>
          <w:color w:val="000000"/>
        </w:rPr>
        <w:t>1</w:t>
      </w:r>
      <w:r w:rsidR="00C31FE0" w:rsidRPr="009562F0">
        <w:rPr>
          <w:color w:val="000000"/>
        </w:rPr>
        <w:t>1</w:t>
      </w:r>
      <w:r w:rsidR="006042F7" w:rsidRPr="009562F0">
        <w:rPr>
          <w:color w:val="000000"/>
        </w:rPr>
        <w:t>, 2013</w:t>
      </w:r>
    </w:p>
    <w:p w:rsidR="008413E4" w:rsidRDefault="008413E4" w:rsidP="008413E4">
      <w:pPr>
        <w:autoSpaceDE w:val="0"/>
        <w:autoSpaceDN w:val="0"/>
        <w:adjustRightInd w:val="0"/>
        <w:spacing w:line="240" w:lineRule="atLeast"/>
        <w:jc w:val="center"/>
        <w:rPr>
          <w:caps/>
          <w:color w:val="000000"/>
          <w:szCs w:val="22"/>
        </w:rPr>
      </w:pPr>
    </w:p>
    <w:p w:rsidR="00F75571" w:rsidRDefault="00F75571" w:rsidP="008413E4">
      <w:pPr>
        <w:autoSpaceDE w:val="0"/>
        <w:autoSpaceDN w:val="0"/>
        <w:adjustRightInd w:val="0"/>
        <w:spacing w:line="240" w:lineRule="atLeast"/>
        <w:jc w:val="center"/>
        <w:rPr>
          <w:caps/>
          <w:color w:val="000000"/>
          <w:szCs w:val="22"/>
        </w:rPr>
      </w:pPr>
    </w:p>
    <w:p w:rsidR="00C64F38" w:rsidRDefault="00C64F38" w:rsidP="008413E4">
      <w:pPr>
        <w:autoSpaceDE w:val="0"/>
        <w:autoSpaceDN w:val="0"/>
        <w:adjustRightInd w:val="0"/>
        <w:spacing w:line="240" w:lineRule="atLeast"/>
        <w:jc w:val="center"/>
        <w:rPr>
          <w:caps/>
          <w:color w:val="000000"/>
          <w:szCs w:val="22"/>
        </w:rPr>
      </w:pPr>
    </w:p>
    <w:p w:rsidR="00C64F38" w:rsidRDefault="00C64F38" w:rsidP="008413E4">
      <w:pPr>
        <w:autoSpaceDE w:val="0"/>
        <w:autoSpaceDN w:val="0"/>
        <w:adjustRightInd w:val="0"/>
        <w:spacing w:line="240" w:lineRule="atLeast"/>
        <w:jc w:val="center"/>
        <w:rPr>
          <w:caps/>
          <w:color w:val="000000"/>
          <w:szCs w:val="22"/>
        </w:rPr>
      </w:pPr>
    </w:p>
    <w:p w:rsidR="00C64F38" w:rsidRDefault="00C64F38" w:rsidP="008413E4">
      <w:pPr>
        <w:autoSpaceDE w:val="0"/>
        <w:autoSpaceDN w:val="0"/>
        <w:adjustRightInd w:val="0"/>
        <w:spacing w:line="240" w:lineRule="atLeast"/>
        <w:jc w:val="center"/>
        <w:rPr>
          <w:caps/>
          <w:color w:val="000000"/>
          <w:szCs w:val="22"/>
        </w:rPr>
      </w:pPr>
    </w:p>
    <w:p w:rsidR="00C64F38" w:rsidRDefault="00C64F38" w:rsidP="008413E4">
      <w:pPr>
        <w:autoSpaceDE w:val="0"/>
        <w:autoSpaceDN w:val="0"/>
        <w:adjustRightInd w:val="0"/>
        <w:spacing w:line="240" w:lineRule="atLeast"/>
        <w:jc w:val="center"/>
        <w:rPr>
          <w:caps/>
          <w:color w:val="000000"/>
          <w:szCs w:val="22"/>
        </w:rPr>
      </w:pPr>
    </w:p>
    <w:p w:rsidR="00C64F38" w:rsidRDefault="00C64F38" w:rsidP="008413E4">
      <w:pPr>
        <w:autoSpaceDE w:val="0"/>
        <w:autoSpaceDN w:val="0"/>
        <w:adjustRightInd w:val="0"/>
        <w:spacing w:line="240" w:lineRule="atLeast"/>
        <w:jc w:val="center"/>
        <w:rPr>
          <w:caps/>
          <w:color w:val="000000"/>
          <w:szCs w:val="22"/>
        </w:rPr>
      </w:pPr>
      <w:bookmarkStart w:id="0" w:name="_GoBack"/>
      <w:bookmarkEnd w:id="0"/>
    </w:p>
    <w:p w:rsidR="00DE7ED9" w:rsidRDefault="00DE7ED9" w:rsidP="00DE7ED9">
      <w:pPr>
        <w:autoSpaceDE w:val="0"/>
        <w:autoSpaceDN w:val="0"/>
        <w:adjustRightInd w:val="0"/>
        <w:spacing w:line="240" w:lineRule="atLeast"/>
        <w:rPr>
          <w:b/>
          <w:color w:val="000000"/>
          <w:szCs w:val="22"/>
        </w:rPr>
      </w:pPr>
      <w:r w:rsidRPr="00E5713A">
        <w:rPr>
          <w:b/>
          <w:color w:val="000000"/>
          <w:szCs w:val="22"/>
        </w:rPr>
        <w:t>Human Development Department</w:t>
      </w:r>
    </w:p>
    <w:p w:rsidR="00DE7ED9" w:rsidRPr="00E5713A" w:rsidRDefault="00DE7ED9" w:rsidP="00DE7ED9">
      <w:pPr>
        <w:autoSpaceDE w:val="0"/>
        <w:autoSpaceDN w:val="0"/>
        <w:adjustRightInd w:val="0"/>
        <w:spacing w:line="240" w:lineRule="atLeast"/>
        <w:rPr>
          <w:b/>
          <w:color w:val="000000"/>
          <w:szCs w:val="22"/>
        </w:rPr>
      </w:pPr>
      <w:r>
        <w:rPr>
          <w:b/>
          <w:color w:val="000000"/>
          <w:szCs w:val="22"/>
        </w:rPr>
        <w:t xml:space="preserve">Central America </w:t>
      </w:r>
      <w:r w:rsidRPr="00E5713A">
        <w:rPr>
          <w:b/>
          <w:color w:val="000000"/>
          <w:szCs w:val="22"/>
        </w:rPr>
        <w:t>Country Management Unit</w:t>
      </w:r>
    </w:p>
    <w:p w:rsidR="00DE7ED9" w:rsidRDefault="00DE7ED9" w:rsidP="00DE7ED9">
      <w:pPr>
        <w:autoSpaceDE w:val="0"/>
        <w:autoSpaceDN w:val="0"/>
        <w:adjustRightInd w:val="0"/>
        <w:spacing w:line="240" w:lineRule="atLeast"/>
        <w:rPr>
          <w:b/>
          <w:color w:val="000000"/>
          <w:szCs w:val="22"/>
        </w:rPr>
      </w:pPr>
      <w:r w:rsidRPr="00E5713A">
        <w:rPr>
          <w:b/>
          <w:color w:val="000000"/>
          <w:szCs w:val="22"/>
        </w:rPr>
        <w:t>Latin American and Caribbean Region</w:t>
      </w:r>
    </w:p>
    <w:p w:rsidR="000E6E0E" w:rsidRDefault="000E6E0E" w:rsidP="00DE7ED9">
      <w:pPr>
        <w:autoSpaceDE w:val="0"/>
        <w:autoSpaceDN w:val="0"/>
        <w:adjustRightInd w:val="0"/>
        <w:spacing w:line="240" w:lineRule="atLeast"/>
        <w:rPr>
          <w:b/>
          <w:color w:val="000000"/>
          <w:szCs w:val="22"/>
        </w:rPr>
      </w:pPr>
    </w:p>
    <w:p w:rsidR="00887BBD" w:rsidRDefault="00887BBD" w:rsidP="00DE7ED9">
      <w:pPr>
        <w:autoSpaceDE w:val="0"/>
        <w:autoSpaceDN w:val="0"/>
        <w:adjustRightInd w:val="0"/>
        <w:spacing w:line="240" w:lineRule="atLeast"/>
        <w:rPr>
          <w:b/>
          <w:color w:val="000000"/>
          <w:szCs w:val="22"/>
        </w:rPr>
      </w:pPr>
    </w:p>
    <w:p w:rsidR="000E6E0E" w:rsidRDefault="000E6E0E" w:rsidP="00DE7ED9">
      <w:pPr>
        <w:autoSpaceDE w:val="0"/>
        <w:autoSpaceDN w:val="0"/>
        <w:adjustRightInd w:val="0"/>
        <w:spacing w:line="240" w:lineRule="atLeast"/>
        <w:rPr>
          <w:b/>
          <w:color w:val="000000"/>
          <w:szCs w:val="22"/>
        </w:rPr>
      </w:pPr>
    </w:p>
    <w:p w:rsidR="00C734F6" w:rsidRDefault="00C734F6" w:rsidP="00DE7ED9">
      <w:pPr>
        <w:autoSpaceDE w:val="0"/>
        <w:autoSpaceDN w:val="0"/>
        <w:adjustRightInd w:val="0"/>
        <w:spacing w:line="240" w:lineRule="atLeast"/>
        <w:rPr>
          <w:b/>
          <w:color w:val="000000"/>
          <w:szCs w:val="22"/>
        </w:rPr>
      </w:pPr>
    </w:p>
    <w:p w:rsidR="00A30D28" w:rsidRDefault="00A30D28" w:rsidP="0034314B">
      <w:pPr>
        <w:autoSpaceDE w:val="0"/>
        <w:autoSpaceDN w:val="0"/>
        <w:adjustRightInd w:val="0"/>
        <w:spacing w:line="240" w:lineRule="atLeast"/>
        <w:jc w:val="center"/>
        <w:rPr>
          <w:color w:val="000000"/>
        </w:rPr>
      </w:pPr>
    </w:p>
    <w:p w:rsidR="00C734F6" w:rsidRDefault="00C734F6" w:rsidP="0034314B">
      <w:pPr>
        <w:autoSpaceDE w:val="0"/>
        <w:autoSpaceDN w:val="0"/>
        <w:adjustRightInd w:val="0"/>
        <w:spacing w:line="240" w:lineRule="atLeast"/>
        <w:jc w:val="center"/>
        <w:rPr>
          <w:color w:val="000000"/>
        </w:rPr>
      </w:pPr>
    </w:p>
    <w:p w:rsidR="00C734F6" w:rsidRDefault="00C734F6" w:rsidP="0034314B">
      <w:pPr>
        <w:autoSpaceDE w:val="0"/>
        <w:autoSpaceDN w:val="0"/>
        <w:adjustRightInd w:val="0"/>
        <w:spacing w:line="240" w:lineRule="atLeast"/>
        <w:jc w:val="center"/>
        <w:rPr>
          <w:color w:val="000000"/>
        </w:rPr>
      </w:pPr>
    </w:p>
    <w:p w:rsidR="00C734F6" w:rsidRDefault="00C734F6" w:rsidP="0034314B">
      <w:pPr>
        <w:autoSpaceDE w:val="0"/>
        <w:autoSpaceDN w:val="0"/>
        <w:adjustRightInd w:val="0"/>
        <w:spacing w:line="240" w:lineRule="atLeast"/>
        <w:jc w:val="center"/>
        <w:rPr>
          <w:color w:val="000000"/>
        </w:rPr>
      </w:pPr>
    </w:p>
    <w:p w:rsidR="00A30D28" w:rsidRDefault="00A30D28" w:rsidP="0034314B">
      <w:pPr>
        <w:autoSpaceDE w:val="0"/>
        <w:autoSpaceDN w:val="0"/>
        <w:adjustRightInd w:val="0"/>
        <w:spacing w:line="240" w:lineRule="atLeast"/>
        <w:jc w:val="center"/>
        <w:rPr>
          <w:color w:val="000000"/>
        </w:rPr>
      </w:pPr>
    </w:p>
    <w:p w:rsidR="008413E4" w:rsidRPr="009562F0" w:rsidRDefault="008413E4" w:rsidP="0034314B">
      <w:pPr>
        <w:autoSpaceDE w:val="0"/>
        <w:autoSpaceDN w:val="0"/>
        <w:adjustRightInd w:val="0"/>
        <w:spacing w:line="240" w:lineRule="atLeast"/>
        <w:jc w:val="center"/>
        <w:rPr>
          <w:color w:val="000000"/>
        </w:rPr>
      </w:pPr>
      <w:r w:rsidRPr="009562F0">
        <w:rPr>
          <w:color w:val="000000"/>
        </w:rPr>
        <w:t>CURRENCY EQUIVALENTS</w:t>
      </w:r>
    </w:p>
    <w:p w:rsidR="008413E4" w:rsidRPr="009562F0" w:rsidRDefault="008413E4" w:rsidP="0034314B">
      <w:pPr>
        <w:autoSpaceDE w:val="0"/>
        <w:autoSpaceDN w:val="0"/>
        <w:adjustRightInd w:val="0"/>
        <w:spacing w:after="120" w:line="240" w:lineRule="atLeast"/>
        <w:jc w:val="center"/>
      </w:pPr>
      <w:r w:rsidRPr="009562F0">
        <w:rPr>
          <w:color w:val="000000"/>
        </w:rPr>
        <w:t xml:space="preserve">(Exchange Rate Effective </w:t>
      </w:r>
      <w:r w:rsidR="0069333F" w:rsidRPr="009562F0">
        <w:rPr>
          <w:color w:val="000000"/>
        </w:rPr>
        <w:t>April 23</w:t>
      </w:r>
      <w:r w:rsidR="00205D5F" w:rsidRPr="009562F0">
        <w:rPr>
          <w:color w:val="000000"/>
        </w:rPr>
        <w:t>, 201</w:t>
      </w:r>
      <w:r w:rsidR="00DA7CBE" w:rsidRPr="009562F0">
        <w:rPr>
          <w:color w:val="000000"/>
        </w:rPr>
        <w:t>2</w:t>
      </w:r>
      <w:r w:rsidRPr="009562F0">
        <w:t>)</w:t>
      </w:r>
    </w:p>
    <w:tbl>
      <w:tblPr>
        <w:tblW w:w="9876" w:type="dxa"/>
        <w:tblLayout w:type="fixed"/>
        <w:tblLook w:val="0000" w:firstRow="0" w:lastRow="0" w:firstColumn="0" w:lastColumn="0" w:noHBand="0" w:noVBand="0"/>
      </w:tblPr>
      <w:tblGrid>
        <w:gridCol w:w="4788"/>
        <w:gridCol w:w="540"/>
        <w:gridCol w:w="4548"/>
      </w:tblGrid>
      <w:tr w:rsidR="00542002" w:rsidRPr="009562F0">
        <w:tc>
          <w:tcPr>
            <w:tcW w:w="4788" w:type="dxa"/>
          </w:tcPr>
          <w:p w:rsidR="008413E4" w:rsidRPr="009562F0" w:rsidRDefault="008413E4" w:rsidP="00D115BA">
            <w:pPr>
              <w:autoSpaceDE w:val="0"/>
              <w:autoSpaceDN w:val="0"/>
              <w:adjustRightInd w:val="0"/>
              <w:spacing w:line="240" w:lineRule="atLeast"/>
              <w:jc w:val="right"/>
              <w:rPr>
                <w:color w:val="000000"/>
              </w:rPr>
            </w:pPr>
            <w:r w:rsidRPr="009562F0">
              <w:rPr>
                <w:color w:val="000000"/>
              </w:rPr>
              <w:t>Currency Unit</w:t>
            </w:r>
          </w:p>
        </w:tc>
        <w:tc>
          <w:tcPr>
            <w:tcW w:w="540" w:type="dxa"/>
          </w:tcPr>
          <w:p w:rsidR="008413E4" w:rsidRPr="009562F0" w:rsidRDefault="008413E4" w:rsidP="00D115BA">
            <w:pPr>
              <w:autoSpaceDE w:val="0"/>
              <w:autoSpaceDN w:val="0"/>
              <w:adjustRightInd w:val="0"/>
              <w:spacing w:line="240" w:lineRule="atLeast"/>
              <w:rPr>
                <w:color w:val="000000"/>
              </w:rPr>
            </w:pPr>
            <w:r w:rsidRPr="009562F0">
              <w:rPr>
                <w:color w:val="000000"/>
              </w:rPr>
              <w:t>=</w:t>
            </w:r>
          </w:p>
        </w:tc>
        <w:tc>
          <w:tcPr>
            <w:tcW w:w="4548" w:type="dxa"/>
          </w:tcPr>
          <w:p w:rsidR="008413E4" w:rsidRPr="009562F0" w:rsidRDefault="00A92D4C" w:rsidP="00A92D4C">
            <w:pPr>
              <w:autoSpaceDE w:val="0"/>
              <w:autoSpaceDN w:val="0"/>
              <w:adjustRightInd w:val="0"/>
              <w:spacing w:line="240" w:lineRule="atLeast"/>
              <w:rPr>
                <w:color w:val="000000"/>
              </w:rPr>
            </w:pPr>
            <w:r w:rsidRPr="009562F0">
              <w:rPr>
                <w:color w:val="000000"/>
              </w:rPr>
              <w:t>NIC</w:t>
            </w:r>
          </w:p>
        </w:tc>
      </w:tr>
      <w:tr w:rsidR="00542002" w:rsidRPr="009562F0">
        <w:tc>
          <w:tcPr>
            <w:tcW w:w="4788" w:type="dxa"/>
          </w:tcPr>
          <w:p w:rsidR="008413E4" w:rsidRPr="009562F0" w:rsidRDefault="00205D5F" w:rsidP="00FC545F">
            <w:pPr>
              <w:autoSpaceDE w:val="0"/>
              <w:autoSpaceDN w:val="0"/>
              <w:adjustRightInd w:val="0"/>
              <w:spacing w:line="240" w:lineRule="atLeast"/>
              <w:jc w:val="right"/>
              <w:rPr>
                <w:color w:val="000000"/>
              </w:rPr>
            </w:pPr>
            <w:r w:rsidRPr="009562F0">
              <w:rPr>
                <w:color w:val="000000"/>
              </w:rPr>
              <w:t xml:space="preserve"> NIC </w:t>
            </w:r>
            <w:r w:rsidR="00FC545F" w:rsidRPr="009562F0">
              <w:rPr>
                <w:color w:val="000000"/>
              </w:rPr>
              <w:t>23</w:t>
            </w:r>
            <w:r w:rsidR="00434DB4" w:rsidRPr="009562F0">
              <w:rPr>
                <w:color w:val="000000"/>
              </w:rPr>
              <w:t>.</w:t>
            </w:r>
            <w:r w:rsidR="00FC545F" w:rsidRPr="009562F0">
              <w:rPr>
                <w:color w:val="000000"/>
              </w:rPr>
              <w:t>05</w:t>
            </w:r>
          </w:p>
        </w:tc>
        <w:tc>
          <w:tcPr>
            <w:tcW w:w="540" w:type="dxa"/>
          </w:tcPr>
          <w:p w:rsidR="008413E4" w:rsidRPr="009562F0" w:rsidRDefault="008413E4" w:rsidP="00D115BA">
            <w:pPr>
              <w:autoSpaceDE w:val="0"/>
              <w:autoSpaceDN w:val="0"/>
              <w:adjustRightInd w:val="0"/>
              <w:spacing w:line="240" w:lineRule="atLeast"/>
              <w:rPr>
                <w:color w:val="000000"/>
              </w:rPr>
            </w:pPr>
            <w:r w:rsidRPr="009562F0">
              <w:rPr>
                <w:color w:val="000000"/>
              </w:rPr>
              <w:t>=</w:t>
            </w:r>
          </w:p>
        </w:tc>
        <w:tc>
          <w:tcPr>
            <w:tcW w:w="4548" w:type="dxa"/>
          </w:tcPr>
          <w:p w:rsidR="004D319D" w:rsidRPr="009562F0" w:rsidRDefault="008413E4" w:rsidP="00D115BA">
            <w:pPr>
              <w:autoSpaceDE w:val="0"/>
              <w:autoSpaceDN w:val="0"/>
              <w:adjustRightInd w:val="0"/>
              <w:spacing w:line="240" w:lineRule="atLeast"/>
              <w:rPr>
                <w:color w:val="000000"/>
              </w:rPr>
            </w:pPr>
            <w:r w:rsidRPr="009562F0">
              <w:rPr>
                <w:color w:val="000000"/>
              </w:rPr>
              <w:t>US$1</w:t>
            </w:r>
          </w:p>
        </w:tc>
      </w:tr>
      <w:tr w:rsidR="00542002" w:rsidRPr="009562F0">
        <w:tc>
          <w:tcPr>
            <w:tcW w:w="4788" w:type="dxa"/>
          </w:tcPr>
          <w:p w:rsidR="008413E4" w:rsidRPr="009562F0" w:rsidRDefault="004639BD" w:rsidP="004D319D">
            <w:pPr>
              <w:autoSpaceDE w:val="0"/>
              <w:autoSpaceDN w:val="0"/>
              <w:adjustRightInd w:val="0"/>
              <w:spacing w:line="240" w:lineRule="atLeast"/>
              <w:jc w:val="right"/>
              <w:rPr>
                <w:color w:val="000000"/>
              </w:rPr>
            </w:pPr>
            <w:r w:rsidRPr="009562F0">
              <w:rPr>
                <w:color w:val="000000"/>
              </w:rPr>
              <w:t>US$</w:t>
            </w:r>
            <w:r w:rsidR="008F629A" w:rsidRPr="009562F0">
              <w:rPr>
                <w:color w:val="000000"/>
              </w:rPr>
              <w:t>1.</w:t>
            </w:r>
            <w:r w:rsidR="004D319D" w:rsidRPr="009562F0">
              <w:rPr>
                <w:color w:val="000000"/>
              </w:rPr>
              <w:t>31</w:t>
            </w:r>
          </w:p>
        </w:tc>
        <w:tc>
          <w:tcPr>
            <w:tcW w:w="540" w:type="dxa"/>
          </w:tcPr>
          <w:p w:rsidR="008413E4" w:rsidRPr="009562F0" w:rsidRDefault="008413E4" w:rsidP="00D115BA">
            <w:pPr>
              <w:autoSpaceDE w:val="0"/>
              <w:autoSpaceDN w:val="0"/>
              <w:adjustRightInd w:val="0"/>
              <w:spacing w:line="240" w:lineRule="atLeast"/>
              <w:rPr>
                <w:color w:val="000000"/>
              </w:rPr>
            </w:pPr>
            <w:r w:rsidRPr="009562F0">
              <w:rPr>
                <w:color w:val="000000"/>
              </w:rPr>
              <w:t>=</w:t>
            </w:r>
          </w:p>
        </w:tc>
        <w:tc>
          <w:tcPr>
            <w:tcW w:w="4548" w:type="dxa"/>
          </w:tcPr>
          <w:p w:rsidR="008413E4" w:rsidRPr="009562F0" w:rsidRDefault="004D319D" w:rsidP="00D115BA">
            <w:pPr>
              <w:autoSpaceDE w:val="0"/>
              <w:autoSpaceDN w:val="0"/>
              <w:adjustRightInd w:val="0"/>
              <w:spacing w:line="240" w:lineRule="atLeast"/>
              <w:rPr>
                <w:color w:val="000000"/>
              </w:rPr>
            </w:pPr>
            <w:r w:rsidRPr="009562F0">
              <w:rPr>
                <w:color w:val="000000"/>
              </w:rPr>
              <w:t>Euro</w:t>
            </w:r>
            <w:r w:rsidR="008413E4" w:rsidRPr="009562F0">
              <w:rPr>
                <w:color w:val="000000"/>
              </w:rPr>
              <w:t xml:space="preserve"> 1</w:t>
            </w:r>
          </w:p>
          <w:p w:rsidR="00542002" w:rsidRPr="009562F0" w:rsidRDefault="00542002" w:rsidP="0040253F">
            <w:pPr>
              <w:autoSpaceDE w:val="0"/>
              <w:autoSpaceDN w:val="0"/>
              <w:adjustRightInd w:val="0"/>
              <w:spacing w:line="240" w:lineRule="atLeast"/>
              <w:rPr>
                <w:color w:val="000000"/>
              </w:rPr>
            </w:pPr>
          </w:p>
        </w:tc>
      </w:tr>
    </w:tbl>
    <w:p w:rsidR="008413E4" w:rsidRPr="009562F0" w:rsidRDefault="008413E4" w:rsidP="008413E4">
      <w:pPr>
        <w:autoSpaceDE w:val="0"/>
        <w:autoSpaceDN w:val="0"/>
        <w:adjustRightInd w:val="0"/>
        <w:spacing w:line="240" w:lineRule="atLeast"/>
        <w:jc w:val="center"/>
        <w:rPr>
          <w:color w:val="000000"/>
        </w:rPr>
      </w:pPr>
      <w:r w:rsidRPr="009562F0">
        <w:rPr>
          <w:color w:val="000000"/>
        </w:rPr>
        <w:t>FISCAL YEAR</w:t>
      </w:r>
    </w:p>
    <w:tbl>
      <w:tblPr>
        <w:tblW w:w="0" w:type="auto"/>
        <w:tblLook w:val="0000" w:firstRow="0" w:lastRow="0" w:firstColumn="0" w:lastColumn="0" w:noHBand="0" w:noVBand="0"/>
      </w:tblPr>
      <w:tblGrid>
        <w:gridCol w:w="4548"/>
        <w:gridCol w:w="600"/>
        <w:gridCol w:w="4428"/>
      </w:tblGrid>
      <w:tr w:rsidR="008413E4" w:rsidRPr="009562F0">
        <w:tc>
          <w:tcPr>
            <w:tcW w:w="4548" w:type="dxa"/>
          </w:tcPr>
          <w:p w:rsidR="008413E4" w:rsidRPr="009562F0" w:rsidRDefault="008413E4" w:rsidP="00D115BA">
            <w:pPr>
              <w:autoSpaceDE w:val="0"/>
              <w:autoSpaceDN w:val="0"/>
              <w:adjustRightInd w:val="0"/>
              <w:spacing w:line="240" w:lineRule="atLeast"/>
              <w:jc w:val="right"/>
              <w:rPr>
                <w:color w:val="000000"/>
              </w:rPr>
            </w:pPr>
            <w:r w:rsidRPr="009562F0">
              <w:rPr>
                <w:color w:val="000000"/>
              </w:rPr>
              <w:t>January 1</w:t>
            </w:r>
          </w:p>
        </w:tc>
        <w:tc>
          <w:tcPr>
            <w:tcW w:w="600" w:type="dxa"/>
          </w:tcPr>
          <w:p w:rsidR="008413E4" w:rsidRPr="009562F0" w:rsidRDefault="008413E4" w:rsidP="00D115BA">
            <w:pPr>
              <w:autoSpaceDE w:val="0"/>
              <w:autoSpaceDN w:val="0"/>
              <w:adjustRightInd w:val="0"/>
              <w:spacing w:line="240" w:lineRule="atLeast"/>
              <w:jc w:val="center"/>
              <w:rPr>
                <w:color w:val="000000"/>
              </w:rPr>
            </w:pPr>
            <w:r w:rsidRPr="009562F0">
              <w:t>–</w:t>
            </w:r>
          </w:p>
        </w:tc>
        <w:tc>
          <w:tcPr>
            <w:tcW w:w="4428" w:type="dxa"/>
          </w:tcPr>
          <w:p w:rsidR="008413E4" w:rsidRPr="009562F0" w:rsidRDefault="008413E4" w:rsidP="00D115BA">
            <w:pPr>
              <w:autoSpaceDE w:val="0"/>
              <w:autoSpaceDN w:val="0"/>
              <w:adjustRightInd w:val="0"/>
              <w:spacing w:line="240" w:lineRule="atLeast"/>
              <w:rPr>
                <w:color w:val="000000"/>
              </w:rPr>
            </w:pPr>
            <w:r w:rsidRPr="009562F0">
              <w:rPr>
                <w:color w:val="000000"/>
              </w:rPr>
              <w:t>December 31</w:t>
            </w:r>
          </w:p>
        </w:tc>
      </w:tr>
    </w:tbl>
    <w:p w:rsidR="008413E4" w:rsidRPr="009562F0" w:rsidRDefault="008413E4" w:rsidP="008413E4">
      <w:pPr>
        <w:jc w:val="center"/>
        <w:rPr>
          <w:color w:val="000000"/>
        </w:rPr>
      </w:pPr>
    </w:p>
    <w:p w:rsidR="008413E4" w:rsidRPr="009562F0" w:rsidRDefault="008413E4" w:rsidP="008413E4">
      <w:pPr>
        <w:jc w:val="center"/>
      </w:pPr>
      <w:r w:rsidRPr="009562F0">
        <w:rPr>
          <w:color w:val="000000"/>
        </w:rPr>
        <w:t>ABBREVIATIONS AND ACRONYMS</w:t>
      </w:r>
    </w:p>
    <w:tbl>
      <w:tblPr>
        <w:tblW w:w="9828" w:type="dxa"/>
        <w:tblLook w:val="0000" w:firstRow="0" w:lastRow="0" w:firstColumn="0" w:lastColumn="0" w:noHBand="0" w:noVBand="0"/>
      </w:tblPr>
      <w:tblGrid>
        <w:gridCol w:w="1377"/>
        <w:gridCol w:w="8451"/>
      </w:tblGrid>
      <w:tr w:rsidR="0012583F" w:rsidRPr="009562F0" w:rsidTr="0094634A">
        <w:tc>
          <w:tcPr>
            <w:tcW w:w="1377" w:type="dxa"/>
          </w:tcPr>
          <w:p w:rsidR="0012583F" w:rsidRPr="009562F0" w:rsidRDefault="0012583F" w:rsidP="0094634A"/>
        </w:tc>
        <w:tc>
          <w:tcPr>
            <w:tcW w:w="8451" w:type="dxa"/>
          </w:tcPr>
          <w:p w:rsidR="0012583F" w:rsidRPr="009562F0" w:rsidRDefault="0012583F" w:rsidP="0094634A"/>
        </w:tc>
      </w:tr>
      <w:tr w:rsidR="0012583F" w:rsidRPr="009562F0" w:rsidTr="0094634A">
        <w:tc>
          <w:tcPr>
            <w:tcW w:w="1377" w:type="dxa"/>
          </w:tcPr>
          <w:p w:rsidR="0012583F" w:rsidRPr="009562F0" w:rsidRDefault="0012583F" w:rsidP="0094634A">
            <w:pPr>
              <w:rPr>
                <w:bCs/>
              </w:rPr>
            </w:pPr>
            <w:r w:rsidRPr="009562F0">
              <w:rPr>
                <w:bCs/>
              </w:rPr>
              <w:t>AFGD</w:t>
            </w:r>
          </w:p>
        </w:tc>
        <w:tc>
          <w:tcPr>
            <w:tcW w:w="8451" w:type="dxa"/>
          </w:tcPr>
          <w:p w:rsidR="0012583F" w:rsidRPr="009562F0" w:rsidRDefault="0012583F" w:rsidP="0094634A">
            <w:pPr>
              <w:rPr>
                <w:bCs/>
              </w:rPr>
            </w:pPr>
            <w:r w:rsidRPr="009562F0">
              <w:rPr>
                <w:bCs/>
              </w:rPr>
              <w:t>Administrative and Financial General Division (</w:t>
            </w:r>
            <w:r w:rsidRPr="009562F0">
              <w:rPr>
                <w:bCs/>
                <w:i/>
              </w:rPr>
              <w:t>Division General Administrativa Financiera)</w:t>
            </w:r>
          </w:p>
        </w:tc>
      </w:tr>
      <w:tr w:rsidR="0012583F" w:rsidRPr="009562F0" w:rsidTr="0094634A">
        <w:tc>
          <w:tcPr>
            <w:tcW w:w="1377" w:type="dxa"/>
          </w:tcPr>
          <w:p w:rsidR="0012583F" w:rsidRPr="009562F0" w:rsidRDefault="0012583F" w:rsidP="0094634A">
            <w:r w:rsidRPr="009562F0">
              <w:rPr>
                <w:bCs/>
              </w:rPr>
              <w:t>CPS</w:t>
            </w:r>
          </w:p>
        </w:tc>
        <w:tc>
          <w:tcPr>
            <w:tcW w:w="8451" w:type="dxa"/>
          </w:tcPr>
          <w:p w:rsidR="0012583F" w:rsidRPr="009562F0" w:rsidRDefault="0012583F" w:rsidP="0094634A">
            <w:r w:rsidRPr="009562F0">
              <w:rPr>
                <w:bCs/>
              </w:rPr>
              <w:t xml:space="preserve">Country Partnership Strategy </w:t>
            </w:r>
          </w:p>
        </w:tc>
      </w:tr>
      <w:tr w:rsidR="0012583F" w:rsidRPr="009562F0" w:rsidTr="0094634A">
        <w:tc>
          <w:tcPr>
            <w:tcW w:w="1377" w:type="dxa"/>
          </w:tcPr>
          <w:p w:rsidR="0012583F" w:rsidRPr="009562F0" w:rsidRDefault="0012583F" w:rsidP="0094634A">
            <w:pPr>
              <w:rPr>
                <w:bCs/>
              </w:rPr>
            </w:pPr>
            <w:r w:rsidRPr="009562F0">
              <w:rPr>
                <w:bCs/>
              </w:rPr>
              <w:t>DA</w:t>
            </w:r>
          </w:p>
        </w:tc>
        <w:tc>
          <w:tcPr>
            <w:tcW w:w="8451" w:type="dxa"/>
          </w:tcPr>
          <w:p w:rsidR="0012583F" w:rsidRPr="009562F0" w:rsidRDefault="0012583F" w:rsidP="0094634A">
            <w:r w:rsidRPr="009562F0">
              <w:t>Designated Account</w:t>
            </w:r>
          </w:p>
        </w:tc>
      </w:tr>
      <w:tr w:rsidR="0012583F" w:rsidRPr="009562F0" w:rsidTr="0094634A">
        <w:tc>
          <w:tcPr>
            <w:tcW w:w="1377" w:type="dxa"/>
          </w:tcPr>
          <w:p w:rsidR="0012583F" w:rsidRPr="009562F0" w:rsidRDefault="0012583F" w:rsidP="0094634A">
            <w:pPr>
              <w:rPr>
                <w:bCs/>
              </w:rPr>
            </w:pPr>
            <w:r w:rsidRPr="009562F0">
              <w:rPr>
                <w:bCs/>
              </w:rPr>
              <w:t>ECD</w:t>
            </w:r>
          </w:p>
        </w:tc>
        <w:tc>
          <w:tcPr>
            <w:tcW w:w="8451" w:type="dxa"/>
          </w:tcPr>
          <w:p w:rsidR="0012583F" w:rsidRPr="009562F0" w:rsidRDefault="0012583F" w:rsidP="0094634A">
            <w:pPr>
              <w:rPr>
                <w:bCs/>
              </w:rPr>
            </w:pPr>
            <w:r w:rsidRPr="009562F0">
              <w:rPr>
                <w:bCs/>
              </w:rPr>
              <w:t>Early Childhood Education</w:t>
            </w:r>
          </w:p>
        </w:tc>
      </w:tr>
      <w:tr w:rsidR="0012583F" w:rsidRPr="009562F0" w:rsidTr="0094634A">
        <w:tc>
          <w:tcPr>
            <w:tcW w:w="1377" w:type="dxa"/>
            <w:vAlign w:val="center"/>
          </w:tcPr>
          <w:p w:rsidR="0012583F" w:rsidRPr="009562F0" w:rsidRDefault="0012583F" w:rsidP="0094634A">
            <w:pPr>
              <w:rPr>
                <w:bCs/>
              </w:rPr>
            </w:pPr>
            <w:r w:rsidRPr="009562F0">
              <w:rPr>
                <w:bCs/>
              </w:rPr>
              <w:t xml:space="preserve">EFA </w:t>
            </w:r>
          </w:p>
        </w:tc>
        <w:tc>
          <w:tcPr>
            <w:tcW w:w="8451" w:type="dxa"/>
            <w:vAlign w:val="center"/>
          </w:tcPr>
          <w:p w:rsidR="0012583F" w:rsidRPr="009562F0" w:rsidRDefault="0012583F" w:rsidP="0094634A">
            <w:pPr>
              <w:rPr>
                <w:bCs/>
              </w:rPr>
            </w:pPr>
            <w:r w:rsidRPr="009562F0">
              <w:rPr>
                <w:bCs/>
              </w:rPr>
              <w:t xml:space="preserve">Education For All </w:t>
            </w:r>
          </w:p>
        </w:tc>
      </w:tr>
      <w:tr w:rsidR="0012583F" w:rsidRPr="009562F0" w:rsidTr="0094634A">
        <w:tc>
          <w:tcPr>
            <w:tcW w:w="1377" w:type="dxa"/>
          </w:tcPr>
          <w:p w:rsidR="0012583F" w:rsidRPr="009562F0" w:rsidRDefault="0012583F" w:rsidP="0094634A">
            <w:pPr>
              <w:rPr>
                <w:bCs/>
              </w:rPr>
            </w:pPr>
            <w:r w:rsidRPr="009562F0">
              <w:rPr>
                <w:bCs/>
              </w:rPr>
              <w:t>EGRA</w:t>
            </w:r>
          </w:p>
          <w:p w:rsidR="0012583F" w:rsidRPr="009562F0" w:rsidRDefault="0012583F" w:rsidP="0094634A">
            <w:r w:rsidRPr="009562F0">
              <w:rPr>
                <w:bCs/>
              </w:rPr>
              <w:t>EMF</w:t>
            </w:r>
          </w:p>
        </w:tc>
        <w:tc>
          <w:tcPr>
            <w:tcW w:w="8451" w:type="dxa"/>
          </w:tcPr>
          <w:p w:rsidR="0012583F" w:rsidRPr="009562F0" w:rsidRDefault="0012583F" w:rsidP="0094634A">
            <w:pPr>
              <w:rPr>
                <w:bCs/>
              </w:rPr>
            </w:pPr>
            <w:r w:rsidRPr="009562F0">
              <w:rPr>
                <w:bCs/>
              </w:rPr>
              <w:t xml:space="preserve">Early Grade Reading Assessment </w:t>
            </w:r>
          </w:p>
          <w:p w:rsidR="0012583F" w:rsidRPr="009562F0" w:rsidRDefault="0012583F" w:rsidP="0094634A">
            <w:pPr>
              <w:rPr>
                <w:bCs/>
              </w:rPr>
            </w:pPr>
            <w:r w:rsidRPr="009562F0">
              <w:rPr>
                <w:bCs/>
              </w:rPr>
              <w:t>Environmental Management Framework</w:t>
            </w:r>
          </w:p>
        </w:tc>
      </w:tr>
      <w:tr w:rsidR="0012583F" w:rsidRPr="009562F0" w:rsidTr="0094634A">
        <w:tc>
          <w:tcPr>
            <w:tcW w:w="1377" w:type="dxa"/>
          </w:tcPr>
          <w:p w:rsidR="0012583F" w:rsidRPr="009562F0" w:rsidRDefault="0012583F" w:rsidP="0094634A">
            <w:r w:rsidRPr="009562F0">
              <w:t>ESS</w:t>
            </w:r>
          </w:p>
        </w:tc>
        <w:tc>
          <w:tcPr>
            <w:tcW w:w="8451" w:type="dxa"/>
          </w:tcPr>
          <w:p w:rsidR="0012583F" w:rsidRPr="009562F0" w:rsidRDefault="0012583F" w:rsidP="0094634A">
            <w:pPr>
              <w:rPr>
                <w:bCs/>
              </w:rPr>
            </w:pPr>
            <w:r w:rsidRPr="009562F0" w:rsidDel="00787280">
              <w:rPr>
                <w:bCs/>
              </w:rPr>
              <w:t xml:space="preserve">Education Sector </w:t>
            </w:r>
            <w:r w:rsidRPr="009562F0">
              <w:rPr>
                <w:bCs/>
              </w:rPr>
              <w:t>Strategy</w:t>
            </w:r>
          </w:p>
        </w:tc>
      </w:tr>
      <w:tr w:rsidR="0012583F" w:rsidRPr="009562F0" w:rsidTr="0094634A">
        <w:tc>
          <w:tcPr>
            <w:tcW w:w="1377" w:type="dxa"/>
          </w:tcPr>
          <w:p w:rsidR="0012583F" w:rsidRPr="009562F0" w:rsidRDefault="0012583F" w:rsidP="0094634A">
            <w:r w:rsidRPr="009562F0">
              <w:t>EU</w:t>
            </w:r>
          </w:p>
        </w:tc>
        <w:tc>
          <w:tcPr>
            <w:tcW w:w="8451" w:type="dxa"/>
          </w:tcPr>
          <w:p w:rsidR="0012583F" w:rsidRPr="009562F0" w:rsidRDefault="0012583F" w:rsidP="0094634A">
            <w:pPr>
              <w:rPr>
                <w:bCs/>
              </w:rPr>
            </w:pPr>
            <w:r w:rsidRPr="009562F0">
              <w:rPr>
                <w:bCs/>
              </w:rPr>
              <w:t>European Union</w:t>
            </w:r>
          </w:p>
        </w:tc>
      </w:tr>
      <w:tr w:rsidR="0012583F" w:rsidRPr="009562F0" w:rsidTr="0094634A">
        <w:tc>
          <w:tcPr>
            <w:tcW w:w="1377" w:type="dxa"/>
          </w:tcPr>
          <w:p w:rsidR="0012583F" w:rsidRPr="009562F0" w:rsidRDefault="0012583F" w:rsidP="0094634A">
            <w:r w:rsidRPr="009562F0">
              <w:t>FM</w:t>
            </w:r>
          </w:p>
        </w:tc>
        <w:tc>
          <w:tcPr>
            <w:tcW w:w="8451" w:type="dxa"/>
          </w:tcPr>
          <w:p w:rsidR="0012583F" w:rsidRPr="009562F0" w:rsidRDefault="0012583F" w:rsidP="0094634A">
            <w:pPr>
              <w:rPr>
                <w:bCs/>
              </w:rPr>
            </w:pPr>
            <w:r w:rsidRPr="009562F0">
              <w:rPr>
                <w:bCs/>
              </w:rPr>
              <w:t>Financial Management</w:t>
            </w:r>
          </w:p>
        </w:tc>
      </w:tr>
      <w:tr w:rsidR="0012583F" w:rsidRPr="009562F0" w:rsidTr="0094634A">
        <w:tc>
          <w:tcPr>
            <w:tcW w:w="1377" w:type="dxa"/>
          </w:tcPr>
          <w:p w:rsidR="0012583F" w:rsidRPr="009562F0" w:rsidRDefault="0012583F" w:rsidP="0094634A">
            <w:r w:rsidRPr="009562F0">
              <w:t>GDP</w:t>
            </w:r>
          </w:p>
        </w:tc>
        <w:tc>
          <w:tcPr>
            <w:tcW w:w="8451" w:type="dxa"/>
          </w:tcPr>
          <w:p w:rsidR="0012583F" w:rsidRPr="009562F0" w:rsidRDefault="0012583F" w:rsidP="0094634A">
            <w:r w:rsidRPr="009562F0">
              <w:t>Gross Domestic Product</w:t>
            </w:r>
          </w:p>
        </w:tc>
      </w:tr>
      <w:tr w:rsidR="0012583F" w:rsidRPr="0040316F" w:rsidTr="0094634A">
        <w:tc>
          <w:tcPr>
            <w:tcW w:w="1377" w:type="dxa"/>
          </w:tcPr>
          <w:p w:rsidR="0012583F" w:rsidRPr="009562F0" w:rsidRDefault="0012583F" w:rsidP="0094634A">
            <w:pPr>
              <w:rPr>
                <w:bCs/>
              </w:rPr>
            </w:pPr>
            <w:r w:rsidRPr="009562F0">
              <w:rPr>
                <w:bCs/>
              </w:rPr>
              <w:t>GDPE</w:t>
            </w:r>
          </w:p>
        </w:tc>
        <w:tc>
          <w:tcPr>
            <w:tcW w:w="8451" w:type="dxa"/>
          </w:tcPr>
          <w:p w:rsidR="0012583F" w:rsidRPr="009562F0" w:rsidRDefault="0012583F" w:rsidP="0094634A">
            <w:pPr>
              <w:rPr>
                <w:lang w:val="es-ES_tradnl"/>
              </w:rPr>
            </w:pPr>
            <w:r w:rsidRPr="009562F0">
              <w:rPr>
                <w:bCs/>
                <w:lang w:val="es-ES"/>
              </w:rPr>
              <w:t>General Directorate of Preschool Education (</w:t>
            </w:r>
            <w:r w:rsidRPr="009562F0">
              <w:rPr>
                <w:bCs/>
                <w:i/>
                <w:lang w:val="es-ES_tradnl"/>
              </w:rPr>
              <w:t>Dirección General de la Educación Preescolar</w:t>
            </w:r>
            <w:r w:rsidRPr="009562F0">
              <w:rPr>
                <w:bCs/>
                <w:lang w:val="es-ES_tradnl"/>
              </w:rPr>
              <w:t>)</w:t>
            </w:r>
          </w:p>
        </w:tc>
      </w:tr>
      <w:tr w:rsidR="0012583F" w:rsidRPr="0040316F" w:rsidTr="0094634A">
        <w:tc>
          <w:tcPr>
            <w:tcW w:w="1377" w:type="dxa"/>
          </w:tcPr>
          <w:p w:rsidR="0012583F" w:rsidRPr="009562F0" w:rsidRDefault="0012583F" w:rsidP="0094634A">
            <w:pPr>
              <w:rPr>
                <w:bCs/>
              </w:rPr>
            </w:pPr>
            <w:r w:rsidRPr="009562F0">
              <w:rPr>
                <w:bCs/>
              </w:rPr>
              <w:t>GDSE</w:t>
            </w:r>
          </w:p>
        </w:tc>
        <w:tc>
          <w:tcPr>
            <w:tcW w:w="8451" w:type="dxa"/>
          </w:tcPr>
          <w:p w:rsidR="0012583F" w:rsidRPr="009562F0" w:rsidRDefault="0012583F" w:rsidP="0094634A">
            <w:pPr>
              <w:rPr>
                <w:lang w:val="es-ES_tradnl"/>
              </w:rPr>
            </w:pPr>
            <w:r w:rsidRPr="009562F0">
              <w:rPr>
                <w:bCs/>
                <w:lang w:val="es-ES"/>
              </w:rPr>
              <w:t>General Directorate of Secondary Education (</w:t>
            </w:r>
            <w:r w:rsidRPr="009562F0">
              <w:rPr>
                <w:bCs/>
                <w:i/>
                <w:lang w:val="es-ES"/>
              </w:rPr>
              <w:t>Dirección General de Educación Secundaria</w:t>
            </w:r>
            <w:r w:rsidRPr="009562F0">
              <w:rPr>
                <w:bCs/>
                <w:lang w:val="es-ES"/>
              </w:rPr>
              <w:t>)</w:t>
            </w:r>
          </w:p>
        </w:tc>
      </w:tr>
      <w:tr w:rsidR="0012583F" w:rsidRPr="0040316F" w:rsidTr="0094634A">
        <w:tc>
          <w:tcPr>
            <w:tcW w:w="1377" w:type="dxa"/>
          </w:tcPr>
          <w:p w:rsidR="0012583F" w:rsidRPr="009562F0" w:rsidRDefault="0012583F" w:rsidP="0094634A">
            <w:r w:rsidRPr="009562F0">
              <w:t>GDSI</w:t>
            </w:r>
          </w:p>
        </w:tc>
        <w:tc>
          <w:tcPr>
            <w:tcW w:w="8451" w:type="dxa"/>
          </w:tcPr>
          <w:p w:rsidR="0012583F" w:rsidRPr="009562F0" w:rsidRDefault="0012583F" w:rsidP="0094634A">
            <w:pPr>
              <w:rPr>
                <w:lang w:val="es-ES_tradnl"/>
              </w:rPr>
            </w:pPr>
            <w:r w:rsidRPr="009562F0">
              <w:rPr>
                <w:bCs/>
                <w:lang w:val="es-ES_tradnl"/>
              </w:rPr>
              <w:t>General Directorate of School Infrastructure (</w:t>
            </w:r>
            <w:r w:rsidRPr="009562F0">
              <w:rPr>
                <w:bCs/>
                <w:i/>
                <w:lang w:val="es-ES_tradnl"/>
              </w:rPr>
              <w:t>Dirección General de Infraestructuras Escolares</w:t>
            </w:r>
            <w:r w:rsidRPr="009562F0">
              <w:rPr>
                <w:bCs/>
                <w:lang w:val="es-ES_tradnl"/>
              </w:rPr>
              <w:t>)</w:t>
            </w:r>
          </w:p>
        </w:tc>
      </w:tr>
      <w:tr w:rsidR="0012583F" w:rsidRPr="009562F0" w:rsidTr="0094634A">
        <w:tc>
          <w:tcPr>
            <w:tcW w:w="1377" w:type="dxa"/>
          </w:tcPr>
          <w:p w:rsidR="0012583F" w:rsidRPr="009562F0" w:rsidRDefault="0012583F" w:rsidP="0094634A">
            <w:pPr>
              <w:rPr>
                <w:bCs/>
              </w:rPr>
            </w:pPr>
            <w:r w:rsidRPr="009562F0">
              <w:rPr>
                <w:bCs/>
              </w:rPr>
              <w:t>GDTT</w:t>
            </w:r>
          </w:p>
        </w:tc>
        <w:tc>
          <w:tcPr>
            <w:tcW w:w="8451" w:type="dxa"/>
          </w:tcPr>
          <w:p w:rsidR="0012583F" w:rsidRPr="009562F0" w:rsidRDefault="0012583F" w:rsidP="0094634A">
            <w:r w:rsidRPr="009562F0">
              <w:rPr>
                <w:bCs/>
              </w:rPr>
              <w:t>General Directorate of Teacher Training (</w:t>
            </w:r>
            <w:r w:rsidRPr="009562F0">
              <w:rPr>
                <w:bCs/>
                <w:i/>
              </w:rPr>
              <w:t>Dirección General de Formación Docente</w:t>
            </w:r>
            <w:r w:rsidRPr="009562F0">
              <w:rPr>
                <w:bCs/>
              </w:rPr>
              <w:t>)</w:t>
            </w:r>
          </w:p>
        </w:tc>
      </w:tr>
      <w:tr w:rsidR="0012583F" w:rsidRPr="009562F0" w:rsidTr="0094634A">
        <w:tc>
          <w:tcPr>
            <w:tcW w:w="1377" w:type="dxa"/>
          </w:tcPr>
          <w:p w:rsidR="0012583F" w:rsidRPr="009562F0" w:rsidRDefault="0012583F" w:rsidP="0094634A">
            <w:pPr>
              <w:rPr>
                <w:bCs/>
              </w:rPr>
            </w:pPr>
            <w:r w:rsidRPr="009562F0">
              <w:rPr>
                <w:bCs/>
              </w:rPr>
              <w:t>GIS</w:t>
            </w:r>
          </w:p>
        </w:tc>
        <w:tc>
          <w:tcPr>
            <w:tcW w:w="8451" w:type="dxa"/>
          </w:tcPr>
          <w:p w:rsidR="0012583F" w:rsidRPr="009562F0" w:rsidRDefault="0012583F" w:rsidP="0094634A">
            <w:r w:rsidRPr="009562F0">
              <w:t>Geographic Information System</w:t>
            </w:r>
          </w:p>
        </w:tc>
      </w:tr>
      <w:tr w:rsidR="0012583F" w:rsidRPr="009562F0" w:rsidTr="0094634A">
        <w:tc>
          <w:tcPr>
            <w:tcW w:w="1377" w:type="dxa"/>
          </w:tcPr>
          <w:p w:rsidR="0012583F" w:rsidRPr="009562F0" w:rsidRDefault="0012583F" w:rsidP="0094634A">
            <w:pPr>
              <w:rPr>
                <w:bCs/>
              </w:rPr>
            </w:pPr>
            <w:r w:rsidRPr="009562F0">
              <w:rPr>
                <w:bCs/>
              </w:rPr>
              <w:t>GPE</w:t>
            </w:r>
          </w:p>
        </w:tc>
        <w:tc>
          <w:tcPr>
            <w:tcW w:w="8451" w:type="dxa"/>
          </w:tcPr>
          <w:p w:rsidR="0012583F" w:rsidRPr="009562F0" w:rsidRDefault="0012583F" w:rsidP="0094634A">
            <w:pPr>
              <w:rPr>
                <w:bCs/>
              </w:rPr>
            </w:pPr>
            <w:r w:rsidRPr="009562F0">
              <w:rPr>
                <w:bCs/>
              </w:rPr>
              <w:t>Global Partnership for Education</w:t>
            </w:r>
          </w:p>
        </w:tc>
      </w:tr>
      <w:tr w:rsidR="0012583F" w:rsidRPr="009562F0" w:rsidTr="0094634A">
        <w:tc>
          <w:tcPr>
            <w:tcW w:w="1377" w:type="dxa"/>
          </w:tcPr>
          <w:p w:rsidR="0012583F" w:rsidRPr="009562F0" w:rsidRDefault="0012583F" w:rsidP="0094634A">
            <w:pPr>
              <w:rPr>
                <w:bCs/>
              </w:rPr>
            </w:pPr>
            <w:r w:rsidRPr="009562F0">
              <w:rPr>
                <w:bCs/>
              </w:rPr>
              <w:t>GoN</w:t>
            </w:r>
          </w:p>
        </w:tc>
        <w:tc>
          <w:tcPr>
            <w:tcW w:w="8451" w:type="dxa"/>
          </w:tcPr>
          <w:p w:rsidR="0012583F" w:rsidRPr="009562F0" w:rsidRDefault="0012583F" w:rsidP="0094634A">
            <w:pPr>
              <w:rPr>
                <w:bCs/>
              </w:rPr>
            </w:pPr>
            <w:r w:rsidRPr="009562F0">
              <w:rPr>
                <w:bCs/>
              </w:rPr>
              <w:t>Government of Nicaragua</w:t>
            </w:r>
          </w:p>
        </w:tc>
      </w:tr>
      <w:tr w:rsidR="0012583F" w:rsidRPr="009562F0" w:rsidTr="0094634A">
        <w:tc>
          <w:tcPr>
            <w:tcW w:w="1377" w:type="dxa"/>
          </w:tcPr>
          <w:p w:rsidR="0012583F" w:rsidRPr="009562F0" w:rsidRDefault="0012583F" w:rsidP="0094634A">
            <w:r w:rsidRPr="009562F0">
              <w:t>IBE</w:t>
            </w:r>
          </w:p>
          <w:p w:rsidR="0012583F" w:rsidRPr="009562F0" w:rsidRDefault="0012583F" w:rsidP="0094634A">
            <w:r w:rsidRPr="009562F0">
              <w:t>ICB</w:t>
            </w:r>
          </w:p>
        </w:tc>
        <w:tc>
          <w:tcPr>
            <w:tcW w:w="8451" w:type="dxa"/>
          </w:tcPr>
          <w:p w:rsidR="0012583F" w:rsidRPr="009562F0" w:rsidRDefault="0012583F" w:rsidP="0094634A">
            <w:pPr>
              <w:rPr>
                <w:bCs/>
              </w:rPr>
            </w:pPr>
            <w:r w:rsidRPr="009562F0">
              <w:rPr>
                <w:bCs/>
              </w:rPr>
              <w:t>Intercultural Bilingual Education</w:t>
            </w:r>
          </w:p>
          <w:p w:rsidR="0012583F" w:rsidRPr="009562F0" w:rsidRDefault="0012583F" w:rsidP="0094634A">
            <w:pPr>
              <w:rPr>
                <w:bCs/>
              </w:rPr>
            </w:pPr>
            <w:r w:rsidRPr="009562F0">
              <w:rPr>
                <w:bCs/>
              </w:rPr>
              <w:t>International Competitive Bidding</w:t>
            </w:r>
          </w:p>
        </w:tc>
      </w:tr>
      <w:tr w:rsidR="0012583F" w:rsidRPr="009562F0" w:rsidTr="0094634A">
        <w:tc>
          <w:tcPr>
            <w:tcW w:w="1377" w:type="dxa"/>
          </w:tcPr>
          <w:p w:rsidR="0012583F" w:rsidRPr="009562F0" w:rsidRDefault="0012583F" w:rsidP="0094634A">
            <w:pPr>
              <w:rPr>
                <w:bCs/>
              </w:rPr>
            </w:pPr>
            <w:r w:rsidRPr="009562F0">
              <w:rPr>
                <w:bCs/>
              </w:rPr>
              <w:t>IDA</w:t>
            </w:r>
          </w:p>
        </w:tc>
        <w:tc>
          <w:tcPr>
            <w:tcW w:w="8451" w:type="dxa"/>
          </w:tcPr>
          <w:p w:rsidR="0012583F" w:rsidRPr="009562F0" w:rsidRDefault="0012583F" w:rsidP="0094634A">
            <w:pPr>
              <w:rPr>
                <w:bCs/>
              </w:rPr>
            </w:pPr>
            <w:r w:rsidRPr="009562F0">
              <w:rPr>
                <w:bCs/>
              </w:rPr>
              <w:t>International Development Association</w:t>
            </w:r>
          </w:p>
        </w:tc>
      </w:tr>
      <w:tr w:rsidR="0012583F" w:rsidRPr="009562F0" w:rsidTr="0094634A">
        <w:tc>
          <w:tcPr>
            <w:tcW w:w="1377" w:type="dxa"/>
          </w:tcPr>
          <w:p w:rsidR="0012583F" w:rsidRPr="009562F0" w:rsidRDefault="0012583F" w:rsidP="0094634A">
            <w:pPr>
              <w:rPr>
                <w:bCs/>
              </w:rPr>
            </w:pPr>
            <w:r w:rsidRPr="009562F0">
              <w:rPr>
                <w:bCs/>
              </w:rPr>
              <w:t>IDP</w:t>
            </w:r>
          </w:p>
          <w:p w:rsidR="0012583F" w:rsidRPr="009562F0" w:rsidRDefault="0012583F" w:rsidP="0094634A">
            <w:pPr>
              <w:rPr>
                <w:bCs/>
              </w:rPr>
            </w:pPr>
            <w:r w:rsidRPr="009562F0">
              <w:rPr>
                <w:bCs/>
              </w:rPr>
              <w:t>INSS</w:t>
            </w:r>
          </w:p>
          <w:p w:rsidR="0012583F" w:rsidRPr="009562F0" w:rsidRDefault="0012583F" w:rsidP="0094634A">
            <w:pPr>
              <w:rPr>
                <w:bCs/>
              </w:rPr>
            </w:pPr>
            <w:r w:rsidRPr="009562F0">
              <w:rPr>
                <w:bCs/>
              </w:rPr>
              <w:t>IFRs</w:t>
            </w:r>
          </w:p>
          <w:p w:rsidR="0012583F" w:rsidRPr="009562F0" w:rsidRDefault="0012583F" w:rsidP="0094634A">
            <w:r w:rsidRPr="009562F0">
              <w:rPr>
                <w:bCs/>
              </w:rPr>
              <w:t>IPP</w:t>
            </w:r>
          </w:p>
        </w:tc>
        <w:tc>
          <w:tcPr>
            <w:tcW w:w="8451" w:type="dxa"/>
          </w:tcPr>
          <w:p w:rsidR="0012583F" w:rsidRPr="009562F0" w:rsidRDefault="0012583F" w:rsidP="0094634A">
            <w:pPr>
              <w:rPr>
                <w:bCs/>
              </w:rPr>
            </w:pPr>
            <w:r w:rsidRPr="009562F0">
              <w:rPr>
                <w:bCs/>
              </w:rPr>
              <w:t>Institutional Development Plan</w:t>
            </w:r>
          </w:p>
          <w:p w:rsidR="0012583F" w:rsidRPr="009562F0" w:rsidRDefault="0012583F" w:rsidP="0094634A">
            <w:r w:rsidRPr="009562F0">
              <w:t>Social Security Institute</w:t>
            </w:r>
          </w:p>
          <w:p w:rsidR="0012583F" w:rsidRPr="009562F0" w:rsidRDefault="0012583F" w:rsidP="0094634A">
            <w:r w:rsidRPr="009562F0">
              <w:t>Interim Financial Reports</w:t>
            </w:r>
          </w:p>
          <w:p w:rsidR="0012583F" w:rsidRPr="009562F0" w:rsidRDefault="0012583F" w:rsidP="0094634A">
            <w:r w:rsidRPr="009562F0">
              <w:t>Indigenous Peoples Plan</w:t>
            </w:r>
          </w:p>
        </w:tc>
      </w:tr>
      <w:tr w:rsidR="0012583F" w:rsidRPr="009562F0" w:rsidTr="0094634A">
        <w:tc>
          <w:tcPr>
            <w:tcW w:w="1377" w:type="dxa"/>
          </w:tcPr>
          <w:p w:rsidR="0012583F" w:rsidRPr="009562F0" w:rsidRDefault="0012583F" w:rsidP="0094634A">
            <w:r w:rsidRPr="009562F0">
              <w:t>JSDF</w:t>
            </w:r>
          </w:p>
        </w:tc>
        <w:tc>
          <w:tcPr>
            <w:tcW w:w="8451" w:type="dxa"/>
          </w:tcPr>
          <w:p w:rsidR="0012583F" w:rsidRPr="009562F0" w:rsidRDefault="0012583F" w:rsidP="0094634A">
            <w:pPr>
              <w:rPr>
                <w:bCs/>
              </w:rPr>
            </w:pPr>
            <w:r w:rsidRPr="009562F0">
              <w:rPr>
                <w:bCs/>
              </w:rPr>
              <w:t>Japanese Social Development Fund</w:t>
            </w:r>
          </w:p>
        </w:tc>
      </w:tr>
      <w:tr w:rsidR="0012583F" w:rsidRPr="009562F0" w:rsidTr="0094634A">
        <w:tc>
          <w:tcPr>
            <w:tcW w:w="1377" w:type="dxa"/>
          </w:tcPr>
          <w:p w:rsidR="0012583F" w:rsidRPr="009562F0" w:rsidRDefault="0012583F" w:rsidP="0094634A">
            <w:r w:rsidRPr="009562F0">
              <w:t>JSR</w:t>
            </w:r>
          </w:p>
        </w:tc>
        <w:tc>
          <w:tcPr>
            <w:tcW w:w="8451" w:type="dxa"/>
          </w:tcPr>
          <w:p w:rsidR="0012583F" w:rsidRPr="009562F0" w:rsidRDefault="0012583F" w:rsidP="0094634A">
            <w:pPr>
              <w:rPr>
                <w:bCs/>
              </w:rPr>
            </w:pPr>
            <w:r w:rsidRPr="009562F0">
              <w:rPr>
                <w:bCs/>
              </w:rPr>
              <w:t>Joint Sector Review</w:t>
            </w:r>
          </w:p>
        </w:tc>
      </w:tr>
      <w:tr w:rsidR="0012583F" w:rsidRPr="009562F0" w:rsidTr="0094634A">
        <w:tc>
          <w:tcPr>
            <w:tcW w:w="1377" w:type="dxa"/>
          </w:tcPr>
          <w:p w:rsidR="0012583F" w:rsidRPr="009562F0" w:rsidRDefault="0012583F" w:rsidP="0094634A">
            <w:r w:rsidRPr="009562F0">
              <w:t>LAC</w:t>
            </w:r>
          </w:p>
        </w:tc>
        <w:tc>
          <w:tcPr>
            <w:tcW w:w="8451" w:type="dxa"/>
          </w:tcPr>
          <w:p w:rsidR="0012583F" w:rsidRPr="009562F0" w:rsidRDefault="0012583F" w:rsidP="0094634A">
            <w:pPr>
              <w:rPr>
                <w:bCs/>
              </w:rPr>
            </w:pPr>
            <w:r w:rsidRPr="009562F0">
              <w:rPr>
                <w:bCs/>
              </w:rPr>
              <w:t>Latin America &amp; the Caribbean</w:t>
            </w:r>
          </w:p>
        </w:tc>
      </w:tr>
      <w:tr w:rsidR="0012583F" w:rsidRPr="009562F0" w:rsidTr="0094634A">
        <w:tc>
          <w:tcPr>
            <w:tcW w:w="1377" w:type="dxa"/>
          </w:tcPr>
          <w:p w:rsidR="0012583F" w:rsidRPr="009562F0" w:rsidRDefault="0012583F" w:rsidP="0094634A">
            <w:r w:rsidRPr="009562F0">
              <w:lastRenderedPageBreak/>
              <w:t>MDGs</w:t>
            </w:r>
          </w:p>
        </w:tc>
        <w:tc>
          <w:tcPr>
            <w:tcW w:w="8451" w:type="dxa"/>
          </w:tcPr>
          <w:p w:rsidR="0012583F" w:rsidRPr="009562F0" w:rsidRDefault="0012583F" w:rsidP="0094634A">
            <w:r w:rsidRPr="009562F0">
              <w:rPr>
                <w:bCs/>
              </w:rPr>
              <w:t xml:space="preserve">Millennium Development Goals </w:t>
            </w:r>
          </w:p>
        </w:tc>
      </w:tr>
      <w:tr w:rsidR="0012583F" w:rsidRPr="009562F0" w:rsidTr="0094634A">
        <w:tc>
          <w:tcPr>
            <w:tcW w:w="1377" w:type="dxa"/>
          </w:tcPr>
          <w:p w:rsidR="0012583F" w:rsidRPr="009562F0" w:rsidRDefault="0012583F" w:rsidP="0094634A">
            <w:r w:rsidRPr="009562F0">
              <w:rPr>
                <w:lang w:val="en-GB"/>
              </w:rPr>
              <w:t>M&amp;E</w:t>
            </w:r>
          </w:p>
        </w:tc>
        <w:tc>
          <w:tcPr>
            <w:tcW w:w="8451" w:type="dxa"/>
          </w:tcPr>
          <w:p w:rsidR="0012583F" w:rsidRPr="009562F0" w:rsidRDefault="0012583F" w:rsidP="0094634A">
            <w:pPr>
              <w:rPr>
                <w:bCs/>
              </w:rPr>
            </w:pPr>
            <w:r w:rsidRPr="009562F0">
              <w:rPr>
                <w:bCs/>
              </w:rPr>
              <w:t>Monitoring and Evaluation</w:t>
            </w:r>
          </w:p>
        </w:tc>
      </w:tr>
      <w:tr w:rsidR="0012583F" w:rsidRPr="009562F0" w:rsidTr="0094634A">
        <w:tc>
          <w:tcPr>
            <w:tcW w:w="1377" w:type="dxa"/>
          </w:tcPr>
          <w:p w:rsidR="0012583F" w:rsidRPr="009562F0" w:rsidRDefault="0012583F" w:rsidP="0094634A">
            <w:pPr>
              <w:rPr>
                <w:bCs/>
              </w:rPr>
            </w:pPr>
            <w:r w:rsidRPr="009562F0">
              <w:rPr>
                <w:bCs/>
              </w:rPr>
              <w:t>MINFAM</w:t>
            </w:r>
          </w:p>
        </w:tc>
        <w:tc>
          <w:tcPr>
            <w:tcW w:w="8451" w:type="dxa"/>
          </w:tcPr>
          <w:p w:rsidR="0012583F" w:rsidRPr="009562F0" w:rsidRDefault="0012583F" w:rsidP="0094634A">
            <w:pPr>
              <w:rPr>
                <w:bCs/>
              </w:rPr>
            </w:pPr>
            <w:r w:rsidRPr="009562F0">
              <w:rPr>
                <w:bCs/>
              </w:rPr>
              <w:t>Ministry of Family</w:t>
            </w:r>
          </w:p>
        </w:tc>
      </w:tr>
      <w:tr w:rsidR="0012583F" w:rsidRPr="009562F0" w:rsidTr="0094634A">
        <w:tc>
          <w:tcPr>
            <w:tcW w:w="1377" w:type="dxa"/>
          </w:tcPr>
          <w:p w:rsidR="0012583F" w:rsidRPr="009562F0" w:rsidRDefault="0012583F" w:rsidP="0094634A">
            <w:r w:rsidRPr="009562F0">
              <w:rPr>
                <w:bCs/>
              </w:rPr>
              <w:t>MINED</w:t>
            </w:r>
          </w:p>
        </w:tc>
        <w:tc>
          <w:tcPr>
            <w:tcW w:w="8451" w:type="dxa"/>
          </w:tcPr>
          <w:p w:rsidR="0012583F" w:rsidRPr="009562F0" w:rsidRDefault="0012583F" w:rsidP="0094634A">
            <w:r w:rsidRPr="009562F0">
              <w:rPr>
                <w:bCs/>
              </w:rPr>
              <w:t>Ministry of Education</w:t>
            </w:r>
          </w:p>
        </w:tc>
      </w:tr>
      <w:tr w:rsidR="0012583F" w:rsidRPr="009562F0" w:rsidTr="0094634A">
        <w:tc>
          <w:tcPr>
            <w:tcW w:w="1377" w:type="dxa"/>
          </w:tcPr>
          <w:p w:rsidR="0012583F" w:rsidRPr="009562F0" w:rsidRDefault="0012583F" w:rsidP="0094634A">
            <w:pPr>
              <w:rPr>
                <w:bCs/>
              </w:rPr>
            </w:pPr>
            <w:r w:rsidRPr="009562F0">
              <w:rPr>
                <w:bCs/>
              </w:rPr>
              <w:t>MIS</w:t>
            </w:r>
          </w:p>
        </w:tc>
        <w:tc>
          <w:tcPr>
            <w:tcW w:w="8451" w:type="dxa"/>
          </w:tcPr>
          <w:p w:rsidR="0012583F" w:rsidRPr="009562F0" w:rsidRDefault="0012583F" w:rsidP="0094634A">
            <w:r w:rsidRPr="009562F0">
              <w:t>Management Information System</w:t>
            </w:r>
          </w:p>
        </w:tc>
      </w:tr>
      <w:tr w:rsidR="0012583F" w:rsidRPr="00FD5002" w:rsidTr="0094634A">
        <w:tc>
          <w:tcPr>
            <w:tcW w:w="1377" w:type="dxa"/>
          </w:tcPr>
          <w:p w:rsidR="0012583F" w:rsidRPr="00FD5002" w:rsidRDefault="0012583F" w:rsidP="0094634A">
            <w:pPr>
              <w:rPr>
                <w:bCs/>
              </w:rPr>
            </w:pPr>
            <w:r w:rsidRPr="00FD5002">
              <w:rPr>
                <w:bCs/>
              </w:rPr>
              <w:t>NCB</w:t>
            </w:r>
          </w:p>
        </w:tc>
        <w:tc>
          <w:tcPr>
            <w:tcW w:w="8451" w:type="dxa"/>
          </w:tcPr>
          <w:p w:rsidR="0012583F" w:rsidRPr="00FD5002" w:rsidRDefault="0012583F" w:rsidP="0094634A">
            <w:pPr>
              <w:rPr>
                <w:bCs/>
              </w:rPr>
            </w:pPr>
            <w:r w:rsidRPr="00FD5002">
              <w:t>National Competitive Bidding</w:t>
            </w:r>
          </w:p>
        </w:tc>
      </w:tr>
      <w:tr w:rsidR="0012583F" w:rsidRPr="00FD5002" w:rsidTr="0094634A">
        <w:tc>
          <w:tcPr>
            <w:tcW w:w="1377" w:type="dxa"/>
          </w:tcPr>
          <w:p w:rsidR="0012583F" w:rsidRPr="00FD5002" w:rsidRDefault="0012583F" w:rsidP="0094634A">
            <w:pPr>
              <w:rPr>
                <w:bCs/>
              </w:rPr>
            </w:pPr>
            <w:r w:rsidRPr="00FD5002">
              <w:rPr>
                <w:bCs/>
              </w:rPr>
              <w:t>OM</w:t>
            </w:r>
          </w:p>
        </w:tc>
        <w:tc>
          <w:tcPr>
            <w:tcW w:w="8451" w:type="dxa"/>
          </w:tcPr>
          <w:p w:rsidR="0012583F" w:rsidRPr="00FD5002" w:rsidRDefault="0012583F" w:rsidP="0094634A">
            <w:pPr>
              <w:rPr>
                <w:bCs/>
              </w:rPr>
            </w:pPr>
            <w:r w:rsidRPr="00FD5002">
              <w:rPr>
                <w:bCs/>
              </w:rPr>
              <w:t>Operational Manual</w:t>
            </w:r>
          </w:p>
        </w:tc>
      </w:tr>
      <w:tr w:rsidR="0012583F" w:rsidRPr="00FD5002" w:rsidTr="0094634A">
        <w:tc>
          <w:tcPr>
            <w:tcW w:w="1377" w:type="dxa"/>
          </w:tcPr>
          <w:p w:rsidR="0012583F" w:rsidRPr="00FD5002" w:rsidRDefault="0012583F" w:rsidP="0094634A">
            <w:pPr>
              <w:rPr>
                <w:bCs/>
              </w:rPr>
            </w:pPr>
            <w:r w:rsidRPr="00FD5002">
              <w:rPr>
                <w:bCs/>
              </w:rPr>
              <w:t>ORAF</w:t>
            </w:r>
          </w:p>
        </w:tc>
        <w:tc>
          <w:tcPr>
            <w:tcW w:w="8451" w:type="dxa"/>
          </w:tcPr>
          <w:p w:rsidR="0012583F" w:rsidRPr="00FD5002" w:rsidRDefault="0012583F" w:rsidP="0094634A">
            <w:pPr>
              <w:rPr>
                <w:bCs/>
              </w:rPr>
            </w:pPr>
            <w:r w:rsidRPr="00FD5002">
              <w:t>Operational Risk Assessment Framework</w:t>
            </w:r>
          </w:p>
        </w:tc>
      </w:tr>
      <w:tr w:rsidR="0012583F" w:rsidRPr="00FD5002" w:rsidTr="0094634A">
        <w:tc>
          <w:tcPr>
            <w:tcW w:w="1377" w:type="dxa"/>
          </w:tcPr>
          <w:p w:rsidR="0012583F" w:rsidRPr="00FD5002" w:rsidRDefault="0012583F" w:rsidP="0094634A">
            <w:pPr>
              <w:rPr>
                <w:bCs/>
              </w:rPr>
            </w:pPr>
            <w:r w:rsidRPr="00FD5002">
              <w:rPr>
                <w:bCs/>
              </w:rPr>
              <w:t>PAMOR</w:t>
            </w:r>
          </w:p>
          <w:p w:rsidR="0012583F" w:rsidRPr="00FD5002" w:rsidRDefault="0012583F" w:rsidP="0094634A">
            <w:pPr>
              <w:rPr>
                <w:bCs/>
              </w:rPr>
            </w:pPr>
            <w:r w:rsidRPr="00FD5002">
              <w:rPr>
                <w:bCs/>
              </w:rPr>
              <w:t>PASEN</w:t>
            </w:r>
          </w:p>
        </w:tc>
        <w:tc>
          <w:tcPr>
            <w:tcW w:w="8451" w:type="dxa"/>
          </w:tcPr>
          <w:p w:rsidR="0012583F" w:rsidRPr="00FD5002" w:rsidRDefault="0012583F" w:rsidP="0094634A">
            <w:pPr>
              <w:rPr>
                <w:bCs/>
              </w:rPr>
            </w:pPr>
            <w:r w:rsidRPr="00FD5002">
              <w:rPr>
                <w:bCs/>
              </w:rPr>
              <w:t>Love for the Smallest Children Program (</w:t>
            </w:r>
            <w:r w:rsidRPr="00FD5002">
              <w:rPr>
                <w:bCs/>
                <w:i/>
              </w:rPr>
              <w:t>Programa Amor para los Mas Chiquitos)</w:t>
            </w:r>
          </w:p>
          <w:p w:rsidR="0012583F" w:rsidRPr="00FD5002" w:rsidRDefault="0012583F" w:rsidP="0094634A">
            <w:pPr>
              <w:rPr>
                <w:bCs/>
              </w:rPr>
            </w:pPr>
            <w:r w:rsidRPr="00FD5002">
              <w:rPr>
                <w:bCs/>
              </w:rPr>
              <w:t>Support to Education Sector Project</w:t>
            </w:r>
          </w:p>
        </w:tc>
      </w:tr>
      <w:tr w:rsidR="0012583F" w:rsidRPr="00FD5002" w:rsidTr="0094634A">
        <w:tc>
          <w:tcPr>
            <w:tcW w:w="1377" w:type="dxa"/>
          </w:tcPr>
          <w:p w:rsidR="0012583F" w:rsidRPr="00FD5002" w:rsidRDefault="0012583F" w:rsidP="0094634A">
            <w:pPr>
              <w:rPr>
                <w:bCs/>
              </w:rPr>
            </w:pPr>
            <w:r w:rsidRPr="00FD5002">
              <w:rPr>
                <w:bCs/>
              </w:rPr>
              <w:t>PC</w:t>
            </w:r>
          </w:p>
        </w:tc>
        <w:tc>
          <w:tcPr>
            <w:tcW w:w="8451" w:type="dxa"/>
          </w:tcPr>
          <w:p w:rsidR="0012583F" w:rsidRPr="00FD5002" w:rsidRDefault="0012583F" w:rsidP="0094634A">
            <w:pPr>
              <w:rPr>
                <w:bCs/>
              </w:rPr>
            </w:pPr>
            <w:r w:rsidRPr="00FD5002">
              <w:t xml:space="preserve">Project Coordinator </w:t>
            </w:r>
          </w:p>
        </w:tc>
      </w:tr>
      <w:tr w:rsidR="0012583F" w:rsidRPr="00FD5002" w:rsidTr="0094634A">
        <w:tc>
          <w:tcPr>
            <w:tcW w:w="1377" w:type="dxa"/>
          </w:tcPr>
          <w:p w:rsidR="0012583F" w:rsidRPr="00FD5002" w:rsidRDefault="0012583F" w:rsidP="0094634A">
            <w:pPr>
              <w:rPr>
                <w:bCs/>
              </w:rPr>
            </w:pPr>
            <w:r w:rsidRPr="00FD5002">
              <w:rPr>
                <w:bCs/>
              </w:rPr>
              <w:t>PDO</w:t>
            </w:r>
          </w:p>
        </w:tc>
        <w:tc>
          <w:tcPr>
            <w:tcW w:w="8451" w:type="dxa"/>
          </w:tcPr>
          <w:p w:rsidR="0012583F" w:rsidRPr="00FD5002" w:rsidRDefault="0012583F" w:rsidP="0094634A">
            <w:pPr>
              <w:rPr>
                <w:bCs/>
              </w:rPr>
            </w:pPr>
            <w:r w:rsidRPr="00FD5002">
              <w:rPr>
                <w:bCs/>
              </w:rPr>
              <w:t>Project Development Objective</w:t>
            </w:r>
          </w:p>
        </w:tc>
      </w:tr>
      <w:tr w:rsidR="0012583F" w:rsidRPr="00FD5002" w:rsidTr="0094634A">
        <w:tc>
          <w:tcPr>
            <w:tcW w:w="1377" w:type="dxa"/>
          </w:tcPr>
          <w:p w:rsidR="0012583F" w:rsidRPr="00FD5002" w:rsidRDefault="0012583F" w:rsidP="0094634A">
            <w:r w:rsidRPr="00FD5002">
              <w:t>PIPs</w:t>
            </w:r>
          </w:p>
        </w:tc>
        <w:tc>
          <w:tcPr>
            <w:tcW w:w="8451" w:type="dxa"/>
          </w:tcPr>
          <w:p w:rsidR="0012583F" w:rsidRPr="00FD5002" w:rsidRDefault="0012583F" w:rsidP="0094634A">
            <w:pPr>
              <w:rPr>
                <w:bCs/>
              </w:rPr>
            </w:pPr>
            <w:r w:rsidRPr="00FD5002">
              <w:t>Project Implementation Plans</w:t>
            </w:r>
          </w:p>
        </w:tc>
      </w:tr>
      <w:tr w:rsidR="0012583F" w:rsidRPr="00FD5002" w:rsidTr="0094634A">
        <w:tc>
          <w:tcPr>
            <w:tcW w:w="1377" w:type="dxa"/>
          </w:tcPr>
          <w:p w:rsidR="0012583F" w:rsidRPr="00FD5002" w:rsidRDefault="0012583F" w:rsidP="0094634A">
            <w:pPr>
              <w:rPr>
                <w:bCs/>
              </w:rPr>
            </w:pPr>
            <w:r w:rsidRPr="00FD5002">
              <w:rPr>
                <w:bCs/>
              </w:rPr>
              <w:t>PEQM</w:t>
            </w:r>
          </w:p>
        </w:tc>
        <w:tc>
          <w:tcPr>
            <w:tcW w:w="8451" w:type="dxa"/>
          </w:tcPr>
          <w:p w:rsidR="0012583F" w:rsidRPr="00FD5002" w:rsidRDefault="0012583F" w:rsidP="0094634A">
            <w:pPr>
              <w:rPr>
                <w:bCs/>
              </w:rPr>
            </w:pPr>
            <w:r w:rsidRPr="00FD5002">
              <w:rPr>
                <w:bCs/>
              </w:rPr>
              <w:t>Preschool Education Quality Model</w:t>
            </w:r>
          </w:p>
        </w:tc>
      </w:tr>
      <w:tr w:rsidR="0012583F" w:rsidRPr="0040316F" w:rsidTr="0094634A">
        <w:tc>
          <w:tcPr>
            <w:tcW w:w="1377" w:type="dxa"/>
          </w:tcPr>
          <w:p w:rsidR="0012583F" w:rsidRPr="00FD5002" w:rsidRDefault="0012583F" w:rsidP="0094634A">
            <w:r w:rsidRPr="00FD5002">
              <w:rPr>
                <w:bCs/>
              </w:rPr>
              <w:t>RAAN</w:t>
            </w:r>
          </w:p>
        </w:tc>
        <w:tc>
          <w:tcPr>
            <w:tcW w:w="8451" w:type="dxa"/>
          </w:tcPr>
          <w:p w:rsidR="0012583F" w:rsidRPr="00FD5002" w:rsidRDefault="0012583F" w:rsidP="0094634A">
            <w:pPr>
              <w:rPr>
                <w:lang w:val="es-ES"/>
              </w:rPr>
            </w:pPr>
            <w:r w:rsidRPr="00FD5002">
              <w:rPr>
                <w:bCs/>
                <w:lang w:val="es-ES"/>
              </w:rPr>
              <w:t>North Atlantic Autonmous Region (</w:t>
            </w:r>
            <w:r w:rsidRPr="00FD5002">
              <w:rPr>
                <w:bCs/>
                <w:i/>
                <w:lang w:val="es-ES"/>
              </w:rPr>
              <w:t>Region Autónoma Atlántico Norte</w:t>
            </w:r>
            <w:r w:rsidRPr="00FD5002">
              <w:rPr>
                <w:bCs/>
                <w:lang w:val="es-ES"/>
              </w:rPr>
              <w:t>)</w:t>
            </w:r>
          </w:p>
        </w:tc>
      </w:tr>
      <w:tr w:rsidR="0012583F" w:rsidRPr="00FD5002" w:rsidTr="0094634A">
        <w:tc>
          <w:tcPr>
            <w:tcW w:w="1377" w:type="dxa"/>
          </w:tcPr>
          <w:p w:rsidR="0012583F" w:rsidRPr="00FD5002" w:rsidRDefault="0012583F" w:rsidP="0094634A">
            <w:pPr>
              <w:rPr>
                <w:bCs/>
              </w:rPr>
            </w:pPr>
            <w:r w:rsidRPr="00FD5002">
              <w:rPr>
                <w:bCs/>
              </w:rPr>
              <w:t>RAAS</w:t>
            </w:r>
          </w:p>
          <w:p w:rsidR="0012583F" w:rsidRPr="00FD5002" w:rsidRDefault="0012583F" w:rsidP="0094634A">
            <w:pPr>
              <w:rPr>
                <w:bCs/>
              </w:rPr>
            </w:pPr>
            <w:r w:rsidRPr="00FD5002">
              <w:rPr>
                <w:bCs/>
              </w:rPr>
              <w:t>R</w:t>
            </w:r>
            <w:r>
              <w:rPr>
                <w:bCs/>
              </w:rPr>
              <w:t>PF</w:t>
            </w:r>
          </w:p>
        </w:tc>
        <w:tc>
          <w:tcPr>
            <w:tcW w:w="8451" w:type="dxa"/>
          </w:tcPr>
          <w:p w:rsidR="0012583F" w:rsidRPr="00453DCE" w:rsidRDefault="0012583F" w:rsidP="0094634A">
            <w:pPr>
              <w:rPr>
                <w:bCs/>
                <w:lang w:val="es-BO"/>
              </w:rPr>
            </w:pPr>
            <w:r w:rsidRPr="00453DCE">
              <w:rPr>
                <w:bCs/>
                <w:lang w:val="es-BO"/>
              </w:rPr>
              <w:t>South Atlantic Autonomous Region (</w:t>
            </w:r>
            <w:r w:rsidRPr="00453DCE">
              <w:rPr>
                <w:bCs/>
                <w:i/>
                <w:lang w:val="es-BO"/>
              </w:rPr>
              <w:t>Region Autónoma Atlántico Sur</w:t>
            </w:r>
            <w:r w:rsidRPr="00453DCE">
              <w:rPr>
                <w:bCs/>
                <w:lang w:val="es-BO"/>
              </w:rPr>
              <w:t>)</w:t>
            </w:r>
          </w:p>
          <w:p w:rsidR="0012583F" w:rsidRPr="00FD5002" w:rsidRDefault="0012583F" w:rsidP="0094634A">
            <w:pPr>
              <w:rPr>
                <w:bCs/>
              </w:rPr>
            </w:pPr>
            <w:r w:rsidRPr="00FD5002">
              <w:rPr>
                <w:bCs/>
              </w:rPr>
              <w:t>Resettlement Policy Framework</w:t>
            </w:r>
          </w:p>
        </w:tc>
      </w:tr>
      <w:tr w:rsidR="0012583F" w:rsidRPr="00FD5002" w:rsidTr="0094634A">
        <w:tc>
          <w:tcPr>
            <w:tcW w:w="1377" w:type="dxa"/>
          </w:tcPr>
          <w:p w:rsidR="0012583F" w:rsidRPr="00FD5002" w:rsidRDefault="0012583F" w:rsidP="0094634A">
            <w:pPr>
              <w:rPr>
                <w:bCs/>
              </w:rPr>
            </w:pPr>
            <w:r w:rsidRPr="00FD5002">
              <w:rPr>
                <w:bCs/>
              </w:rPr>
              <w:t>REDCAP</w:t>
            </w:r>
          </w:p>
        </w:tc>
        <w:tc>
          <w:tcPr>
            <w:tcW w:w="8451" w:type="dxa"/>
          </w:tcPr>
          <w:p w:rsidR="0012583F" w:rsidRPr="00FD5002" w:rsidRDefault="0012583F" w:rsidP="0094634A">
            <w:pPr>
              <w:rPr>
                <w:bCs/>
              </w:rPr>
            </w:pPr>
            <w:r w:rsidRPr="00FD5002">
              <w:rPr>
                <w:bCs/>
              </w:rPr>
              <w:t>Network of Trainers (</w:t>
            </w:r>
            <w:r w:rsidRPr="00FD5002">
              <w:rPr>
                <w:bCs/>
                <w:i/>
              </w:rPr>
              <w:t>Red de Capacitación</w:t>
            </w:r>
            <w:r w:rsidRPr="00FD5002">
              <w:rPr>
                <w:bCs/>
              </w:rPr>
              <w:t>)</w:t>
            </w:r>
          </w:p>
        </w:tc>
      </w:tr>
      <w:tr w:rsidR="0012583F" w:rsidRPr="00FD5002" w:rsidTr="0094634A">
        <w:tc>
          <w:tcPr>
            <w:tcW w:w="1377" w:type="dxa"/>
          </w:tcPr>
          <w:p w:rsidR="0012583F" w:rsidRPr="00FD5002" w:rsidRDefault="0012583F" w:rsidP="0094634A">
            <w:pPr>
              <w:rPr>
                <w:bCs/>
              </w:rPr>
            </w:pPr>
            <w:r w:rsidRPr="00FD5002">
              <w:rPr>
                <w:bCs/>
              </w:rPr>
              <w:t>SEAR</w:t>
            </w:r>
          </w:p>
          <w:p w:rsidR="0012583F" w:rsidRPr="00FD5002" w:rsidRDefault="0012583F" w:rsidP="0094634A">
            <w:pPr>
              <w:rPr>
                <w:bCs/>
              </w:rPr>
            </w:pPr>
          </w:p>
          <w:p w:rsidR="0012583F" w:rsidRPr="00FD5002" w:rsidRDefault="0012583F" w:rsidP="0094634A">
            <w:pPr>
              <w:rPr>
                <w:bCs/>
              </w:rPr>
            </w:pPr>
            <w:r w:rsidRPr="00FD5002">
              <w:rPr>
                <w:lang w:val="es-ES"/>
              </w:rPr>
              <w:t>SEIDI</w:t>
            </w:r>
          </w:p>
        </w:tc>
        <w:tc>
          <w:tcPr>
            <w:tcW w:w="8451" w:type="dxa"/>
          </w:tcPr>
          <w:p w:rsidR="0012583F" w:rsidRPr="00453DCE" w:rsidRDefault="0012583F" w:rsidP="0094634A">
            <w:pPr>
              <w:rPr>
                <w:bCs/>
                <w:i/>
                <w:lang w:val="es-BO"/>
              </w:rPr>
            </w:pPr>
            <w:r w:rsidRPr="00453DCE">
              <w:rPr>
                <w:bCs/>
                <w:lang w:val="es-BO"/>
              </w:rPr>
              <w:t>Autonomous Regions Educational System (</w:t>
            </w:r>
            <w:r w:rsidRPr="00453DCE">
              <w:rPr>
                <w:bCs/>
                <w:i/>
                <w:lang w:val="es-BO"/>
              </w:rPr>
              <w:t>Oficina de Enlace con el Sistema Educativo de las Regiones Autónomas)</w:t>
            </w:r>
          </w:p>
          <w:p w:rsidR="0012583F" w:rsidRPr="00FD5002" w:rsidRDefault="0012583F" w:rsidP="0094634A">
            <w:r w:rsidRPr="00FD5002">
              <w:rPr>
                <w:bCs/>
              </w:rPr>
              <w:t>Integrated Early Childhood Development Monitoring and Evaluation System</w:t>
            </w:r>
          </w:p>
        </w:tc>
      </w:tr>
      <w:tr w:rsidR="0012583F" w:rsidRPr="0040316F" w:rsidTr="0094634A">
        <w:tc>
          <w:tcPr>
            <w:tcW w:w="1377" w:type="dxa"/>
          </w:tcPr>
          <w:p w:rsidR="0012583F" w:rsidRPr="00FD5002" w:rsidRDefault="0012583F" w:rsidP="0094634A">
            <w:pPr>
              <w:rPr>
                <w:lang w:val="es-ES"/>
              </w:rPr>
            </w:pPr>
            <w:r w:rsidRPr="00FD5002">
              <w:rPr>
                <w:lang w:val="es-ES"/>
              </w:rPr>
              <w:t>SIGFAPRO</w:t>
            </w:r>
          </w:p>
          <w:p w:rsidR="0012583F" w:rsidRPr="00FD5002" w:rsidRDefault="0012583F" w:rsidP="0094634A">
            <w:pPr>
              <w:rPr>
                <w:bCs/>
                <w:lang w:val="es-ES"/>
              </w:rPr>
            </w:pPr>
            <w:r w:rsidRPr="00FD5002">
              <w:rPr>
                <w:lang w:val="es-ES"/>
              </w:rPr>
              <w:t>SISGA</w:t>
            </w:r>
          </w:p>
        </w:tc>
        <w:tc>
          <w:tcPr>
            <w:tcW w:w="8451" w:type="dxa"/>
          </w:tcPr>
          <w:p w:rsidR="0012583F" w:rsidRPr="00FD5002" w:rsidRDefault="0012583F" w:rsidP="0094634A">
            <w:pPr>
              <w:rPr>
                <w:lang w:val="es-ES"/>
              </w:rPr>
            </w:pPr>
            <w:r w:rsidRPr="00FD5002">
              <w:rPr>
                <w:lang w:val="es-ES"/>
              </w:rPr>
              <w:t>Integrated Financial Management System (</w:t>
            </w:r>
            <w:r w:rsidRPr="00FD5002">
              <w:rPr>
                <w:i/>
                <w:lang w:val="es-ES"/>
              </w:rPr>
              <w:t>Sistema Integrado de Gestión Financiera</w:t>
            </w:r>
            <w:r w:rsidRPr="00FD5002">
              <w:rPr>
                <w:lang w:val="es-ES"/>
              </w:rPr>
              <w:t>)</w:t>
            </w:r>
          </w:p>
          <w:p w:rsidR="0012583F" w:rsidRPr="00FD5002" w:rsidRDefault="0012583F" w:rsidP="0094634A">
            <w:pPr>
              <w:rPr>
                <w:i/>
                <w:lang w:val="es-ES"/>
              </w:rPr>
            </w:pPr>
            <w:r w:rsidRPr="00FD5002">
              <w:rPr>
                <w:i/>
                <w:lang w:val="es-ES"/>
              </w:rPr>
              <w:t>Sistema de Gestión de Adquisiciones</w:t>
            </w:r>
          </w:p>
        </w:tc>
      </w:tr>
      <w:tr w:rsidR="0012583F" w:rsidRPr="00FD5002" w:rsidTr="0094634A">
        <w:tc>
          <w:tcPr>
            <w:tcW w:w="1377" w:type="dxa"/>
          </w:tcPr>
          <w:p w:rsidR="0012583F" w:rsidRPr="00FD5002" w:rsidRDefault="0012583F" w:rsidP="0094634A">
            <w:r w:rsidRPr="00FD5002">
              <w:rPr>
                <w:bCs/>
                <w:lang w:val="es-ES"/>
              </w:rPr>
              <w:t>SNIGI</w:t>
            </w:r>
          </w:p>
        </w:tc>
        <w:tc>
          <w:tcPr>
            <w:tcW w:w="8451" w:type="dxa"/>
          </w:tcPr>
          <w:p w:rsidR="0012583F" w:rsidRPr="00FD5002" w:rsidRDefault="0012583F" w:rsidP="0094634A">
            <w:r w:rsidRPr="00FD5002">
              <w:t>Integrated National Information Management System (</w:t>
            </w:r>
            <w:r w:rsidRPr="00FD5002">
              <w:rPr>
                <w:bCs/>
                <w:i/>
                <w:lang w:val="es-ES"/>
              </w:rPr>
              <w:t>Sistema Nacional de Información Gerencial Integrado)</w:t>
            </w:r>
          </w:p>
        </w:tc>
      </w:tr>
      <w:tr w:rsidR="0012583F" w:rsidRPr="00FD5002" w:rsidTr="0094634A">
        <w:tc>
          <w:tcPr>
            <w:tcW w:w="1377" w:type="dxa"/>
          </w:tcPr>
          <w:p w:rsidR="0012583F" w:rsidRPr="00FD5002" w:rsidRDefault="0012583F" w:rsidP="0094634A">
            <w:pPr>
              <w:rPr>
                <w:bCs/>
              </w:rPr>
            </w:pPr>
            <w:r w:rsidRPr="00FD5002">
              <w:rPr>
                <w:bCs/>
              </w:rPr>
              <w:t>SNIP</w:t>
            </w:r>
          </w:p>
          <w:p w:rsidR="0012583F" w:rsidRPr="00FD5002" w:rsidRDefault="0012583F" w:rsidP="0094634A">
            <w:pPr>
              <w:rPr>
                <w:bCs/>
              </w:rPr>
            </w:pPr>
            <w:r w:rsidRPr="00FD5002">
              <w:rPr>
                <w:bCs/>
              </w:rPr>
              <w:t>SOE</w:t>
            </w:r>
          </w:p>
        </w:tc>
        <w:tc>
          <w:tcPr>
            <w:tcW w:w="8451" w:type="dxa"/>
          </w:tcPr>
          <w:p w:rsidR="0012583F" w:rsidRPr="00FD5002" w:rsidRDefault="0012583F" w:rsidP="0094634A">
            <w:pPr>
              <w:rPr>
                <w:bCs/>
              </w:rPr>
            </w:pPr>
            <w:r w:rsidRPr="00FD5002">
              <w:rPr>
                <w:bCs/>
              </w:rPr>
              <w:t>National Investment Public System</w:t>
            </w:r>
          </w:p>
          <w:p w:rsidR="0012583F" w:rsidRPr="00FD5002" w:rsidRDefault="0012583F" w:rsidP="0094634A">
            <w:pPr>
              <w:rPr>
                <w:bCs/>
              </w:rPr>
            </w:pPr>
            <w:r w:rsidRPr="00FD5002">
              <w:rPr>
                <w:bCs/>
              </w:rPr>
              <w:t>Statement of Expenses</w:t>
            </w:r>
          </w:p>
        </w:tc>
      </w:tr>
      <w:tr w:rsidR="0012583F" w:rsidRPr="0040316F" w:rsidTr="0094634A">
        <w:tc>
          <w:tcPr>
            <w:tcW w:w="1377" w:type="dxa"/>
          </w:tcPr>
          <w:p w:rsidR="0012583F" w:rsidRPr="00FD5002" w:rsidRDefault="0012583F" w:rsidP="0094634A">
            <w:pPr>
              <w:rPr>
                <w:bCs/>
                <w:lang w:val="es-ES"/>
              </w:rPr>
            </w:pPr>
            <w:r w:rsidRPr="00FD5002">
              <w:rPr>
                <w:bCs/>
              </w:rPr>
              <w:t>SPSFF</w:t>
            </w:r>
          </w:p>
        </w:tc>
        <w:tc>
          <w:tcPr>
            <w:tcW w:w="8451" w:type="dxa"/>
          </w:tcPr>
          <w:p w:rsidR="0012583F" w:rsidRPr="00FD5002" w:rsidRDefault="0012583F" w:rsidP="0094634A">
            <w:pPr>
              <w:rPr>
                <w:lang w:val="es-ES"/>
              </w:rPr>
            </w:pPr>
            <w:r w:rsidRPr="00FD5002">
              <w:rPr>
                <w:bCs/>
                <w:lang w:val="es-ES"/>
              </w:rPr>
              <w:t>Planning and Financial Monitoring</w:t>
            </w:r>
            <w:r w:rsidRPr="00FD5002">
              <w:rPr>
                <w:bCs/>
                <w:i/>
                <w:lang w:val="es-ES"/>
              </w:rPr>
              <w:t xml:space="preserve"> System (Sistema de Planificación y Seguimiento Físico Financiero)</w:t>
            </w:r>
          </w:p>
        </w:tc>
      </w:tr>
      <w:tr w:rsidR="0012583F" w:rsidRPr="00FD5002" w:rsidTr="0094634A">
        <w:tc>
          <w:tcPr>
            <w:tcW w:w="1377" w:type="dxa"/>
          </w:tcPr>
          <w:p w:rsidR="0012583F" w:rsidRPr="00FD5002" w:rsidRDefault="0012583F" w:rsidP="0094634A">
            <w:r w:rsidRPr="00FD5002">
              <w:rPr>
                <w:bCs/>
                <w:lang w:val="es-ES"/>
              </w:rPr>
              <w:t>TEPCEs</w:t>
            </w:r>
          </w:p>
        </w:tc>
        <w:tc>
          <w:tcPr>
            <w:tcW w:w="8451" w:type="dxa"/>
          </w:tcPr>
          <w:p w:rsidR="0012583F" w:rsidRPr="00FD5002" w:rsidRDefault="0012583F" w:rsidP="0094634A">
            <w:pPr>
              <w:rPr>
                <w:lang w:val="es-ES"/>
              </w:rPr>
            </w:pPr>
            <w:r w:rsidRPr="00FD5002">
              <w:rPr>
                <w:bCs/>
                <w:lang w:val="es-ES"/>
              </w:rPr>
              <w:t>Evaluation, Programming and Educational Training Workshops</w:t>
            </w:r>
            <w:r w:rsidRPr="00FD5002">
              <w:rPr>
                <w:bCs/>
                <w:i/>
                <w:lang w:val="es-ES"/>
              </w:rPr>
              <w:t xml:space="preserve"> (Talleres de Evaluación, Programación y Capacitación Educativa)</w:t>
            </w:r>
          </w:p>
        </w:tc>
      </w:tr>
      <w:tr w:rsidR="0012583F" w:rsidRPr="00FD5002" w:rsidTr="0094634A">
        <w:tc>
          <w:tcPr>
            <w:tcW w:w="1377" w:type="dxa"/>
          </w:tcPr>
          <w:p w:rsidR="0012583F" w:rsidRPr="00FD5002" w:rsidRDefault="0012583F" w:rsidP="0094634A">
            <w:r w:rsidRPr="00FD5002">
              <w:t>TTI</w:t>
            </w:r>
          </w:p>
        </w:tc>
        <w:tc>
          <w:tcPr>
            <w:tcW w:w="8451" w:type="dxa"/>
          </w:tcPr>
          <w:p w:rsidR="0012583F" w:rsidRPr="00FD5002" w:rsidRDefault="0012583F" w:rsidP="0094634A">
            <w:r w:rsidRPr="00FD5002">
              <w:rPr>
                <w:bCs/>
              </w:rPr>
              <w:t>Teacher Training Institutes (</w:t>
            </w:r>
            <w:r w:rsidRPr="00FD5002">
              <w:rPr>
                <w:bCs/>
                <w:i/>
              </w:rPr>
              <w:t>Escuela Normal</w:t>
            </w:r>
            <w:r w:rsidRPr="00FD5002">
              <w:rPr>
                <w:bCs/>
              </w:rPr>
              <w:t>)</w:t>
            </w:r>
          </w:p>
        </w:tc>
      </w:tr>
      <w:tr w:rsidR="0012583F" w:rsidRPr="00FD5002" w:rsidTr="0094634A">
        <w:tc>
          <w:tcPr>
            <w:tcW w:w="1377" w:type="dxa"/>
          </w:tcPr>
          <w:p w:rsidR="0012583F" w:rsidRPr="00FD5002" w:rsidRDefault="0012583F" w:rsidP="0094634A">
            <w:r w:rsidRPr="00FD5002">
              <w:t>UNESCO</w:t>
            </w:r>
          </w:p>
        </w:tc>
        <w:tc>
          <w:tcPr>
            <w:tcW w:w="8451" w:type="dxa"/>
          </w:tcPr>
          <w:p w:rsidR="0012583F" w:rsidRPr="00FD5002" w:rsidRDefault="0012583F" w:rsidP="0094634A">
            <w:r w:rsidRPr="00FD5002">
              <w:t>United Nations Educational, Scientific and Cultural Organization</w:t>
            </w:r>
          </w:p>
        </w:tc>
      </w:tr>
      <w:tr w:rsidR="0012583F" w:rsidRPr="00FD5002" w:rsidTr="0094634A">
        <w:tc>
          <w:tcPr>
            <w:tcW w:w="1377" w:type="dxa"/>
          </w:tcPr>
          <w:p w:rsidR="0012583F" w:rsidRPr="00FD5002" w:rsidRDefault="0012583F" w:rsidP="0094634A">
            <w:r w:rsidRPr="00FD5002">
              <w:t>UNICEF</w:t>
            </w:r>
          </w:p>
          <w:p w:rsidR="0012583F" w:rsidRPr="00FD5002" w:rsidRDefault="0012583F" w:rsidP="0094634A">
            <w:r w:rsidRPr="00FD5002">
              <w:t>UNPA</w:t>
            </w:r>
          </w:p>
        </w:tc>
        <w:tc>
          <w:tcPr>
            <w:tcW w:w="8451" w:type="dxa"/>
          </w:tcPr>
          <w:p w:rsidR="0012583F" w:rsidRPr="00FD5002" w:rsidRDefault="0012583F" w:rsidP="0094634A">
            <w:r w:rsidRPr="00FD5002">
              <w:t>United Nations Children’s Fund</w:t>
            </w:r>
          </w:p>
          <w:p w:rsidR="0012583F" w:rsidRPr="00FD5002" w:rsidRDefault="0012583F" w:rsidP="0094634A">
            <w:r w:rsidRPr="00FD5002">
              <w:rPr>
                <w:bCs/>
              </w:rPr>
              <w:t>United Nations Parliamentary Assembly</w:t>
            </w:r>
          </w:p>
        </w:tc>
      </w:tr>
    </w:tbl>
    <w:p w:rsidR="008413E4" w:rsidRDefault="008413E4" w:rsidP="008413E4"/>
    <w:p w:rsidR="0094634A" w:rsidRDefault="0094634A" w:rsidP="008413E4"/>
    <w:p w:rsidR="0094634A" w:rsidRDefault="0094634A" w:rsidP="008413E4"/>
    <w:p w:rsidR="00C04429" w:rsidRDefault="00C04429" w:rsidP="008413E4"/>
    <w:p w:rsidR="00B1211D" w:rsidRDefault="00B1211D" w:rsidP="008413E4"/>
    <w:p w:rsidR="00B1211D" w:rsidRDefault="00B1211D" w:rsidP="008413E4"/>
    <w:p w:rsidR="00C04429" w:rsidRDefault="00C04429" w:rsidP="008413E4"/>
    <w:p w:rsidR="00B1211D" w:rsidRDefault="00B1211D" w:rsidP="008413E4"/>
    <w:p w:rsidR="00B1211D" w:rsidRDefault="00B1211D" w:rsidP="008413E4"/>
    <w:p w:rsidR="00B1211D" w:rsidRDefault="00B1211D" w:rsidP="008413E4"/>
    <w:p w:rsidR="00B1211D" w:rsidRDefault="00B1211D" w:rsidP="008413E4"/>
    <w:p w:rsidR="00B1211D" w:rsidRDefault="00B1211D" w:rsidP="008413E4"/>
    <w:tbl>
      <w:tblPr>
        <w:tblW w:w="0" w:type="auto"/>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7"/>
        <w:gridCol w:w="343"/>
        <w:gridCol w:w="3980"/>
      </w:tblGrid>
      <w:tr w:rsidR="00DE7ED9">
        <w:tc>
          <w:tcPr>
            <w:tcW w:w="3417" w:type="dxa"/>
            <w:tcBorders>
              <w:top w:val="single" w:sz="4" w:space="0" w:color="auto"/>
            </w:tcBorders>
          </w:tcPr>
          <w:p w:rsidR="00DE7ED9" w:rsidRDefault="00DE7ED9" w:rsidP="00DE7ED9">
            <w:pPr>
              <w:autoSpaceDE w:val="0"/>
              <w:autoSpaceDN w:val="0"/>
              <w:adjustRightInd w:val="0"/>
              <w:spacing w:before="120" w:line="240" w:lineRule="atLeast"/>
              <w:jc w:val="right"/>
              <w:rPr>
                <w:color w:val="000000"/>
              </w:rPr>
            </w:pPr>
            <w:r>
              <w:rPr>
                <w:color w:val="000000"/>
                <w:szCs w:val="22"/>
              </w:rPr>
              <w:t>Regional Vice President:</w:t>
            </w:r>
          </w:p>
        </w:tc>
        <w:tc>
          <w:tcPr>
            <w:tcW w:w="343" w:type="dxa"/>
            <w:tcBorders>
              <w:top w:val="single" w:sz="4" w:space="0" w:color="auto"/>
            </w:tcBorders>
          </w:tcPr>
          <w:p w:rsidR="00DE7ED9" w:rsidRDefault="00DE7ED9" w:rsidP="00DE7ED9">
            <w:pPr>
              <w:autoSpaceDE w:val="0"/>
              <w:autoSpaceDN w:val="0"/>
              <w:adjustRightInd w:val="0"/>
              <w:spacing w:line="240" w:lineRule="atLeast"/>
              <w:rPr>
                <w:color w:val="000000"/>
              </w:rPr>
            </w:pPr>
          </w:p>
        </w:tc>
        <w:tc>
          <w:tcPr>
            <w:tcW w:w="3980" w:type="dxa"/>
            <w:tcBorders>
              <w:top w:val="single" w:sz="4" w:space="0" w:color="auto"/>
            </w:tcBorders>
          </w:tcPr>
          <w:p w:rsidR="00DE7ED9" w:rsidRDefault="008B6E3F" w:rsidP="00DE7ED9">
            <w:pPr>
              <w:autoSpaceDE w:val="0"/>
              <w:autoSpaceDN w:val="0"/>
              <w:adjustRightInd w:val="0"/>
              <w:spacing w:before="120" w:line="240" w:lineRule="atLeast"/>
              <w:rPr>
                <w:color w:val="000000"/>
              </w:rPr>
            </w:pPr>
            <w:r>
              <w:t>Hasan Tuluy</w:t>
            </w:r>
          </w:p>
        </w:tc>
      </w:tr>
      <w:tr w:rsidR="00DE7ED9">
        <w:tc>
          <w:tcPr>
            <w:tcW w:w="3417" w:type="dxa"/>
          </w:tcPr>
          <w:p w:rsidR="00DE7ED9" w:rsidRDefault="00DE7ED9" w:rsidP="00DE7ED9">
            <w:pPr>
              <w:autoSpaceDE w:val="0"/>
              <w:autoSpaceDN w:val="0"/>
              <w:adjustRightInd w:val="0"/>
              <w:spacing w:line="240" w:lineRule="atLeast"/>
              <w:jc w:val="right"/>
              <w:rPr>
                <w:color w:val="000000"/>
              </w:rPr>
            </w:pPr>
            <w:r>
              <w:rPr>
                <w:color w:val="000000"/>
                <w:szCs w:val="22"/>
              </w:rPr>
              <w:lastRenderedPageBreak/>
              <w:t>Country Director:</w:t>
            </w:r>
          </w:p>
        </w:tc>
        <w:tc>
          <w:tcPr>
            <w:tcW w:w="343" w:type="dxa"/>
          </w:tcPr>
          <w:p w:rsidR="00DE7ED9" w:rsidRDefault="00DE7ED9" w:rsidP="00DE7ED9">
            <w:pPr>
              <w:autoSpaceDE w:val="0"/>
              <w:autoSpaceDN w:val="0"/>
              <w:adjustRightInd w:val="0"/>
              <w:spacing w:line="240" w:lineRule="atLeast"/>
              <w:rPr>
                <w:color w:val="000000"/>
              </w:rPr>
            </w:pPr>
          </w:p>
        </w:tc>
        <w:tc>
          <w:tcPr>
            <w:tcW w:w="3980" w:type="dxa"/>
          </w:tcPr>
          <w:p w:rsidR="00DE7ED9" w:rsidRDefault="00DE7ED9" w:rsidP="00DE7ED9">
            <w:pPr>
              <w:autoSpaceDE w:val="0"/>
              <w:autoSpaceDN w:val="0"/>
              <w:adjustRightInd w:val="0"/>
              <w:spacing w:line="240" w:lineRule="atLeast"/>
              <w:rPr>
                <w:color w:val="000000"/>
              </w:rPr>
            </w:pPr>
            <w:r>
              <w:t>Carlos Felipe Jaramillo</w:t>
            </w:r>
          </w:p>
        </w:tc>
      </w:tr>
      <w:tr w:rsidR="00DE7ED9">
        <w:tc>
          <w:tcPr>
            <w:tcW w:w="3417" w:type="dxa"/>
          </w:tcPr>
          <w:p w:rsidR="00DE7ED9" w:rsidRDefault="00DE7ED9" w:rsidP="00DE7ED9">
            <w:pPr>
              <w:autoSpaceDE w:val="0"/>
              <w:autoSpaceDN w:val="0"/>
              <w:adjustRightInd w:val="0"/>
              <w:spacing w:line="240" w:lineRule="atLeast"/>
              <w:jc w:val="right"/>
              <w:rPr>
                <w:color w:val="000000"/>
              </w:rPr>
            </w:pPr>
            <w:r>
              <w:rPr>
                <w:color w:val="000000"/>
                <w:szCs w:val="22"/>
              </w:rPr>
              <w:t xml:space="preserve">Sector Director: </w:t>
            </w:r>
          </w:p>
          <w:p w:rsidR="00DE7ED9" w:rsidRDefault="00DE7ED9" w:rsidP="00DE7ED9">
            <w:pPr>
              <w:autoSpaceDE w:val="0"/>
              <w:autoSpaceDN w:val="0"/>
              <w:adjustRightInd w:val="0"/>
              <w:spacing w:line="240" w:lineRule="atLeast"/>
              <w:jc w:val="right"/>
              <w:rPr>
                <w:color w:val="000000"/>
              </w:rPr>
            </w:pPr>
            <w:r>
              <w:rPr>
                <w:color w:val="000000"/>
                <w:szCs w:val="22"/>
              </w:rPr>
              <w:t>Sector Manager:</w:t>
            </w:r>
          </w:p>
        </w:tc>
        <w:tc>
          <w:tcPr>
            <w:tcW w:w="343" w:type="dxa"/>
          </w:tcPr>
          <w:p w:rsidR="00DE7ED9" w:rsidRDefault="00DE7ED9" w:rsidP="00DE7ED9">
            <w:pPr>
              <w:autoSpaceDE w:val="0"/>
              <w:autoSpaceDN w:val="0"/>
              <w:adjustRightInd w:val="0"/>
              <w:spacing w:line="240" w:lineRule="atLeast"/>
              <w:rPr>
                <w:color w:val="000000"/>
              </w:rPr>
            </w:pPr>
          </w:p>
        </w:tc>
        <w:tc>
          <w:tcPr>
            <w:tcW w:w="3980" w:type="dxa"/>
          </w:tcPr>
          <w:p w:rsidR="00DE7ED9" w:rsidRDefault="00DE7ED9" w:rsidP="00DE7ED9">
            <w:pPr>
              <w:autoSpaceDE w:val="0"/>
              <w:autoSpaceDN w:val="0"/>
              <w:adjustRightInd w:val="0"/>
              <w:spacing w:line="240" w:lineRule="atLeast"/>
            </w:pPr>
            <w:r>
              <w:t>Keith Hansen</w:t>
            </w:r>
          </w:p>
          <w:p w:rsidR="00DE7ED9" w:rsidRDefault="00A438CA" w:rsidP="00DE7ED9">
            <w:pPr>
              <w:autoSpaceDE w:val="0"/>
              <w:autoSpaceDN w:val="0"/>
              <w:adjustRightInd w:val="0"/>
              <w:spacing w:line="240" w:lineRule="atLeast"/>
              <w:rPr>
                <w:color w:val="000000"/>
              </w:rPr>
            </w:pPr>
            <w:r>
              <w:t>Reema Nayar</w:t>
            </w:r>
          </w:p>
        </w:tc>
      </w:tr>
      <w:tr w:rsidR="00DE7ED9">
        <w:tc>
          <w:tcPr>
            <w:tcW w:w="3417" w:type="dxa"/>
            <w:tcBorders>
              <w:bottom w:val="single" w:sz="4" w:space="0" w:color="auto"/>
            </w:tcBorders>
          </w:tcPr>
          <w:p w:rsidR="00DE7ED9" w:rsidRDefault="00DE7ED9" w:rsidP="00DE7ED9">
            <w:pPr>
              <w:autoSpaceDE w:val="0"/>
              <w:autoSpaceDN w:val="0"/>
              <w:adjustRightInd w:val="0"/>
              <w:spacing w:line="240" w:lineRule="atLeast"/>
              <w:jc w:val="right"/>
              <w:rPr>
                <w:color w:val="000000"/>
              </w:rPr>
            </w:pPr>
            <w:r>
              <w:rPr>
                <w:color w:val="000000"/>
                <w:szCs w:val="22"/>
              </w:rPr>
              <w:t>Task Team Leader:</w:t>
            </w:r>
          </w:p>
        </w:tc>
        <w:tc>
          <w:tcPr>
            <w:tcW w:w="343" w:type="dxa"/>
            <w:tcBorders>
              <w:bottom w:val="single" w:sz="4" w:space="0" w:color="auto"/>
            </w:tcBorders>
          </w:tcPr>
          <w:p w:rsidR="00DE7ED9" w:rsidRDefault="00DE7ED9" w:rsidP="00DE7ED9">
            <w:pPr>
              <w:autoSpaceDE w:val="0"/>
              <w:autoSpaceDN w:val="0"/>
              <w:adjustRightInd w:val="0"/>
              <w:spacing w:line="240" w:lineRule="atLeast"/>
              <w:rPr>
                <w:color w:val="000000"/>
              </w:rPr>
            </w:pPr>
          </w:p>
        </w:tc>
        <w:tc>
          <w:tcPr>
            <w:tcW w:w="3980" w:type="dxa"/>
            <w:tcBorders>
              <w:bottom w:val="single" w:sz="4" w:space="0" w:color="auto"/>
            </w:tcBorders>
          </w:tcPr>
          <w:p w:rsidR="00DE7ED9" w:rsidRDefault="00DE7ED9" w:rsidP="00957D5E">
            <w:pPr>
              <w:autoSpaceDE w:val="0"/>
              <w:autoSpaceDN w:val="0"/>
              <w:adjustRightInd w:val="0"/>
              <w:spacing w:after="120" w:line="240" w:lineRule="atLeast"/>
              <w:rPr>
                <w:color w:val="000000"/>
              </w:rPr>
            </w:pPr>
            <w:r>
              <w:t>Michael Drabble</w:t>
            </w:r>
          </w:p>
        </w:tc>
      </w:tr>
    </w:tbl>
    <w:p w:rsidR="000564D8" w:rsidRPr="00AC7A02" w:rsidRDefault="000564D8" w:rsidP="00221D9B">
      <w:pPr>
        <w:pStyle w:val="TOCHeading"/>
        <w:jc w:val="center"/>
        <w:rPr>
          <w:rFonts w:ascii="Times New Roman" w:hAnsi="Times New Roman"/>
          <w:color w:val="auto"/>
          <w:sz w:val="24"/>
          <w:szCs w:val="24"/>
        </w:rPr>
      </w:pPr>
      <w:r w:rsidRPr="00AC7A02">
        <w:rPr>
          <w:rFonts w:ascii="Times New Roman" w:hAnsi="Times New Roman"/>
          <w:color w:val="auto"/>
          <w:sz w:val="24"/>
          <w:szCs w:val="24"/>
        </w:rPr>
        <w:t>REPUBLIC OF NICARAGUA</w:t>
      </w:r>
    </w:p>
    <w:p w:rsidR="006D6D68" w:rsidRPr="00A150A6" w:rsidRDefault="006D6D68" w:rsidP="006D6D68">
      <w:pPr>
        <w:autoSpaceDE w:val="0"/>
        <w:autoSpaceDN w:val="0"/>
        <w:adjustRightInd w:val="0"/>
        <w:spacing w:line="240" w:lineRule="atLeast"/>
        <w:jc w:val="center"/>
        <w:rPr>
          <w:b/>
          <w:color w:val="000000"/>
          <w:szCs w:val="22"/>
        </w:rPr>
      </w:pPr>
      <w:r w:rsidRPr="00A150A6">
        <w:rPr>
          <w:b/>
          <w:color w:val="000000"/>
          <w:szCs w:val="22"/>
        </w:rPr>
        <w:t xml:space="preserve"> EDUCATION SECTOR STRATEGY SUPPORT PROJECT </w:t>
      </w:r>
    </w:p>
    <w:p w:rsidR="000564D8" w:rsidRPr="000564D8" w:rsidRDefault="000564D8" w:rsidP="000564D8">
      <w:pPr>
        <w:jc w:val="center"/>
        <w:rPr>
          <w:b/>
        </w:rPr>
      </w:pPr>
    </w:p>
    <w:p w:rsidR="002A30D9" w:rsidRPr="00C04429" w:rsidRDefault="002A30D9" w:rsidP="00221D9B">
      <w:pPr>
        <w:pStyle w:val="TOCHeading"/>
        <w:jc w:val="center"/>
        <w:rPr>
          <w:rFonts w:ascii="Times New Roman" w:hAnsi="Times New Roman"/>
          <w:color w:val="auto"/>
        </w:rPr>
      </w:pPr>
      <w:r w:rsidRPr="00C04429">
        <w:rPr>
          <w:rFonts w:ascii="Times New Roman" w:hAnsi="Times New Roman"/>
          <w:color w:val="auto"/>
        </w:rPr>
        <w:t>Table of Contents</w:t>
      </w:r>
    </w:p>
    <w:p w:rsidR="0042706C" w:rsidRDefault="006042F7">
      <w:pPr>
        <w:pStyle w:val="TOC1"/>
        <w:tabs>
          <w:tab w:val="left" w:pos="480"/>
          <w:tab w:val="right" w:leader="dot" w:pos="9350"/>
        </w:tabs>
        <w:rPr>
          <w:rFonts w:asciiTheme="minorHAnsi" w:eastAsiaTheme="minorEastAsia" w:hAnsiTheme="minorHAnsi" w:cstheme="minorBidi"/>
          <w:noProof/>
          <w:sz w:val="22"/>
          <w:szCs w:val="22"/>
          <w:lang w:val="es-BO" w:eastAsia="es-BO"/>
        </w:rPr>
      </w:pPr>
      <w:r>
        <w:fldChar w:fldCharType="begin"/>
      </w:r>
      <w:r w:rsidR="002A30D9">
        <w:instrText xml:space="preserve"> TOC \o "1-3" \h \z \u </w:instrText>
      </w:r>
      <w:r>
        <w:fldChar w:fldCharType="separate"/>
      </w:r>
      <w:hyperlink w:anchor="_Toc354067258" w:history="1">
        <w:r w:rsidR="0042706C" w:rsidRPr="006C60F3">
          <w:rPr>
            <w:rStyle w:val="Hyperlink"/>
            <w:noProof/>
          </w:rPr>
          <w:t>I.</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Strategic Context</w:t>
        </w:r>
        <w:r w:rsidR="0042706C">
          <w:rPr>
            <w:noProof/>
            <w:webHidden/>
          </w:rPr>
          <w:tab/>
        </w:r>
        <w:r w:rsidR="0042706C">
          <w:rPr>
            <w:noProof/>
            <w:webHidden/>
          </w:rPr>
          <w:fldChar w:fldCharType="begin"/>
        </w:r>
        <w:r w:rsidR="0042706C">
          <w:rPr>
            <w:noProof/>
            <w:webHidden/>
          </w:rPr>
          <w:instrText xml:space="preserve"> PAGEREF _Toc354067258 \h </w:instrText>
        </w:r>
        <w:r w:rsidR="0042706C">
          <w:rPr>
            <w:noProof/>
            <w:webHidden/>
          </w:rPr>
        </w:r>
        <w:r w:rsidR="0042706C">
          <w:rPr>
            <w:noProof/>
            <w:webHidden/>
          </w:rPr>
          <w:fldChar w:fldCharType="separate"/>
        </w:r>
        <w:r w:rsidR="0042706C">
          <w:rPr>
            <w:noProof/>
            <w:webHidden/>
          </w:rPr>
          <w:t>1</w:t>
        </w:r>
        <w:r w:rsidR="0042706C">
          <w:rPr>
            <w:noProof/>
            <w:webHidden/>
          </w:rPr>
          <w:fldChar w:fldCharType="end"/>
        </w:r>
      </w:hyperlink>
    </w:p>
    <w:p w:rsidR="0042706C" w:rsidRDefault="00C64F38">
      <w:pPr>
        <w:pStyle w:val="TOC2"/>
        <w:rPr>
          <w:rFonts w:asciiTheme="minorHAnsi" w:eastAsiaTheme="minorEastAsia" w:hAnsiTheme="minorHAnsi" w:cstheme="minorBidi"/>
          <w:noProof/>
          <w:sz w:val="22"/>
          <w:szCs w:val="22"/>
          <w:lang w:val="es-BO" w:eastAsia="es-BO"/>
        </w:rPr>
      </w:pPr>
      <w:hyperlink w:anchor="_Toc354067259" w:history="1">
        <w:r w:rsidR="0042706C" w:rsidRPr="006C60F3">
          <w:rPr>
            <w:rStyle w:val="Hyperlink"/>
            <w:noProof/>
          </w:rPr>
          <w:t>A.  Country Context</w:t>
        </w:r>
        <w:r w:rsidR="0042706C">
          <w:rPr>
            <w:noProof/>
            <w:webHidden/>
          </w:rPr>
          <w:tab/>
        </w:r>
        <w:r w:rsidR="0042706C">
          <w:rPr>
            <w:noProof/>
            <w:webHidden/>
          </w:rPr>
          <w:fldChar w:fldCharType="begin"/>
        </w:r>
        <w:r w:rsidR="0042706C">
          <w:rPr>
            <w:noProof/>
            <w:webHidden/>
          </w:rPr>
          <w:instrText xml:space="preserve"> PAGEREF _Toc354067259 \h </w:instrText>
        </w:r>
        <w:r w:rsidR="0042706C">
          <w:rPr>
            <w:noProof/>
            <w:webHidden/>
          </w:rPr>
        </w:r>
        <w:r w:rsidR="0042706C">
          <w:rPr>
            <w:noProof/>
            <w:webHidden/>
          </w:rPr>
          <w:fldChar w:fldCharType="separate"/>
        </w:r>
        <w:r w:rsidR="0042706C">
          <w:rPr>
            <w:noProof/>
            <w:webHidden/>
          </w:rPr>
          <w:t>1</w:t>
        </w:r>
        <w:r w:rsidR="0042706C">
          <w:rPr>
            <w:noProof/>
            <w:webHidden/>
          </w:rPr>
          <w:fldChar w:fldCharType="end"/>
        </w:r>
      </w:hyperlink>
    </w:p>
    <w:p w:rsidR="0042706C" w:rsidRDefault="00C64F38">
      <w:pPr>
        <w:pStyle w:val="TOC2"/>
        <w:rPr>
          <w:rFonts w:asciiTheme="minorHAnsi" w:eastAsiaTheme="minorEastAsia" w:hAnsiTheme="minorHAnsi" w:cstheme="minorBidi"/>
          <w:noProof/>
          <w:sz w:val="22"/>
          <w:szCs w:val="22"/>
          <w:lang w:val="es-BO" w:eastAsia="es-BO"/>
        </w:rPr>
      </w:pPr>
      <w:hyperlink w:anchor="_Toc354067260" w:history="1">
        <w:r w:rsidR="0042706C" w:rsidRPr="006C60F3">
          <w:rPr>
            <w:rStyle w:val="Hyperlink"/>
            <w:noProof/>
          </w:rPr>
          <w:t>B.  Sectoral and Institutional Context</w:t>
        </w:r>
        <w:r w:rsidR="0042706C">
          <w:rPr>
            <w:noProof/>
            <w:webHidden/>
          </w:rPr>
          <w:tab/>
        </w:r>
        <w:r w:rsidR="0042706C">
          <w:rPr>
            <w:noProof/>
            <w:webHidden/>
          </w:rPr>
          <w:fldChar w:fldCharType="begin"/>
        </w:r>
        <w:r w:rsidR="0042706C">
          <w:rPr>
            <w:noProof/>
            <w:webHidden/>
          </w:rPr>
          <w:instrText xml:space="preserve"> PAGEREF _Toc354067260 \h </w:instrText>
        </w:r>
        <w:r w:rsidR="0042706C">
          <w:rPr>
            <w:noProof/>
            <w:webHidden/>
          </w:rPr>
        </w:r>
        <w:r w:rsidR="0042706C">
          <w:rPr>
            <w:noProof/>
            <w:webHidden/>
          </w:rPr>
          <w:fldChar w:fldCharType="separate"/>
        </w:r>
        <w:r w:rsidR="0042706C">
          <w:rPr>
            <w:noProof/>
            <w:webHidden/>
          </w:rPr>
          <w:t>1</w:t>
        </w:r>
        <w:r w:rsidR="0042706C">
          <w:rPr>
            <w:noProof/>
            <w:webHidden/>
          </w:rPr>
          <w:fldChar w:fldCharType="end"/>
        </w:r>
      </w:hyperlink>
    </w:p>
    <w:p w:rsidR="0042706C" w:rsidRDefault="00C64F38">
      <w:pPr>
        <w:pStyle w:val="TOC2"/>
        <w:rPr>
          <w:rFonts w:asciiTheme="minorHAnsi" w:eastAsiaTheme="minorEastAsia" w:hAnsiTheme="minorHAnsi" w:cstheme="minorBidi"/>
          <w:noProof/>
          <w:sz w:val="22"/>
          <w:szCs w:val="22"/>
          <w:lang w:val="es-BO" w:eastAsia="es-BO"/>
        </w:rPr>
      </w:pPr>
      <w:hyperlink w:anchor="_Toc354067261" w:history="1">
        <w:r w:rsidR="0042706C" w:rsidRPr="006C60F3">
          <w:rPr>
            <w:rStyle w:val="Hyperlink"/>
            <w:noProof/>
          </w:rPr>
          <w:t>C.  Relationship to Country Partnership Strategy (CPS)</w:t>
        </w:r>
        <w:r w:rsidR="0042706C">
          <w:rPr>
            <w:noProof/>
            <w:webHidden/>
          </w:rPr>
          <w:tab/>
        </w:r>
        <w:r w:rsidR="0042706C">
          <w:rPr>
            <w:noProof/>
            <w:webHidden/>
          </w:rPr>
          <w:fldChar w:fldCharType="begin"/>
        </w:r>
        <w:r w:rsidR="0042706C">
          <w:rPr>
            <w:noProof/>
            <w:webHidden/>
          </w:rPr>
          <w:instrText xml:space="preserve"> PAGEREF _Toc354067261 \h </w:instrText>
        </w:r>
        <w:r w:rsidR="0042706C">
          <w:rPr>
            <w:noProof/>
            <w:webHidden/>
          </w:rPr>
        </w:r>
        <w:r w:rsidR="0042706C">
          <w:rPr>
            <w:noProof/>
            <w:webHidden/>
          </w:rPr>
          <w:fldChar w:fldCharType="separate"/>
        </w:r>
        <w:r w:rsidR="0042706C">
          <w:rPr>
            <w:noProof/>
            <w:webHidden/>
          </w:rPr>
          <w:t>4</w:t>
        </w:r>
        <w:r w:rsidR="0042706C">
          <w:rPr>
            <w:noProof/>
            <w:webHidden/>
          </w:rPr>
          <w:fldChar w:fldCharType="end"/>
        </w:r>
      </w:hyperlink>
    </w:p>
    <w:p w:rsidR="0042706C" w:rsidRDefault="00C64F38">
      <w:pPr>
        <w:pStyle w:val="TOC1"/>
        <w:tabs>
          <w:tab w:val="left" w:pos="480"/>
          <w:tab w:val="right" w:leader="dot" w:pos="9350"/>
        </w:tabs>
        <w:rPr>
          <w:rFonts w:asciiTheme="minorHAnsi" w:eastAsiaTheme="minorEastAsia" w:hAnsiTheme="minorHAnsi" w:cstheme="minorBidi"/>
          <w:noProof/>
          <w:sz w:val="22"/>
          <w:szCs w:val="22"/>
          <w:lang w:val="es-BO" w:eastAsia="es-BO"/>
        </w:rPr>
      </w:pPr>
      <w:hyperlink w:anchor="_Toc354067262" w:history="1">
        <w:r w:rsidR="0042706C" w:rsidRPr="006C60F3">
          <w:rPr>
            <w:rStyle w:val="Hyperlink"/>
            <w:noProof/>
          </w:rPr>
          <w:t>II.</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Project Development Objective</w:t>
        </w:r>
        <w:r w:rsidR="0042706C">
          <w:rPr>
            <w:noProof/>
            <w:webHidden/>
          </w:rPr>
          <w:tab/>
        </w:r>
        <w:r w:rsidR="0042706C">
          <w:rPr>
            <w:noProof/>
            <w:webHidden/>
          </w:rPr>
          <w:fldChar w:fldCharType="begin"/>
        </w:r>
        <w:r w:rsidR="0042706C">
          <w:rPr>
            <w:noProof/>
            <w:webHidden/>
          </w:rPr>
          <w:instrText xml:space="preserve"> PAGEREF _Toc354067262 \h </w:instrText>
        </w:r>
        <w:r w:rsidR="0042706C">
          <w:rPr>
            <w:noProof/>
            <w:webHidden/>
          </w:rPr>
        </w:r>
        <w:r w:rsidR="0042706C">
          <w:rPr>
            <w:noProof/>
            <w:webHidden/>
          </w:rPr>
          <w:fldChar w:fldCharType="separate"/>
        </w:r>
        <w:r w:rsidR="0042706C">
          <w:rPr>
            <w:noProof/>
            <w:webHidden/>
          </w:rPr>
          <w:t>4</w:t>
        </w:r>
        <w:r w:rsidR="0042706C">
          <w:rPr>
            <w:noProof/>
            <w:webHidden/>
          </w:rPr>
          <w:fldChar w:fldCharType="end"/>
        </w:r>
      </w:hyperlink>
    </w:p>
    <w:p w:rsidR="0042706C" w:rsidRDefault="00C64F38">
      <w:pPr>
        <w:pStyle w:val="TOC2"/>
        <w:rPr>
          <w:rFonts w:asciiTheme="minorHAnsi" w:eastAsiaTheme="minorEastAsia" w:hAnsiTheme="minorHAnsi" w:cstheme="minorBidi"/>
          <w:noProof/>
          <w:sz w:val="22"/>
          <w:szCs w:val="22"/>
          <w:lang w:val="es-BO" w:eastAsia="es-BO"/>
        </w:rPr>
      </w:pPr>
      <w:hyperlink w:anchor="_Toc354067263" w:history="1">
        <w:r w:rsidR="0042706C" w:rsidRPr="006C60F3">
          <w:rPr>
            <w:rStyle w:val="Hyperlink"/>
            <w:noProof/>
          </w:rPr>
          <w:t>A.  PDO</w:t>
        </w:r>
        <w:r w:rsidR="0042706C">
          <w:rPr>
            <w:noProof/>
            <w:webHidden/>
          </w:rPr>
          <w:tab/>
        </w:r>
        <w:r w:rsidR="0042706C">
          <w:rPr>
            <w:noProof/>
            <w:webHidden/>
          </w:rPr>
          <w:fldChar w:fldCharType="begin"/>
        </w:r>
        <w:r w:rsidR="0042706C">
          <w:rPr>
            <w:noProof/>
            <w:webHidden/>
          </w:rPr>
          <w:instrText xml:space="preserve"> PAGEREF _Toc354067263 \h </w:instrText>
        </w:r>
        <w:r w:rsidR="0042706C">
          <w:rPr>
            <w:noProof/>
            <w:webHidden/>
          </w:rPr>
        </w:r>
        <w:r w:rsidR="0042706C">
          <w:rPr>
            <w:noProof/>
            <w:webHidden/>
          </w:rPr>
          <w:fldChar w:fldCharType="separate"/>
        </w:r>
        <w:r w:rsidR="0042706C">
          <w:rPr>
            <w:noProof/>
            <w:webHidden/>
          </w:rPr>
          <w:t>4</w:t>
        </w:r>
        <w:r w:rsidR="0042706C">
          <w:rPr>
            <w:noProof/>
            <w:webHidden/>
          </w:rPr>
          <w:fldChar w:fldCharType="end"/>
        </w:r>
      </w:hyperlink>
    </w:p>
    <w:p w:rsidR="0042706C" w:rsidRDefault="00C64F38">
      <w:pPr>
        <w:pStyle w:val="TOC3"/>
        <w:tabs>
          <w:tab w:val="left" w:pos="1100"/>
          <w:tab w:val="right" w:leader="dot" w:pos="9350"/>
        </w:tabs>
        <w:rPr>
          <w:rFonts w:asciiTheme="minorHAnsi" w:eastAsiaTheme="minorEastAsia" w:hAnsiTheme="minorHAnsi" w:cstheme="minorBidi"/>
          <w:noProof/>
          <w:sz w:val="22"/>
          <w:szCs w:val="22"/>
          <w:lang w:val="es-BO" w:eastAsia="es-BO"/>
        </w:rPr>
      </w:pPr>
      <w:hyperlink w:anchor="_Toc354067264" w:history="1">
        <w:r w:rsidR="0042706C" w:rsidRPr="006C60F3">
          <w:rPr>
            <w:rStyle w:val="Hyperlink"/>
            <w:noProof/>
            <w:lang w:val="en-GB"/>
          </w:rPr>
          <w:t>1.</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Project Beneficiaries</w:t>
        </w:r>
        <w:r w:rsidR="0042706C">
          <w:rPr>
            <w:noProof/>
            <w:webHidden/>
          </w:rPr>
          <w:tab/>
        </w:r>
        <w:r w:rsidR="0042706C">
          <w:rPr>
            <w:noProof/>
            <w:webHidden/>
          </w:rPr>
          <w:fldChar w:fldCharType="begin"/>
        </w:r>
        <w:r w:rsidR="0042706C">
          <w:rPr>
            <w:noProof/>
            <w:webHidden/>
          </w:rPr>
          <w:instrText xml:space="preserve"> PAGEREF _Toc354067264 \h </w:instrText>
        </w:r>
        <w:r w:rsidR="0042706C">
          <w:rPr>
            <w:noProof/>
            <w:webHidden/>
          </w:rPr>
        </w:r>
        <w:r w:rsidR="0042706C">
          <w:rPr>
            <w:noProof/>
            <w:webHidden/>
          </w:rPr>
          <w:fldChar w:fldCharType="separate"/>
        </w:r>
        <w:r w:rsidR="0042706C">
          <w:rPr>
            <w:noProof/>
            <w:webHidden/>
          </w:rPr>
          <w:t>5</w:t>
        </w:r>
        <w:r w:rsidR="0042706C">
          <w:rPr>
            <w:noProof/>
            <w:webHidden/>
          </w:rPr>
          <w:fldChar w:fldCharType="end"/>
        </w:r>
      </w:hyperlink>
    </w:p>
    <w:p w:rsidR="0042706C" w:rsidRDefault="00C64F38">
      <w:pPr>
        <w:pStyle w:val="TOC3"/>
        <w:tabs>
          <w:tab w:val="left" w:pos="1100"/>
          <w:tab w:val="right" w:leader="dot" w:pos="9350"/>
        </w:tabs>
        <w:rPr>
          <w:rFonts w:asciiTheme="minorHAnsi" w:eastAsiaTheme="minorEastAsia" w:hAnsiTheme="minorHAnsi" w:cstheme="minorBidi"/>
          <w:noProof/>
          <w:sz w:val="22"/>
          <w:szCs w:val="22"/>
          <w:lang w:val="es-BO" w:eastAsia="es-BO"/>
        </w:rPr>
      </w:pPr>
      <w:hyperlink w:anchor="_Toc354067265" w:history="1">
        <w:r w:rsidR="0042706C" w:rsidRPr="006C60F3">
          <w:rPr>
            <w:rStyle w:val="Hyperlink"/>
            <w:noProof/>
            <w:lang w:val="en-GB"/>
          </w:rPr>
          <w:t>2.</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PDO Level Results Indicators</w:t>
        </w:r>
        <w:r w:rsidR="0042706C">
          <w:rPr>
            <w:noProof/>
            <w:webHidden/>
          </w:rPr>
          <w:tab/>
        </w:r>
        <w:r w:rsidR="0042706C">
          <w:rPr>
            <w:noProof/>
            <w:webHidden/>
          </w:rPr>
          <w:fldChar w:fldCharType="begin"/>
        </w:r>
        <w:r w:rsidR="0042706C">
          <w:rPr>
            <w:noProof/>
            <w:webHidden/>
          </w:rPr>
          <w:instrText xml:space="preserve"> PAGEREF _Toc354067265 \h </w:instrText>
        </w:r>
        <w:r w:rsidR="0042706C">
          <w:rPr>
            <w:noProof/>
            <w:webHidden/>
          </w:rPr>
        </w:r>
        <w:r w:rsidR="0042706C">
          <w:rPr>
            <w:noProof/>
            <w:webHidden/>
          </w:rPr>
          <w:fldChar w:fldCharType="separate"/>
        </w:r>
        <w:r w:rsidR="0042706C">
          <w:rPr>
            <w:noProof/>
            <w:webHidden/>
          </w:rPr>
          <w:t>5</w:t>
        </w:r>
        <w:r w:rsidR="0042706C">
          <w:rPr>
            <w:noProof/>
            <w:webHidden/>
          </w:rPr>
          <w:fldChar w:fldCharType="end"/>
        </w:r>
      </w:hyperlink>
    </w:p>
    <w:p w:rsidR="0042706C" w:rsidRDefault="00C64F38">
      <w:pPr>
        <w:pStyle w:val="TOC1"/>
        <w:tabs>
          <w:tab w:val="left" w:pos="660"/>
          <w:tab w:val="right" w:leader="dot" w:pos="9350"/>
        </w:tabs>
        <w:rPr>
          <w:rFonts w:asciiTheme="minorHAnsi" w:eastAsiaTheme="minorEastAsia" w:hAnsiTheme="minorHAnsi" w:cstheme="minorBidi"/>
          <w:noProof/>
          <w:sz w:val="22"/>
          <w:szCs w:val="22"/>
          <w:lang w:val="es-BO" w:eastAsia="es-BO"/>
        </w:rPr>
      </w:pPr>
      <w:hyperlink w:anchor="_Toc354067266" w:history="1">
        <w:r w:rsidR="0042706C" w:rsidRPr="006C60F3">
          <w:rPr>
            <w:rStyle w:val="Hyperlink"/>
            <w:noProof/>
          </w:rPr>
          <w:t>III.</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Project Description</w:t>
        </w:r>
        <w:r w:rsidR="0042706C">
          <w:rPr>
            <w:noProof/>
            <w:webHidden/>
          </w:rPr>
          <w:tab/>
        </w:r>
        <w:r w:rsidR="0042706C">
          <w:rPr>
            <w:noProof/>
            <w:webHidden/>
          </w:rPr>
          <w:fldChar w:fldCharType="begin"/>
        </w:r>
        <w:r w:rsidR="0042706C">
          <w:rPr>
            <w:noProof/>
            <w:webHidden/>
          </w:rPr>
          <w:instrText xml:space="preserve"> PAGEREF _Toc354067266 \h </w:instrText>
        </w:r>
        <w:r w:rsidR="0042706C">
          <w:rPr>
            <w:noProof/>
            <w:webHidden/>
          </w:rPr>
        </w:r>
        <w:r w:rsidR="0042706C">
          <w:rPr>
            <w:noProof/>
            <w:webHidden/>
          </w:rPr>
          <w:fldChar w:fldCharType="separate"/>
        </w:r>
        <w:r w:rsidR="0042706C">
          <w:rPr>
            <w:noProof/>
            <w:webHidden/>
          </w:rPr>
          <w:t>5</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67" w:history="1">
        <w:r w:rsidR="0042706C" w:rsidRPr="006C60F3">
          <w:rPr>
            <w:rStyle w:val="Hyperlink"/>
            <w:noProof/>
          </w:rPr>
          <w:t xml:space="preserve">A. </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Project Components</w:t>
        </w:r>
        <w:r w:rsidR="0042706C">
          <w:rPr>
            <w:noProof/>
            <w:webHidden/>
          </w:rPr>
          <w:tab/>
        </w:r>
        <w:r w:rsidR="0042706C">
          <w:rPr>
            <w:noProof/>
            <w:webHidden/>
          </w:rPr>
          <w:fldChar w:fldCharType="begin"/>
        </w:r>
        <w:r w:rsidR="0042706C">
          <w:rPr>
            <w:noProof/>
            <w:webHidden/>
          </w:rPr>
          <w:instrText xml:space="preserve"> PAGEREF _Toc354067267 \h </w:instrText>
        </w:r>
        <w:r w:rsidR="0042706C">
          <w:rPr>
            <w:noProof/>
            <w:webHidden/>
          </w:rPr>
        </w:r>
        <w:r w:rsidR="0042706C">
          <w:rPr>
            <w:noProof/>
            <w:webHidden/>
          </w:rPr>
          <w:fldChar w:fldCharType="separate"/>
        </w:r>
        <w:r w:rsidR="0042706C">
          <w:rPr>
            <w:noProof/>
            <w:webHidden/>
          </w:rPr>
          <w:t>5</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68" w:history="1">
        <w:r w:rsidR="0042706C" w:rsidRPr="006C60F3">
          <w:rPr>
            <w:rStyle w:val="Hyperlink"/>
            <w:noProof/>
            <w:lang w:val="en-GB"/>
          </w:rPr>
          <w:t>B.</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Project Financing</w:t>
        </w:r>
        <w:r w:rsidR="0042706C">
          <w:rPr>
            <w:noProof/>
            <w:webHidden/>
          </w:rPr>
          <w:tab/>
        </w:r>
        <w:r w:rsidR="0042706C">
          <w:rPr>
            <w:noProof/>
            <w:webHidden/>
          </w:rPr>
          <w:fldChar w:fldCharType="begin"/>
        </w:r>
        <w:r w:rsidR="0042706C">
          <w:rPr>
            <w:noProof/>
            <w:webHidden/>
          </w:rPr>
          <w:instrText xml:space="preserve"> PAGEREF _Toc354067268 \h </w:instrText>
        </w:r>
        <w:r w:rsidR="0042706C">
          <w:rPr>
            <w:noProof/>
            <w:webHidden/>
          </w:rPr>
        </w:r>
        <w:r w:rsidR="0042706C">
          <w:rPr>
            <w:noProof/>
            <w:webHidden/>
          </w:rPr>
          <w:fldChar w:fldCharType="separate"/>
        </w:r>
        <w:r w:rsidR="0042706C">
          <w:rPr>
            <w:noProof/>
            <w:webHidden/>
          </w:rPr>
          <w:t>9</w:t>
        </w:r>
        <w:r w:rsidR="0042706C">
          <w:rPr>
            <w:noProof/>
            <w:webHidden/>
          </w:rPr>
          <w:fldChar w:fldCharType="end"/>
        </w:r>
      </w:hyperlink>
    </w:p>
    <w:p w:rsidR="0042706C" w:rsidRDefault="00C64F38">
      <w:pPr>
        <w:pStyle w:val="TOC3"/>
        <w:tabs>
          <w:tab w:val="left" w:pos="1100"/>
          <w:tab w:val="right" w:leader="dot" w:pos="9350"/>
        </w:tabs>
        <w:rPr>
          <w:rFonts w:asciiTheme="minorHAnsi" w:eastAsiaTheme="minorEastAsia" w:hAnsiTheme="minorHAnsi" w:cstheme="minorBidi"/>
          <w:noProof/>
          <w:sz w:val="22"/>
          <w:szCs w:val="22"/>
          <w:lang w:val="es-BO" w:eastAsia="es-BO"/>
        </w:rPr>
      </w:pPr>
      <w:hyperlink w:anchor="_Toc354067269" w:history="1">
        <w:r w:rsidR="0042706C" w:rsidRPr="006C60F3">
          <w:rPr>
            <w:rStyle w:val="Hyperlink"/>
            <w:noProof/>
            <w:lang w:val="en-GB"/>
          </w:rPr>
          <w:t>1.</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Lending Instrument</w:t>
        </w:r>
        <w:r w:rsidR="0042706C">
          <w:rPr>
            <w:noProof/>
            <w:webHidden/>
          </w:rPr>
          <w:tab/>
        </w:r>
        <w:r w:rsidR="0042706C">
          <w:rPr>
            <w:noProof/>
            <w:webHidden/>
          </w:rPr>
          <w:fldChar w:fldCharType="begin"/>
        </w:r>
        <w:r w:rsidR="0042706C">
          <w:rPr>
            <w:noProof/>
            <w:webHidden/>
          </w:rPr>
          <w:instrText xml:space="preserve"> PAGEREF _Toc354067269 \h </w:instrText>
        </w:r>
        <w:r w:rsidR="0042706C">
          <w:rPr>
            <w:noProof/>
            <w:webHidden/>
          </w:rPr>
        </w:r>
        <w:r w:rsidR="0042706C">
          <w:rPr>
            <w:noProof/>
            <w:webHidden/>
          </w:rPr>
          <w:fldChar w:fldCharType="separate"/>
        </w:r>
        <w:r w:rsidR="0042706C">
          <w:rPr>
            <w:noProof/>
            <w:webHidden/>
          </w:rPr>
          <w:t>9</w:t>
        </w:r>
        <w:r w:rsidR="0042706C">
          <w:rPr>
            <w:noProof/>
            <w:webHidden/>
          </w:rPr>
          <w:fldChar w:fldCharType="end"/>
        </w:r>
      </w:hyperlink>
    </w:p>
    <w:p w:rsidR="0042706C" w:rsidRDefault="00C64F38">
      <w:pPr>
        <w:pStyle w:val="TOC3"/>
        <w:tabs>
          <w:tab w:val="left" w:pos="1100"/>
          <w:tab w:val="right" w:leader="dot" w:pos="9350"/>
        </w:tabs>
        <w:rPr>
          <w:rFonts w:asciiTheme="minorHAnsi" w:eastAsiaTheme="minorEastAsia" w:hAnsiTheme="minorHAnsi" w:cstheme="minorBidi"/>
          <w:noProof/>
          <w:sz w:val="22"/>
          <w:szCs w:val="22"/>
          <w:lang w:val="es-BO" w:eastAsia="es-BO"/>
        </w:rPr>
      </w:pPr>
      <w:hyperlink w:anchor="_Toc354067270" w:history="1">
        <w:r w:rsidR="0042706C" w:rsidRPr="006C60F3">
          <w:rPr>
            <w:rStyle w:val="Hyperlink"/>
            <w:noProof/>
            <w:lang w:val="en-GB"/>
          </w:rPr>
          <w:t>2.</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Project Cost and Financing</w:t>
        </w:r>
        <w:r w:rsidR="0042706C">
          <w:rPr>
            <w:noProof/>
            <w:webHidden/>
          </w:rPr>
          <w:tab/>
        </w:r>
        <w:r w:rsidR="0042706C">
          <w:rPr>
            <w:noProof/>
            <w:webHidden/>
          </w:rPr>
          <w:fldChar w:fldCharType="begin"/>
        </w:r>
        <w:r w:rsidR="0042706C">
          <w:rPr>
            <w:noProof/>
            <w:webHidden/>
          </w:rPr>
          <w:instrText xml:space="preserve"> PAGEREF _Toc354067270 \h </w:instrText>
        </w:r>
        <w:r w:rsidR="0042706C">
          <w:rPr>
            <w:noProof/>
            <w:webHidden/>
          </w:rPr>
        </w:r>
        <w:r w:rsidR="0042706C">
          <w:rPr>
            <w:noProof/>
            <w:webHidden/>
          </w:rPr>
          <w:fldChar w:fldCharType="separate"/>
        </w:r>
        <w:r w:rsidR="0042706C">
          <w:rPr>
            <w:noProof/>
            <w:webHidden/>
          </w:rPr>
          <w:t>10</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71" w:history="1">
        <w:r w:rsidR="0042706C" w:rsidRPr="006C60F3">
          <w:rPr>
            <w:rStyle w:val="Hyperlink"/>
            <w:noProof/>
            <w:lang w:val="en-GB"/>
          </w:rPr>
          <w:t>C.</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Lessons Learned and Reflected in the Project Design</w:t>
        </w:r>
        <w:r w:rsidR="0042706C">
          <w:rPr>
            <w:noProof/>
            <w:webHidden/>
          </w:rPr>
          <w:tab/>
        </w:r>
        <w:r w:rsidR="0042706C">
          <w:rPr>
            <w:noProof/>
            <w:webHidden/>
          </w:rPr>
          <w:fldChar w:fldCharType="begin"/>
        </w:r>
        <w:r w:rsidR="0042706C">
          <w:rPr>
            <w:noProof/>
            <w:webHidden/>
          </w:rPr>
          <w:instrText xml:space="preserve"> PAGEREF _Toc354067271 \h </w:instrText>
        </w:r>
        <w:r w:rsidR="0042706C">
          <w:rPr>
            <w:noProof/>
            <w:webHidden/>
          </w:rPr>
        </w:r>
        <w:r w:rsidR="0042706C">
          <w:rPr>
            <w:noProof/>
            <w:webHidden/>
          </w:rPr>
          <w:fldChar w:fldCharType="separate"/>
        </w:r>
        <w:r w:rsidR="0042706C">
          <w:rPr>
            <w:noProof/>
            <w:webHidden/>
          </w:rPr>
          <w:t>10</w:t>
        </w:r>
        <w:r w:rsidR="0042706C">
          <w:rPr>
            <w:noProof/>
            <w:webHidden/>
          </w:rPr>
          <w:fldChar w:fldCharType="end"/>
        </w:r>
      </w:hyperlink>
    </w:p>
    <w:p w:rsidR="0042706C" w:rsidRDefault="00C64F38">
      <w:pPr>
        <w:pStyle w:val="TOC1"/>
        <w:tabs>
          <w:tab w:val="left" w:pos="660"/>
          <w:tab w:val="right" w:leader="dot" w:pos="9350"/>
        </w:tabs>
        <w:rPr>
          <w:rFonts w:asciiTheme="minorHAnsi" w:eastAsiaTheme="minorEastAsia" w:hAnsiTheme="minorHAnsi" w:cstheme="minorBidi"/>
          <w:noProof/>
          <w:sz w:val="22"/>
          <w:szCs w:val="22"/>
          <w:lang w:val="es-BO" w:eastAsia="es-BO"/>
        </w:rPr>
      </w:pPr>
      <w:hyperlink w:anchor="_Toc354067272" w:history="1">
        <w:r w:rsidR="0042706C" w:rsidRPr="006C60F3">
          <w:rPr>
            <w:rStyle w:val="Hyperlink"/>
            <w:noProof/>
          </w:rPr>
          <w:t>IV.</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Implementation</w:t>
        </w:r>
        <w:r w:rsidR="0042706C">
          <w:rPr>
            <w:noProof/>
            <w:webHidden/>
          </w:rPr>
          <w:tab/>
        </w:r>
        <w:r w:rsidR="0042706C">
          <w:rPr>
            <w:noProof/>
            <w:webHidden/>
          </w:rPr>
          <w:fldChar w:fldCharType="begin"/>
        </w:r>
        <w:r w:rsidR="0042706C">
          <w:rPr>
            <w:noProof/>
            <w:webHidden/>
          </w:rPr>
          <w:instrText xml:space="preserve"> PAGEREF _Toc354067272 \h </w:instrText>
        </w:r>
        <w:r w:rsidR="0042706C">
          <w:rPr>
            <w:noProof/>
            <w:webHidden/>
          </w:rPr>
        </w:r>
        <w:r w:rsidR="0042706C">
          <w:rPr>
            <w:noProof/>
            <w:webHidden/>
          </w:rPr>
          <w:fldChar w:fldCharType="separate"/>
        </w:r>
        <w:r w:rsidR="0042706C">
          <w:rPr>
            <w:noProof/>
            <w:webHidden/>
          </w:rPr>
          <w:t>11</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73" w:history="1">
        <w:r w:rsidR="0042706C" w:rsidRPr="006C60F3">
          <w:rPr>
            <w:rStyle w:val="Hyperlink"/>
            <w:noProof/>
            <w:lang w:val="en-GB"/>
          </w:rPr>
          <w:t>A.</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Institutional and Implementation Arrangements</w:t>
        </w:r>
        <w:r w:rsidR="0042706C">
          <w:rPr>
            <w:noProof/>
            <w:webHidden/>
          </w:rPr>
          <w:tab/>
        </w:r>
        <w:r w:rsidR="0042706C">
          <w:rPr>
            <w:noProof/>
            <w:webHidden/>
          </w:rPr>
          <w:fldChar w:fldCharType="begin"/>
        </w:r>
        <w:r w:rsidR="0042706C">
          <w:rPr>
            <w:noProof/>
            <w:webHidden/>
          </w:rPr>
          <w:instrText xml:space="preserve"> PAGEREF _Toc354067273 \h </w:instrText>
        </w:r>
        <w:r w:rsidR="0042706C">
          <w:rPr>
            <w:noProof/>
            <w:webHidden/>
          </w:rPr>
        </w:r>
        <w:r w:rsidR="0042706C">
          <w:rPr>
            <w:noProof/>
            <w:webHidden/>
          </w:rPr>
          <w:fldChar w:fldCharType="separate"/>
        </w:r>
        <w:r w:rsidR="0042706C">
          <w:rPr>
            <w:noProof/>
            <w:webHidden/>
          </w:rPr>
          <w:t>11</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74" w:history="1">
        <w:r w:rsidR="0042706C" w:rsidRPr="006C60F3">
          <w:rPr>
            <w:rStyle w:val="Hyperlink"/>
            <w:noProof/>
            <w:lang w:val="en-GB"/>
          </w:rPr>
          <w:t>B.</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Results Monitoring and Evaluation</w:t>
        </w:r>
        <w:r w:rsidR="0042706C">
          <w:rPr>
            <w:noProof/>
            <w:webHidden/>
          </w:rPr>
          <w:tab/>
        </w:r>
        <w:r w:rsidR="0042706C">
          <w:rPr>
            <w:noProof/>
            <w:webHidden/>
          </w:rPr>
          <w:fldChar w:fldCharType="begin"/>
        </w:r>
        <w:r w:rsidR="0042706C">
          <w:rPr>
            <w:noProof/>
            <w:webHidden/>
          </w:rPr>
          <w:instrText xml:space="preserve"> PAGEREF _Toc354067274 \h </w:instrText>
        </w:r>
        <w:r w:rsidR="0042706C">
          <w:rPr>
            <w:noProof/>
            <w:webHidden/>
          </w:rPr>
        </w:r>
        <w:r w:rsidR="0042706C">
          <w:rPr>
            <w:noProof/>
            <w:webHidden/>
          </w:rPr>
          <w:fldChar w:fldCharType="separate"/>
        </w:r>
        <w:r w:rsidR="0042706C">
          <w:rPr>
            <w:noProof/>
            <w:webHidden/>
          </w:rPr>
          <w:t>11</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75" w:history="1">
        <w:r w:rsidR="0042706C" w:rsidRPr="006C60F3">
          <w:rPr>
            <w:rStyle w:val="Hyperlink"/>
            <w:noProof/>
            <w:lang w:val="en-GB"/>
          </w:rPr>
          <w:t>C.</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Sustainability</w:t>
        </w:r>
        <w:r w:rsidR="0042706C">
          <w:rPr>
            <w:noProof/>
            <w:webHidden/>
          </w:rPr>
          <w:tab/>
        </w:r>
        <w:r w:rsidR="0042706C">
          <w:rPr>
            <w:noProof/>
            <w:webHidden/>
          </w:rPr>
          <w:fldChar w:fldCharType="begin"/>
        </w:r>
        <w:r w:rsidR="0042706C">
          <w:rPr>
            <w:noProof/>
            <w:webHidden/>
          </w:rPr>
          <w:instrText xml:space="preserve"> PAGEREF _Toc354067275 \h </w:instrText>
        </w:r>
        <w:r w:rsidR="0042706C">
          <w:rPr>
            <w:noProof/>
            <w:webHidden/>
          </w:rPr>
        </w:r>
        <w:r w:rsidR="0042706C">
          <w:rPr>
            <w:noProof/>
            <w:webHidden/>
          </w:rPr>
          <w:fldChar w:fldCharType="separate"/>
        </w:r>
        <w:r w:rsidR="0042706C">
          <w:rPr>
            <w:noProof/>
            <w:webHidden/>
          </w:rPr>
          <w:t>11</w:t>
        </w:r>
        <w:r w:rsidR="0042706C">
          <w:rPr>
            <w:noProof/>
            <w:webHidden/>
          </w:rPr>
          <w:fldChar w:fldCharType="end"/>
        </w:r>
      </w:hyperlink>
    </w:p>
    <w:p w:rsidR="0042706C" w:rsidRDefault="00C64F38">
      <w:pPr>
        <w:pStyle w:val="TOC1"/>
        <w:tabs>
          <w:tab w:val="left" w:pos="480"/>
          <w:tab w:val="right" w:leader="dot" w:pos="9350"/>
        </w:tabs>
        <w:rPr>
          <w:rFonts w:asciiTheme="minorHAnsi" w:eastAsiaTheme="minorEastAsia" w:hAnsiTheme="minorHAnsi" w:cstheme="minorBidi"/>
          <w:noProof/>
          <w:sz w:val="22"/>
          <w:szCs w:val="22"/>
          <w:lang w:val="es-BO" w:eastAsia="es-BO"/>
        </w:rPr>
      </w:pPr>
      <w:hyperlink w:anchor="_Toc354067276" w:history="1">
        <w:r w:rsidR="0042706C" w:rsidRPr="006C60F3">
          <w:rPr>
            <w:rStyle w:val="Hyperlink"/>
            <w:noProof/>
          </w:rPr>
          <w:t>V.</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Key Risks and Mitigation Measures</w:t>
        </w:r>
        <w:r w:rsidR="0042706C">
          <w:rPr>
            <w:noProof/>
            <w:webHidden/>
          </w:rPr>
          <w:tab/>
        </w:r>
        <w:r w:rsidR="0042706C">
          <w:rPr>
            <w:noProof/>
            <w:webHidden/>
          </w:rPr>
          <w:fldChar w:fldCharType="begin"/>
        </w:r>
        <w:r w:rsidR="0042706C">
          <w:rPr>
            <w:noProof/>
            <w:webHidden/>
          </w:rPr>
          <w:instrText xml:space="preserve"> PAGEREF _Toc354067276 \h </w:instrText>
        </w:r>
        <w:r w:rsidR="0042706C">
          <w:rPr>
            <w:noProof/>
            <w:webHidden/>
          </w:rPr>
        </w:r>
        <w:r w:rsidR="0042706C">
          <w:rPr>
            <w:noProof/>
            <w:webHidden/>
          </w:rPr>
          <w:fldChar w:fldCharType="separate"/>
        </w:r>
        <w:r w:rsidR="0042706C">
          <w:rPr>
            <w:noProof/>
            <w:webHidden/>
          </w:rPr>
          <w:t>12</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77" w:history="1">
        <w:r w:rsidR="0042706C" w:rsidRPr="006C60F3">
          <w:rPr>
            <w:rStyle w:val="Hyperlink"/>
            <w:noProof/>
            <w:lang w:val="en-GB"/>
          </w:rPr>
          <w:t>A.</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Risk Ratings Summary</w:t>
        </w:r>
        <w:r w:rsidR="0042706C">
          <w:rPr>
            <w:noProof/>
            <w:webHidden/>
          </w:rPr>
          <w:tab/>
        </w:r>
        <w:r w:rsidR="0042706C">
          <w:rPr>
            <w:noProof/>
            <w:webHidden/>
          </w:rPr>
          <w:fldChar w:fldCharType="begin"/>
        </w:r>
        <w:r w:rsidR="0042706C">
          <w:rPr>
            <w:noProof/>
            <w:webHidden/>
          </w:rPr>
          <w:instrText xml:space="preserve"> PAGEREF _Toc354067277 \h </w:instrText>
        </w:r>
        <w:r w:rsidR="0042706C">
          <w:rPr>
            <w:noProof/>
            <w:webHidden/>
          </w:rPr>
        </w:r>
        <w:r w:rsidR="0042706C">
          <w:rPr>
            <w:noProof/>
            <w:webHidden/>
          </w:rPr>
          <w:fldChar w:fldCharType="separate"/>
        </w:r>
        <w:r w:rsidR="0042706C">
          <w:rPr>
            <w:noProof/>
            <w:webHidden/>
          </w:rPr>
          <w:t>12</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78" w:history="1">
        <w:r w:rsidR="0042706C" w:rsidRPr="006C60F3">
          <w:rPr>
            <w:rStyle w:val="Hyperlink"/>
            <w:noProof/>
            <w:lang w:val="en-GB"/>
          </w:rPr>
          <w:t>B.</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Overall Risk Rating Explanation</w:t>
        </w:r>
        <w:r w:rsidR="0042706C">
          <w:rPr>
            <w:noProof/>
            <w:webHidden/>
          </w:rPr>
          <w:tab/>
        </w:r>
        <w:r w:rsidR="0042706C">
          <w:rPr>
            <w:noProof/>
            <w:webHidden/>
          </w:rPr>
          <w:fldChar w:fldCharType="begin"/>
        </w:r>
        <w:r w:rsidR="0042706C">
          <w:rPr>
            <w:noProof/>
            <w:webHidden/>
          </w:rPr>
          <w:instrText xml:space="preserve"> PAGEREF _Toc354067278 \h </w:instrText>
        </w:r>
        <w:r w:rsidR="0042706C">
          <w:rPr>
            <w:noProof/>
            <w:webHidden/>
          </w:rPr>
        </w:r>
        <w:r w:rsidR="0042706C">
          <w:rPr>
            <w:noProof/>
            <w:webHidden/>
          </w:rPr>
          <w:fldChar w:fldCharType="separate"/>
        </w:r>
        <w:r w:rsidR="0042706C">
          <w:rPr>
            <w:noProof/>
            <w:webHidden/>
          </w:rPr>
          <w:t>12</w:t>
        </w:r>
        <w:r w:rsidR="0042706C">
          <w:rPr>
            <w:noProof/>
            <w:webHidden/>
          </w:rPr>
          <w:fldChar w:fldCharType="end"/>
        </w:r>
      </w:hyperlink>
    </w:p>
    <w:p w:rsidR="0042706C" w:rsidRDefault="00C64F38">
      <w:pPr>
        <w:pStyle w:val="TOC1"/>
        <w:tabs>
          <w:tab w:val="left" w:pos="480"/>
          <w:tab w:val="right" w:leader="dot" w:pos="9350"/>
        </w:tabs>
        <w:rPr>
          <w:rFonts w:asciiTheme="minorHAnsi" w:eastAsiaTheme="minorEastAsia" w:hAnsiTheme="minorHAnsi" w:cstheme="minorBidi"/>
          <w:noProof/>
          <w:sz w:val="22"/>
          <w:szCs w:val="22"/>
          <w:lang w:val="es-BO" w:eastAsia="es-BO"/>
        </w:rPr>
      </w:pPr>
      <w:hyperlink w:anchor="_Toc354067279" w:history="1">
        <w:r w:rsidR="0042706C" w:rsidRPr="006C60F3">
          <w:rPr>
            <w:rStyle w:val="Hyperlink"/>
            <w:noProof/>
          </w:rPr>
          <w:t>VI</w:t>
        </w:r>
        <w:r w:rsidR="0042706C">
          <w:rPr>
            <w:rFonts w:asciiTheme="minorHAnsi" w:eastAsiaTheme="minorEastAsia" w:hAnsiTheme="minorHAnsi" w:cstheme="minorBidi"/>
            <w:noProof/>
            <w:sz w:val="22"/>
            <w:szCs w:val="22"/>
            <w:lang w:val="es-BO" w:eastAsia="es-BO"/>
          </w:rPr>
          <w:tab/>
        </w:r>
        <w:r w:rsidR="0042706C" w:rsidRPr="006C60F3">
          <w:rPr>
            <w:rStyle w:val="Hyperlink"/>
            <w:noProof/>
          </w:rPr>
          <w:t>Appraisal Summary</w:t>
        </w:r>
        <w:r w:rsidR="0042706C">
          <w:rPr>
            <w:noProof/>
            <w:webHidden/>
          </w:rPr>
          <w:tab/>
        </w:r>
        <w:r w:rsidR="0042706C">
          <w:rPr>
            <w:noProof/>
            <w:webHidden/>
          </w:rPr>
          <w:fldChar w:fldCharType="begin"/>
        </w:r>
        <w:r w:rsidR="0042706C">
          <w:rPr>
            <w:noProof/>
            <w:webHidden/>
          </w:rPr>
          <w:instrText xml:space="preserve"> PAGEREF _Toc354067279 \h </w:instrText>
        </w:r>
        <w:r w:rsidR="0042706C">
          <w:rPr>
            <w:noProof/>
            <w:webHidden/>
          </w:rPr>
        </w:r>
        <w:r w:rsidR="0042706C">
          <w:rPr>
            <w:noProof/>
            <w:webHidden/>
          </w:rPr>
          <w:fldChar w:fldCharType="separate"/>
        </w:r>
        <w:r w:rsidR="0042706C">
          <w:rPr>
            <w:noProof/>
            <w:webHidden/>
          </w:rPr>
          <w:t>12</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80" w:history="1">
        <w:r w:rsidR="0042706C" w:rsidRPr="006C60F3">
          <w:rPr>
            <w:rStyle w:val="Hyperlink"/>
            <w:noProof/>
            <w:lang w:val="en-GB"/>
          </w:rPr>
          <w:t>A.</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Economic and Financial Analysis</w:t>
        </w:r>
        <w:r w:rsidR="0042706C">
          <w:rPr>
            <w:noProof/>
            <w:webHidden/>
          </w:rPr>
          <w:tab/>
        </w:r>
        <w:r w:rsidR="0042706C">
          <w:rPr>
            <w:noProof/>
            <w:webHidden/>
          </w:rPr>
          <w:fldChar w:fldCharType="begin"/>
        </w:r>
        <w:r w:rsidR="0042706C">
          <w:rPr>
            <w:noProof/>
            <w:webHidden/>
          </w:rPr>
          <w:instrText xml:space="preserve"> PAGEREF _Toc354067280 \h </w:instrText>
        </w:r>
        <w:r w:rsidR="0042706C">
          <w:rPr>
            <w:noProof/>
            <w:webHidden/>
          </w:rPr>
        </w:r>
        <w:r w:rsidR="0042706C">
          <w:rPr>
            <w:noProof/>
            <w:webHidden/>
          </w:rPr>
          <w:fldChar w:fldCharType="separate"/>
        </w:r>
        <w:r w:rsidR="0042706C">
          <w:rPr>
            <w:noProof/>
            <w:webHidden/>
          </w:rPr>
          <w:t>12</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81" w:history="1">
        <w:r w:rsidR="0042706C" w:rsidRPr="006C60F3">
          <w:rPr>
            <w:rStyle w:val="Hyperlink"/>
            <w:noProof/>
            <w:lang w:val="en-GB"/>
          </w:rPr>
          <w:t>B.</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Technical</w:t>
        </w:r>
        <w:r w:rsidR="0042706C">
          <w:rPr>
            <w:noProof/>
            <w:webHidden/>
          </w:rPr>
          <w:tab/>
        </w:r>
        <w:r w:rsidR="0042706C">
          <w:rPr>
            <w:noProof/>
            <w:webHidden/>
          </w:rPr>
          <w:fldChar w:fldCharType="begin"/>
        </w:r>
        <w:r w:rsidR="0042706C">
          <w:rPr>
            <w:noProof/>
            <w:webHidden/>
          </w:rPr>
          <w:instrText xml:space="preserve"> PAGEREF _Toc354067281 \h </w:instrText>
        </w:r>
        <w:r w:rsidR="0042706C">
          <w:rPr>
            <w:noProof/>
            <w:webHidden/>
          </w:rPr>
        </w:r>
        <w:r w:rsidR="0042706C">
          <w:rPr>
            <w:noProof/>
            <w:webHidden/>
          </w:rPr>
          <w:fldChar w:fldCharType="separate"/>
        </w:r>
        <w:r w:rsidR="0042706C">
          <w:rPr>
            <w:noProof/>
            <w:webHidden/>
          </w:rPr>
          <w:t>13</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82" w:history="1">
        <w:r w:rsidR="0042706C" w:rsidRPr="006C60F3">
          <w:rPr>
            <w:rStyle w:val="Hyperlink"/>
            <w:noProof/>
            <w:lang w:val="en-GB"/>
          </w:rPr>
          <w:t>C.</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Financial Management</w:t>
        </w:r>
        <w:r w:rsidR="0042706C">
          <w:rPr>
            <w:noProof/>
            <w:webHidden/>
          </w:rPr>
          <w:tab/>
        </w:r>
        <w:r w:rsidR="0042706C">
          <w:rPr>
            <w:noProof/>
            <w:webHidden/>
          </w:rPr>
          <w:fldChar w:fldCharType="begin"/>
        </w:r>
        <w:r w:rsidR="0042706C">
          <w:rPr>
            <w:noProof/>
            <w:webHidden/>
          </w:rPr>
          <w:instrText xml:space="preserve"> PAGEREF _Toc354067282 \h </w:instrText>
        </w:r>
        <w:r w:rsidR="0042706C">
          <w:rPr>
            <w:noProof/>
            <w:webHidden/>
          </w:rPr>
        </w:r>
        <w:r w:rsidR="0042706C">
          <w:rPr>
            <w:noProof/>
            <w:webHidden/>
          </w:rPr>
          <w:fldChar w:fldCharType="separate"/>
        </w:r>
        <w:r w:rsidR="0042706C">
          <w:rPr>
            <w:noProof/>
            <w:webHidden/>
          </w:rPr>
          <w:t>13</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83" w:history="1">
        <w:r w:rsidR="0042706C" w:rsidRPr="006C60F3">
          <w:rPr>
            <w:rStyle w:val="Hyperlink"/>
            <w:noProof/>
            <w:lang w:val="en-GB"/>
          </w:rPr>
          <w:t>D.</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Procurement</w:t>
        </w:r>
        <w:r w:rsidR="0042706C">
          <w:rPr>
            <w:noProof/>
            <w:webHidden/>
          </w:rPr>
          <w:tab/>
        </w:r>
        <w:r w:rsidR="0042706C">
          <w:rPr>
            <w:noProof/>
            <w:webHidden/>
          </w:rPr>
          <w:fldChar w:fldCharType="begin"/>
        </w:r>
        <w:r w:rsidR="0042706C">
          <w:rPr>
            <w:noProof/>
            <w:webHidden/>
          </w:rPr>
          <w:instrText xml:space="preserve"> PAGEREF _Toc354067283 \h </w:instrText>
        </w:r>
        <w:r w:rsidR="0042706C">
          <w:rPr>
            <w:noProof/>
            <w:webHidden/>
          </w:rPr>
        </w:r>
        <w:r w:rsidR="0042706C">
          <w:rPr>
            <w:noProof/>
            <w:webHidden/>
          </w:rPr>
          <w:fldChar w:fldCharType="separate"/>
        </w:r>
        <w:r w:rsidR="0042706C">
          <w:rPr>
            <w:noProof/>
            <w:webHidden/>
          </w:rPr>
          <w:t>13</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84" w:history="1">
        <w:r w:rsidR="0042706C" w:rsidRPr="006C60F3">
          <w:rPr>
            <w:rStyle w:val="Hyperlink"/>
            <w:noProof/>
            <w:lang w:val="en-GB"/>
          </w:rPr>
          <w:t>E.</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Social (including safeguards)</w:t>
        </w:r>
        <w:r w:rsidR="0042706C">
          <w:rPr>
            <w:noProof/>
            <w:webHidden/>
          </w:rPr>
          <w:tab/>
        </w:r>
        <w:r w:rsidR="0042706C">
          <w:rPr>
            <w:noProof/>
            <w:webHidden/>
          </w:rPr>
          <w:fldChar w:fldCharType="begin"/>
        </w:r>
        <w:r w:rsidR="0042706C">
          <w:rPr>
            <w:noProof/>
            <w:webHidden/>
          </w:rPr>
          <w:instrText xml:space="preserve"> PAGEREF _Toc354067284 \h </w:instrText>
        </w:r>
        <w:r w:rsidR="0042706C">
          <w:rPr>
            <w:noProof/>
            <w:webHidden/>
          </w:rPr>
        </w:r>
        <w:r w:rsidR="0042706C">
          <w:rPr>
            <w:noProof/>
            <w:webHidden/>
          </w:rPr>
          <w:fldChar w:fldCharType="separate"/>
        </w:r>
        <w:r w:rsidR="0042706C">
          <w:rPr>
            <w:noProof/>
            <w:webHidden/>
          </w:rPr>
          <w:t>14</w:t>
        </w:r>
        <w:r w:rsidR="0042706C">
          <w:rPr>
            <w:noProof/>
            <w:webHidden/>
          </w:rPr>
          <w:fldChar w:fldCharType="end"/>
        </w:r>
      </w:hyperlink>
    </w:p>
    <w:p w:rsidR="0042706C" w:rsidRDefault="00C64F38">
      <w:pPr>
        <w:pStyle w:val="TOC2"/>
        <w:tabs>
          <w:tab w:val="left" w:pos="880"/>
        </w:tabs>
        <w:rPr>
          <w:rFonts w:asciiTheme="minorHAnsi" w:eastAsiaTheme="minorEastAsia" w:hAnsiTheme="minorHAnsi" w:cstheme="minorBidi"/>
          <w:noProof/>
          <w:sz w:val="22"/>
          <w:szCs w:val="22"/>
          <w:lang w:val="es-BO" w:eastAsia="es-BO"/>
        </w:rPr>
      </w:pPr>
      <w:hyperlink w:anchor="_Toc354067285" w:history="1">
        <w:r w:rsidR="0042706C" w:rsidRPr="006C60F3">
          <w:rPr>
            <w:rStyle w:val="Hyperlink"/>
            <w:noProof/>
            <w:lang w:val="en-GB"/>
          </w:rPr>
          <w:t>F.</w:t>
        </w:r>
        <w:r w:rsidR="0042706C">
          <w:rPr>
            <w:rFonts w:asciiTheme="minorHAnsi" w:eastAsiaTheme="minorEastAsia" w:hAnsiTheme="minorHAnsi" w:cstheme="minorBidi"/>
            <w:noProof/>
            <w:sz w:val="22"/>
            <w:szCs w:val="22"/>
            <w:lang w:val="es-BO" w:eastAsia="es-BO"/>
          </w:rPr>
          <w:tab/>
        </w:r>
        <w:r w:rsidR="0042706C" w:rsidRPr="006C60F3">
          <w:rPr>
            <w:rStyle w:val="Hyperlink"/>
            <w:noProof/>
            <w:lang w:val="en-GB"/>
          </w:rPr>
          <w:t>Environment (including safeguards)</w:t>
        </w:r>
        <w:r w:rsidR="0042706C">
          <w:rPr>
            <w:noProof/>
            <w:webHidden/>
          </w:rPr>
          <w:tab/>
        </w:r>
        <w:r w:rsidR="0042706C">
          <w:rPr>
            <w:noProof/>
            <w:webHidden/>
          </w:rPr>
          <w:fldChar w:fldCharType="begin"/>
        </w:r>
        <w:r w:rsidR="0042706C">
          <w:rPr>
            <w:noProof/>
            <w:webHidden/>
          </w:rPr>
          <w:instrText xml:space="preserve"> PAGEREF _Toc354067285 \h </w:instrText>
        </w:r>
        <w:r w:rsidR="0042706C">
          <w:rPr>
            <w:noProof/>
            <w:webHidden/>
          </w:rPr>
        </w:r>
        <w:r w:rsidR="0042706C">
          <w:rPr>
            <w:noProof/>
            <w:webHidden/>
          </w:rPr>
          <w:fldChar w:fldCharType="separate"/>
        </w:r>
        <w:r w:rsidR="0042706C">
          <w:rPr>
            <w:noProof/>
            <w:webHidden/>
          </w:rPr>
          <w:t>15</w:t>
        </w:r>
        <w:r w:rsidR="0042706C">
          <w:rPr>
            <w:noProof/>
            <w:webHidden/>
          </w:rPr>
          <w:fldChar w:fldCharType="end"/>
        </w:r>
      </w:hyperlink>
    </w:p>
    <w:p w:rsidR="0042706C" w:rsidRDefault="00C64F38">
      <w:pPr>
        <w:pStyle w:val="TOC1"/>
        <w:tabs>
          <w:tab w:val="right" w:leader="dot" w:pos="9350"/>
        </w:tabs>
        <w:rPr>
          <w:rFonts w:asciiTheme="minorHAnsi" w:eastAsiaTheme="minorEastAsia" w:hAnsiTheme="minorHAnsi" w:cstheme="minorBidi"/>
          <w:noProof/>
          <w:sz w:val="22"/>
          <w:szCs w:val="22"/>
          <w:lang w:val="es-BO" w:eastAsia="es-BO"/>
        </w:rPr>
      </w:pPr>
      <w:hyperlink w:anchor="_Toc354067286" w:history="1">
        <w:r w:rsidR="0042706C" w:rsidRPr="006C60F3">
          <w:rPr>
            <w:rStyle w:val="Hyperlink"/>
            <w:noProof/>
            <w:lang w:val="en-GB"/>
          </w:rPr>
          <w:t>Annex 1: Results Framework and Monitoring</w:t>
        </w:r>
        <w:r w:rsidR="0042706C">
          <w:rPr>
            <w:noProof/>
            <w:webHidden/>
          </w:rPr>
          <w:tab/>
        </w:r>
        <w:r w:rsidR="0042706C">
          <w:rPr>
            <w:noProof/>
            <w:webHidden/>
          </w:rPr>
          <w:fldChar w:fldCharType="begin"/>
        </w:r>
        <w:r w:rsidR="0042706C">
          <w:rPr>
            <w:noProof/>
            <w:webHidden/>
          </w:rPr>
          <w:instrText xml:space="preserve"> PAGEREF _Toc354067286 \h </w:instrText>
        </w:r>
        <w:r w:rsidR="0042706C">
          <w:rPr>
            <w:noProof/>
            <w:webHidden/>
          </w:rPr>
        </w:r>
        <w:r w:rsidR="0042706C">
          <w:rPr>
            <w:noProof/>
            <w:webHidden/>
          </w:rPr>
          <w:fldChar w:fldCharType="separate"/>
        </w:r>
        <w:r w:rsidR="0042706C">
          <w:rPr>
            <w:noProof/>
            <w:webHidden/>
          </w:rPr>
          <w:t>16</w:t>
        </w:r>
        <w:r w:rsidR="0042706C">
          <w:rPr>
            <w:noProof/>
            <w:webHidden/>
          </w:rPr>
          <w:fldChar w:fldCharType="end"/>
        </w:r>
      </w:hyperlink>
    </w:p>
    <w:p w:rsidR="0042706C" w:rsidRDefault="00C64F38">
      <w:pPr>
        <w:pStyle w:val="TOC1"/>
        <w:tabs>
          <w:tab w:val="right" w:leader="dot" w:pos="9350"/>
        </w:tabs>
        <w:rPr>
          <w:rFonts w:asciiTheme="minorHAnsi" w:eastAsiaTheme="minorEastAsia" w:hAnsiTheme="minorHAnsi" w:cstheme="minorBidi"/>
          <w:noProof/>
          <w:sz w:val="22"/>
          <w:szCs w:val="22"/>
          <w:lang w:val="es-BO" w:eastAsia="es-BO"/>
        </w:rPr>
      </w:pPr>
      <w:hyperlink w:anchor="_Toc354067287" w:history="1">
        <w:r w:rsidR="0042706C" w:rsidRPr="006C60F3">
          <w:rPr>
            <w:rStyle w:val="Hyperlink"/>
            <w:noProof/>
            <w:lang w:val="en-GB"/>
          </w:rPr>
          <w:t>Annex 2:  Detailed Project Description</w:t>
        </w:r>
        <w:r w:rsidR="0042706C">
          <w:rPr>
            <w:noProof/>
            <w:webHidden/>
          </w:rPr>
          <w:tab/>
        </w:r>
        <w:r w:rsidR="0042706C">
          <w:rPr>
            <w:noProof/>
            <w:webHidden/>
          </w:rPr>
          <w:fldChar w:fldCharType="begin"/>
        </w:r>
        <w:r w:rsidR="0042706C">
          <w:rPr>
            <w:noProof/>
            <w:webHidden/>
          </w:rPr>
          <w:instrText xml:space="preserve"> PAGEREF _Toc354067287 \h </w:instrText>
        </w:r>
        <w:r w:rsidR="0042706C">
          <w:rPr>
            <w:noProof/>
            <w:webHidden/>
          </w:rPr>
        </w:r>
        <w:r w:rsidR="0042706C">
          <w:rPr>
            <w:noProof/>
            <w:webHidden/>
          </w:rPr>
          <w:fldChar w:fldCharType="separate"/>
        </w:r>
        <w:r w:rsidR="0042706C">
          <w:rPr>
            <w:noProof/>
            <w:webHidden/>
          </w:rPr>
          <w:t>20</w:t>
        </w:r>
        <w:r w:rsidR="0042706C">
          <w:rPr>
            <w:noProof/>
            <w:webHidden/>
          </w:rPr>
          <w:fldChar w:fldCharType="end"/>
        </w:r>
      </w:hyperlink>
    </w:p>
    <w:p w:rsidR="0042706C" w:rsidRDefault="00C64F38">
      <w:pPr>
        <w:pStyle w:val="TOC1"/>
        <w:tabs>
          <w:tab w:val="right" w:leader="dot" w:pos="9350"/>
        </w:tabs>
        <w:rPr>
          <w:rFonts w:asciiTheme="minorHAnsi" w:eastAsiaTheme="minorEastAsia" w:hAnsiTheme="minorHAnsi" w:cstheme="minorBidi"/>
          <w:noProof/>
          <w:sz w:val="22"/>
          <w:szCs w:val="22"/>
          <w:lang w:val="es-BO" w:eastAsia="es-BO"/>
        </w:rPr>
      </w:pPr>
      <w:hyperlink w:anchor="_Toc354067288" w:history="1">
        <w:r w:rsidR="0042706C" w:rsidRPr="006C60F3">
          <w:rPr>
            <w:rStyle w:val="Hyperlink"/>
            <w:noProof/>
            <w:lang w:val="en-GB"/>
          </w:rPr>
          <w:t>Annex 3:  Implementation Arrangements</w:t>
        </w:r>
        <w:r w:rsidR="0042706C">
          <w:rPr>
            <w:noProof/>
            <w:webHidden/>
          </w:rPr>
          <w:tab/>
        </w:r>
        <w:r w:rsidR="0042706C">
          <w:rPr>
            <w:noProof/>
            <w:webHidden/>
          </w:rPr>
          <w:fldChar w:fldCharType="begin"/>
        </w:r>
        <w:r w:rsidR="0042706C">
          <w:rPr>
            <w:noProof/>
            <w:webHidden/>
          </w:rPr>
          <w:instrText xml:space="preserve"> PAGEREF _Toc354067288 \h </w:instrText>
        </w:r>
        <w:r w:rsidR="0042706C">
          <w:rPr>
            <w:noProof/>
            <w:webHidden/>
          </w:rPr>
        </w:r>
        <w:r w:rsidR="0042706C">
          <w:rPr>
            <w:noProof/>
            <w:webHidden/>
          </w:rPr>
          <w:fldChar w:fldCharType="separate"/>
        </w:r>
        <w:r w:rsidR="0042706C">
          <w:rPr>
            <w:noProof/>
            <w:webHidden/>
          </w:rPr>
          <w:t>45</w:t>
        </w:r>
        <w:r w:rsidR="0042706C">
          <w:rPr>
            <w:noProof/>
            <w:webHidden/>
          </w:rPr>
          <w:fldChar w:fldCharType="end"/>
        </w:r>
      </w:hyperlink>
    </w:p>
    <w:p w:rsidR="0042706C" w:rsidRDefault="00C64F38">
      <w:pPr>
        <w:pStyle w:val="TOC1"/>
        <w:tabs>
          <w:tab w:val="right" w:leader="dot" w:pos="9350"/>
        </w:tabs>
        <w:rPr>
          <w:rFonts w:asciiTheme="minorHAnsi" w:eastAsiaTheme="minorEastAsia" w:hAnsiTheme="minorHAnsi" w:cstheme="minorBidi"/>
          <w:noProof/>
          <w:sz w:val="22"/>
          <w:szCs w:val="22"/>
          <w:lang w:val="es-BO" w:eastAsia="es-BO"/>
        </w:rPr>
      </w:pPr>
      <w:hyperlink w:anchor="_Toc354067289" w:history="1">
        <w:r w:rsidR="0042706C" w:rsidRPr="006C60F3">
          <w:rPr>
            <w:rStyle w:val="Hyperlink"/>
            <w:noProof/>
          </w:rPr>
          <w:t>Annex 4: Operational Risk Assessment Framework (ORAF)</w:t>
        </w:r>
        <w:r w:rsidR="0042706C">
          <w:rPr>
            <w:noProof/>
            <w:webHidden/>
          </w:rPr>
          <w:tab/>
        </w:r>
        <w:r w:rsidR="0042706C">
          <w:rPr>
            <w:noProof/>
            <w:webHidden/>
          </w:rPr>
          <w:fldChar w:fldCharType="begin"/>
        </w:r>
        <w:r w:rsidR="0042706C">
          <w:rPr>
            <w:noProof/>
            <w:webHidden/>
          </w:rPr>
          <w:instrText xml:space="preserve"> PAGEREF _Toc354067289 \h </w:instrText>
        </w:r>
        <w:r w:rsidR="0042706C">
          <w:rPr>
            <w:noProof/>
            <w:webHidden/>
          </w:rPr>
        </w:r>
        <w:r w:rsidR="0042706C">
          <w:rPr>
            <w:noProof/>
            <w:webHidden/>
          </w:rPr>
          <w:fldChar w:fldCharType="separate"/>
        </w:r>
        <w:r w:rsidR="0042706C">
          <w:rPr>
            <w:noProof/>
            <w:webHidden/>
          </w:rPr>
          <w:t>62</w:t>
        </w:r>
        <w:r w:rsidR="0042706C">
          <w:rPr>
            <w:noProof/>
            <w:webHidden/>
          </w:rPr>
          <w:fldChar w:fldCharType="end"/>
        </w:r>
      </w:hyperlink>
    </w:p>
    <w:p w:rsidR="0042706C" w:rsidRDefault="00C64F38">
      <w:pPr>
        <w:pStyle w:val="TOC1"/>
        <w:tabs>
          <w:tab w:val="right" w:leader="dot" w:pos="9350"/>
        </w:tabs>
        <w:rPr>
          <w:rFonts w:asciiTheme="minorHAnsi" w:eastAsiaTheme="minorEastAsia" w:hAnsiTheme="minorHAnsi" w:cstheme="minorBidi"/>
          <w:noProof/>
          <w:sz w:val="22"/>
          <w:szCs w:val="22"/>
          <w:lang w:val="es-BO" w:eastAsia="es-BO"/>
        </w:rPr>
      </w:pPr>
      <w:hyperlink w:anchor="_Toc354067290" w:history="1">
        <w:r w:rsidR="0042706C" w:rsidRPr="006C60F3">
          <w:rPr>
            <w:rStyle w:val="Hyperlink"/>
            <w:noProof/>
            <w:lang w:val="en-GB"/>
          </w:rPr>
          <w:t>Annex 5: Implementation Support Plan</w:t>
        </w:r>
        <w:r w:rsidR="0042706C">
          <w:rPr>
            <w:noProof/>
            <w:webHidden/>
          </w:rPr>
          <w:tab/>
        </w:r>
        <w:r w:rsidR="0042706C">
          <w:rPr>
            <w:noProof/>
            <w:webHidden/>
          </w:rPr>
          <w:fldChar w:fldCharType="begin"/>
        </w:r>
        <w:r w:rsidR="0042706C">
          <w:rPr>
            <w:noProof/>
            <w:webHidden/>
          </w:rPr>
          <w:instrText xml:space="preserve"> PAGEREF _Toc354067290 \h </w:instrText>
        </w:r>
        <w:r w:rsidR="0042706C">
          <w:rPr>
            <w:noProof/>
            <w:webHidden/>
          </w:rPr>
        </w:r>
        <w:r w:rsidR="0042706C">
          <w:rPr>
            <w:noProof/>
            <w:webHidden/>
          </w:rPr>
          <w:fldChar w:fldCharType="separate"/>
        </w:r>
        <w:r w:rsidR="0042706C">
          <w:rPr>
            <w:noProof/>
            <w:webHidden/>
          </w:rPr>
          <w:t>68</w:t>
        </w:r>
        <w:r w:rsidR="0042706C">
          <w:rPr>
            <w:noProof/>
            <w:webHidden/>
          </w:rPr>
          <w:fldChar w:fldCharType="end"/>
        </w:r>
      </w:hyperlink>
    </w:p>
    <w:p w:rsidR="0042706C" w:rsidRDefault="00C64F38">
      <w:pPr>
        <w:pStyle w:val="TOC1"/>
        <w:tabs>
          <w:tab w:val="right" w:leader="dot" w:pos="9350"/>
        </w:tabs>
        <w:rPr>
          <w:rFonts w:asciiTheme="minorHAnsi" w:eastAsiaTheme="minorEastAsia" w:hAnsiTheme="minorHAnsi" w:cstheme="minorBidi"/>
          <w:noProof/>
          <w:sz w:val="22"/>
          <w:szCs w:val="22"/>
          <w:lang w:val="es-BO" w:eastAsia="es-BO"/>
        </w:rPr>
      </w:pPr>
      <w:hyperlink w:anchor="_Toc354067291" w:history="1">
        <w:r w:rsidR="0042706C" w:rsidRPr="006C60F3">
          <w:rPr>
            <w:rStyle w:val="Hyperlink"/>
            <w:noProof/>
          </w:rPr>
          <w:t>Annex 6: Economic and Financial Analysis</w:t>
        </w:r>
        <w:r w:rsidR="0042706C">
          <w:rPr>
            <w:noProof/>
            <w:webHidden/>
          </w:rPr>
          <w:tab/>
        </w:r>
        <w:r w:rsidR="0042706C">
          <w:rPr>
            <w:noProof/>
            <w:webHidden/>
          </w:rPr>
          <w:fldChar w:fldCharType="begin"/>
        </w:r>
        <w:r w:rsidR="0042706C">
          <w:rPr>
            <w:noProof/>
            <w:webHidden/>
          </w:rPr>
          <w:instrText xml:space="preserve"> PAGEREF _Toc354067291 \h </w:instrText>
        </w:r>
        <w:r w:rsidR="0042706C">
          <w:rPr>
            <w:noProof/>
            <w:webHidden/>
          </w:rPr>
        </w:r>
        <w:r w:rsidR="0042706C">
          <w:rPr>
            <w:noProof/>
            <w:webHidden/>
          </w:rPr>
          <w:fldChar w:fldCharType="separate"/>
        </w:r>
        <w:r w:rsidR="0042706C">
          <w:rPr>
            <w:noProof/>
            <w:webHidden/>
          </w:rPr>
          <w:t>72</w:t>
        </w:r>
        <w:r w:rsidR="0042706C">
          <w:rPr>
            <w:noProof/>
            <w:webHidden/>
          </w:rPr>
          <w:fldChar w:fldCharType="end"/>
        </w:r>
      </w:hyperlink>
    </w:p>
    <w:p w:rsidR="003F2766" w:rsidRDefault="006042F7">
      <w:pPr>
        <w:pStyle w:val="TOC1"/>
        <w:tabs>
          <w:tab w:val="right" w:leader="dot" w:pos="9350"/>
        </w:tabs>
      </w:pPr>
      <w:r>
        <w:fldChar w:fldCharType="end"/>
      </w:r>
    </w:p>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726CDA" w:rsidRDefault="00726CDA" w:rsidP="00726CDA"/>
    <w:p w:rsidR="00B1211D" w:rsidRDefault="00B1211D" w:rsidP="00726CDA"/>
    <w:p w:rsidR="00B1211D" w:rsidRDefault="00B1211D" w:rsidP="00726CDA"/>
    <w:p w:rsidR="00726CDA" w:rsidRPr="00726CDA" w:rsidRDefault="00726CDA" w:rsidP="00726CDA"/>
    <w:tbl>
      <w:tblPr>
        <w:tblW w:w="5642" w:type="pct"/>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32"/>
        <w:gridCol w:w="1193"/>
        <w:gridCol w:w="1866"/>
        <w:gridCol w:w="1110"/>
        <w:gridCol w:w="376"/>
        <w:gridCol w:w="1174"/>
        <w:gridCol w:w="218"/>
        <w:gridCol w:w="2506"/>
      </w:tblGrid>
      <w:tr w:rsidR="00255C47" w:rsidRPr="00776AF8" w:rsidTr="00E56731">
        <w:tc>
          <w:tcPr>
            <w:tcW w:w="5000" w:type="pct"/>
            <w:gridSpan w:val="8"/>
            <w:tcBorders>
              <w:top w:val="single" w:sz="4" w:space="0" w:color="auto"/>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3F11C9" w:rsidRDefault="00954B12" w:rsidP="00301DB4">
            <w:pPr>
              <w:jc w:val="center"/>
              <w:rPr>
                <w:b/>
              </w:rPr>
            </w:pPr>
            <w:r>
              <w:br w:type="page"/>
            </w:r>
            <w:bookmarkStart w:id="1" w:name="_Toc298170616"/>
          </w:p>
          <w:p w:rsidR="00A01763" w:rsidRPr="003F11C9" w:rsidRDefault="00F8424F" w:rsidP="00301DB4">
            <w:pPr>
              <w:jc w:val="center"/>
              <w:rPr>
                <w:b/>
                <w:sz w:val="28"/>
                <w:szCs w:val="28"/>
              </w:rPr>
            </w:pPr>
            <w:r w:rsidRPr="003F11C9">
              <w:rPr>
                <w:b/>
                <w:sz w:val="28"/>
                <w:szCs w:val="28"/>
              </w:rPr>
              <w:t>PAD DATA SHEEET</w:t>
            </w:r>
          </w:p>
        </w:tc>
      </w:tr>
      <w:tr w:rsidR="00255C47" w:rsidRPr="00776AF8" w:rsidTr="00E56731">
        <w:tc>
          <w:tcPr>
            <w:tcW w:w="5000" w:type="pct"/>
            <w:gridSpan w:val="8"/>
            <w:tcBorders>
              <w:top w:val="nil"/>
              <w:left w:val="single" w:sz="4" w:space="0" w:color="auto"/>
              <w:bottom w:val="nil"/>
              <w:right w:val="single" w:sz="4" w:space="0" w:color="auto"/>
            </w:tcBorders>
            <w:shd w:val="clear" w:color="auto" w:fill="FFFFFF"/>
            <w:tcMar>
              <w:top w:w="50" w:type="dxa"/>
              <w:left w:w="50" w:type="dxa"/>
              <w:bottom w:w="50" w:type="dxa"/>
              <w:right w:w="50" w:type="dxa"/>
            </w:tcMar>
          </w:tcPr>
          <w:p w:rsidR="00A01763" w:rsidRDefault="00F8424F" w:rsidP="00F8424F">
            <w:pPr>
              <w:jc w:val="center"/>
              <w:rPr>
                <w:bCs/>
                <w:i/>
              </w:rPr>
            </w:pPr>
            <w:r w:rsidRPr="003F11C9">
              <w:rPr>
                <w:bCs/>
                <w:i/>
              </w:rPr>
              <w:t>Republic of Nicaragua</w:t>
            </w:r>
          </w:p>
          <w:p w:rsidR="003F11C9" w:rsidRPr="003F11C9" w:rsidRDefault="003F11C9" w:rsidP="00F8424F">
            <w:pPr>
              <w:jc w:val="center"/>
              <w:rPr>
                <w:bCs/>
                <w:i/>
              </w:rPr>
            </w:pPr>
          </w:p>
          <w:p w:rsidR="00F8424F" w:rsidRPr="003F11C9" w:rsidRDefault="00F8424F" w:rsidP="00F8424F">
            <w:pPr>
              <w:jc w:val="center"/>
              <w:rPr>
                <w:bCs/>
                <w:sz w:val="28"/>
                <w:szCs w:val="28"/>
              </w:rPr>
            </w:pPr>
            <w:r w:rsidRPr="003F11C9">
              <w:rPr>
                <w:bCs/>
                <w:sz w:val="28"/>
                <w:szCs w:val="28"/>
              </w:rPr>
              <w:t xml:space="preserve">Education Sector </w:t>
            </w:r>
            <w:r w:rsidR="00957D5E" w:rsidRPr="003F11C9">
              <w:rPr>
                <w:bCs/>
                <w:sz w:val="28"/>
                <w:szCs w:val="28"/>
              </w:rPr>
              <w:t xml:space="preserve">Strategy Support </w:t>
            </w:r>
            <w:r w:rsidRPr="003F11C9">
              <w:rPr>
                <w:bCs/>
                <w:sz w:val="28"/>
                <w:szCs w:val="28"/>
              </w:rPr>
              <w:t>Project</w:t>
            </w:r>
          </w:p>
          <w:p w:rsidR="003F11C9" w:rsidRPr="003F11C9" w:rsidRDefault="003F11C9" w:rsidP="00F8424F">
            <w:pPr>
              <w:jc w:val="center"/>
              <w:rPr>
                <w:bCs/>
              </w:rPr>
            </w:pPr>
          </w:p>
          <w:p w:rsidR="00251534" w:rsidRPr="003F11C9" w:rsidRDefault="00251534" w:rsidP="00F8424F">
            <w:pPr>
              <w:jc w:val="center"/>
              <w:rPr>
                <w:b/>
                <w:color w:val="FFFFFF"/>
                <w:sz w:val="28"/>
                <w:szCs w:val="28"/>
              </w:rPr>
            </w:pPr>
            <w:r w:rsidRPr="003F11C9">
              <w:rPr>
                <w:b/>
                <w:bCs/>
                <w:sz w:val="28"/>
                <w:szCs w:val="28"/>
              </w:rPr>
              <w:t>PROJECT APPRAISAL DOCUMENT</w:t>
            </w:r>
          </w:p>
        </w:tc>
      </w:tr>
      <w:tr w:rsidR="00255C47" w:rsidRPr="00776AF8" w:rsidTr="00E56731">
        <w:tc>
          <w:tcPr>
            <w:tcW w:w="5000" w:type="pct"/>
            <w:gridSpan w:val="8"/>
            <w:tcBorders>
              <w:top w:val="nil"/>
              <w:left w:val="single" w:sz="4" w:space="0" w:color="auto"/>
              <w:bottom w:val="nil"/>
              <w:right w:val="single" w:sz="4" w:space="0" w:color="auto"/>
            </w:tcBorders>
            <w:shd w:val="clear" w:color="auto" w:fill="FFFFFF"/>
            <w:tcMar>
              <w:top w:w="50" w:type="dxa"/>
              <w:left w:w="50" w:type="dxa"/>
              <w:bottom w:w="50" w:type="dxa"/>
              <w:right w:w="50" w:type="dxa"/>
            </w:tcMar>
            <w:vAlign w:val="center"/>
          </w:tcPr>
          <w:p w:rsidR="00A01763" w:rsidRPr="003F11C9" w:rsidRDefault="00251534" w:rsidP="00301DB4">
            <w:pPr>
              <w:jc w:val="center"/>
            </w:pPr>
            <w:r w:rsidRPr="003F11C9">
              <w:rPr>
                <w:i/>
                <w:iCs/>
              </w:rPr>
              <w:t>Latin America &amp; the Caribbean Region</w:t>
            </w:r>
          </w:p>
        </w:tc>
      </w:tr>
      <w:tr w:rsidR="00255C47" w:rsidRPr="00776AF8" w:rsidTr="00E56731">
        <w:trPr>
          <w:trHeight w:val="276"/>
        </w:trPr>
        <w:tc>
          <w:tcPr>
            <w:tcW w:w="5000" w:type="pct"/>
            <w:gridSpan w:val="8"/>
            <w:vMerge w:val="restart"/>
            <w:tcBorders>
              <w:top w:val="nil"/>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01763" w:rsidRPr="003F11C9" w:rsidRDefault="00A01763" w:rsidP="00301DB4">
            <w:pPr>
              <w:jc w:val="center"/>
            </w:pPr>
            <w:r w:rsidRPr="003F11C9">
              <w:rPr>
                <w:i/>
                <w:iCs/>
              </w:rPr>
              <w:t>LCSHE</w:t>
            </w:r>
          </w:p>
        </w:tc>
      </w:tr>
      <w:tr w:rsidR="00255C47" w:rsidRPr="00776AF8" w:rsidTr="00E56731">
        <w:trPr>
          <w:trHeight w:val="253"/>
        </w:trPr>
        <w:tc>
          <w:tcPr>
            <w:tcW w:w="5000" w:type="pct"/>
            <w:gridSpan w:val="8"/>
            <w:vMerge/>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A01763" w:rsidRPr="00776AF8" w:rsidRDefault="00A01763" w:rsidP="00301DB4">
            <w:pPr>
              <w:rPr>
                <w:sz w:val="22"/>
                <w:szCs w:val="22"/>
              </w:rPr>
            </w:pPr>
          </w:p>
        </w:tc>
      </w:tr>
      <w:tr w:rsidR="00255C47" w:rsidRPr="00776AF8" w:rsidTr="00E56731">
        <w:tc>
          <w:tcPr>
            <w:tcW w:w="5000" w:type="pct"/>
            <w:gridSpan w:val="8"/>
            <w:tcBorders>
              <w:top w:val="single" w:sz="4" w:space="0" w:color="auto"/>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A01763" w:rsidRPr="00776AF8" w:rsidRDefault="00A01763" w:rsidP="00301DB4">
            <w:pPr>
              <w:rPr>
                <w:sz w:val="2"/>
                <w:szCs w:val="2"/>
              </w:rPr>
            </w:pPr>
            <w:r w:rsidRPr="00776AF8">
              <w:rPr>
                <w:sz w:val="2"/>
                <w:szCs w:val="2"/>
              </w:rPr>
              <w:t>.</w:t>
            </w: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A01763" w:rsidRPr="003F11C9" w:rsidRDefault="00A01763" w:rsidP="00301DB4">
            <w:pPr>
              <w:jc w:val="center"/>
              <w:rPr>
                <w:sz w:val="28"/>
                <w:szCs w:val="28"/>
              </w:rPr>
            </w:pPr>
            <w:r w:rsidRPr="003F11C9">
              <w:rPr>
                <w:b/>
                <w:bCs/>
                <w:sz w:val="28"/>
                <w:szCs w:val="28"/>
              </w:rPr>
              <w:t xml:space="preserve">Basic Information </w:t>
            </w:r>
          </w:p>
        </w:tc>
      </w:tr>
      <w:tr w:rsidR="00E56731" w:rsidRPr="00776AF8" w:rsidTr="00C31FE0">
        <w:tc>
          <w:tcPr>
            <w:tcW w:w="1604" w:type="pct"/>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Date:</w:t>
            </w:r>
          </w:p>
        </w:tc>
        <w:tc>
          <w:tcPr>
            <w:tcW w:w="1394" w:type="pct"/>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A01763" w:rsidRPr="003F11C9" w:rsidRDefault="007E1614" w:rsidP="003F11C9">
            <w:r w:rsidRPr="003F11C9">
              <w:t xml:space="preserve">April </w:t>
            </w:r>
            <w:r w:rsidR="00C31FE0">
              <w:t>11</w:t>
            </w:r>
            <w:r w:rsidR="006042F7" w:rsidRPr="003F11C9">
              <w:t>,</w:t>
            </w:r>
            <w:r w:rsidR="00924CEA" w:rsidRPr="003F11C9">
              <w:t xml:space="preserve"> 201</w:t>
            </w:r>
            <w:r w:rsidR="003870F1" w:rsidRPr="003F11C9">
              <w:t>3</w:t>
            </w:r>
          </w:p>
        </w:tc>
        <w:tc>
          <w:tcPr>
            <w:tcW w:w="726" w:type="pct"/>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583687">
            <w:pPr>
              <w:ind w:right="-98"/>
            </w:pPr>
            <w:r w:rsidRPr="003F11C9">
              <w:t>Sectors</w:t>
            </w:r>
            <w:r w:rsidR="00583687">
              <w:t>:</w:t>
            </w:r>
          </w:p>
        </w:tc>
        <w:tc>
          <w:tcPr>
            <w:tcW w:w="1276" w:type="pct"/>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583687" w:rsidRDefault="00957D5E" w:rsidP="00583687">
            <w:r w:rsidRPr="003F11C9">
              <w:t>Early Childhood Educatio</w:t>
            </w:r>
            <w:r w:rsidR="00A51AE8" w:rsidRPr="003F11C9">
              <w:t>n</w:t>
            </w:r>
          </w:p>
          <w:p w:rsidR="00A01763" w:rsidRPr="003F11C9" w:rsidRDefault="00A51AE8" w:rsidP="00583687">
            <w:r w:rsidRPr="003F11C9">
              <w:t>(30%), Secondary Education (70</w:t>
            </w:r>
            <w:r w:rsidR="00957D5E" w:rsidRPr="003F11C9">
              <w:t>%)</w:t>
            </w:r>
          </w:p>
        </w:tc>
      </w:tr>
      <w:tr w:rsidR="00E56731" w:rsidRPr="00776AF8" w:rsidTr="00C31FE0">
        <w:tc>
          <w:tcPr>
            <w:tcW w:w="1604" w:type="pct"/>
            <w:gridSpan w:val="2"/>
            <w:tcBorders>
              <w:top w:val="nil"/>
              <w:left w:val="single" w:sz="4" w:space="0" w:color="000000"/>
              <w:bottom w:val="nil"/>
              <w:right w:val="nil"/>
            </w:tcBorders>
            <w:shd w:val="clear" w:color="auto" w:fill="auto"/>
            <w:tcMar>
              <w:top w:w="50" w:type="dxa"/>
              <w:left w:w="50" w:type="dxa"/>
              <w:bottom w:w="50" w:type="dxa"/>
              <w:right w:w="50" w:type="dxa"/>
            </w:tcMar>
          </w:tcPr>
          <w:p w:rsidR="00A01763" w:rsidRPr="003F11C9" w:rsidRDefault="00A01763" w:rsidP="00301DB4">
            <w:r w:rsidRPr="003F11C9">
              <w:t>Country Director:</w:t>
            </w:r>
          </w:p>
        </w:tc>
        <w:tc>
          <w:tcPr>
            <w:tcW w:w="1394" w:type="pct"/>
            <w:gridSpan w:val="2"/>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A01763" w:rsidP="00301DB4">
            <w:r w:rsidRPr="003F11C9">
              <w:t>Carlos Felipe Jaramillo</w:t>
            </w:r>
          </w:p>
        </w:tc>
        <w:tc>
          <w:tcPr>
            <w:tcW w:w="726" w:type="pct"/>
            <w:gridSpan w:val="2"/>
            <w:vMerge w:val="restart"/>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F11C9">
            <w:pPr>
              <w:ind w:right="-230"/>
            </w:pPr>
            <w:r w:rsidRPr="003F11C9">
              <w:t>Themes:</w:t>
            </w:r>
          </w:p>
        </w:tc>
        <w:tc>
          <w:tcPr>
            <w:tcW w:w="1276" w:type="pct"/>
            <w:gridSpan w:val="2"/>
            <w:vMerge w:val="restart"/>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583687" w:rsidP="008B6E3F">
            <w:r>
              <w:t xml:space="preserve"> </w:t>
            </w:r>
            <w:r w:rsidR="008B6E3F" w:rsidRPr="003F11C9">
              <w:t>Education for all (100</w:t>
            </w:r>
            <w:r w:rsidR="00A01763" w:rsidRPr="003F11C9">
              <w:t>%)</w:t>
            </w:r>
          </w:p>
        </w:tc>
      </w:tr>
      <w:tr w:rsidR="00E56731" w:rsidRPr="00776AF8" w:rsidTr="00C31FE0">
        <w:tc>
          <w:tcPr>
            <w:tcW w:w="1604" w:type="pct"/>
            <w:gridSpan w:val="2"/>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Sector Manager/Director:</w:t>
            </w:r>
          </w:p>
        </w:tc>
        <w:tc>
          <w:tcPr>
            <w:tcW w:w="1394" w:type="pct"/>
            <w:gridSpan w:val="2"/>
            <w:tcBorders>
              <w:top w:val="nil"/>
              <w:left w:val="nil"/>
              <w:bottom w:val="nil"/>
              <w:right w:val="single" w:sz="4" w:space="0" w:color="000000"/>
            </w:tcBorders>
            <w:shd w:val="clear" w:color="auto" w:fill="FFFFFF"/>
            <w:tcMar>
              <w:top w:w="50" w:type="dxa"/>
              <w:left w:w="50" w:type="dxa"/>
              <w:bottom w:w="50" w:type="dxa"/>
              <w:right w:w="50" w:type="dxa"/>
            </w:tcMar>
          </w:tcPr>
          <w:p w:rsidR="003F11C9" w:rsidRDefault="00A438CA" w:rsidP="003F11C9">
            <w:pPr>
              <w:ind w:right="-230"/>
            </w:pPr>
            <w:r w:rsidRPr="003F11C9">
              <w:t>Reema Nayar</w:t>
            </w:r>
            <w:r w:rsidR="00A01763" w:rsidRPr="003F11C9">
              <w:t>/</w:t>
            </w:r>
          </w:p>
          <w:p w:rsidR="00A01763" w:rsidRPr="003F11C9" w:rsidRDefault="00A01763" w:rsidP="003F11C9">
            <w:pPr>
              <w:ind w:right="-230"/>
            </w:pPr>
            <w:r w:rsidRPr="003F11C9">
              <w:t>Keith E. Hansen</w:t>
            </w:r>
          </w:p>
        </w:tc>
        <w:tc>
          <w:tcPr>
            <w:tcW w:w="726" w:type="pct"/>
            <w:gridSpan w:val="2"/>
            <w:vMerge/>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tc>
        <w:tc>
          <w:tcPr>
            <w:tcW w:w="1276" w:type="pct"/>
            <w:gridSpan w:val="2"/>
            <w:vMerge/>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A01763" w:rsidP="00301DB4"/>
        </w:tc>
      </w:tr>
      <w:tr w:rsidR="00E56731" w:rsidRPr="00776AF8" w:rsidTr="00C31FE0">
        <w:tc>
          <w:tcPr>
            <w:tcW w:w="1604" w:type="pct"/>
            <w:gridSpan w:val="2"/>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Project ID:</w:t>
            </w:r>
          </w:p>
        </w:tc>
        <w:tc>
          <w:tcPr>
            <w:tcW w:w="1394" w:type="pct"/>
            <w:gridSpan w:val="2"/>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A01763" w:rsidP="008B6E3F">
            <w:r w:rsidRPr="003F11C9">
              <w:t>P</w:t>
            </w:r>
            <w:r w:rsidR="008B6E3F" w:rsidRPr="003F11C9">
              <w:t>13</w:t>
            </w:r>
            <w:r w:rsidR="00F75571" w:rsidRPr="003F11C9">
              <w:t>3557</w:t>
            </w:r>
          </w:p>
        </w:tc>
        <w:tc>
          <w:tcPr>
            <w:tcW w:w="726" w:type="pct"/>
            <w:gridSpan w:val="2"/>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EA Category:</w:t>
            </w:r>
          </w:p>
        </w:tc>
        <w:tc>
          <w:tcPr>
            <w:tcW w:w="1276" w:type="pct"/>
            <w:gridSpan w:val="2"/>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957D5E" w:rsidP="00A01763">
            <w:r w:rsidRPr="003F11C9">
              <w:t>B</w:t>
            </w:r>
            <w:r w:rsidR="00A01763" w:rsidRPr="003F11C9">
              <w:t xml:space="preserve"> </w:t>
            </w:r>
            <w:r w:rsidR="00E56731">
              <w:t xml:space="preserve"> </w:t>
            </w:r>
          </w:p>
        </w:tc>
      </w:tr>
      <w:tr w:rsidR="00E56731" w:rsidRPr="00776AF8" w:rsidTr="00C31FE0">
        <w:tc>
          <w:tcPr>
            <w:tcW w:w="1604" w:type="pct"/>
            <w:gridSpan w:val="2"/>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Lending Instrument:</w:t>
            </w:r>
          </w:p>
        </w:tc>
        <w:tc>
          <w:tcPr>
            <w:tcW w:w="1394" w:type="pct"/>
            <w:gridSpan w:val="2"/>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453DCE" w:rsidP="00453DCE">
            <w:r>
              <w:t xml:space="preserve">Investment </w:t>
            </w:r>
            <w:r w:rsidR="00BF7645">
              <w:t>Project Financing</w:t>
            </w:r>
          </w:p>
        </w:tc>
        <w:tc>
          <w:tcPr>
            <w:tcW w:w="2002" w:type="pct"/>
            <w:gridSpan w:val="4"/>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01763" w:rsidRPr="003F11C9" w:rsidRDefault="00A01763" w:rsidP="00301DB4"/>
        </w:tc>
      </w:tr>
      <w:tr w:rsidR="00E56731" w:rsidRPr="00776AF8" w:rsidTr="00C31FE0">
        <w:tc>
          <w:tcPr>
            <w:tcW w:w="1604" w:type="pct"/>
            <w:gridSpan w:val="2"/>
            <w:tcBorders>
              <w:top w:val="nil"/>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Team Leader(s):</w:t>
            </w:r>
          </w:p>
        </w:tc>
        <w:tc>
          <w:tcPr>
            <w:tcW w:w="1394" w:type="pct"/>
            <w:gridSpan w:val="2"/>
            <w:tcBorders>
              <w:top w:val="nil"/>
              <w:left w:val="nil"/>
              <w:bottom w:val="nil"/>
              <w:right w:val="single" w:sz="4" w:space="0" w:color="000000"/>
            </w:tcBorders>
            <w:shd w:val="clear" w:color="auto" w:fill="FFFFFF"/>
            <w:tcMar>
              <w:top w:w="50" w:type="dxa"/>
              <w:left w:w="50" w:type="dxa"/>
              <w:bottom w:w="50" w:type="dxa"/>
              <w:right w:w="50" w:type="dxa"/>
            </w:tcMar>
          </w:tcPr>
          <w:p w:rsidR="00A01763" w:rsidRPr="003F11C9" w:rsidRDefault="00A01763" w:rsidP="00957D5E">
            <w:r w:rsidRPr="003F11C9">
              <w:t>Michael Drabble</w:t>
            </w:r>
          </w:p>
        </w:tc>
        <w:tc>
          <w:tcPr>
            <w:tcW w:w="2002" w:type="pct"/>
            <w:gridSpan w:val="4"/>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01763" w:rsidRPr="00776AF8" w:rsidRDefault="00A01763" w:rsidP="00301DB4">
            <w:pPr>
              <w:rPr>
                <w:sz w:val="16"/>
                <w:szCs w:val="16"/>
              </w:rPr>
            </w:pP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01763" w:rsidRPr="003F11C9" w:rsidRDefault="00A01763" w:rsidP="002677F2">
            <w:r w:rsidRPr="003F11C9">
              <w:t xml:space="preserve">Does the </w:t>
            </w:r>
            <w:r w:rsidR="002677F2" w:rsidRPr="003F11C9">
              <w:t>P</w:t>
            </w:r>
            <w:r w:rsidRPr="003F11C9">
              <w:t>roject include any CDD component?  No</w:t>
            </w: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01763" w:rsidRPr="003F11C9" w:rsidRDefault="00A01763" w:rsidP="00301DB4">
            <w:r w:rsidRPr="003F11C9">
              <w:t>Joint IFC: No</w:t>
            </w: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A01763" w:rsidRPr="00776AF8" w:rsidRDefault="00A01763" w:rsidP="00301DB4">
            <w:pPr>
              <w:rPr>
                <w:sz w:val="2"/>
                <w:szCs w:val="2"/>
              </w:rPr>
            </w:pPr>
            <w:r w:rsidRPr="00776AF8">
              <w:rPr>
                <w:sz w:val="2"/>
                <w:szCs w:val="2"/>
              </w:rPr>
              <w:t>.</w:t>
            </w: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01763" w:rsidRPr="003F11C9" w:rsidRDefault="00FC545F" w:rsidP="00FC545F">
            <w:r w:rsidRPr="003F11C9">
              <w:t>Recipient</w:t>
            </w:r>
            <w:r w:rsidR="00A01763" w:rsidRPr="003F11C9">
              <w:t xml:space="preserve">: </w:t>
            </w:r>
            <w:r w:rsidR="00A53D0F">
              <w:t xml:space="preserve">                         </w:t>
            </w:r>
            <w:r w:rsidR="00A01763" w:rsidRPr="003F11C9">
              <w:t>Government of Nicaragua</w:t>
            </w: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01763" w:rsidRPr="003F11C9" w:rsidRDefault="00A01763" w:rsidP="00301DB4">
            <w:r w:rsidRPr="003F11C9">
              <w:t>R</w:t>
            </w:r>
            <w:r w:rsidR="00124A4B" w:rsidRPr="003F11C9">
              <w:t>esp</w:t>
            </w:r>
            <w:r w:rsidRPr="003F11C9">
              <w:t xml:space="preserve">onsible Agency: </w:t>
            </w:r>
            <w:r w:rsidR="003F11C9">
              <w:t xml:space="preserve">       </w:t>
            </w:r>
            <w:r w:rsidRPr="003F11C9">
              <w:t>Ministry of Education</w:t>
            </w:r>
            <w:r w:rsidR="00652D54" w:rsidRPr="003F11C9">
              <w:t xml:space="preserve"> (MINED)</w:t>
            </w:r>
          </w:p>
        </w:tc>
      </w:tr>
      <w:tr w:rsidR="00E56731" w:rsidRPr="00776AF8" w:rsidTr="00422933">
        <w:tc>
          <w:tcPr>
            <w:tcW w:w="1045" w:type="pct"/>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Contact:</w:t>
            </w:r>
          </w:p>
        </w:tc>
        <w:tc>
          <w:tcPr>
            <w:tcW w:w="2128" w:type="pct"/>
            <w:gridSpan w:val="4"/>
            <w:tcBorders>
              <w:top w:val="single" w:sz="4" w:space="0" w:color="000000"/>
              <w:left w:val="nil"/>
              <w:bottom w:val="nil"/>
              <w:right w:val="nil"/>
            </w:tcBorders>
            <w:shd w:val="clear" w:color="auto" w:fill="FFFFFF"/>
            <w:tcMar>
              <w:top w:w="50" w:type="dxa"/>
              <w:left w:w="50" w:type="dxa"/>
              <w:bottom w:w="50" w:type="dxa"/>
              <w:right w:w="50" w:type="dxa"/>
            </w:tcMar>
          </w:tcPr>
          <w:p w:rsidR="00A01763" w:rsidRPr="003F11C9" w:rsidRDefault="00A01763" w:rsidP="0044458A">
            <w:pPr>
              <w:ind w:left="267"/>
            </w:pPr>
            <w:r w:rsidRPr="003F11C9">
              <w:t>Sra. Miriam Raudez</w:t>
            </w:r>
          </w:p>
        </w:tc>
        <w:tc>
          <w:tcPr>
            <w:tcW w:w="550" w:type="pct"/>
            <w:tcBorders>
              <w:top w:val="single" w:sz="4" w:space="0" w:color="000000"/>
              <w:left w:val="nil"/>
              <w:bottom w:val="nil"/>
              <w:right w:val="nil"/>
            </w:tcBorders>
            <w:shd w:val="clear" w:color="auto" w:fill="FFFFFF"/>
            <w:tcMar>
              <w:top w:w="50" w:type="dxa"/>
              <w:left w:w="50" w:type="dxa"/>
              <w:bottom w:w="50" w:type="dxa"/>
              <w:right w:w="50" w:type="dxa"/>
            </w:tcMar>
          </w:tcPr>
          <w:p w:rsidR="00A01763" w:rsidRPr="003F11C9" w:rsidRDefault="00A01763" w:rsidP="00301DB4">
            <w:r w:rsidRPr="003F11C9">
              <w:t xml:space="preserve">    </w:t>
            </w:r>
            <w:r w:rsidR="003F11C9">
              <w:t xml:space="preserve"> </w:t>
            </w:r>
            <w:r w:rsidRPr="003F11C9">
              <w:t>Title:</w:t>
            </w:r>
          </w:p>
        </w:tc>
        <w:tc>
          <w:tcPr>
            <w:tcW w:w="1276" w:type="pct"/>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A01763" w:rsidRPr="003F11C9" w:rsidRDefault="00A01763" w:rsidP="00301DB4">
            <w:r w:rsidRPr="003F11C9">
              <w:t>Minister</w:t>
            </w:r>
          </w:p>
        </w:tc>
      </w:tr>
      <w:tr w:rsidR="00E56731" w:rsidRPr="00776AF8" w:rsidTr="00422933">
        <w:tc>
          <w:tcPr>
            <w:tcW w:w="1045" w:type="pct"/>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A01763" w:rsidRPr="003F11C9" w:rsidRDefault="00A01763" w:rsidP="00301DB4">
            <w:r w:rsidRPr="003F11C9">
              <w:t>Telephone No.:</w:t>
            </w:r>
          </w:p>
        </w:tc>
        <w:tc>
          <w:tcPr>
            <w:tcW w:w="2128" w:type="pct"/>
            <w:gridSpan w:val="4"/>
            <w:tcBorders>
              <w:top w:val="nil"/>
              <w:left w:val="nil"/>
              <w:bottom w:val="single" w:sz="4" w:space="0" w:color="000000"/>
              <w:right w:val="nil"/>
            </w:tcBorders>
            <w:shd w:val="clear" w:color="auto" w:fill="FFFFFF"/>
            <w:tcMar>
              <w:top w:w="50" w:type="dxa"/>
              <w:left w:w="50" w:type="dxa"/>
              <w:bottom w:w="50" w:type="dxa"/>
              <w:right w:w="50" w:type="dxa"/>
            </w:tcMar>
          </w:tcPr>
          <w:p w:rsidR="00A01763" w:rsidRPr="003F11C9" w:rsidRDefault="00A01763" w:rsidP="0044458A">
            <w:pPr>
              <w:ind w:left="267"/>
            </w:pPr>
            <w:r w:rsidRPr="003F11C9">
              <w:t>505-2265-1451</w:t>
            </w:r>
          </w:p>
        </w:tc>
        <w:tc>
          <w:tcPr>
            <w:tcW w:w="550" w:type="pct"/>
            <w:tcBorders>
              <w:top w:val="nil"/>
              <w:left w:val="nil"/>
              <w:bottom w:val="single" w:sz="4" w:space="0" w:color="000000"/>
              <w:right w:val="nil"/>
            </w:tcBorders>
            <w:shd w:val="clear" w:color="auto" w:fill="FFFFFF"/>
            <w:tcMar>
              <w:top w:w="50" w:type="dxa"/>
              <w:left w:w="50" w:type="dxa"/>
              <w:bottom w:w="50" w:type="dxa"/>
              <w:right w:w="50" w:type="dxa"/>
            </w:tcMar>
          </w:tcPr>
          <w:p w:rsidR="00A01763" w:rsidRPr="003F11C9" w:rsidRDefault="00A01763" w:rsidP="00301DB4">
            <w:r w:rsidRPr="003F11C9">
              <w:t xml:space="preserve">    </w:t>
            </w:r>
            <w:r w:rsidR="003F11C9">
              <w:t xml:space="preserve"> </w:t>
            </w:r>
            <w:r w:rsidRPr="003F11C9">
              <w:t>Email:</w:t>
            </w:r>
          </w:p>
        </w:tc>
        <w:tc>
          <w:tcPr>
            <w:tcW w:w="1276" w:type="pct"/>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A01763" w:rsidRPr="003F11C9" w:rsidRDefault="00C64F38" w:rsidP="00301DB4">
            <w:hyperlink r:id="rId9" w:history="1">
              <w:r w:rsidR="00A01763" w:rsidRPr="003F11C9">
                <w:rPr>
                  <w:rStyle w:val="Hyperlink"/>
                </w:rPr>
                <w:t>raudezm@mined.gob.ni</w:t>
              </w:r>
            </w:hyperlink>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A01763" w:rsidRPr="003F11C9" w:rsidRDefault="00A01763" w:rsidP="00301DB4">
            <w:r w:rsidRPr="003F11C9">
              <w:t>.</w:t>
            </w:r>
          </w:p>
        </w:tc>
      </w:tr>
      <w:tr w:rsidR="00E56731" w:rsidRPr="00776AF8" w:rsidTr="00C31FE0">
        <w:tc>
          <w:tcPr>
            <w:tcW w:w="1604" w:type="pct"/>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tcPr>
          <w:p w:rsidR="00A01763" w:rsidRPr="003F11C9" w:rsidRDefault="00A01763" w:rsidP="00301DB4">
            <w:r w:rsidRPr="003F11C9">
              <w:t>Project Implementation Period:</w:t>
            </w:r>
          </w:p>
        </w:tc>
        <w:tc>
          <w:tcPr>
            <w:tcW w:w="874" w:type="pc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01763" w:rsidRPr="003F11C9" w:rsidRDefault="00A01763" w:rsidP="00255C47">
            <w:r w:rsidRPr="003F11C9">
              <w:t>Start Date:</w:t>
            </w:r>
          </w:p>
        </w:tc>
        <w:tc>
          <w:tcPr>
            <w:tcW w:w="696" w:type="pct"/>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01763" w:rsidRPr="003F11C9" w:rsidRDefault="0012583F" w:rsidP="003F11C9">
            <w:pPr>
              <w:ind w:right="-8"/>
            </w:pPr>
            <w:r w:rsidRPr="003F11C9">
              <w:t>May</w:t>
            </w:r>
            <w:r w:rsidR="00957D5E" w:rsidRPr="003F11C9">
              <w:t xml:space="preserve"> 1</w:t>
            </w:r>
            <w:r w:rsidRPr="003F11C9">
              <w:t>5</w:t>
            </w:r>
            <w:r w:rsidR="003F11C9">
              <w:t>, 2</w:t>
            </w:r>
            <w:r w:rsidR="004639BD" w:rsidRPr="003F11C9">
              <w:t>01</w:t>
            </w:r>
            <w:r w:rsidR="003870F1" w:rsidRPr="003F11C9">
              <w:t>3</w:t>
            </w:r>
          </w:p>
        </w:tc>
        <w:tc>
          <w:tcPr>
            <w:tcW w:w="652" w:type="pct"/>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01763" w:rsidRPr="003F11C9" w:rsidRDefault="003F11C9" w:rsidP="003F11C9">
            <w:pPr>
              <w:jc w:val="center"/>
            </w:pPr>
            <w:r>
              <w:t xml:space="preserve"> </w:t>
            </w:r>
            <w:r w:rsidR="004639BD" w:rsidRPr="003F11C9">
              <w:t>End Date:</w:t>
            </w:r>
          </w:p>
        </w:tc>
        <w:tc>
          <w:tcPr>
            <w:tcW w:w="1174" w:type="pct"/>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01763" w:rsidRPr="003F11C9" w:rsidRDefault="003F11C9" w:rsidP="00EE05B0">
            <w:r>
              <w:t xml:space="preserve">  </w:t>
            </w:r>
            <w:r w:rsidR="00EE05B0">
              <w:t>April 30</w:t>
            </w:r>
            <w:r w:rsidR="00B47151" w:rsidRPr="003F11C9">
              <w:t>, 2016</w:t>
            </w:r>
          </w:p>
        </w:tc>
      </w:tr>
      <w:tr w:rsidR="00E56731" w:rsidRPr="00776AF8" w:rsidTr="00C31FE0">
        <w:tc>
          <w:tcPr>
            <w:tcW w:w="1604" w:type="pct"/>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A01763" w:rsidRPr="003F11C9" w:rsidRDefault="00A01763" w:rsidP="00301DB4">
            <w:r w:rsidRPr="003F11C9">
              <w:t>Expected Effectiveness Date:</w:t>
            </w:r>
          </w:p>
        </w:tc>
        <w:tc>
          <w:tcPr>
            <w:tcW w:w="3396" w:type="pct"/>
            <w:gridSpan w:val="6"/>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A01763" w:rsidRPr="003F11C9" w:rsidRDefault="0012583F" w:rsidP="0069492C">
            <w:r w:rsidRPr="003F11C9">
              <w:t>May 15</w:t>
            </w:r>
            <w:r w:rsidR="004639BD" w:rsidRPr="003F11C9">
              <w:t>, 201</w:t>
            </w:r>
            <w:r w:rsidR="003870F1" w:rsidRPr="003F11C9">
              <w:t>3</w:t>
            </w:r>
          </w:p>
        </w:tc>
      </w:tr>
      <w:tr w:rsidR="00E56731" w:rsidRPr="00776AF8" w:rsidTr="00C31FE0">
        <w:tc>
          <w:tcPr>
            <w:tcW w:w="1604" w:type="pct"/>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A01763" w:rsidRPr="003F11C9" w:rsidRDefault="00A01763" w:rsidP="00301DB4">
            <w:r w:rsidRPr="003F11C9">
              <w:t>Expected Closing Date:</w:t>
            </w:r>
          </w:p>
        </w:tc>
        <w:tc>
          <w:tcPr>
            <w:tcW w:w="3396" w:type="pct"/>
            <w:gridSpan w:val="6"/>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A01763" w:rsidRPr="003F11C9" w:rsidRDefault="00EE05B0" w:rsidP="00301DB4">
            <w:r>
              <w:t>April 30</w:t>
            </w:r>
            <w:r w:rsidR="00B47151" w:rsidRPr="003F11C9">
              <w:t>, 2016</w:t>
            </w:r>
          </w:p>
        </w:tc>
      </w:tr>
      <w:tr w:rsidR="00255C47" w:rsidRPr="00776AF8" w:rsidTr="00E56731">
        <w:tc>
          <w:tcPr>
            <w:tcW w:w="5000" w:type="pct"/>
            <w:gridSpan w:val="8"/>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A01763" w:rsidRPr="00776AF8" w:rsidRDefault="00A01763" w:rsidP="00301DB4">
            <w:pPr>
              <w:rPr>
                <w:sz w:val="2"/>
                <w:szCs w:val="2"/>
              </w:rPr>
            </w:pPr>
            <w:r w:rsidRPr="00776AF8">
              <w:rPr>
                <w:sz w:val="2"/>
                <w:szCs w:val="2"/>
              </w:rPr>
              <w:t>.</w:t>
            </w:r>
          </w:p>
        </w:tc>
      </w:tr>
    </w:tbl>
    <w:p w:rsidR="00C31FE0" w:rsidRDefault="00C31FE0">
      <w:r>
        <w:br w:type="page"/>
      </w:r>
    </w:p>
    <w:tbl>
      <w:tblPr>
        <w:tblW w:w="5642" w:type="pct"/>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137"/>
        <w:gridCol w:w="839"/>
        <w:gridCol w:w="111"/>
        <w:gridCol w:w="1337"/>
        <w:gridCol w:w="260"/>
        <w:gridCol w:w="617"/>
        <w:gridCol w:w="613"/>
        <w:gridCol w:w="278"/>
        <w:gridCol w:w="1179"/>
        <w:gridCol w:w="461"/>
        <w:gridCol w:w="1503"/>
        <w:gridCol w:w="214"/>
        <w:gridCol w:w="2126"/>
      </w:tblGrid>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A01763" w:rsidRPr="00A53D0F" w:rsidRDefault="00A01763" w:rsidP="00301DB4">
            <w:pPr>
              <w:jc w:val="center"/>
              <w:rPr>
                <w:sz w:val="28"/>
                <w:szCs w:val="28"/>
              </w:rPr>
            </w:pPr>
            <w:r w:rsidRPr="00A53D0F">
              <w:rPr>
                <w:b/>
                <w:bCs/>
                <w:sz w:val="28"/>
                <w:szCs w:val="28"/>
              </w:rPr>
              <w:lastRenderedPageBreak/>
              <w:t>Project Financing Data(US$M)</w:t>
            </w:r>
          </w:p>
        </w:tc>
      </w:tr>
      <w:tr w:rsidR="00E56731" w:rsidRPr="00A53D0F" w:rsidTr="00C31FE0">
        <w:tc>
          <w:tcPr>
            <w:tcW w:w="533" w:type="pct"/>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A01763" w:rsidRPr="00A53D0F" w:rsidRDefault="00A01763" w:rsidP="00301DB4">
            <w:r w:rsidRPr="00A53D0F">
              <w:t>[   ]</w:t>
            </w:r>
          </w:p>
        </w:tc>
        <w:tc>
          <w:tcPr>
            <w:tcW w:w="393" w:type="pct"/>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t>Loan</w:t>
            </w:r>
          </w:p>
        </w:tc>
        <w:tc>
          <w:tcPr>
            <w:tcW w:w="678" w:type="pct"/>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A01763" w:rsidRPr="00A53D0F" w:rsidRDefault="002974F9" w:rsidP="00301DB4">
            <w:r w:rsidRPr="00A53D0F">
              <w:t>[X</w:t>
            </w:r>
            <w:r w:rsidR="003B17A1" w:rsidRPr="00A53D0F">
              <w:t>]</w:t>
            </w:r>
            <w:r w:rsidR="00A01763" w:rsidRPr="00A53D0F">
              <w:t xml:space="preserve"> </w:t>
            </w:r>
          </w:p>
        </w:tc>
        <w:tc>
          <w:tcPr>
            <w:tcW w:w="698" w:type="pct"/>
            <w:gridSpan w:val="3"/>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t>Grant</w:t>
            </w:r>
          </w:p>
        </w:tc>
        <w:tc>
          <w:tcPr>
            <w:tcW w:w="130" w:type="pct"/>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01763" w:rsidRPr="00A53D0F" w:rsidRDefault="00A01763" w:rsidP="00301DB4">
            <w:r w:rsidRPr="00A53D0F">
              <w:t xml:space="preserve">[   </w:t>
            </w:r>
          </w:p>
        </w:tc>
        <w:tc>
          <w:tcPr>
            <w:tcW w:w="2568" w:type="pct"/>
            <w:gridSpan w:val="5"/>
            <w:vMerge w:val="restart"/>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01763" w:rsidRDefault="0044458A" w:rsidP="00255C47">
            <w:r w:rsidRPr="00A53D0F">
              <w:t>]</w:t>
            </w:r>
            <w:r w:rsidR="00255C47">
              <w:t xml:space="preserve"> Other</w:t>
            </w:r>
          </w:p>
          <w:p w:rsidR="00587D3E" w:rsidRDefault="00587D3E" w:rsidP="0044458A">
            <w:pPr>
              <w:ind w:left="90" w:hanging="180"/>
            </w:pPr>
          </w:p>
          <w:p w:rsidR="00587D3E" w:rsidRDefault="00587D3E" w:rsidP="0044458A">
            <w:pPr>
              <w:ind w:left="90" w:hanging="180"/>
            </w:pPr>
          </w:p>
          <w:p w:rsidR="00587D3E" w:rsidRPr="00A53D0F" w:rsidRDefault="00587D3E" w:rsidP="0044458A">
            <w:pPr>
              <w:ind w:left="90" w:hanging="180"/>
            </w:pPr>
          </w:p>
        </w:tc>
      </w:tr>
      <w:tr w:rsidR="00E56731" w:rsidRPr="00A53D0F" w:rsidTr="00C31FE0">
        <w:trPr>
          <w:trHeight w:val="1290"/>
        </w:trPr>
        <w:tc>
          <w:tcPr>
            <w:tcW w:w="533" w:type="pct"/>
            <w:tcBorders>
              <w:top w:val="nil"/>
              <w:left w:val="single" w:sz="4" w:space="0" w:color="000000"/>
              <w:bottom w:val="single" w:sz="4" w:space="0" w:color="auto"/>
              <w:right w:val="nil"/>
            </w:tcBorders>
            <w:shd w:val="clear" w:color="auto" w:fill="FFFFFF"/>
            <w:tcMar>
              <w:top w:w="50" w:type="dxa"/>
              <w:left w:w="50" w:type="dxa"/>
              <w:bottom w:w="50" w:type="dxa"/>
              <w:right w:w="50" w:type="dxa"/>
            </w:tcMar>
          </w:tcPr>
          <w:p w:rsidR="00A01763" w:rsidRPr="00A53D0F" w:rsidRDefault="00A01763" w:rsidP="002974F9">
            <w:r w:rsidRPr="00A53D0F">
              <w:t>[</w:t>
            </w:r>
            <w:r w:rsidR="002974F9" w:rsidRPr="00A53D0F">
              <w:t xml:space="preserve">   </w:t>
            </w:r>
            <w:r w:rsidRPr="00A53D0F">
              <w:t>]</w:t>
            </w:r>
          </w:p>
        </w:tc>
        <w:tc>
          <w:tcPr>
            <w:tcW w:w="393" w:type="pct"/>
            <w:tcBorders>
              <w:top w:val="nil"/>
              <w:left w:val="nil"/>
              <w:bottom w:val="single" w:sz="4" w:space="0" w:color="auto"/>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t>Credit</w:t>
            </w:r>
          </w:p>
        </w:tc>
        <w:tc>
          <w:tcPr>
            <w:tcW w:w="678" w:type="pct"/>
            <w:gridSpan w:val="2"/>
            <w:tcBorders>
              <w:top w:val="nil"/>
              <w:left w:val="single" w:sz="4" w:space="0" w:color="000000"/>
              <w:bottom w:val="single" w:sz="4" w:space="0" w:color="auto"/>
              <w:right w:val="nil"/>
            </w:tcBorders>
            <w:shd w:val="clear" w:color="auto" w:fill="FFFFFF"/>
            <w:tcMar>
              <w:top w:w="50" w:type="dxa"/>
              <w:left w:w="50" w:type="dxa"/>
              <w:bottom w:w="50" w:type="dxa"/>
              <w:right w:w="50" w:type="dxa"/>
            </w:tcMar>
          </w:tcPr>
          <w:p w:rsidR="00A01763" w:rsidRPr="00A53D0F" w:rsidRDefault="00A01763" w:rsidP="002C7C98">
            <w:r w:rsidRPr="00A53D0F">
              <w:t>[  ]</w:t>
            </w:r>
          </w:p>
        </w:tc>
        <w:tc>
          <w:tcPr>
            <w:tcW w:w="698" w:type="pct"/>
            <w:gridSpan w:val="3"/>
            <w:tcBorders>
              <w:top w:val="nil"/>
              <w:left w:val="nil"/>
              <w:bottom w:val="single" w:sz="4" w:space="0" w:color="auto"/>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t>Guarantee</w:t>
            </w:r>
          </w:p>
        </w:tc>
        <w:tc>
          <w:tcPr>
            <w:tcW w:w="130" w:type="pct"/>
            <w:vMerge/>
            <w:tcBorders>
              <w:top w:val="single" w:sz="4" w:space="0" w:color="000000"/>
              <w:left w:val="nil"/>
              <w:bottom w:val="single" w:sz="4" w:space="0" w:color="auto"/>
              <w:right w:val="nil"/>
            </w:tcBorders>
            <w:shd w:val="clear" w:color="auto" w:fill="FFFFFF"/>
            <w:tcMar>
              <w:top w:w="50" w:type="dxa"/>
              <w:left w:w="50" w:type="dxa"/>
              <w:bottom w:w="50" w:type="dxa"/>
              <w:right w:w="50" w:type="dxa"/>
            </w:tcMar>
          </w:tcPr>
          <w:p w:rsidR="00A01763" w:rsidRPr="00A53D0F" w:rsidRDefault="00A01763" w:rsidP="00301DB4"/>
        </w:tc>
        <w:tc>
          <w:tcPr>
            <w:tcW w:w="2568" w:type="pct"/>
            <w:gridSpan w:val="5"/>
            <w:vMerge/>
            <w:tcBorders>
              <w:top w:val="single" w:sz="4" w:space="0" w:color="000000"/>
              <w:left w:val="nil"/>
              <w:bottom w:val="single" w:sz="4" w:space="0" w:color="auto"/>
              <w:right w:val="single" w:sz="4" w:space="0" w:color="000000"/>
            </w:tcBorders>
            <w:shd w:val="clear" w:color="auto" w:fill="FFFFFF"/>
            <w:tcMar>
              <w:top w:w="50" w:type="dxa"/>
              <w:left w:w="50" w:type="dxa"/>
              <w:bottom w:w="50" w:type="dxa"/>
              <w:right w:w="50" w:type="dxa"/>
            </w:tcMar>
          </w:tcPr>
          <w:p w:rsidR="00A01763" w:rsidRPr="00A53D0F" w:rsidRDefault="00A01763" w:rsidP="00301DB4"/>
        </w:tc>
      </w:tr>
      <w:tr w:rsidR="00255C47" w:rsidRPr="00776AF8" w:rsidTr="00E56731">
        <w:tc>
          <w:tcPr>
            <w:tcW w:w="5000" w:type="pct"/>
            <w:gridSpan w:val="13"/>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rPr>
                <w:b/>
                <w:bCs/>
              </w:rPr>
              <w:t>For Loans/Credits/Others</w:t>
            </w:r>
            <w:r w:rsidR="00A53D0F">
              <w:rPr>
                <w:b/>
                <w:bCs/>
              </w:rPr>
              <w:t>:</w:t>
            </w:r>
          </w:p>
        </w:tc>
      </w:tr>
      <w:tr w:rsidR="00E56731" w:rsidRPr="00776AF8" w:rsidTr="00422933">
        <w:tc>
          <w:tcPr>
            <w:tcW w:w="1726" w:type="pct"/>
            <w:gridSpan w:val="5"/>
            <w:tcBorders>
              <w:top w:val="nil"/>
              <w:left w:val="single" w:sz="4" w:space="0" w:color="000000"/>
              <w:bottom w:val="nil"/>
              <w:right w:val="nil"/>
            </w:tcBorders>
            <w:shd w:val="clear" w:color="auto" w:fill="FFFFFF"/>
            <w:tcMar>
              <w:top w:w="50" w:type="dxa"/>
              <w:left w:w="50" w:type="dxa"/>
              <w:bottom w:w="50" w:type="dxa"/>
              <w:right w:w="50" w:type="dxa"/>
            </w:tcMar>
          </w:tcPr>
          <w:p w:rsidR="00A01763" w:rsidRPr="00A53D0F" w:rsidRDefault="00A01763" w:rsidP="00301DB4">
            <w:r w:rsidRPr="00A53D0F">
              <w:t>Total Project Cost (US$M):</w:t>
            </w:r>
          </w:p>
        </w:tc>
        <w:tc>
          <w:tcPr>
            <w:tcW w:w="3274" w:type="pct"/>
            <w:gridSpan w:val="8"/>
            <w:tcBorders>
              <w:top w:val="nil"/>
              <w:left w:val="nil"/>
              <w:bottom w:val="nil"/>
              <w:right w:val="single" w:sz="4" w:space="0" w:color="000000"/>
            </w:tcBorders>
            <w:shd w:val="clear" w:color="auto" w:fill="FFFFFF"/>
            <w:tcMar>
              <w:top w:w="50" w:type="dxa"/>
              <w:left w:w="50" w:type="dxa"/>
              <w:bottom w:w="50" w:type="dxa"/>
              <w:right w:w="50" w:type="dxa"/>
            </w:tcMar>
          </w:tcPr>
          <w:p w:rsidR="00A01763" w:rsidRPr="00A53D0F" w:rsidRDefault="00AD36E4" w:rsidP="00273569">
            <w:r w:rsidRPr="00A53D0F">
              <w:t xml:space="preserve">  5</w:t>
            </w:r>
            <w:r w:rsidR="00273569" w:rsidRPr="00A53D0F">
              <w:t>1</w:t>
            </w:r>
            <w:r w:rsidR="00CA0733" w:rsidRPr="00A53D0F">
              <w:t>.</w:t>
            </w:r>
            <w:r w:rsidR="00273569" w:rsidRPr="00A53D0F">
              <w:t>9</w:t>
            </w:r>
          </w:p>
        </w:tc>
      </w:tr>
      <w:tr w:rsidR="00E56731" w:rsidRPr="00776AF8" w:rsidTr="00422933">
        <w:tc>
          <w:tcPr>
            <w:tcW w:w="1726" w:type="pct"/>
            <w:gridSpan w:val="5"/>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A01763" w:rsidRPr="00A53D0F" w:rsidRDefault="00A01763" w:rsidP="00301DB4">
            <w:r w:rsidRPr="00A53D0F">
              <w:t xml:space="preserve">Total </w:t>
            </w:r>
            <w:r w:rsidR="00ED6468" w:rsidRPr="00A53D0F">
              <w:t>Bank</w:t>
            </w:r>
            <w:r w:rsidRPr="00A53D0F">
              <w:t xml:space="preserve"> Financing (US$M):</w:t>
            </w:r>
          </w:p>
        </w:tc>
        <w:tc>
          <w:tcPr>
            <w:tcW w:w="3274" w:type="pct"/>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A01763" w:rsidRPr="00A53D0F" w:rsidRDefault="0046475F" w:rsidP="00301DB4">
            <w:r w:rsidRPr="00A53D0F">
              <w:t xml:space="preserve">  </w:t>
            </w:r>
            <w:r w:rsidR="00A53D0F">
              <w:t xml:space="preserve"> </w:t>
            </w:r>
            <w:r w:rsidRPr="00A53D0F">
              <w:t>0.00</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A01763" w:rsidRPr="00776AF8" w:rsidRDefault="00A01763" w:rsidP="00301DB4">
            <w:pPr>
              <w:rPr>
                <w:sz w:val="2"/>
                <w:szCs w:val="2"/>
              </w:rPr>
            </w:pPr>
            <w:r w:rsidRPr="00776AF8">
              <w:rPr>
                <w:sz w:val="2"/>
                <w:szCs w:val="2"/>
              </w:rPr>
              <w:t>.</w:t>
            </w:r>
          </w:p>
        </w:tc>
      </w:tr>
      <w:tr w:rsidR="00E56731" w:rsidRPr="00A53D0F" w:rsidTr="007246EE">
        <w:tc>
          <w:tcPr>
            <w:tcW w:w="3200"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rPr>
                <w:b/>
                <w:bCs/>
              </w:rPr>
              <w:t>Financing Source</w:t>
            </w:r>
          </w:p>
        </w:tc>
        <w:tc>
          <w:tcPr>
            <w:tcW w:w="1800"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01763" w:rsidRPr="00A53D0F" w:rsidRDefault="00A01763" w:rsidP="006579E3">
            <w:pPr>
              <w:ind w:left="-680" w:right="850"/>
              <w:jc w:val="right"/>
            </w:pPr>
            <w:r w:rsidRPr="00A53D0F">
              <w:rPr>
                <w:b/>
                <w:bCs/>
              </w:rPr>
              <w:t>Amount</w:t>
            </w:r>
            <w:r w:rsidR="00C67EFC" w:rsidRPr="00A53D0F">
              <w:rPr>
                <w:b/>
                <w:bCs/>
              </w:rPr>
              <w:t xml:space="preserve"> </w:t>
            </w:r>
            <w:r w:rsidRPr="00A53D0F">
              <w:rPr>
                <w:b/>
                <w:bCs/>
              </w:rPr>
              <w:t>(US$M)</w:t>
            </w:r>
          </w:p>
        </w:tc>
      </w:tr>
      <w:tr w:rsidR="00E56731" w:rsidRPr="00934C19" w:rsidTr="007246EE">
        <w:tc>
          <w:tcPr>
            <w:tcW w:w="3200" w:type="pct"/>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t>BORROWER/RECIPIENT</w:t>
            </w:r>
            <w:r w:rsidR="00A53D0F">
              <w:t>:</w:t>
            </w:r>
          </w:p>
        </w:tc>
        <w:tc>
          <w:tcPr>
            <w:tcW w:w="1800" w:type="pct"/>
            <w:gridSpan w:val="3"/>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A01763" w:rsidRPr="00A53D0F" w:rsidRDefault="00317301" w:rsidP="006579E3">
            <w:pPr>
              <w:ind w:left="-680" w:right="940"/>
              <w:jc w:val="right"/>
            </w:pPr>
            <w:r w:rsidRPr="00A53D0F">
              <w:t>0</w:t>
            </w:r>
          </w:p>
        </w:tc>
      </w:tr>
      <w:tr w:rsidR="00E56731" w:rsidRPr="00934C19" w:rsidTr="007246EE">
        <w:tc>
          <w:tcPr>
            <w:tcW w:w="3200" w:type="pct"/>
            <w:gridSpan w:val="10"/>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A01763" w:rsidRPr="00A53D0F" w:rsidRDefault="00A01763" w:rsidP="00301DB4">
            <w:r w:rsidRPr="00A53D0F">
              <w:t>International Development Association (IDA)</w:t>
            </w:r>
          </w:p>
          <w:p w:rsidR="0046475F" w:rsidRPr="00A53D0F" w:rsidRDefault="0046475F" w:rsidP="00301DB4">
            <w:r w:rsidRPr="00A53D0F">
              <w:t>European Union</w:t>
            </w:r>
            <w:r w:rsidR="00652D54" w:rsidRPr="00A53D0F">
              <w:t xml:space="preserve"> (EU)</w:t>
            </w:r>
            <w:r w:rsidR="00B1007F" w:rsidRPr="00A53D0F">
              <w:t xml:space="preserve"> </w:t>
            </w:r>
          </w:p>
          <w:p w:rsidR="0046475F" w:rsidRPr="00A53D0F" w:rsidRDefault="0046475F" w:rsidP="00301DB4">
            <w:r w:rsidRPr="00A53D0F">
              <w:t>Global Partnership for Education</w:t>
            </w:r>
            <w:r w:rsidR="00B1211D">
              <w:t xml:space="preserve"> Fund II</w:t>
            </w:r>
            <w:r w:rsidR="00652D54" w:rsidRPr="00A53D0F">
              <w:t xml:space="preserve"> (GPE)</w:t>
            </w:r>
          </w:p>
        </w:tc>
        <w:tc>
          <w:tcPr>
            <w:tcW w:w="1800" w:type="pct"/>
            <w:gridSpan w:val="3"/>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46475F" w:rsidRPr="00A53D0F" w:rsidRDefault="00924CEA" w:rsidP="006579E3">
            <w:pPr>
              <w:ind w:left="-680" w:right="940"/>
              <w:jc w:val="right"/>
            </w:pPr>
            <w:r w:rsidRPr="00A53D0F">
              <w:t>0</w:t>
            </w:r>
          </w:p>
          <w:p w:rsidR="0046475F" w:rsidRPr="00A53D0F" w:rsidRDefault="00B1007F" w:rsidP="006579E3">
            <w:pPr>
              <w:ind w:left="-680" w:right="940"/>
              <w:jc w:val="right"/>
            </w:pPr>
            <w:r w:rsidRPr="00A53D0F">
              <w:t>35</w:t>
            </w:r>
            <w:r w:rsidR="00A51AE8" w:rsidRPr="00A53D0F">
              <w:t>.</w:t>
            </w:r>
            <w:r w:rsidR="00053D26" w:rsidRPr="00A53D0F">
              <w:t>2</w:t>
            </w:r>
          </w:p>
          <w:p w:rsidR="0046475F" w:rsidRPr="00A53D0F" w:rsidRDefault="0046475F" w:rsidP="006579E3">
            <w:pPr>
              <w:ind w:left="-680" w:right="940"/>
              <w:jc w:val="right"/>
            </w:pPr>
            <w:r w:rsidRPr="00A53D0F">
              <w:t>1</w:t>
            </w:r>
            <w:r w:rsidR="00A51AE8" w:rsidRPr="00A53D0F">
              <w:t>6.7</w:t>
            </w:r>
          </w:p>
        </w:tc>
      </w:tr>
      <w:tr w:rsidR="00E56731" w:rsidRPr="00934C19" w:rsidTr="007246EE">
        <w:tc>
          <w:tcPr>
            <w:tcW w:w="3200" w:type="pct"/>
            <w:gridSpan w:val="10"/>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A01763" w:rsidRPr="00A53D0F" w:rsidRDefault="0046475F" w:rsidP="00301DB4">
            <w:r w:rsidRPr="00A53D0F">
              <w:t>T</w:t>
            </w:r>
            <w:r w:rsidR="00A01763" w:rsidRPr="00A53D0F">
              <w:t>otal</w:t>
            </w:r>
          </w:p>
        </w:tc>
        <w:tc>
          <w:tcPr>
            <w:tcW w:w="1800" w:type="pct"/>
            <w:gridSpan w:val="3"/>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A01763" w:rsidRPr="00A53D0F" w:rsidRDefault="00AD36E4" w:rsidP="006579E3">
            <w:pPr>
              <w:ind w:left="-680" w:right="940"/>
              <w:jc w:val="right"/>
            </w:pPr>
            <w:r w:rsidRPr="00A53D0F">
              <w:t>5</w:t>
            </w:r>
            <w:r w:rsidR="00273569" w:rsidRPr="00A53D0F">
              <w:t>1</w:t>
            </w:r>
            <w:r w:rsidR="00317301" w:rsidRPr="00A53D0F">
              <w:t>.</w:t>
            </w:r>
            <w:r w:rsidR="00273569" w:rsidRPr="00A53D0F">
              <w:t>9</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A01763" w:rsidRPr="00776AF8" w:rsidRDefault="009D3203" w:rsidP="00301DB4">
            <w:pPr>
              <w:rPr>
                <w:sz w:val="2"/>
                <w:szCs w:val="2"/>
              </w:rPr>
            </w:pPr>
            <w:r>
              <w:br w:type="page"/>
            </w:r>
            <w:r w:rsidR="00A01763" w:rsidRPr="00776AF8">
              <w:rPr>
                <w:sz w:val="2"/>
                <w:szCs w:val="2"/>
              </w:rPr>
              <w:t>.</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01763" w:rsidRPr="00734809" w:rsidRDefault="00A01763" w:rsidP="00301DB4">
            <w:r w:rsidRPr="00734809">
              <w:rPr>
                <w:b/>
                <w:bCs/>
              </w:rPr>
              <w:t>Expected Disbursements (in USD Million)</w:t>
            </w:r>
          </w:p>
        </w:tc>
      </w:tr>
      <w:tr w:rsidR="00EE05B0" w:rsidRPr="00776AF8" w:rsidTr="00C31FE0">
        <w:tc>
          <w:tcPr>
            <w:tcW w:w="97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301DB4">
            <w:r w:rsidRPr="00734809">
              <w:t>Fiscal Year</w:t>
            </w:r>
          </w:p>
        </w:tc>
        <w:tc>
          <w:tcPr>
            <w:tcW w:w="1037"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rPr>
                <w:b/>
              </w:rPr>
            </w:pPr>
            <w:r w:rsidRPr="00734809">
              <w:rPr>
                <w:b/>
              </w:rPr>
              <w:t>2013</w:t>
            </w:r>
          </w:p>
        </w:tc>
        <w:tc>
          <w:tcPr>
            <w:tcW w:w="969"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rPr>
                <w:b/>
              </w:rPr>
            </w:pPr>
            <w:r w:rsidRPr="00734809">
              <w:rPr>
                <w:b/>
              </w:rPr>
              <w:t>2014</w:t>
            </w:r>
          </w:p>
        </w:tc>
        <w:tc>
          <w:tcPr>
            <w:tcW w:w="1020"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rPr>
                <w:b/>
              </w:rPr>
            </w:pPr>
            <w:r w:rsidRPr="00734809">
              <w:rPr>
                <w:b/>
              </w:rPr>
              <w:t>2015</w:t>
            </w:r>
          </w:p>
        </w:tc>
        <w:tc>
          <w:tcPr>
            <w:tcW w:w="996" w:type="pct"/>
            <w:tcBorders>
              <w:top w:val="single" w:sz="4" w:space="0" w:color="000000"/>
              <w:left w:val="single" w:sz="4" w:space="0" w:color="000000"/>
              <w:bottom w:val="single" w:sz="4" w:space="0" w:color="000000"/>
              <w:right w:val="single" w:sz="4" w:space="0" w:color="000000"/>
            </w:tcBorders>
            <w:shd w:val="clear" w:color="auto" w:fill="FFFFFF"/>
          </w:tcPr>
          <w:p w:rsidR="00EE05B0" w:rsidRPr="00734809" w:rsidRDefault="00EE05B0" w:rsidP="00EE05B0">
            <w:pPr>
              <w:jc w:val="center"/>
              <w:rPr>
                <w:b/>
              </w:rPr>
            </w:pPr>
            <w:r w:rsidRPr="006579E3">
              <w:rPr>
                <w:b/>
              </w:rPr>
              <w:t>2016</w:t>
            </w:r>
          </w:p>
        </w:tc>
      </w:tr>
      <w:tr w:rsidR="00EE05B0" w:rsidRPr="00776AF8" w:rsidTr="00C31FE0">
        <w:tc>
          <w:tcPr>
            <w:tcW w:w="97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301DB4">
            <w:r w:rsidRPr="00734809">
              <w:t>Annual</w:t>
            </w:r>
          </w:p>
        </w:tc>
        <w:tc>
          <w:tcPr>
            <w:tcW w:w="1037"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pPr>
            <w:r w:rsidRPr="00734809">
              <w:t>5.00</w:t>
            </w:r>
          </w:p>
        </w:tc>
        <w:tc>
          <w:tcPr>
            <w:tcW w:w="969"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pPr>
            <w:r w:rsidRPr="00734809">
              <w:t>20.00</w:t>
            </w:r>
          </w:p>
        </w:tc>
        <w:tc>
          <w:tcPr>
            <w:tcW w:w="1020"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pPr>
            <w:r w:rsidRPr="00734809">
              <w:t>20.00</w:t>
            </w:r>
          </w:p>
        </w:tc>
        <w:tc>
          <w:tcPr>
            <w:tcW w:w="996" w:type="pct"/>
            <w:tcBorders>
              <w:top w:val="single" w:sz="4" w:space="0" w:color="000000"/>
              <w:left w:val="single" w:sz="4" w:space="0" w:color="000000"/>
              <w:bottom w:val="single" w:sz="4" w:space="0" w:color="000000"/>
              <w:right w:val="single" w:sz="4" w:space="0" w:color="000000"/>
            </w:tcBorders>
            <w:shd w:val="clear" w:color="auto" w:fill="FFFFFF"/>
          </w:tcPr>
          <w:p w:rsidR="00EE05B0" w:rsidRPr="00734809" w:rsidRDefault="00EE05B0" w:rsidP="00EE05B0">
            <w:pPr>
              <w:jc w:val="center"/>
            </w:pPr>
            <w:r w:rsidRPr="00752EE5">
              <w:t>6.</w:t>
            </w:r>
            <w:r>
              <w:t>9</w:t>
            </w:r>
            <w:r w:rsidRPr="00752EE5">
              <w:t>0</w:t>
            </w:r>
          </w:p>
        </w:tc>
      </w:tr>
      <w:tr w:rsidR="00EE05B0" w:rsidRPr="00776AF8" w:rsidTr="00C31FE0">
        <w:tc>
          <w:tcPr>
            <w:tcW w:w="97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301DB4">
            <w:r w:rsidRPr="00734809">
              <w:t>Cumulative</w:t>
            </w:r>
          </w:p>
        </w:tc>
        <w:tc>
          <w:tcPr>
            <w:tcW w:w="1037"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pPr>
            <w:r w:rsidRPr="00734809">
              <w:t>5.00</w:t>
            </w:r>
          </w:p>
        </w:tc>
        <w:tc>
          <w:tcPr>
            <w:tcW w:w="969"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pPr>
            <w:r w:rsidRPr="00734809">
              <w:t>25.00</w:t>
            </w:r>
          </w:p>
        </w:tc>
        <w:tc>
          <w:tcPr>
            <w:tcW w:w="1020"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E05B0" w:rsidRPr="00734809" w:rsidRDefault="00EE05B0" w:rsidP="005D6B43">
            <w:pPr>
              <w:jc w:val="center"/>
            </w:pPr>
            <w:r w:rsidRPr="00734809">
              <w:t>45.00</w:t>
            </w:r>
          </w:p>
        </w:tc>
        <w:tc>
          <w:tcPr>
            <w:tcW w:w="996" w:type="pct"/>
            <w:tcBorders>
              <w:top w:val="single" w:sz="4" w:space="0" w:color="000000"/>
              <w:left w:val="single" w:sz="4" w:space="0" w:color="000000"/>
              <w:bottom w:val="single" w:sz="4" w:space="0" w:color="000000"/>
              <w:right w:val="single" w:sz="4" w:space="0" w:color="000000"/>
            </w:tcBorders>
            <w:shd w:val="clear" w:color="auto" w:fill="FFFFFF"/>
          </w:tcPr>
          <w:p w:rsidR="00EE05B0" w:rsidRPr="00734809" w:rsidRDefault="00EE05B0" w:rsidP="00EE05B0">
            <w:pPr>
              <w:jc w:val="center"/>
            </w:pPr>
            <w:r w:rsidRPr="00752EE5">
              <w:t>51.</w:t>
            </w:r>
            <w:r>
              <w:t>9</w:t>
            </w:r>
            <w:r w:rsidRPr="00752EE5">
              <w:t>0</w:t>
            </w:r>
          </w:p>
        </w:tc>
      </w:tr>
      <w:tr w:rsidR="00255C47" w:rsidRPr="003447D0"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rPr>
                <w:bCs/>
              </w:rPr>
              <w:t>Project Development Objective(s)</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5028FC" w:rsidP="00273569">
            <w:pPr>
              <w:pStyle w:val="ListParagraph"/>
              <w:ind w:left="0"/>
              <w:jc w:val="both"/>
              <w:rPr>
                <w:bCs/>
              </w:rPr>
            </w:pPr>
            <w:r w:rsidRPr="00734809">
              <w:t>The objectives of the Project are</w:t>
            </w:r>
            <w:r w:rsidR="007C404E" w:rsidRPr="00734809">
              <w:t xml:space="preserve"> to</w:t>
            </w:r>
            <w:r w:rsidR="009E3D8C" w:rsidRPr="00734809">
              <w:t xml:space="preserve">: </w:t>
            </w:r>
            <w:r w:rsidRPr="00734809">
              <w:t>(a) increase access to preschool education in</w:t>
            </w:r>
            <w:r w:rsidR="003058CD" w:rsidRPr="00734809">
              <w:t xml:space="preserve"> s</w:t>
            </w:r>
            <w:r w:rsidRPr="00734809">
              <w:t>elected</w:t>
            </w:r>
            <w:r w:rsidR="003058CD" w:rsidRPr="00734809">
              <w:t xml:space="preserve"> m</w:t>
            </w:r>
            <w:r w:rsidRPr="00734809">
              <w:t xml:space="preserve">unicipalities, and to improve preschool education learning conditions nationwide; and (b) increase access to lower secondary education in </w:t>
            </w:r>
            <w:r w:rsidR="009C5886">
              <w:t>s</w:t>
            </w:r>
            <w:r w:rsidRPr="00734809">
              <w:t>elected</w:t>
            </w:r>
            <w:r w:rsidR="009C5886">
              <w:t xml:space="preserve"> m</w:t>
            </w:r>
            <w:r w:rsidRPr="00734809">
              <w:t>unicipalities, and improve lower secondary education quality and completion rates nationwide.</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E3D8C" w:rsidRPr="00776AF8" w:rsidRDefault="009E3D8C" w:rsidP="00301DB4">
            <w:pPr>
              <w:rPr>
                <w:sz w:val="2"/>
                <w:szCs w:val="2"/>
              </w:rPr>
            </w:pPr>
            <w:r w:rsidRPr="00776AF8">
              <w:rPr>
                <w:sz w:val="2"/>
                <w:szCs w:val="2"/>
              </w:rPr>
              <w:t>.</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301DB4">
            <w:r w:rsidRPr="00734809">
              <w:rPr>
                <w:b/>
                <w:bCs/>
              </w:rPr>
              <w:t>Components</w:t>
            </w:r>
          </w:p>
        </w:tc>
      </w:tr>
      <w:tr w:rsidR="00E56731" w:rsidRPr="00776AF8" w:rsidTr="00EE05B0">
        <w:tc>
          <w:tcPr>
            <w:tcW w:w="39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301DB4">
            <w:r w:rsidRPr="00734809">
              <w:rPr>
                <w:b/>
                <w:bCs/>
              </w:rPr>
              <w:t>Component Name</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734809" w:rsidP="00255C47">
            <w:pPr>
              <w:ind w:right="-410"/>
            </w:pPr>
            <w:r>
              <w:rPr>
                <w:b/>
                <w:bCs/>
              </w:rPr>
              <w:t>Cost (US$</w:t>
            </w:r>
            <w:r w:rsidR="009E3D8C" w:rsidRPr="00734809">
              <w:rPr>
                <w:b/>
                <w:bCs/>
              </w:rPr>
              <w:t>M)</w:t>
            </w:r>
          </w:p>
        </w:tc>
      </w:tr>
      <w:tr w:rsidR="00E56731" w:rsidRPr="00652D54" w:rsidTr="00EE05B0">
        <w:tc>
          <w:tcPr>
            <w:tcW w:w="39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273ED8">
            <w:r w:rsidRPr="00734809">
              <w:rPr>
                <w:bCs/>
              </w:rPr>
              <w:t xml:space="preserve">1.  Component 1: Increasing Access and Improving Learning Conditions of Preschool Education </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D92D95">
            <w:pPr>
              <w:jc w:val="center"/>
            </w:pPr>
            <w:r w:rsidRPr="00734809">
              <w:t>15.9</w:t>
            </w:r>
          </w:p>
        </w:tc>
      </w:tr>
      <w:tr w:rsidR="00E56731" w:rsidRPr="00652D54" w:rsidTr="00EE05B0">
        <w:tc>
          <w:tcPr>
            <w:tcW w:w="39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435804">
            <w:pPr>
              <w:rPr>
                <w:bCs/>
              </w:rPr>
            </w:pPr>
            <w:r w:rsidRPr="00734809">
              <w:rPr>
                <w:bCs/>
              </w:rPr>
              <w:t>2.  Component 2: Improving Access, Quality and Completion of Lower Secondary Education</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D92D95">
            <w:pPr>
              <w:jc w:val="center"/>
            </w:pPr>
            <w:r w:rsidRPr="00734809">
              <w:t>33.5</w:t>
            </w:r>
          </w:p>
        </w:tc>
      </w:tr>
      <w:tr w:rsidR="00E56731" w:rsidRPr="0069333F" w:rsidTr="00EE05B0">
        <w:tc>
          <w:tcPr>
            <w:tcW w:w="39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447D0" w:rsidRPr="00734809" w:rsidRDefault="009E3D8C" w:rsidP="003447D0">
            <w:pPr>
              <w:rPr>
                <w:bCs/>
              </w:rPr>
            </w:pPr>
            <w:r w:rsidRPr="00734809">
              <w:rPr>
                <w:bCs/>
              </w:rPr>
              <w:t xml:space="preserve">3.  </w:t>
            </w:r>
            <w:r w:rsidRPr="00734809">
              <w:t>Component 3: Strengthening of the Ministry of Education’s Institutional Capacity for Preschool Education</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587D3E" w:rsidP="00D92D95">
            <w:pPr>
              <w:jc w:val="center"/>
            </w:pPr>
            <w:r>
              <w:t xml:space="preserve"> </w:t>
            </w:r>
            <w:r w:rsidR="009E3D8C" w:rsidRPr="00734809">
              <w:t>0.8</w:t>
            </w:r>
          </w:p>
        </w:tc>
      </w:tr>
      <w:tr w:rsidR="00E56731" w:rsidRPr="00DD1508" w:rsidTr="00EE05B0">
        <w:tc>
          <w:tcPr>
            <w:tcW w:w="39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1C3B79">
            <w:pPr>
              <w:rPr>
                <w:bCs/>
              </w:rPr>
            </w:pPr>
            <w:r w:rsidRPr="00734809">
              <w:rPr>
                <w:bCs/>
              </w:rPr>
              <w:t>4.  Component 4: Strengthening of the Ministry of Education’s Institutional Capacity for Lower Secondary Education</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D92D95" w:rsidP="00D92D95">
            <w:pPr>
              <w:jc w:val="center"/>
            </w:pPr>
            <w:r w:rsidRPr="00734809">
              <w:t xml:space="preserve"> </w:t>
            </w:r>
            <w:r w:rsidR="009E3D8C" w:rsidRPr="00734809">
              <w:t>1.5</w:t>
            </w:r>
          </w:p>
        </w:tc>
      </w:tr>
      <w:tr w:rsidR="00255C47" w:rsidRPr="00776AF8" w:rsidTr="00E56731">
        <w:tc>
          <w:tcPr>
            <w:tcW w:w="5000" w:type="pct"/>
            <w:gridSpan w:val="13"/>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E3D8C" w:rsidRPr="00776AF8" w:rsidRDefault="009E3D8C" w:rsidP="00301DB4">
            <w:pPr>
              <w:rPr>
                <w:sz w:val="2"/>
                <w:szCs w:val="2"/>
              </w:rPr>
            </w:pPr>
            <w:r w:rsidRPr="00776AF8">
              <w:rPr>
                <w:sz w:val="2"/>
                <w:szCs w:val="2"/>
              </w:rPr>
              <w:t>.</w:t>
            </w:r>
          </w:p>
        </w:tc>
      </w:tr>
    </w:tbl>
    <w:p w:rsidR="00C31FE0" w:rsidRDefault="00C31FE0">
      <w:r>
        <w:br w:type="page"/>
      </w:r>
    </w:p>
    <w:tbl>
      <w:tblPr>
        <w:tblW w:w="5642" w:type="pct"/>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422"/>
        <w:gridCol w:w="254"/>
        <w:gridCol w:w="32"/>
        <w:gridCol w:w="2434"/>
        <w:gridCol w:w="237"/>
        <w:gridCol w:w="45"/>
        <w:gridCol w:w="429"/>
        <w:gridCol w:w="807"/>
        <w:gridCol w:w="611"/>
        <w:gridCol w:w="49"/>
        <w:gridCol w:w="162"/>
        <w:gridCol w:w="177"/>
        <w:gridCol w:w="292"/>
        <w:gridCol w:w="218"/>
        <w:gridCol w:w="13"/>
        <w:gridCol w:w="288"/>
        <w:gridCol w:w="237"/>
        <w:gridCol w:w="62"/>
        <w:gridCol w:w="6"/>
        <w:gridCol w:w="66"/>
        <w:gridCol w:w="28"/>
        <w:gridCol w:w="408"/>
        <w:gridCol w:w="68"/>
        <w:gridCol w:w="28"/>
        <w:gridCol w:w="1302"/>
      </w:tblGrid>
      <w:tr w:rsidR="00255C47" w:rsidRPr="00776AF8"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9E3D8C" w:rsidRPr="00734809" w:rsidRDefault="009E3D8C" w:rsidP="00301DB4">
            <w:pPr>
              <w:jc w:val="center"/>
              <w:rPr>
                <w:sz w:val="28"/>
                <w:szCs w:val="28"/>
              </w:rPr>
            </w:pPr>
            <w:r w:rsidRPr="00734809">
              <w:rPr>
                <w:b/>
                <w:bCs/>
                <w:sz w:val="28"/>
                <w:szCs w:val="28"/>
              </w:rPr>
              <w:lastRenderedPageBreak/>
              <w:t xml:space="preserve">Compliance </w:t>
            </w:r>
          </w:p>
        </w:tc>
      </w:tr>
      <w:tr w:rsidR="00255C47" w:rsidRPr="00776AF8"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34809" w:rsidRDefault="009E3D8C" w:rsidP="00301DB4">
            <w:r w:rsidRPr="00734809">
              <w:rPr>
                <w:b/>
                <w:bCs/>
              </w:rPr>
              <w:t>Policy</w:t>
            </w:r>
          </w:p>
        </w:tc>
      </w:tr>
      <w:tr w:rsidR="00E56731" w:rsidRPr="00B04235" w:rsidTr="00EE05B0">
        <w:tc>
          <w:tcPr>
            <w:tcW w:w="3504" w:type="pct"/>
            <w:gridSpan w:val="11"/>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rsidR="009E3D8C" w:rsidRPr="00734809" w:rsidRDefault="009E3D8C" w:rsidP="00301DB4">
            <w:r w:rsidRPr="00734809">
              <w:t>Does the Project depart from the CAS in content or in other significant respects?</w:t>
            </w:r>
          </w:p>
        </w:tc>
        <w:tc>
          <w:tcPr>
            <w:tcW w:w="328" w:type="pct"/>
            <w:gridSpan w:val="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jc w:val="center"/>
            </w:pPr>
            <w:r w:rsidRPr="00734809">
              <w:t>Yes</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jc w:val="center"/>
            </w:pPr>
            <w:r w:rsidRPr="00734809">
              <w:t>[   ]</w:t>
            </w:r>
          </w:p>
        </w:tc>
        <w:tc>
          <w:tcPr>
            <w:tcW w:w="267" w:type="pct"/>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ind w:right="40"/>
              <w:jc w:val="center"/>
            </w:pPr>
            <w:r w:rsidRPr="00734809">
              <w:t>No</w:t>
            </w:r>
          </w:p>
        </w:tc>
        <w:tc>
          <w:tcPr>
            <w:tcW w:w="655" w:type="pct"/>
            <w:gridSpan w:val="3"/>
            <w:tcBorders>
              <w:top w:val="single" w:sz="4" w:space="0" w:color="auto"/>
              <w:left w:val="single" w:sz="4" w:space="0" w:color="auto"/>
              <w:bottom w:val="single" w:sz="4" w:space="0" w:color="auto"/>
              <w:right w:val="single" w:sz="4" w:space="0" w:color="auto"/>
            </w:tcBorders>
            <w:shd w:val="clear" w:color="auto" w:fill="FFFFFF"/>
          </w:tcPr>
          <w:p w:rsidR="009E3D8C" w:rsidRPr="00734809" w:rsidRDefault="009E3D8C" w:rsidP="00255C47">
            <w:pPr>
              <w:ind w:right="16"/>
              <w:jc w:val="center"/>
            </w:pPr>
            <w:r w:rsidRPr="00734809">
              <w:t>[X]</w:t>
            </w:r>
          </w:p>
        </w:tc>
      </w:tr>
      <w:tr w:rsidR="00255C47" w:rsidRPr="00776AF8" w:rsidTr="00E56731">
        <w:tc>
          <w:tcPr>
            <w:tcW w:w="5000" w:type="pct"/>
            <w:gridSpan w:val="25"/>
            <w:tcBorders>
              <w:top w:val="single" w:sz="4" w:space="0" w:color="auto"/>
              <w:left w:val="single" w:sz="4" w:space="0" w:color="auto"/>
              <w:bottom w:val="single" w:sz="4" w:space="0" w:color="auto"/>
              <w:right w:val="single" w:sz="4" w:space="0" w:color="auto"/>
            </w:tcBorders>
            <w:shd w:val="clear" w:color="auto" w:fill="000000"/>
            <w:tcMar>
              <w:top w:w="50" w:type="dxa"/>
              <w:left w:w="50" w:type="dxa"/>
              <w:bottom w:w="50" w:type="dxa"/>
              <w:right w:w="50" w:type="dxa"/>
            </w:tcMar>
            <w:vAlign w:val="center"/>
          </w:tcPr>
          <w:p w:rsidR="009E3D8C" w:rsidRPr="00734809" w:rsidRDefault="009E3D8C" w:rsidP="00887BBD">
            <w:pPr>
              <w:tabs>
                <w:tab w:val="left" w:pos="0"/>
              </w:tabs>
              <w:jc w:val="center"/>
            </w:pPr>
            <w:r w:rsidRPr="00734809">
              <w:t>.</w:t>
            </w:r>
          </w:p>
        </w:tc>
      </w:tr>
      <w:tr w:rsidR="00E56731" w:rsidRPr="00B04235" w:rsidTr="00422933">
        <w:tc>
          <w:tcPr>
            <w:tcW w:w="3504" w:type="pct"/>
            <w:gridSpan w:val="11"/>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rsidR="009E3D8C" w:rsidRPr="00734809" w:rsidRDefault="009E3D8C" w:rsidP="00301DB4">
            <w:r w:rsidRPr="00734809">
              <w:t>Does the Project require any exceptions from Bank policies?</w:t>
            </w:r>
          </w:p>
        </w:tc>
        <w:tc>
          <w:tcPr>
            <w:tcW w:w="322" w:type="pct"/>
            <w:gridSpan w:val="3"/>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jc w:val="center"/>
            </w:pPr>
            <w:r w:rsidRPr="00734809">
              <w:t>Yes</w:t>
            </w:r>
          </w:p>
        </w:tc>
        <w:tc>
          <w:tcPr>
            <w:tcW w:w="284" w:type="pct"/>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jc w:val="center"/>
            </w:pPr>
            <w:r w:rsidRPr="00734809">
              <w:t>[   ]</w:t>
            </w:r>
          </w:p>
        </w:tc>
        <w:tc>
          <w:tcPr>
            <w:tcW w:w="267" w:type="pct"/>
            <w:gridSpan w:val="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ind w:right="40"/>
              <w:jc w:val="center"/>
            </w:pPr>
            <w:r w:rsidRPr="00734809">
              <w:t>No</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tcPr>
          <w:p w:rsidR="009E3D8C" w:rsidRPr="00734809" w:rsidRDefault="009E3D8C" w:rsidP="00887BBD">
            <w:pPr>
              <w:ind w:right="40"/>
              <w:jc w:val="center"/>
            </w:pPr>
            <w:r w:rsidRPr="00734809">
              <w:t>[X]</w:t>
            </w:r>
          </w:p>
        </w:tc>
      </w:tr>
      <w:tr w:rsidR="00E56731" w:rsidRPr="00B04235" w:rsidTr="00422933">
        <w:tc>
          <w:tcPr>
            <w:tcW w:w="3504" w:type="pct"/>
            <w:gridSpan w:val="11"/>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rsidR="009E3D8C" w:rsidRPr="00734809" w:rsidRDefault="009E3D8C" w:rsidP="00301DB4">
            <w:r w:rsidRPr="00734809">
              <w:t>Have these been approved by Bank management?</w:t>
            </w:r>
          </w:p>
        </w:tc>
        <w:tc>
          <w:tcPr>
            <w:tcW w:w="322" w:type="pct"/>
            <w:gridSpan w:val="3"/>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jc w:val="center"/>
            </w:pPr>
            <w:r w:rsidRPr="00734809">
              <w:t>Yes</w:t>
            </w:r>
          </w:p>
        </w:tc>
        <w:tc>
          <w:tcPr>
            <w:tcW w:w="284" w:type="pct"/>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jc w:val="center"/>
            </w:pPr>
            <w:r w:rsidRPr="00734809">
              <w:t xml:space="preserve">[ </w:t>
            </w:r>
            <w:r w:rsidR="00734809">
              <w:t xml:space="preserve">  </w:t>
            </w:r>
            <w:r w:rsidRPr="00734809">
              <w:t>]</w:t>
            </w:r>
          </w:p>
        </w:tc>
        <w:tc>
          <w:tcPr>
            <w:tcW w:w="267" w:type="pct"/>
            <w:gridSpan w:val="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34809" w:rsidRDefault="009E3D8C" w:rsidP="00887BBD">
            <w:pPr>
              <w:ind w:right="40"/>
              <w:jc w:val="center"/>
            </w:pPr>
            <w:r w:rsidRPr="00734809">
              <w:t>No</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tcPr>
          <w:p w:rsidR="009E3D8C" w:rsidRPr="00734809" w:rsidRDefault="009E3D8C" w:rsidP="00887BBD">
            <w:pPr>
              <w:ind w:right="40"/>
              <w:jc w:val="center"/>
            </w:pPr>
            <w:r w:rsidRPr="00734809">
              <w:t>[  ]</w:t>
            </w:r>
          </w:p>
        </w:tc>
      </w:tr>
      <w:tr w:rsidR="00E56731" w:rsidRPr="00B04235" w:rsidTr="00422933">
        <w:tc>
          <w:tcPr>
            <w:tcW w:w="3504" w:type="pct"/>
            <w:gridSpan w:val="11"/>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rsidR="009E3D8C" w:rsidRPr="00752EE5" w:rsidRDefault="009E3D8C" w:rsidP="00301DB4">
            <w:r w:rsidRPr="00752EE5">
              <w:t>Is approval for any policy exception sought from the Board?</w:t>
            </w:r>
          </w:p>
        </w:tc>
        <w:tc>
          <w:tcPr>
            <w:tcW w:w="322" w:type="pct"/>
            <w:gridSpan w:val="3"/>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52EE5" w:rsidRDefault="009E3D8C" w:rsidP="00887BBD">
            <w:pPr>
              <w:jc w:val="center"/>
            </w:pPr>
            <w:r w:rsidRPr="00752EE5">
              <w:t>Yes</w:t>
            </w:r>
          </w:p>
        </w:tc>
        <w:tc>
          <w:tcPr>
            <w:tcW w:w="284" w:type="pct"/>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52EE5" w:rsidRDefault="009E3D8C" w:rsidP="00887BBD">
            <w:pPr>
              <w:jc w:val="center"/>
            </w:pPr>
            <w:r w:rsidRPr="00752EE5">
              <w:t>[   ]</w:t>
            </w:r>
          </w:p>
        </w:tc>
        <w:tc>
          <w:tcPr>
            <w:tcW w:w="267" w:type="pct"/>
            <w:gridSpan w:val="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52EE5" w:rsidRDefault="009E3D8C" w:rsidP="00887BBD">
            <w:pPr>
              <w:ind w:right="40"/>
              <w:jc w:val="center"/>
            </w:pPr>
            <w:r w:rsidRPr="00752EE5">
              <w:t>No</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tcPr>
          <w:p w:rsidR="009E3D8C" w:rsidRPr="00752EE5" w:rsidRDefault="009E3D8C" w:rsidP="00255C47">
            <w:pPr>
              <w:ind w:right="40"/>
              <w:jc w:val="center"/>
            </w:pPr>
            <w:r w:rsidRPr="00752EE5">
              <w:t>[X]</w:t>
            </w:r>
          </w:p>
        </w:tc>
      </w:tr>
      <w:tr w:rsidR="00E56731" w:rsidRPr="00B04235" w:rsidTr="00422933">
        <w:tc>
          <w:tcPr>
            <w:tcW w:w="3504" w:type="pct"/>
            <w:gridSpan w:val="11"/>
            <w:tcBorders>
              <w:top w:val="single" w:sz="4" w:space="0" w:color="000000"/>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rsidR="009E3D8C" w:rsidRPr="00752EE5" w:rsidRDefault="009E3D8C" w:rsidP="00301DB4">
            <w:r w:rsidRPr="00752EE5">
              <w:t>Does the Project meet the Regional criteria for readiness for implementation?</w:t>
            </w:r>
          </w:p>
        </w:tc>
        <w:tc>
          <w:tcPr>
            <w:tcW w:w="322" w:type="pct"/>
            <w:gridSpan w:val="3"/>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52EE5" w:rsidRDefault="009E3D8C" w:rsidP="00887BBD">
            <w:pPr>
              <w:jc w:val="center"/>
            </w:pPr>
            <w:r w:rsidRPr="00752EE5">
              <w:t>Yes</w:t>
            </w:r>
          </w:p>
        </w:tc>
        <w:tc>
          <w:tcPr>
            <w:tcW w:w="281" w:type="pct"/>
            <w:gridSpan w:val="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52EE5" w:rsidRDefault="009E3D8C" w:rsidP="00887BBD">
            <w:pPr>
              <w:jc w:val="center"/>
            </w:pPr>
            <w:r w:rsidRPr="00752EE5">
              <w:t>[X]</w:t>
            </w:r>
          </w:p>
        </w:tc>
        <w:tc>
          <w:tcPr>
            <w:tcW w:w="270" w:type="pct"/>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9E3D8C" w:rsidRPr="00752EE5" w:rsidRDefault="009E3D8C" w:rsidP="00887BBD">
            <w:pPr>
              <w:ind w:right="40"/>
              <w:jc w:val="center"/>
            </w:pPr>
            <w:r w:rsidRPr="00752EE5">
              <w:t>No</w:t>
            </w:r>
          </w:p>
        </w:tc>
        <w:tc>
          <w:tcPr>
            <w:tcW w:w="623" w:type="pct"/>
            <w:gridSpan w:val="2"/>
            <w:tcBorders>
              <w:top w:val="single" w:sz="4" w:space="0" w:color="auto"/>
              <w:left w:val="single" w:sz="4" w:space="0" w:color="auto"/>
              <w:bottom w:val="single" w:sz="4" w:space="0" w:color="auto"/>
              <w:right w:val="single" w:sz="4" w:space="0" w:color="auto"/>
            </w:tcBorders>
            <w:shd w:val="clear" w:color="auto" w:fill="FFFFFF"/>
          </w:tcPr>
          <w:p w:rsidR="009E3D8C" w:rsidRPr="00752EE5" w:rsidRDefault="009E3D8C" w:rsidP="00255C47">
            <w:pPr>
              <w:ind w:right="40"/>
              <w:jc w:val="center"/>
            </w:pPr>
            <w:r w:rsidRPr="00752EE5">
              <w:t xml:space="preserve">[  </w:t>
            </w:r>
            <w:r w:rsidR="00734809" w:rsidRPr="00752EE5">
              <w:t xml:space="preserve"> </w:t>
            </w:r>
            <w:r w:rsidRPr="00752EE5">
              <w:t>]</w:t>
            </w:r>
          </w:p>
        </w:tc>
      </w:tr>
      <w:tr w:rsidR="00255C47" w:rsidRPr="00776AF8"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E3D8C" w:rsidRPr="00752EE5" w:rsidRDefault="009E3D8C" w:rsidP="00301DB4">
            <w:r w:rsidRPr="00752EE5">
              <w:t>.</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rPr>
                <w:b/>
                <w:bCs/>
              </w:rPr>
              <w:t>Safeguard Policies Triggered by the Project</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
                <w:bCs/>
              </w:rPr>
              <w:t>Yes</w:t>
            </w: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
                <w:bCs/>
              </w:rPr>
              <w:t>No</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Environmental Assessment OP/BP 4.01</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t>X</w:t>
            </w: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Natural Habitats OP/BP 4.04</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Forests OP/BP 4.36</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Pest Management OP 4.09</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Physical Cultural Resources OP/BP 4.11</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Indigenous Peoples OP/BP 4.10</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Involuntary Resettlement OP/BP 4.12</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t>X</w:t>
            </w: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Safety of Dams OP/BP 4.37</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Projects on International Waters OP/BP 7.50</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E56731" w:rsidRPr="008F3C8A" w:rsidTr="00EE05B0">
        <w:tc>
          <w:tcPr>
            <w:tcW w:w="3504"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r w:rsidRPr="00752EE5">
              <w:t>Projects in Disputed Areas OP/BP 7.60</w:t>
            </w:r>
          </w:p>
        </w:tc>
        <w:tc>
          <w:tcPr>
            <w:tcW w:w="32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p>
        </w:tc>
        <w:tc>
          <w:tcPr>
            <w:tcW w:w="1168" w:type="pct"/>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E3D8C" w:rsidRPr="00752EE5" w:rsidRDefault="009E3D8C" w:rsidP="00301DB4">
            <w:pPr>
              <w:jc w:val="center"/>
            </w:pPr>
            <w:r w:rsidRPr="00752EE5">
              <w:rPr>
                <w:bCs/>
              </w:rPr>
              <w:t>X</w:t>
            </w:r>
          </w:p>
        </w:tc>
      </w:tr>
      <w:tr w:rsidR="00255C4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E3D8C" w:rsidRPr="008F3C8A" w:rsidRDefault="009E3D8C" w:rsidP="00301DB4">
            <w:pPr>
              <w:rPr>
                <w:sz w:val="18"/>
                <w:szCs w:val="18"/>
              </w:rPr>
            </w:pPr>
          </w:p>
        </w:tc>
      </w:tr>
      <w:tr w:rsidR="004E34A7" w:rsidRPr="008F3C8A" w:rsidTr="004E34A7">
        <w:tc>
          <w:tcPr>
            <w:tcW w:w="5000" w:type="pct"/>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35333" w:rsidRDefault="004E34A7" w:rsidP="004E34A7">
            <w:r w:rsidRPr="00635333">
              <w:rPr>
                <w:b/>
                <w:bCs/>
              </w:rPr>
              <w:t>Legal Covenants</w:t>
            </w:r>
          </w:p>
        </w:tc>
      </w:tr>
      <w:tr w:rsidR="004E34A7" w:rsidRPr="008F3C8A" w:rsidTr="00422933">
        <w:tc>
          <w:tcPr>
            <w:tcW w:w="2540" w:type="pct"/>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35333" w:rsidRDefault="004E34A7" w:rsidP="004E34A7">
            <w:r w:rsidRPr="00635333">
              <w:rPr>
                <w:b/>
                <w:bCs/>
              </w:rPr>
              <w:t>Name</w:t>
            </w:r>
          </w:p>
        </w:tc>
        <w:tc>
          <w:tcPr>
            <w:tcW w:w="88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35333" w:rsidRDefault="004E34A7" w:rsidP="004E34A7">
            <w:pPr>
              <w:jc w:val="center"/>
            </w:pPr>
            <w:r w:rsidRPr="00635333">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35333" w:rsidRDefault="004E34A7" w:rsidP="004E34A7">
            <w:pPr>
              <w:jc w:val="center"/>
            </w:pPr>
            <w:r w:rsidRPr="00635333">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35333" w:rsidRDefault="004E34A7" w:rsidP="004E34A7">
            <w:pPr>
              <w:jc w:val="center"/>
            </w:pPr>
            <w:r w:rsidRPr="00635333">
              <w:rPr>
                <w:b/>
                <w:bCs/>
              </w:rPr>
              <w:t>Frequency</w:t>
            </w:r>
          </w:p>
        </w:tc>
      </w:tr>
      <w:tr w:rsidR="004E34A7" w:rsidRPr="008F3C8A" w:rsidTr="00422933">
        <w:tc>
          <w:tcPr>
            <w:tcW w:w="2540" w:type="pct"/>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504DF7" w:rsidP="00504DF7">
            <w:r>
              <w:t xml:space="preserve">Effectiveness. </w:t>
            </w:r>
            <w:r w:rsidR="004E34A7" w:rsidRPr="00B53FF0">
              <w:t xml:space="preserve"> Article V. Sections 5.01 and 5.02</w:t>
            </w:r>
          </w:p>
        </w:tc>
        <w:tc>
          <w:tcPr>
            <w:tcW w:w="88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4E34A7">
            <w:pPr>
              <w:jc w:val="center"/>
            </w:pPr>
            <w:r w:rsidRPr="00B53FF0">
              <w:t>No</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504DF7" w:rsidP="004E34A7">
            <w:r>
              <w:t>N</w:t>
            </w:r>
            <w:r w:rsidR="004E34A7" w:rsidRPr="00B53FF0">
              <w:t xml:space="preserve">inety (90) days after the date of the Agreement, unless the World Bank, after consideration of the reasons for the delay, establishes a later date for the purpose of this Section. </w:t>
            </w:r>
            <w:r w:rsidR="004E34A7" w:rsidRPr="00B53FF0">
              <w:lastRenderedPageBreak/>
              <w:t>The World Bank shall promptly notify the Recipient of such later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4E34A7">
            <w:pPr>
              <w:jc w:val="center"/>
            </w:pPr>
            <w:r w:rsidRPr="00B53FF0">
              <w:lastRenderedPageBreak/>
              <w:t>N/A</w:t>
            </w:r>
          </w:p>
        </w:tc>
      </w:tr>
      <w:tr w:rsidR="004E34A7" w:rsidRPr="008F3C8A" w:rsidTr="004E34A7">
        <w:trPr>
          <w:trHeight w:val="220"/>
        </w:trPr>
        <w:tc>
          <w:tcPr>
            <w:tcW w:w="5000" w:type="pct"/>
            <w:gridSpan w:val="25"/>
            <w:tcBorders>
              <w:top w:val="nil"/>
              <w:left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B53FF0" w:rsidRDefault="004E34A7" w:rsidP="004E34A7">
            <w:pPr>
              <w:rPr>
                <w:b/>
                <w:bCs/>
              </w:rPr>
            </w:pPr>
            <w:r w:rsidRPr="00B53FF0">
              <w:rPr>
                <w:b/>
                <w:bCs/>
              </w:rPr>
              <w:lastRenderedPageBreak/>
              <w:t>Description of Covenant</w:t>
            </w:r>
          </w:p>
          <w:p w:rsidR="004E34A7" w:rsidRPr="00B53FF0" w:rsidRDefault="004E34A7" w:rsidP="004E34A7">
            <w:r w:rsidRPr="00B53FF0">
              <w:t>5.01. The Grant Agreement shall not become effective until evidence satisfactory to the World Bank has been furnished to the World Bank that the execution and delivery of the Grant Agreement on behalf of the Recipient has been duly authorized or ratified by all necessary governmental and corporate action.</w:t>
            </w:r>
          </w:p>
          <w:p w:rsidR="004E34A7" w:rsidRPr="00B53FF0" w:rsidRDefault="004E34A7" w:rsidP="004E34A7"/>
          <w:p w:rsidR="004E34A7" w:rsidRPr="00B53FF0" w:rsidRDefault="004E34A7" w:rsidP="004E34A7">
            <w:r w:rsidRPr="00B53FF0">
              <w:t>5.02. As part of the evidence to be furnished pursuant to Section 5.01 (a), there shall be furnished to the World Bank an opinion or opinions satisfactory to the World Bank of counsel satisfactory to the World Bank or, if the World Bank so requests, a certificate satisfactory to the World Bank of a competent official of the Recipient, showing the following matter: on behalf of the Recipient, that this Agreement has been duly authorized or ratified by, and executed and delivered on its behalf and is legally binding upon it in accordance with its terms.</w:t>
            </w:r>
          </w:p>
        </w:tc>
      </w:tr>
      <w:tr w:rsidR="004E34A7" w:rsidRPr="008F3C8A" w:rsidTr="00422933">
        <w:tc>
          <w:tcPr>
            <w:tcW w:w="2540" w:type="pct"/>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301DB4">
            <w:r w:rsidRPr="00B53FF0">
              <w:rPr>
                <w:b/>
                <w:bCs/>
              </w:rPr>
              <w:t>Name</w:t>
            </w:r>
          </w:p>
        </w:tc>
        <w:tc>
          <w:tcPr>
            <w:tcW w:w="88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D92D95">
            <w:pPr>
              <w:jc w:val="center"/>
            </w:pPr>
            <w:r w:rsidRPr="00B53FF0">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D92D95">
            <w:pPr>
              <w:jc w:val="center"/>
            </w:pPr>
            <w:r w:rsidRPr="00B53FF0">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D92D95">
            <w:pPr>
              <w:jc w:val="center"/>
            </w:pPr>
            <w:r w:rsidRPr="00B53FF0">
              <w:rPr>
                <w:b/>
                <w:bCs/>
              </w:rPr>
              <w:t>Frequency</w:t>
            </w:r>
          </w:p>
        </w:tc>
      </w:tr>
      <w:tr w:rsidR="004E34A7" w:rsidRPr="008F3C8A" w:rsidTr="00422933">
        <w:tc>
          <w:tcPr>
            <w:tcW w:w="2540" w:type="pct"/>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301DB4">
            <w:r w:rsidRPr="00B53FF0">
              <w:t>Institutional Arr</w:t>
            </w:r>
            <w:r w:rsidR="00B53FF0" w:rsidRPr="00B53FF0">
              <w:t>angements. Schedule 2. Section I</w:t>
            </w:r>
            <w:r w:rsidRPr="00B53FF0">
              <w:t>.A.1</w:t>
            </w:r>
          </w:p>
        </w:tc>
        <w:tc>
          <w:tcPr>
            <w:tcW w:w="888"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301DB4">
            <w:pPr>
              <w:jc w:val="center"/>
            </w:pPr>
            <w:r w:rsidRPr="00B53FF0">
              <w:t>yes</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D92D95">
            <w:pPr>
              <w:jc w:val="center"/>
            </w:pPr>
            <w:r w:rsidRPr="00B53FF0">
              <w:t>Ongoing</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D92D95">
            <w:pPr>
              <w:jc w:val="center"/>
            </w:pPr>
            <w:r w:rsidRPr="00B53FF0">
              <w:t>Annual</w:t>
            </w:r>
          </w:p>
        </w:tc>
      </w:tr>
      <w:tr w:rsidR="004E34A7" w:rsidRPr="008F3C8A" w:rsidTr="00E56731">
        <w:trPr>
          <w:trHeight w:val="220"/>
        </w:trPr>
        <w:tc>
          <w:tcPr>
            <w:tcW w:w="5000" w:type="pct"/>
            <w:gridSpan w:val="25"/>
            <w:tcBorders>
              <w:top w:val="nil"/>
              <w:left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B53FF0" w:rsidRDefault="004E34A7" w:rsidP="00301DB4">
            <w:pPr>
              <w:rPr>
                <w:b/>
                <w:bCs/>
              </w:rPr>
            </w:pPr>
            <w:r w:rsidRPr="00B53FF0">
              <w:rPr>
                <w:b/>
                <w:bCs/>
              </w:rPr>
              <w:t>Description of Covenant</w:t>
            </w:r>
          </w:p>
          <w:p w:rsidR="004E34A7" w:rsidRPr="00B53FF0" w:rsidRDefault="00B53FF0" w:rsidP="004020EA">
            <w:r w:rsidRPr="00B53FF0">
              <w:t>The Recipient, through MINED, shall maintain at all times during the implementation of the Project, a Project coordinator, with functions and responsibilities acceptable to the World Bank, including, inter alia, the responsibility to coordinate and assist MINED, and MINED’s divisions and education secretariats, in the implementation, administration, monitoring and supervision of the Project</w:t>
            </w:r>
            <w:r w:rsidR="004E34A7" w:rsidRPr="00B53FF0">
              <w:t>.</w:t>
            </w:r>
          </w:p>
        </w:tc>
      </w:tr>
      <w:tr w:rsidR="004E34A7" w:rsidRPr="008F3C8A" w:rsidTr="00422933">
        <w:trPr>
          <w:trHeight w:val="355"/>
        </w:trPr>
        <w:tc>
          <w:tcPr>
            <w:tcW w:w="2540" w:type="pct"/>
            <w:gridSpan w:val="6"/>
            <w:tcBorders>
              <w:top w:val="nil"/>
              <w:left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E65EB7">
            <w:r w:rsidRPr="00B53FF0">
              <w:rPr>
                <w:b/>
                <w:bCs/>
              </w:rPr>
              <w:t>Name</w:t>
            </w:r>
          </w:p>
        </w:tc>
        <w:tc>
          <w:tcPr>
            <w:tcW w:w="865" w:type="pct"/>
            <w:gridSpan w:val="3"/>
            <w:tcBorders>
              <w:top w:val="nil"/>
              <w:left w:val="single" w:sz="4" w:space="0" w:color="000000"/>
              <w:right w:val="single" w:sz="4" w:space="0" w:color="000000"/>
            </w:tcBorders>
            <w:shd w:val="clear" w:color="auto" w:fill="FFFFFF"/>
          </w:tcPr>
          <w:p w:rsidR="004E34A7" w:rsidRPr="00B53FF0" w:rsidRDefault="004E34A7" w:rsidP="00D92D95">
            <w:pPr>
              <w:jc w:val="center"/>
            </w:pPr>
            <w:r w:rsidRPr="00B53FF0">
              <w:rPr>
                <w:b/>
                <w:bCs/>
              </w:rPr>
              <w:t>Recurrent</w:t>
            </w:r>
          </w:p>
        </w:tc>
        <w:tc>
          <w:tcPr>
            <w:tcW w:w="749" w:type="pct"/>
            <w:gridSpan w:val="12"/>
            <w:tcBorders>
              <w:top w:val="nil"/>
              <w:left w:val="single" w:sz="4" w:space="0" w:color="000000"/>
              <w:right w:val="single" w:sz="4" w:space="0" w:color="000000"/>
            </w:tcBorders>
            <w:shd w:val="clear" w:color="auto" w:fill="FFFFFF"/>
          </w:tcPr>
          <w:p w:rsidR="004E34A7" w:rsidRPr="00B53FF0" w:rsidRDefault="004E34A7" w:rsidP="00D92D95">
            <w:pPr>
              <w:jc w:val="center"/>
            </w:pPr>
            <w:r w:rsidRPr="00B53FF0">
              <w:rPr>
                <w:b/>
                <w:bCs/>
              </w:rPr>
              <w:t>Due Date</w:t>
            </w:r>
          </w:p>
        </w:tc>
        <w:tc>
          <w:tcPr>
            <w:tcW w:w="846" w:type="pct"/>
            <w:gridSpan w:val="4"/>
            <w:tcBorders>
              <w:top w:val="nil"/>
              <w:left w:val="single" w:sz="4" w:space="0" w:color="000000"/>
              <w:right w:val="single" w:sz="4" w:space="0" w:color="000000"/>
            </w:tcBorders>
            <w:shd w:val="clear" w:color="auto" w:fill="FFFFFF"/>
          </w:tcPr>
          <w:p w:rsidR="004E34A7" w:rsidRPr="00B53FF0" w:rsidRDefault="004E34A7" w:rsidP="00D92D95">
            <w:pPr>
              <w:jc w:val="center"/>
            </w:pPr>
            <w:r w:rsidRPr="00B53FF0">
              <w:rPr>
                <w:b/>
                <w:bCs/>
              </w:rPr>
              <w:t>Frequency</w:t>
            </w:r>
          </w:p>
        </w:tc>
      </w:tr>
      <w:tr w:rsidR="004E34A7" w:rsidRPr="008F3C8A" w:rsidTr="00422933">
        <w:trPr>
          <w:trHeight w:val="355"/>
        </w:trPr>
        <w:tc>
          <w:tcPr>
            <w:tcW w:w="2540" w:type="pct"/>
            <w:gridSpan w:val="6"/>
            <w:tcBorders>
              <w:top w:val="nil"/>
              <w:left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E65EB7">
            <w:r w:rsidRPr="00B53FF0">
              <w:t>Institutional Arr</w:t>
            </w:r>
            <w:r w:rsidR="00B53FF0" w:rsidRPr="00B53FF0">
              <w:t>angements. Schedule 2. Section I</w:t>
            </w:r>
            <w:r w:rsidRPr="00B53FF0">
              <w:t>.A.2</w:t>
            </w:r>
          </w:p>
        </w:tc>
        <w:tc>
          <w:tcPr>
            <w:tcW w:w="865" w:type="pct"/>
            <w:gridSpan w:val="3"/>
            <w:tcBorders>
              <w:top w:val="nil"/>
              <w:left w:val="single" w:sz="4" w:space="0" w:color="000000"/>
              <w:right w:val="single" w:sz="4" w:space="0" w:color="000000"/>
            </w:tcBorders>
            <w:shd w:val="clear" w:color="auto" w:fill="FFFFFF"/>
          </w:tcPr>
          <w:p w:rsidR="004E34A7" w:rsidRPr="00B53FF0" w:rsidRDefault="004E34A7" w:rsidP="00E65EB7">
            <w:pPr>
              <w:jc w:val="center"/>
            </w:pPr>
            <w:r w:rsidRPr="00B53FF0">
              <w:t>yes</w:t>
            </w:r>
          </w:p>
        </w:tc>
        <w:tc>
          <w:tcPr>
            <w:tcW w:w="749" w:type="pct"/>
            <w:gridSpan w:val="12"/>
            <w:tcBorders>
              <w:top w:val="nil"/>
              <w:left w:val="single" w:sz="4" w:space="0" w:color="000000"/>
              <w:right w:val="single" w:sz="4" w:space="0" w:color="000000"/>
            </w:tcBorders>
            <w:shd w:val="clear" w:color="auto" w:fill="FFFFFF"/>
          </w:tcPr>
          <w:p w:rsidR="004E34A7" w:rsidRPr="00B53FF0" w:rsidRDefault="004E34A7" w:rsidP="00E56731">
            <w:r w:rsidRPr="00B53FF0">
              <w:rPr>
                <w:rFonts w:eastAsia="Calibri"/>
              </w:rPr>
              <w:t>No later than 120 days after the Effectiveness Date</w:t>
            </w:r>
          </w:p>
        </w:tc>
        <w:tc>
          <w:tcPr>
            <w:tcW w:w="846" w:type="pct"/>
            <w:gridSpan w:val="4"/>
            <w:tcBorders>
              <w:top w:val="nil"/>
              <w:left w:val="single" w:sz="4" w:space="0" w:color="000000"/>
              <w:right w:val="single" w:sz="4" w:space="0" w:color="000000"/>
            </w:tcBorders>
            <w:shd w:val="clear" w:color="auto" w:fill="FFFFFF"/>
          </w:tcPr>
          <w:p w:rsidR="004E34A7" w:rsidRPr="00B53FF0" w:rsidRDefault="004E34A7" w:rsidP="00D92D95">
            <w:pPr>
              <w:jc w:val="center"/>
            </w:pPr>
            <w:r w:rsidRPr="00B53FF0">
              <w:t>Annual</w:t>
            </w:r>
          </w:p>
        </w:tc>
      </w:tr>
      <w:tr w:rsidR="004E34A7" w:rsidRPr="008F3C8A" w:rsidTr="00E56731">
        <w:trPr>
          <w:trHeight w:val="337"/>
        </w:trPr>
        <w:tc>
          <w:tcPr>
            <w:tcW w:w="5000" w:type="pct"/>
            <w:gridSpan w:val="25"/>
            <w:tcBorders>
              <w:top w:val="nil"/>
              <w:left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B53FF0" w:rsidRDefault="004E34A7" w:rsidP="00E65EB7">
            <w:pPr>
              <w:rPr>
                <w:b/>
                <w:bCs/>
              </w:rPr>
            </w:pPr>
            <w:r w:rsidRPr="00B53FF0">
              <w:rPr>
                <w:b/>
                <w:bCs/>
              </w:rPr>
              <w:t>Description of Covenant</w:t>
            </w:r>
          </w:p>
          <w:p w:rsidR="004E34A7" w:rsidRPr="00B53FF0" w:rsidRDefault="00B53FF0" w:rsidP="004020EA">
            <w:r w:rsidRPr="00B53FF0">
              <w:t>No later than 120 days after the Effectiveness Date, the Recipient, through MINED, shall hire and thereafter maintain, at all times during the implementation of the Project, the following staff: (a) three procurement analysts; (b) a senior financial management specialist; (c) two accountants; and (d) six controllers, all with experience, qualifications and terms of reference acceptable to the World Bank</w:t>
            </w:r>
            <w:r w:rsidR="004E34A7" w:rsidRPr="00B53FF0">
              <w:t>.</w:t>
            </w:r>
          </w:p>
        </w:tc>
      </w:tr>
      <w:tr w:rsidR="00422933" w:rsidRPr="002C4DDC"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B53FF0" w:rsidRDefault="00422933" w:rsidP="00661477">
            <w:r w:rsidRPr="00B53FF0">
              <w:rPr>
                <w:b/>
                <w:bCs/>
              </w:rPr>
              <w:t>Name</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rPr>
                <w:b/>
                <w:bCs/>
              </w:rPr>
              <w:t>Frequency</w:t>
            </w:r>
          </w:p>
        </w:tc>
      </w:tr>
      <w:tr w:rsidR="00422933" w:rsidRPr="002C4DDC"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B53FF0" w:rsidRDefault="00422933" w:rsidP="00661477">
            <w:r w:rsidRPr="00B53FF0">
              <w:t>Institutional Arrangements. Schedule 2. Section I.B.1</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yes</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Ongoing</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Annual</w:t>
            </w:r>
          </w:p>
        </w:tc>
      </w:tr>
      <w:tr w:rsidR="00422933" w:rsidRPr="002C4DDC" w:rsidTr="00661477">
        <w:tc>
          <w:tcPr>
            <w:tcW w:w="5000" w:type="pct"/>
            <w:gridSpan w:val="2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422933" w:rsidRPr="00B53FF0" w:rsidRDefault="00422933" w:rsidP="00661477">
            <w:r w:rsidRPr="00B53FF0">
              <w:rPr>
                <w:b/>
                <w:bCs/>
              </w:rPr>
              <w:t>Description of Covenant</w:t>
            </w:r>
          </w:p>
          <w:p w:rsidR="00422933" w:rsidRPr="00B53FF0" w:rsidRDefault="00422933" w:rsidP="00661477">
            <w:pPr>
              <w:autoSpaceDE w:val="0"/>
              <w:autoSpaceDN w:val="0"/>
              <w:adjustRightInd w:val="0"/>
              <w:jc w:val="both"/>
            </w:pPr>
            <w:r w:rsidRPr="00B53FF0">
              <w:t>The Recipient shall carry out the Project, in accordance with the provisions of a manual satisfactory to the World Bank (the Operational Manual).</w:t>
            </w:r>
          </w:p>
        </w:tc>
      </w:tr>
      <w:tr w:rsidR="00B53FF0" w:rsidRPr="002C4DDC"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53FF0" w:rsidRPr="00B53FF0" w:rsidRDefault="00B53FF0" w:rsidP="00661477">
            <w:r w:rsidRPr="00B53FF0">
              <w:rPr>
                <w:b/>
                <w:bCs/>
              </w:rPr>
              <w:t>Name</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B53FF0" w:rsidRPr="00B53FF0" w:rsidRDefault="00B53FF0" w:rsidP="00661477">
            <w:pPr>
              <w:jc w:val="center"/>
            </w:pPr>
            <w:r w:rsidRPr="00B53FF0">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B53FF0" w:rsidRPr="00B53FF0" w:rsidRDefault="00B53FF0" w:rsidP="00661477">
            <w:pPr>
              <w:jc w:val="center"/>
            </w:pPr>
            <w:r w:rsidRPr="00B53FF0">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B53FF0" w:rsidRPr="00B53FF0" w:rsidRDefault="00B53FF0" w:rsidP="00661477">
            <w:pPr>
              <w:jc w:val="center"/>
            </w:pPr>
            <w:r w:rsidRPr="00B53FF0">
              <w:rPr>
                <w:b/>
                <w:bCs/>
              </w:rPr>
              <w:t>Frequency</w:t>
            </w:r>
          </w:p>
        </w:tc>
      </w:tr>
      <w:tr w:rsidR="00422933" w:rsidRPr="002C4DDC"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B53FF0" w:rsidRDefault="00422933" w:rsidP="00661477">
            <w:r w:rsidRPr="00B53FF0">
              <w:t>Environmental and Social Safeguard</w:t>
            </w:r>
            <w:r w:rsidR="00504DF7">
              <w:t>s. Schedule 2. Section I.E</w:t>
            </w:r>
            <w:r w:rsidRPr="00B53FF0">
              <w:t>.1</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yes</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Ongoing</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Annual</w:t>
            </w:r>
          </w:p>
        </w:tc>
      </w:tr>
      <w:tr w:rsidR="00422933" w:rsidRPr="002C4DDC" w:rsidTr="00661477">
        <w:tc>
          <w:tcPr>
            <w:tcW w:w="5000" w:type="pct"/>
            <w:gridSpan w:val="2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422933" w:rsidRPr="00B53FF0" w:rsidRDefault="00422933" w:rsidP="00661477">
            <w:r w:rsidRPr="00B53FF0">
              <w:rPr>
                <w:b/>
                <w:bCs/>
              </w:rPr>
              <w:lastRenderedPageBreak/>
              <w:t>Description of Covenant</w:t>
            </w:r>
          </w:p>
          <w:p w:rsidR="00422933" w:rsidRPr="00B53FF0" w:rsidRDefault="00422933" w:rsidP="00661477">
            <w:pPr>
              <w:autoSpaceDE w:val="0"/>
              <w:autoSpaceDN w:val="0"/>
              <w:adjustRightInd w:val="0"/>
              <w:jc w:val="both"/>
            </w:pPr>
            <w:r w:rsidRPr="00B53FF0">
              <w:t>The Recipient shall: (a) carry out the Project in accordance with the Safeguard Instruments, including the guidelines, rules and procedures defined in said Safeguard Instruments; and (b) not assign, amend, repeal, waive or fail to enforce any provision in any of the Safeguard Instruments, without the prior written approval of the World Bank.</w:t>
            </w:r>
          </w:p>
        </w:tc>
      </w:tr>
      <w:tr w:rsidR="00422933" w:rsidRPr="002C4DDC"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B53FF0" w:rsidRDefault="00422933" w:rsidP="00661477">
            <w:r w:rsidRPr="00B53FF0">
              <w:rPr>
                <w:b/>
                <w:bCs/>
              </w:rPr>
              <w:t>Name</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rPr>
                <w:b/>
                <w:bCs/>
              </w:rPr>
              <w:t>Frequency</w:t>
            </w:r>
          </w:p>
        </w:tc>
      </w:tr>
      <w:tr w:rsidR="00422933" w:rsidRPr="002C4DDC"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B53FF0" w:rsidRDefault="00422933" w:rsidP="00661477">
            <w:r w:rsidRPr="00B53FF0">
              <w:t>Environmental and Social Safeguard</w:t>
            </w:r>
            <w:r w:rsidR="00504DF7">
              <w:t>s</w:t>
            </w:r>
            <w:r w:rsidRPr="00B53FF0">
              <w:t xml:space="preserve">. Schedule 2. Section </w:t>
            </w:r>
            <w:r>
              <w:t>I.E.2</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yes</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Ongoing</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B53FF0" w:rsidRDefault="00422933" w:rsidP="00661477">
            <w:pPr>
              <w:jc w:val="center"/>
            </w:pPr>
            <w:r w:rsidRPr="00B53FF0">
              <w:t>Annual</w:t>
            </w:r>
          </w:p>
        </w:tc>
      </w:tr>
      <w:tr w:rsidR="00422933" w:rsidRPr="002C4DDC" w:rsidTr="00661477">
        <w:tc>
          <w:tcPr>
            <w:tcW w:w="5000" w:type="pct"/>
            <w:gridSpan w:val="2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422933" w:rsidRPr="00B53FF0" w:rsidRDefault="00422933" w:rsidP="00661477">
            <w:r w:rsidRPr="00B53FF0">
              <w:rPr>
                <w:b/>
                <w:bCs/>
              </w:rPr>
              <w:t>Description of Covenant</w:t>
            </w:r>
          </w:p>
          <w:p w:rsidR="00422933" w:rsidRPr="00930877" w:rsidRDefault="00422933" w:rsidP="00661477">
            <w:r w:rsidRPr="00930877">
              <w:t>To this end, the Recipient shall ensure that:</w:t>
            </w:r>
          </w:p>
          <w:p w:rsidR="00422933" w:rsidRPr="00930877" w:rsidRDefault="00422933" w:rsidP="00661477"/>
          <w:p w:rsidR="00422933" w:rsidRDefault="00422933" w:rsidP="00661477">
            <w:pPr>
              <w:pStyle w:val="ListParagraph"/>
              <w:numPr>
                <w:ilvl w:val="0"/>
                <w:numId w:val="58"/>
              </w:numPr>
              <w:ind w:left="400"/>
            </w:pPr>
            <w:r w:rsidRPr="00930877">
              <w:t>an EMP, consistent with the provision of the EMF, and acceptable to the World Bank have been duly prepared and disclosed prior to the carrying out of any works under Part 1 (a), Part 2(a)(i) and Part 4(c)(iv) of the Project requiring such EMP; and</w:t>
            </w:r>
          </w:p>
          <w:p w:rsidR="00422933" w:rsidRDefault="00422933" w:rsidP="00661477">
            <w:pPr>
              <w:pStyle w:val="ListParagraph"/>
              <w:ind w:left="400"/>
            </w:pPr>
          </w:p>
          <w:p w:rsidR="00422933" w:rsidRPr="00B53FF0" w:rsidRDefault="00422933" w:rsidP="00661477">
            <w:pPr>
              <w:pStyle w:val="ListParagraph"/>
              <w:numPr>
                <w:ilvl w:val="0"/>
                <w:numId w:val="58"/>
              </w:numPr>
              <w:ind w:left="400"/>
            </w:pPr>
            <w:r w:rsidRPr="00930877">
              <w:t>if applicable, a RAP, consistent with the RPF, and acceptable to the World Bank have been duly prepared and disclosed prior to the carrying out of any works under the Project requiring such RAP.</w:t>
            </w:r>
          </w:p>
        </w:tc>
      </w:tr>
      <w:tr w:rsidR="004E34A7" w:rsidRPr="00422933"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E34A7" w:rsidRPr="00422933" w:rsidRDefault="004E34A7" w:rsidP="00C42C57">
            <w:r w:rsidRPr="00422933">
              <w:rPr>
                <w:b/>
                <w:bCs/>
              </w:rPr>
              <w:t>Name</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E34A7" w:rsidRPr="00422933" w:rsidRDefault="004E34A7" w:rsidP="00D92D95">
            <w:pPr>
              <w:jc w:val="center"/>
            </w:pPr>
            <w:r w:rsidRPr="00422933">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E34A7" w:rsidRPr="00422933" w:rsidRDefault="004E34A7" w:rsidP="00D92D95">
            <w:pPr>
              <w:jc w:val="center"/>
            </w:pPr>
            <w:r w:rsidRPr="00422933">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E34A7" w:rsidRPr="00422933" w:rsidRDefault="004E34A7" w:rsidP="00D92D95">
            <w:pPr>
              <w:jc w:val="center"/>
            </w:pPr>
            <w:r w:rsidRPr="00422933">
              <w:rPr>
                <w:b/>
                <w:bCs/>
              </w:rPr>
              <w:t>Frequency</w:t>
            </w:r>
          </w:p>
        </w:tc>
      </w:tr>
      <w:tr w:rsidR="00422933" w:rsidRPr="00422933"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422933" w:rsidRDefault="00422933" w:rsidP="00661477">
            <w:r w:rsidRPr="00422933">
              <w:t>Environmental and Social Safeguard</w:t>
            </w:r>
            <w:r w:rsidR="00504DF7">
              <w:t>s</w:t>
            </w:r>
            <w:r w:rsidRPr="00422933">
              <w:t>. Schedule 2. Section I.E.3</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422933" w:rsidRDefault="00422933" w:rsidP="00661477">
            <w:pPr>
              <w:jc w:val="center"/>
            </w:pPr>
            <w:r w:rsidRPr="00422933">
              <w:t>yes</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422933" w:rsidRDefault="00422933" w:rsidP="00661477">
            <w:pPr>
              <w:jc w:val="center"/>
            </w:pPr>
            <w:r w:rsidRPr="00422933">
              <w:t>Ongoing</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422933" w:rsidRDefault="00422933" w:rsidP="00661477">
            <w:pPr>
              <w:jc w:val="center"/>
            </w:pPr>
            <w:r w:rsidRPr="00422933">
              <w:t>Annual</w:t>
            </w:r>
          </w:p>
        </w:tc>
      </w:tr>
      <w:tr w:rsidR="00422933" w:rsidRPr="00422933" w:rsidTr="00661477">
        <w:tc>
          <w:tcPr>
            <w:tcW w:w="5000" w:type="pct"/>
            <w:gridSpan w:val="2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422933" w:rsidRPr="00422933" w:rsidRDefault="00422933" w:rsidP="00661477">
            <w:r w:rsidRPr="00422933">
              <w:rPr>
                <w:b/>
                <w:bCs/>
              </w:rPr>
              <w:t>Description of Covenant</w:t>
            </w:r>
          </w:p>
          <w:p w:rsidR="00422933" w:rsidRPr="00422933" w:rsidRDefault="00422933" w:rsidP="00422933">
            <w:pPr>
              <w:pStyle w:val="ListParagraph"/>
              <w:numPr>
                <w:ilvl w:val="0"/>
                <w:numId w:val="59"/>
              </w:numPr>
              <w:ind w:left="400"/>
            </w:pPr>
            <w:r w:rsidRPr="00422933">
              <w:t>The Recipient, through MINED, shall ensure that the terms of reference for any consultancy in respect to Parts 2(a</w:t>
            </w:r>
            <w:proofErr w:type="gramStart"/>
            <w:r w:rsidRPr="00422933">
              <w:t>)(</w:t>
            </w:r>
            <w:proofErr w:type="gramEnd"/>
            <w:r w:rsidRPr="00422933">
              <w:t>iii) and 4(c)(i) and (ii) of the Project shall be satisfactory to the World Bank following its review thereof and, to that end, such terms of reference shall duly incorporate the requirements of the World Bank Safeguards Policies then in force, as applied to the advice conveyed through such technical assistance.</w:t>
            </w:r>
          </w:p>
        </w:tc>
      </w:tr>
      <w:tr w:rsidR="00422933" w:rsidRPr="00422933"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22933" w:rsidRPr="00422933" w:rsidRDefault="00422933" w:rsidP="00661477">
            <w:r w:rsidRPr="00422933">
              <w:rPr>
                <w:b/>
                <w:bCs/>
              </w:rPr>
              <w:t>Name</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22933" w:rsidRPr="00422933" w:rsidRDefault="00422933" w:rsidP="00661477">
            <w:pPr>
              <w:jc w:val="center"/>
            </w:pPr>
            <w:r w:rsidRPr="00422933">
              <w:rPr>
                <w:b/>
                <w:bCs/>
              </w:rPr>
              <w:t>Recurrent</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22933" w:rsidRPr="00422933" w:rsidRDefault="00422933" w:rsidP="00661477">
            <w:pPr>
              <w:jc w:val="center"/>
            </w:pPr>
            <w:r w:rsidRPr="00422933">
              <w:rPr>
                <w:b/>
                <w:bCs/>
              </w:rPr>
              <w:t>Due Date</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22933" w:rsidRPr="00422933" w:rsidRDefault="00422933" w:rsidP="00661477">
            <w:pPr>
              <w:jc w:val="center"/>
            </w:pPr>
            <w:r w:rsidRPr="00422933">
              <w:rPr>
                <w:b/>
                <w:bCs/>
              </w:rPr>
              <w:t>Frequency</w:t>
            </w:r>
          </w:p>
        </w:tc>
      </w:tr>
      <w:tr w:rsidR="004E34A7" w:rsidRPr="00422933" w:rsidTr="00422933">
        <w:tc>
          <w:tcPr>
            <w:tcW w:w="2519" w:type="pct"/>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E34A7" w:rsidRPr="00422933" w:rsidRDefault="00422933" w:rsidP="00C42C57">
            <w:r w:rsidRPr="00422933">
              <w:t>Procurement</w:t>
            </w:r>
            <w:r w:rsidR="004E34A7" w:rsidRPr="00422933">
              <w:t>. Sch</w:t>
            </w:r>
            <w:r w:rsidR="00B53FF0" w:rsidRPr="00422933">
              <w:t xml:space="preserve">edule 2. Section </w:t>
            </w:r>
            <w:r w:rsidRPr="00422933">
              <w:t>III</w:t>
            </w:r>
            <w:r w:rsidR="00504DF7">
              <w:t>.E.</w:t>
            </w:r>
          </w:p>
        </w:tc>
        <w:tc>
          <w:tcPr>
            <w:tcW w:w="909" w:type="pct"/>
            <w:gridSpan w:val="5"/>
            <w:tcBorders>
              <w:top w:val="single" w:sz="4" w:space="0" w:color="000000"/>
              <w:left w:val="single" w:sz="4" w:space="0" w:color="000000"/>
              <w:bottom w:val="single" w:sz="4" w:space="0" w:color="000000"/>
              <w:right w:val="single" w:sz="4" w:space="0" w:color="000000"/>
            </w:tcBorders>
            <w:shd w:val="clear" w:color="auto" w:fill="auto"/>
          </w:tcPr>
          <w:p w:rsidR="004E34A7" w:rsidRPr="00422933" w:rsidRDefault="004E34A7" w:rsidP="00D92D95">
            <w:pPr>
              <w:jc w:val="center"/>
            </w:pPr>
            <w:r w:rsidRPr="00422933">
              <w:t>yes</w:t>
            </w:r>
          </w:p>
        </w:tc>
        <w:tc>
          <w:tcPr>
            <w:tcW w:w="726" w:type="pct"/>
            <w:gridSpan w:val="11"/>
            <w:tcBorders>
              <w:top w:val="single" w:sz="4" w:space="0" w:color="000000"/>
              <w:left w:val="single" w:sz="4" w:space="0" w:color="000000"/>
              <w:bottom w:val="single" w:sz="4" w:space="0" w:color="000000"/>
              <w:right w:val="single" w:sz="4" w:space="0" w:color="000000"/>
            </w:tcBorders>
            <w:shd w:val="clear" w:color="auto" w:fill="auto"/>
          </w:tcPr>
          <w:p w:rsidR="004E34A7" w:rsidRPr="00422933" w:rsidRDefault="004E34A7" w:rsidP="00D92D95">
            <w:pPr>
              <w:jc w:val="center"/>
            </w:pPr>
            <w:r w:rsidRPr="00422933">
              <w:t>Ongoing</w:t>
            </w:r>
          </w:p>
        </w:tc>
        <w:tc>
          <w:tcPr>
            <w:tcW w:w="846" w:type="pct"/>
            <w:gridSpan w:val="4"/>
            <w:tcBorders>
              <w:top w:val="single" w:sz="4" w:space="0" w:color="000000"/>
              <w:left w:val="single" w:sz="4" w:space="0" w:color="000000"/>
              <w:bottom w:val="single" w:sz="4" w:space="0" w:color="000000"/>
              <w:right w:val="single" w:sz="4" w:space="0" w:color="000000"/>
            </w:tcBorders>
            <w:shd w:val="clear" w:color="auto" w:fill="auto"/>
          </w:tcPr>
          <w:p w:rsidR="004E34A7" w:rsidRPr="00422933" w:rsidRDefault="004E34A7" w:rsidP="00D92D95">
            <w:pPr>
              <w:jc w:val="center"/>
            </w:pPr>
            <w:r w:rsidRPr="00422933">
              <w:t>Annual</w:t>
            </w:r>
          </w:p>
        </w:tc>
      </w:tr>
      <w:tr w:rsidR="004E34A7" w:rsidRPr="00422933"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4E34A7" w:rsidRPr="00422933" w:rsidRDefault="004E34A7" w:rsidP="00301DB4">
            <w:r w:rsidRPr="00422933">
              <w:rPr>
                <w:b/>
                <w:bCs/>
              </w:rPr>
              <w:t>Description of Covenant</w:t>
            </w:r>
          </w:p>
          <w:p w:rsidR="00B53FF0" w:rsidRPr="00422933" w:rsidRDefault="00422933" w:rsidP="00504DF7">
            <w:r w:rsidRPr="00422933">
              <w:t>The Special Provisions for the procurement of goods, works, non-consulting services or consultant’s services.</w:t>
            </w:r>
          </w:p>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4E34A7" w:rsidRPr="00B53FF0" w:rsidRDefault="004E34A7" w:rsidP="00301DB4"/>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4E34A7" w:rsidRPr="00B53FF0" w:rsidRDefault="00422933" w:rsidP="00301DB4">
            <w:pPr>
              <w:jc w:val="center"/>
            </w:pPr>
            <w:r>
              <w:rPr>
                <w:b/>
                <w:bCs/>
              </w:rPr>
              <w:t>T</w:t>
            </w:r>
            <w:r w:rsidR="004E34A7" w:rsidRPr="00B53FF0">
              <w:rPr>
                <w:b/>
                <w:bCs/>
              </w:rPr>
              <w:t>eam Composition</w:t>
            </w:r>
          </w:p>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301DB4">
            <w:pPr>
              <w:rPr>
                <w:color w:val="314F4F"/>
              </w:rPr>
            </w:pPr>
            <w:r w:rsidRPr="00B53FF0">
              <w:rPr>
                <w:b/>
                <w:bCs/>
                <w:color w:val="314F4F"/>
              </w:rPr>
              <w:t>Bank Staff</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244A79">
            <w:pPr>
              <w:jc w:val="center"/>
            </w:pPr>
            <w:r w:rsidRPr="00B53FF0">
              <w:rPr>
                <w:b/>
                <w:bCs/>
              </w:rPr>
              <w:t>Name</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244A79">
            <w:pPr>
              <w:jc w:val="center"/>
            </w:pPr>
            <w:r w:rsidRPr="00B53FF0">
              <w:rPr>
                <w:b/>
                <w:bCs/>
              </w:rPr>
              <w:t>Title</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244A79">
            <w:pPr>
              <w:jc w:val="center"/>
            </w:pPr>
            <w:r w:rsidRPr="00B53FF0">
              <w:rPr>
                <w:b/>
                <w:bCs/>
              </w:rPr>
              <w:t>Specialization</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244A79">
            <w:pPr>
              <w:jc w:val="center"/>
            </w:pPr>
            <w:r w:rsidRPr="00B53FF0">
              <w:rPr>
                <w:b/>
                <w:bCs/>
              </w:rPr>
              <w:t>Unit</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B53FF0" w:rsidRDefault="004E34A7" w:rsidP="00244A79">
            <w:pPr>
              <w:jc w:val="center"/>
            </w:pPr>
            <w:r w:rsidRPr="00B53FF0">
              <w:rPr>
                <w:b/>
                <w:bCs/>
              </w:rPr>
              <w:t>UPI</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pPr>
              <w:rPr>
                <w:bCs/>
              </w:rPr>
            </w:pPr>
            <w:r w:rsidRPr="006C2961">
              <w:rPr>
                <w:bCs/>
              </w:rPr>
              <w:t>Michael Drabble</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pPr>
              <w:rPr>
                <w:bCs/>
              </w:rPr>
            </w:pPr>
            <w:r w:rsidRPr="006C2961">
              <w:rPr>
                <w:bCs/>
              </w:rPr>
              <w:t>Senior Education Specialist</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pPr>
              <w:rPr>
                <w:bCs/>
              </w:rPr>
            </w:pPr>
            <w:r w:rsidRPr="006C2961">
              <w:rPr>
                <w:bCs/>
              </w:rPr>
              <w:t>Task Team Leader (TTL)</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LCSHE</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107657</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Miriam Montenegro</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r w:rsidRPr="006C2961">
              <w:t>Country Operations Officer</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Operation Specialist</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LCSHS</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255713</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pPr>
              <w:rPr>
                <w:lang w:val="es-BO"/>
              </w:rPr>
            </w:pPr>
            <w:r w:rsidRPr="006C2961">
              <w:rPr>
                <w:lang w:val="es-BO"/>
              </w:rPr>
              <w:t>Patricia de la Fuente Hoyes</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pPr>
              <w:rPr>
                <w:lang w:val="es-BO"/>
              </w:rPr>
            </w:pPr>
            <w:r w:rsidRPr="006C2961">
              <w:rPr>
                <w:lang w:val="es-BO"/>
              </w:rPr>
              <w:t>Senior Finance Officer</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pPr>
              <w:rPr>
                <w:lang w:val="es-BO"/>
              </w:rPr>
            </w:pPr>
            <w:r w:rsidRPr="006C2961">
              <w:rPr>
                <w:lang w:val="es-BO"/>
              </w:rPr>
              <w:t>Disbursement</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pPr>
              <w:rPr>
                <w:lang w:val="es-BO"/>
              </w:rPr>
            </w:pPr>
            <w:r w:rsidRPr="006C2961">
              <w:rPr>
                <w:lang w:val="es-BO"/>
              </w:rPr>
              <w:t>CTRLD</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pPr>
              <w:rPr>
                <w:lang w:val="es-BO"/>
              </w:rPr>
            </w:pPr>
            <w:r w:rsidRPr="006C2961">
              <w:rPr>
                <w:lang w:val="es-BO"/>
              </w:rPr>
              <w:t>140449</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Enrique Antonio Roman</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r w:rsidRPr="006C2961">
              <w:t>Financial Management Specialist</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Financial Management</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LCSFM</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286993</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lastRenderedPageBreak/>
              <w:t>Francisco Rodriguez</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C62D5">
            <w:r w:rsidRPr="006C2961">
              <w:t>Procurement Specialist</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Procurement</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LCSPT</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180433</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Ignacio Jauregi</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C62D5">
            <w:r w:rsidRPr="006C2961">
              <w:t>Counsel</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Lawyer</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LEGLE</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374324</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Mirtha Escobar</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C62D5">
            <w:r w:rsidRPr="006C2961">
              <w:t>Paralegal</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Paralegal</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LEGLE</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363941</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Mary Lisbeth Gonzalez</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Senior Social Development Specialist</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Social Development/ Social Safeguards</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LCSSO</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52369</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rPr>
                <w:color w:val="000000"/>
              </w:rPr>
              <w:t>Abdelaziz Lagnaoui</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Senior Environmental</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Environment/Safeguards</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LCSEN</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240969</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Janet Entwistle</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Senior Operations Officer</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Operations Specialist</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LCSHE</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13739</w:t>
            </w:r>
          </w:p>
        </w:tc>
      </w:tr>
      <w:tr w:rsidR="004E34A7" w:rsidRPr="006C2961" w:rsidTr="00EE05B0">
        <w:tc>
          <w:tcPr>
            <w:tcW w:w="1253"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Mary Dowling</w:t>
            </w:r>
          </w:p>
        </w:tc>
        <w:tc>
          <w:tcPr>
            <w:tcW w:w="1488"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EC76EC">
            <w:r w:rsidRPr="006C2961">
              <w:t>Program Assistant</w:t>
            </w:r>
          </w:p>
        </w:tc>
        <w:tc>
          <w:tcPr>
            <w:tcW w:w="1226"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Team Assistant</w:t>
            </w:r>
          </w:p>
        </w:tc>
        <w:tc>
          <w:tcPr>
            <w:tcW w:w="423" w:type="pct"/>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LCSHE</w:t>
            </w:r>
          </w:p>
        </w:tc>
        <w:tc>
          <w:tcPr>
            <w:tcW w:w="610"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55C47">
            <w:r w:rsidRPr="006C2961">
              <w:t>175385</w:t>
            </w:r>
          </w:p>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pPr>
              <w:rPr>
                <w:color w:val="314F4F"/>
              </w:rPr>
            </w:pPr>
            <w:r w:rsidRPr="006C2961">
              <w:rPr>
                <w:b/>
                <w:bCs/>
                <w:color w:val="314F4F"/>
              </w:rPr>
              <w:t>Non Bank Staff</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Name</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Title</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City</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301DB4">
            <w:r w:rsidRPr="006C2961">
              <w:t>Enrique Alasino</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Consultant, Education Specialist</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301DB4">
            <w:r w:rsidRPr="006C2961">
              <w:t>Managua, Nicaragua</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301DB4">
            <w:r w:rsidRPr="006C2961">
              <w:t>Carlos Perez-Brito</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Consultant, Education Specialist</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301DB4">
            <w:r w:rsidRPr="006C2961">
              <w:t>Washington, DC</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301DB4">
            <w:r w:rsidRPr="006C2961">
              <w:t>Sam Carlson</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Consultant, Education Economist</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301DB4">
            <w:r w:rsidRPr="006C2961">
              <w:t>Burlington, VT</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Alfonzo Guzman</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1C3B79">
            <w:r w:rsidRPr="006C2961">
              <w:t xml:space="preserve">Consultant, Textbook and Learning Materials Specialist </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Fairfax, VA</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r w:rsidRPr="006C2961">
              <w:t>Carla Paredes Drouet</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B6E3F">
            <w:r w:rsidRPr="006C2961">
              <w:t>Consultant, Early Childhood Development Specialist</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Washington, DC</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r w:rsidRPr="006C2961">
              <w:t>Blanca Hermosilla</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C340B0">
            <w:r w:rsidRPr="006C2961">
              <w:t>Consultant, Early Childhood Development Specialist</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8058CB">
            <w:r w:rsidRPr="006C2961">
              <w:t>Santiago, Chile</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Irayda Ruiz Bode</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 xml:space="preserve">Consultant, Civil Works Specialist/Architect </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A01763">
            <w:r w:rsidRPr="006C2961">
              <w:t>New Orleans, LA</w:t>
            </w:r>
          </w:p>
        </w:tc>
      </w:tr>
      <w:tr w:rsidR="004E34A7" w:rsidRPr="008F3C8A" w:rsidTr="00EE05B0">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FC545F">
            <w:r w:rsidRPr="006C2961">
              <w:t>Vanessa de Castro</w:t>
            </w:r>
          </w:p>
        </w:tc>
        <w:tc>
          <w:tcPr>
            <w:tcW w:w="2319" w:type="pct"/>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244A79">
            <w:r w:rsidRPr="006C2961">
              <w:t>Consultant, Teacher Training Spec.</w:t>
            </w:r>
          </w:p>
        </w:tc>
        <w:tc>
          <w:tcPr>
            <w:tcW w:w="1413"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E34A7" w:rsidRPr="006C2961" w:rsidRDefault="004E34A7" w:rsidP="00FC545F">
            <w:r w:rsidRPr="006C2961">
              <w:t>Managua, Nicaragua</w:t>
            </w:r>
          </w:p>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4E34A7" w:rsidRPr="008F3C8A" w:rsidRDefault="004E34A7" w:rsidP="00301DB4">
            <w:pPr>
              <w:rPr>
                <w:sz w:val="18"/>
                <w:szCs w:val="18"/>
              </w:rPr>
            </w:pPr>
          </w:p>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pPr>
              <w:rPr>
                <w:color w:val="314F4F"/>
              </w:rPr>
            </w:pPr>
            <w:r w:rsidRPr="006C2961">
              <w:rPr>
                <w:b/>
                <w:bCs/>
                <w:color w:val="314F4F"/>
              </w:rPr>
              <w:t>Locations</w:t>
            </w:r>
          </w:p>
        </w:tc>
      </w:tr>
      <w:tr w:rsidR="004E34A7" w:rsidRPr="008F3C8A" w:rsidTr="00C31FE0">
        <w:tc>
          <w:tcPr>
            <w:tcW w:w="113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Country</w:t>
            </w:r>
          </w:p>
        </w:tc>
        <w:tc>
          <w:tcPr>
            <w:tcW w:w="1274"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r w:rsidRPr="006C2961">
              <w:rPr>
                <w:b/>
                <w:bCs/>
              </w:rPr>
              <w:t>First Administrative Division</w:t>
            </w:r>
          </w:p>
        </w:tc>
        <w:tc>
          <w:tcPr>
            <w:tcW w:w="711"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Location</w:t>
            </w:r>
          </w:p>
        </w:tc>
        <w:tc>
          <w:tcPr>
            <w:tcW w:w="605"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Planned</w:t>
            </w:r>
          </w:p>
        </w:tc>
        <w:tc>
          <w:tcPr>
            <w:tcW w:w="417" w:type="pct"/>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Actual</w:t>
            </w:r>
          </w:p>
        </w:tc>
        <w:tc>
          <w:tcPr>
            <w:tcW w:w="859"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244A79">
            <w:pPr>
              <w:jc w:val="center"/>
            </w:pPr>
            <w:r w:rsidRPr="006C2961">
              <w:rPr>
                <w:b/>
                <w:bCs/>
              </w:rPr>
              <w:t>Comments</w:t>
            </w:r>
          </w:p>
        </w:tc>
      </w:tr>
      <w:tr w:rsidR="004E34A7" w:rsidRPr="008F3C8A" w:rsidTr="00C31FE0">
        <w:tc>
          <w:tcPr>
            <w:tcW w:w="113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r w:rsidRPr="006C2961">
              <w:t>Nicaragua</w:t>
            </w:r>
          </w:p>
        </w:tc>
        <w:tc>
          <w:tcPr>
            <w:tcW w:w="1274"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tc>
        <w:tc>
          <w:tcPr>
            <w:tcW w:w="711"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tc>
        <w:tc>
          <w:tcPr>
            <w:tcW w:w="605"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pPr>
              <w:jc w:val="center"/>
            </w:pPr>
          </w:p>
        </w:tc>
        <w:tc>
          <w:tcPr>
            <w:tcW w:w="417" w:type="pct"/>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pPr>
              <w:jc w:val="center"/>
            </w:pPr>
          </w:p>
        </w:tc>
        <w:tc>
          <w:tcPr>
            <w:tcW w:w="859"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E34A7" w:rsidRPr="006C2961" w:rsidRDefault="004E34A7" w:rsidP="00301DB4"/>
        </w:tc>
      </w:tr>
      <w:tr w:rsidR="004E34A7" w:rsidRPr="008F3C8A" w:rsidTr="00E56731">
        <w:tc>
          <w:tcPr>
            <w:tcW w:w="5000" w:type="pct"/>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4E34A7" w:rsidRPr="008F3C8A" w:rsidRDefault="004E34A7" w:rsidP="00301DB4">
            <w:pPr>
              <w:rPr>
                <w:sz w:val="18"/>
                <w:szCs w:val="18"/>
              </w:rPr>
            </w:pPr>
          </w:p>
        </w:tc>
      </w:tr>
    </w:tbl>
    <w:p w:rsidR="00585565" w:rsidRDefault="00585565" w:rsidP="00585565">
      <w:pPr>
        <w:tabs>
          <w:tab w:val="left" w:pos="9576"/>
        </w:tabs>
        <w:rPr>
          <w:b/>
          <w:bCs/>
          <w:sz w:val="4"/>
        </w:rPr>
      </w:pPr>
    </w:p>
    <w:p w:rsidR="00585565" w:rsidRDefault="00585565" w:rsidP="00585565">
      <w:pPr>
        <w:tabs>
          <w:tab w:val="left" w:pos="4793"/>
          <w:tab w:val="left" w:pos="9581"/>
        </w:tabs>
        <w:ind w:left="5"/>
        <w:rPr>
          <w:sz w:val="4"/>
        </w:rPr>
      </w:pPr>
    </w:p>
    <w:p w:rsidR="00585565" w:rsidRDefault="00585565" w:rsidP="00585565">
      <w:pPr>
        <w:rPr>
          <w:sz w:val="4"/>
        </w:rPr>
      </w:pPr>
    </w:p>
    <w:p w:rsidR="00585565" w:rsidRDefault="00585565" w:rsidP="00A01763">
      <w:pPr>
        <w:spacing w:after="200" w:line="276" w:lineRule="auto"/>
        <w:rPr>
          <w:b/>
          <w:bCs/>
        </w:rPr>
        <w:sectPr w:rsidR="00585565" w:rsidSect="00255C47">
          <w:footerReference w:type="default" r:id="rId10"/>
          <w:pgSz w:w="12240" w:h="15840"/>
          <w:pgMar w:top="990" w:right="1440" w:bottom="1440" w:left="1440" w:header="720" w:footer="720" w:gutter="0"/>
          <w:pgNumType w:fmt="lowerRoman"/>
          <w:cols w:space="720"/>
          <w:titlePg/>
          <w:docGrid w:linePitch="360"/>
        </w:sectPr>
      </w:pPr>
    </w:p>
    <w:p w:rsidR="00F75474" w:rsidRPr="00335F56" w:rsidRDefault="006E5592" w:rsidP="005E2993">
      <w:pPr>
        <w:pStyle w:val="Heading1"/>
        <w:numPr>
          <w:ilvl w:val="0"/>
          <w:numId w:val="12"/>
        </w:numPr>
      </w:pPr>
      <w:bookmarkStart w:id="2" w:name="_Toc354067258"/>
      <w:r>
        <w:lastRenderedPageBreak/>
        <w:t>Strategic Context</w:t>
      </w:r>
      <w:bookmarkEnd w:id="1"/>
      <w:bookmarkEnd w:id="2"/>
    </w:p>
    <w:p w:rsidR="00F75474" w:rsidRPr="009E55EB" w:rsidRDefault="00F75474" w:rsidP="005E679B">
      <w:pPr>
        <w:pStyle w:val="Heading2"/>
        <w:keepLines/>
        <w:numPr>
          <w:ilvl w:val="1"/>
          <w:numId w:val="0"/>
        </w:numPr>
        <w:spacing w:before="100" w:beforeAutospacing="1"/>
        <w:ind w:left="1080" w:hanging="360"/>
        <w:jc w:val="left"/>
      </w:pPr>
      <w:bookmarkStart w:id="3" w:name="_Toc298170617"/>
      <w:bookmarkStart w:id="4" w:name="_Toc354067259"/>
      <w:r>
        <w:t xml:space="preserve">A.  </w:t>
      </w:r>
      <w:r w:rsidRPr="009E55EB">
        <w:t>Country Context</w:t>
      </w:r>
      <w:bookmarkEnd w:id="3"/>
      <w:bookmarkEnd w:id="4"/>
      <w:r w:rsidRPr="009E55EB">
        <w:t xml:space="preserve"> </w:t>
      </w:r>
    </w:p>
    <w:p w:rsidR="00F75474" w:rsidRPr="00297AFE" w:rsidRDefault="00F75474" w:rsidP="00D82EAA">
      <w:pPr>
        <w:jc w:val="both"/>
      </w:pPr>
    </w:p>
    <w:p w:rsidR="00F0278F" w:rsidRDefault="00F0278F" w:rsidP="005E2993">
      <w:pPr>
        <w:pStyle w:val="ListParagraph"/>
        <w:numPr>
          <w:ilvl w:val="0"/>
          <w:numId w:val="24"/>
        </w:numPr>
        <w:ind w:left="0" w:firstLine="0"/>
        <w:jc w:val="both"/>
        <w:rPr>
          <w:bCs/>
        </w:rPr>
      </w:pPr>
      <w:r w:rsidRPr="00B342B8">
        <w:rPr>
          <w:b/>
          <w:bCs/>
        </w:rPr>
        <w:t>Nicaragua’s economic performance and macroeconomic policy</w:t>
      </w:r>
      <w:r w:rsidR="00A324C9">
        <w:rPr>
          <w:b/>
          <w:bCs/>
        </w:rPr>
        <w:t xml:space="preserve"> management has improved in </w:t>
      </w:r>
      <w:r w:rsidRPr="00B342B8">
        <w:rPr>
          <w:b/>
          <w:bCs/>
        </w:rPr>
        <w:t>recent year</w:t>
      </w:r>
      <w:r w:rsidR="00A324C9">
        <w:rPr>
          <w:b/>
          <w:bCs/>
        </w:rPr>
        <w:t>s</w:t>
      </w:r>
      <w:r w:rsidRPr="00B342B8">
        <w:rPr>
          <w:b/>
          <w:bCs/>
        </w:rPr>
        <w:t>.</w:t>
      </w:r>
      <w:r w:rsidRPr="00B342B8">
        <w:rPr>
          <w:bCs/>
        </w:rPr>
        <w:t xml:space="preserve"> Nicaragua recovered quickly from the global crisis and </w:t>
      </w:r>
      <w:r w:rsidR="00D60CC1">
        <w:rPr>
          <w:bCs/>
        </w:rPr>
        <w:t xml:space="preserve">experienced </w:t>
      </w:r>
      <w:r w:rsidRPr="00B342B8">
        <w:rPr>
          <w:bCs/>
        </w:rPr>
        <w:t xml:space="preserve">robust growth in </w:t>
      </w:r>
      <w:r w:rsidR="00E55FB1">
        <w:rPr>
          <w:bCs/>
        </w:rPr>
        <w:t xml:space="preserve">2010 and </w:t>
      </w:r>
      <w:r w:rsidRPr="00B342B8">
        <w:rPr>
          <w:bCs/>
        </w:rPr>
        <w:t>2011</w:t>
      </w:r>
      <w:r w:rsidR="00865EFC">
        <w:rPr>
          <w:bCs/>
        </w:rPr>
        <w:t>; a</w:t>
      </w:r>
      <w:r w:rsidRPr="00B342B8">
        <w:rPr>
          <w:bCs/>
        </w:rPr>
        <w:t xml:space="preserve">fter contracting 1.5 percent in the 2009 recession, </w:t>
      </w:r>
      <w:r w:rsidR="00E55FB1">
        <w:rPr>
          <w:bCs/>
        </w:rPr>
        <w:t xml:space="preserve">GDP grew 4.5 percent in </w:t>
      </w:r>
      <w:r w:rsidRPr="00B342B8">
        <w:rPr>
          <w:bCs/>
        </w:rPr>
        <w:t xml:space="preserve">2010 and </w:t>
      </w:r>
      <w:r w:rsidR="00E55FB1">
        <w:rPr>
          <w:bCs/>
        </w:rPr>
        <w:t xml:space="preserve">4 percent in </w:t>
      </w:r>
      <w:r w:rsidRPr="00B342B8">
        <w:rPr>
          <w:bCs/>
        </w:rPr>
        <w:t>2011</w:t>
      </w:r>
      <w:r w:rsidR="00E55FB1">
        <w:rPr>
          <w:bCs/>
        </w:rPr>
        <w:t>.</w:t>
      </w:r>
      <w:r w:rsidRPr="00B342B8">
        <w:rPr>
          <w:bCs/>
        </w:rPr>
        <w:t xml:space="preserve"> Economic expansion led to higher inflation (9</w:t>
      </w:r>
      <w:r w:rsidR="006D3ABC">
        <w:rPr>
          <w:bCs/>
        </w:rPr>
        <w:t xml:space="preserve"> percent</w:t>
      </w:r>
      <w:r w:rsidRPr="00B342B8">
        <w:rPr>
          <w:bCs/>
        </w:rPr>
        <w:t xml:space="preserve"> in 2010 and 8</w:t>
      </w:r>
      <w:r w:rsidR="006D3ABC">
        <w:rPr>
          <w:bCs/>
        </w:rPr>
        <w:t xml:space="preserve"> percent</w:t>
      </w:r>
      <w:r w:rsidRPr="00B342B8">
        <w:rPr>
          <w:bCs/>
        </w:rPr>
        <w:t xml:space="preserve"> in 2011), but overall macroeconomic policy ma</w:t>
      </w:r>
      <w:r w:rsidR="006D3ABC">
        <w:rPr>
          <w:bCs/>
        </w:rPr>
        <w:t>nagement remains adequate. The G</w:t>
      </w:r>
      <w:r w:rsidRPr="00B342B8">
        <w:rPr>
          <w:bCs/>
        </w:rPr>
        <w:t>overnment</w:t>
      </w:r>
      <w:r w:rsidR="006D3ABC">
        <w:rPr>
          <w:bCs/>
        </w:rPr>
        <w:t xml:space="preserve"> of Nicaragua (GoN)</w:t>
      </w:r>
      <w:r w:rsidRPr="00B342B8">
        <w:rPr>
          <w:bCs/>
        </w:rPr>
        <w:t xml:space="preserve"> continues </w:t>
      </w:r>
      <w:r w:rsidR="00096B44">
        <w:rPr>
          <w:bCs/>
        </w:rPr>
        <w:t xml:space="preserve">to </w:t>
      </w:r>
      <w:r w:rsidRPr="00B342B8">
        <w:rPr>
          <w:bCs/>
        </w:rPr>
        <w:t>pursu</w:t>
      </w:r>
      <w:r w:rsidR="00096B44">
        <w:rPr>
          <w:bCs/>
        </w:rPr>
        <w:t>e</w:t>
      </w:r>
      <w:r w:rsidRPr="00B342B8">
        <w:rPr>
          <w:bCs/>
        </w:rPr>
        <w:t xml:space="preserve"> a fiscal consolidation strategy. </w:t>
      </w:r>
    </w:p>
    <w:p w:rsidR="00BF7645" w:rsidRPr="00BF7645" w:rsidRDefault="00BF7645" w:rsidP="00F2685A">
      <w:pPr>
        <w:pStyle w:val="ListParagraph"/>
        <w:rPr>
          <w:bCs/>
        </w:rPr>
      </w:pPr>
    </w:p>
    <w:p w:rsidR="00BF7645" w:rsidRDefault="00BF7645" w:rsidP="00BF7645">
      <w:pPr>
        <w:pStyle w:val="ListParagraph"/>
        <w:numPr>
          <w:ilvl w:val="0"/>
          <w:numId w:val="24"/>
        </w:numPr>
        <w:ind w:left="0" w:firstLine="0"/>
        <w:jc w:val="both"/>
        <w:rPr>
          <w:bCs/>
        </w:rPr>
      </w:pPr>
      <w:r w:rsidRPr="00CA5BB6">
        <w:rPr>
          <w:b/>
          <w:bCs/>
        </w:rPr>
        <w:t xml:space="preserve">The Republic of Nicaragua in Central America remains the second poorest country in Latin America </w:t>
      </w:r>
      <w:r>
        <w:rPr>
          <w:b/>
          <w:bCs/>
        </w:rPr>
        <w:t>(</w:t>
      </w:r>
      <w:r w:rsidRPr="00CA5BB6">
        <w:rPr>
          <w:b/>
          <w:bCs/>
        </w:rPr>
        <w:t>after Haiti</w:t>
      </w:r>
      <w:r>
        <w:rPr>
          <w:b/>
          <w:bCs/>
        </w:rPr>
        <w:t>)</w:t>
      </w:r>
      <w:r w:rsidRPr="00CA5BB6">
        <w:rPr>
          <w:b/>
          <w:bCs/>
        </w:rPr>
        <w:t xml:space="preserve"> wit</w:t>
      </w:r>
      <w:r>
        <w:rPr>
          <w:b/>
          <w:bCs/>
        </w:rPr>
        <w:t>h a GDP per capita of US$</w:t>
      </w:r>
      <w:r w:rsidRPr="00CA5BB6">
        <w:rPr>
          <w:b/>
          <w:bCs/>
        </w:rPr>
        <w:t>1,</w:t>
      </w:r>
      <w:r>
        <w:rPr>
          <w:b/>
          <w:bCs/>
        </w:rPr>
        <w:t>239 in 2011</w:t>
      </w:r>
      <w:r w:rsidRPr="00CA5BB6">
        <w:rPr>
          <w:b/>
          <w:bCs/>
        </w:rPr>
        <w:t xml:space="preserve">. </w:t>
      </w:r>
      <w:r>
        <w:rPr>
          <w:b/>
          <w:bCs/>
        </w:rPr>
        <w:t xml:space="preserve"> </w:t>
      </w:r>
      <w:r>
        <w:rPr>
          <w:bCs/>
        </w:rPr>
        <w:t xml:space="preserve">Approximately 42 percent </w:t>
      </w:r>
      <w:r w:rsidRPr="001E14C5">
        <w:rPr>
          <w:bCs/>
        </w:rPr>
        <w:t xml:space="preserve">of the population still lives below the poverty line, </w:t>
      </w:r>
      <w:r>
        <w:rPr>
          <w:bCs/>
        </w:rPr>
        <w:t xml:space="preserve">and </w:t>
      </w:r>
      <w:r w:rsidRPr="001E14C5">
        <w:rPr>
          <w:bCs/>
        </w:rPr>
        <w:t xml:space="preserve">one out of every five </w:t>
      </w:r>
      <w:r>
        <w:rPr>
          <w:bCs/>
        </w:rPr>
        <w:t xml:space="preserve">Nicaraguans </w:t>
      </w:r>
      <w:r w:rsidRPr="001E14C5">
        <w:rPr>
          <w:bCs/>
        </w:rPr>
        <w:t>liv</w:t>
      </w:r>
      <w:r>
        <w:rPr>
          <w:bCs/>
        </w:rPr>
        <w:t>es</w:t>
      </w:r>
      <w:r w:rsidRPr="001E14C5">
        <w:rPr>
          <w:bCs/>
        </w:rPr>
        <w:t xml:space="preserve"> in extreme poverty. </w:t>
      </w:r>
      <w:r>
        <w:rPr>
          <w:bCs/>
        </w:rPr>
        <w:t xml:space="preserve"> </w:t>
      </w:r>
      <w:r w:rsidRPr="002605BE">
        <w:rPr>
          <w:bCs/>
        </w:rPr>
        <w:t xml:space="preserve">Among </w:t>
      </w:r>
      <w:r>
        <w:rPr>
          <w:bCs/>
        </w:rPr>
        <w:t xml:space="preserve">the </w:t>
      </w:r>
      <w:r w:rsidRPr="002605BE">
        <w:rPr>
          <w:bCs/>
        </w:rPr>
        <w:t>300,000 families with children living in extreme poverty, about a third of the</w:t>
      </w:r>
      <w:r>
        <w:rPr>
          <w:bCs/>
        </w:rPr>
        <w:t>m</w:t>
      </w:r>
      <w:r w:rsidRPr="002605BE">
        <w:rPr>
          <w:bCs/>
        </w:rPr>
        <w:t xml:space="preserve"> have at least one child (aged 7-12) working and/or not going to school</w:t>
      </w:r>
      <w:r w:rsidRPr="00712B97">
        <w:rPr>
          <w:rStyle w:val="FootnoteReference"/>
          <w:bCs/>
        </w:rPr>
        <w:footnoteReference w:id="1"/>
      </w:r>
      <w:r w:rsidRPr="002605BE">
        <w:rPr>
          <w:bCs/>
        </w:rPr>
        <w:t>.</w:t>
      </w:r>
    </w:p>
    <w:p w:rsidR="00BF7645" w:rsidRDefault="00BF7645" w:rsidP="00BF7645">
      <w:pPr>
        <w:pStyle w:val="ListParagraph"/>
        <w:ind w:left="0"/>
        <w:jc w:val="both"/>
        <w:rPr>
          <w:bCs/>
        </w:rPr>
      </w:pPr>
    </w:p>
    <w:p w:rsidR="00C61221" w:rsidRDefault="00F0278F" w:rsidP="005E2993">
      <w:pPr>
        <w:pStyle w:val="ListParagraph"/>
        <w:numPr>
          <w:ilvl w:val="0"/>
          <w:numId w:val="24"/>
        </w:numPr>
        <w:ind w:left="0" w:firstLine="0"/>
        <w:jc w:val="both"/>
        <w:rPr>
          <w:bCs/>
        </w:rPr>
      </w:pPr>
      <w:r>
        <w:rPr>
          <w:rFonts w:eastAsia="Calibri"/>
          <w:b/>
          <w:bCs/>
          <w:color w:val="000000"/>
        </w:rPr>
        <w:t xml:space="preserve">Within this context, the </w:t>
      </w:r>
      <w:r w:rsidR="007B741B">
        <w:rPr>
          <w:rFonts w:eastAsia="Calibri"/>
          <w:b/>
          <w:bCs/>
          <w:color w:val="000000"/>
        </w:rPr>
        <w:t>GoN</w:t>
      </w:r>
      <w:r>
        <w:rPr>
          <w:rFonts w:eastAsia="Calibri"/>
          <w:b/>
          <w:bCs/>
          <w:color w:val="000000"/>
        </w:rPr>
        <w:t xml:space="preserve"> defined its plans for economic development and poverty reduction in its National Plan for Human Development (</w:t>
      </w:r>
      <w:r>
        <w:rPr>
          <w:rFonts w:eastAsia="Calibri"/>
          <w:b/>
          <w:bCs/>
          <w:i/>
          <w:iCs/>
          <w:color w:val="000000"/>
        </w:rPr>
        <w:t>Plan Nacional de Desarrollo Humano, Gobierno de Reconciliación y Unidad Nacional, 2007-2011)</w:t>
      </w:r>
      <w:r>
        <w:rPr>
          <w:rFonts w:eastAsia="Calibri"/>
          <w:b/>
          <w:bCs/>
          <w:color w:val="000000"/>
        </w:rPr>
        <w:t>.</w:t>
      </w:r>
      <w:r>
        <w:rPr>
          <w:bCs/>
        </w:rPr>
        <w:t xml:space="preserve"> As part of this plan, the </w:t>
      </w:r>
      <w:r w:rsidR="007B741B">
        <w:rPr>
          <w:bCs/>
        </w:rPr>
        <w:t>GoN</w:t>
      </w:r>
      <w:r>
        <w:rPr>
          <w:bCs/>
        </w:rPr>
        <w:t xml:space="preserve"> set a pro-poor strategy and agenda that emphasizes the delivery of both infrastructure and social services.  The country has made positive progress on human capital indicators, particularly on several of the Millennium Development Goals (MDGs).  For </w:t>
      </w:r>
      <w:r w:rsidRPr="00A06D25">
        <w:rPr>
          <w:bCs/>
        </w:rPr>
        <w:t>instance,</w:t>
      </w:r>
      <w:r>
        <w:rPr>
          <w:bCs/>
        </w:rPr>
        <w:t xml:space="preserve"> i</w:t>
      </w:r>
      <w:r w:rsidRPr="00DF199D">
        <w:rPr>
          <w:bCs/>
        </w:rPr>
        <w:t xml:space="preserve">n </w:t>
      </w:r>
      <w:r>
        <w:rPr>
          <w:bCs/>
        </w:rPr>
        <w:t xml:space="preserve">the </w:t>
      </w:r>
      <w:r w:rsidRPr="00DF199D">
        <w:rPr>
          <w:bCs/>
        </w:rPr>
        <w:t>education</w:t>
      </w:r>
      <w:r>
        <w:rPr>
          <w:bCs/>
        </w:rPr>
        <w:t xml:space="preserve"> sector,</w:t>
      </w:r>
      <w:r w:rsidRPr="00DF199D">
        <w:rPr>
          <w:bCs/>
        </w:rPr>
        <w:t xml:space="preserve"> net enrollment</w:t>
      </w:r>
      <w:r>
        <w:rPr>
          <w:bCs/>
        </w:rPr>
        <w:t xml:space="preserve"> of children between 6 and 11 years of age </w:t>
      </w:r>
      <w:r w:rsidRPr="00DF199D">
        <w:rPr>
          <w:bCs/>
        </w:rPr>
        <w:t>increased from 8</w:t>
      </w:r>
      <w:r>
        <w:rPr>
          <w:bCs/>
        </w:rPr>
        <w:t>3</w:t>
      </w:r>
      <w:r w:rsidRPr="00DF199D">
        <w:rPr>
          <w:bCs/>
        </w:rPr>
        <w:t xml:space="preserve"> </w:t>
      </w:r>
      <w:r>
        <w:rPr>
          <w:bCs/>
        </w:rPr>
        <w:t>percent</w:t>
      </w:r>
      <w:r w:rsidRPr="00DF199D">
        <w:rPr>
          <w:bCs/>
        </w:rPr>
        <w:t xml:space="preserve"> to 9</w:t>
      </w:r>
      <w:r>
        <w:rPr>
          <w:bCs/>
        </w:rPr>
        <w:t xml:space="preserve">2 percent between </w:t>
      </w:r>
      <w:r w:rsidRPr="00DF199D">
        <w:rPr>
          <w:bCs/>
        </w:rPr>
        <w:t>2001 and 2008</w:t>
      </w:r>
      <w:r>
        <w:rPr>
          <w:rStyle w:val="FootnoteReference"/>
          <w:bCs/>
        </w:rPr>
        <w:footnoteReference w:id="2"/>
      </w:r>
      <w:r>
        <w:rPr>
          <w:bCs/>
        </w:rPr>
        <w:t xml:space="preserve">. </w:t>
      </w:r>
    </w:p>
    <w:p w:rsidR="00F75474" w:rsidRPr="00AB6590" w:rsidRDefault="00F75474" w:rsidP="005E679B">
      <w:pPr>
        <w:pStyle w:val="Heading2"/>
        <w:keepLines/>
        <w:numPr>
          <w:ilvl w:val="1"/>
          <w:numId w:val="0"/>
        </w:numPr>
        <w:spacing w:before="100" w:beforeAutospacing="1"/>
        <w:ind w:left="1080" w:hanging="360"/>
        <w:jc w:val="left"/>
      </w:pPr>
      <w:bookmarkStart w:id="5" w:name="_Toc298170618"/>
      <w:r w:rsidRPr="00AB6590">
        <w:t xml:space="preserve"> </w:t>
      </w:r>
      <w:bookmarkStart w:id="6" w:name="_Toc354067260"/>
      <w:r>
        <w:t xml:space="preserve">B.  </w:t>
      </w:r>
      <w:r w:rsidRPr="00AB6590">
        <w:t>Sectoral and Institutional Context</w:t>
      </w:r>
      <w:bookmarkEnd w:id="5"/>
      <w:bookmarkEnd w:id="6"/>
      <w:r w:rsidRPr="00AB6590">
        <w:t xml:space="preserve"> </w:t>
      </w:r>
    </w:p>
    <w:p w:rsidR="00F75474" w:rsidRPr="00FC6844" w:rsidRDefault="00F75474" w:rsidP="00F75474">
      <w:pPr>
        <w:jc w:val="both"/>
        <w:rPr>
          <w:bCs/>
        </w:rPr>
      </w:pPr>
    </w:p>
    <w:p w:rsidR="00995DB2" w:rsidRPr="00D271E4" w:rsidRDefault="00A324C9" w:rsidP="005E2993">
      <w:pPr>
        <w:pStyle w:val="ListParagraph"/>
        <w:numPr>
          <w:ilvl w:val="0"/>
          <w:numId w:val="24"/>
        </w:numPr>
        <w:ind w:left="0" w:firstLine="0"/>
        <w:jc w:val="both"/>
        <w:rPr>
          <w:bCs/>
        </w:rPr>
      </w:pPr>
      <w:r>
        <w:rPr>
          <w:b/>
          <w:bCs/>
        </w:rPr>
        <w:t xml:space="preserve">In its </w:t>
      </w:r>
      <w:r w:rsidR="00995DB2" w:rsidRPr="008525F2">
        <w:rPr>
          <w:b/>
          <w:bCs/>
        </w:rPr>
        <w:t>Education Sector Strategy</w:t>
      </w:r>
      <w:r>
        <w:rPr>
          <w:b/>
          <w:bCs/>
        </w:rPr>
        <w:t>, 2011-15</w:t>
      </w:r>
      <w:r w:rsidR="00995DB2" w:rsidRPr="008525F2">
        <w:rPr>
          <w:b/>
          <w:bCs/>
        </w:rPr>
        <w:t xml:space="preserve"> (ES</w:t>
      </w:r>
      <w:r w:rsidR="007B741B">
        <w:rPr>
          <w:b/>
          <w:bCs/>
        </w:rPr>
        <w:t>S</w:t>
      </w:r>
      <w:r w:rsidR="00995DB2" w:rsidRPr="008525F2">
        <w:rPr>
          <w:b/>
          <w:bCs/>
        </w:rPr>
        <w:t xml:space="preserve">), the Ministry of Education (MINED) articulated three key priorities: (i) expanded access to </w:t>
      </w:r>
      <w:r w:rsidR="00F75747">
        <w:rPr>
          <w:b/>
          <w:bCs/>
        </w:rPr>
        <w:t>preschool</w:t>
      </w:r>
      <w:r w:rsidR="00995DB2" w:rsidRPr="008525F2">
        <w:rPr>
          <w:b/>
          <w:bCs/>
        </w:rPr>
        <w:t xml:space="preserve"> education, (ii) universal completion of six grades of primary education, and (iii) universal access to lower secondary education</w:t>
      </w:r>
      <w:r w:rsidR="00995DB2">
        <w:rPr>
          <w:b/>
          <w:bCs/>
        </w:rPr>
        <w:t xml:space="preserve"> (grades 7-9)</w:t>
      </w:r>
      <w:r w:rsidR="00995DB2" w:rsidRPr="008525F2">
        <w:rPr>
          <w:bCs/>
        </w:rPr>
        <w:t xml:space="preserve">.  </w:t>
      </w:r>
      <w:r w:rsidR="00E20B27">
        <w:rPr>
          <w:bCs/>
        </w:rPr>
        <w:t xml:space="preserve">Average education attainment reached 5.8 years in 2010 for the population 25 years and older.  </w:t>
      </w:r>
      <w:r w:rsidR="00995DB2" w:rsidRPr="008525F2">
        <w:rPr>
          <w:bCs/>
        </w:rPr>
        <w:t xml:space="preserve">With </w:t>
      </w:r>
      <w:r w:rsidR="00F75747">
        <w:rPr>
          <w:bCs/>
        </w:rPr>
        <w:t>preschool</w:t>
      </w:r>
      <w:r w:rsidR="00995DB2">
        <w:rPr>
          <w:bCs/>
        </w:rPr>
        <w:t xml:space="preserve"> gross enrollment at just 56</w:t>
      </w:r>
      <w:r w:rsidR="00995DB2" w:rsidRPr="008525F2">
        <w:rPr>
          <w:bCs/>
        </w:rPr>
        <w:t xml:space="preserve"> percent, primary net enrollment at 87 percent (of which less than 75 percent finish the primary cycle), and secondary net</w:t>
      </w:r>
      <w:r w:rsidR="00E20B27">
        <w:rPr>
          <w:bCs/>
        </w:rPr>
        <w:t xml:space="preserve"> enrollment at 45 percent, the </w:t>
      </w:r>
      <w:r w:rsidR="009469DE">
        <w:rPr>
          <w:bCs/>
        </w:rPr>
        <w:t>ESS</w:t>
      </w:r>
      <w:r w:rsidR="00E20B27">
        <w:rPr>
          <w:bCs/>
        </w:rPr>
        <w:t>’s</w:t>
      </w:r>
      <w:r w:rsidR="00995DB2">
        <w:rPr>
          <w:bCs/>
        </w:rPr>
        <w:t xml:space="preserve"> priorities make sense</w:t>
      </w:r>
      <w:r w:rsidR="00995DB2" w:rsidRPr="008525F2">
        <w:rPr>
          <w:bCs/>
        </w:rPr>
        <w:t>.</w:t>
      </w:r>
      <w:r w:rsidR="00995DB2">
        <w:rPr>
          <w:bCs/>
        </w:rPr>
        <w:t xml:space="preserve">  The </w:t>
      </w:r>
      <w:r w:rsidR="009469DE">
        <w:rPr>
          <w:bCs/>
        </w:rPr>
        <w:t>ESS</w:t>
      </w:r>
      <w:r w:rsidR="00995DB2">
        <w:rPr>
          <w:bCs/>
        </w:rPr>
        <w:t xml:space="preserve"> </w:t>
      </w:r>
      <w:r w:rsidR="00EC198B">
        <w:rPr>
          <w:bCs/>
        </w:rPr>
        <w:t>was</w:t>
      </w:r>
      <w:r w:rsidR="00995DB2">
        <w:rPr>
          <w:bCs/>
        </w:rPr>
        <w:t xml:space="preserve"> carefully reviewed and </w:t>
      </w:r>
      <w:r w:rsidR="0057317B">
        <w:rPr>
          <w:bCs/>
        </w:rPr>
        <w:t xml:space="preserve">endorsed by Nicaragua’s </w:t>
      </w:r>
      <w:r w:rsidR="00995DB2">
        <w:rPr>
          <w:bCs/>
        </w:rPr>
        <w:t>external education partners</w:t>
      </w:r>
      <w:r w:rsidR="00D82EAA">
        <w:rPr>
          <w:bCs/>
        </w:rPr>
        <w:t>.</w:t>
      </w:r>
      <w:r w:rsidR="00995DB2">
        <w:rPr>
          <w:bCs/>
        </w:rPr>
        <w:t xml:space="preserve">  </w:t>
      </w:r>
    </w:p>
    <w:p w:rsidR="009D2A50" w:rsidRPr="009D2A50" w:rsidRDefault="009D2A50" w:rsidP="00995DB2">
      <w:pPr>
        <w:keepNext/>
        <w:jc w:val="both"/>
        <w:rPr>
          <w:bCs/>
        </w:rPr>
      </w:pPr>
    </w:p>
    <w:p w:rsidR="00995DB2" w:rsidRDefault="00995DB2" w:rsidP="005E2993">
      <w:pPr>
        <w:pStyle w:val="ListParagraph"/>
        <w:numPr>
          <w:ilvl w:val="0"/>
          <w:numId w:val="24"/>
        </w:numPr>
        <w:ind w:left="0" w:firstLine="0"/>
        <w:jc w:val="both"/>
        <w:rPr>
          <w:bCs/>
        </w:rPr>
      </w:pPr>
      <w:r>
        <w:rPr>
          <w:b/>
          <w:bCs/>
        </w:rPr>
        <w:t xml:space="preserve">Weaknesses in the supply and quality of </w:t>
      </w:r>
      <w:r w:rsidR="00F75747">
        <w:rPr>
          <w:b/>
          <w:bCs/>
        </w:rPr>
        <w:t>preschool</w:t>
      </w:r>
      <w:r>
        <w:rPr>
          <w:b/>
          <w:bCs/>
        </w:rPr>
        <w:t xml:space="preserve"> education, particularly among disadvantaged rural households, are correlated with low retention and completion rates at the primary level</w:t>
      </w:r>
      <w:r w:rsidRPr="00FF610B">
        <w:rPr>
          <w:bCs/>
        </w:rPr>
        <w:t>.</w:t>
      </w:r>
      <w:r>
        <w:rPr>
          <w:b/>
          <w:bCs/>
        </w:rPr>
        <w:t xml:space="preserve"> </w:t>
      </w:r>
      <w:r>
        <w:rPr>
          <w:bCs/>
        </w:rPr>
        <w:t xml:space="preserve">Currently, both formal </w:t>
      </w:r>
      <w:r w:rsidR="00F75747">
        <w:rPr>
          <w:bCs/>
        </w:rPr>
        <w:t>preschool</w:t>
      </w:r>
      <w:r>
        <w:rPr>
          <w:bCs/>
        </w:rPr>
        <w:t xml:space="preserve"> education in primary schools and community-</w:t>
      </w:r>
      <w:r>
        <w:rPr>
          <w:bCs/>
        </w:rPr>
        <w:lastRenderedPageBreak/>
        <w:t xml:space="preserve">based </w:t>
      </w:r>
      <w:r w:rsidR="00F75747">
        <w:rPr>
          <w:bCs/>
        </w:rPr>
        <w:t>preschool</w:t>
      </w:r>
      <w:r>
        <w:rPr>
          <w:bCs/>
        </w:rPr>
        <w:t xml:space="preserve"> programs</w:t>
      </w:r>
      <w:r>
        <w:rPr>
          <w:rStyle w:val="FootnoteReference"/>
          <w:bCs/>
        </w:rPr>
        <w:footnoteReference w:id="3"/>
      </w:r>
      <w:r>
        <w:rPr>
          <w:bCs/>
        </w:rPr>
        <w:t xml:space="preserve"> are offe</w:t>
      </w:r>
      <w:r w:rsidR="00C07CF2">
        <w:rPr>
          <w:bCs/>
        </w:rPr>
        <w:t>red, reaching about 231</w:t>
      </w:r>
      <w:r>
        <w:rPr>
          <w:bCs/>
        </w:rPr>
        <w:t>,000 children aged 3-5.  Enrollment rates increase steadily from 3 years of age (less than 40</w:t>
      </w:r>
      <w:r w:rsidR="006D3ABC">
        <w:rPr>
          <w:bCs/>
        </w:rPr>
        <w:t xml:space="preserve"> percent</w:t>
      </w:r>
      <w:r>
        <w:rPr>
          <w:bCs/>
        </w:rPr>
        <w:t>) to 4 years of age (more than 50</w:t>
      </w:r>
      <w:r w:rsidR="006D3ABC">
        <w:rPr>
          <w:bCs/>
        </w:rPr>
        <w:t xml:space="preserve"> percent</w:t>
      </w:r>
      <w:r>
        <w:rPr>
          <w:bCs/>
        </w:rPr>
        <w:t>) up to 5 years of age (more than 80</w:t>
      </w:r>
      <w:r w:rsidR="006D3ABC">
        <w:rPr>
          <w:bCs/>
        </w:rPr>
        <w:t xml:space="preserve"> percent</w:t>
      </w:r>
      <w:r>
        <w:rPr>
          <w:bCs/>
        </w:rPr>
        <w:t>).  Rural enrollment (47</w:t>
      </w:r>
      <w:r w:rsidR="006D3ABC">
        <w:rPr>
          <w:bCs/>
        </w:rPr>
        <w:t xml:space="preserve"> percent</w:t>
      </w:r>
      <w:r>
        <w:rPr>
          <w:bCs/>
        </w:rPr>
        <w:t>) is considerably lo</w:t>
      </w:r>
      <w:r w:rsidR="0079278E">
        <w:rPr>
          <w:bCs/>
        </w:rPr>
        <w:t>wer than urban enrollment (70</w:t>
      </w:r>
      <w:r w:rsidR="006D3ABC">
        <w:rPr>
          <w:bCs/>
        </w:rPr>
        <w:t xml:space="preserve"> percent</w:t>
      </w:r>
      <w:r w:rsidR="0079278E">
        <w:rPr>
          <w:bCs/>
        </w:rPr>
        <w:t>)</w:t>
      </w:r>
      <w:r>
        <w:rPr>
          <w:bCs/>
        </w:rPr>
        <w:t xml:space="preserve"> and 80 percent of rural </w:t>
      </w:r>
      <w:r w:rsidR="00F75747">
        <w:rPr>
          <w:bCs/>
        </w:rPr>
        <w:t>preschool</w:t>
      </w:r>
      <w:r>
        <w:rPr>
          <w:bCs/>
        </w:rPr>
        <w:t xml:space="preserve"> children are in community-based programs</w:t>
      </w:r>
      <w:r w:rsidR="0079278E">
        <w:rPr>
          <w:bCs/>
        </w:rPr>
        <w:t>,</w:t>
      </w:r>
      <w:r>
        <w:rPr>
          <w:bCs/>
        </w:rPr>
        <w:t xml:space="preserve"> which are generally of lower quality.  </w:t>
      </w:r>
      <w:r w:rsidR="00A324C9">
        <w:rPr>
          <w:bCs/>
        </w:rPr>
        <w:t>Low rural enrolment and poor quality are</w:t>
      </w:r>
      <w:r>
        <w:rPr>
          <w:bCs/>
        </w:rPr>
        <w:t xml:space="preserve"> reflected at the primary level with much lower transition, retention and completion rates in rural areas compared to urban areas.</w:t>
      </w:r>
    </w:p>
    <w:p w:rsidR="00995DB2" w:rsidRPr="00673C81" w:rsidRDefault="00995DB2" w:rsidP="00995DB2">
      <w:pPr>
        <w:jc w:val="both"/>
        <w:rPr>
          <w:bCs/>
        </w:rPr>
      </w:pPr>
    </w:p>
    <w:p w:rsidR="00995DB2" w:rsidRPr="00A85C2D" w:rsidRDefault="00995DB2" w:rsidP="005E2993">
      <w:pPr>
        <w:pStyle w:val="ListParagraph"/>
        <w:numPr>
          <w:ilvl w:val="0"/>
          <w:numId w:val="24"/>
        </w:numPr>
        <w:ind w:left="0" w:firstLine="0"/>
        <w:jc w:val="both"/>
        <w:rPr>
          <w:bCs/>
        </w:rPr>
      </w:pPr>
      <w:r w:rsidRPr="008525F2">
        <w:rPr>
          <w:b/>
          <w:bCs/>
        </w:rPr>
        <w:t xml:space="preserve">The poor quality of </w:t>
      </w:r>
      <w:r w:rsidR="00F75747">
        <w:rPr>
          <w:b/>
          <w:bCs/>
        </w:rPr>
        <w:t>preschool</w:t>
      </w:r>
      <w:r w:rsidRPr="008525F2">
        <w:rPr>
          <w:b/>
          <w:bCs/>
        </w:rPr>
        <w:t xml:space="preserve"> education</w:t>
      </w:r>
      <w:r w:rsidR="00FB1574">
        <w:rPr>
          <w:b/>
          <w:bCs/>
        </w:rPr>
        <w:t xml:space="preserve"> overall</w:t>
      </w:r>
      <w:r w:rsidRPr="008525F2">
        <w:rPr>
          <w:b/>
          <w:bCs/>
        </w:rPr>
        <w:t xml:space="preserve"> limits its effectiveness</w:t>
      </w:r>
      <w:r w:rsidRPr="00FF610B">
        <w:rPr>
          <w:bCs/>
        </w:rPr>
        <w:t>.</w:t>
      </w:r>
      <w:r w:rsidR="00A324C9">
        <w:rPr>
          <w:bCs/>
        </w:rPr>
        <w:t xml:space="preserve">  C</w:t>
      </w:r>
      <w:r>
        <w:rPr>
          <w:bCs/>
        </w:rPr>
        <w:t xml:space="preserve">ommunity-based </w:t>
      </w:r>
      <w:r w:rsidR="00F75747">
        <w:rPr>
          <w:bCs/>
        </w:rPr>
        <w:t>preschool</w:t>
      </w:r>
      <w:r>
        <w:rPr>
          <w:bCs/>
        </w:rPr>
        <w:t xml:space="preserve"> </w:t>
      </w:r>
      <w:r w:rsidR="002C1401">
        <w:rPr>
          <w:bCs/>
        </w:rPr>
        <w:t xml:space="preserve">non-formal </w:t>
      </w:r>
      <w:r>
        <w:rPr>
          <w:bCs/>
        </w:rPr>
        <w:t>teachers have little training in early-age learning processes.  They are paid poorly (about US$60 per month compare</w:t>
      </w:r>
      <w:r w:rsidR="0079278E">
        <w:rPr>
          <w:bCs/>
        </w:rPr>
        <w:t>d</w:t>
      </w:r>
      <w:r>
        <w:rPr>
          <w:bCs/>
        </w:rPr>
        <w:t xml:space="preserve"> with around US$160 per month for a</w:t>
      </w:r>
      <w:r w:rsidR="00A324C9">
        <w:rPr>
          <w:bCs/>
        </w:rPr>
        <w:t xml:space="preserve"> formal preschool and/or</w:t>
      </w:r>
      <w:r>
        <w:rPr>
          <w:bCs/>
        </w:rPr>
        <w:t xml:space="preserve"> beginner primary school teacher)</w:t>
      </w:r>
      <w:r w:rsidR="0084770C">
        <w:rPr>
          <w:bCs/>
        </w:rPr>
        <w:t>.</w:t>
      </w:r>
      <w:r>
        <w:rPr>
          <w:bCs/>
        </w:rPr>
        <w:t xml:space="preserve">  Few educational </w:t>
      </w:r>
      <w:r w:rsidRPr="00A85C2D">
        <w:rPr>
          <w:bCs/>
        </w:rPr>
        <w:t xml:space="preserve">materials are available and distances to community centers offering </w:t>
      </w:r>
      <w:r w:rsidR="00F75747">
        <w:rPr>
          <w:bCs/>
        </w:rPr>
        <w:t>preschool</w:t>
      </w:r>
      <w:r w:rsidRPr="00A85C2D">
        <w:rPr>
          <w:bCs/>
        </w:rPr>
        <w:t xml:space="preserve"> can be prohibitive for very young children.  </w:t>
      </w:r>
      <w:r w:rsidR="00A324C9">
        <w:rPr>
          <w:bCs/>
        </w:rPr>
        <w:t>C</w:t>
      </w:r>
      <w:r w:rsidRPr="00A85C2D">
        <w:rPr>
          <w:bCs/>
        </w:rPr>
        <w:t xml:space="preserve">ommunity-based programs function more as day-care centers than as </w:t>
      </w:r>
      <w:r w:rsidR="00F75747">
        <w:rPr>
          <w:bCs/>
        </w:rPr>
        <w:t>preschool</w:t>
      </w:r>
      <w:r w:rsidRPr="00A85C2D">
        <w:rPr>
          <w:bCs/>
        </w:rPr>
        <w:t xml:space="preserve">s.  Formal </w:t>
      </w:r>
      <w:r w:rsidR="00F75747">
        <w:rPr>
          <w:bCs/>
        </w:rPr>
        <w:t>preschool</w:t>
      </w:r>
      <w:r w:rsidRPr="00A85C2D">
        <w:rPr>
          <w:bCs/>
        </w:rPr>
        <w:t>s</w:t>
      </w:r>
      <w:r>
        <w:rPr>
          <w:bCs/>
        </w:rPr>
        <w:t xml:space="preserve"> – usually located within the facility of a public primary school -</w:t>
      </w:r>
      <w:r w:rsidRPr="00A85C2D">
        <w:rPr>
          <w:bCs/>
        </w:rPr>
        <w:t xml:space="preserve"> offer better infrastructure, but lack basic learning materials</w:t>
      </w:r>
      <w:r w:rsidR="007D34BD">
        <w:rPr>
          <w:bCs/>
        </w:rPr>
        <w:t xml:space="preserve"> as well</w:t>
      </w:r>
      <w:r w:rsidRPr="00A85C2D">
        <w:rPr>
          <w:bCs/>
        </w:rPr>
        <w:t xml:space="preserve">.  In addition, the pre-service training curriculum for </w:t>
      </w:r>
      <w:r w:rsidR="00F75747">
        <w:rPr>
          <w:bCs/>
        </w:rPr>
        <w:t>preschool</w:t>
      </w:r>
      <w:r w:rsidRPr="00A85C2D">
        <w:rPr>
          <w:bCs/>
        </w:rPr>
        <w:t xml:space="preserve"> teachers is outdated, while in-service training is very limited in both scale and duration.  More than 20 percent of </w:t>
      </w:r>
      <w:r w:rsidR="00F75747">
        <w:rPr>
          <w:bCs/>
        </w:rPr>
        <w:t>preschool</w:t>
      </w:r>
      <w:r w:rsidRPr="00A85C2D">
        <w:rPr>
          <w:bCs/>
        </w:rPr>
        <w:t xml:space="preserve"> children drop</w:t>
      </w:r>
      <w:r w:rsidR="0084770C">
        <w:rPr>
          <w:bCs/>
        </w:rPr>
        <w:t xml:space="preserve"> </w:t>
      </w:r>
      <w:r w:rsidRPr="00A85C2D">
        <w:rPr>
          <w:bCs/>
        </w:rPr>
        <w:t>out during their first year, a reflection of low perceived quality among parents and/or the difficulties of access.</w:t>
      </w:r>
    </w:p>
    <w:p w:rsidR="00995DB2" w:rsidRPr="00A85C2D" w:rsidRDefault="00995DB2" w:rsidP="00995DB2">
      <w:pPr>
        <w:jc w:val="both"/>
        <w:rPr>
          <w:bCs/>
        </w:rPr>
      </w:pPr>
    </w:p>
    <w:p w:rsidR="008F36F4" w:rsidRPr="008F36F4" w:rsidRDefault="00C165FE" w:rsidP="005E2993">
      <w:pPr>
        <w:pStyle w:val="ListParagraph"/>
        <w:numPr>
          <w:ilvl w:val="0"/>
          <w:numId w:val="24"/>
        </w:numPr>
        <w:ind w:left="0" w:firstLine="0"/>
        <w:jc w:val="both"/>
        <w:rPr>
          <w:b/>
          <w:bCs/>
        </w:rPr>
      </w:pPr>
      <w:r w:rsidRPr="00C165FE">
        <w:rPr>
          <w:b/>
          <w:bCs/>
        </w:rPr>
        <w:t xml:space="preserve">In November 2011, the Early Childhood Policy </w:t>
      </w:r>
      <w:r w:rsidR="002C1401">
        <w:rPr>
          <w:b/>
          <w:bCs/>
        </w:rPr>
        <w:t>was approved by the GoN</w:t>
      </w:r>
      <w:r w:rsidR="008F36F4" w:rsidRPr="002565CE">
        <w:rPr>
          <w:bCs/>
        </w:rPr>
        <w:t>.</w:t>
      </w:r>
      <w:r w:rsidR="008F36F4" w:rsidRPr="00F94D47">
        <w:rPr>
          <w:b/>
          <w:bCs/>
        </w:rPr>
        <w:t xml:space="preserve"> </w:t>
      </w:r>
      <w:r>
        <w:rPr>
          <w:b/>
          <w:bCs/>
        </w:rPr>
        <w:t xml:space="preserve"> </w:t>
      </w:r>
      <w:r w:rsidR="008F36F4" w:rsidRPr="002565CE">
        <w:rPr>
          <w:bCs/>
        </w:rPr>
        <w:t xml:space="preserve">The </w:t>
      </w:r>
      <w:r w:rsidR="00ED6468">
        <w:rPr>
          <w:bCs/>
        </w:rPr>
        <w:t>Bank</w:t>
      </w:r>
      <w:r w:rsidR="008F36F4">
        <w:rPr>
          <w:bCs/>
        </w:rPr>
        <w:t xml:space="preserve"> with the support of the GoN carried out an assessment of E</w:t>
      </w:r>
      <w:r w:rsidR="00EC198B">
        <w:rPr>
          <w:bCs/>
        </w:rPr>
        <w:t>arly Childhood Education (E</w:t>
      </w:r>
      <w:r w:rsidR="008F36F4">
        <w:rPr>
          <w:bCs/>
        </w:rPr>
        <w:t>CD</w:t>
      </w:r>
      <w:r w:rsidR="00EC198B">
        <w:rPr>
          <w:bCs/>
        </w:rPr>
        <w:t>)</w:t>
      </w:r>
      <w:r w:rsidR="008F36F4">
        <w:rPr>
          <w:bCs/>
        </w:rPr>
        <w:t xml:space="preserve"> based on the </w:t>
      </w:r>
      <w:r w:rsidR="008F36F4" w:rsidRPr="002565CE">
        <w:rPr>
          <w:bCs/>
        </w:rPr>
        <w:t>“System Assessment and Benchmarking for Education Results</w:t>
      </w:r>
      <w:r w:rsidR="00EE2ABC">
        <w:rPr>
          <w:bCs/>
        </w:rPr>
        <w:t>.”</w:t>
      </w:r>
      <w:r w:rsidR="008F36F4">
        <w:rPr>
          <w:bCs/>
        </w:rPr>
        <w:t xml:space="preserve"> </w:t>
      </w:r>
      <w:r w:rsidR="008F36F4">
        <w:rPr>
          <w:b/>
          <w:bCs/>
        </w:rPr>
        <w:t xml:space="preserve"> </w:t>
      </w:r>
      <w:r w:rsidR="008F36F4" w:rsidRPr="002565CE">
        <w:rPr>
          <w:bCs/>
        </w:rPr>
        <w:t xml:space="preserve">The </w:t>
      </w:r>
      <w:r w:rsidR="008F36F4">
        <w:rPr>
          <w:bCs/>
        </w:rPr>
        <w:t xml:space="preserve">assessment showed that the ECD </w:t>
      </w:r>
      <w:r w:rsidR="008F36F4" w:rsidRPr="002565CE">
        <w:rPr>
          <w:bCs/>
        </w:rPr>
        <w:t xml:space="preserve">legal framework is </w:t>
      </w:r>
      <w:r w:rsidR="008F36F4">
        <w:rPr>
          <w:bCs/>
        </w:rPr>
        <w:t>“</w:t>
      </w:r>
      <w:r w:rsidR="008F36F4" w:rsidRPr="002565CE">
        <w:rPr>
          <w:bCs/>
        </w:rPr>
        <w:t>established</w:t>
      </w:r>
      <w:r w:rsidR="00EE2ABC">
        <w:rPr>
          <w:bCs/>
        </w:rPr>
        <w:t>,”</w:t>
      </w:r>
      <w:r w:rsidR="008F36F4">
        <w:rPr>
          <w:bCs/>
        </w:rPr>
        <w:t xml:space="preserve"> while</w:t>
      </w:r>
      <w:r w:rsidR="008F36F4" w:rsidRPr="002565CE">
        <w:rPr>
          <w:bCs/>
        </w:rPr>
        <w:t xml:space="preserve"> </w:t>
      </w:r>
      <w:r w:rsidR="008F36F4">
        <w:rPr>
          <w:bCs/>
        </w:rPr>
        <w:t xml:space="preserve">ECD </w:t>
      </w:r>
      <w:r w:rsidR="008F36F4" w:rsidRPr="002565CE">
        <w:rPr>
          <w:bCs/>
        </w:rPr>
        <w:t xml:space="preserve">financial arrangements for program implementation, quality assurance mechanisms, and monitoring and evaluation systems are still </w:t>
      </w:r>
      <w:r w:rsidR="008F36F4">
        <w:rPr>
          <w:bCs/>
        </w:rPr>
        <w:t>“</w:t>
      </w:r>
      <w:r w:rsidR="008F36F4" w:rsidRPr="002565CE">
        <w:rPr>
          <w:bCs/>
        </w:rPr>
        <w:t>emerging</w:t>
      </w:r>
      <w:r w:rsidR="00EE2ABC">
        <w:rPr>
          <w:bCs/>
        </w:rPr>
        <w:t>.”</w:t>
      </w:r>
      <w:r w:rsidR="008F36F4" w:rsidRPr="00F94D47">
        <w:rPr>
          <w:b/>
          <w:bCs/>
        </w:rPr>
        <w:t xml:space="preserve"> </w:t>
      </w:r>
      <w:r w:rsidR="008F36F4">
        <w:rPr>
          <w:b/>
          <w:bCs/>
        </w:rPr>
        <w:t xml:space="preserve"> </w:t>
      </w:r>
      <w:r w:rsidR="008F36F4">
        <w:rPr>
          <w:bCs/>
        </w:rPr>
        <w:t>In 2010</w:t>
      </w:r>
      <w:r w:rsidR="007273BC">
        <w:rPr>
          <w:bCs/>
        </w:rPr>
        <w:t>,</w:t>
      </w:r>
      <w:r w:rsidR="008F36F4">
        <w:rPr>
          <w:bCs/>
        </w:rPr>
        <w:t xml:space="preserve"> the GoN established </w:t>
      </w:r>
      <w:r w:rsidR="008F36F4" w:rsidRPr="00A6706E">
        <w:rPr>
          <w:bCs/>
        </w:rPr>
        <w:t>the E</w:t>
      </w:r>
      <w:r w:rsidR="008F36F4">
        <w:rPr>
          <w:bCs/>
        </w:rPr>
        <w:t xml:space="preserve">arly </w:t>
      </w:r>
      <w:r w:rsidR="008F36F4" w:rsidRPr="00A6706E">
        <w:rPr>
          <w:bCs/>
        </w:rPr>
        <w:t>C</w:t>
      </w:r>
      <w:r w:rsidR="008F36F4">
        <w:rPr>
          <w:bCs/>
        </w:rPr>
        <w:t>hildhood C</w:t>
      </w:r>
      <w:r w:rsidR="008F36F4" w:rsidRPr="00A6706E">
        <w:rPr>
          <w:bCs/>
        </w:rPr>
        <w:t>ommission</w:t>
      </w:r>
      <w:r w:rsidR="008F36F4">
        <w:rPr>
          <w:bCs/>
        </w:rPr>
        <w:t xml:space="preserve"> in an attempt to better integrate and coordinate ECD among the Education, Health and Fami</w:t>
      </w:r>
      <w:r>
        <w:rPr>
          <w:bCs/>
        </w:rPr>
        <w:t>ly line ministries</w:t>
      </w:r>
      <w:r w:rsidR="007273BC">
        <w:rPr>
          <w:bCs/>
        </w:rPr>
        <w:t xml:space="preserve">, </w:t>
      </w:r>
      <w:r w:rsidR="00982630">
        <w:rPr>
          <w:bCs/>
        </w:rPr>
        <w:t>the S</w:t>
      </w:r>
      <w:r w:rsidR="007273BC">
        <w:rPr>
          <w:bCs/>
        </w:rPr>
        <w:t>ocial Security Institute (INSS)</w:t>
      </w:r>
      <w:r w:rsidR="00982630">
        <w:rPr>
          <w:bCs/>
        </w:rPr>
        <w:t xml:space="preserve"> and the </w:t>
      </w:r>
      <w:r w:rsidR="00982630" w:rsidRPr="00B94C5C">
        <w:rPr>
          <w:bCs/>
          <w:i/>
        </w:rPr>
        <w:t>Promotoria Solidaria</w:t>
      </w:r>
      <w:r w:rsidR="00982630">
        <w:rPr>
          <w:bCs/>
        </w:rPr>
        <w:t xml:space="preserve"> supported by the President’s office.  At the departmental and municipal level</w:t>
      </w:r>
      <w:r w:rsidR="007273BC">
        <w:rPr>
          <w:bCs/>
        </w:rPr>
        <w:t>s</w:t>
      </w:r>
      <w:r w:rsidR="00982630">
        <w:rPr>
          <w:bCs/>
        </w:rPr>
        <w:t xml:space="preserve"> the </w:t>
      </w:r>
      <w:r w:rsidR="007273BC">
        <w:rPr>
          <w:bCs/>
        </w:rPr>
        <w:t>Early Childhood C</w:t>
      </w:r>
      <w:r w:rsidR="00982630">
        <w:rPr>
          <w:bCs/>
        </w:rPr>
        <w:t>ommission is represented by the commissions of the</w:t>
      </w:r>
      <w:r w:rsidR="007273BC">
        <w:rPr>
          <w:bCs/>
        </w:rPr>
        <w:t xml:space="preserve"> Love for the Lit</w:t>
      </w:r>
      <w:r w:rsidR="00F50C5E">
        <w:rPr>
          <w:bCs/>
        </w:rPr>
        <w:t>t</w:t>
      </w:r>
      <w:r w:rsidR="007273BC">
        <w:rPr>
          <w:bCs/>
        </w:rPr>
        <w:t>le One</w:t>
      </w:r>
      <w:r w:rsidR="00982630">
        <w:rPr>
          <w:bCs/>
        </w:rPr>
        <w:t xml:space="preserve"> </w:t>
      </w:r>
      <w:r w:rsidR="007273BC">
        <w:rPr>
          <w:bCs/>
        </w:rPr>
        <w:t>(</w:t>
      </w:r>
      <w:r w:rsidR="00982630" w:rsidRPr="00890381">
        <w:rPr>
          <w:bCs/>
          <w:i/>
        </w:rPr>
        <w:t>Programa Amor para los Mas Chiquitos</w:t>
      </w:r>
      <w:r w:rsidR="007273BC">
        <w:rPr>
          <w:bCs/>
        </w:rPr>
        <w:t>,</w:t>
      </w:r>
      <w:r w:rsidR="007273BC">
        <w:rPr>
          <w:bCs/>
          <w:i/>
        </w:rPr>
        <w:t xml:space="preserve"> </w:t>
      </w:r>
      <w:r w:rsidR="00982630" w:rsidRPr="00890381">
        <w:rPr>
          <w:bCs/>
          <w:i/>
        </w:rPr>
        <w:t>PAMOR</w:t>
      </w:r>
      <w:r w:rsidR="00F50C5E">
        <w:rPr>
          <w:bCs/>
          <w:i/>
        </w:rPr>
        <w:t>)</w:t>
      </w:r>
      <w:r>
        <w:rPr>
          <w:bCs/>
        </w:rPr>
        <w:t>.  The commission led the preparation of the E</w:t>
      </w:r>
      <w:r w:rsidR="00FB1574">
        <w:rPr>
          <w:bCs/>
        </w:rPr>
        <w:t xml:space="preserve">arly </w:t>
      </w:r>
      <w:r>
        <w:rPr>
          <w:bCs/>
        </w:rPr>
        <w:t>C</w:t>
      </w:r>
      <w:r w:rsidR="00FB1574">
        <w:rPr>
          <w:bCs/>
        </w:rPr>
        <w:t>hildhood</w:t>
      </w:r>
      <w:r>
        <w:rPr>
          <w:bCs/>
        </w:rPr>
        <w:t xml:space="preserve"> </w:t>
      </w:r>
      <w:r w:rsidR="00FB1574">
        <w:rPr>
          <w:bCs/>
        </w:rPr>
        <w:t>P</w:t>
      </w:r>
      <w:r>
        <w:rPr>
          <w:bCs/>
        </w:rPr>
        <w:t>olicy.</w:t>
      </w:r>
    </w:p>
    <w:p w:rsidR="008F36F4" w:rsidRPr="008F36F4" w:rsidRDefault="008F36F4" w:rsidP="008F36F4">
      <w:pPr>
        <w:pStyle w:val="ListParagraph"/>
        <w:rPr>
          <w:b/>
          <w:bCs/>
        </w:rPr>
      </w:pPr>
    </w:p>
    <w:p w:rsidR="00995DB2" w:rsidRDefault="00995DB2" w:rsidP="005E2993">
      <w:pPr>
        <w:pStyle w:val="ListParagraph"/>
        <w:numPr>
          <w:ilvl w:val="0"/>
          <w:numId w:val="24"/>
        </w:numPr>
        <w:ind w:left="0" w:firstLine="0"/>
        <w:jc w:val="both"/>
        <w:rPr>
          <w:bCs/>
        </w:rPr>
      </w:pPr>
      <w:r w:rsidRPr="00A85C2D">
        <w:rPr>
          <w:b/>
          <w:bCs/>
        </w:rPr>
        <w:t>At the primary education level, d</w:t>
      </w:r>
      <w:r w:rsidR="009469DE">
        <w:rPr>
          <w:b/>
          <w:bCs/>
        </w:rPr>
        <w:t>esp</w:t>
      </w:r>
      <w:r w:rsidRPr="00A85C2D">
        <w:rPr>
          <w:b/>
          <w:bCs/>
        </w:rPr>
        <w:t>ite significant expansion of access and enrollment over the last decade, Nicaragua is still far from achieving universal completion of six grades</w:t>
      </w:r>
      <w:r w:rsidRPr="00FF610B">
        <w:rPr>
          <w:bCs/>
        </w:rPr>
        <w:t>.</w:t>
      </w:r>
      <w:r w:rsidRPr="00A85C2D">
        <w:rPr>
          <w:b/>
          <w:bCs/>
        </w:rPr>
        <w:t xml:space="preserve">  </w:t>
      </w:r>
      <w:r w:rsidRPr="00A85C2D">
        <w:rPr>
          <w:bCs/>
        </w:rPr>
        <w:t xml:space="preserve">The retention rate in primary education, particularly in the first two grades, is far too low.  </w:t>
      </w:r>
      <w:r w:rsidRPr="00B61CCB">
        <w:rPr>
          <w:bCs/>
        </w:rPr>
        <w:t>Only 74 percent of the children who entered grade 1 in 2010 were enrolled in grade 2 in 2011.</w:t>
      </w:r>
      <w:r>
        <w:rPr>
          <w:bCs/>
        </w:rPr>
        <w:t xml:space="preserve">  </w:t>
      </w:r>
      <w:r w:rsidRPr="00A85C2D">
        <w:rPr>
          <w:bCs/>
        </w:rPr>
        <w:t>This is correlated with low levels of learning</w:t>
      </w:r>
      <w:r>
        <w:rPr>
          <w:rStyle w:val="FootnoteReference"/>
          <w:bCs/>
        </w:rPr>
        <w:footnoteReference w:id="4"/>
      </w:r>
      <w:r w:rsidRPr="00A85C2D">
        <w:rPr>
          <w:bCs/>
        </w:rPr>
        <w:t>, which in turn are linked to poor preparation of primary school teachers and insufficient learning materials, particularly for instruction in rural, multi-grade classrooms</w:t>
      </w:r>
      <w:r w:rsidR="0095527A">
        <w:rPr>
          <w:bCs/>
        </w:rPr>
        <w:t>,</w:t>
      </w:r>
      <w:r w:rsidRPr="00A85C2D">
        <w:rPr>
          <w:bCs/>
        </w:rPr>
        <w:t xml:space="preserve"> which make up the majority of the system at this level.</w:t>
      </w:r>
      <w:r>
        <w:rPr>
          <w:bCs/>
        </w:rPr>
        <w:t xml:space="preserve">  A</w:t>
      </w:r>
      <w:r w:rsidRPr="004A6D9D">
        <w:rPr>
          <w:bCs/>
        </w:rPr>
        <w:t>mong MINED’s 25,000 primary school teachers, two thirds work in rural primary schools, many as “</w:t>
      </w:r>
      <w:r w:rsidR="00747FCA">
        <w:rPr>
          <w:bCs/>
        </w:rPr>
        <w:t xml:space="preserve">empirical teachers” </w:t>
      </w:r>
      <w:r w:rsidR="00747FCA">
        <w:rPr>
          <w:bCs/>
        </w:rPr>
        <w:lastRenderedPageBreak/>
        <w:t>lacking</w:t>
      </w:r>
      <w:r w:rsidRPr="004A6D9D">
        <w:rPr>
          <w:bCs/>
        </w:rPr>
        <w:t xml:space="preserve"> teaching certification.  </w:t>
      </w:r>
      <w:r w:rsidRPr="00A85C2D">
        <w:rPr>
          <w:bCs/>
        </w:rPr>
        <w:t>In addition, not all schools offer all six grades</w:t>
      </w:r>
      <w:r w:rsidRPr="00A85C2D">
        <w:rPr>
          <w:rStyle w:val="FootnoteReference"/>
          <w:bCs/>
        </w:rPr>
        <w:footnoteReference w:id="5"/>
      </w:r>
      <w:r w:rsidRPr="00A85C2D">
        <w:rPr>
          <w:bCs/>
        </w:rPr>
        <w:t xml:space="preserve"> because of insufficient numbers of teachers or classrooms (or both), which leads to dropout and much lower retention rates in rural schools compared to urban schools.</w:t>
      </w:r>
    </w:p>
    <w:p w:rsidR="00995DB2" w:rsidRDefault="00995DB2" w:rsidP="00995DB2">
      <w:pPr>
        <w:pStyle w:val="ListParagraph"/>
        <w:ind w:left="0"/>
        <w:jc w:val="both"/>
        <w:rPr>
          <w:bCs/>
        </w:rPr>
      </w:pPr>
      <w:r>
        <w:rPr>
          <w:bCs/>
        </w:rPr>
        <w:t xml:space="preserve">  </w:t>
      </w:r>
    </w:p>
    <w:p w:rsidR="002577EE" w:rsidRPr="000E01B6" w:rsidRDefault="007D34BD" w:rsidP="005E2993">
      <w:pPr>
        <w:pStyle w:val="ListParagraph"/>
        <w:numPr>
          <w:ilvl w:val="0"/>
          <w:numId w:val="24"/>
        </w:numPr>
        <w:ind w:left="0" w:firstLine="0"/>
        <w:jc w:val="both"/>
        <w:rPr>
          <w:bCs/>
        </w:rPr>
      </w:pPr>
      <w:r>
        <w:rPr>
          <w:b/>
          <w:bCs/>
        </w:rPr>
        <w:t>Primary e</w:t>
      </w:r>
      <w:r w:rsidR="001050F5" w:rsidRPr="002577EE">
        <w:rPr>
          <w:b/>
          <w:bCs/>
        </w:rPr>
        <w:t xml:space="preserve">ducation quality indicators in Nicaragua (as measured by test scores) are </w:t>
      </w:r>
      <w:r w:rsidR="006A5DA5">
        <w:rPr>
          <w:b/>
          <w:bCs/>
        </w:rPr>
        <w:t>low by international</w:t>
      </w:r>
      <w:r w:rsidR="00CC1211" w:rsidRPr="00CC1211">
        <w:rPr>
          <w:b/>
          <w:bCs/>
        </w:rPr>
        <w:t xml:space="preserve"> standards</w:t>
      </w:r>
      <w:r w:rsidR="00E72277">
        <w:rPr>
          <w:b/>
          <w:bCs/>
        </w:rPr>
        <w:t xml:space="preserve">, but they are on par with </w:t>
      </w:r>
      <w:r w:rsidR="00CC1211" w:rsidRPr="00CC1211">
        <w:rPr>
          <w:b/>
          <w:bCs/>
        </w:rPr>
        <w:t>most other Central American countries</w:t>
      </w:r>
      <w:r w:rsidR="00CC1211" w:rsidRPr="00CC1211">
        <w:rPr>
          <w:bCs/>
        </w:rPr>
        <w:t>.</w:t>
      </w:r>
      <w:r w:rsidR="00CC1211" w:rsidRPr="00CC1211">
        <w:rPr>
          <w:b/>
          <w:bCs/>
        </w:rPr>
        <w:t xml:space="preserve"> </w:t>
      </w:r>
      <w:r w:rsidR="00CC1211">
        <w:rPr>
          <w:b/>
          <w:bCs/>
        </w:rPr>
        <w:t xml:space="preserve"> </w:t>
      </w:r>
      <w:r w:rsidR="00CC1211">
        <w:rPr>
          <w:bCs/>
        </w:rPr>
        <w:t>T</w:t>
      </w:r>
      <w:r w:rsidR="001050F5" w:rsidRPr="002577EE">
        <w:rPr>
          <w:bCs/>
        </w:rPr>
        <w:t xml:space="preserve">he relationship between socioeconomic conditions and test scores is weak, that is, the gap in test performance between the wealthy and the poor is very small, indicating that even those more privileged students fare poorly by international standards. </w:t>
      </w:r>
      <w:r w:rsidR="001050F5">
        <w:rPr>
          <w:bCs/>
        </w:rPr>
        <w:t xml:space="preserve"> </w:t>
      </w:r>
      <w:r w:rsidR="001050F5" w:rsidRPr="002577EE">
        <w:rPr>
          <w:bCs/>
        </w:rPr>
        <w:t xml:space="preserve">Moreover, performance varies considerably between areas of similar poverty levels: </w:t>
      </w:r>
      <w:r w:rsidR="0001477B">
        <w:rPr>
          <w:bCs/>
        </w:rPr>
        <w:t>for example, in the national</w:t>
      </w:r>
      <w:r w:rsidR="001050F5" w:rsidRPr="002577EE">
        <w:rPr>
          <w:bCs/>
        </w:rPr>
        <w:t xml:space="preserve"> grade</w:t>
      </w:r>
      <w:r w:rsidR="0001477B">
        <w:rPr>
          <w:bCs/>
        </w:rPr>
        <w:t xml:space="preserve"> 4</w:t>
      </w:r>
      <w:r w:rsidR="001050F5" w:rsidRPr="002577EE">
        <w:rPr>
          <w:bCs/>
        </w:rPr>
        <w:t xml:space="preserve"> mathematics assessment, results in Granada, León, and Masaya were very different, suggesting that school factors may play an important role in performance</w:t>
      </w:r>
      <w:r w:rsidR="001050F5">
        <w:rPr>
          <w:rStyle w:val="FootnoteReference"/>
          <w:bCs/>
        </w:rPr>
        <w:footnoteReference w:id="6"/>
      </w:r>
      <w:r w:rsidR="001050F5">
        <w:rPr>
          <w:bCs/>
        </w:rPr>
        <w:t>.  A</w:t>
      </w:r>
      <w:r w:rsidR="001050F5" w:rsidRPr="00C41EA7">
        <w:rPr>
          <w:bCs/>
        </w:rPr>
        <w:t>pproximately 40 percent of students scored below what was considered to be “intermediate</w:t>
      </w:r>
      <w:r w:rsidR="00EE2ABC">
        <w:rPr>
          <w:bCs/>
        </w:rPr>
        <w:t>,”</w:t>
      </w:r>
      <w:r w:rsidR="001050F5" w:rsidRPr="00C41EA7">
        <w:rPr>
          <w:bCs/>
        </w:rPr>
        <w:t xml:space="preserve"> with math learning levels particularly low</w:t>
      </w:r>
      <w:r w:rsidR="001050F5">
        <w:rPr>
          <w:bCs/>
        </w:rPr>
        <w:t>.</w:t>
      </w:r>
    </w:p>
    <w:p w:rsidR="00995DB2" w:rsidRPr="001050F5" w:rsidRDefault="00995DB2" w:rsidP="001050F5">
      <w:pPr>
        <w:pStyle w:val="ListParagraph"/>
        <w:ind w:left="0"/>
        <w:jc w:val="both"/>
        <w:rPr>
          <w:bCs/>
        </w:rPr>
      </w:pPr>
    </w:p>
    <w:p w:rsidR="00995DB2" w:rsidRPr="00A85C2D" w:rsidRDefault="00995DB2" w:rsidP="005E2993">
      <w:pPr>
        <w:pStyle w:val="ListParagraph"/>
        <w:numPr>
          <w:ilvl w:val="0"/>
          <w:numId w:val="24"/>
        </w:numPr>
        <w:ind w:left="0" w:firstLine="0"/>
        <w:jc w:val="both"/>
        <w:rPr>
          <w:bCs/>
        </w:rPr>
      </w:pPr>
      <w:r w:rsidRPr="00A85C2D">
        <w:rPr>
          <w:b/>
          <w:bCs/>
        </w:rPr>
        <w:t>Lower secondary education (grades 7-9) also suffers from inadequate and unequal ac</w:t>
      </w:r>
      <w:r w:rsidR="001050F5">
        <w:rPr>
          <w:b/>
          <w:bCs/>
        </w:rPr>
        <w:t>cess and low completion</w:t>
      </w:r>
      <w:r w:rsidRPr="00A85C2D">
        <w:rPr>
          <w:b/>
          <w:bCs/>
        </w:rPr>
        <w:t>, particularly in rural areas</w:t>
      </w:r>
      <w:r w:rsidRPr="00A85C2D">
        <w:rPr>
          <w:bCs/>
        </w:rPr>
        <w:t xml:space="preserve">.  </w:t>
      </w:r>
      <w:r w:rsidRPr="002C0A9A">
        <w:rPr>
          <w:bCs/>
        </w:rPr>
        <w:t>Although the overall net enrollment rate in lower secondary is 45 percent, it is just 28 percent in rural areas (versus 61</w:t>
      </w:r>
      <w:r w:rsidR="006D3ABC">
        <w:rPr>
          <w:bCs/>
        </w:rPr>
        <w:t xml:space="preserve"> percent</w:t>
      </w:r>
      <w:r w:rsidRPr="002C0A9A">
        <w:rPr>
          <w:bCs/>
        </w:rPr>
        <w:t xml:space="preserve"> in urban areas), and as low as 2</w:t>
      </w:r>
      <w:r>
        <w:rPr>
          <w:bCs/>
        </w:rPr>
        <w:t xml:space="preserve">0 percent in the two </w:t>
      </w:r>
      <w:r w:rsidRPr="002C0A9A">
        <w:rPr>
          <w:bCs/>
        </w:rPr>
        <w:t>Atlantic</w:t>
      </w:r>
      <w:r>
        <w:rPr>
          <w:bCs/>
        </w:rPr>
        <w:t xml:space="preserve"> Autonomous R</w:t>
      </w:r>
      <w:r w:rsidRPr="002C0A9A">
        <w:rPr>
          <w:bCs/>
        </w:rPr>
        <w:t>egions.  The repetition rate is 8.2 percent and the dropout rate i</w:t>
      </w:r>
      <w:r>
        <w:rPr>
          <w:bCs/>
        </w:rPr>
        <w:t>s 14 percent overall (22</w:t>
      </w:r>
      <w:r w:rsidR="006D3ABC">
        <w:rPr>
          <w:bCs/>
        </w:rPr>
        <w:t xml:space="preserve"> percent</w:t>
      </w:r>
      <w:r w:rsidR="0001477B">
        <w:rPr>
          <w:bCs/>
        </w:rPr>
        <w:t xml:space="preserve"> in</w:t>
      </w:r>
      <w:r w:rsidRPr="002C0A9A">
        <w:rPr>
          <w:bCs/>
        </w:rPr>
        <w:t xml:space="preserve"> grade</w:t>
      </w:r>
      <w:r w:rsidR="0001477B">
        <w:rPr>
          <w:bCs/>
        </w:rPr>
        <w:t xml:space="preserve"> 7</w:t>
      </w:r>
      <w:r w:rsidRPr="002C0A9A">
        <w:rPr>
          <w:bCs/>
        </w:rPr>
        <w:t>).  Only 29 percent of students who begin grade 7 finish grade 11 on time.  Not surprisingly, dropout rates are much higher in rur</w:t>
      </w:r>
      <w:r>
        <w:rPr>
          <w:bCs/>
        </w:rPr>
        <w:t>al areas (e.g. around 20</w:t>
      </w:r>
      <w:r w:rsidR="00405A4B">
        <w:rPr>
          <w:bCs/>
        </w:rPr>
        <w:t xml:space="preserve"> percent</w:t>
      </w:r>
      <w:r w:rsidRPr="002C0A9A">
        <w:rPr>
          <w:bCs/>
        </w:rPr>
        <w:t xml:space="preserve"> in </w:t>
      </w:r>
      <w:r w:rsidR="0001477B">
        <w:rPr>
          <w:bCs/>
        </w:rPr>
        <w:t xml:space="preserve">South Atlantic Autonomous Region - </w:t>
      </w:r>
      <w:r w:rsidRPr="002C0A9A">
        <w:rPr>
          <w:bCs/>
        </w:rPr>
        <w:t xml:space="preserve">RAAS and </w:t>
      </w:r>
      <w:r w:rsidR="0001477B" w:rsidRPr="002C4DDC">
        <w:rPr>
          <w:bCs/>
        </w:rPr>
        <w:t xml:space="preserve">North Atlantic Autonomous Region - </w:t>
      </w:r>
      <w:r w:rsidRPr="002C0A9A">
        <w:rPr>
          <w:bCs/>
        </w:rPr>
        <w:t>RAAN) relative to urban areas</w:t>
      </w:r>
      <w:r w:rsidR="00E20B27">
        <w:rPr>
          <w:bCs/>
        </w:rPr>
        <w:t xml:space="preserve"> (the urban-rural gap in education attainment for the 20</w:t>
      </w:r>
      <w:r w:rsidR="0095527A">
        <w:rPr>
          <w:bCs/>
        </w:rPr>
        <w:t xml:space="preserve"> </w:t>
      </w:r>
      <w:r w:rsidR="00E20B27">
        <w:rPr>
          <w:bCs/>
        </w:rPr>
        <w:t>years-old cohort is the highest among Central America countries)</w:t>
      </w:r>
      <w:r w:rsidRPr="002C0A9A">
        <w:rPr>
          <w:bCs/>
        </w:rPr>
        <w:t>.  The lower secon</w:t>
      </w:r>
      <w:r w:rsidR="00BD31DC">
        <w:rPr>
          <w:bCs/>
        </w:rPr>
        <w:t>dary level completion rate is 52</w:t>
      </w:r>
      <w:r w:rsidRPr="002C0A9A">
        <w:rPr>
          <w:bCs/>
        </w:rPr>
        <w:t xml:space="preserve"> percent</w:t>
      </w:r>
      <w:r w:rsidR="0095527A">
        <w:rPr>
          <w:bCs/>
        </w:rPr>
        <w:t xml:space="preserve">, </w:t>
      </w:r>
      <w:r w:rsidR="0095527A" w:rsidRPr="0095527A">
        <w:rPr>
          <w:bCs/>
        </w:rPr>
        <w:t>placing Nicaragua behind Costa Rica, Panama, and El Salvador, and at a similar level to Honduras</w:t>
      </w:r>
      <w:r w:rsidRPr="002C0A9A">
        <w:rPr>
          <w:bCs/>
        </w:rPr>
        <w:t xml:space="preserve">.  </w:t>
      </w:r>
    </w:p>
    <w:p w:rsidR="00995DB2" w:rsidRPr="00A85C2D" w:rsidRDefault="00995DB2" w:rsidP="00995DB2">
      <w:pPr>
        <w:jc w:val="both"/>
        <w:rPr>
          <w:bCs/>
        </w:rPr>
      </w:pPr>
    </w:p>
    <w:p w:rsidR="00995DB2" w:rsidRDefault="00995DB2" w:rsidP="005E2993">
      <w:pPr>
        <w:pStyle w:val="ListParagraph"/>
        <w:numPr>
          <w:ilvl w:val="0"/>
          <w:numId w:val="24"/>
        </w:numPr>
        <w:ind w:left="0" w:firstLine="0"/>
        <w:jc w:val="both"/>
        <w:rPr>
          <w:bCs/>
        </w:rPr>
      </w:pPr>
      <w:r w:rsidRPr="00CC1211">
        <w:rPr>
          <w:b/>
          <w:bCs/>
        </w:rPr>
        <w:t>Low enrollment at the lower secondary level is a reflection of lack of access (which requires at least classrooms and teachers)</w:t>
      </w:r>
      <w:r w:rsidRPr="00CC1211">
        <w:rPr>
          <w:bCs/>
        </w:rPr>
        <w:t>.  At the secondary level, there are only 857 schools nationwide compared to 7,876 primary schools</w:t>
      </w:r>
      <w:r w:rsidR="008D2A88">
        <w:rPr>
          <w:bCs/>
        </w:rPr>
        <w:t xml:space="preserve"> with an estimated 320,000 students enrolled in grades 7-9</w:t>
      </w:r>
      <w:r w:rsidRPr="00CC1211">
        <w:rPr>
          <w:bCs/>
        </w:rPr>
        <w:t xml:space="preserve">.  Many of the 3,000 secondary classrooms are in need of significant repair or replacement.  </w:t>
      </w:r>
      <w:r w:rsidR="0095527A" w:rsidRPr="00CC1211">
        <w:rPr>
          <w:bCs/>
        </w:rPr>
        <w:t>Limited road infrastructure and population dispersion in rural areas pose a great challenge for increasing attendance.</w:t>
      </w:r>
      <w:r w:rsidR="00181BB6" w:rsidRPr="00CC1211">
        <w:rPr>
          <w:bCs/>
        </w:rPr>
        <w:t xml:space="preserve"> </w:t>
      </w:r>
      <w:r w:rsidR="0084770C">
        <w:rPr>
          <w:bCs/>
        </w:rPr>
        <w:t xml:space="preserve"> </w:t>
      </w:r>
      <w:r w:rsidR="0024379C">
        <w:rPr>
          <w:bCs/>
        </w:rPr>
        <w:t>Forty</w:t>
      </w:r>
      <w:r w:rsidRPr="00CC1211">
        <w:rPr>
          <w:bCs/>
        </w:rPr>
        <w:t xml:space="preserve"> percent of secondary level teachers lack formal training (so-called “empiricos”</w:t>
      </w:r>
      <w:r w:rsidR="0024379C">
        <w:rPr>
          <w:bCs/>
        </w:rPr>
        <w:t xml:space="preserve"> or “untrained”</w:t>
      </w:r>
      <w:r w:rsidRPr="00CC1211">
        <w:rPr>
          <w:bCs/>
        </w:rPr>
        <w:t>), and the vast majority of these work in rural areas.  Teacher training at the secondary level is provided exclusively at the University level</w:t>
      </w:r>
      <w:r w:rsidR="006A5DA5" w:rsidRPr="00CC1211">
        <w:rPr>
          <w:bCs/>
        </w:rPr>
        <w:t>.</w:t>
      </w:r>
      <w:r w:rsidRPr="00CC1211">
        <w:rPr>
          <w:bCs/>
        </w:rPr>
        <w:t xml:space="preserve">  Total annual output is around 200 secondary teachers.  Per student spending at the lower secondary level is just US$101 per year (versus US$170 per year at the primary level).  </w:t>
      </w:r>
    </w:p>
    <w:p w:rsidR="00CC1211" w:rsidRPr="00CC1211" w:rsidRDefault="00CC1211" w:rsidP="00CC1211">
      <w:pPr>
        <w:pStyle w:val="ListParagraph"/>
        <w:ind w:left="0"/>
        <w:jc w:val="both"/>
        <w:rPr>
          <w:bCs/>
        </w:rPr>
      </w:pPr>
    </w:p>
    <w:p w:rsidR="00995DB2" w:rsidRDefault="00995DB2" w:rsidP="005E2993">
      <w:pPr>
        <w:pStyle w:val="ListParagraph"/>
        <w:numPr>
          <w:ilvl w:val="0"/>
          <w:numId w:val="24"/>
        </w:numPr>
        <w:ind w:left="0" w:firstLine="0"/>
        <w:jc w:val="both"/>
        <w:rPr>
          <w:bCs/>
        </w:rPr>
      </w:pPr>
      <w:r w:rsidRPr="00A85C2D">
        <w:rPr>
          <w:b/>
          <w:bCs/>
        </w:rPr>
        <w:t>Administrative capacity across the system is weak</w:t>
      </w:r>
      <w:r w:rsidRPr="00A85C2D">
        <w:rPr>
          <w:bCs/>
        </w:rPr>
        <w:t xml:space="preserve">, which reduces MINED’s ability to optimize scarce educational resources to improve education management and student learning </w:t>
      </w:r>
      <w:r w:rsidRPr="00A85C2D">
        <w:rPr>
          <w:bCs/>
        </w:rPr>
        <w:lastRenderedPageBreak/>
        <w:t xml:space="preserve">opportunities. </w:t>
      </w:r>
      <w:r>
        <w:rPr>
          <w:bCs/>
        </w:rPr>
        <w:t xml:space="preserve"> </w:t>
      </w:r>
      <w:r w:rsidRPr="00A85C2D">
        <w:rPr>
          <w:bCs/>
        </w:rPr>
        <w:t xml:space="preserve">MINED has identified critical weaknesses in planning, statistics, learning assessment, monitoring and evaluation at both central and regional levels.  </w:t>
      </w:r>
    </w:p>
    <w:p w:rsidR="000E01B6" w:rsidRPr="0084770C" w:rsidRDefault="000E01B6" w:rsidP="0084770C">
      <w:pPr>
        <w:rPr>
          <w:bCs/>
        </w:rPr>
      </w:pPr>
    </w:p>
    <w:p w:rsidR="00995DB2" w:rsidRPr="00A85C2D" w:rsidRDefault="000E01B6" w:rsidP="005E2993">
      <w:pPr>
        <w:pStyle w:val="ListParagraph"/>
        <w:numPr>
          <w:ilvl w:val="0"/>
          <w:numId w:val="24"/>
        </w:numPr>
        <w:ind w:left="0" w:firstLine="0"/>
        <w:jc w:val="both"/>
        <w:rPr>
          <w:bCs/>
        </w:rPr>
      </w:pPr>
      <w:r w:rsidRPr="000E01B6">
        <w:rPr>
          <w:b/>
          <w:bCs/>
        </w:rPr>
        <w:t>A US$25 million IDA-financed Second Support to the Education Sector Project</w:t>
      </w:r>
      <w:r w:rsidRPr="000E01B6">
        <w:rPr>
          <w:b/>
          <w:bCs/>
          <w:vertAlign w:val="superscript"/>
        </w:rPr>
        <w:footnoteReference w:id="7"/>
      </w:r>
      <w:r w:rsidRPr="000E01B6">
        <w:rPr>
          <w:b/>
          <w:bCs/>
        </w:rPr>
        <w:t xml:space="preserve"> (PASEN II) was approved by the Board</w:t>
      </w:r>
      <w:r w:rsidR="0024379C">
        <w:rPr>
          <w:b/>
          <w:bCs/>
        </w:rPr>
        <w:t xml:space="preserve"> of Executive Directors</w:t>
      </w:r>
      <w:r w:rsidRPr="000E01B6">
        <w:rPr>
          <w:b/>
          <w:bCs/>
        </w:rPr>
        <w:t xml:space="preserve"> on January 17, 2012 to improve students’ retention in primary</w:t>
      </w:r>
      <w:r w:rsidR="0024379C">
        <w:rPr>
          <w:b/>
          <w:bCs/>
        </w:rPr>
        <w:t xml:space="preserve"> education</w:t>
      </w:r>
      <w:r w:rsidR="007D34BD">
        <w:rPr>
          <w:bCs/>
        </w:rPr>
        <w:t xml:space="preserve">.  PASEN II </w:t>
      </w:r>
      <w:r w:rsidRPr="000E01B6">
        <w:rPr>
          <w:bCs/>
        </w:rPr>
        <w:t>focus</w:t>
      </w:r>
      <w:r w:rsidR="0024379C">
        <w:rPr>
          <w:bCs/>
        </w:rPr>
        <w:t>es</w:t>
      </w:r>
      <w:r w:rsidRPr="000E01B6">
        <w:rPr>
          <w:bCs/>
        </w:rPr>
        <w:t xml:space="preserve"> on 4</w:t>
      </w:r>
      <w:r w:rsidR="00280533">
        <w:rPr>
          <w:bCs/>
        </w:rPr>
        <w:t>3</w:t>
      </w:r>
      <w:r w:rsidRPr="000E01B6">
        <w:rPr>
          <w:bCs/>
        </w:rPr>
        <w:t xml:space="preserve"> municipalities</w:t>
      </w:r>
      <w:r w:rsidRPr="000E01B6">
        <w:rPr>
          <w:bCs/>
          <w:vertAlign w:val="superscript"/>
        </w:rPr>
        <w:footnoteReference w:id="8"/>
      </w:r>
      <w:r w:rsidRPr="000E01B6">
        <w:rPr>
          <w:bCs/>
        </w:rPr>
        <w:t xml:space="preserve"> in six Departments and the two Atlantic Autonomous Regions.  P</w:t>
      </w:r>
      <w:r w:rsidR="007D34BD">
        <w:rPr>
          <w:bCs/>
        </w:rPr>
        <w:t>ASEN II</w:t>
      </w:r>
      <w:r w:rsidRPr="000E01B6">
        <w:rPr>
          <w:bCs/>
        </w:rPr>
        <w:t xml:space="preserve"> finance</w:t>
      </w:r>
      <w:r w:rsidR="0024379C">
        <w:rPr>
          <w:bCs/>
        </w:rPr>
        <w:t>s</w:t>
      </w:r>
      <w:r w:rsidRPr="000E01B6">
        <w:rPr>
          <w:bCs/>
        </w:rPr>
        <w:t xml:space="preserve"> demand-side interventions; school refurbishing; educational materials; teacher training, with a special emphasis on multi-grade instruction; national learning assessments; and accelerated primary education programs for over-age students.  PASEN II also seek</w:t>
      </w:r>
      <w:r w:rsidR="0024379C">
        <w:rPr>
          <w:bCs/>
        </w:rPr>
        <w:t>s</w:t>
      </w:r>
      <w:r w:rsidRPr="000E01B6">
        <w:rPr>
          <w:bCs/>
        </w:rPr>
        <w:t xml:space="preserve"> to strengthen MINED education management capacity</w:t>
      </w:r>
      <w:r w:rsidR="00EA5483">
        <w:rPr>
          <w:bCs/>
        </w:rPr>
        <w:t>, particularly information systems</w:t>
      </w:r>
      <w:r>
        <w:rPr>
          <w:bCs/>
        </w:rPr>
        <w:t>.</w:t>
      </w:r>
      <w:r w:rsidR="00995DB2">
        <w:rPr>
          <w:bCs/>
        </w:rPr>
        <w:t xml:space="preserve">      </w:t>
      </w:r>
    </w:p>
    <w:p w:rsidR="00995DB2" w:rsidRPr="00A85C2D" w:rsidRDefault="00995DB2" w:rsidP="00995DB2">
      <w:pPr>
        <w:jc w:val="both"/>
        <w:rPr>
          <w:bCs/>
        </w:rPr>
      </w:pPr>
    </w:p>
    <w:p w:rsidR="00995DB2" w:rsidRDefault="00995DB2" w:rsidP="005E2993">
      <w:pPr>
        <w:pStyle w:val="ListParagraph"/>
        <w:numPr>
          <w:ilvl w:val="0"/>
          <w:numId w:val="24"/>
        </w:numPr>
        <w:ind w:left="0" w:firstLine="0"/>
        <w:jc w:val="both"/>
        <w:rPr>
          <w:vanish/>
          <w:sz w:val="22"/>
          <w:szCs w:val="22"/>
          <w:lang w:eastAsia="es-ES"/>
        </w:rPr>
      </w:pPr>
      <w:r w:rsidRPr="0058240A">
        <w:rPr>
          <w:b/>
          <w:color w:val="000000"/>
        </w:rPr>
        <w:t>PASEN II</w:t>
      </w:r>
      <w:r w:rsidR="00CC1211">
        <w:rPr>
          <w:b/>
          <w:color w:val="000000"/>
        </w:rPr>
        <w:t xml:space="preserve"> and </w:t>
      </w:r>
      <w:r w:rsidR="00911C25">
        <w:rPr>
          <w:b/>
          <w:color w:val="000000"/>
        </w:rPr>
        <w:t>the Project</w:t>
      </w:r>
      <w:r w:rsidRPr="0058240A">
        <w:rPr>
          <w:b/>
          <w:color w:val="000000"/>
        </w:rPr>
        <w:t xml:space="preserve"> </w:t>
      </w:r>
      <w:r w:rsidR="00940513" w:rsidRPr="0058240A">
        <w:rPr>
          <w:b/>
          <w:color w:val="000000"/>
        </w:rPr>
        <w:t xml:space="preserve">are </w:t>
      </w:r>
      <w:r w:rsidRPr="0058240A">
        <w:rPr>
          <w:b/>
          <w:color w:val="000000"/>
        </w:rPr>
        <w:t xml:space="preserve">the first two </w:t>
      </w:r>
      <w:r w:rsidR="004C1B03" w:rsidRPr="0058240A">
        <w:rPr>
          <w:b/>
          <w:color w:val="000000"/>
        </w:rPr>
        <w:t xml:space="preserve">highly complementary </w:t>
      </w:r>
      <w:r w:rsidRPr="0058240A">
        <w:rPr>
          <w:b/>
          <w:color w:val="000000"/>
        </w:rPr>
        <w:t xml:space="preserve">“building-blocks” supporting the implementation of the </w:t>
      </w:r>
      <w:r w:rsidR="009469DE">
        <w:rPr>
          <w:b/>
          <w:color w:val="000000"/>
        </w:rPr>
        <w:t>ESS</w:t>
      </w:r>
      <w:r w:rsidRPr="0058240A">
        <w:rPr>
          <w:b/>
          <w:color w:val="000000"/>
        </w:rPr>
        <w:t>.</w:t>
      </w:r>
      <w:r>
        <w:rPr>
          <w:color w:val="000000"/>
        </w:rPr>
        <w:t xml:space="preserve">  The </w:t>
      </w:r>
      <w:r w:rsidR="007D34BD">
        <w:rPr>
          <w:color w:val="000000"/>
        </w:rPr>
        <w:t xml:space="preserve">Project </w:t>
      </w:r>
      <w:r>
        <w:rPr>
          <w:color w:val="000000"/>
        </w:rPr>
        <w:t>would be financed by</w:t>
      </w:r>
      <w:r w:rsidRPr="00A85C2D">
        <w:rPr>
          <w:color w:val="000000"/>
        </w:rPr>
        <w:t xml:space="preserve"> the European Union (EU) and the </w:t>
      </w:r>
      <w:r w:rsidR="00D82EAA">
        <w:rPr>
          <w:color w:val="000000"/>
        </w:rPr>
        <w:t>Global Partnership for Education (</w:t>
      </w:r>
      <w:r w:rsidRPr="00A85C2D">
        <w:rPr>
          <w:color w:val="000000"/>
        </w:rPr>
        <w:t>GPE</w:t>
      </w:r>
      <w:r w:rsidR="00D82EAA">
        <w:rPr>
          <w:color w:val="000000"/>
        </w:rPr>
        <w:t>)</w:t>
      </w:r>
      <w:r>
        <w:rPr>
          <w:color w:val="000000"/>
        </w:rPr>
        <w:t xml:space="preserve">.  The </w:t>
      </w:r>
      <w:r w:rsidR="00C54A4C">
        <w:rPr>
          <w:color w:val="000000"/>
        </w:rPr>
        <w:t>Project</w:t>
      </w:r>
      <w:r>
        <w:rPr>
          <w:color w:val="000000"/>
        </w:rPr>
        <w:t xml:space="preserve"> would</w:t>
      </w:r>
      <w:r w:rsidRPr="00A85C2D">
        <w:rPr>
          <w:color w:val="000000"/>
        </w:rPr>
        <w:t xml:space="preserve"> be administered by the </w:t>
      </w:r>
      <w:r w:rsidR="00ED6468">
        <w:rPr>
          <w:color w:val="000000"/>
        </w:rPr>
        <w:t>Bank</w:t>
      </w:r>
      <w:r w:rsidRPr="00A85C2D">
        <w:rPr>
          <w:color w:val="000000"/>
        </w:rPr>
        <w:t xml:space="preserve">, to ensure complementarity with </w:t>
      </w:r>
      <w:r>
        <w:rPr>
          <w:bCs/>
          <w:color w:val="000000"/>
        </w:rPr>
        <w:t>PASEN II</w:t>
      </w:r>
      <w:r w:rsidR="0001477B">
        <w:rPr>
          <w:bCs/>
          <w:color w:val="000000"/>
        </w:rPr>
        <w:t xml:space="preserve"> and </w:t>
      </w:r>
      <w:r w:rsidRPr="00A85C2D">
        <w:rPr>
          <w:color w:val="000000"/>
        </w:rPr>
        <w:t>harmonize implementation, disbursement, monitoring and reporting procedures.</w:t>
      </w:r>
    </w:p>
    <w:p w:rsidR="00E461BC" w:rsidRDefault="00E461BC" w:rsidP="00E461BC">
      <w:pPr>
        <w:jc w:val="both"/>
        <w:rPr>
          <w:sz w:val="22"/>
          <w:szCs w:val="22"/>
          <w:lang w:eastAsia="es-ES"/>
        </w:rPr>
      </w:pPr>
    </w:p>
    <w:p w:rsidR="00E461BC" w:rsidRPr="00E461BC" w:rsidRDefault="00E461BC" w:rsidP="00E461BC">
      <w:pPr>
        <w:jc w:val="both"/>
        <w:rPr>
          <w:vanish/>
          <w:sz w:val="22"/>
          <w:szCs w:val="22"/>
          <w:lang w:eastAsia="es-ES"/>
        </w:rPr>
      </w:pPr>
    </w:p>
    <w:p w:rsidR="005B504A" w:rsidRPr="005B504A" w:rsidRDefault="005B504A" w:rsidP="005E679B">
      <w:pPr>
        <w:pStyle w:val="Heading2"/>
        <w:keepLines/>
        <w:numPr>
          <w:ilvl w:val="1"/>
          <w:numId w:val="0"/>
        </w:numPr>
        <w:spacing w:before="100" w:beforeAutospacing="1"/>
        <w:ind w:left="1080" w:hanging="360"/>
        <w:jc w:val="left"/>
      </w:pPr>
      <w:bookmarkStart w:id="7" w:name="_Toc298170619"/>
      <w:bookmarkStart w:id="8" w:name="_Toc354067261"/>
      <w:r w:rsidRPr="005B504A">
        <w:t xml:space="preserve">C.  </w:t>
      </w:r>
      <w:bookmarkEnd w:id="7"/>
      <w:r w:rsidRPr="005B504A">
        <w:t>Relationship to Country Partnership Strategy (CPS)</w:t>
      </w:r>
      <w:bookmarkEnd w:id="8"/>
    </w:p>
    <w:p w:rsidR="00F75474" w:rsidRPr="0064524E" w:rsidRDefault="00F75474" w:rsidP="00F75474">
      <w:pPr>
        <w:jc w:val="both"/>
        <w:rPr>
          <w:bCs/>
        </w:rPr>
      </w:pPr>
    </w:p>
    <w:p w:rsidR="007848C4" w:rsidRPr="004341A3" w:rsidRDefault="00410B01" w:rsidP="004341A3">
      <w:pPr>
        <w:pStyle w:val="ListParagraph"/>
        <w:numPr>
          <w:ilvl w:val="0"/>
          <w:numId w:val="24"/>
        </w:numPr>
        <w:ind w:left="0" w:firstLine="0"/>
        <w:jc w:val="both"/>
        <w:rPr>
          <w:b/>
          <w:color w:val="000000"/>
        </w:rPr>
      </w:pPr>
      <w:r w:rsidRPr="004341A3">
        <w:rPr>
          <w:b/>
          <w:color w:val="000000"/>
        </w:rPr>
        <w:t xml:space="preserve">The </w:t>
      </w:r>
      <w:r w:rsidR="000C16FA" w:rsidRPr="004341A3">
        <w:rPr>
          <w:b/>
          <w:color w:val="000000"/>
        </w:rPr>
        <w:t>Project</w:t>
      </w:r>
      <w:r w:rsidRPr="004341A3">
        <w:rPr>
          <w:b/>
          <w:color w:val="000000"/>
        </w:rPr>
        <w:t xml:space="preserve"> is fully aligned with the </w:t>
      </w:r>
      <w:r w:rsidR="00BF7645" w:rsidRPr="004341A3">
        <w:rPr>
          <w:b/>
          <w:color w:val="000000"/>
        </w:rPr>
        <w:t xml:space="preserve">World </w:t>
      </w:r>
      <w:r w:rsidR="00ED6468" w:rsidRPr="004341A3">
        <w:rPr>
          <w:b/>
          <w:color w:val="000000"/>
        </w:rPr>
        <w:t>Bank</w:t>
      </w:r>
      <w:r w:rsidR="00BF7645" w:rsidRPr="004341A3">
        <w:rPr>
          <w:b/>
          <w:color w:val="000000"/>
        </w:rPr>
        <w:t xml:space="preserve"> Group</w:t>
      </w:r>
      <w:r w:rsidR="00850E55" w:rsidRPr="004341A3">
        <w:rPr>
          <w:b/>
          <w:color w:val="000000"/>
        </w:rPr>
        <w:t xml:space="preserve">’s </w:t>
      </w:r>
      <w:r w:rsidRPr="004341A3">
        <w:rPr>
          <w:b/>
          <w:color w:val="000000"/>
        </w:rPr>
        <w:t>Country Partnership Strategy (CPS) 20</w:t>
      </w:r>
      <w:r w:rsidR="00F2685A" w:rsidRPr="004341A3">
        <w:rPr>
          <w:b/>
          <w:color w:val="000000"/>
        </w:rPr>
        <w:t>12</w:t>
      </w:r>
      <w:r w:rsidRPr="004341A3">
        <w:rPr>
          <w:b/>
          <w:color w:val="000000"/>
        </w:rPr>
        <w:t>-1</w:t>
      </w:r>
      <w:r w:rsidR="00F2685A" w:rsidRPr="004341A3">
        <w:rPr>
          <w:b/>
          <w:color w:val="000000"/>
        </w:rPr>
        <w:t>7</w:t>
      </w:r>
      <w:r w:rsidRPr="004341A3">
        <w:rPr>
          <w:b/>
          <w:color w:val="000000"/>
        </w:rPr>
        <w:t xml:space="preserve">, Report No. </w:t>
      </w:r>
      <w:r w:rsidR="00967852" w:rsidRPr="004341A3">
        <w:rPr>
          <w:b/>
          <w:color w:val="000000"/>
        </w:rPr>
        <w:t>69231-NI</w:t>
      </w:r>
      <w:r w:rsidRPr="004341A3">
        <w:rPr>
          <w:color w:val="000000"/>
        </w:rPr>
        <w:t xml:space="preserve">, </w:t>
      </w:r>
      <w:r w:rsidR="00BF7645" w:rsidRPr="004341A3">
        <w:rPr>
          <w:color w:val="000000"/>
        </w:rPr>
        <w:t>discussed by</w:t>
      </w:r>
      <w:r w:rsidRPr="004341A3">
        <w:rPr>
          <w:color w:val="000000"/>
        </w:rPr>
        <w:t xml:space="preserve"> the Board of Executive Directors</w:t>
      </w:r>
      <w:r w:rsidR="0001477B" w:rsidRPr="004341A3">
        <w:rPr>
          <w:color w:val="000000"/>
        </w:rPr>
        <w:t xml:space="preserve"> on </w:t>
      </w:r>
      <w:r w:rsidR="00967852" w:rsidRPr="004341A3">
        <w:rPr>
          <w:color w:val="000000"/>
        </w:rPr>
        <w:t>November 13</w:t>
      </w:r>
      <w:r w:rsidR="0001477B" w:rsidRPr="004341A3">
        <w:rPr>
          <w:color w:val="000000"/>
        </w:rPr>
        <w:t>, 20</w:t>
      </w:r>
      <w:r w:rsidR="00967852" w:rsidRPr="004341A3">
        <w:rPr>
          <w:color w:val="000000"/>
        </w:rPr>
        <w:t>12</w:t>
      </w:r>
      <w:r w:rsidR="0001477B" w:rsidRPr="004341A3">
        <w:rPr>
          <w:color w:val="000000"/>
        </w:rPr>
        <w:t xml:space="preserve"> and i</w:t>
      </w:r>
      <w:r w:rsidRPr="004341A3">
        <w:rPr>
          <w:color w:val="000000"/>
        </w:rPr>
        <w:t xml:space="preserve">t is consistent with </w:t>
      </w:r>
      <w:r w:rsidR="004341A3">
        <w:rPr>
          <w:color w:val="000000"/>
        </w:rPr>
        <w:t>the Strategic a</w:t>
      </w:r>
      <w:r w:rsidR="004341A3" w:rsidRPr="004341A3">
        <w:rPr>
          <w:color w:val="000000"/>
        </w:rPr>
        <w:t>rea 1</w:t>
      </w:r>
      <w:r w:rsidRPr="004341A3">
        <w:rPr>
          <w:color w:val="000000"/>
        </w:rPr>
        <w:t>, “</w:t>
      </w:r>
      <w:r w:rsidR="004341A3">
        <w:rPr>
          <w:color w:val="000000"/>
        </w:rPr>
        <w:t xml:space="preserve">Raise </w:t>
      </w:r>
      <w:r w:rsidR="004341A3" w:rsidRPr="004341A3">
        <w:rPr>
          <w:color w:val="000000"/>
        </w:rPr>
        <w:t>welfare</w:t>
      </w:r>
      <w:r w:rsidR="004341A3">
        <w:rPr>
          <w:color w:val="000000"/>
        </w:rPr>
        <w:t xml:space="preserve"> by improving </w:t>
      </w:r>
      <w:r w:rsidR="004341A3" w:rsidRPr="004341A3">
        <w:rPr>
          <w:color w:val="000000"/>
        </w:rPr>
        <w:t xml:space="preserve"> access to</w:t>
      </w:r>
      <w:r w:rsidR="004341A3">
        <w:rPr>
          <w:color w:val="000000"/>
        </w:rPr>
        <w:t xml:space="preserve"> quality</w:t>
      </w:r>
      <w:r w:rsidR="004341A3" w:rsidRPr="004341A3">
        <w:rPr>
          <w:color w:val="000000"/>
        </w:rPr>
        <w:t xml:space="preserve"> basic services</w:t>
      </w:r>
      <w:r w:rsidR="00EE2ABC" w:rsidRPr="004341A3">
        <w:rPr>
          <w:color w:val="000000"/>
        </w:rPr>
        <w:t>.”</w:t>
      </w:r>
      <w:r w:rsidRPr="004341A3">
        <w:rPr>
          <w:color w:val="000000"/>
        </w:rPr>
        <w:t xml:space="preserve">  The CPS emphasizes the need to ensure continued expansion of education access and improvement in the quality of teaching and learning, as well as strengthening of institutional capacity and efficiency in the sector.</w:t>
      </w:r>
      <w:r w:rsidR="004B78B7" w:rsidRPr="004341A3">
        <w:rPr>
          <w:color w:val="000000"/>
        </w:rPr>
        <w:t xml:space="preserve">  </w:t>
      </w:r>
      <w:r w:rsidR="00C54A4C" w:rsidRPr="004341A3">
        <w:rPr>
          <w:color w:val="000000"/>
        </w:rPr>
        <w:t xml:space="preserve">The </w:t>
      </w:r>
      <w:r w:rsidRPr="004341A3">
        <w:rPr>
          <w:color w:val="000000"/>
        </w:rPr>
        <w:t xml:space="preserve">Project builds on the </w:t>
      </w:r>
      <w:r w:rsidR="00ED6468" w:rsidRPr="004341A3">
        <w:rPr>
          <w:color w:val="000000"/>
        </w:rPr>
        <w:t>Bank</w:t>
      </w:r>
      <w:r w:rsidRPr="004341A3">
        <w:rPr>
          <w:color w:val="000000"/>
        </w:rPr>
        <w:t xml:space="preserve">’s long-standing engagement with the GoN in the education sector, including analytical work and previous operations such as: (i) </w:t>
      </w:r>
      <w:r w:rsidR="006A7130" w:rsidRPr="004341A3">
        <w:rPr>
          <w:color w:val="000000"/>
        </w:rPr>
        <w:t>the Support to the Education Sector Project (PASEN I)</w:t>
      </w:r>
      <w:r w:rsidR="00B03889" w:rsidRPr="004341A3">
        <w:rPr>
          <w:color w:val="000000"/>
        </w:rPr>
        <w:footnoteReference w:id="9"/>
      </w:r>
      <w:r w:rsidR="00850E55" w:rsidRPr="004341A3">
        <w:rPr>
          <w:color w:val="000000"/>
        </w:rPr>
        <w:t xml:space="preserve"> and PASEN II</w:t>
      </w:r>
      <w:r w:rsidR="006A7130" w:rsidRPr="004341A3">
        <w:rPr>
          <w:color w:val="000000"/>
        </w:rPr>
        <w:t xml:space="preserve">; (ii) </w:t>
      </w:r>
      <w:r w:rsidR="0001477B" w:rsidRPr="004341A3">
        <w:rPr>
          <w:color w:val="000000"/>
        </w:rPr>
        <w:t>the First Basic Education Project (</w:t>
      </w:r>
      <w:r w:rsidRPr="004341A3">
        <w:rPr>
          <w:color w:val="000000"/>
        </w:rPr>
        <w:t>APRENDE I</w:t>
      </w:r>
      <w:r w:rsidR="0001477B" w:rsidRPr="004341A3">
        <w:rPr>
          <w:color w:val="000000"/>
        </w:rPr>
        <w:t>)</w:t>
      </w:r>
      <w:r w:rsidRPr="004341A3">
        <w:rPr>
          <w:color w:val="000000"/>
        </w:rPr>
        <w:t xml:space="preserve"> and</w:t>
      </w:r>
      <w:r w:rsidR="0001477B" w:rsidRPr="004341A3">
        <w:rPr>
          <w:color w:val="000000"/>
        </w:rPr>
        <w:t xml:space="preserve"> the Second Basic Education Project (APRENDE</w:t>
      </w:r>
      <w:r w:rsidRPr="004341A3">
        <w:rPr>
          <w:color w:val="000000"/>
        </w:rPr>
        <w:t xml:space="preserve"> II</w:t>
      </w:r>
      <w:r w:rsidR="0001477B" w:rsidRPr="004341A3">
        <w:rPr>
          <w:color w:val="000000"/>
        </w:rPr>
        <w:t>)</w:t>
      </w:r>
      <w:r w:rsidRPr="004341A3">
        <w:rPr>
          <w:color w:val="000000"/>
        </w:rPr>
        <w:footnoteReference w:id="10"/>
      </w:r>
      <w:r w:rsidR="00636C8C" w:rsidRPr="004341A3">
        <w:rPr>
          <w:color w:val="000000"/>
        </w:rPr>
        <w:t xml:space="preserve">; </w:t>
      </w:r>
      <w:r w:rsidRPr="004341A3">
        <w:rPr>
          <w:color w:val="000000"/>
        </w:rPr>
        <w:t>(iii) the first Education For All Fund</w:t>
      </w:r>
      <w:r w:rsidR="0001477B" w:rsidRPr="004341A3">
        <w:rPr>
          <w:color w:val="000000"/>
        </w:rPr>
        <w:t xml:space="preserve"> (EFA)</w:t>
      </w:r>
      <w:r w:rsidRPr="004341A3">
        <w:rPr>
          <w:color w:val="000000"/>
        </w:rPr>
        <w:footnoteReference w:id="11"/>
      </w:r>
      <w:r w:rsidRPr="004341A3">
        <w:rPr>
          <w:color w:val="000000"/>
        </w:rPr>
        <w:t xml:space="preserve">; </w:t>
      </w:r>
      <w:r w:rsidR="006A7130" w:rsidRPr="004341A3">
        <w:rPr>
          <w:color w:val="000000"/>
        </w:rPr>
        <w:t xml:space="preserve">and </w:t>
      </w:r>
      <w:r w:rsidRPr="004341A3">
        <w:rPr>
          <w:color w:val="000000"/>
        </w:rPr>
        <w:t>(iv) the implementation of a school feeding program</w:t>
      </w:r>
      <w:r w:rsidRPr="004341A3">
        <w:rPr>
          <w:color w:val="000000"/>
        </w:rPr>
        <w:footnoteReference w:id="12"/>
      </w:r>
      <w:r w:rsidRPr="004341A3">
        <w:rPr>
          <w:color w:val="000000"/>
        </w:rPr>
        <w:t xml:space="preserve"> (Merienda Escolar) through the Japanese Social Development Fund (JSDF)</w:t>
      </w:r>
      <w:r w:rsidR="006A7130" w:rsidRPr="004341A3">
        <w:rPr>
          <w:color w:val="000000"/>
        </w:rPr>
        <w:t xml:space="preserve">. </w:t>
      </w:r>
      <w:r w:rsidR="00B91052" w:rsidRPr="004341A3">
        <w:rPr>
          <w:color w:val="000000"/>
        </w:rPr>
        <w:t xml:space="preserve"> </w:t>
      </w:r>
      <w:r w:rsidR="004929B5" w:rsidRPr="004341A3">
        <w:rPr>
          <w:color w:val="000000"/>
        </w:rPr>
        <w:t>Finally, t</w:t>
      </w:r>
      <w:r w:rsidR="00C54A4C" w:rsidRPr="004341A3">
        <w:rPr>
          <w:color w:val="000000"/>
        </w:rPr>
        <w:t>he</w:t>
      </w:r>
      <w:r w:rsidRPr="004341A3">
        <w:rPr>
          <w:color w:val="000000"/>
        </w:rPr>
        <w:t xml:space="preserve"> Project is also fully aligned with t</w:t>
      </w:r>
      <w:r w:rsidRPr="004341A3" w:rsidDel="00787280">
        <w:rPr>
          <w:color w:val="000000"/>
        </w:rPr>
        <w:t xml:space="preserve">he </w:t>
      </w:r>
      <w:r w:rsidR="009469DE" w:rsidRPr="004341A3">
        <w:rPr>
          <w:color w:val="000000"/>
        </w:rPr>
        <w:t>ESS</w:t>
      </w:r>
      <w:r w:rsidRPr="004341A3" w:rsidDel="00787280">
        <w:rPr>
          <w:color w:val="000000"/>
        </w:rPr>
        <w:t>.</w:t>
      </w:r>
      <w:r w:rsidRPr="004341A3" w:rsidDel="00787280">
        <w:rPr>
          <w:b/>
          <w:color w:val="000000"/>
        </w:rPr>
        <w:t xml:space="preserve"> </w:t>
      </w:r>
    </w:p>
    <w:p w:rsidR="002A6B7D" w:rsidRDefault="002A6B7D" w:rsidP="00982630">
      <w:pPr>
        <w:pStyle w:val="ListParagraph"/>
        <w:ind w:left="0"/>
        <w:jc w:val="both"/>
        <w:rPr>
          <w:bCs/>
        </w:rPr>
      </w:pPr>
    </w:p>
    <w:p w:rsidR="00982630" w:rsidRPr="00335F56" w:rsidRDefault="00982630" w:rsidP="00982630">
      <w:pPr>
        <w:pStyle w:val="Heading1"/>
        <w:numPr>
          <w:ilvl w:val="0"/>
          <w:numId w:val="12"/>
        </w:numPr>
      </w:pPr>
      <w:bookmarkStart w:id="9" w:name="_Toc298170620"/>
      <w:bookmarkStart w:id="10" w:name="_Toc354067262"/>
      <w:r w:rsidRPr="00547437">
        <w:t>Project Development Objective</w:t>
      </w:r>
      <w:bookmarkEnd w:id="9"/>
      <w:bookmarkEnd w:id="10"/>
    </w:p>
    <w:p w:rsidR="00982630" w:rsidRPr="0064524E" w:rsidRDefault="00982630" w:rsidP="00982630">
      <w:pPr>
        <w:pStyle w:val="Heading2"/>
        <w:keepLines/>
        <w:numPr>
          <w:ilvl w:val="1"/>
          <w:numId w:val="0"/>
        </w:numPr>
        <w:spacing w:before="100" w:beforeAutospacing="1"/>
        <w:ind w:left="1080" w:hanging="360"/>
        <w:jc w:val="left"/>
      </w:pPr>
      <w:bookmarkStart w:id="11" w:name="_Toc298170621"/>
      <w:bookmarkStart w:id="12" w:name="_Toc354067263"/>
      <w:r>
        <w:t xml:space="preserve">A.  </w:t>
      </w:r>
      <w:r w:rsidRPr="0064524E">
        <w:t>PDO</w:t>
      </w:r>
      <w:bookmarkEnd w:id="11"/>
      <w:bookmarkEnd w:id="12"/>
      <w:r w:rsidRPr="0064524E">
        <w:t xml:space="preserve"> </w:t>
      </w:r>
    </w:p>
    <w:p w:rsidR="00982630" w:rsidRPr="00982630" w:rsidRDefault="00982630" w:rsidP="00982630">
      <w:pPr>
        <w:pStyle w:val="ListParagraph"/>
        <w:rPr>
          <w:bCs/>
        </w:rPr>
      </w:pPr>
    </w:p>
    <w:p w:rsidR="004B78B7" w:rsidRDefault="007C404E" w:rsidP="005E2993">
      <w:pPr>
        <w:pStyle w:val="ListParagraph"/>
        <w:numPr>
          <w:ilvl w:val="0"/>
          <w:numId w:val="24"/>
        </w:numPr>
        <w:ind w:left="0" w:firstLine="0"/>
        <w:jc w:val="both"/>
        <w:rPr>
          <w:bCs/>
        </w:rPr>
      </w:pPr>
      <w:r w:rsidRPr="007C404E">
        <w:rPr>
          <w:bCs/>
        </w:rPr>
        <w:t xml:space="preserve">The objectives of the Project </w:t>
      </w:r>
      <w:r w:rsidR="0092241E">
        <w:rPr>
          <w:bCs/>
        </w:rPr>
        <w:t>are to: (a) increase access to preschool education in s</w:t>
      </w:r>
      <w:r w:rsidRPr="007C404E">
        <w:rPr>
          <w:bCs/>
        </w:rPr>
        <w:t xml:space="preserve">elected </w:t>
      </w:r>
      <w:r w:rsidR="0092241E">
        <w:rPr>
          <w:bCs/>
        </w:rPr>
        <w:t>municipalities, and to improve preschool e</w:t>
      </w:r>
      <w:r w:rsidRPr="007C404E">
        <w:rPr>
          <w:bCs/>
        </w:rPr>
        <w:t>ducation learning conditions nationwi</w:t>
      </w:r>
      <w:r w:rsidR="003058CD">
        <w:rPr>
          <w:bCs/>
        </w:rPr>
        <w:t xml:space="preserve">de; and (b) </w:t>
      </w:r>
      <w:r w:rsidR="00960D7D">
        <w:rPr>
          <w:bCs/>
        </w:rPr>
        <w:lastRenderedPageBreak/>
        <w:t>increase access to lower secondary education in selected m</w:t>
      </w:r>
      <w:r w:rsidRPr="007C404E">
        <w:rPr>
          <w:bCs/>
        </w:rPr>
        <w:t xml:space="preserve">unicipalities, and improve </w:t>
      </w:r>
      <w:r w:rsidR="00960D7D">
        <w:rPr>
          <w:bCs/>
        </w:rPr>
        <w:t>lower s</w:t>
      </w:r>
      <w:r w:rsidRPr="007C404E">
        <w:rPr>
          <w:bCs/>
        </w:rPr>
        <w:t xml:space="preserve">econdary </w:t>
      </w:r>
      <w:r w:rsidR="00960D7D">
        <w:rPr>
          <w:bCs/>
        </w:rPr>
        <w:t>e</w:t>
      </w:r>
      <w:r w:rsidRPr="007C404E">
        <w:rPr>
          <w:bCs/>
        </w:rPr>
        <w:t>ducation quality and completion rates nationwide.</w:t>
      </w:r>
    </w:p>
    <w:p w:rsidR="00982630" w:rsidRDefault="00982630" w:rsidP="004B78B7">
      <w:pPr>
        <w:pStyle w:val="ListParagraph"/>
        <w:ind w:left="0"/>
        <w:jc w:val="both"/>
        <w:rPr>
          <w:bCs/>
        </w:rPr>
      </w:pPr>
    </w:p>
    <w:p w:rsidR="008F629A" w:rsidRPr="004929B5" w:rsidRDefault="008F629A" w:rsidP="005E2993">
      <w:pPr>
        <w:pStyle w:val="Heading3"/>
        <w:numPr>
          <w:ilvl w:val="0"/>
          <w:numId w:val="17"/>
        </w:numPr>
        <w:ind w:left="1267"/>
        <w:jc w:val="left"/>
        <w:rPr>
          <w:sz w:val="24"/>
          <w:lang w:val="en-GB"/>
        </w:rPr>
      </w:pPr>
      <w:bookmarkStart w:id="13" w:name="_Toc306962102"/>
      <w:bookmarkStart w:id="14" w:name="_Toc354067264"/>
      <w:bookmarkStart w:id="15" w:name="_Toc193458604"/>
      <w:r w:rsidRPr="004929B5">
        <w:rPr>
          <w:sz w:val="24"/>
          <w:lang w:val="en-GB"/>
        </w:rPr>
        <w:t>Project Beneficiaries</w:t>
      </w:r>
      <w:bookmarkEnd w:id="13"/>
      <w:bookmarkEnd w:id="14"/>
    </w:p>
    <w:p w:rsidR="008F629A" w:rsidRPr="008F629A" w:rsidRDefault="008F629A" w:rsidP="008F629A">
      <w:pPr>
        <w:rPr>
          <w:lang w:val="en-GB"/>
        </w:rPr>
      </w:pPr>
    </w:p>
    <w:p w:rsidR="0069249D" w:rsidRDefault="00F55191" w:rsidP="005E2993">
      <w:pPr>
        <w:pStyle w:val="ListParagraph"/>
        <w:numPr>
          <w:ilvl w:val="0"/>
          <w:numId w:val="24"/>
        </w:numPr>
        <w:ind w:left="0" w:firstLine="0"/>
        <w:jc w:val="both"/>
        <w:rPr>
          <w:bCs/>
        </w:rPr>
      </w:pPr>
      <w:r w:rsidRPr="007F6350">
        <w:rPr>
          <w:bCs/>
        </w:rPr>
        <w:t>The</w:t>
      </w:r>
      <w:r w:rsidR="005D7F31">
        <w:rPr>
          <w:bCs/>
        </w:rPr>
        <w:t xml:space="preserve"> </w:t>
      </w:r>
      <w:r w:rsidR="005D7F31" w:rsidRPr="00A85C2D">
        <w:rPr>
          <w:bCs/>
        </w:rPr>
        <w:t>main</w:t>
      </w:r>
      <w:r w:rsidR="005D7F31">
        <w:rPr>
          <w:bCs/>
        </w:rPr>
        <w:t xml:space="preserve"> beneficiaries</w:t>
      </w:r>
      <w:r w:rsidR="0001477B">
        <w:rPr>
          <w:bCs/>
        </w:rPr>
        <w:t xml:space="preserve"> of</w:t>
      </w:r>
      <w:r w:rsidR="005D7F31" w:rsidRPr="00A85C2D">
        <w:rPr>
          <w:bCs/>
        </w:rPr>
        <w:t xml:space="preserve"> </w:t>
      </w:r>
      <w:r w:rsidR="00911C25">
        <w:rPr>
          <w:bCs/>
        </w:rPr>
        <w:t>the Project</w:t>
      </w:r>
      <w:r w:rsidR="005D7F31" w:rsidRPr="00A85C2D">
        <w:rPr>
          <w:bCs/>
        </w:rPr>
        <w:t xml:space="preserve"> are: (i) </w:t>
      </w:r>
      <w:r w:rsidR="00395B1B">
        <w:rPr>
          <w:bCs/>
        </w:rPr>
        <w:t>231,000</w:t>
      </w:r>
      <w:r w:rsidR="0027207B">
        <w:rPr>
          <w:bCs/>
        </w:rPr>
        <w:t xml:space="preserve"> </w:t>
      </w:r>
      <w:r w:rsidR="00F75747">
        <w:rPr>
          <w:bCs/>
        </w:rPr>
        <w:t>preschool</w:t>
      </w:r>
      <w:r w:rsidR="005D7F31" w:rsidRPr="00A85C2D">
        <w:rPr>
          <w:bCs/>
        </w:rPr>
        <w:t xml:space="preserve"> and </w:t>
      </w:r>
      <w:r w:rsidR="00395B1B">
        <w:rPr>
          <w:bCs/>
        </w:rPr>
        <w:t>320</w:t>
      </w:r>
      <w:r w:rsidR="005E09C7">
        <w:rPr>
          <w:bCs/>
        </w:rPr>
        <w:t>,000</w:t>
      </w:r>
      <w:r w:rsidR="0027207B">
        <w:rPr>
          <w:bCs/>
        </w:rPr>
        <w:t xml:space="preserve"> </w:t>
      </w:r>
      <w:r w:rsidR="005E09C7">
        <w:rPr>
          <w:bCs/>
        </w:rPr>
        <w:t xml:space="preserve">lower </w:t>
      </w:r>
      <w:r w:rsidR="0027207B">
        <w:rPr>
          <w:bCs/>
        </w:rPr>
        <w:t>secondary level students</w:t>
      </w:r>
      <w:r w:rsidR="005D7F31" w:rsidRPr="00A85C2D">
        <w:rPr>
          <w:bCs/>
        </w:rPr>
        <w:t xml:space="preserve"> nation-wide</w:t>
      </w:r>
      <w:r w:rsidR="007441BA">
        <w:rPr>
          <w:bCs/>
        </w:rPr>
        <w:t xml:space="preserve"> (</w:t>
      </w:r>
      <w:r w:rsidR="005D7F31" w:rsidRPr="00A85C2D">
        <w:rPr>
          <w:bCs/>
        </w:rPr>
        <w:t xml:space="preserve">particularly </w:t>
      </w:r>
      <w:r w:rsidR="00202EAD">
        <w:rPr>
          <w:bCs/>
        </w:rPr>
        <w:t xml:space="preserve">the </w:t>
      </w:r>
      <w:r w:rsidR="00395B1B">
        <w:rPr>
          <w:bCs/>
        </w:rPr>
        <w:t>51,984</w:t>
      </w:r>
      <w:r w:rsidR="002F4435" w:rsidRPr="00202EAD">
        <w:rPr>
          <w:bCs/>
        </w:rPr>
        <w:t xml:space="preserve"> </w:t>
      </w:r>
      <w:r w:rsidR="00F75747">
        <w:rPr>
          <w:bCs/>
        </w:rPr>
        <w:t>preschool</w:t>
      </w:r>
      <w:r w:rsidR="002F4435" w:rsidRPr="00202EAD">
        <w:rPr>
          <w:bCs/>
        </w:rPr>
        <w:t xml:space="preserve"> </w:t>
      </w:r>
      <w:r w:rsidR="007441BA">
        <w:rPr>
          <w:bCs/>
        </w:rPr>
        <w:t xml:space="preserve">students </w:t>
      </w:r>
      <w:r w:rsidR="002F4435" w:rsidRPr="00202EAD">
        <w:rPr>
          <w:bCs/>
        </w:rPr>
        <w:t xml:space="preserve">and </w:t>
      </w:r>
      <w:r w:rsidR="00B03889">
        <w:rPr>
          <w:bCs/>
        </w:rPr>
        <w:t xml:space="preserve">the </w:t>
      </w:r>
      <w:r w:rsidR="00395B1B">
        <w:rPr>
          <w:bCs/>
        </w:rPr>
        <w:t>54,302</w:t>
      </w:r>
      <w:r w:rsidR="00202EAD" w:rsidRPr="00202EAD">
        <w:rPr>
          <w:bCs/>
        </w:rPr>
        <w:t xml:space="preserve"> </w:t>
      </w:r>
      <w:r w:rsidR="005E09C7">
        <w:rPr>
          <w:bCs/>
        </w:rPr>
        <w:t>lower secondary students</w:t>
      </w:r>
      <w:r w:rsidR="00202EAD" w:rsidRPr="00202EAD">
        <w:rPr>
          <w:bCs/>
        </w:rPr>
        <w:t xml:space="preserve"> </w:t>
      </w:r>
      <w:r w:rsidR="002F4435" w:rsidRPr="00202EAD">
        <w:rPr>
          <w:bCs/>
        </w:rPr>
        <w:t xml:space="preserve">in the </w:t>
      </w:r>
      <w:r w:rsidR="00175CC1">
        <w:rPr>
          <w:bCs/>
        </w:rPr>
        <w:t>43</w:t>
      </w:r>
      <w:r w:rsidR="0027207B" w:rsidRPr="00202EAD">
        <w:rPr>
          <w:bCs/>
        </w:rPr>
        <w:t xml:space="preserve"> </w:t>
      </w:r>
      <w:r w:rsidR="005D7F31" w:rsidRPr="00202EAD">
        <w:rPr>
          <w:bCs/>
        </w:rPr>
        <w:t>selected municipalities</w:t>
      </w:r>
      <w:r w:rsidR="007441BA">
        <w:rPr>
          <w:bCs/>
        </w:rPr>
        <w:t>)</w:t>
      </w:r>
      <w:r w:rsidR="005D7F31" w:rsidRPr="00202EAD">
        <w:rPr>
          <w:bCs/>
        </w:rPr>
        <w:t>; (ii)</w:t>
      </w:r>
      <w:r w:rsidR="005D7F31" w:rsidRPr="00A85C2D">
        <w:rPr>
          <w:bCs/>
        </w:rPr>
        <w:t xml:space="preserve"> </w:t>
      </w:r>
      <w:r w:rsidR="0027207B">
        <w:rPr>
          <w:bCs/>
        </w:rPr>
        <w:t xml:space="preserve">9,500 </w:t>
      </w:r>
      <w:r w:rsidR="00F75747">
        <w:rPr>
          <w:bCs/>
        </w:rPr>
        <w:t>preschool</w:t>
      </w:r>
      <w:r w:rsidR="005D7F31" w:rsidRPr="00A85C2D">
        <w:rPr>
          <w:bCs/>
        </w:rPr>
        <w:t xml:space="preserve"> </w:t>
      </w:r>
      <w:r w:rsidR="0027207B">
        <w:rPr>
          <w:bCs/>
        </w:rPr>
        <w:t xml:space="preserve">educators </w:t>
      </w:r>
      <w:r w:rsidR="005D7F31" w:rsidRPr="00A85C2D">
        <w:rPr>
          <w:bCs/>
        </w:rPr>
        <w:t xml:space="preserve">and </w:t>
      </w:r>
      <w:r w:rsidR="00356223">
        <w:rPr>
          <w:bCs/>
        </w:rPr>
        <w:t>10,2</w:t>
      </w:r>
      <w:r w:rsidR="0027207B">
        <w:rPr>
          <w:bCs/>
        </w:rPr>
        <w:t xml:space="preserve">00 </w:t>
      </w:r>
      <w:r w:rsidR="005D7F31" w:rsidRPr="00A85C2D">
        <w:rPr>
          <w:bCs/>
        </w:rPr>
        <w:t>lower sec</w:t>
      </w:r>
      <w:r w:rsidR="005D7F31">
        <w:rPr>
          <w:bCs/>
        </w:rPr>
        <w:t xml:space="preserve">ondary level teachers; </w:t>
      </w:r>
      <w:r w:rsidR="00940513">
        <w:rPr>
          <w:bCs/>
        </w:rPr>
        <w:t xml:space="preserve">and </w:t>
      </w:r>
      <w:r w:rsidR="00082515">
        <w:rPr>
          <w:bCs/>
        </w:rPr>
        <w:t xml:space="preserve">(iii) </w:t>
      </w:r>
      <w:r w:rsidR="005D7F31">
        <w:rPr>
          <w:bCs/>
        </w:rPr>
        <w:t>MINE</w:t>
      </w:r>
      <w:r w:rsidR="00082515">
        <w:rPr>
          <w:bCs/>
        </w:rPr>
        <w:t>D</w:t>
      </w:r>
      <w:r w:rsidR="005D7F31">
        <w:rPr>
          <w:bCs/>
        </w:rPr>
        <w:t>.</w:t>
      </w:r>
    </w:p>
    <w:p w:rsidR="00E15F07" w:rsidRDefault="00E15F07" w:rsidP="00A150A6">
      <w:pPr>
        <w:pStyle w:val="ListParagraph"/>
        <w:ind w:left="0"/>
        <w:jc w:val="both"/>
        <w:rPr>
          <w:bCs/>
        </w:rPr>
      </w:pPr>
    </w:p>
    <w:p w:rsidR="00301DB4" w:rsidRPr="004929B5" w:rsidRDefault="00301DB4" w:rsidP="005E2993">
      <w:pPr>
        <w:pStyle w:val="Heading3"/>
        <w:numPr>
          <w:ilvl w:val="0"/>
          <w:numId w:val="17"/>
        </w:numPr>
        <w:ind w:left="1267"/>
        <w:jc w:val="left"/>
        <w:rPr>
          <w:sz w:val="24"/>
          <w:lang w:val="en-GB"/>
        </w:rPr>
      </w:pPr>
      <w:bookmarkStart w:id="16" w:name="_Toc354067265"/>
      <w:r w:rsidRPr="004929B5">
        <w:rPr>
          <w:sz w:val="24"/>
          <w:lang w:val="en-GB"/>
        </w:rPr>
        <w:t>PDO Level Results Indicators</w:t>
      </w:r>
      <w:bookmarkEnd w:id="16"/>
    </w:p>
    <w:p w:rsidR="008F629A" w:rsidRPr="008F629A" w:rsidRDefault="008F629A" w:rsidP="008F629A">
      <w:pPr>
        <w:rPr>
          <w:lang w:val="en-GB"/>
        </w:rPr>
      </w:pPr>
    </w:p>
    <w:p w:rsidR="008A473E" w:rsidRPr="008A473E" w:rsidRDefault="005D7F31" w:rsidP="005979C0">
      <w:pPr>
        <w:pStyle w:val="ListParagraph"/>
        <w:numPr>
          <w:ilvl w:val="0"/>
          <w:numId w:val="24"/>
        </w:numPr>
        <w:ind w:left="0" w:firstLine="0"/>
        <w:jc w:val="both"/>
        <w:rPr>
          <w:bCs/>
          <w:u w:val="single"/>
        </w:rPr>
      </w:pPr>
      <w:r w:rsidRPr="008A473E">
        <w:rPr>
          <w:bCs/>
        </w:rPr>
        <w:t xml:space="preserve">Progress towards meeting these development objectives </w:t>
      </w:r>
      <w:r w:rsidR="00636C8C" w:rsidRPr="008A473E">
        <w:rPr>
          <w:bCs/>
        </w:rPr>
        <w:t>would</w:t>
      </w:r>
      <w:r w:rsidRPr="008A473E">
        <w:rPr>
          <w:bCs/>
        </w:rPr>
        <w:t xml:space="preserve"> be measured by a series of intermediate results and outcome indicato</w:t>
      </w:r>
      <w:r w:rsidR="008A473E">
        <w:rPr>
          <w:bCs/>
        </w:rPr>
        <w:t>rs, including the following</w:t>
      </w:r>
    </w:p>
    <w:p w:rsidR="008A473E" w:rsidRPr="008A473E" w:rsidRDefault="008A473E" w:rsidP="008A473E">
      <w:pPr>
        <w:pStyle w:val="ListParagraph"/>
        <w:ind w:left="0"/>
        <w:jc w:val="both"/>
        <w:rPr>
          <w:bCs/>
          <w:u w:val="single"/>
        </w:rPr>
      </w:pPr>
    </w:p>
    <w:p w:rsidR="005979C0" w:rsidRPr="008A473E" w:rsidRDefault="005979C0" w:rsidP="008A473E">
      <w:pPr>
        <w:pStyle w:val="ListParagraph"/>
        <w:ind w:left="0"/>
        <w:jc w:val="both"/>
        <w:rPr>
          <w:bCs/>
          <w:u w:val="single"/>
        </w:rPr>
      </w:pPr>
      <w:r w:rsidRPr="008A473E">
        <w:rPr>
          <w:bCs/>
          <w:u w:val="single"/>
        </w:rPr>
        <w:t xml:space="preserve">Increase Access to </w:t>
      </w:r>
      <w:r w:rsidR="00F75747" w:rsidRPr="008A473E">
        <w:rPr>
          <w:bCs/>
          <w:u w:val="single"/>
        </w:rPr>
        <w:t>Preschool</w:t>
      </w:r>
      <w:r w:rsidRPr="008A473E">
        <w:rPr>
          <w:bCs/>
          <w:u w:val="single"/>
        </w:rPr>
        <w:t xml:space="preserve"> and Lower Secondary Education</w:t>
      </w:r>
      <w:r w:rsidR="0031006F" w:rsidRPr="008A473E">
        <w:rPr>
          <w:bCs/>
        </w:rPr>
        <w:t>:</w:t>
      </w:r>
    </w:p>
    <w:p w:rsidR="007B6243" w:rsidRPr="005979C0" w:rsidRDefault="005D7F31" w:rsidP="002C024E">
      <w:pPr>
        <w:pStyle w:val="ListParagraph"/>
        <w:numPr>
          <w:ilvl w:val="0"/>
          <w:numId w:val="2"/>
        </w:numPr>
        <w:tabs>
          <w:tab w:val="left" w:pos="720"/>
        </w:tabs>
        <w:ind w:left="720"/>
        <w:jc w:val="both"/>
        <w:rPr>
          <w:b/>
          <w:bCs/>
        </w:rPr>
      </w:pPr>
      <w:r w:rsidRPr="002577EE">
        <w:rPr>
          <w:bCs/>
        </w:rPr>
        <w:t xml:space="preserve">Increase </w:t>
      </w:r>
      <w:r w:rsidR="002577EE">
        <w:rPr>
          <w:bCs/>
        </w:rPr>
        <w:t>in the gross enrollment</w:t>
      </w:r>
      <w:r w:rsidR="002F1AA7">
        <w:rPr>
          <w:bCs/>
        </w:rPr>
        <w:t xml:space="preserve"> rate</w:t>
      </w:r>
      <w:r w:rsidR="002577EE">
        <w:rPr>
          <w:bCs/>
        </w:rPr>
        <w:t xml:space="preserve"> </w:t>
      </w:r>
      <w:r w:rsidR="00A42A57">
        <w:rPr>
          <w:bCs/>
        </w:rPr>
        <w:t xml:space="preserve">for preschool </w:t>
      </w:r>
      <w:r w:rsidR="002577EE">
        <w:rPr>
          <w:bCs/>
        </w:rPr>
        <w:t>(age</w:t>
      </w:r>
      <w:r w:rsidR="004B201F">
        <w:rPr>
          <w:bCs/>
        </w:rPr>
        <w:t>d</w:t>
      </w:r>
      <w:r w:rsidR="002577EE">
        <w:rPr>
          <w:bCs/>
        </w:rPr>
        <w:t xml:space="preserve"> 3-5 years) in</w:t>
      </w:r>
      <w:r w:rsidRPr="002577EE">
        <w:rPr>
          <w:bCs/>
        </w:rPr>
        <w:t xml:space="preserve"> </w:t>
      </w:r>
      <w:r w:rsidR="00116F52" w:rsidRPr="00A51473">
        <w:rPr>
          <w:bCs/>
        </w:rPr>
        <w:t>selected</w:t>
      </w:r>
      <w:r w:rsidRPr="002577EE">
        <w:rPr>
          <w:bCs/>
        </w:rPr>
        <w:t xml:space="preserve"> </w:t>
      </w:r>
      <w:r w:rsidR="00273ED8">
        <w:rPr>
          <w:bCs/>
        </w:rPr>
        <w:t>municipalities</w:t>
      </w:r>
      <w:r w:rsidR="007B6243">
        <w:rPr>
          <w:bCs/>
        </w:rPr>
        <w:t>.</w:t>
      </w:r>
    </w:p>
    <w:p w:rsidR="007B6243" w:rsidRPr="008A473E" w:rsidRDefault="007B6243" w:rsidP="002C024E">
      <w:pPr>
        <w:pStyle w:val="ListParagraph"/>
        <w:numPr>
          <w:ilvl w:val="0"/>
          <w:numId w:val="2"/>
        </w:numPr>
        <w:tabs>
          <w:tab w:val="left" w:pos="720"/>
        </w:tabs>
        <w:ind w:left="720"/>
        <w:jc w:val="both"/>
        <w:rPr>
          <w:bCs/>
        </w:rPr>
      </w:pPr>
      <w:r w:rsidRPr="002577EE">
        <w:rPr>
          <w:bCs/>
        </w:rPr>
        <w:t xml:space="preserve">Increase </w:t>
      </w:r>
      <w:r w:rsidR="00092AA3">
        <w:rPr>
          <w:bCs/>
        </w:rPr>
        <w:t xml:space="preserve">in the gross </w:t>
      </w:r>
      <w:r w:rsidR="00EB5FB9">
        <w:rPr>
          <w:bCs/>
        </w:rPr>
        <w:t>enrollment</w:t>
      </w:r>
      <w:r w:rsidR="002F1AA7">
        <w:rPr>
          <w:bCs/>
        </w:rPr>
        <w:t xml:space="preserve"> rate</w:t>
      </w:r>
      <w:r w:rsidR="00EB5FB9">
        <w:rPr>
          <w:bCs/>
        </w:rPr>
        <w:t xml:space="preserve"> </w:t>
      </w:r>
      <w:r w:rsidR="00A42A57">
        <w:rPr>
          <w:bCs/>
        </w:rPr>
        <w:t xml:space="preserve">for </w:t>
      </w:r>
      <w:r w:rsidR="00A42A57" w:rsidRPr="00A42A57">
        <w:rPr>
          <w:bCs/>
        </w:rPr>
        <w:t xml:space="preserve">lower secondary </w:t>
      </w:r>
      <w:r w:rsidR="00EB5FB9">
        <w:rPr>
          <w:bCs/>
        </w:rPr>
        <w:t>(</w:t>
      </w:r>
      <w:r w:rsidR="00173BA7">
        <w:rPr>
          <w:bCs/>
        </w:rPr>
        <w:t>g</w:t>
      </w:r>
      <w:r w:rsidR="004B201F">
        <w:rPr>
          <w:bCs/>
        </w:rPr>
        <w:t>rades</w:t>
      </w:r>
      <w:r w:rsidR="00EB5FB9">
        <w:rPr>
          <w:bCs/>
        </w:rPr>
        <w:t xml:space="preserve"> 7-9</w:t>
      </w:r>
      <w:r>
        <w:rPr>
          <w:bCs/>
        </w:rPr>
        <w:t>) in</w:t>
      </w:r>
      <w:r w:rsidRPr="002577EE">
        <w:rPr>
          <w:bCs/>
        </w:rPr>
        <w:t xml:space="preserve"> </w:t>
      </w:r>
      <w:r w:rsidR="00116F52" w:rsidRPr="00A51473">
        <w:rPr>
          <w:bCs/>
        </w:rPr>
        <w:t>selected</w:t>
      </w:r>
      <w:r w:rsidRPr="002577EE">
        <w:rPr>
          <w:bCs/>
        </w:rPr>
        <w:t xml:space="preserve"> municipalities</w:t>
      </w:r>
      <w:r>
        <w:rPr>
          <w:bCs/>
        </w:rPr>
        <w:t>.</w:t>
      </w:r>
    </w:p>
    <w:p w:rsidR="005979C0" w:rsidRPr="005979C0" w:rsidRDefault="005979C0" w:rsidP="005979C0">
      <w:pPr>
        <w:pStyle w:val="ListParagraph"/>
        <w:ind w:left="1440"/>
        <w:jc w:val="both"/>
        <w:rPr>
          <w:b/>
          <w:bCs/>
        </w:rPr>
      </w:pPr>
    </w:p>
    <w:p w:rsidR="005979C0" w:rsidRPr="005979C0" w:rsidRDefault="005979C0" w:rsidP="008A473E">
      <w:pPr>
        <w:jc w:val="both"/>
        <w:rPr>
          <w:bCs/>
          <w:u w:val="single"/>
        </w:rPr>
      </w:pPr>
      <w:r w:rsidRPr="005979C0">
        <w:rPr>
          <w:bCs/>
          <w:u w:val="single"/>
        </w:rPr>
        <w:t>Improve</w:t>
      </w:r>
      <w:r w:rsidR="0031006F">
        <w:rPr>
          <w:bCs/>
          <w:u w:val="single"/>
        </w:rPr>
        <w:t>ment of</w:t>
      </w:r>
      <w:r w:rsidRPr="005979C0">
        <w:rPr>
          <w:u w:val="single"/>
        </w:rPr>
        <w:t xml:space="preserve"> </w:t>
      </w:r>
      <w:r w:rsidR="00F75747">
        <w:rPr>
          <w:bCs/>
          <w:u w:val="single"/>
        </w:rPr>
        <w:t>preschool</w:t>
      </w:r>
      <w:r w:rsidRPr="005979C0">
        <w:rPr>
          <w:bCs/>
          <w:u w:val="single"/>
        </w:rPr>
        <w:t xml:space="preserve"> learning conditions and the quality as well as completion of lower secondary education nationwide</w:t>
      </w:r>
      <w:r w:rsidR="008D2A88" w:rsidRPr="008D2A88">
        <w:rPr>
          <w:bCs/>
        </w:rPr>
        <w:t>:</w:t>
      </w:r>
      <w:r w:rsidRPr="005979C0">
        <w:rPr>
          <w:bCs/>
          <w:u w:val="single"/>
        </w:rPr>
        <w:t xml:space="preserve"> </w:t>
      </w:r>
    </w:p>
    <w:p w:rsidR="005979C0" w:rsidRPr="00635705" w:rsidRDefault="00635705" w:rsidP="008A473E">
      <w:pPr>
        <w:pStyle w:val="ListParagraph"/>
        <w:numPr>
          <w:ilvl w:val="0"/>
          <w:numId w:val="2"/>
        </w:numPr>
        <w:ind w:left="0" w:firstLine="0"/>
        <w:jc w:val="both"/>
        <w:rPr>
          <w:bCs/>
        </w:rPr>
      </w:pPr>
      <w:r w:rsidRPr="00635705">
        <w:rPr>
          <w:bCs/>
        </w:rPr>
        <w:t>Learning conditions improved in preschool</w:t>
      </w:r>
      <w:r w:rsidR="00913589">
        <w:rPr>
          <w:bCs/>
        </w:rPr>
        <w:t>.</w:t>
      </w:r>
    </w:p>
    <w:p w:rsidR="00B142A2" w:rsidRPr="008A473E" w:rsidRDefault="003F3F90" w:rsidP="008A473E">
      <w:pPr>
        <w:pStyle w:val="ListParagraph"/>
        <w:numPr>
          <w:ilvl w:val="0"/>
          <w:numId w:val="2"/>
        </w:numPr>
        <w:ind w:left="0" w:firstLine="0"/>
        <w:jc w:val="both"/>
        <w:rPr>
          <w:bCs/>
        </w:rPr>
      </w:pPr>
      <w:r>
        <w:rPr>
          <w:bCs/>
        </w:rPr>
        <w:t xml:space="preserve">Increase in the </w:t>
      </w:r>
      <w:r w:rsidR="00173BA7">
        <w:rPr>
          <w:bCs/>
        </w:rPr>
        <w:t>g</w:t>
      </w:r>
      <w:r w:rsidR="00273ED8">
        <w:rPr>
          <w:bCs/>
        </w:rPr>
        <w:t>rade</w:t>
      </w:r>
      <w:r>
        <w:rPr>
          <w:bCs/>
        </w:rPr>
        <w:t xml:space="preserve"> 9</w:t>
      </w:r>
      <w:r w:rsidR="00273ED8">
        <w:rPr>
          <w:bCs/>
        </w:rPr>
        <w:t xml:space="preserve"> completion rate</w:t>
      </w:r>
      <w:r w:rsidR="00B142A2">
        <w:rPr>
          <w:bCs/>
        </w:rPr>
        <w:t>.</w:t>
      </w:r>
    </w:p>
    <w:p w:rsidR="00B22FAF" w:rsidRPr="008A473E" w:rsidRDefault="007B6243" w:rsidP="002C024E">
      <w:pPr>
        <w:pStyle w:val="ListParagraph"/>
        <w:numPr>
          <w:ilvl w:val="0"/>
          <w:numId w:val="2"/>
        </w:numPr>
        <w:ind w:left="720"/>
        <w:jc w:val="both"/>
        <w:rPr>
          <w:bCs/>
        </w:rPr>
      </w:pPr>
      <w:r>
        <w:rPr>
          <w:bCs/>
        </w:rPr>
        <w:t xml:space="preserve">Increase in the percentage of </w:t>
      </w:r>
      <w:r w:rsidR="00173BA7">
        <w:rPr>
          <w:bCs/>
        </w:rPr>
        <w:t>g</w:t>
      </w:r>
      <w:r w:rsidR="00CA6812">
        <w:rPr>
          <w:bCs/>
        </w:rPr>
        <w:t xml:space="preserve">rade 9 </w:t>
      </w:r>
      <w:r>
        <w:rPr>
          <w:bCs/>
        </w:rPr>
        <w:t>students</w:t>
      </w:r>
      <w:r w:rsidR="00CA6812">
        <w:rPr>
          <w:bCs/>
        </w:rPr>
        <w:t xml:space="preserve"> </w:t>
      </w:r>
      <w:r>
        <w:rPr>
          <w:bCs/>
        </w:rPr>
        <w:t xml:space="preserve">achieving </w:t>
      </w:r>
      <w:r w:rsidR="002E2573">
        <w:rPr>
          <w:bCs/>
        </w:rPr>
        <w:t xml:space="preserve">intermediate, </w:t>
      </w:r>
      <w:r>
        <w:rPr>
          <w:bCs/>
        </w:rPr>
        <w:t>advance</w:t>
      </w:r>
      <w:r w:rsidR="004B201F">
        <w:rPr>
          <w:bCs/>
        </w:rPr>
        <w:t xml:space="preserve">d or </w:t>
      </w:r>
      <w:r>
        <w:rPr>
          <w:bCs/>
        </w:rPr>
        <w:t>exce</w:t>
      </w:r>
      <w:r w:rsidR="00B922C0">
        <w:rPr>
          <w:bCs/>
        </w:rPr>
        <w:t>llen</w:t>
      </w:r>
      <w:r w:rsidR="004B201F">
        <w:rPr>
          <w:bCs/>
        </w:rPr>
        <w:t>t</w:t>
      </w:r>
      <w:r w:rsidR="00B922C0">
        <w:rPr>
          <w:bCs/>
        </w:rPr>
        <w:t xml:space="preserve"> proficiency level</w:t>
      </w:r>
      <w:r w:rsidR="00CA6812">
        <w:rPr>
          <w:bCs/>
        </w:rPr>
        <w:t>s</w:t>
      </w:r>
      <w:r w:rsidR="00B922C0">
        <w:rPr>
          <w:bCs/>
        </w:rPr>
        <w:t xml:space="preserve"> in standardized evaluations for </w:t>
      </w:r>
      <w:r w:rsidR="00B142A2">
        <w:rPr>
          <w:bCs/>
        </w:rPr>
        <w:t>Spanish and Mathematics</w:t>
      </w:r>
      <w:r w:rsidR="009D5DF7">
        <w:rPr>
          <w:bCs/>
        </w:rPr>
        <w:t>.</w:t>
      </w:r>
      <w:r w:rsidR="005D7F31" w:rsidRPr="002577EE">
        <w:rPr>
          <w:bCs/>
        </w:rPr>
        <w:t xml:space="preserve"> </w:t>
      </w:r>
    </w:p>
    <w:p w:rsidR="005515C3" w:rsidRDefault="005515C3" w:rsidP="005515C3">
      <w:pPr>
        <w:pStyle w:val="ListParagraph"/>
        <w:ind w:left="1440"/>
        <w:jc w:val="both"/>
        <w:rPr>
          <w:b/>
          <w:bCs/>
        </w:rPr>
      </w:pPr>
    </w:p>
    <w:p w:rsidR="005E679B" w:rsidRDefault="009E37D1" w:rsidP="005E2993">
      <w:pPr>
        <w:pStyle w:val="Heading1"/>
        <w:numPr>
          <w:ilvl w:val="0"/>
          <w:numId w:val="12"/>
        </w:numPr>
      </w:pPr>
      <w:bookmarkStart w:id="17" w:name="_Toc354067266"/>
      <w:bookmarkEnd w:id="15"/>
      <w:r w:rsidRPr="007507E9">
        <w:t xml:space="preserve">Project </w:t>
      </w:r>
      <w:r w:rsidR="005039B7" w:rsidRPr="007507E9">
        <w:t>Description</w:t>
      </w:r>
      <w:bookmarkEnd w:id="17"/>
    </w:p>
    <w:p w:rsidR="009E37D1" w:rsidRDefault="009E37D1" w:rsidP="005E679B">
      <w:pPr>
        <w:pStyle w:val="Heading1"/>
        <w:ind w:left="720"/>
      </w:pPr>
      <w:r w:rsidRPr="007507E9">
        <w:t xml:space="preserve"> </w:t>
      </w:r>
    </w:p>
    <w:p w:rsidR="008D7AA8" w:rsidRDefault="0043496E" w:rsidP="005E2993">
      <w:pPr>
        <w:pStyle w:val="ListParagraph"/>
        <w:numPr>
          <w:ilvl w:val="0"/>
          <w:numId w:val="24"/>
        </w:numPr>
        <w:ind w:left="0" w:firstLine="0"/>
        <w:jc w:val="both"/>
        <w:rPr>
          <w:bCs/>
        </w:rPr>
      </w:pPr>
      <w:r>
        <w:rPr>
          <w:bCs/>
        </w:rPr>
        <w:t xml:space="preserve">The </w:t>
      </w:r>
      <w:r w:rsidR="000426C1">
        <w:rPr>
          <w:bCs/>
        </w:rPr>
        <w:t xml:space="preserve">Project </w:t>
      </w:r>
      <w:r w:rsidR="00C96F3A">
        <w:rPr>
          <w:bCs/>
        </w:rPr>
        <w:t>would finance</w:t>
      </w:r>
      <w:r w:rsidR="00827FAA">
        <w:rPr>
          <w:bCs/>
        </w:rPr>
        <w:t xml:space="preserve"> </w:t>
      </w:r>
      <w:r w:rsidR="00C96F3A">
        <w:rPr>
          <w:bCs/>
        </w:rPr>
        <w:t>a</w:t>
      </w:r>
      <w:r w:rsidR="004929B5">
        <w:rPr>
          <w:bCs/>
        </w:rPr>
        <w:t xml:space="preserve">ccess-related </w:t>
      </w:r>
      <w:r w:rsidR="008D7AA8" w:rsidRPr="00CC0B3F">
        <w:rPr>
          <w:bCs/>
        </w:rPr>
        <w:t>interventions</w:t>
      </w:r>
      <w:r w:rsidR="0042706C">
        <w:rPr>
          <w:bCs/>
        </w:rPr>
        <w:t xml:space="preserve"> </w:t>
      </w:r>
      <w:r w:rsidR="00827FAA">
        <w:rPr>
          <w:bCs/>
        </w:rPr>
        <w:t>in</w:t>
      </w:r>
      <w:r w:rsidR="0042706C">
        <w:rPr>
          <w:bCs/>
        </w:rPr>
        <w:t xml:space="preserve"> </w:t>
      </w:r>
      <w:r w:rsidR="00175CC1">
        <w:rPr>
          <w:bCs/>
        </w:rPr>
        <w:t>43</w:t>
      </w:r>
      <w:r w:rsidR="0042706C">
        <w:rPr>
          <w:bCs/>
        </w:rPr>
        <w:t xml:space="preserve"> </w:t>
      </w:r>
      <w:r w:rsidR="00827FAA">
        <w:rPr>
          <w:bCs/>
        </w:rPr>
        <w:t>municipalities (out of 153 nationwide)</w:t>
      </w:r>
      <w:r w:rsidR="008D7AA8" w:rsidRPr="00CC0B3F">
        <w:rPr>
          <w:bCs/>
        </w:rPr>
        <w:t xml:space="preserve"> where: (i) poverty levels are highest; (ii) key education indicators are the worst; and (iii) there is </w:t>
      </w:r>
      <w:r w:rsidR="00827FAA">
        <w:rPr>
          <w:bCs/>
        </w:rPr>
        <w:t xml:space="preserve">significant </w:t>
      </w:r>
      <w:r w:rsidR="008D7AA8" w:rsidRPr="00CC0B3F">
        <w:rPr>
          <w:bCs/>
        </w:rPr>
        <w:t xml:space="preserve">unmet demand. </w:t>
      </w:r>
      <w:r w:rsidR="00435804">
        <w:rPr>
          <w:bCs/>
        </w:rPr>
        <w:t xml:space="preserve"> </w:t>
      </w:r>
      <w:r>
        <w:rPr>
          <w:bCs/>
        </w:rPr>
        <w:t xml:space="preserve">Twenty </w:t>
      </w:r>
      <w:r w:rsidR="006D48AD">
        <w:rPr>
          <w:bCs/>
        </w:rPr>
        <w:t xml:space="preserve">five </w:t>
      </w:r>
      <w:r w:rsidR="00D711C4">
        <w:rPr>
          <w:bCs/>
        </w:rPr>
        <w:t xml:space="preserve">of these municipalities are also targeted under PASEN II, which </w:t>
      </w:r>
      <w:r w:rsidR="00636C8C">
        <w:rPr>
          <w:bCs/>
        </w:rPr>
        <w:t>would</w:t>
      </w:r>
      <w:r w:rsidR="00D711C4">
        <w:rPr>
          <w:bCs/>
        </w:rPr>
        <w:t xml:space="preserve"> </w:t>
      </w:r>
      <w:r>
        <w:rPr>
          <w:bCs/>
        </w:rPr>
        <w:t xml:space="preserve">help </w:t>
      </w:r>
      <w:r w:rsidR="00D711C4">
        <w:rPr>
          <w:bCs/>
        </w:rPr>
        <w:t xml:space="preserve">improve </w:t>
      </w:r>
      <w:r w:rsidR="005E09C7">
        <w:rPr>
          <w:bCs/>
        </w:rPr>
        <w:t xml:space="preserve">continuity </w:t>
      </w:r>
      <w:r w:rsidR="005358F7">
        <w:rPr>
          <w:bCs/>
        </w:rPr>
        <w:t xml:space="preserve">and </w:t>
      </w:r>
      <w:r w:rsidR="00D711C4">
        <w:rPr>
          <w:bCs/>
        </w:rPr>
        <w:t xml:space="preserve">vertical integration from </w:t>
      </w:r>
      <w:r w:rsidR="00F75747">
        <w:rPr>
          <w:bCs/>
        </w:rPr>
        <w:t>preschool</w:t>
      </w:r>
      <w:r w:rsidR="00D711C4">
        <w:rPr>
          <w:bCs/>
        </w:rPr>
        <w:t xml:space="preserve"> to primary to secondary education in the neediest municipalities</w:t>
      </w:r>
      <w:r w:rsidR="000426C1">
        <w:rPr>
          <w:bCs/>
        </w:rPr>
        <w:t xml:space="preserve">.  </w:t>
      </w:r>
      <w:r>
        <w:rPr>
          <w:bCs/>
        </w:rPr>
        <w:t>T</w:t>
      </w:r>
      <w:r w:rsidR="00C96F3A">
        <w:rPr>
          <w:bCs/>
        </w:rPr>
        <w:t xml:space="preserve">he Project would </w:t>
      </w:r>
      <w:r>
        <w:rPr>
          <w:bCs/>
        </w:rPr>
        <w:t xml:space="preserve">also </w:t>
      </w:r>
      <w:r w:rsidR="00C96F3A">
        <w:rPr>
          <w:bCs/>
        </w:rPr>
        <w:t>finance q</w:t>
      </w:r>
      <w:r w:rsidR="000426C1" w:rsidRPr="000426C1">
        <w:rPr>
          <w:bCs/>
        </w:rPr>
        <w:t xml:space="preserve">uality-related interventions </w:t>
      </w:r>
      <w:r w:rsidR="00C96F3A">
        <w:rPr>
          <w:bCs/>
        </w:rPr>
        <w:t>with a</w:t>
      </w:r>
      <w:r w:rsidR="000426C1" w:rsidRPr="000426C1">
        <w:rPr>
          <w:bCs/>
        </w:rPr>
        <w:t xml:space="preserve"> nationwide scope, reaching all </w:t>
      </w:r>
      <w:r w:rsidR="00F75747">
        <w:rPr>
          <w:bCs/>
        </w:rPr>
        <w:t>preschool</w:t>
      </w:r>
      <w:r w:rsidR="000426C1" w:rsidRPr="000426C1">
        <w:rPr>
          <w:bCs/>
        </w:rPr>
        <w:t xml:space="preserve"> and secondary level students and teachers.</w:t>
      </w:r>
    </w:p>
    <w:p w:rsidR="00C96F3A" w:rsidRDefault="00C96F3A" w:rsidP="00C96F3A">
      <w:pPr>
        <w:pStyle w:val="ListParagraph"/>
        <w:ind w:left="0"/>
        <w:jc w:val="both"/>
        <w:rPr>
          <w:bCs/>
        </w:rPr>
      </w:pPr>
    </w:p>
    <w:p w:rsidR="00752F9F" w:rsidRDefault="005E679B" w:rsidP="005C611D">
      <w:pPr>
        <w:pStyle w:val="Heading2"/>
        <w:keepLines/>
        <w:numPr>
          <w:ilvl w:val="1"/>
          <w:numId w:val="0"/>
        </w:numPr>
        <w:ind w:left="1080" w:hanging="360"/>
        <w:jc w:val="left"/>
      </w:pPr>
      <w:bookmarkStart w:id="18" w:name="_Toc354067267"/>
      <w:r>
        <w:t>A</w:t>
      </w:r>
      <w:r w:rsidR="008D7AA8">
        <w:t>.</w:t>
      </w:r>
      <w:r>
        <w:t xml:space="preserve"> </w:t>
      </w:r>
      <w:r>
        <w:tab/>
      </w:r>
      <w:r w:rsidR="00E66029">
        <w:t>Project C</w:t>
      </w:r>
      <w:r w:rsidR="009E37D1" w:rsidRPr="005E679B">
        <w:t>omponents</w:t>
      </w:r>
      <w:bookmarkEnd w:id="18"/>
    </w:p>
    <w:p w:rsidR="00AA293C" w:rsidRDefault="00AA293C" w:rsidP="00AA293C"/>
    <w:p w:rsidR="000426C1" w:rsidRDefault="000C16FA" w:rsidP="005E2993">
      <w:pPr>
        <w:pStyle w:val="ListParagraph"/>
        <w:numPr>
          <w:ilvl w:val="0"/>
          <w:numId w:val="24"/>
        </w:numPr>
        <w:ind w:left="0" w:firstLine="0"/>
        <w:jc w:val="both"/>
        <w:rPr>
          <w:bCs/>
        </w:rPr>
      </w:pPr>
      <w:r>
        <w:rPr>
          <w:bCs/>
        </w:rPr>
        <w:t>The</w:t>
      </w:r>
      <w:r w:rsidR="000426C1" w:rsidRPr="000426C1">
        <w:rPr>
          <w:bCs/>
        </w:rPr>
        <w:t xml:space="preserve"> Project</w:t>
      </w:r>
      <w:r w:rsidR="002C024E">
        <w:rPr>
          <w:bCs/>
        </w:rPr>
        <w:t xml:space="preserve"> finances</w:t>
      </w:r>
      <w:r w:rsidR="000D6C7B">
        <w:rPr>
          <w:bCs/>
        </w:rPr>
        <w:t xml:space="preserve"> four</w:t>
      </w:r>
      <w:r w:rsidR="000426C1" w:rsidRPr="000426C1">
        <w:rPr>
          <w:bCs/>
        </w:rPr>
        <w:t xml:space="preserve"> </w:t>
      </w:r>
      <w:r w:rsidR="00C25990">
        <w:rPr>
          <w:bCs/>
        </w:rPr>
        <w:t>Component</w:t>
      </w:r>
      <w:r w:rsidR="000426C1" w:rsidRPr="000426C1">
        <w:rPr>
          <w:bCs/>
        </w:rPr>
        <w:t>s: (i)</w:t>
      </w:r>
      <w:r w:rsidR="000426C1">
        <w:rPr>
          <w:bCs/>
        </w:rPr>
        <w:t xml:space="preserve"> increasing access and </w:t>
      </w:r>
      <w:r w:rsidR="004C7AC4">
        <w:rPr>
          <w:bCs/>
        </w:rPr>
        <w:t xml:space="preserve">improving </w:t>
      </w:r>
      <w:r w:rsidR="000426C1">
        <w:rPr>
          <w:bCs/>
        </w:rPr>
        <w:t xml:space="preserve">learning conditions of </w:t>
      </w:r>
      <w:r w:rsidR="00F75747">
        <w:rPr>
          <w:bCs/>
        </w:rPr>
        <w:t>preschool</w:t>
      </w:r>
      <w:r w:rsidR="000426C1">
        <w:rPr>
          <w:bCs/>
        </w:rPr>
        <w:t xml:space="preserve"> education; (ii)</w:t>
      </w:r>
      <w:r w:rsidR="000426C1" w:rsidRPr="000426C1">
        <w:rPr>
          <w:bCs/>
        </w:rPr>
        <w:t xml:space="preserve"> </w:t>
      </w:r>
      <w:r w:rsidR="000426C1">
        <w:rPr>
          <w:bCs/>
        </w:rPr>
        <w:t xml:space="preserve">improving access, quality and completion of lower secondary education; </w:t>
      </w:r>
      <w:r w:rsidR="000D6C7B">
        <w:rPr>
          <w:bCs/>
        </w:rPr>
        <w:t xml:space="preserve">(iii) </w:t>
      </w:r>
      <w:r w:rsidR="002C024E">
        <w:t>s</w:t>
      </w:r>
      <w:r w:rsidR="006D48AD" w:rsidRPr="0069333F">
        <w:t>trengthening of the Ministry of Education’s Institutional Capacity</w:t>
      </w:r>
      <w:r w:rsidR="00960D7D">
        <w:t xml:space="preserve"> for preschool e</w:t>
      </w:r>
      <w:r w:rsidR="006D48AD" w:rsidRPr="0069333F">
        <w:t>ducation</w:t>
      </w:r>
      <w:r w:rsidR="000D6C7B" w:rsidRPr="0069333F">
        <w:rPr>
          <w:bCs/>
        </w:rPr>
        <w:t xml:space="preserve"> </w:t>
      </w:r>
      <w:r w:rsidR="000D6C7B">
        <w:rPr>
          <w:bCs/>
        </w:rPr>
        <w:t xml:space="preserve">and </w:t>
      </w:r>
      <w:proofErr w:type="gramStart"/>
      <w:r w:rsidR="000D6C7B">
        <w:rPr>
          <w:bCs/>
        </w:rPr>
        <w:t>(iv</w:t>
      </w:r>
      <w:r w:rsidR="000426C1" w:rsidRPr="000426C1">
        <w:rPr>
          <w:bCs/>
        </w:rPr>
        <w:t xml:space="preserve">) </w:t>
      </w:r>
      <w:r w:rsidR="000D6C7B">
        <w:rPr>
          <w:bCs/>
        </w:rPr>
        <w:t>s</w:t>
      </w:r>
      <w:r w:rsidR="000D6C7B" w:rsidRPr="000D6C7B">
        <w:rPr>
          <w:bCs/>
        </w:rPr>
        <w:t>trengthening</w:t>
      </w:r>
      <w:proofErr w:type="gramEnd"/>
      <w:r w:rsidR="000D6C7B" w:rsidRPr="000D6C7B">
        <w:rPr>
          <w:bCs/>
        </w:rPr>
        <w:t xml:space="preserve"> of the </w:t>
      </w:r>
      <w:r w:rsidR="000D6C7B">
        <w:rPr>
          <w:bCs/>
        </w:rPr>
        <w:t>Ministry of Education’s institutional capacity for lower secondary education</w:t>
      </w:r>
      <w:r w:rsidR="000426C1" w:rsidRPr="000426C1">
        <w:rPr>
          <w:bCs/>
        </w:rPr>
        <w:t>.</w:t>
      </w:r>
    </w:p>
    <w:p w:rsidR="007A55AF" w:rsidRPr="000426C1" w:rsidRDefault="007A55AF" w:rsidP="007A55AF">
      <w:pPr>
        <w:pStyle w:val="ListParagraph"/>
        <w:ind w:left="0"/>
        <w:jc w:val="both"/>
        <w:rPr>
          <w:bCs/>
        </w:rPr>
      </w:pPr>
    </w:p>
    <w:p w:rsidR="008D2A88" w:rsidRDefault="00AA293C" w:rsidP="00AA293C">
      <w:pPr>
        <w:rPr>
          <w:b/>
        </w:rPr>
      </w:pPr>
      <w:r>
        <w:rPr>
          <w:b/>
        </w:rPr>
        <w:lastRenderedPageBreak/>
        <w:t xml:space="preserve">Component 1: </w:t>
      </w:r>
      <w:r w:rsidR="00435804">
        <w:rPr>
          <w:b/>
        </w:rPr>
        <w:t xml:space="preserve">Increasing Access and </w:t>
      </w:r>
      <w:r w:rsidR="004C7AC4">
        <w:rPr>
          <w:b/>
        </w:rPr>
        <w:t xml:space="preserve">Improving </w:t>
      </w:r>
      <w:r w:rsidR="00273ED8">
        <w:rPr>
          <w:b/>
        </w:rPr>
        <w:t>Learning Conditions</w:t>
      </w:r>
      <w:r w:rsidR="00573ED0">
        <w:rPr>
          <w:b/>
        </w:rPr>
        <w:t xml:space="preserve"> of </w:t>
      </w:r>
      <w:r w:rsidR="00F75747">
        <w:rPr>
          <w:b/>
        </w:rPr>
        <w:t>Preschool</w:t>
      </w:r>
      <w:r w:rsidR="00573ED0">
        <w:rPr>
          <w:b/>
        </w:rPr>
        <w:t xml:space="preserve"> Education (US</w:t>
      </w:r>
      <w:r w:rsidR="006D48AD">
        <w:rPr>
          <w:b/>
        </w:rPr>
        <w:t>$</w:t>
      </w:r>
      <w:r w:rsidR="00573ED0">
        <w:rPr>
          <w:b/>
        </w:rPr>
        <w:t>1</w:t>
      </w:r>
      <w:r w:rsidR="00D46962">
        <w:rPr>
          <w:b/>
        </w:rPr>
        <w:t>5.9</w:t>
      </w:r>
      <w:r>
        <w:rPr>
          <w:b/>
        </w:rPr>
        <w:t xml:space="preserve"> million)</w:t>
      </w:r>
      <w:r w:rsidR="00D633FF">
        <w:rPr>
          <w:b/>
        </w:rPr>
        <w:t xml:space="preserve"> – financed by the GPE</w:t>
      </w:r>
    </w:p>
    <w:p w:rsidR="00AA293C" w:rsidRPr="00AA293C" w:rsidRDefault="00580997" w:rsidP="00AA293C">
      <w:pPr>
        <w:rPr>
          <w:b/>
        </w:rPr>
      </w:pPr>
      <w:r w:rsidRPr="00580997">
        <w:rPr>
          <w:bCs/>
          <w:vertAlign w:val="superscript"/>
        </w:rPr>
        <w:t xml:space="preserve"> </w:t>
      </w:r>
    </w:p>
    <w:p w:rsidR="00AA293C" w:rsidRPr="00A150A6" w:rsidRDefault="000426C1" w:rsidP="005E2993">
      <w:pPr>
        <w:pStyle w:val="ListParagraph"/>
        <w:numPr>
          <w:ilvl w:val="0"/>
          <w:numId w:val="24"/>
        </w:numPr>
        <w:ind w:left="0" w:firstLine="0"/>
        <w:jc w:val="both"/>
        <w:rPr>
          <w:bCs/>
        </w:rPr>
      </w:pPr>
      <w:r w:rsidRPr="00A150A6">
        <w:rPr>
          <w:bCs/>
        </w:rPr>
        <w:t xml:space="preserve">Component 1 would contribute to increasing access to </w:t>
      </w:r>
      <w:r w:rsidR="00F75747" w:rsidRPr="00A150A6">
        <w:rPr>
          <w:bCs/>
        </w:rPr>
        <w:t>preschool</w:t>
      </w:r>
      <w:r w:rsidRPr="00A150A6">
        <w:rPr>
          <w:bCs/>
        </w:rPr>
        <w:t xml:space="preserve"> education in 43 </w:t>
      </w:r>
      <w:r w:rsidR="00116F52" w:rsidRPr="006D6D68">
        <w:rPr>
          <w:bCs/>
        </w:rPr>
        <w:t>selected</w:t>
      </w:r>
      <w:r w:rsidRPr="00A150A6">
        <w:rPr>
          <w:bCs/>
        </w:rPr>
        <w:t xml:space="preserve"> municipalities and improving </w:t>
      </w:r>
      <w:r w:rsidR="00F75747" w:rsidRPr="00A150A6">
        <w:rPr>
          <w:bCs/>
        </w:rPr>
        <w:t>preschool</w:t>
      </w:r>
      <w:r w:rsidRPr="00A150A6">
        <w:rPr>
          <w:bCs/>
        </w:rPr>
        <w:t xml:space="preserve"> learning conditions nationwide. </w:t>
      </w:r>
      <w:r w:rsidR="00EF066A" w:rsidRPr="00A150A6">
        <w:rPr>
          <w:bCs/>
        </w:rPr>
        <w:t xml:space="preserve"> </w:t>
      </w:r>
      <w:r w:rsidR="004065AE" w:rsidRPr="00A150A6">
        <w:rPr>
          <w:bCs/>
        </w:rPr>
        <w:t xml:space="preserve">This </w:t>
      </w:r>
      <w:r w:rsidR="00C25990">
        <w:rPr>
          <w:bCs/>
        </w:rPr>
        <w:t>Component</w:t>
      </w:r>
      <w:r w:rsidR="004065AE" w:rsidRPr="00A150A6">
        <w:rPr>
          <w:bCs/>
        </w:rPr>
        <w:t xml:space="preserve"> has f</w:t>
      </w:r>
      <w:r w:rsidR="008020EA" w:rsidRPr="00A150A6">
        <w:rPr>
          <w:bCs/>
        </w:rPr>
        <w:t>ive</w:t>
      </w:r>
      <w:r w:rsidR="00EF066A" w:rsidRPr="00A150A6">
        <w:rPr>
          <w:bCs/>
        </w:rPr>
        <w:t xml:space="preserve"> sub-components.</w:t>
      </w:r>
    </w:p>
    <w:p w:rsidR="008E4C1C" w:rsidRDefault="008E4C1C" w:rsidP="00747EBA">
      <w:pPr>
        <w:tabs>
          <w:tab w:val="left" w:pos="540"/>
        </w:tabs>
        <w:jc w:val="both"/>
        <w:rPr>
          <w:bCs/>
          <w:i/>
        </w:rPr>
      </w:pPr>
    </w:p>
    <w:p w:rsidR="00747EBA" w:rsidRPr="003E5A9D" w:rsidRDefault="006D6D68" w:rsidP="00747EBA">
      <w:pPr>
        <w:tabs>
          <w:tab w:val="left" w:pos="540"/>
        </w:tabs>
        <w:jc w:val="both"/>
        <w:rPr>
          <w:bCs/>
          <w:i/>
        </w:rPr>
      </w:pPr>
      <w:r>
        <w:rPr>
          <w:bCs/>
        </w:rPr>
        <w:tab/>
      </w:r>
      <w:r w:rsidR="00747EBA" w:rsidRPr="00A150A6">
        <w:rPr>
          <w:bCs/>
        </w:rPr>
        <w:t>1.1</w:t>
      </w:r>
      <w:r w:rsidR="00BD6326" w:rsidRPr="00A150A6">
        <w:rPr>
          <w:bCs/>
        </w:rPr>
        <w:tab/>
        <w:t>Improving and</w:t>
      </w:r>
      <w:r w:rsidR="00747EBA" w:rsidRPr="00A150A6">
        <w:rPr>
          <w:bCs/>
        </w:rPr>
        <w:t>/</w:t>
      </w:r>
      <w:r w:rsidR="00BD6326" w:rsidRPr="00A150A6">
        <w:rPr>
          <w:bCs/>
        </w:rPr>
        <w:t>or expanding</w:t>
      </w:r>
      <w:r w:rsidR="00747EBA" w:rsidRPr="00A150A6">
        <w:rPr>
          <w:bCs/>
        </w:rPr>
        <w:t xml:space="preserve"> </w:t>
      </w:r>
      <w:r w:rsidR="00F75747" w:rsidRPr="00A150A6">
        <w:rPr>
          <w:bCs/>
        </w:rPr>
        <w:t>Preschool</w:t>
      </w:r>
      <w:r w:rsidR="00747EBA" w:rsidRPr="00A150A6">
        <w:rPr>
          <w:bCs/>
        </w:rPr>
        <w:t xml:space="preserve"> </w:t>
      </w:r>
      <w:r w:rsidR="00CF4AB1" w:rsidRPr="00A150A6">
        <w:rPr>
          <w:bCs/>
        </w:rPr>
        <w:t>Education Infrastructure (US$7.0</w:t>
      </w:r>
      <w:r w:rsidR="00747EBA" w:rsidRPr="00A150A6">
        <w:rPr>
          <w:bCs/>
        </w:rPr>
        <w:t xml:space="preserve"> million)</w:t>
      </w:r>
    </w:p>
    <w:p w:rsidR="00747EBA" w:rsidRPr="003E5A9D" w:rsidRDefault="00747EBA" w:rsidP="00747EBA">
      <w:pPr>
        <w:ind w:left="1080"/>
        <w:jc w:val="both"/>
        <w:rPr>
          <w:bCs/>
        </w:rPr>
      </w:pPr>
    </w:p>
    <w:p w:rsidR="00747EBA" w:rsidRPr="00726A2C" w:rsidRDefault="00747EBA" w:rsidP="00726A2C">
      <w:pPr>
        <w:pStyle w:val="ListParagraph"/>
        <w:numPr>
          <w:ilvl w:val="0"/>
          <w:numId w:val="24"/>
        </w:numPr>
        <w:ind w:left="0" w:firstLine="0"/>
        <w:jc w:val="both"/>
        <w:rPr>
          <w:bCs/>
        </w:rPr>
      </w:pPr>
      <w:r w:rsidRPr="003E5A9D">
        <w:rPr>
          <w:bCs/>
        </w:rPr>
        <w:t xml:space="preserve">This sub-component </w:t>
      </w:r>
      <w:r>
        <w:rPr>
          <w:bCs/>
        </w:rPr>
        <w:t>would support</w:t>
      </w:r>
      <w:r w:rsidRPr="003E5A9D">
        <w:rPr>
          <w:bCs/>
        </w:rPr>
        <w:t xml:space="preserve"> </w:t>
      </w:r>
      <w:r w:rsidR="00787209">
        <w:rPr>
          <w:bCs/>
        </w:rPr>
        <w:t>the c</w:t>
      </w:r>
      <w:r w:rsidR="00787209" w:rsidRPr="00787209">
        <w:rPr>
          <w:bCs/>
        </w:rPr>
        <w:t>onstruction and/or rehabilitation of classrooms</w:t>
      </w:r>
      <w:r w:rsidR="00960D7D">
        <w:rPr>
          <w:bCs/>
        </w:rPr>
        <w:t>,</w:t>
      </w:r>
      <w:r w:rsidR="00787209" w:rsidRPr="00787209">
        <w:rPr>
          <w:bCs/>
        </w:rPr>
        <w:t xml:space="preserve"> learning and complementary fa</w:t>
      </w:r>
      <w:r w:rsidR="00960D7D">
        <w:rPr>
          <w:bCs/>
        </w:rPr>
        <w:t>cilities in s</w:t>
      </w:r>
      <w:r w:rsidR="00787209" w:rsidRPr="00787209">
        <w:rPr>
          <w:bCs/>
        </w:rPr>
        <w:t xml:space="preserve">elected </w:t>
      </w:r>
      <w:r w:rsidR="00960D7D">
        <w:rPr>
          <w:bCs/>
        </w:rPr>
        <w:t>p</w:t>
      </w:r>
      <w:r w:rsidR="002C024E">
        <w:rPr>
          <w:bCs/>
        </w:rPr>
        <w:t>reschools</w:t>
      </w:r>
      <w:r w:rsidR="00787209" w:rsidRPr="00787209">
        <w:rPr>
          <w:bCs/>
        </w:rPr>
        <w:t xml:space="preserve">, including, </w:t>
      </w:r>
      <w:r w:rsidR="00787209" w:rsidRPr="00787209">
        <w:rPr>
          <w:bCs/>
          <w:i/>
        </w:rPr>
        <w:t>inter alia</w:t>
      </w:r>
      <w:r w:rsidR="00787209" w:rsidRPr="00787209">
        <w:rPr>
          <w:bCs/>
        </w:rPr>
        <w:t>, the provisi</w:t>
      </w:r>
      <w:r w:rsidR="00960D7D">
        <w:rPr>
          <w:bCs/>
        </w:rPr>
        <w:t xml:space="preserve">on of </w:t>
      </w:r>
      <w:r w:rsidR="00787209" w:rsidRPr="00787209">
        <w:rPr>
          <w:bCs/>
        </w:rPr>
        <w:t>furniture and equipment</w:t>
      </w:r>
      <w:r w:rsidR="00EE2ABC">
        <w:rPr>
          <w:bCs/>
        </w:rPr>
        <w:t xml:space="preserve"> required therefor</w:t>
      </w:r>
      <w:r w:rsidRPr="003E5A9D">
        <w:rPr>
          <w:bCs/>
        </w:rPr>
        <w:t>.</w:t>
      </w:r>
    </w:p>
    <w:p w:rsidR="00747EBA" w:rsidRDefault="00747EBA" w:rsidP="006A6DB6">
      <w:pPr>
        <w:pStyle w:val="ListParagraph"/>
        <w:ind w:left="0"/>
        <w:jc w:val="both"/>
        <w:rPr>
          <w:bCs/>
        </w:rPr>
      </w:pPr>
    </w:p>
    <w:p w:rsidR="006D6D68" w:rsidRPr="00A150A6" w:rsidRDefault="006D6D68" w:rsidP="00A150A6">
      <w:pPr>
        <w:tabs>
          <w:tab w:val="left" w:pos="540"/>
        </w:tabs>
        <w:jc w:val="both"/>
        <w:rPr>
          <w:bCs/>
        </w:rPr>
      </w:pPr>
      <w:r>
        <w:rPr>
          <w:bCs/>
        </w:rPr>
        <w:tab/>
        <w:t>1.2</w:t>
      </w:r>
      <w:r>
        <w:rPr>
          <w:bCs/>
        </w:rPr>
        <w:tab/>
      </w:r>
      <w:r w:rsidR="003E5A9D" w:rsidRPr="00A150A6">
        <w:rPr>
          <w:bCs/>
        </w:rPr>
        <w:t xml:space="preserve">Development </w:t>
      </w:r>
      <w:r w:rsidR="00751B1F" w:rsidRPr="00A150A6">
        <w:rPr>
          <w:bCs/>
        </w:rPr>
        <w:t>and Alignment of Curricular Instruments</w:t>
      </w:r>
      <w:r w:rsidR="00D46962" w:rsidRPr="00A150A6">
        <w:rPr>
          <w:bCs/>
        </w:rPr>
        <w:t xml:space="preserve"> ($1.7</w:t>
      </w:r>
      <w:r w:rsidR="003E5A9D" w:rsidRPr="00A150A6">
        <w:rPr>
          <w:bCs/>
        </w:rPr>
        <w:t xml:space="preserve"> </w:t>
      </w:r>
      <w:r w:rsidR="00234B5C" w:rsidRPr="00A150A6">
        <w:rPr>
          <w:bCs/>
        </w:rPr>
        <w:t>million)</w:t>
      </w:r>
    </w:p>
    <w:p w:rsidR="00234B5C" w:rsidRDefault="00234B5C" w:rsidP="00234B5C">
      <w:pPr>
        <w:pStyle w:val="ListParagraph"/>
        <w:ind w:left="0"/>
        <w:jc w:val="both"/>
        <w:rPr>
          <w:bCs/>
        </w:rPr>
      </w:pPr>
    </w:p>
    <w:p w:rsidR="00533261" w:rsidRDefault="00C161C6" w:rsidP="00533261">
      <w:pPr>
        <w:pStyle w:val="ListParagraph"/>
        <w:numPr>
          <w:ilvl w:val="0"/>
          <w:numId w:val="24"/>
        </w:numPr>
        <w:ind w:left="0" w:firstLine="0"/>
        <w:jc w:val="both"/>
        <w:rPr>
          <w:bCs/>
        </w:rPr>
      </w:pPr>
      <w:r w:rsidRPr="00FE5ADA">
        <w:rPr>
          <w:bCs/>
        </w:rPr>
        <w:t>T</w:t>
      </w:r>
      <w:r w:rsidRPr="00C161C6">
        <w:rPr>
          <w:bCs/>
        </w:rPr>
        <w:t xml:space="preserve">he sub-component would support </w:t>
      </w:r>
      <w:r w:rsidR="00141E9F">
        <w:rPr>
          <w:bCs/>
        </w:rPr>
        <w:t>the d</w:t>
      </w:r>
      <w:r w:rsidR="00141E9F" w:rsidRPr="00141E9F">
        <w:rPr>
          <w:bCs/>
        </w:rPr>
        <w:t xml:space="preserve">evelopment and alignment of curricular instruments for preschool education, including, </w:t>
      </w:r>
      <w:r w:rsidR="00141E9F" w:rsidRPr="00141E9F">
        <w:rPr>
          <w:bCs/>
          <w:i/>
        </w:rPr>
        <w:t>inter alia</w:t>
      </w:r>
      <w:r w:rsidR="00141E9F" w:rsidRPr="00141E9F">
        <w:rPr>
          <w:bCs/>
        </w:rPr>
        <w:t xml:space="preserve">: (i) the development of a unified curriculum covering the three levels of preschool education; (ii) the alignment of preschool instructional materials </w:t>
      </w:r>
      <w:r w:rsidR="00EE2ABC">
        <w:rPr>
          <w:bCs/>
        </w:rPr>
        <w:t>to</w:t>
      </w:r>
      <w:r w:rsidR="00141E9F" w:rsidRPr="00141E9F">
        <w:rPr>
          <w:bCs/>
        </w:rPr>
        <w:t xml:space="preserve"> the unified curriculum; and (iii) the development of a preschool education training curriculum for teachers</w:t>
      </w:r>
      <w:r w:rsidRPr="00787209">
        <w:rPr>
          <w:bCs/>
        </w:rPr>
        <w:t>.</w:t>
      </w:r>
      <w:r w:rsidR="00984AE8" w:rsidRPr="00026138">
        <w:rPr>
          <w:bCs/>
        </w:rPr>
        <w:t xml:space="preserve"> </w:t>
      </w:r>
    </w:p>
    <w:p w:rsidR="00982630" w:rsidRDefault="00982630" w:rsidP="00982630">
      <w:pPr>
        <w:tabs>
          <w:tab w:val="left" w:pos="540"/>
        </w:tabs>
        <w:jc w:val="both"/>
        <w:rPr>
          <w:bCs/>
          <w:i/>
        </w:rPr>
      </w:pPr>
    </w:p>
    <w:p w:rsidR="006D6D68" w:rsidRPr="00A150A6" w:rsidRDefault="006D6D68">
      <w:pPr>
        <w:tabs>
          <w:tab w:val="left" w:pos="540"/>
        </w:tabs>
        <w:jc w:val="both"/>
        <w:rPr>
          <w:bCs/>
        </w:rPr>
      </w:pPr>
      <w:r>
        <w:rPr>
          <w:bCs/>
        </w:rPr>
        <w:tab/>
      </w:r>
      <w:r w:rsidR="00982630" w:rsidRPr="00A150A6">
        <w:rPr>
          <w:bCs/>
        </w:rPr>
        <w:t>1.3</w:t>
      </w:r>
      <w:r w:rsidR="00982630" w:rsidRPr="00A150A6">
        <w:rPr>
          <w:bCs/>
        </w:rPr>
        <w:tab/>
        <w:t>Training of Preschool Teachers (US$3.7 million)</w:t>
      </w:r>
    </w:p>
    <w:p w:rsidR="00982630" w:rsidRPr="00982630" w:rsidRDefault="00982630" w:rsidP="00A150A6"/>
    <w:p w:rsidR="00982630" w:rsidRPr="00982630" w:rsidRDefault="00982630" w:rsidP="00982630">
      <w:pPr>
        <w:pStyle w:val="ListParagraph"/>
        <w:numPr>
          <w:ilvl w:val="0"/>
          <w:numId w:val="24"/>
        </w:numPr>
        <w:ind w:left="0" w:firstLine="0"/>
        <w:jc w:val="both"/>
        <w:rPr>
          <w:bCs/>
        </w:rPr>
      </w:pPr>
      <w:r w:rsidRPr="00982630">
        <w:rPr>
          <w:bCs/>
        </w:rPr>
        <w:t xml:space="preserve">This sub-component would support </w:t>
      </w:r>
      <w:r w:rsidR="00EE2ABC">
        <w:rPr>
          <w:bCs/>
        </w:rPr>
        <w:t xml:space="preserve">the </w:t>
      </w:r>
      <w:r w:rsidR="006D48AD">
        <w:rPr>
          <w:bCs/>
        </w:rPr>
        <w:t>c</w:t>
      </w:r>
      <w:r w:rsidR="006D48AD" w:rsidRPr="00982630">
        <w:rPr>
          <w:bCs/>
        </w:rPr>
        <w:t xml:space="preserve">arrying </w:t>
      </w:r>
      <w:r w:rsidRPr="00982630">
        <w:rPr>
          <w:bCs/>
        </w:rPr>
        <w:t xml:space="preserve">out of training activities for </w:t>
      </w:r>
      <w:r w:rsidR="00960D7D">
        <w:rPr>
          <w:bCs/>
        </w:rPr>
        <w:t>s</w:t>
      </w:r>
      <w:r w:rsidR="006D48AD">
        <w:rPr>
          <w:bCs/>
        </w:rPr>
        <w:t>elected</w:t>
      </w:r>
      <w:r w:rsidR="006D48AD" w:rsidRPr="00982630">
        <w:rPr>
          <w:bCs/>
        </w:rPr>
        <w:t xml:space="preserve"> </w:t>
      </w:r>
      <w:r w:rsidR="00960D7D">
        <w:rPr>
          <w:bCs/>
        </w:rPr>
        <w:t>preschool education t</w:t>
      </w:r>
      <w:r w:rsidRPr="00982630">
        <w:rPr>
          <w:bCs/>
        </w:rPr>
        <w:t xml:space="preserve">eachers, including, </w:t>
      </w:r>
      <w:r w:rsidRPr="00982630">
        <w:rPr>
          <w:bCs/>
          <w:i/>
        </w:rPr>
        <w:t xml:space="preserve">inter alia:  </w:t>
      </w:r>
      <w:r w:rsidRPr="00982630">
        <w:rPr>
          <w:bCs/>
        </w:rPr>
        <w:t>(i)</w:t>
      </w:r>
      <w:r w:rsidRPr="00982630">
        <w:rPr>
          <w:bCs/>
          <w:i/>
        </w:rPr>
        <w:t xml:space="preserve"> </w:t>
      </w:r>
      <w:r w:rsidRPr="00982630">
        <w:rPr>
          <w:bCs/>
        </w:rPr>
        <w:t xml:space="preserve">certification-based training activities; (ii) </w:t>
      </w:r>
      <w:r w:rsidR="00960D7D">
        <w:rPr>
          <w:bCs/>
        </w:rPr>
        <w:t xml:space="preserve">an </w:t>
      </w:r>
      <w:r w:rsidRPr="00982630">
        <w:rPr>
          <w:bCs/>
        </w:rPr>
        <w:t>in-service training program, including</w:t>
      </w:r>
      <w:r w:rsidR="00EE2ABC">
        <w:rPr>
          <w:bCs/>
        </w:rPr>
        <w:t>,</w:t>
      </w:r>
      <w:r w:rsidRPr="00982630">
        <w:rPr>
          <w:bCs/>
        </w:rPr>
        <w:t xml:space="preserve"> workshops, demonstr</w:t>
      </w:r>
      <w:r w:rsidR="002C024E">
        <w:rPr>
          <w:bCs/>
        </w:rPr>
        <w:t xml:space="preserve">ation classrooms and </w:t>
      </w:r>
      <w:r w:rsidRPr="00982630">
        <w:rPr>
          <w:bCs/>
        </w:rPr>
        <w:t>intra-school teacher exchanges (</w:t>
      </w:r>
      <w:r w:rsidRPr="00982630">
        <w:rPr>
          <w:bCs/>
          <w:i/>
        </w:rPr>
        <w:t>círculos pedagógicos</w:t>
      </w:r>
      <w:r w:rsidRPr="00982630">
        <w:rPr>
          <w:bCs/>
        </w:rPr>
        <w:t xml:space="preserve">); (iii) the provision </w:t>
      </w:r>
      <w:r w:rsidRPr="00982630">
        <w:rPr>
          <w:bCs/>
          <w:lang w:val="en-GB"/>
        </w:rPr>
        <w:t>of training materials and supplies to the Ministry of Education’s monthly teachers’ workshops or TEPCEs (</w:t>
      </w:r>
      <w:r w:rsidRPr="00982630">
        <w:rPr>
          <w:bCs/>
          <w:i/>
          <w:u w:val="single"/>
          <w:lang w:val="en-GB"/>
        </w:rPr>
        <w:t>talleres de evaluación, programación y capacitación educativa</w:t>
      </w:r>
      <w:r w:rsidR="00794CBF">
        <w:rPr>
          <w:bCs/>
          <w:lang w:val="en-GB"/>
        </w:rPr>
        <w:t>)</w:t>
      </w:r>
      <w:r w:rsidRPr="00982630">
        <w:rPr>
          <w:bCs/>
        </w:rPr>
        <w:t xml:space="preserve">. </w:t>
      </w:r>
    </w:p>
    <w:p w:rsidR="00234B5C" w:rsidRPr="00726A2C" w:rsidRDefault="00234B5C" w:rsidP="00726A2C">
      <w:pPr>
        <w:rPr>
          <w:bCs/>
        </w:rPr>
      </w:pPr>
    </w:p>
    <w:p w:rsidR="00234B5C" w:rsidRPr="00A150A6" w:rsidRDefault="006D6D68" w:rsidP="00234B5C">
      <w:pPr>
        <w:tabs>
          <w:tab w:val="left" w:pos="540"/>
        </w:tabs>
        <w:jc w:val="both"/>
        <w:rPr>
          <w:bCs/>
        </w:rPr>
      </w:pPr>
      <w:r>
        <w:rPr>
          <w:bCs/>
        </w:rPr>
        <w:tab/>
      </w:r>
      <w:r w:rsidR="00234B5C" w:rsidRPr="00A150A6">
        <w:rPr>
          <w:bCs/>
        </w:rPr>
        <w:t>1.4</w:t>
      </w:r>
      <w:r>
        <w:rPr>
          <w:bCs/>
        </w:rPr>
        <w:tab/>
      </w:r>
      <w:r w:rsidR="00BD6326" w:rsidRPr="00A150A6">
        <w:rPr>
          <w:bCs/>
        </w:rPr>
        <w:t>Improving</w:t>
      </w:r>
      <w:r w:rsidR="00234B5C" w:rsidRPr="00A150A6">
        <w:rPr>
          <w:bCs/>
        </w:rPr>
        <w:t xml:space="preserve"> Supply of Learning Materials</w:t>
      </w:r>
      <w:r w:rsidR="00234B5C" w:rsidRPr="00A150A6">
        <w:rPr>
          <w:b/>
          <w:bCs/>
        </w:rPr>
        <w:t xml:space="preserve"> </w:t>
      </w:r>
      <w:r w:rsidR="00182557" w:rsidRPr="00A150A6">
        <w:rPr>
          <w:bCs/>
        </w:rPr>
        <w:t>(US$2.9</w:t>
      </w:r>
      <w:r w:rsidR="00234B5C" w:rsidRPr="00A150A6">
        <w:rPr>
          <w:bCs/>
        </w:rPr>
        <w:t xml:space="preserve"> million)</w:t>
      </w:r>
    </w:p>
    <w:p w:rsidR="00234B5C" w:rsidRDefault="00234B5C" w:rsidP="00234B5C">
      <w:pPr>
        <w:pStyle w:val="ListParagraph"/>
        <w:ind w:left="0"/>
        <w:jc w:val="both"/>
        <w:rPr>
          <w:bCs/>
        </w:rPr>
      </w:pPr>
    </w:p>
    <w:p w:rsidR="008020EA" w:rsidRPr="00726A2C" w:rsidRDefault="00234B5C" w:rsidP="00726A2C">
      <w:pPr>
        <w:pStyle w:val="ListParagraph"/>
        <w:numPr>
          <w:ilvl w:val="0"/>
          <w:numId w:val="24"/>
        </w:numPr>
        <w:ind w:left="0" w:firstLine="0"/>
        <w:jc w:val="both"/>
        <w:rPr>
          <w:bCs/>
        </w:rPr>
      </w:pPr>
      <w:r w:rsidRPr="00A757B9">
        <w:rPr>
          <w:bCs/>
        </w:rPr>
        <w:t xml:space="preserve">This sub-component </w:t>
      </w:r>
      <w:r w:rsidR="002F1AA7">
        <w:rPr>
          <w:bCs/>
        </w:rPr>
        <w:t>would support</w:t>
      </w:r>
      <w:r w:rsidRPr="00A757B9">
        <w:rPr>
          <w:bCs/>
        </w:rPr>
        <w:t xml:space="preserve"> the </w:t>
      </w:r>
      <w:r w:rsidR="00141E9F">
        <w:rPr>
          <w:bCs/>
        </w:rPr>
        <w:t>provision</w:t>
      </w:r>
      <w:r w:rsidRPr="00A757B9">
        <w:rPr>
          <w:bCs/>
        </w:rPr>
        <w:t xml:space="preserve"> and distribution of </w:t>
      </w:r>
      <w:r>
        <w:rPr>
          <w:bCs/>
        </w:rPr>
        <w:t xml:space="preserve">learning materials </w:t>
      </w:r>
      <w:r w:rsidR="006042F7" w:rsidRPr="0051408A">
        <w:rPr>
          <w:bCs/>
        </w:rPr>
        <w:t xml:space="preserve">to </w:t>
      </w:r>
      <w:r w:rsidR="00960D7D">
        <w:rPr>
          <w:bCs/>
        </w:rPr>
        <w:t>s</w:t>
      </w:r>
      <w:r w:rsidR="006D48AD">
        <w:rPr>
          <w:bCs/>
        </w:rPr>
        <w:t xml:space="preserve">elected </w:t>
      </w:r>
      <w:r w:rsidR="00960D7D">
        <w:rPr>
          <w:bCs/>
        </w:rPr>
        <w:t>p</w:t>
      </w:r>
      <w:r w:rsidR="006042F7" w:rsidRPr="00103FF5">
        <w:rPr>
          <w:bCs/>
        </w:rPr>
        <w:t xml:space="preserve">reschool </w:t>
      </w:r>
      <w:r w:rsidR="00960D7D">
        <w:rPr>
          <w:bCs/>
        </w:rPr>
        <w:t>s</w:t>
      </w:r>
      <w:r w:rsidR="006042F7" w:rsidRPr="00103FF5">
        <w:rPr>
          <w:bCs/>
        </w:rPr>
        <w:t>tudents.</w:t>
      </w:r>
    </w:p>
    <w:p w:rsidR="00F90555" w:rsidRDefault="00F90555" w:rsidP="00F90555">
      <w:pPr>
        <w:pStyle w:val="ListParagraph"/>
        <w:ind w:left="0"/>
        <w:jc w:val="both"/>
        <w:rPr>
          <w:bCs/>
        </w:rPr>
      </w:pPr>
    </w:p>
    <w:p w:rsidR="004065AE" w:rsidRPr="00411DD5" w:rsidRDefault="006D6D68" w:rsidP="00411DD5">
      <w:pPr>
        <w:autoSpaceDE w:val="0"/>
        <w:autoSpaceDN w:val="0"/>
        <w:adjustRightInd w:val="0"/>
        <w:jc w:val="both"/>
        <w:rPr>
          <w:bCs/>
        </w:rPr>
      </w:pPr>
      <w:r>
        <w:rPr>
          <w:bCs/>
        </w:rPr>
        <w:tab/>
      </w:r>
      <w:r w:rsidR="004065AE" w:rsidRPr="00A150A6">
        <w:rPr>
          <w:bCs/>
        </w:rPr>
        <w:t>1.</w:t>
      </w:r>
      <w:r w:rsidR="008020EA" w:rsidRPr="00A150A6">
        <w:rPr>
          <w:bCs/>
        </w:rPr>
        <w:t>5</w:t>
      </w:r>
      <w:r w:rsidR="004065AE" w:rsidRPr="00A150A6">
        <w:rPr>
          <w:bCs/>
        </w:rPr>
        <w:tab/>
      </w:r>
      <w:r w:rsidR="00D06733">
        <w:rPr>
          <w:bCs/>
        </w:rPr>
        <w:t xml:space="preserve">Development of an </w:t>
      </w:r>
      <w:r w:rsidR="00E15F07" w:rsidRPr="00A150A6">
        <w:rPr>
          <w:bCs/>
        </w:rPr>
        <w:t>Integrated E</w:t>
      </w:r>
      <w:r w:rsidR="00E15F07" w:rsidRPr="00295C05">
        <w:rPr>
          <w:bCs/>
        </w:rPr>
        <w:t xml:space="preserve">arly </w:t>
      </w:r>
      <w:r w:rsidR="00E15F07" w:rsidRPr="00A150A6">
        <w:rPr>
          <w:bCs/>
        </w:rPr>
        <w:t>Childhood D</w:t>
      </w:r>
      <w:r w:rsidR="00E15F07" w:rsidRPr="00295C05">
        <w:rPr>
          <w:bCs/>
        </w:rPr>
        <w:t xml:space="preserve">evelopment </w:t>
      </w:r>
      <w:r w:rsidR="00E15F07" w:rsidRPr="00A150A6">
        <w:rPr>
          <w:bCs/>
        </w:rPr>
        <w:t>Monitoring and E</w:t>
      </w:r>
      <w:r w:rsidR="00E15F07" w:rsidRPr="00295C05">
        <w:rPr>
          <w:bCs/>
        </w:rPr>
        <w:t>valuation system</w:t>
      </w:r>
      <w:r w:rsidR="00E15F07" w:rsidRPr="00411DD5" w:rsidDel="00E15F07">
        <w:rPr>
          <w:bCs/>
        </w:rPr>
        <w:t xml:space="preserve"> </w:t>
      </w:r>
      <w:r w:rsidR="00D46962" w:rsidRPr="00411DD5">
        <w:rPr>
          <w:bCs/>
        </w:rPr>
        <w:t>(US$0.6</w:t>
      </w:r>
      <w:r w:rsidR="004065AE" w:rsidRPr="00411DD5">
        <w:rPr>
          <w:bCs/>
        </w:rPr>
        <w:t xml:space="preserve"> million)</w:t>
      </w:r>
    </w:p>
    <w:p w:rsidR="004065AE" w:rsidRDefault="004065AE" w:rsidP="004065AE">
      <w:pPr>
        <w:pStyle w:val="ListParagraph"/>
        <w:rPr>
          <w:bCs/>
        </w:rPr>
      </w:pPr>
    </w:p>
    <w:p w:rsidR="00234B5C" w:rsidRPr="00726A2C" w:rsidRDefault="003E5A9D" w:rsidP="00726A2C">
      <w:pPr>
        <w:pStyle w:val="ListParagraph"/>
        <w:numPr>
          <w:ilvl w:val="0"/>
          <w:numId w:val="24"/>
        </w:numPr>
        <w:ind w:left="0" w:firstLine="0"/>
        <w:jc w:val="both"/>
        <w:rPr>
          <w:bCs/>
        </w:rPr>
      </w:pPr>
      <w:r>
        <w:rPr>
          <w:bCs/>
        </w:rPr>
        <w:t>T</w:t>
      </w:r>
      <w:r w:rsidR="008020EA">
        <w:rPr>
          <w:bCs/>
        </w:rPr>
        <w:t xml:space="preserve">his sub-component </w:t>
      </w:r>
      <w:r w:rsidR="002F1AA7">
        <w:rPr>
          <w:bCs/>
        </w:rPr>
        <w:t>would support</w:t>
      </w:r>
      <w:r w:rsidR="008020EA">
        <w:rPr>
          <w:bCs/>
        </w:rPr>
        <w:t xml:space="preserve"> </w:t>
      </w:r>
      <w:r w:rsidR="008020EA" w:rsidRPr="001B45F8">
        <w:rPr>
          <w:bCs/>
        </w:rPr>
        <w:t xml:space="preserve">the </w:t>
      </w:r>
      <w:r w:rsidR="008020EA">
        <w:rPr>
          <w:bCs/>
        </w:rPr>
        <w:t>development</w:t>
      </w:r>
      <w:r w:rsidR="008020EA" w:rsidRPr="001B45F8">
        <w:rPr>
          <w:bCs/>
        </w:rPr>
        <w:t xml:space="preserve"> and </w:t>
      </w:r>
      <w:r w:rsidR="00E15F07">
        <w:rPr>
          <w:bCs/>
        </w:rPr>
        <w:t xml:space="preserve">piloting </w:t>
      </w:r>
      <w:r w:rsidR="008020EA" w:rsidRPr="001B45F8">
        <w:rPr>
          <w:bCs/>
        </w:rPr>
        <w:t xml:space="preserve">of </w:t>
      </w:r>
      <w:r w:rsidR="008020EA" w:rsidRPr="00101146">
        <w:rPr>
          <w:bCs/>
        </w:rPr>
        <w:t xml:space="preserve">an </w:t>
      </w:r>
      <w:r w:rsidR="00925258">
        <w:rPr>
          <w:bCs/>
        </w:rPr>
        <w:t>integrated early childhood development monitoring and evaluation system</w:t>
      </w:r>
      <w:r w:rsidR="00E15F07">
        <w:rPr>
          <w:bCs/>
        </w:rPr>
        <w:t xml:space="preserve"> (SEIDI)</w:t>
      </w:r>
      <w:r w:rsidR="00794CBF">
        <w:rPr>
          <w:bCs/>
        </w:rPr>
        <w:t xml:space="preserve"> </w:t>
      </w:r>
      <w:r w:rsidR="00411DD5">
        <w:rPr>
          <w:bCs/>
        </w:rPr>
        <w:t xml:space="preserve">and </w:t>
      </w:r>
      <w:r w:rsidR="00411DD5" w:rsidRPr="00411DD5">
        <w:rPr>
          <w:rFonts w:eastAsia="Calibri"/>
        </w:rPr>
        <w:t xml:space="preserve">implementation </w:t>
      </w:r>
      <w:r w:rsidR="00411DD5">
        <w:rPr>
          <w:rFonts w:eastAsia="Calibri"/>
        </w:rPr>
        <w:t xml:space="preserve">of said system in </w:t>
      </w:r>
      <w:r w:rsidR="00960D7D">
        <w:rPr>
          <w:rFonts w:eastAsia="Calibri"/>
        </w:rPr>
        <w:t>selected m</w:t>
      </w:r>
      <w:r w:rsidR="00411DD5" w:rsidRPr="00411DD5">
        <w:rPr>
          <w:rFonts w:eastAsia="Calibri"/>
        </w:rPr>
        <w:t>unicipalities</w:t>
      </w:r>
      <w:r w:rsidR="008020EA">
        <w:rPr>
          <w:bCs/>
        </w:rPr>
        <w:t>.</w:t>
      </w:r>
    </w:p>
    <w:p w:rsidR="002F094A" w:rsidRDefault="002F094A" w:rsidP="00826FBF">
      <w:pPr>
        <w:widowControl w:val="0"/>
        <w:autoSpaceDE w:val="0"/>
        <w:autoSpaceDN w:val="0"/>
        <w:adjustRightInd w:val="0"/>
        <w:jc w:val="both"/>
        <w:rPr>
          <w:b/>
          <w:bCs/>
        </w:rPr>
      </w:pPr>
    </w:p>
    <w:p w:rsidR="0042706C" w:rsidRDefault="0042706C" w:rsidP="00826FBF">
      <w:pPr>
        <w:widowControl w:val="0"/>
        <w:autoSpaceDE w:val="0"/>
        <w:autoSpaceDN w:val="0"/>
        <w:adjustRightInd w:val="0"/>
        <w:jc w:val="both"/>
        <w:rPr>
          <w:b/>
          <w:bCs/>
        </w:rPr>
      </w:pPr>
    </w:p>
    <w:p w:rsidR="0042706C" w:rsidRDefault="0042706C" w:rsidP="00826FBF">
      <w:pPr>
        <w:widowControl w:val="0"/>
        <w:autoSpaceDE w:val="0"/>
        <w:autoSpaceDN w:val="0"/>
        <w:adjustRightInd w:val="0"/>
        <w:jc w:val="both"/>
        <w:rPr>
          <w:b/>
          <w:bCs/>
        </w:rPr>
      </w:pPr>
    </w:p>
    <w:p w:rsidR="0042706C" w:rsidRDefault="0042706C" w:rsidP="00826FBF">
      <w:pPr>
        <w:widowControl w:val="0"/>
        <w:autoSpaceDE w:val="0"/>
        <w:autoSpaceDN w:val="0"/>
        <w:adjustRightInd w:val="0"/>
        <w:jc w:val="both"/>
        <w:rPr>
          <w:b/>
          <w:bCs/>
        </w:rPr>
      </w:pPr>
    </w:p>
    <w:p w:rsidR="0042706C" w:rsidRDefault="0042706C" w:rsidP="00826FBF">
      <w:pPr>
        <w:widowControl w:val="0"/>
        <w:autoSpaceDE w:val="0"/>
        <w:autoSpaceDN w:val="0"/>
        <w:adjustRightInd w:val="0"/>
        <w:jc w:val="both"/>
        <w:rPr>
          <w:b/>
          <w:bCs/>
        </w:rPr>
      </w:pPr>
    </w:p>
    <w:p w:rsidR="00826FBF" w:rsidRPr="00826FBF" w:rsidRDefault="00826FBF" w:rsidP="00826FBF">
      <w:pPr>
        <w:widowControl w:val="0"/>
        <w:autoSpaceDE w:val="0"/>
        <w:autoSpaceDN w:val="0"/>
        <w:adjustRightInd w:val="0"/>
        <w:jc w:val="both"/>
        <w:rPr>
          <w:b/>
          <w:bCs/>
        </w:rPr>
      </w:pPr>
      <w:r>
        <w:rPr>
          <w:b/>
          <w:bCs/>
        </w:rPr>
        <w:lastRenderedPageBreak/>
        <w:t>Component 2</w:t>
      </w:r>
      <w:r w:rsidRPr="00826FBF">
        <w:rPr>
          <w:b/>
          <w:bCs/>
        </w:rPr>
        <w:t xml:space="preserve">: </w:t>
      </w:r>
      <w:r w:rsidR="00C129B4">
        <w:rPr>
          <w:b/>
          <w:bCs/>
        </w:rPr>
        <w:t>I</w:t>
      </w:r>
      <w:r w:rsidR="000426C1">
        <w:rPr>
          <w:b/>
          <w:bCs/>
        </w:rPr>
        <w:t>mproving</w:t>
      </w:r>
      <w:r w:rsidR="008D6D7C">
        <w:rPr>
          <w:b/>
          <w:bCs/>
        </w:rPr>
        <w:t xml:space="preserve"> Access, </w:t>
      </w:r>
      <w:r>
        <w:rPr>
          <w:b/>
          <w:bCs/>
        </w:rPr>
        <w:t>Quality and Completion</w:t>
      </w:r>
      <w:r w:rsidRPr="00826FBF">
        <w:rPr>
          <w:b/>
          <w:bCs/>
        </w:rPr>
        <w:t xml:space="preserve"> of </w:t>
      </w:r>
      <w:r>
        <w:rPr>
          <w:b/>
          <w:bCs/>
        </w:rPr>
        <w:t>Lower Secondary</w:t>
      </w:r>
      <w:r w:rsidRPr="00826FBF">
        <w:rPr>
          <w:b/>
          <w:bCs/>
        </w:rPr>
        <w:t xml:space="preserve"> Education (US</w:t>
      </w:r>
      <w:r w:rsidR="00573ED0">
        <w:rPr>
          <w:b/>
          <w:bCs/>
        </w:rPr>
        <w:t>$3</w:t>
      </w:r>
      <w:r w:rsidR="00D46962">
        <w:rPr>
          <w:b/>
          <w:bCs/>
        </w:rPr>
        <w:t>3.5</w:t>
      </w:r>
      <w:r w:rsidRPr="00826FBF">
        <w:rPr>
          <w:b/>
          <w:bCs/>
        </w:rPr>
        <w:t xml:space="preserve"> million)</w:t>
      </w:r>
      <w:r w:rsidR="00D633FF">
        <w:rPr>
          <w:b/>
          <w:bCs/>
        </w:rPr>
        <w:t xml:space="preserve"> – financed by the EU</w:t>
      </w:r>
    </w:p>
    <w:p w:rsidR="00826FBF" w:rsidRDefault="00826FBF" w:rsidP="007043FA">
      <w:pPr>
        <w:widowControl w:val="0"/>
        <w:autoSpaceDE w:val="0"/>
        <w:autoSpaceDN w:val="0"/>
        <w:adjustRightInd w:val="0"/>
        <w:jc w:val="both"/>
        <w:rPr>
          <w:bCs/>
          <w:u w:val="single"/>
        </w:rPr>
      </w:pPr>
    </w:p>
    <w:p w:rsidR="00826FBF" w:rsidRPr="008F3FE7" w:rsidRDefault="00EF066A" w:rsidP="005E2993">
      <w:pPr>
        <w:pStyle w:val="ListParagraph"/>
        <w:numPr>
          <w:ilvl w:val="0"/>
          <w:numId w:val="24"/>
        </w:numPr>
        <w:ind w:left="0" w:firstLine="0"/>
        <w:jc w:val="both"/>
        <w:rPr>
          <w:bCs/>
        </w:rPr>
      </w:pPr>
      <w:r w:rsidRPr="008F3FE7">
        <w:rPr>
          <w:bCs/>
        </w:rPr>
        <w:t>Component 2 would contribute to increasing access to lower-secondary education in</w:t>
      </w:r>
      <w:r w:rsidR="00C96F3A" w:rsidRPr="008F3FE7">
        <w:rPr>
          <w:bCs/>
        </w:rPr>
        <w:t xml:space="preserve"> the</w:t>
      </w:r>
      <w:r w:rsidRPr="008F3FE7">
        <w:rPr>
          <w:bCs/>
        </w:rPr>
        <w:t xml:space="preserve"> 43 </w:t>
      </w:r>
      <w:r w:rsidR="006042F7" w:rsidRPr="00295C05">
        <w:rPr>
          <w:bCs/>
        </w:rPr>
        <w:t>selected</w:t>
      </w:r>
      <w:r w:rsidRPr="008F3FE7">
        <w:rPr>
          <w:bCs/>
        </w:rPr>
        <w:t xml:space="preserve"> municipalities and improving </w:t>
      </w:r>
      <w:r w:rsidR="00FF79AE" w:rsidRPr="008F3FE7">
        <w:rPr>
          <w:bCs/>
        </w:rPr>
        <w:t xml:space="preserve">quality and completion of lower </w:t>
      </w:r>
      <w:r w:rsidRPr="008F3FE7">
        <w:rPr>
          <w:bCs/>
        </w:rPr>
        <w:t>secondary education</w:t>
      </w:r>
      <w:r w:rsidR="00C96F3A" w:rsidRPr="008F3FE7">
        <w:rPr>
          <w:bCs/>
        </w:rPr>
        <w:t xml:space="preserve"> nationwide</w:t>
      </w:r>
      <w:r w:rsidRPr="008F3FE7">
        <w:rPr>
          <w:bCs/>
        </w:rPr>
        <w:t xml:space="preserve">.  </w:t>
      </w:r>
      <w:r w:rsidR="00C25990">
        <w:rPr>
          <w:bCs/>
        </w:rPr>
        <w:t>This C</w:t>
      </w:r>
      <w:r w:rsidR="004065AE" w:rsidRPr="008F3FE7">
        <w:rPr>
          <w:bCs/>
        </w:rPr>
        <w:t>om</w:t>
      </w:r>
      <w:r w:rsidRPr="008F3FE7">
        <w:rPr>
          <w:bCs/>
        </w:rPr>
        <w:t>ponent has three sub-components.</w:t>
      </w:r>
    </w:p>
    <w:p w:rsidR="00747EBA" w:rsidRPr="00295C05" w:rsidRDefault="00747EBA" w:rsidP="007043FA">
      <w:pPr>
        <w:widowControl w:val="0"/>
        <w:autoSpaceDE w:val="0"/>
        <w:autoSpaceDN w:val="0"/>
        <w:adjustRightInd w:val="0"/>
        <w:jc w:val="both"/>
        <w:rPr>
          <w:bCs/>
          <w:u w:val="single"/>
        </w:rPr>
      </w:pPr>
    </w:p>
    <w:p w:rsidR="00FC43CD" w:rsidRPr="008F3FE7" w:rsidRDefault="006D6D68" w:rsidP="00FC43CD">
      <w:pPr>
        <w:widowControl w:val="0"/>
        <w:tabs>
          <w:tab w:val="left" w:pos="540"/>
        </w:tabs>
        <w:autoSpaceDE w:val="0"/>
        <w:autoSpaceDN w:val="0"/>
        <w:adjustRightInd w:val="0"/>
        <w:jc w:val="both"/>
        <w:rPr>
          <w:bCs/>
        </w:rPr>
      </w:pPr>
      <w:r>
        <w:rPr>
          <w:bCs/>
        </w:rPr>
        <w:tab/>
      </w:r>
      <w:r w:rsidR="00FC43CD" w:rsidRPr="008F3FE7">
        <w:rPr>
          <w:bCs/>
        </w:rPr>
        <w:t>2.1</w:t>
      </w:r>
      <w:r w:rsidR="00FC43CD" w:rsidRPr="008F3FE7">
        <w:rPr>
          <w:bCs/>
        </w:rPr>
        <w:tab/>
      </w:r>
      <w:r w:rsidR="00876422" w:rsidRPr="008F3FE7">
        <w:rPr>
          <w:bCs/>
        </w:rPr>
        <w:t>Improving and</w:t>
      </w:r>
      <w:r w:rsidR="00FC43CD" w:rsidRPr="008F3FE7">
        <w:rPr>
          <w:bCs/>
        </w:rPr>
        <w:t>/</w:t>
      </w:r>
      <w:r w:rsidR="00876422" w:rsidRPr="008F3FE7">
        <w:rPr>
          <w:bCs/>
        </w:rPr>
        <w:t>or Expanding</w:t>
      </w:r>
      <w:r w:rsidR="00FC43CD" w:rsidRPr="008F3FE7">
        <w:rPr>
          <w:bCs/>
        </w:rPr>
        <w:t xml:space="preserve"> Lower Secondary Education Infrastructure (US$2</w:t>
      </w:r>
      <w:r w:rsidR="00D46962" w:rsidRPr="008F3FE7">
        <w:rPr>
          <w:bCs/>
        </w:rPr>
        <w:t>6.5</w:t>
      </w:r>
      <w:r w:rsidR="00FC43CD" w:rsidRPr="008F3FE7">
        <w:rPr>
          <w:bCs/>
        </w:rPr>
        <w:t xml:space="preserve"> million)</w:t>
      </w:r>
    </w:p>
    <w:p w:rsidR="00FC43CD" w:rsidRDefault="00FC43CD" w:rsidP="007043FA">
      <w:pPr>
        <w:widowControl w:val="0"/>
        <w:autoSpaceDE w:val="0"/>
        <w:autoSpaceDN w:val="0"/>
        <w:adjustRightInd w:val="0"/>
        <w:jc w:val="both"/>
        <w:rPr>
          <w:bCs/>
          <w:u w:val="single"/>
        </w:rPr>
      </w:pPr>
    </w:p>
    <w:p w:rsidR="00FC43CD" w:rsidRPr="00726A2C" w:rsidRDefault="00FC43CD" w:rsidP="00726A2C">
      <w:pPr>
        <w:pStyle w:val="ListParagraph"/>
        <w:numPr>
          <w:ilvl w:val="0"/>
          <w:numId w:val="24"/>
        </w:numPr>
        <w:ind w:left="0" w:firstLine="0"/>
        <w:jc w:val="both"/>
      </w:pPr>
      <w:r w:rsidRPr="00CF63AB">
        <w:rPr>
          <w:bCs/>
          <w:lang w:val="en-GB"/>
        </w:rPr>
        <w:t xml:space="preserve">This </w:t>
      </w:r>
      <w:r w:rsidR="008863B6" w:rsidRPr="00CF63AB">
        <w:rPr>
          <w:bCs/>
          <w:lang w:val="en-GB"/>
        </w:rPr>
        <w:t>sub-</w:t>
      </w:r>
      <w:r w:rsidRPr="00CF63AB">
        <w:rPr>
          <w:bCs/>
          <w:lang w:val="en-GB"/>
        </w:rPr>
        <w:t xml:space="preserve">component </w:t>
      </w:r>
      <w:r w:rsidR="002F1AA7" w:rsidRPr="00CF63AB">
        <w:rPr>
          <w:bCs/>
          <w:lang w:val="en-GB"/>
        </w:rPr>
        <w:t>would support</w:t>
      </w:r>
      <w:r w:rsidR="0015014A" w:rsidRPr="00CF63AB">
        <w:rPr>
          <w:bCs/>
          <w:lang w:val="en-GB"/>
        </w:rPr>
        <w:t xml:space="preserve"> </w:t>
      </w:r>
      <w:r w:rsidR="000F43E5">
        <w:rPr>
          <w:bCs/>
          <w:lang w:val="en-GB"/>
        </w:rPr>
        <w:t xml:space="preserve">the </w:t>
      </w:r>
      <w:r w:rsidR="0015014A" w:rsidRPr="00CF63AB">
        <w:rPr>
          <w:bCs/>
          <w:lang w:val="en-GB"/>
        </w:rPr>
        <w:t>improvement and/or expanding of lower secondary education infrastructure, through: (i) the construction and/or rehabilitation of classroom</w:t>
      </w:r>
      <w:r w:rsidR="00C10936">
        <w:rPr>
          <w:bCs/>
          <w:lang w:val="en-GB"/>
        </w:rPr>
        <w:t>s</w:t>
      </w:r>
      <w:r w:rsidR="0015014A" w:rsidRPr="00CF63AB">
        <w:rPr>
          <w:bCs/>
          <w:lang w:val="en-GB"/>
        </w:rPr>
        <w:t>, learning a</w:t>
      </w:r>
      <w:r w:rsidR="00C55601">
        <w:rPr>
          <w:bCs/>
          <w:lang w:val="en-GB"/>
        </w:rPr>
        <w:t>nd complementary facilities in s</w:t>
      </w:r>
      <w:r w:rsidR="0015014A" w:rsidRPr="00CF63AB">
        <w:rPr>
          <w:bCs/>
          <w:lang w:val="en-GB"/>
        </w:rPr>
        <w:t xml:space="preserve">elected </w:t>
      </w:r>
      <w:r w:rsidR="00C55601">
        <w:rPr>
          <w:bCs/>
          <w:lang w:val="en-GB"/>
        </w:rPr>
        <w:t>lower secondary s</w:t>
      </w:r>
      <w:r w:rsidR="0015014A" w:rsidRPr="00CF63AB">
        <w:rPr>
          <w:bCs/>
          <w:lang w:val="en-GB"/>
        </w:rPr>
        <w:t xml:space="preserve">chools; (ii) the provision of </w:t>
      </w:r>
      <w:r w:rsidR="00C10936">
        <w:rPr>
          <w:bCs/>
          <w:lang w:val="en-GB"/>
        </w:rPr>
        <w:t xml:space="preserve">furniture and equipment to </w:t>
      </w:r>
      <w:r w:rsidR="00C55601">
        <w:rPr>
          <w:bCs/>
          <w:lang w:val="en-GB"/>
        </w:rPr>
        <w:t>s</w:t>
      </w:r>
      <w:r w:rsidR="0015014A" w:rsidRPr="00CF63AB">
        <w:rPr>
          <w:bCs/>
          <w:lang w:val="en-GB"/>
        </w:rPr>
        <w:t xml:space="preserve">elected </w:t>
      </w:r>
      <w:r w:rsidR="00C55601">
        <w:rPr>
          <w:bCs/>
          <w:lang w:val="en-GB"/>
        </w:rPr>
        <w:t>lower secondary</w:t>
      </w:r>
      <w:r w:rsidR="00C10936">
        <w:rPr>
          <w:bCs/>
          <w:lang w:val="en-GB"/>
        </w:rPr>
        <w:t xml:space="preserve"> education</w:t>
      </w:r>
      <w:r w:rsidR="00C55601">
        <w:rPr>
          <w:bCs/>
          <w:lang w:val="en-GB"/>
        </w:rPr>
        <w:t xml:space="preserve"> s</w:t>
      </w:r>
      <w:r w:rsidR="0015014A" w:rsidRPr="00CF63AB">
        <w:rPr>
          <w:bCs/>
          <w:lang w:val="en-GB"/>
        </w:rPr>
        <w:t>chools and (iii</w:t>
      </w:r>
      <w:r w:rsidR="0015014A" w:rsidRPr="00CF63AB">
        <w:t>) the preparation of infrastruc</w:t>
      </w:r>
      <w:r w:rsidR="00C55601">
        <w:t>ture maintenance plans for s</w:t>
      </w:r>
      <w:r w:rsidR="0015014A" w:rsidRPr="00CF63AB">
        <w:t>elected</w:t>
      </w:r>
      <w:r w:rsidR="00C55601">
        <w:t xml:space="preserve"> </w:t>
      </w:r>
      <w:r w:rsidR="00C55601">
        <w:rPr>
          <w:bCs/>
          <w:lang w:val="en-GB"/>
        </w:rPr>
        <w:t>lower secondary</w:t>
      </w:r>
      <w:r w:rsidR="00C10936">
        <w:rPr>
          <w:bCs/>
          <w:lang w:val="en-GB"/>
        </w:rPr>
        <w:t xml:space="preserve"> education</w:t>
      </w:r>
      <w:r w:rsidR="00C55601">
        <w:rPr>
          <w:bCs/>
          <w:lang w:val="en-GB"/>
        </w:rPr>
        <w:t xml:space="preserve"> s</w:t>
      </w:r>
      <w:r w:rsidR="00C55601" w:rsidRPr="00CF63AB">
        <w:rPr>
          <w:bCs/>
          <w:lang w:val="en-GB"/>
        </w:rPr>
        <w:t>chools</w:t>
      </w:r>
      <w:r w:rsidR="0015014A" w:rsidRPr="00CF63AB">
        <w:t xml:space="preserve">, including the provision of technical assistance to local school-based communities for the implementation of said plans. </w:t>
      </w:r>
      <w:r w:rsidR="003116A2" w:rsidRPr="00726A2C">
        <w:rPr>
          <w:bCs/>
        </w:rPr>
        <w:t xml:space="preserve">   </w:t>
      </w:r>
      <w:r w:rsidRPr="00726A2C">
        <w:rPr>
          <w:bCs/>
        </w:rPr>
        <w:t xml:space="preserve"> </w:t>
      </w:r>
    </w:p>
    <w:p w:rsidR="00FC43CD" w:rsidRDefault="00FC43CD" w:rsidP="007043FA">
      <w:pPr>
        <w:widowControl w:val="0"/>
        <w:autoSpaceDE w:val="0"/>
        <w:autoSpaceDN w:val="0"/>
        <w:adjustRightInd w:val="0"/>
        <w:jc w:val="both"/>
        <w:rPr>
          <w:bCs/>
          <w:u w:val="single"/>
        </w:rPr>
      </w:pPr>
    </w:p>
    <w:p w:rsidR="003116A2" w:rsidRPr="008F3FE7" w:rsidRDefault="006D6D68" w:rsidP="008F3FE7">
      <w:pPr>
        <w:widowControl w:val="0"/>
        <w:tabs>
          <w:tab w:val="left" w:pos="540"/>
        </w:tabs>
        <w:autoSpaceDE w:val="0"/>
        <w:autoSpaceDN w:val="0"/>
        <w:adjustRightInd w:val="0"/>
        <w:jc w:val="both"/>
        <w:rPr>
          <w:bCs/>
        </w:rPr>
      </w:pPr>
      <w:r>
        <w:rPr>
          <w:bCs/>
        </w:rPr>
        <w:tab/>
        <w:t>2.2</w:t>
      </w:r>
      <w:r>
        <w:rPr>
          <w:bCs/>
        </w:rPr>
        <w:tab/>
      </w:r>
      <w:r w:rsidR="003116A2" w:rsidRPr="008F3FE7">
        <w:rPr>
          <w:bCs/>
        </w:rPr>
        <w:t xml:space="preserve">Improving </w:t>
      </w:r>
      <w:r w:rsidR="00876422" w:rsidRPr="008F3FE7">
        <w:rPr>
          <w:bCs/>
        </w:rPr>
        <w:t xml:space="preserve">Teacher </w:t>
      </w:r>
      <w:r w:rsidR="003116A2" w:rsidRPr="008F3FE7">
        <w:rPr>
          <w:bCs/>
        </w:rPr>
        <w:t>Effectiveness</w:t>
      </w:r>
      <w:r w:rsidR="00876422" w:rsidRPr="008F3FE7">
        <w:rPr>
          <w:bCs/>
        </w:rPr>
        <w:t xml:space="preserve"> in Secondary Education</w:t>
      </w:r>
      <w:r w:rsidR="003116A2" w:rsidRPr="008F3FE7">
        <w:rPr>
          <w:bCs/>
        </w:rPr>
        <w:t xml:space="preserve"> (US$</w:t>
      </w:r>
      <w:r w:rsidR="00B2552A" w:rsidRPr="008F3FE7">
        <w:rPr>
          <w:bCs/>
        </w:rPr>
        <w:t>3.3</w:t>
      </w:r>
      <w:r w:rsidR="003116A2" w:rsidRPr="008F3FE7">
        <w:rPr>
          <w:bCs/>
        </w:rPr>
        <w:t xml:space="preserve"> million)</w:t>
      </w:r>
    </w:p>
    <w:p w:rsidR="00FC43CD" w:rsidRDefault="00FC43CD" w:rsidP="007043FA">
      <w:pPr>
        <w:widowControl w:val="0"/>
        <w:autoSpaceDE w:val="0"/>
        <w:autoSpaceDN w:val="0"/>
        <w:adjustRightInd w:val="0"/>
        <w:jc w:val="both"/>
        <w:rPr>
          <w:bCs/>
          <w:u w:val="single"/>
        </w:rPr>
      </w:pPr>
    </w:p>
    <w:p w:rsidR="00B2552A" w:rsidRPr="00726A2C" w:rsidRDefault="007C3B1E" w:rsidP="00726A2C">
      <w:pPr>
        <w:pStyle w:val="ListParagraph"/>
        <w:numPr>
          <w:ilvl w:val="0"/>
          <w:numId w:val="24"/>
        </w:numPr>
        <w:ind w:left="0" w:firstLine="0"/>
        <w:jc w:val="both"/>
        <w:rPr>
          <w:bCs/>
        </w:rPr>
      </w:pPr>
      <w:r w:rsidRPr="00BB0EF0">
        <w:rPr>
          <w:bCs/>
        </w:rPr>
        <w:t>This sub-component would support</w:t>
      </w:r>
      <w:r w:rsidR="00794CBF">
        <w:rPr>
          <w:bCs/>
        </w:rPr>
        <w:t xml:space="preserve"> </w:t>
      </w:r>
      <w:r w:rsidR="000F43E5">
        <w:rPr>
          <w:bCs/>
        </w:rPr>
        <w:t xml:space="preserve">the </w:t>
      </w:r>
      <w:r w:rsidR="00794CBF">
        <w:rPr>
          <w:bCs/>
        </w:rPr>
        <w:t>improvement of teacher effectiveness in lower secondary education, through</w:t>
      </w:r>
      <w:r w:rsidR="001D517B" w:rsidRPr="00BB0EF0">
        <w:rPr>
          <w:bCs/>
        </w:rPr>
        <w:t xml:space="preserve">: </w:t>
      </w:r>
      <w:r w:rsidR="00772E36" w:rsidRPr="00CF63AB">
        <w:rPr>
          <w:bCs/>
        </w:rPr>
        <w:t xml:space="preserve">(i) the carrying </w:t>
      </w:r>
      <w:r w:rsidR="00C55601">
        <w:rPr>
          <w:bCs/>
        </w:rPr>
        <w:t>out of training activities for s</w:t>
      </w:r>
      <w:r w:rsidR="00772E36" w:rsidRPr="00CF63AB">
        <w:rPr>
          <w:bCs/>
        </w:rPr>
        <w:t xml:space="preserve">elected </w:t>
      </w:r>
      <w:r w:rsidR="00C55601">
        <w:rPr>
          <w:bCs/>
        </w:rPr>
        <w:t>lower secondary education t</w:t>
      </w:r>
      <w:r w:rsidR="00772E36" w:rsidRPr="00CF63AB">
        <w:rPr>
          <w:bCs/>
        </w:rPr>
        <w:t>eachers on the app</w:t>
      </w:r>
      <w:r w:rsidR="00C10936">
        <w:rPr>
          <w:bCs/>
        </w:rPr>
        <w:t xml:space="preserve">lication of the Recipient’s new </w:t>
      </w:r>
      <w:r w:rsidR="00772E36" w:rsidRPr="00CF63AB">
        <w:rPr>
          <w:bCs/>
        </w:rPr>
        <w:t>lower</w:t>
      </w:r>
      <w:r w:rsidR="00C10936">
        <w:rPr>
          <w:bCs/>
        </w:rPr>
        <w:t xml:space="preserve"> secondary</w:t>
      </w:r>
      <w:r w:rsidR="00772E36" w:rsidRPr="00CF63AB">
        <w:rPr>
          <w:bCs/>
        </w:rPr>
        <w:t xml:space="preserve"> education curriculum, including, </w:t>
      </w:r>
      <w:r w:rsidR="00772E36" w:rsidRPr="00C10936">
        <w:rPr>
          <w:bCs/>
          <w:i/>
        </w:rPr>
        <w:t>inter alia</w:t>
      </w:r>
      <w:r w:rsidR="00772E36" w:rsidRPr="00CF63AB">
        <w:rPr>
          <w:bCs/>
        </w:rPr>
        <w:t xml:space="preserve">: </w:t>
      </w:r>
      <w:r w:rsidR="00772E36" w:rsidRPr="00772E36">
        <w:rPr>
          <w:bCs/>
        </w:rPr>
        <w:t xml:space="preserve"> </w:t>
      </w:r>
      <w:r w:rsidR="00772E36" w:rsidRPr="00CF63AB">
        <w:rPr>
          <w:bCs/>
        </w:rPr>
        <w:t xml:space="preserve">(A) a certification-based training for </w:t>
      </w:r>
      <w:r w:rsidR="00C55601">
        <w:rPr>
          <w:bCs/>
        </w:rPr>
        <w:t>selected lower secondary education</w:t>
      </w:r>
      <w:r w:rsidR="00772E36" w:rsidRPr="00CF63AB">
        <w:rPr>
          <w:bCs/>
        </w:rPr>
        <w:t xml:space="preserve"> teacher</w:t>
      </w:r>
      <w:r w:rsidR="00772E36">
        <w:rPr>
          <w:bCs/>
        </w:rPr>
        <w:t>s</w:t>
      </w:r>
      <w:r w:rsidR="00772E36" w:rsidRPr="00CF63AB">
        <w:rPr>
          <w:bCs/>
        </w:rPr>
        <w:t xml:space="preserve">; (B) an in-service training program, focusing on, </w:t>
      </w:r>
      <w:r w:rsidR="00772E36" w:rsidRPr="00794CBF">
        <w:rPr>
          <w:bCs/>
          <w:i/>
        </w:rPr>
        <w:t>inter alia</w:t>
      </w:r>
      <w:r w:rsidR="00772E36" w:rsidRPr="00CF63AB">
        <w:rPr>
          <w:bCs/>
        </w:rPr>
        <w:t>, mathematics, natural sciences, langu</w:t>
      </w:r>
      <w:r w:rsidR="00C55601">
        <w:rPr>
          <w:bCs/>
        </w:rPr>
        <w:t>age and literature for selected</w:t>
      </w:r>
      <w:r w:rsidR="00772E36" w:rsidRPr="00CF63AB">
        <w:rPr>
          <w:bCs/>
        </w:rPr>
        <w:t xml:space="preserve"> </w:t>
      </w:r>
      <w:r w:rsidR="00C55601">
        <w:rPr>
          <w:bCs/>
        </w:rPr>
        <w:t xml:space="preserve">lower </w:t>
      </w:r>
      <w:r w:rsidR="00772E36" w:rsidRPr="00CF63AB">
        <w:rPr>
          <w:bCs/>
        </w:rPr>
        <w:t xml:space="preserve">secondary </w:t>
      </w:r>
      <w:r w:rsidR="00C55601">
        <w:rPr>
          <w:bCs/>
        </w:rPr>
        <w:t xml:space="preserve">education </w:t>
      </w:r>
      <w:r w:rsidR="00772E36" w:rsidRPr="00CF63AB">
        <w:rPr>
          <w:bCs/>
        </w:rPr>
        <w:t xml:space="preserve">teachers; (C) an  information and communication technology (ICT) training for </w:t>
      </w:r>
      <w:r w:rsidR="00C55601">
        <w:rPr>
          <w:bCs/>
        </w:rPr>
        <w:t>selected</w:t>
      </w:r>
      <w:r w:rsidR="00C55601" w:rsidRPr="00CF63AB">
        <w:rPr>
          <w:bCs/>
        </w:rPr>
        <w:t xml:space="preserve"> </w:t>
      </w:r>
      <w:r w:rsidR="00C55601">
        <w:rPr>
          <w:bCs/>
        </w:rPr>
        <w:t xml:space="preserve">lower </w:t>
      </w:r>
      <w:r w:rsidR="00C55601" w:rsidRPr="00CF63AB">
        <w:rPr>
          <w:bCs/>
        </w:rPr>
        <w:t xml:space="preserve">secondary </w:t>
      </w:r>
      <w:r w:rsidR="00C55601">
        <w:rPr>
          <w:bCs/>
        </w:rPr>
        <w:t xml:space="preserve">education </w:t>
      </w:r>
      <w:r w:rsidR="00C55601" w:rsidRPr="00CF63AB">
        <w:rPr>
          <w:bCs/>
        </w:rPr>
        <w:t>teachers</w:t>
      </w:r>
      <w:r w:rsidR="00772E36" w:rsidRPr="00CF63AB">
        <w:rPr>
          <w:bCs/>
        </w:rPr>
        <w:t xml:space="preserve"> working in </w:t>
      </w:r>
      <w:r w:rsidR="00C10936">
        <w:rPr>
          <w:bCs/>
        </w:rPr>
        <w:t xml:space="preserve">lower secondary education </w:t>
      </w:r>
      <w:r w:rsidR="00772E36" w:rsidRPr="00CF63AB">
        <w:rPr>
          <w:bCs/>
        </w:rPr>
        <w:t>schools with access to ICT equipment; (D) the provision of training materials and supplies to the Ministry of Education’s monthly teachers’ workshops or TEPCEs (</w:t>
      </w:r>
      <w:r w:rsidR="00772E36" w:rsidRPr="00CF63AB">
        <w:rPr>
          <w:bCs/>
          <w:i/>
        </w:rPr>
        <w:t>talleres de evaluación, programación y capacitación educativa</w:t>
      </w:r>
      <w:r w:rsidR="00772E36" w:rsidRPr="00CF63AB">
        <w:rPr>
          <w:bCs/>
        </w:rPr>
        <w:t>); and (E) the preparation and production of reference materials, teaching materials and training of trainers materials;  and (ii)  the carrying out of a results-focused monitoring and evaluation plan for the learning and tra</w:t>
      </w:r>
      <w:r w:rsidR="00772E36" w:rsidRPr="00772E36">
        <w:rPr>
          <w:bCs/>
        </w:rPr>
        <w:t xml:space="preserve">ining activities under </w:t>
      </w:r>
      <w:r w:rsidR="00772E36">
        <w:rPr>
          <w:bCs/>
        </w:rPr>
        <w:t>Component</w:t>
      </w:r>
      <w:r w:rsidR="00772E36" w:rsidRPr="00CF63AB">
        <w:rPr>
          <w:bCs/>
        </w:rPr>
        <w:t xml:space="preserve"> 2 of  the Project.</w:t>
      </w:r>
      <w:r w:rsidR="00772E36" w:rsidRPr="00772E36">
        <w:rPr>
          <w:sz w:val="22"/>
          <w:szCs w:val="22"/>
        </w:rPr>
        <w:t xml:space="preserve">  </w:t>
      </w:r>
      <w:r w:rsidRPr="00726A2C">
        <w:rPr>
          <w:bCs/>
        </w:rPr>
        <w:t xml:space="preserve"> </w:t>
      </w:r>
    </w:p>
    <w:p w:rsidR="006327B4" w:rsidRPr="002A1C96" w:rsidRDefault="006327B4" w:rsidP="00B2552A">
      <w:pPr>
        <w:pStyle w:val="ListParagraph"/>
        <w:ind w:left="0"/>
        <w:jc w:val="both"/>
        <w:rPr>
          <w:bCs/>
        </w:rPr>
      </w:pPr>
    </w:p>
    <w:p w:rsidR="008863B6" w:rsidRPr="008F3FE7" w:rsidRDefault="00B12514" w:rsidP="008F3FE7">
      <w:pPr>
        <w:tabs>
          <w:tab w:val="left" w:pos="720"/>
        </w:tabs>
        <w:jc w:val="both"/>
        <w:rPr>
          <w:bCs/>
        </w:rPr>
      </w:pPr>
      <w:r>
        <w:rPr>
          <w:bCs/>
        </w:rPr>
        <w:tab/>
        <w:t>2.3</w:t>
      </w:r>
      <w:r>
        <w:rPr>
          <w:bCs/>
        </w:rPr>
        <w:tab/>
        <w:t xml:space="preserve"> </w:t>
      </w:r>
      <w:r w:rsidR="008863B6" w:rsidRPr="008F3FE7">
        <w:rPr>
          <w:bCs/>
        </w:rPr>
        <w:t>Improving the Supply of Textbooks and Learning Materials</w:t>
      </w:r>
      <w:r w:rsidR="00715CC0" w:rsidRPr="008F3FE7">
        <w:rPr>
          <w:bCs/>
        </w:rPr>
        <w:t xml:space="preserve"> in Secondary Education</w:t>
      </w:r>
      <w:r w:rsidR="008863B6" w:rsidRPr="008F3FE7">
        <w:rPr>
          <w:bCs/>
        </w:rPr>
        <w:t xml:space="preserve"> (US$3.</w:t>
      </w:r>
      <w:r w:rsidR="00D46962" w:rsidRPr="008F3FE7">
        <w:rPr>
          <w:bCs/>
        </w:rPr>
        <w:t>7</w:t>
      </w:r>
      <w:r w:rsidR="008863B6" w:rsidRPr="008F3FE7">
        <w:rPr>
          <w:bCs/>
        </w:rPr>
        <w:t xml:space="preserve"> million)</w:t>
      </w:r>
    </w:p>
    <w:p w:rsidR="00581394" w:rsidRPr="00581394" w:rsidRDefault="00581394" w:rsidP="00581394">
      <w:pPr>
        <w:pStyle w:val="ListParagraph"/>
        <w:ind w:left="360"/>
        <w:jc w:val="both"/>
        <w:rPr>
          <w:bCs/>
          <w:i/>
        </w:rPr>
      </w:pPr>
    </w:p>
    <w:p w:rsidR="0015014A" w:rsidRPr="00014AF4" w:rsidRDefault="008863B6" w:rsidP="00CF63AB">
      <w:pPr>
        <w:pStyle w:val="ListParagraph"/>
        <w:numPr>
          <w:ilvl w:val="0"/>
          <w:numId w:val="24"/>
        </w:numPr>
        <w:ind w:left="0" w:firstLine="0"/>
        <w:jc w:val="both"/>
      </w:pPr>
      <w:r w:rsidRPr="0015014A">
        <w:rPr>
          <w:bCs/>
        </w:rPr>
        <w:t>This</w:t>
      </w:r>
      <w:r w:rsidR="008F3E04" w:rsidRPr="0015014A">
        <w:rPr>
          <w:bCs/>
        </w:rPr>
        <w:t xml:space="preserve"> sub-component </w:t>
      </w:r>
      <w:r w:rsidR="002F1AA7" w:rsidRPr="0015014A">
        <w:rPr>
          <w:bCs/>
        </w:rPr>
        <w:t xml:space="preserve">would </w:t>
      </w:r>
      <w:r w:rsidR="002F1AA7" w:rsidRPr="00014AF4">
        <w:rPr>
          <w:bCs/>
        </w:rPr>
        <w:t>support</w:t>
      </w:r>
      <w:r w:rsidR="0015014A" w:rsidRPr="00CF63AB">
        <w:rPr>
          <w:bCs/>
        </w:rPr>
        <w:t xml:space="preserve"> </w:t>
      </w:r>
      <w:r w:rsidR="000F43E5">
        <w:rPr>
          <w:bCs/>
        </w:rPr>
        <w:t xml:space="preserve">the </w:t>
      </w:r>
      <w:r w:rsidR="0015014A" w:rsidRPr="00CF63AB">
        <w:rPr>
          <w:bCs/>
        </w:rPr>
        <w:t xml:space="preserve">improvement of textbooks and learning materials for lower secondary education through: (i) the development, revision, printing and distribution of textbooks and </w:t>
      </w:r>
      <w:r w:rsidR="00C55601">
        <w:rPr>
          <w:bCs/>
        </w:rPr>
        <w:t>learning materials to selected lower secondary education s</w:t>
      </w:r>
      <w:r w:rsidR="0015014A" w:rsidRPr="00CF63AB">
        <w:rPr>
          <w:bCs/>
        </w:rPr>
        <w:t>tudents; (ii) the</w:t>
      </w:r>
      <w:r w:rsidR="0015014A" w:rsidRPr="00CF63AB">
        <w:rPr>
          <w:bCs/>
          <w:lang w:val="en-GB"/>
        </w:rPr>
        <w:t xml:space="preserve"> preparation of teacher</w:t>
      </w:r>
      <w:r w:rsidR="0015014A" w:rsidRPr="00CF63AB">
        <w:rPr>
          <w:color w:val="000000"/>
        </w:rPr>
        <w:t xml:space="preserve"> guidelines and training activities</w:t>
      </w:r>
      <w:r w:rsidR="00C55601">
        <w:rPr>
          <w:color w:val="000000"/>
        </w:rPr>
        <w:t xml:space="preserve"> for the use of the textbooks and learning materials</w:t>
      </w:r>
      <w:r w:rsidR="0015014A" w:rsidRPr="00CF63AB">
        <w:rPr>
          <w:color w:val="000000"/>
        </w:rPr>
        <w:t xml:space="preserve">; and (iii) the adaptation of the textbooks and learning materials to integrate cultural and linguistic aspect of local communities. </w:t>
      </w:r>
    </w:p>
    <w:p w:rsidR="007A55AF" w:rsidRDefault="007A55AF" w:rsidP="0040253F">
      <w:pPr>
        <w:jc w:val="both"/>
        <w:rPr>
          <w:bCs/>
        </w:rPr>
      </w:pPr>
    </w:p>
    <w:p w:rsidR="0042706C" w:rsidRDefault="0042706C" w:rsidP="0040253F">
      <w:pPr>
        <w:jc w:val="both"/>
        <w:rPr>
          <w:bCs/>
        </w:rPr>
      </w:pPr>
    </w:p>
    <w:p w:rsidR="00DD670F" w:rsidRPr="0078712F" w:rsidRDefault="00DD670F" w:rsidP="00DD670F">
      <w:pPr>
        <w:jc w:val="both"/>
        <w:rPr>
          <w:b/>
          <w:bCs/>
        </w:rPr>
      </w:pPr>
      <w:r w:rsidRPr="00DD670F">
        <w:rPr>
          <w:b/>
          <w:bCs/>
        </w:rPr>
        <w:lastRenderedPageBreak/>
        <w:t xml:space="preserve">Component </w:t>
      </w:r>
      <w:r>
        <w:rPr>
          <w:b/>
          <w:bCs/>
        </w:rPr>
        <w:t>3</w:t>
      </w:r>
      <w:r w:rsidRPr="0069333F">
        <w:rPr>
          <w:bCs/>
        </w:rPr>
        <w:t xml:space="preserve">: </w:t>
      </w:r>
      <w:r w:rsidR="006D48AD" w:rsidRPr="0069333F">
        <w:rPr>
          <w:b/>
        </w:rPr>
        <w:t>Strengthening of the Ministry of Education’s Institutional Capacity for Preschool Education</w:t>
      </w:r>
      <w:r w:rsidR="006D48AD" w:rsidRPr="0069333F" w:rsidDel="006D48AD">
        <w:rPr>
          <w:b/>
          <w:bCs/>
          <w:lang w:val="en-GB"/>
        </w:rPr>
        <w:t xml:space="preserve"> </w:t>
      </w:r>
      <w:r w:rsidRPr="0078712F">
        <w:rPr>
          <w:b/>
          <w:bCs/>
        </w:rPr>
        <w:t>(US$</w:t>
      </w:r>
      <w:r w:rsidR="00D46962">
        <w:rPr>
          <w:b/>
          <w:bCs/>
        </w:rPr>
        <w:t>0.8</w:t>
      </w:r>
      <w:r w:rsidRPr="0078712F">
        <w:rPr>
          <w:b/>
          <w:bCs/>
        </w:rPr>
        <w:t xml:space="preserve"> million)</w:t>
      </w:r>
      <w:r w:rsidR="00D633FF" w:rsidRPr="0078712F">
        <w:rPr>
          <w:b/>
          <w:bCs/>
        </w:rPr>
        <w:t xml:space="preserve"> – financed by GPE</w:t>
      </w:r>
    </w:p>
    <w:p w:rsidR="00645254" w:rsidRPr="00DD670F" w:rsidRDefault="00645254" w:rsidP="00DD670F">
      <w:pPr>
        <w:jc w:val="both"/>
        <w:rPr>
          <w:b/>
          <w:bCs/>
        </w:rPr>
      </w:pPr>
    </w:p>
    <w:p w:rsidR="00C7398C" w:rsidRDefault="000B4607" w:rsidP="005E2993">
      <w:pPr>
        <w:pStyle w:val="ListParagraph"/>
        <w:numPr>
          <w:ilvl w:val="0"/>
          <w:numId w:val="24"/>
        </w:numPr>
        <w:ind w:left="0" w:firstLine="0"/>
        <w:jc w:val="both"/>
        <w:rPr>
          <w:bCs/>
        </w:rPr>
      </w:pPr>
      <w:r w:rsidRPr="008F3FE7">
        <w:rPr>
          <w:bCs/>
        </w:rPr>
        <w:t xml:space="preserve">Component 3 would contribute to strengthening the institutional capacity of MINED to provide preschool education. </w:t>
      </w:r>
      <w:r w:rsidR="004065AE" w:rsidRPr="008F3FE7">
        <w:rPr>
          <w:bCs/>
        </w:rPr>
        <w:t xml:space="preserve">This </w:t>
      </w:r>
      <w:r w:rsidR="00C25990">
        <w:rPr>
          <w:bCs/>
        </w:rPr>
        <w:t>Component</w:t>
      </w:r>
      <w:r w:rsidR="00F90555" w:rsidRPr="008F3FE7">
        <w:rPr>
          <w:bCs/>
        </w:rPr>
        <w:t xml:space="preserve"> has two</w:t>
      </w:r>
      <w:r w:rsidR="00D633FF" w:rsidRPr="008F3FE7">
        <w:rPr>
          <w:bCs/>
        </w:rPr>
        <w:t xml:space="preserve"> sub-components.</w:t>
      </w:r>
    </w:p>
    <w:p w:rsidR="00794CBF" w:rsidRPr="008F3FE7" w:rsidRDefault="00794CBF" w:rsidP="00794CBF">
      <w:pPr>
        <w:pStyle w:val="ListParagraph"/>
        <w:ind w:left="0"/>
        <w:jc w:val="both"/>
        <w:rPr>
          <w:bCs/>
        </w:rPr>
      </w:pPr>
    </w:p>
    <w:p w:rsidR="00C7398C" w:rsidRPr="008F3FE7" w:rsidRDefault="00B12514" w:rsidP="00C7398C">
      <w:pPr>
        <w:widowControl w:val="0"/>
        <w:tabs>
          <w:tab w:val="left" w:pos="540"/>
        </w:tabs>
        <w:autoSpaceDE w:val="0"/>
        <w:autoSpaceDN w:val="0"/>
        <w:adjustRightInd w:val="0"/>
        <w:jc w:val="both"/>
        <w:rPr>
          <w:bCs/>
        </w:rPr>
      </w:pPr>
      <w:r>
        <w:rPr>
          <w:bCs/>
        </w:rPr>
        <w:tab/>
      </w:r>
      <w:r w:rsidR="00C7398C" w:rsidRPr="008F3FE7">
        <w:rPr>
          <w:bCs/>
        </w:rPr>
        <w:t>3.1</w:t>
      </w:r>
      <w:r w:rsidR="00C7398C" w:rsidRPr="008F3FE7">
        <w:rPr>
          <w:bCs/>
        </w:rPr>
        <w:tab/>
        <w:t>Strengthen</w:t>
      </w:r>
      <w:r w:rsidR="00237692" w:rsidRPr="008F3FE7">
        <w:rPr>
          <w:bCs/>
        </w:rPr>
        <w:t>ing of</w:t>
      </w:r>
      <w:r w:rsidR="00C7398C" w:rsidRPr="008F3FE7">
        <w:rPr>
          <w:bCs/>
        </w:rPr>
        <w:t xml:space="preserve"> </w:t>
      </w:r>
      <w:r w:rsidR="0042782D" w:rsidRPr="008F3FE7">
        <w:rPr>
          <w:bCs/>
        </w:rPr>
        <w:t>MINED</w:t>
      </w:r>
      <w:r w:rsidR="00794CBF">
        <w:rPr>
          <w:bCs/>
        </w:rPr>
        <w:t>’s</w:t>
      </w:r>
      <w:r w:rsidR="0042782D" w:rsidRPr="008F3FE7">
        <w:rPr>
          <w:bCs/>
        </w:rPr>
        <w:t xml:space="preserve"> Technical Capacity</w:t>
      </w:r>
      <w:r w:rsidR="00190901" w:rsidRPr="008F3FE7">
        <w:rPr>
          <w:bCs/>
        </w:rPr>
        <w:t xml:space="preserve"> for Preschool</w:t>
      </w:r>
      <w:r w:rsidR="00C7398C" w:rsidRPr="008F3FE7">
        <w:rPr>
          <w:bCs/>
        </w:rPr>
        <w:t xml:space="preserve"> </w:t>
      </w:r>
      <w:r w:rsidR="00D811C3" w:rsidRPr="008F3FE7">
        <w:rPr>
          <w:bCs/>
        </w:rPr>
        <w:t xml:space="preserve">Education </w:t>
      </w:r>
      <w:r w:rsidR="00C7398C" w:rsidRPr="008F3FE7">
        <w:rPr>
          <w:bCs/>
        </w:rPr>
        <w:t>(US$</w:t>
      </w:r>
      <w:r w:rsidR="0006797E" w:rsidRPr="008F3FE7">
        <w:rPr>
          <w:bCs/>
        </w:rPr>
        <w:t>0.</w:t>
      </w:r>
      <w:r w:rsidR="00D46962" w:rsidRPr="008F3FE7">
        <w:rPr>
          <w:bCs/>
        </w:rPr>
        <w:t>15</w:t>
      </w:r>
      <w:r w:rsidR="00237692" w:rsidRPr="008F3FE7">
        <w:rPr>
          <w:bCs/>
        </w:rPr>
        <w:t xml:space="preserve"> </w:t>
      </w:r>
      <w:r w:rsidR="00C7398C" w:rsidRPr="008F3FE7">
        <w:rPr>
          <w:bCs/>
        </w:rPr>
        <w:t>million</w:t>
      </w:r>
      <w:r w:rsidR="00D633FF" w:rsidRPr="008F3FE7">
        <w:rPr>
          <w:bCs/>
        </w:rPr>
        <w:t>)</w:t>
      </w:r>
    </w:p>
    <w:p w:rsidR="00DD670F" w:rsidRPr="00295C05" w:rsidRDefault="00DD670F" w:rsidP="00F90555">
      <w:pPr>
        <w:jc w:val="both"/>
        <w:rPr>
          <w:bCs/>
        </w:rPr>
      </w:pPr>
    </w:p>
    <w:p w:rsidR="004065AE" w:rsidRPr="00D633FF" w:rsidRDefault="00A12BA5" w:rsidP="005E2993">
      <w:pPr>
        <w:pStyle w:val="ListParagraph"/>
        <w:numPr>
          <w:ilvl w:val="0"/>
          <w:numId w:val="24"/>
        </w:numPr>
        <w:ind w:left="0" w:firstLine="0"/>
        <w:jc w:val="both"/>
        <w:rPr>
          <w:bCs/>
        </w:rPr>
      </w:pPr>
      <w:r>
        <w:rPr>
          <w:bCs/>
          <w:lang w:val="en-GB"/>
        </w:rPr>
        <w:t>This sub-component would finance s</w:t>
      </w:r>
      <w:r w:rsidR="00987549" w:rsidRPr="00987549">
        <w:rPr>
          <w:bCs/>
          <w:lang w:val="en-GB"/>
        </w:rPr>
        <w:t>trengthening of the capacity of the M</w:t>
      </w:r>
      <w:r w:rsidR="00794CBF">
        <w:rPr>
          <w:bCs/>
          <w:lang w:val="en-GB"/>
        </w:rPr>
        <w:t>INED</w:t>
      </w:r>
      <w:r w:rsidR="00987549" w:rsidRPr="00987549">
        <w:rPr>
          <w:bCs/>
          <w:lang w:val="en-GB"/>
        </w:rPr>
        <w:t>’s General Directorate of Preschool Education</w:t>
      </w:r>
      <w:r w:rsidR="00794CBF">
        <w:rPr>
          <w:bCs/>
          <w:lang w:val="en-GB"/>
        </w:rPr>
        <w:t xml:space="preserve"> (</w:t>
      </w:r>
      <w:r w:rsidR="00794CBF">
        <w:rPr>
          <w:bCs/>
          <w:i/>
          <w:lang w:val="en-GB"/>
        </w:rPr>
        <w:t>Dirección General de la Educación Prescolar</w:t>
      </w:r>
      <w:r w:rsidR="00794CBF">
        <w:rPr>
          <w:bCs/>
          <w:lang w:val="en-GB"/>
        </w:rPr>
        <w:t>), through: (i)</w:t>
      </w:r>
      <w:r w:rsidR="00987549" w:rsidRPr="00987549">
        <w:rPr>
          <w:bCs/>
          <w:lang w:val="en-GB"/>
        </w:rPr>
        <w:t xml:space="preserve"> </w:t>
      </w:r>
      <w:r w:rsidR="00987549" w:rsidRPr="00987549">
        <w:rPr>
          <w:bCs/>
        </w:rPr>
        <w:t xml:space="preserve">the provision of training and professional development to MINED’s preschool education technical specialists; (ii) </w:t>
      </w:r>
      <w:r w:rsidR="00987549" w:rsidRPr="00987549">
        <w:rPr>
          <w:bCs/>
          <w:lang w:val="en-GB"/>
        </w:rPr>
        <w:t>the provision of basic office and information and communication technology equipment</w:t>
      </w:r>
      <w:r w:rsidR="00987549" w:rsidRPr="00987549">
        <w:rPr>
          <w:bCs/>
        </w:rPr>
        <w:t>; (iii) the provision of technical assistance for the development of training materials; and (iv) the provision of technical assistance for the carrying out of results-based management, monitoring and evaluation</w:t>
      </w:r>
      <w:r w:rsidR="00D06733">
        <w:rPr>
          <w:bCs/>
        </w:rPr>
        <w:t xml:space="preserve"> activities</w:t>
      </w:r>
      <w:r w:rsidR="004065AE" w:rsidRPr="004065AE">
        <w:rPr>
          <w:bCs/>
        </w:rPr>
        <w:t xml:space="preserve">. </w:t>
      </w:r>
    </w:p>
    <w:p w:rsidR="00D633FF" w:rsidRDefault="00D633FF" w:rsidP="00EF066A">
      <w:pPr>
        <w:pStyle w:val="ListParagraph"/>
        <w:ind w:left="0"/>
        <w:jc w:val="both"/>
        <w:rPr>
          <w:bCs/>
        </w:rPr>
      </w:pPr>
    </w:p>
    <w:p w:rsidR="00F90555" w:rsidRPr="008F3FE7" w:rsidRDefault="00B12514" w:rsidP="008F3FE7">
      <w:pPr>
        <w:ind w:firstLine="720"/>
        <w:jc w:val="both"/>
        <w:rPr>
          <w:bCs/>
        </w:rPr>
      </w:pPr>
      <w:r>
        <w:rPr>
          <w:bCs/>
        </w:rPr>
        <w:t>3.2</w:t>
      </w:r>
      <w:r>
        <w:rPr>
          <w:bCs/>
        </w:rPr>
        <w:tab/>
        <w:t xml:space="preserve"> </w:t>
      </w:r>
      <w:r w:rsidR="00F90555" w:rsidRPr="008F3FE7">
        <w:rPr>
          <w:bCs/>
        </w:rPr>
        <w:t xml:space="preserve">Project Management, Fiduciary Controls and Audits for the Activities </w:t>
      </w:r>
      <w:r w:rsidR="00602DF3" w:rsidRPr="008F3FE7">
        <w:rPr>
          <w:bCs/>
        </w:rPr>
        <w:t xml:space="preserve">Financed under </w:t>
      </w:r>
      <w:r w:rsidR="009867FA" w:rsidRPr="008F3FE7">
        <w:rPr>
          <w:bCs/>
        </w:rPr>
        <w:t>the GPE (US$0.65</w:t>
      </w:r>
      <w:r w:rsidR="00A72040" w:rsidRPr="008F3FE7">
        <w:rPr>
          <w:bCs/>
        </w:rPr>
        <w:t xml:space="preserve"> Million</w:t>
      </w:r>
      <w:r w:rsidR="00F90555" w:rsidRPr="008F3FE7">
        <w:rPr>
          <w:bCs/>
        </w:rPr>
        <w:t>)</w:t>
      </w:r>
    </w:p>
    <w:p w:rsidR="00F90555" w:rsidRPr="00F90555" w:rsidRDefault="00F90555" w:rsidP="00F90555">
      <w:pPr>
        <w:jc w:val="both"/>
        <w:rPr>
          <w:bCs/>
        </w:rPr>
      </w:pPr>
    </w:p>
    <w:p w:rsidR="00F90555" w:rsidRDefault="00A12BA5" w:rsidP="005E2993">
      <w:pPr>
        <w:pStyle w:val="ListParagraph"/>
        <w:numPr>
          <w:ilvl w:val="0"/>
          <w:numId w:val="24"/>
        </w:numPr>
        <w:ind w:left="0" w:firstLine="0"/>
        <w:jc w:val="both"/>
        <w:rPr>
          <w:bCs/>
          <w:lang w:val="en-GB"/>
        </w:rPr>
      </w:pPr>
      <w:r>
        <w:rPr>
          <w:bCs/>
          <w:lang w:val="en-GB"/>
        </w:rPr>
        <w:t xml:space="preserve">This sub-component would finance </w:t>
      </w:r>
      <w:r w:rsidR="00794CBF">
        <w:rPr>
          <w:bCs/>
          <w:lang w:val="en-GB"/>
        </w:rPr>
        <w:t xml:space="preserve">the provision of </w:t>
      </w:r>
      <w:r>
        <w:rPr>
          <w:bCs/>
          <w:lang w:val="en-GB"/>
        </w:rPr>
        <w:t>s</w:t>
      </w:r>
      <w:r w:rsidR="00F90555" w:rsidRPr="00F90555">
        <w:rPr>
          <w:bCs/>
          <w:lang w:val="en-GB"/>
        </w:rPr>
        <w:t xml:space="preserve">upport to MINED in the administration, financial management, auditing and procurement aspects of </w:t>
      </w:r>
      <w:r w:rsidR="00794CBF">
        <w:rPr>
          <w:bCs/>
          <w:lang w:val="en-GB"/>
        </w:rPr>
        <w:t xml:space="preserve">Component 1 and Component 3 of </w:t>
      </w:r>
      <w:r w:rsidR="00F90555" w:rsidRPr="00F90555">
        <w:rPr>
          <w:bCs/>
          <w:lang w:val="en-GB"/>
        </w:rPr>
        <w:t>the Project</w:t>
      </w:r>
      <w:r w:rsidR="00794CBF">
        <w:rPr>
          <w:bCs/>
          <w:lang w:val="en-GB"/>
        </w:rPr>
        <w:t>, including,</w:t>
      </w:r>
      <w:r w:rsidR="00F90555" w:rsidRPr="00F90555">
        <w:rPr>
          <w:bCs/>
          <w:lang w:val="en-GB"/>
        </w:rPr>
        <w:t xml:space="preserve"> </w:t>
      </w:r>
      <w:r w:rsidR="006042F7" w:rsidRPr="008F3FE7">
        <w:rPr>
          <w:bCs/>
          <w:i/>
          <w:lang w:val="en-GB"/>
        </w:rPr>
        <w:t>inter alia</w:t>
      </w:r>
      <w:r w:rsidR="00F90555" w:rsidRPr="00F90555">
        <w:rPr>
          <w:bCs/>
          <w:lang w:val="en-GB"/>
        </w:rPr>
        <w:t>: (i) the provision of technical assistance and training to MINED’s staff</w:t>
      </w:r>
      <w:r w:rsidR="005C26BC">
        <w:rPr>
          <w:bCs/>
          <w:lang w:val="en-GB"/>
        </w:rPr>
        <w:t xml:space="preserve"> on said aspects</w:t>
      </w:r>
      <w:r w:rsidR="00F90555" w:rsidRPr="00F90555">
        <w:rPr>
          <w:bCs/>
          <w:lang w:val="en-GB"/>
        </w:rPr>
        <w:t xml:space="preserve">; (ii) the acquisition of software, information and communication hardware, and small furniture items; </w:t>
      </w:r>
      <w:r w:rsidR="00D06733">
        <w:rPr>
          <w:bCs/>
          <w:lang w:val="en-GB"/>
        </w:rPr>
        <w:t xml:space="preserve">and </w:t>
      </w:r>
      <w:r w:rsidR="00F90555" w:rsidRPr="00F90555">
        <w:rPr>
          <w:bCs/>
          <w:lang w:val="en-GB"/>
        </w:rPr>
        <w:t>(iii) the carryi</w:t>
      </w:r>
      <w:r w:rsidR="00794CBF">
        <w:rPr>
          <w:bCs/>
          <w:lang w:val="en-GB"/>
        </w:rPr>
        <w:t xml:space="preserve">ng out of </w:t>
      </w:r>
      <w:r w:rsidR="005C26BC">
        <w:rPr>
          <w:bCs/>
          <w:lang w:val="en-GB"/>
        </w:rPr>
        <w:t xml:space="preserve">the required Project </w:t>
      </w:r>
      <w:r w:rsidR="00794CBF">
        <w:rPr>
          <w:bCs/>
          <w:lang w:val="en-GB"/>
        </w:rPr>
        <w:t>audit</w:t>
      </w:r>
      <w:r w:rsidR="005C26BC">
        <w:rPr>
          <w:bCs/>
          <w:lang w:val="en-GB"/>
        </w:rPr>
        <w:t xml:space="preserve"> for the</w:t>
      </w:r>
      <w:r w:rsidR="00794CBF">
        <w:rPr>
          <w:bCs/>
          <w:lang w:val="en-GB"/>
        </w:rPr>
        <w:t xml:space="preserve"> Component 1 and </w:t>
      </w:r>
      <w:r w:rsidR="005C26BC">
        <w:rPr>
          <w:bCs/>
          <w:lang w:val="en-GB"/>
        </w:rPr>
        <w:t xml:space="preserve">Component </w:t>
      </w:r>
      <w:r w:rsidR="00794CBF">
        <w:rPr>
          <w:bCs/>
          <w:lang w:val="en-GB"/>
        </w:rPr>
        <w:t>3 of the</w:t>
      </w:r>
      <w:r w:rsidR="00F90555" w:rsidRPr="00F90555">
        <w:rPr>
          <w:bCs/>
          <w:lang w:val="en-GB"/>
        </w:rPr>
        <w:t xml:space="preserve"> Project.</w:t>
      </w:r>
    </w:p>
    <w:p w:rsidR="00726A2C" w:rsidRDefault="00726A2C" w:rsidP="00726A2C">
      <w:pPr>
        <w:pStyle w:val="ListParagraph"/>
        <w:ind w:left="0"/>
        <w:jc w:val="both"/>
        <w:rPr>
          <w:bCs/>
          <w:lang w:val="en-GB"/>
        </w:rPr>
      </w:pPr>
    </w:p>
    <w:p w:rsidR="00F90555" w:rsidRPr="00F90555" w:rsidRDefault="00F90555" w:rsidP="00F90555">
      <w:pPr>
        <w:jc w:val="both"/>
        <w:rPr>
          <w:b/>
          <w:bCs/>
        </w:rPr>
      </w:pPr>
      <w:r w:rsidRPr="00F90555">
        <w:rPr>
          <w:b/>
          <w:bCs/>
        </w:rPr>
        <w:t xml:space="preserve">Component </w:t>
      </w:r>
      <w:r>
        <w:rPr>
          <w:b/>
          <w:bCs/>
        </w:rPr>
        <w:t>4</w:t>
      </w:r>
      <w:r w:rsidRPr="00F90555">
        <w:rPr>
          <w:b/>
          <w:bCs/>
        </w:rPr>
        <w:t xml:space="preserve">: Strengthening of the Ministry of Education’s Institutional Capacity for </w:t>
      </w:r>
      <w:r>
        <w:rPr>
          <w:b/>
          <w:bCs/>
        </w:rPr>
        <w:t xml:space="preserve">Lower Secondary </w:t>
      </w:r>
      <w:r w:rsidR="009867FA">
        <w:rPr>
          <w:b/>
          <w:bCs/>
        </w:rPr>
        <w:t>Education (US$1.5</w:t>
      </w:r>
      <w:r w:rsidRPr="00F90555">
        <w:rPr>
          <w:b/>
          <w:bCs/>
        </w:rPr>
        <w:t xml:space="preserve"> million)</w:t>
      </w:r>
      <w:r>
        <w:rPr>
          <w:b/>
          <w:bCs/>
        </w:rPr>
        <w:t xml:space="preserve"> – financed by EU</w:t>
      </w:r>
    </w:p>
    <w:p w:rsidR="00F90555" w:rsidRDefault="00F90555" w:rsidP="007C7C6B">
      <w:pPr>
        <w:jc w:val="both"/>
        <w:rPr>
          <w:bCs/>
        </w:rPr>
      </w:pPr>
    </w:p>
    <w:p w:rsidR="007C7C6B" w:rsidRPr="008F3FE7" w:rsidRDefault="007C7C6B" w:rsidP="005E2993">
      <w:pPr>
        <w:pStyle w:val="ListParagraph"/>
        <w:numPr>
          <w:ilvl w:val="0"/>
          <w:numId w:val="24"/>
        </w:numPr>
        <w:ind w:left="0" w:firstLine="0"/>
        <w:jc w:val="both"/>
        <w:rPr>
          <w:bCs/>
        </w:rPr>
      </w:pPr>
      <w:r w:rsidRPr="008F3FE7">
        <w:rPr>
          <w:bCs/>
        </w:rPr>
        <w:t xml:space="preserve">Component 4 would contribute to strengthening the institutional capacity of MINED to provide lower secondary education. This </w:t>
      </w:r>
      <w:r w:rsidR="00C25990">
        <w:rPr>
          <w:bCs/>
        </w:rPr>
        <w:t>Component</w:t>
      </w:r>
      <w:r w:rsidR="005E2993" w:rsidRPr="008F3FE7">
        <w:rPr>
          <w:bCs/>
        </w:rPr>
        <w:t xml:space="preserve"> has four</w:t>
      </w:r>
      <w:r w:rsidRPr="008F3FE7">
        <w:rPr>
          <w:bCs/>
        </w:rPr>
        <w:t xml:space="preserve"> sub-components.</w:t>
      </w:r>
    </w:p>
    <w:p w:rsidR="007C7C6B" w:rsidRPr="00295C05" w:rsidRDefault="007C7C6B" w:rsidP="00F90555">
      <w:pPr>
        <w:pStyle w:val="ListParagraph"/>
        <w:ind w:left="0"/>
        <w:jc w:val="both"/>
        <w:rPr>
          <w:bCs/>
        </w:rPr>
      </w:pPr>
    </w:p>
    <w:p w:rsidR="007C7C6B" w:rsidRPr="008F3FE7" w:rsidRDefault="007C7C6B" w:rsidP="007A55AF">
      <w:pPr>
        <w:pStyle w:val="ListParagraph"/>
        <w:ind w:left="360"/>
        <w:jc w:val="both"/>
        <w:rPr>
          <w:bCs/>
          <w:vanish/>
        </w:rPr>
      </w:pPr>
    </w:p>
    <w:p w:rsidR="0006797E" w:rsidRPr="008F3FE7" w:rsidRDefault="00B12514" w:rsidP="008F3FE7">
      <w:pPr>
        <w:pStyle w:val="ListParagraph"/>
        <w:tabs>
          <w:tab w:val="left" w:pos="720"/>
        </w:tabs>
        <w:ind w:left="0"/>
        <w:jc w:val="both"/>
        <w:rPr>
          <w:bCs/>
        </w:rPr>
      </w:pPr>
      <w:r>
        <w:rPr>
          <w:bCs/>
        </w:rPr>
        <w:tab/>
        <w:t>4.1</w:t>
      </w:r>
      <w:r>
        <w:rPr>
          <w:bCs/>
        </w:rPr>
        <w:tab/>
      </w:r>
      <w:r w:rsidR="00581394" w:rsidRPr="008F3FE7">
        <w:rPr>
          <w:bCs/>
        </w:rPr>
        <w:t>Strengthening of MINED’s</w:t>
      </w:r>
      <w:r w:rsidR="0006797E" w:rsidRPr="008F3FE7">
        <w:rPr>
          <w:bCs/>
        </w:rPr>
        <w:t xml:space="preserve"> Technical Capacity</w:t>
      </w:r>
      <w:r w:rsidR="00A9437E" w:rsidRPr="008F3FE7">
        <w:rPr>
          <w:bCs/>
        </w:rPr>
        <w:t xml:space="preserve"> </w:t>
      </w:r>
      <w:r w:rsidR="007445A0" w:rsidRPr="008F3FE7">
        <w:rPr>
          <w:bCs/>
          <w:lang w:val="en-GB"/>
        </w:rPr>
        <w:t>General Directorate of Secondary Education</w:t>
      </w:r>
      <w:r w:rsidR="007445A0" w:rsidRPr="008F3FE7">
        <w:rPr>
          <w:bCs/>
        </w:rPr>
        <w:t xml:space="preserve"> </w:t>
      </w:r>
      <w:r w:rsidR="0006797E" w:rsidRPr="008F3FE7">
        <w:rPr>
          <w:bCs/>
        </w:rPr>
        <w:t>(US$</w:t>
      </w:r>
      <w:r w:rsidR="009867FA" w:rsidRPr="008F3FE7">
        <w:rPr>
          <w:bCs/>
        </w:rPr>
        <w:t>0.1</w:t>
      </w:r>
      <w:r w:rsidR="0006797E" w:rsidRPr="008F3FE7">
        <w:rPr>
          <w:bCs/>
        </w:rPr>
        <w:t xml:space="preserve"> million)</w:t>
      </w:r>
    </w:p>
    <w:p w:rsidR="0006797E" w:rsidRPr="0006797E" w:rsidRDefault="0006797E" w:rsidP="0006797E">
      <w:pPr>
        <w:jc w:val="both"/>
        <w:rPr>
          <w:bCs/>
        </w:rPr>
      </w:pPr>
    </w:p>
    <w:p w:rsidR="005E2993" w:rsidRPr="0042706C" w:rsidRDefault="00A41E9A" w:rsidP="0015014A">
      <w:pPr>
        <w:pStyle w:val="ListParagraph"/>
        <w:numPr>
          <w:ilvl w:val="0"/>
          <w:numId w:val="24"/>
        </w:numPr>
        <w:ind w:left="0" w:firstLine="0"/>
        <w:jc w:val="both"/>
        <w:rPr>
          <w:bCs/>
          <w:lang w:val="en-GB"/>
        </w:rPr>
      </w:pPr>
      <w:r>
        <w:rPr>
          <w:bCs/>
          <w:lang w:val="en-GB"/>
        </w:rPr>
        <w:t xml:space="preserve">This sub-component would finance </w:t>
      </w:r>
      <w:r w:rsidRPr="00CF63AB">
        <w:rPr>
          <w:bCs/>
        </w:rPr>
        <w:t>strengthening</w:t>
      </w:r>
      <w:r w:rsidR="0015014A" w:rsidRPr="00CF63AB">
        <w:rPr>
          <w:bCs/>
        </w:rPr>
        <w:t xml:space="preserve"> of the capacity of MINED’s General Directorate of Secondary Education (</w:t>
      </w:r>
      <w:r w:rsidR="0015014A" w:rsidRPr="00794CBF">
        <w:rPr>
          <w:bCs/>
          <w:i/>
        </w:rPr>
        <w:t>Dirección General de Educación Secundaria</w:t>
      </w:r>
      <w:r w:rsidR="0015014A" w:rsidRPr="00CF63AB">
        <w:rPr>
          <w:bCs/>
        </w:rPr>
        <w:t xml:space="preserve">) to monitor curricula, prepare classroom observation guides and monitor textbook distribution and utilization, through, </w:t>
      </w:r>
      <w:r w:rsidR="0015014A" w:rsidRPr="00794CBF">
        <w:rPr>
          <w:bCs/>
          <w:i/>
        </w:rPr>
        <w:t>inter alia</w:t>
      </w:r>
      <w:r w:rsidR="0015014A" w:rsidRPr="00CF63AB">
        <w:rPr>
          <w:bCs/>
        </w:rPr>
        <w:t>: (i) the provision of technical assistance; (ii) the carrying out of training activities for staff;</w:t>
      </w:r>
      <w:r w:rsidR="00D06733">
        <w:rPr>
          <w:bCs/>
        </w:rPr>
        <w:t xml:space="preserve"> and</w:t>
      </w:r>
      <w:r w:rsidR="0015014A" w:rsidRPr="00CF63AB">
        <w:rPr>
          <w:bCs/>
        </w:rPr>
        <w:t xml:space="preserve"> (iii) the provision</w:t>
      </w:r>
      <w:r w:rsidR="0015014A" w:rsidRPr="00CF63AB">
        <w:rPr>
          <w:color w:val="000000"/>
        </w:rPr>
        <w:t xml:space="preserve"> of basic office and information and communication technology equipment.</w:t>
      </w:r>
    </w:p>
    <w:p w:rsidR="0042706C" w:rsidRDefault="0042706C" w:rsidP="0042706C">
      <w:pPr>
        <w:pStyle w:val="ListParagraph"/>
        <w:ind w:left="0"/>
        <w:jc w:val="both"/>
        <w:rPr>
          <w:color w:val="000000"/>
        </w:rPr>
      </w:pPr>
    </w:p>
    <w:p w:rsidR="0042706C" w:rsidRDefault="0042706C" w:rsidP="0042706C">
      <w:pPr>
        <w:pStyle w:val="ListParagraph"/>
        <w:ind w:left="0"/>
        <w:jc w:val="both"/>
        <w:rPr>
          <w:color w:val="000000"/>
        </w:rPr>
      </w:pPr>
    </w:p>
    <w:p w:rsidR="0042706C" w:rsidRPr="00014AF4" w:rsidRDefault="0042706C" w:rsidP="0042706C">
      <w:pPr>
        <w:pStyle w:val="ListParagraph"/>
        <w:ind w:left="0"/>
        <w:jc w:val="both"/>
        <w:rPr>
          <w:bCs/>
          <w:lang w:val="en-GB"/>
        </w:rPr>
      </w:pPr>
    </w:p>
    <w:p w:rsidR="00F90555" w:rsidRPr="00D06733" w:rsidRDefault="00F90555" w:rsidP="005E2993">
      <w:pPr>
        <w:pStyle w:val="ListParagraph"/>
        <w:ind w:left="0"/>
        <w:jc w:val="both"/>
        <w:rPr>
          <w:bCs/>
          <w:lang w:val="en-GB"/>
        </w:rPr>
      </w:pPr>
    </w:p>
    <w:p w:rsidR="007445A0" w:rsidRPr="008F3FE7" w:rsidRDefault="00B12514" w:rsidP="008F3FE7">
      <w:pPr>
        <w:pStyle w:val="ListParagraph"/>
        <w:tabs>
          <w:tab w:val="left" w:pos="720"/>
        </w:tabs>
        <w:ind w:left="0"/>
        <w:jc w:val="both"/>
        <w:rPr>
          <w:bCs/>
        </w:rPr>
      </w:pPr>
      <w:r>
        <w:rPr>
          <w:bCs/>
        </w:rPr>
        <w:tab/>
        <w:t>4.2</w:t>
      </w:r>
      <w:r>
        <w:rPr>
          <w:bCs/>
        </w:rPr>
        <w:tab/>
        <w:t xml:space="preserve"> </w:t>
      </w:r>
      <w:r w:rsidR="007445A0" w:rsidRPr="008F3FE7">
        <w:rPr>
          <w:bCs/>
        </w:rPr>
        <w:t>Strengthening of MINED’s Directorate of Training</w:t>
      </w:r>
      <w:r w:rsidR="009867FA" w:rsidRPr="008F3FE7">
        <w:rPr>
          <w:bCs/>
        </w:rPr>
        <w:t xml:space="preserve"> (US$0.1</w:t>
      </w:r>
      <w:r w:rsidR="007445A0" w:rsidRPr="008F3FE7">
        <w:rPr>
          <w:bCs/>
        </w:rPr>
        <w:t xml:space="preserve"> million)</w:t>
      </w:r>
    </w:p>
    <w:p w:rsidR="005E2993" w:rsidRDefault="005E2993" w:rsidP="005E2993">
      <w:pPr>
        <w:pStyle w:val="ListParagraph"/>
        <w:ind w:left="0"/>
        <w:jc w:val="both"/>
        <w:rPr>
          <w:bCs/>
        </w:rPr>
      </w:pPr>
    </w:p>
    <w:p w:rsidR="0015014A" w:rsidRPr="0015014A" w:rsidRDefault="00A41E9A" w:rsidP="00CF63AB">
      <w:pPr>
        <w:pStyle w:val="ListParagraph"/>
        <w:numPr>
          <w:ilvl w:val="0"/>
          <w:numId w:val="24"/>
        </w:numPr>
        <w:ind w:left="0" w:firstLine="0"/>
        <w:jc w:val="both"/>
        <w:rPr>
          <w:bCs/>
        </w:rPr>
      </w:pPr>
      <w:r>
        <w:rPr>
          <w:bCs/>
          <w:lang w:val="en-GB"/>
        </w:rPr>
        <w:t>This sub-component would finance s</w:t>
      </w:r>
      <w:r w:rsidR="00C10936" w:rsidRPr="00CF63AB">
        <w:rPr>
          <w:bCs/>
        </w:rPr>
        <w:t>strengthening</w:t>
      </w:r>
      <w:r w:rsidR="0015014A" w:rsidRPr="00CF63AB">
        <w:rPr>
          <w:bCs/>
        </w:rPr>
        <w:t xml:space="preserve"> of MINED’s Directorate of Training (</w:t>
      </w:r>
      <w:r w:rsidR="0015014A" w:rsidRPr="00D45D6B">
        <w:rPr>
          <w:bCs/>
          <w:i/>
        </w:rPr>
        <w:t>Dirección General de Formación Docente</w:t>
      </w:r>
      <w:r w:rsidR="0015014A" w:rsidRPr="0015014A">
        <w:rPr>
          <w:bCs/>
        </w:rPr>
        <w:t xml:space="preserve">) to deliver teacher training activities, through, </w:t>
      </w:r>
      <w:r w:rsidR="0015014A" w:rsidRPr="00D45D6B">
        <w:rPr>
          <w:bCs/>
          <w:i/>
        </w:rPr>
        <w:t>inter alia</w:t>
      </w:r>
      <w:r w:rsidR="0015014A" w:rsidRPr="0015014A">
        <w:rPr>
          <w:bCs/>
        </w:rPr>
        <w:t>: (i) the provision of technical assistance for the preparation of training; (ii) the provision of office and information and communications technology equipment;</w:t>
      </w:r>
      <w:r w:rsidR="00D06733">
        <w:rPr>
          <w:bCs/>
        </w:rPr>
        <w:t xml:space="preserve"> and</w:t>
      </w:r>
      <w:r w:rsidR="0015014A" w:rsidRPr="0015014A">
        <w:rPr>
          <w:bCs/>
        </w:rPr>
        <w:t xml:space="preserve"> (iii) the provision of training to staff in educational research.</w:t>
      </w:r>
    </w:p>
    <w:p w:rsidR="00B12514" w:rsidRDefault="00B12514" w:rsidP="00CF63AB">
      <w:pPr>
        <w:pStyle w:val="ListParagraph"/>
        <w:ind w:left="0"/>
        <w:jc w:val="both"/>
        <w:rPr>
          <w:bCs/>
        </w:rPr>
      </w:pPr>
    </w:p>
    <w:p w:rsidR="00602DF3" w:rsidRPr="008F3FE7" w:rsidRDefault="00B12514" w:rsidP="008F3FE7">
      <w:pPr>
        <w:pStyle w:val="ListParagraph"/>
        <w:tabs>
          <w:tab w:val="left" w:pos="720"/>
        </w:tabs>
        <w:ind w:left="0"/>
        <w:jc w:val="both"/>
        <w:rPr>
          <w:bCs/>
        </w:rPr>
      </w:pPr>
      <w:r>
        <w:rPr>
          <w:bCs/>
          <w:i/>
        </w:rPr>
        <w:tab/>
      </w:r>
      <w:r w:rsidRPr="008F3FE7">
        <w:rPr>
          <w:bCs/>
        </w:rPr>
        <w:t xml:space="preserve">4.3 </w:t>
      </w:r>
      <w:r w:rsidRPr="008F3FE7">
        <w:rPr>
          <w:bCs/>
        </w:rPr>
        <w:tab/>
      </w:r>
      <w:r w:rsidR="00602DF3" w:rsidRPr="008F3FE7">
        <w:rPr>
          <w:bCs/>
        </w:rPr>
        <w:t xml:space="preserve">Strengthening of MINED’s General Directorate of School Infrastructure </w:t>
      </w:r>
      <w:r w:rsidR="009867FA" w:rsidRPr="008F3FE7">
        <w:rPr>
          <w:bCs/>
        </w:rPr>
        <w:t>(US$1.1</w:t>
      </w:r>
      <w:r w:rsidR="00602DF3" w:rsidRPr="008F3FE7">
        <w:rPr>
          <w:bCs/>
        </w:rPr>
        <w:t xml:space="preserve"> million)</w:t>
      </w:r>
    </w:p>
    <w:p w:rsidR="007445A0" w:rsidRPr="007445A0" w:rsidRDefault="007445A0" w:rsidP="007445A0">
      <w:pPr>
        <w:jc w:val="both"/>
        <w:rPr>
          <w:bCs/>
        </w:rPr>
      </w:pPr>
    </w:p>
    <w:p w:rsidR="0015014A" w:rsidRPr="0015014A" w:rsidRDefault="00A41E9A" w:rsidP="00772E36">
      <w:pPr>
        <w:pStyle w:val="ListParagraph"/>
        <w:numPr>
          <w:ilvl w:val="0"/>
          <w:numId w:val="24"/>
        </w:numPr>
        <w:ind w:left="0" w:firstLine="0"/>
        <w:jc w:val="both"/>
        <w:rPr>
          <w:b/>
          <w:color w:val="000000"/>
          <w:sz w:val="22"/>
          <w:szCs w:val="22"/>
          <w:u w:val="single"/>
        </w:rPr>
      </w:pPr>
      <w:r>
        <w:rPr>
          <w:bCs/>
          <w:lang w:val="en-GB"/>
        </w:rPr>
        <w:t>This sub-component would finance s</w:t>
      </w:r>
      <w:r w:rsidR="00C10936" w:rsidRPr="00CF63AB">
        <w:rPr>
          <w:bCs/>
        </w:rPr>
        <w:t>strengthening</w:t>
      </w:r>
      <w:r w:rsidR="0015014A" w:rsidRPr="00CF63AB">
        <w:rPr>
          <w:bCs/>
        </w:rPr>
        <w:t xml:space="preserve"> of MINED’s General Directorate of School Infrastructure (</w:t>
      </w:r>
      <w:r w:rsidR="0015014A" w:rsidRPr="003100B8">
        <w:rPr>
          <w:bCs/>
          <w:i/>
        </w:rPr>
        <w:t>Dirección General de Infraestructura</w:t>
      </w:r>
      <w:r w:rsidR="00A07F51">
        <w:rPr>
          <w:bCs/>
          <w:i/>
        </w:rPr>
        <w:t>s</w:t>
      </w:r>
      <w:r w:rsidR="0015014A" w:rsidRPr="003100B8">
        <w:rPr>
          <w:bCs/>
          <w:i/>
        </w:rPr>
        <w:t xml:space="preserve"> Escolares</w:t>
      </w:r>
      <w:r w:rsidR="003100B8">
        <w:rPr>
          <w:bCs/>
        </w:rPr>
        <w:t>, GDSI</w:t>
      </w:r>
      <w:r w:rsidR="0015014A" w:rsidRPr="00772E36">
        <w:rPr>
          <w:bCs/>
        </w:rPr>
        <w:t>) through: (i) the</w:t>
      </w:r>
      <w:r w:rsidR="005C26BC">
        <w:rPr>
          <w:bCs/>
        </w:rPr>
        <w:t xml:space="preserve"> provision of technical assistance to prepare</w:t>
      </w:r>
      <w:r w:rsidR="0015014A" w:rsidRPr="00772E36">
        <w:rPr>
          <w:bCs/>
        </w:rPr>
        <w:t xml:space="preserve"> feasibility studies, manage and supervis</w:t>
      </w:r>
      <w:r w:rsidR="005C26BC">
        <w:rPr>
          <w:bCs/>
        </w:rPr>
        <w:t>e</w:t>
      </w:r>
      <w:r w:rsidR="0015014A" w:rsidRPr="00772E36">
        <w:rPr>
          <w:bCs/>
        </w:rPr>
        <w:t xml:space="preserve"> </w:t>
      </w:r>
      <w:r w:rsidR="005C26BC">
        <w:rPr>
          <w:bCs/>
        </w:rPr>
        <w:t xml:space="preserve">the construction and/or rehabilitation </w:t>
      </w:r>
      <w:r w:rsidR="0015014A" w:rsidRPr="00772E36">
        <w:rPr>
          <w:bCs/>
        </w:rPr>
        <w:t>of</w:t>
      </w:r>
      <w:r w:rsidR="005C26BC">
        <w:rPr>
          <w:bCs/>
        </w:rPr>
        <w:t xml:space="preserve"> lower secondary education </w:t>
      </w:r>
      <w:r w:rsidR="00C85E54">
        <w:rPr>
          <w:bCs/>
        </w:rPr>
        <w:t>infras</w:t>
      </w:r>
      <w:r w:rsidR="005C26BC">
        <w:rPr>
          <w:bCs/>
        </w:rPr>
        <w:t>tructure under Component 2 of the Project</w:t>
      </w:r>
      <w:r w:rsidR="0015014A" w:rsidRPr="00772E36">
        <w:rPr>
          <w:bCs/>
        </w:rPr>
        <w:t xml:space="preserve">; (ii) the development of construction and/or rehabilitation maintenance guidelines; </w:t>
      </w:r>
      <w:r w:rsidR="0015014A" w:rsidRPr="008E4768">
        <w:rPr>
          <w:bCs/>
        </w:rPr>
        <w:t>(iii) the provision of basic office and information and communication technology</w:t>
      </w:r>
      <w:r w:rsidR="0015014A" w:rsidRPr="008E4768">
        <w:rPr>
          <w:color w:val="000000"/>
        </w:rPr>
        <w:t xml:space="preserve"> equipment; </w:t>
      </w:r>
      <w:r w:rsidR="00D06733" w:rsidRPr="008E4768">
        <w:rPr>
          <w:color w:val="000000"/>
        </w:rPr>
        <w:t xml:space="preserve">and </w:t>
      </w:r>
      <w:r w:rsidR="0015014A" w:rsidRPr="008E4768">
        <w:rPr>
          <w:color w:val="000000"/>
        </w:rPr>
        <w:t xml:space="preserve">(iv) the </w:t>
      </w:r>
      <w:r w:rsidR="00B33424" w:rsidRPr="008E4768">
        <w:rPr>
          <w:color w:val="000000"/>
        </w:rPr>
        <w:t>carrying out</w:t>
      </w:r>
      <w:r w:rsidR="0015014A" w:rsidRPr="008E4768">
        <w:rPr>
          <w:color w:val="000000"/>
        </w:rPr>
        <w:t xml:space="preserve"> of minor rehabilitation works.</w:t>
      </w:r>
    </w:p>
    <w:p w:rsidR="004065AE" w:rsidRDefault="004065AE" w:rsidP="00EF066A">
      <w:pPr>
        <w:pStyle w:val="ListParagraph"/>
        <w:ind w:left="0"/>
        <w:jc w:val="both"/>
        <w:rPr>
          <w:bCs/>
        </w:rPr>
      </w:pPr>
    </w:p>
    <w:p w:rsidR="009F36FB" w:rsidRPr="008F3FE7" w:rsidRDefault="00B12514" w:rsidP="009F36FB">
      <w:pPr>
        <w:tabs>
          <w:tab w:val="left" w:pos="540"/>
        </w:tabs>
        <w:rPr>
          <w:bCs/>
        </w:rPr>
      </w:pPr>
      <w:r>
        <w:rPr>
          <w:bCs/>
        </w:rPr>
        <w:tab/>
      </w:r>
      <w:r w:rsidR="00602DF3" w:rsidRPr="008F3FE7">
        <w:rPr>
          <w:bCs/>
        </w:rPr>
        <w:t>4</w:t>
      </w:r>
      <w:r w:rsidR="009F36FB" w:rsidRPr="008F3FE7">
        <w:rPr>
          <w:bCs/>
        </w:rPr>
        <w:t>.</w:t>
      </w:r>
      <w:r w:rsidR="00602DF3" w:rsidRPr="008F3FE7">
        <w:rPr>
          <w:bCs/>
        </w:rPr>
        <w:t>4</w:t>
      </w:r>
      <w:r w:rsidR="009F36FB" w:rsidRPr="008F3FE7">
        <w:rPr>
          <w:bCs/>
        </w:rPr>
        <w:tab/>
      </w:r>
      <w:r w:rsidR="00EB5D7C" w:rsidRPr="008F3FE7">
        <w:rPr>
          <w:bCs/>
        </w:rPr>
        <w:t>Project Management, Fidu</w:t>
      </w:r>
      <w:r w:rsidR="00343ED7" w:rsidRPr="008F3FE7">
        <w:rPr>
          <w:bCs/>
        </w:rPr>
        <w:t xml:space="preserve">ciary Controls and </w:t>
      </w:r>
      <w:r w:rsidR="00645254" w:rsidRPr="008F3FE7">
        <w:rPr>
          <w:bCs/>
        </w:rPr>
        <w:t>Audits</w:t>
      </w:r>
      <w:r w:rsidR="00602DF3" w:rsidRPr="008F3FE7">
        <w:rPr>
          <w:bCs/>
        </w:rPr>
        <w:t xml:space="preserve"> for the </w:t>
      </w:r>
      <w:r w:rsidR="00F90555" w:rsidRPr="008F3FE7">
        <w:rPr>
          <w:bCs/>
        </w:rPr>
        <w:t xml:space="preserve">Activities </w:t>
      </w:r>
      <w:r w:rsidR="00602DF3" w:rsidRPr="008F3FE7">
        <w:rPr>
          <w:bCs/>
        </w:rPr>
        <w:t>Financed under the EU</w:t>
      </w:r>
      <w:r w:rsidR="00645254" w:rsidRPr="008F3FE7">
        <w:rPr>
          <w:bCs/>
        </w:rPr>
        <w:t xml:space="preserve"> (</w:t>
      </w:r>
      <w:r w:rsidR="00343ED7" w:rsidRPr="008F3FE7">
        <w:rPr>
          <w:bCs/>
        </w:rPr>
        <w:t>US$</w:t>
      </w:r>
      <w:r w:rsidR="009867FA" w:rsidRPr="008F3FE7">
        <w:rPr>
          <w:bCs/>
        </w:rPr>
        <w:t>0.2</w:t>
      </w:r>
      <w:r w:rsidR="00EB5D7C" w:rsidRPr="008F3FE7">
        <w:rPr>
          <w:bCs/>
        </w:rPr>
        <w:t xml:space="preserve"> M</w:t>
      </w:r>
      <w:r w:rsidR="00343ED7" w:rsidRPr="008F3FE7">
        <w:rPr>
          <w:bCs/>
        </w:rPr>
        <w:t>illion)</w:t>
      </w:r>
    </w:p>
    <w:p w:rsidR="00C7398C" w:rsidRDefault="00C7398C" w:rsidP="00EB5D7C">
      <w:pPr>
        <w:pStyle w:val="ListParagraph"/>
        <w:ind w:left="0"/>
        <w:rPr>
          <w:bCs/>
        </w:rPr>
      </w:pPr>
    </w:p>
    <w:p w:rsidR="002F094A" w:rsidRPr="00960F33" w:rsidRDefault="00A41E9A" w:rsidP="00960F33">
      <w:pPr>
        <w:pStyle w:val="ListParagraph"/>
        <w:numPr>
          <w:ilvl w:val="0"/>
          <w:numId w:val="24"/>
        </w:numPr>
        <w:ind w:left="0" w:firstLine="0"/>
        <w:jc w:val="both"/>
        <w:rPr>
          <w:bCs/>
        </w:rPr>
      </w:pPr>
      <w:r>
        <w:rPr>
          <w:bCs/>
          <w:lang w:val="en-GB"/>
        </w:rPr>
        <w:t xml:space="preserve">This sub-component would finance the </w:t>
      </w:r>
      <w:r w:rsidRPr="00772E36">
        <w:rPr>
          <w:bCs/>
        </w:rPr>
        <w:t>provision</w:t>
      </w:r>
      <w:r w:rsidR="00772E36" w:rsidRPr="00772E36">
        <w:rPr>
          <w:bCs/>
        </w:rPr>
        <w:t xml:space="preserve"> of support to MINED in the administration, financial management, auditing and procurement of Component 2 and Component 4 of the Project through, </w:t>
      </w:r>
      <w:r w:rsidR="00772E36" w:rsidRPr="00D45D6B">
        <w:rPr>
          <w:bCs/>
          <w:i/>
        </w:rPr>
        <w:t>inter alia</w:t>
      </w:r>
      <w:r w:rsidR="00D06733">
        <w:rPr>
          <w:bCs/>
        </w:rPr>
        <w:t>: (i</w:t>
      </w:r>
      <w:r w:rsidR="00772E36" w:rsidRPr="00772E36">
        <w:rPr>
          <w:bCs/>
        </w:rPr>
        <w:t>) the provision of technical assistance and traini</w:t>
      </w:r>
      <w:r w:rsidR="00D06733">
        <w:rPr>
          <w:bCs/>
        </w:rPr>
        <w:t>ng to MINED’s staff</w:t>
      </w:r>
      <w:r w:rsidR="005C26BC">
        <w:rPr>
          <w:bCs/>
        </w:rPr>
        <w:t xml:space="preserve"> on said aspects</w:t>
      </w:r>
      <w:r w:rsidR="00D06733">
        <w:rPr>
          <w:bCs/>
        </w:rPr>
        <w:t>; (ii</w:t>
      </w:r>
      <w:r w:rsidR="00772E36" w:rsidRPr="00772E36">
        <w:rPr>
          <w:bCs/>
        </w:rPr>
        <w:t xml:space="preserve">) the acquisition of software, information and communication hardware, and small furniture items; </w:t>
      </w:r>
      <w:r w:rsidR="00D06733">
        <w:rPr>
          <w:bCs/>
        </w:rPr>
        <w:t>and (iii</w:t>
      </w:r>
      <w:r w:rsidR="00772E36" w:rsidRPr="00772E36">
        <w:rPr>
          <w:bCs/>
        </w:rPr>
        <w:t>) the carrying out of</w:t>
      </w:r>
      <w:r w:rsidR="005C26BC">
        <w:rPr>
          <w:bCs/>
        </w:rPr>
        <w:t xml:space="preserve"> the required Project audit </w:t>
      </w:r>
      <w:r w:rsidR="005C26BC">
        <w:rPr>
          <w:bCs/>
          <w:lang w:val="en-GB"/>
        </w:rPr>
        <w:t xml:space="preserve">for the Component 2 and </w:t>
      </w:r>
      <w:r w:rsidR="00772E36" w:rsidRPr="00772E36">
        <w:rPr>
          <w:bCs/>
        </w:rPr>
        <w:t>Component</w:t>
      </w:r>
      <w:r w:rsidR="00772E36" w:rsidRPr="00960F33">
        <w:rPr>
          <w:bCs/>
        </w:rPr>
        <w:t xml:space="preserve"> 4 of the Project.</w:t>
      </w:r>
    </w:p>
    <w:p w:rsidR="00A9553A" w:rsidRPr="00A9553A" w:rsidRDefault="00A9553A" w:rsidP="00A9553A">
      <w:pPr>
        <w:rPr>
          <w:lang w:val="en-GB"/>
        </w:rPr>
      </w:pPr>
    </w:p>
    <w:p w:rsidR="00752F9F" w:rsidRPr="00F76496" w:rsidRDefault="005E679B" w:rsidP="005E679B">
      <w:pPr>
        <w:pStyle w:val="Heading2"/>
        <w:ind w:left="1080" w:hanging="360"/>
        <w:jc w:val="left"/>
        <w:rPr>
          <w:lang w:val="en-GB"/>
        </w:rPr>
      </w:pPr>
      <w:bookmarkStart w:id="19" w:name="_Toc354067268"/>
      <w:r>
        <w:rPr>
          <w:lang w:val="en-GB"/>
        </w:rPr>
        <w:t>B.</w:t>
      </w:r>
      <w:r>
        <w:rPr>
          <w:lang w:val="en-GB"/>
        </w:rPr>
        <w:tab/>
      </w:r>
      <w:r w:rsidR="00752F9F" w:rsidRPr="00F76496">
        <w:rPr>
          <w:lang w:val="en-GB"/>
        </w:rPr>
        <w:t>Project Financing</w:t>
      </w:r>
      <w:bookmarkEnd w:id="19"/>
    </w:p>
    <w:p w:rsidR="00F76496" w:rsidRPr="00301DB4" w:rsidRDefault="00F76496" w:rsidP="00301DB4">
      <w:pPr>
        <w:pStyle w:val="Heading3"/>
        <w:jc w:val="left"/>
        <w:rPr>
          <w:b w:val="0"/>
          <w:sz w:val="24"/>
          <w:lang w:val="en-GB"/>
        </w:rPr>
      </w:pPr>
    </w:p>
    <w:p w:rsidR="00301DB4" w:rsidRPr="000A438B" w:rsidRDefault="00301DB4" w:rsidP="005E2993">
      <w:pPr>
        <w:pStyle w:val="Heading3"/>
        <w:numPr>
          <w:ilvl w:val="0"/>
          <w:numId w:val="18"/>
        </w:numPr>
        <w:ind w:left="1267"/>
        <w:jc w:val="left"/>
        <w:rPr>
          <w:sz w:val="24"/>
          <w:lang w:val="en-GB"/>
        </w:rPr>
      </w:pPr>
      <w:bookmarkStart w:id="20" w:name="_Toc354067269"/>
      <w:r w:rsidRPr="000A438B">
        <w:rPr>
          <w:sz w:val="24"/>
          <w:lang w:val="en-GB"/>
        </w:rPr>
        <w:t>Lending Instrument</w:t>
      </w:r>
      <w:bookmarkEnd w:id="20"/>
    </w:p>
    <w:p w:rsidR="002B651E" w:rsidRPr="00A9151C" w:rsidRDefault="002B651E" w:rsidP="00A9151C">
      <w:pPr>
        <w:rPr>
          <w:u w:val="single"/>
          <w:lang w:val="en-GB"/>
        </w:rPr>
      </w:pPr>
    </w:p>
    <w:p w:rsidR="00CA091C" w:rsidRDefault="000C1268" w:rsidP="00CA091C">
      <w:pPr>
        <w:pStyle w:val="ListParagraph"/>
        <w:numPr>
          <w:ilvl w:val="0"/>
          <w:numId w:val="24"/>
        </w:numPr>
        <w:ind w:left="0" w:firstLine="0"/>
        <w:jc w:val="both"/>
        <w:rPr>
          <w:bCs/>
          <w:lang w:val="en-GB"/>
        </w:rPr>
      </w:pPr>
      <w:proofErr w:type="gramStart"/>
      <w:r w:rsidRPr="00CA091C">
        <w:rPr>
          <w:bCs/>
          <w:lang w:val="en-GB"/>
        </w:rPr>
        <w:t>A</w:t>
      </w:r>
      <w:proofErr w:type="gramEnd"/>
      <w:r w:rsidRPr="00CA091C">
        <w:rPr>
          <w:bCs/>
          <w:lang w:val="en-GB"/>
        </w:rPr>
        <w:t xml:space="preserve"> </w:t>
      </w:r>
      <w:r w:rsidR="00453DCE">
        <w:rPr>
          <w:bCs/>
          <w:lang w:val="en-GB"/>
        </w:rPr>
        <w:t xml:space="preserve">Investment Project </w:t>
      </w:r>
      <w:r w:rsidR="00FC6D45">
        <w:rPr>
          <w:bCs/>
          <w:lang w:val="en-GB"/>
        </w:rPr>
        <w:t>Financing</w:t>
      </w:r>
      <w:r w:rsidR="00453DCE">
        <w:rPr>
          <w:bCs/>
          <w:lang w:val="en-GB"/>
        </w:rPr>
        <w:t xml:space="preserve"> </w:t>
      </w:r>
      <w:r w:rsidRPr="00CA091C">
        <w:rPr>
          <w:bCs/>
          <w:lang w:val="en-GB"/>
        </w:rPr>
        <w:t xml:space="preserve">is proposed for </w:t>
      </w:r>
      <w:r w:rsidR="00911C25" w:rsidRPr="00CA091C">
        <w:rPr>
          <w:bCs/>
          <w:lang w:val="en-GB"/>
        </w:rPr>
        <w:t>the Project</w:t>
      </w:r>
      <w:r w:rsidR="009C26D9" w:rsidRPr="00CA091C">
        <w:rPr>
          <w:bCs/>
          <w:lang w:val="en-GB"/>
        </w:rPr>
        <w:t xml:space="preserve">, </w:t>
      </w:r>
      <w:r w:rsidR="00FC6D45">
        <w:rPr>
          <w:bCs/>
          <w:lang w:val="en-GB"/>
        </w:rPr>
        <w:t xml:space="preserve">financed by </w:t>
      </w:r>
      <w:r w:rsidR="0069478F" w:rsidRPr="00CA091C">
        <w:rPr>
          <w:bCs/>
          <w:lang w:val="en-GB"/>
        </w:rPr>
        <w:t xml:space="preserve">two </w:t>
      </w:r>
      <w:r w:rsidR="009C26D9" w:rsidRPr="00CA091C">
        <w:rPr>
          <w:bCs/>
          <w:lang w:val="en-GB"/>
        </w:rPr>
        <w:t>Grant</w:t>
      </w:r>
      <w:r w:rsidR="0069478F" w:rsidRPr="00CA091C">
        <w:rPr>
          <w:bCs/>
          <w:lang w:val="en-GB"/>
        </w:rPr>
        <w:t>s</w:t>
      </w:r>
      <w:r w:rsidR="004D6CCE" w:rsidRPr="00CA091C">
        <w:rPr>
          <w:bCs/>
          <w:lang w:val="en-GB"/>
        </w:rPr>
        <w:t xml:space="preserve"> in the </w:t>
      </w:r>
      <w:r w:rsidR="0069478F" w:rsidRPr="00CA091C">
        <w:rPr>
          <w:bCs/>
          <w:lang w:val="en-GB"/>
        </w:rPr>
        <w:t xml:space="preserve">combined </w:t>
      </w:r>
      <w:r w:rsidR="004D6CCE" w:rsidRPr="00CA091C">
        <w:rPr>
          <w:bCs/>
          <w:lang w:val="en-GB"/>
        </w:rPr>
        <w:t xml:space="preserve">amount of </w:t>
      </w:r>
      <w:r w:rsidR="00320328" w:rsidRPr="00CA091C">
        <w:rPr>
          <w:bCs/>
          <w:lang w:val="en-GB"/>
        </w:rPr>
        <w:t>US$5</w:t>
      </w:r>
      <w:r w:rsidR="00521DD5" w:rsidRPr="00CA091C">
        <w:rPr>
          <w:bCs/>
          <w:lang w:val="en-GB"/>
        </w:rPr>
        <w:t>1</w:t>
      </w:r>
      <w:r w:rsidR="00320328" w:rsidRPr="00CA091C">
        <w:rPr>
          <w:bCs/>
          <w:lang w:val="en-GB"/>
        </w:rPr>
        <w:t>.</w:t>
      </w:r>
      <w:r w:rsidR="002215A3" w:rsidRPr="00CA091C">
        <w:rPr>
          <w:bCs/>
          <w:lang w:val="en-GB"/>
        </w:rPr>
        <w:t>9</w:t>
      </w:r>
      <w:r w:rsidR="009C26D9" w:rsidRPr="00CA091C">
        <w:rPr>
          <w:bCs/>
          <w:lang w:val="en-GB"/>
        </w:rPr>
        <w:t xml:space="preserve"> </w:t>
      </w:r>
      <w:r w:rsidR="004D6CCE" w:rsidRPr="00CA091C">
        <w:rPr>
          <w:bCs/>
          <w:lang w:val="en-GB"/>
        </w:rPr>
        <w:t>million</w:t>
      </w:r>
      <w:r w:rsidR="00F76496" w:rsidRPr="00CA091C">
        <w:rPr>
          <w:bCs/>
          <w:lang w:val="en-GB"/>
        </w:rPr>
        <w:t xml:space="preserve"> </w:t>
      </w:r>
      <w:r w:rsidRPr="00CA091C">
        <w:rPr>
          <w:bCs/>
          <w:lang w:val="en-GB"/>
        </w:rPr>
        <w:t>to be disbursed</w:t>
      </w:r>
      <w:r w:rsidR="00F76496" w:rsidRPr="00CA091C">
        <w:rPr>
          <w:bCs/>
          <w:lang w:val="en-GB"/>
        </w:rPr>
        <w:t xml:space="preserve"> over a </w:t>
      </w:r>
      <w:r w:rsidR="002E61C3" w:rsidRPr="00CA091C">
        <w:rPr>
          <w:bCs/>
          <w:lang w:val="en-GB"/>
        </w:rPr>
        <w:t>three</w:t>
      </w:r>
      <w:r w:rsidRPr="00CA091C">
        <w:rPr>
          <w:bCs/>
          <w:lang w:val="en-GB"/>
        </w:rPr>
        <w:t xml:space="preserve">-year </w:t>
      </w:r>
      <w:r w:rsidR="00F76496" w:rsidRPr="00CA091C">
        <w:rPr>
          <w:bCs/>
          <w:lang w:val="en-GB"/>
        </w:rPr>
        <w:t>period</w:t>
      </w:r>
      <w:r w:rsidRPr="00CA091C">
        <w:rPr>
          <w:bCs/>
          <w:lang w:val="en-GB"/>
        </w:rPr>
        <w:t>.</w:t>
      </w:r>
      <w:r w:rsidR="005D0824" w:rsidRPr="00CA091C">
        <w:rPr>
          <w:bCs/>
          <w:lang w:val="en-GB"/>
        </w:rPr>
        <w:t xml:space="preserve">  </w:t>
      </w:r>
      <w:r w:rsidR="0069478F" w:rsidRPr="00CA091C">
        <w:rPr>
          <w:bCs/>
          <w:lang w:val="en-GB"/>
        </w:rPr>
        <w:t xml:space="preserve">One Grant </w:t>
      </w:r>
      <w:r w:rsidR="00764602" w:rsidRPr="00CA091C">
        <w:rPr>
          <w:bCs/>
          <w:lang w:val="en-GB"/>
        </w:rPr>
        <w:t xml:space="preserve">($16.7 million) </w:t>
      </w:r>
      <w:r w:rsidR="0069478F" w:rsidRPr="00CA091C">
        <w:rPr>
          <w:bCs/>
          <w:lang w:val="en-GB"/>
        </w:rPr>
        <w:t xml:space="preserve">would finance </w:t>
      </w:r>
      <w:r w:rsidR="00764602" w:rsidRPr="00CA091C">
        <w:rPr>
          <w:bCs/>
          <w:lang w:val="en-GB"/>
        </w:rPr>
        <w:t>Components</w:t>
      </w:r>
      <w:r w:rsidR="0069478F" w:rsidRPr="00CA091C">
        <w:rPr>
          <w:bCs/>
          <w:lang w:val="en-GB"/>
        </w:rPr>
        <w:t xml:space="preserve"> 1 and </w:t>
      </w:r>
      <w:r w:rsidR="00764602" w:rsidRPr="00CA091C">
        <w:rPr>
          <w:bCs/>
          <w:lang w:val="en-GB"/>
        </w:rPr>
        <w:t>3</w:t>
      </w:r>
      <w:r w:rsidR="0069478F" w:rsidRPr="00CA091C">
        <w:rPr>
          <w:bCs/>
          <w:lang w:val="en-GB"/>
        </w:rPr>
        <w:t xml:space="preserve"> of the Project, and would be funded </w:t>
      </w:r>
      <w:r w:rsidR="00EC3F17" w:rsidRPr="00CA091C">
        <w:rPr>
          <w:bCs/>
          <w:lang w:val="en-GB"/>
        </w:rPr>
        <w:t xml:space="preserve">by the </w:t>
      </w:r>
      <w:r w:rsidR="00764602" w:rsidRPr="00CA091C">
        <w:rPr>
          <w:bCs/>
          <w:lang w:val="en-GB"/>
        </w:rPr>
        <w:t>GPE.</w:t>
      </w:r>
      <w:r w:rsidR="0069478F" w:rsidRPr="00CA091C">
        <w:rPr>
          <w:bCs/>
          <w:lang w:val="en-GB"/>
        </w:rPr>
        <w:t xml:space="preserve"> </w:t>
      </w:r>
      <w:r w:rsidR="00EC3F17" w:rsidRPr="00CA091C">
        <w:rPr>
          <w:bCs/>
          <w:lang w:val="en-GB"/>
        </w:rPr>
        <w:t xml:space="preserve"> </w:t>
      </w:r>
      <w:r w:rsidR="00764602" w:rsidRPr="00CA091C">
        <w:rPr>
          <w:bCs/>
          <w:lang w:val="en-GB"/>
        </w:rPr>
        <w:t>A</w:t>
      </w:r>
      <w:r w:rsidR="0069478F" w:rsidRPr="00CA091C">
        <w:rPr>
          <w:bCs/>
          <w:lang w:val="en-GB"/>
        </w:rPr>
        <w:t>nother Grant</w:t>
      </w:r>
      <w:r w:rsidR="00764602" w:rsidRPr="00CA091C">
        <w:rPr>
          <w:bCs/>
          <w:lang w:val="en-GB"/>
        </w:rPr>
        <w:t xml:space="preserve"> ($35.2 million)</w:t>
      </w:r>
      <w:r w:rsidR="0069478F" w:rsidRPr="00CA091C">
        <w:rPr>
          <w:bCs/>
          <w:lang w:val="en-GB"/>
        </w:rPr>
        <w:t xml:space="preserve"> would finance </w:t>
      </w:r>
      <w:r w:rsidR="00764602" w:rsidRPr="00CA091C">
        <w:rPr>
          <w:bCs/>
          <w:lang w:val="en-GB"/>
        </w:rPr>
        <w:t xml:space="preserve">Components </w:t>
      </w:r>
      <w:r w:rsidR="002215A3" w:rsidRPr="00CA091C">
        <w:rPr>
          <w:bCs/>
          <w:lang w:val="en-GB"/>
        </w:rPr>
        <w:t>2</w:t>
      </w:r>
      <w:r w:rsidR="0069478F" w:rsidRPr="00CA091C">
        <w:rPr>
          <w:bCs/>
          <w:lang w:val="en-GB"/>
        </w:rPr>
        <w:t xml:space="preserve"> and 4 of the Project and would be funded </w:t>
      </w:r>
      <w:r w:rsidR="00764602" w:rsidRPr="00CA091C">
        <w:rPr>
          <w:bCs/>
          <w:lang w:val="en-GB"/>
        </w:rPr>
        <w:t>by the E</w:t>
      </w:r>
      <w:r w:rsidR="00EC3F17" w:rsidRPr="00CA091C">
        <w:rPr>
          <w:bCs/>
          <w:lang w:val="en-GB"/>
        </w:rPr>
        <w:t>U</w:t>
      </w:r>
      <w:r w:rsidR="00764602" w:rsidRPr="00CA091C">
        <w:rPr>
          <w:bCs/>
          <w:lang w:val="en-GB"/>
        </w:rPr>
        <w:t xml:space="preserve"> </w:t>
      </w:r>
      <w:r w:rsidR="0069478F" w:rsidRPr="00CA091C">
        <w:rPr>
          <w:bCs/>
          <w:lang w:val="en-GB"/>
        </w:rPr>
        <w:t>out of a trust fund currently being established by the Euro</w:t>
      </w:r>
      <w:r w:rsidR="002F0E2D" w:rsidRPr="00CA091C">
        <w:rPr>
          <w:bCs/>
          <w:lang w:val="en-GB"/>
        </w:rPr>
        <w:t xml:space="preserve">pean Commission within the Bank.  </w:t>
      </w:r>
      <w:r w:rsidR="00327D82" w:rsidRPr="00CA091C">
        <w:rPr>
          <w:bCs/>
          <w:lang w:val="en-GB"/>
        </w:rPr>
        <w:t>Eligible Expenditures under the Project will be finance</w:t>
      </w:r>
      <w:r w:rsidR="00FC6D45">
        <w:rPr>
          <w:bCs/>
          <w:lang w:val="en-GB"/>
        </w:rPr>
        <w:t>d</w:t>
      </w:r>
      <w:r w:rsidR="00327D82" w:rsidRPr="00CA091C">
        <w:rPr>
          <w:bCs/>
          <w:lang w:val="en-GB"/>
        </w:rPr>
        <w:t xml:space="preserve"> at a 100% exclusive of taxes. </w:t>
      </w:r>
      <w:r w:rsidR="009C5E22" w:rsidRPr="00CA091C">
        <w:rPr>
          <w:bCs/>
          <w:lang w:val="en-GB"/>
        </w:rPr>
        <w:t xml:space="preserve"> </w:t>
      </w:r>
      <w:r w:rsidR="00162BC0" w:rsidRPr="00CA091C">
        <w:rPr>
          <w:bCs/>
          <w:lang w:val="en-GB"/>
        </w:rPr>
        <w:t>For this Project, as it has been the case for other</w:t>
      </w:r>
      <w:r w:rsidR="008D7EBD" w:rsidRPr="00CA091C">
        <w:rPr>
          <w:bCs/>
          <w:lang w:val="en-GB"/>
        </w:rPr>
        <w:t xml:space="preserve"> </w:t>
      </w:r>
      <w:r w:rsidR="00162BC0" w:rsidRPr="00CA091C">
        <w:rPr>
          <w:bCs/>
          <w:lang w:val="en-GB"/>
        </w:rPr>
        <w:t>projects</w:t>
      </w:r>
      <w:r w:rsidR="008D7EBD" w:rsidRPr="00CA091C">
        <w:rPr>
          <w:bCs/>
          <w:lang w:val="en-GB"/>
        </w:rPr>
        <w:t xml:space="preserve"> financed by the World Bank, the Government </w:t>
      </w:r>
      <w:r w:rsidR="00162BC0" w:rsidRPr="00CA091C">
        <w:rPr>
          <w:bCs/>
          <w:lang w:val="en-GB"/>
        </w:rPr>
        <w:t xml:space="preserve">will </w:t>
      </w:r>
      <w:r w:rsidR="00050125" w:rsidRPr="00CA091C">
        <w:rPr>
          <w:bCs/>
          <w:lang w:val="en-GB"/>
        </w:rPr>
        <w:t>follow internal procedure to obtain a tax exemption</w:t>
      </w:r>
      <w:r w:rsidR="00CA091C">
        <w:rPr>
          <w:bCs/>
          <w:lang w:val="en-GB"/>
        </w:rPr>
        <w:t>.</w:t>
      </w:r>
    </w:p>
    <w:p w:rsidR="00707866" w:rsidRPr="00CA091C" w:rsidRDefault="00050125" w:rsidP="00CA091C">
      <w:pPr>
        <w:pStyle w:val="ListParagraph"/>
        <w:ind w:left="0"/>
        <w:jc w:val="both"/>
        <w:rPr>
          <w:bCs/>
          <w:lang w:val="en-GB"/>
        </w:rPr>
      </w:pPr>
      <w:r w:rsidRPr="00CA091C">
        <w:rPr>
          <w:bCs/>
          <w:lang w:val="en-GB"/>
        </w:rPr>
        <w:t xml:space="preserve"> </w:t>
      </w:r>
    </w:p>
    <w:p w:rsidR="00707866" w:rsidRDefault="00707866" w:rsidP="005E2993">
      <w:pPr>
        <w:pStyle w:val="ListParagraph"/>
        <w:numPr>
          <w:ilvl w:val="0"/>
          <w:numId w:val="24"/>
        </w:numPr>
        <w:ind w:left="0" w:firstLine="0"/>
        <w:jc w:val="both"/>
        <w:rPr>
          <w:bCs/>
        </w:rPr>
      </w:pPr>
      <w:r w:rsidRPr="00772E36">
        <w:rPr>
          <w:bCs/>
        </w:rPr>
        <w:t xml:space="preserve">Financing for the GPE was approved by the donors </w:t>
      </w:r>
      <w:r w:rsidR="00764602" w:rsidRPr="00772E36">
        <w:rPr>
          <w:bCs/>
        </w:rPr>
        <w:t xml:space="preserve">contributing to the GPE </w:t>
      </w:r>
      <w:r w:rsidRPr="00772E36">
        <w:rPr>
          <w:bCs/>
        </w:rPr>
        <w:t>on July 31, 2012.  Financing for the EU is still pending the signing</w:t>
      </w:r>
      <w:r w:rsidR="00EC00BE" w:rsidRPr="00772E36">
        <w:rPr>
          <w:bCs/>
        </w:rPr>
        <w:t xml:space="preserve"> by the Bank and EU of an</w:t>
      </w:r>
      <w:r w:rsidRPr="00772E36">
        <w:rPr>
          <w:bCs/>
        </w:rPr>
        <w:t xml:space="preserve"> Administration Agreement</w:t>
      </w:r>
      <w:r w:rsidR="00764602" w:rsidRPr="00772E36">
        <w:rPr>
          <w:bCs/>
        </w:rPr>
        <w:t xml:space="preserve"> to establish</w:t>
      </w:r>
      <w:r w:rsidR="00764602">
        <w:rPr>
          <w:bCs/>
        </w:rPr>
        <w:t xml:space="preserve"> the trust fund within the Bank</w:t>
      </w:r>
      <w:r>
        <w:rPr>
          <w:bCs/>
        </w:rPr>
        <w:t xml:space="preserve">.  Once </w:t>
      </w:r>
      <w:r w:rsidR="00764602">
        <w:rPr>
          <w:bCs/>
        </w:rPr>
        <w:t xml:space="preserve">the Administration Agreement is </w:t>
      </w:r>
      <w:r w:rsidR="00764602">
        <w:rPr>
          <w:bCs/>
        </w:rPr>
        <w:lastRenderedPageBreak/>
        <w:t xml:space="preserve">executed, </w:t>
      </w:r>
      <w:r>
        <w:rPr>
          <w:bCs/>
        </w:rPr>
        <w:t xml:space="preserve">and after the </w:t>
      </w:r>
      <w:r w:rsidR="00764602">
        <w:rPr>
          <w:bCs/>
        </w:rPr>
        <w:t xml:space="preserve">required </w:t>
      </w:r>
      <w:r>
        <w:rPr>
          <w:bCs/>
        </w:rPr>
        <w:t>funds have been transferred to the Bank by the EU</w:t>
      </w:r>
      <w:r w:rsidR="00EC00BE">
        <w:rPr>
          <w:bCs/>
        </w:rPr>
        <w:t xml:space="preserve">, </w:t>
      </w:r>
      <w:r w:rsidR="00764602">
        <w:rPr>
          <w:bCs/>
        </w:rPr>
        <w:t xml:space="preserve">the Bank and the </w:t>
      </w:r>
      <w:r w:rsidR="002215A3">
        <w:rPr>
          <w:bCs/>
        </w:rPr>
        <w:t>Go</w:t>
      </w:r>
      <w:r w:rsidR="00764602">
        <w:rPr>
          <w:bCs/>
        </w:rPr>
        <w:t xml:space="preserve">N would enter into a </w:t>
      </w:r>
      <w:r>
        <w:rPr>
          <w:bCs/>
        </w:rPr>
        <w:t xml:space="preserve">Grant Agreement for </w:t>
      </w:r>
      <w:r w:rsidR="00764602">
        <w:rPr>
          <w:bCs/>
        </w:rPr>
        <w:t xml:space="preserve">Components </w:t>
      </w:r>
      <w:r w:rsidR="00EC00BE">
        <w:rPr>
          <w:bCs/>
        </w:rPr>
        <w:t>2</w:t>
      </w:r>
      <w:r>
        <w:rPr>
          <w:bCs/>
        </w:rPr>
        <w:t xml:space="preserve"> and 4.</w:t>
      </w:r>
      <w:r w:rsidR="00EC00BE">
        <w:rPr>
          <w:bCs/>
        </w:rPr>
        <w:t xml:space="preserve">  If the EU financing d</w:t>
      </w:r>
      <w:r w:rsidR="00D9747C">
        <w:rPr>
          <w:bCs/>
        </w:rPr>
        <w:t>oes</w:t>
      </w:r>
      <w:r w:rsidR="00EC00BE">
        <w:rPr>
          <w:bCs/>
        </w:rPr>
        <w:t xml:space="preserve"> not come through, </w:t>
      </w:r>
      <w:r w:rsidR="00764602">
        <w:rPr>
          <w:bCs/>
        </w:rPr>
        <w:t xml:space="preserve">or the Bank and the </w:t>
      </w:r>
      <w:r w:rsidR="002215A3">
        <w:rPr>
          <w:bCs/>
        </w:rPr>
        <w:t>Go</w:t>
      </w:r>
      <w:r w:rsidR="00764602">
        <w:rPr>
          <w:bCs/>
        </w:rPr>
        <w:t>N d</w:t>
      </w:r>
      <w:r w:rsidR="00D9747C">
        <w:rPr>
          <w:bCs/>
        </w:rPr>
        <w:t>o</w:t>
      </w:r>
      <w:r w:rsidR="00764602">
        <w:rPr>
          <w:bCs/>
        </w:rPr>
        <w:t xml:space="preserve"> not agree on the terms of the Grant Agreement for Components 2 and 4, </w:t>
      </w:r>
      <w:r w:rsidR="00EC00BE">
        <w:rPr>
          <w:bCs/>
        </w:rPr>
        <w:t xml:space="preserve">the Project will be restructured </w:t>
      </w:r>
      <w:r w:rsidR="00B06E5D">
        <w:rPr>
          <w:bCs/>
        </w:rPr>
        <w:t xml:space="preserve">including a change of the PDO </w:t>
      </w:r>
      <w:r w:rsidR="00EC00BE">
        <w:rPr>
          <w:bCs/>
        </w:rPr>
        <w:t xml:space="preserve">to </w:t>
      </w:r>
      <w:r w:rsidR="00764602">
        <w:rPr>
          <w:bCs/>
        </w:rPr>
        <w:t xml:space="preserve">limit </w:t>
      </w:r>
      <w:r w:rsidR="00EC00BE">
        <w:rPr>
          <w:bCs/>
        </w:rPr>
        <w:t xml:space="preserve">the </w:t>
      </w:r>
      <w:r w:rsidR="00764602">
        <w:rPr>
          <w:bCs/>
        </w:rPr>
        <w:t xml:space="preserve">scope of </w:t>
      </w:r>
      <w:r w:rsidR="00EC00BE">
        <w:rPr>
          <w:bCs/>
        </w:rPr>
        <w:t xml:space="preserve">the Project to </w:t>
      </w:r>
      <w:r w:rsidR="00D9747C">
        <w:rPr>
          <w:bCs/>
        </w:rPr>
        <w:t>C</w:t>
      </w:r>
      <w:r w:rsidR="00EC00BE">
        <w:rPr>
          <w:bCs/>
        </w:rPr>
        <w:t xml:space="preserve">omponents 1 and 3 financed by the GPE. </w:t>
      </w:r>
    </w:p>
    <w:p w:rsidR="00237692" w:rsidRDefault="00237692">
      <w:pPr>
        <w:jc w:val="both"/>
        <w:rPr>
          <w:bCs/>
        </w:rPr>
      </w:pPr>
    </w:p>
    <w:p w:rsidR="00B13D97" w:rsidRPr="000A438B" w:rsidRDefault="00112987" w:rsidP="005E2993">
      <w:pPr>
        <w:pStyle w:val="Heading3"/>
        <w:numPr>
          <w:ilvl w:val="0"/>
          <w:numId w:val="18"/>
        </w:numPr>
        <w:ind w:left="1267"/>
        <w:jc w:val="left"/>
        <w:rPr>
          <w:sz w:val="24"/>
          <w:lang w:val="en-GB"/>
        </w:rPr>
      </w:pPr>
      <w:bookmarkStart w:id="21" w:name="_Toc354067270"/>
      <w:r w:rsidRPr="000A438B">
        <w:rPr>
          <w:sz w:val="24"/>
          <w:lang w:val="en-GB"/>
        </w:rPr>
        <w:t>Project Cost and Financing</w:t>
      </w:r>
      <w:bookmarkEnd w:id="21"/>
    </w:p>
    <w:p w:rsidR="00A324C9" w:rsidRPr="00A324C9" w:rsidRDefault="00A324C9" w:rsidP="00A324C9">
      <w:pPr>
        <w:rPr>
          <w:lang w:val="en-GB"/>
        </w:rPr>
      </w:pPr>
    </w:p>
    <w:tbl>
      <w:tblPr>
        <w:tblStyle w:val="TableGrid"/>
        <w:tblW w:w="9075" w:type="dxa"/>
        <w:jc w:val="center"/>
        <w:tblInd w:w="-537" w:type="dxa"/>
        <w:tblLook w:val="04A0" w:firstRow="1" w:lastRow="0" w:firstColumn="1" w:lastColumn="0" w:noHBand="0" w:noVBand="1"/>
      </w:tblPr>
      <w:tblGrid>
        <w:gridCol w:w="4561"/>
        <w:gridCol w:w="1184"/>
        <w:gridCol w:w="1459"/>
        <w:gridCol w:w="1871"/>
      </w:tblGrid>
      <w:tr w:rsidR="00317301" w:rsidTr="0025560D">
        <w:trPr>
          <w:jc w:val="center"/>
        </w:trPr>
        <w:tc>
          <w:tcPr>
            <w:tcW w:w="4561" w:type="dxa"/>
            <w:vAlign w:val="center"/>
          </w:tcPr>
          <w:p w:rsidR="00317301" w:rsidRPr="0025560D" w:rsidRDefault="00317301" w:rsidP="00572911">
            <w:pPr>
              <w:jc w:val="center"/>
              <w:rPr>
                <w:lang w:val="en-GB"/>
              </w:rPr>
            </w:pPr>
            <w:r w:rsidRPr="0025560D">
              <w:rPr>
                <w:b/>
              </w:rPr>
              <w:t>Project Components</w:t>
            </w:r>
          </w:p>
        </w:tc>
        <w:tc>
          <w:tcPr>
            <w:tcW w:w="1184" w:type="dxa"/>
            <w:vAlign w:val="center"/>
          </w:tcPr>
          <w:p w:rsidR="00317301" w:rsidRPr="0025560D" w:rsidRDefault="00317301" w:rsidP="00572911">
            <w:pPr>
              <w:jc w:val="center"/>
              <w:rPr>
                <w:b/>
                <w:lang w:val="en-GB"/>
              </w:rPr>
            </w:pPr>
            <w:r w:rsidRPr="0025560D">
              <w:rPr>
                <w:b/>
                <w:lang w:val="en-GB"/>
              </w:rPr>
              <w:t>Project</w:t>
            </w:r>
            <w:r w:rsidR="002F0E2D">
              <w:rPr>
                <w:rStyle w:val="FootnoteReference"/>
                <w:b/>
                <w:lang w:val="en-GB"/>
              </w:rPr>
              <w:footnoteReference w:id="13"/>
            </w:r>
            <w:r w:rsidRPr="0025560D">
              <w:rPr>
                <w:b/>
                <w:lang w:val="en-GB"/>
              </w:rPr>
              <w:t xml:space="preserve"> Cost (US$)</w:t>
            </w:r>
          </w:p>
        </w:tc>
        <w:tc>
          <w:tcPr>
            <w:tcW w:w="1459" w:type="dxa"/>
            <w:vAlign w:val="center"/>
          </w:tcPr>
          <w:p w:rsidR="00317301" w:rsidRPr="0025560D" w:rsidRDefault="00317301" w:rsidP="00572911">
            <w:pPr>
              <w:jc w:val="center"/>
              <w:rPr>
                <w:b/>
                <w:lang w:val="en-GB"/>
              </w:rPr>
            </w:pPr>
            <w:r w:rsidRPr="0025560D">
              <w:rPr>
                <w:b/>
                <w:lang w:val="en-GB"/>
              </w:rPr>
              <w:t>EU Financing (US$)</w:t>
            </w:r>
          </w:p>
        </w:tc>
        <w:tc>
          <w:tcPr>
            <w:tcW w:w="1871" w:type="dxa"/>
            <w:vAlign w:val="center"/>
          </w:tcPr>
          <w:p w:rsidR="00317301" w:rsidRPr="0025560D" w:rsidRDefault="00317301" w:rsidP="00572911">
            <w:pPr>
              <w:jc w:val="center"/>
              <w:rPr>
                <w:b/>
                <w:lang w:val="en-GB"/>
              </w:rPr>
            </w:pPr>
            <w:r w:rsidRPr="0025560D">
              <w:rPr>
                <w:b/>
                <w:lang w:val="en-GB"/>
              </w:rPr>
              <w:t>GPE Financing (US$)</w:t>
            </w:r>
          </w:p>
        </w:tc>
      </w:tr>
      <w:tr w:rsidR="00317301" w:rsidTr="0025560D">
        <w:trPr>
          <w:jc w:val="center"/>
        </w:trPr>
        <w:tc>
          <w:tcPr>
            <w:tcW w:w="4561" w:type="dxa"/>
          </w:tcPr>
          <w:p w:rsidR="00317301" w:rsidRPr="0025560D" w:rsidRDefault="00317301" w:rsidP="00273ED8">
            <w:pPr>
              <w:tabs>
                <w:tab w:val="left" w:pos="367"/>
              </w:tabs>
              <w:rPr>
                <w:lang w:val="en-GB"/>
              </w:rPr>
            </w:pPr>
            <w:r w:rsidRPr="0025560D">
              <w:rPr>
                <w:bCs/>
              </w:rPr>
              <w:t>1. Increasing Access and Improving Learning Conditions of Preschool Education</w:t>
            </w:r>
          </w:p>
        </w:tc>
        <w:tc>
          <w:tcPr>
            <w:tcW w:w="1184" w:type="dxa"/>
            <w:vAlign w:val="center"/>
          </w:tcPr>
          <w:p w:rsidR="00317301" w:rsidRPr="0025560D" w:rsidRDefault="00317301" w:rsidP="0025560D">
            <w:pPr>
              <w:ind w:right="-4"/>
              <w:jc w:val="center"/>
              <w:rPr>
                <w:lang w:val="en-GB"/>
              </w:rPr>
            </w:pPr>
            <w:r w:rsidRPr="0025560D">
              <w:rPr>
                <w:lang w:val="en-GB"/>
              </w:rPr>
              <w:t>15.9</w:t>
            </w:r>
          </w:p>
        </w:tc>
        <w:tc>
          <w:tcPr>
            <w:tcW w:w="1459" w:type="dxa"/>
            <w:vAlign w:val="center"/>
          </w:tcPr>
          <w:p w:rsidR="00317301" w:rsidRPr="0025560D" w:rsidRDefault="00317301" w:rsidP="0025560D">
            <w:pPr>
              <w:ind w:right="-4"/>
              <w:jc w:val="center"/>
              <w:rPr>
                <w:lang w:val="en-GB"/>
              </w:rPr>
            </w:pPr>
            <w:r w:rsidRPr="0025560D">
              <w:rPr>
                <w:lang w:val="en-GB"/>
              </w:rPr>
              <w:t>0</w:t>
            </w:r>
          </w:p>
        </w:tc>
        <w:tc>
          <w:tcPr>
            <w:tcW w:w="1871" w:type="dxa"/>
            <w:vAlign w:val="center"/>
          </w:tcPr>
          <w:p w:rsidR="00317301" w:rsidRPr="0025560D" w:rsidRDefault="00317301" w:rsidP="0025560D">
            <w:pPr>
              <w:ind w:right="-4"/>
              <w:jc w:val="center"/>
              <w:rPr>
                <w:lang w:val="en-GB"/>
              </w:rPr>
            </w:pPr>
            <w:r w:rsidRPr="0025560D">
              <w:rPr>
                <w:lang w:val="en-GB"/>
              </w:rPr>
              <w:t>15.9</w:t>
            </w:r>
          </w:p>
        </w:tc>
      </w:tr>
      <w:tr w:rsidR="00317301" w:rsidTr="0025560D">
        <w:trPr>
          <w:jc w:val="center"/>
        </w:trPr>
        <w:tc>
          <w:tcPr>
            <w:tcW w:w="4561" w:type="dxa"/>
          </w:tcPr>
          <w:p w:rsidR="00317301" w:rsidRPr="0025560D" w:rsidRDefault="00317301" w:rsidP="007760D2">
            <w:pPr>
              <w:rPr>
                <w:lang w:val="en-GB"/>
              </w:rPr>
            </w:pPr>
            <w:r w:rsidRPr="0025560D">
              <w:rPr>
                <w:bCs/>
              </w:rPr>
              <w:t>2. Improving Access, Quality and Completion of Lower Secondary Education</w:t>
            </w:r>
          </w:p>
        </w:tc>
        <w:tc>
          <w:tcPr>
            <w:tcW w:w="1184" w:type="dxa"/>
            <w:vAlign w:val="center"/>
          </w:tcPr>
          <w:p w:rsidR="00317301" w:rsidRPr="0025560D" w:rsidRDefault="00317301" w:rsidP="0025560D">
            <w:pPr>
              <w:ind w:right="-4"/>
              <w:jc w:val="center"/>
              <w:rPr>
                <w:lang w:val="en-GB"/>
              </w:rPr>
            </w:pPr>
            <w:r w:rsidRPr="0025560D">
              <w:rPr>
                <w:lang w:val="en-GB"/>
              </w:rPr>
              <w:t>33.5</w:t>
            </w:r>
          </w:p>
        </w:tc>
        <w:tc>
          <w:tcPr>
            <w:tcW w:w="1459" w:type="dxa"/>
            <w:vAlign w:val="center"/>
          </w:tcPr>
          <w:p w:rsidR="00317301" w:rsidRPr="0025560D" w:rsidRDefault="00317301" w:rsidP="0025560D">
            <w:pPr>
              <w:ind w:right="-4"/>
              <w:jc w:val="center"/>
              <w:rPr>
                <w:lang w:val="en-GB"/>
              </w:rPr>
            </w:pPr>
            <w:r w:rsidRPr="0025560D">
              <w:rPr>
                <w:lang w:val="en-GB"/>
              </w:rPr>
              <w:t>33.5</w:t>
            </w:r>
          </w:p>
        </w:tc>
        <w:tc>
          <w:tcPr>
            <w:tcW w:w="1871" w:type="dxa"/>
            <w:vAlign w:val="center"/>
          </w:tcPr>
          <w:p w:rsidR="00317301" w:rsidRPr="0025560D" w:rsidRDefault="00317301" w:rsidP="0025560D">
            <w:pPr>
              <w:ind w:right="-4"/>
              <w:jc w:val="center"/>
              <w:rPr>
                <w:lang w:val="en-GB"/>
              </w:rPr>
            </w:pPr>
            <w:r w:rsidRPr="0025560D">
              <w:rPr>
                <w:lang w:val="en-GB"/>
              </w:rPr>
              <w:t>0</w:t>
            </w:r>
          </w:p>
        </w:tc>
      </w:tr>
      <w:tr w:rsidR="00317301" w:rsidTr="0025560D">
        <w:trPr>
          <w:jc w:val="center"/>
        </w:trPr>
        <w:tc>
          <w:tcPr>
            <w:tcW w:w="4561" w:type="dxa"/>
          </w:tcPr>
          <w:p w:rsidR="00317301" w:rsidRPr="0025560D" w:rsidRDefault="00317301" w:rsidP="00A721D5">
            <w:pPr>
              <w:rPr>
                <w:lang w:val="en-GB"/>
              </w:rPr>
            </w:pPr>
            <w:r w:rsidRPr="0025560D">
              <w:t xml:space="preserve">3. </w:t>
            </w:r>
            <w:r w:rsidRPr="0025560D">
              <w:rPr>
                <w:bCs/>
              </w:rPr>
              <w:t>Institutional Capacity Building for Preschool Education</w:t>
            </w:r>
          </w:p>
        </w:tc>
        <w:tc>
          <w:tcPr>
            <w:tcW w:w="1184" w:type="dxa"/>
            <w:vAlign w:val="center"/>
          </w:tcPr>
          <w:p w:rsidR="00317301" w:rsidRPr="0025560D" w:rsidRDefault="00317301" w:rsidP="0025560D">
            <w:pPr>
              <w:ind w:right="-4"/>
              <w:jc w:val="center"/>
              <w:rPr>
                <w:lang w:val="en-GB"/>
              </w:rPr>
            </w:pPr>
            <w:r w:rsidRPr="0025560D">
              <w:rPr>
                <w:lang w:val="en-GB"/>
              </w:rPr>
              <w:t>0.8</w:t>
            </w:r>
          </w:p>
        </w:tc>
        <w:tc>
          <w:tcPr>
            <w:tcW w:w="1459" w:type="dxa"/>
            <w:vAlign w:val="center"/>
          </w:tcPr>
          <w:p w:rsidR="00317301" w:rsidRPr="0025560D" w:rsidRDefault="00317301" w:rsidP="0025560D">
            <w:pPr>
              <w:ind w:right="-4"/>
              <w:jc w:val="center"/>
              <w:rPr>
                <w:lang w:val="en-GB"/>
              </w:rPr>
            </w:pPr>
            <w:r w:rsidRPr="0025560D">
              <w:rPr>
                <w:lang w:val="en-GB"/>
              </w:rPr>
              <w:t>0</w:t>
            </w:r>
          </w:p>
        </w:tc>
        <w:tc>
          <w:tcPr>
            <w:tcW w:w="1871" w:type="dxa"/>
            <w:vAlign w:val="center"/>
          </w:tcPr>
          <w:p w:rsidR="00317301" w:rsidRPr="0025560D" w:rsidRDefault="00317301" w:rsidP="0025560D">
            <w:pPr>
              <w:ind w:right="-4"/>
              <w:jc w:val="center"/>
              <w:rPr>
                <w:lang w:val="en-GB"/>
              </w:rPr>
            </w:pPr>
            <w:r w:rsidRPr="0025560D">
              <w:rPr>
                <w:lang w:val="en-GB"/>
              </w:rPr>
              <w:t>0.8</w:t>
            </w:r>
          </w:p>
        </w:tc>
      </w:tr>
      <w:tr w:rsidR="00317301" w:rsidTr="0025560D">
        <w:trPr>
          <w:jc w:val="center"/>
        </w:trPr>
        <w:tc>
          <w:tcPr>
            <w:tcW w:w="4561" w:type="dxa"/>
          </w:tcPr>
          <w:p w:rsidR="00317301" w:rsidRPr="0025560D" w:rsidRDefault="00317301" w:rsidP="007D1330">
            <w:pPr>
              <w:rPr>
                <w:lang w:val="en-GB"/>
              </w:rPr>
            </w:pPr>
            <w:r w:rsidRPr="0025560D">
              <w:t xml:space="preserve">4. </w:t>
            </w:r>
            <w:r w:rsidRPr="0025560D">
              <w:rPr>
                <w:bCs/>
              </w:rPr>
              <w:t>Institutional Capacity Building for Lower Secondary Education</w:t>
            </w:r>
          </w:p>
        </w:tc>
        <w:tc>
          <w:tcPr>
            <w:tcW w:w="1184" w:type="dxa"/>
            <w:vAlign w:val="center"/>
          </w:tcPr>
          <w:p w:rsidR="00317301" w:rsidRPr="0025560D" w:rsidRDefault="00317301" w:rsidP="0025560D">
            <w:pPr>
              <w:ind w:right="-4"/>
              <w:jc w:val="center"/>
              <w:rPr>
                <w:lang w:val="en-GB"/>
              </w:rPr>
            </w:pPr>
            <w:r w:rsidRPr="0025560D">
              <w:rPr>
                <w:lang w:val="en-GB"/>
              </w:rPr>
              <w:t>1.5</w:t>
            </w:r>
          </w:p>
        </w:tc>
        <w:tc>
          <w:tcPr>
            <w:tcW w:w="1459" w:type="dxa"/>
            <w:vAlign w:val="center"/>
          </w:tcPr>
          <w:p w:rsidR="00317301" w:rsidRPr="0025560D" w:rsidRDefault="00317301" w:rsidP="0025560D">
            <w:pPr>
              <w:ind w:right="-4"/>
              <w:jc w:val="center"/>
              <w:rPr>
                <w:lang w:val="en-GB"/>
              </w:rPr>
            </w:pPr>
            <w:r w:rsidRPr="0025560D">
              <w:rPr>
                <w:lang w:val="en-GB"/>
              </w:rPr>
              <w:t>1.5</w:t>
            </w:r>
          </w:p>
        </w:tc>
        <w:tc>
          <w:tcPr>
            <w:tcW w:w="1871" w:type="dxa"/>
            <w:vAlign w:val="center"/>
          </w:tcPr>
          <w:p w:rsidR="00317301" w:rsidRPr="0025560D" w:rsidRDefault="00317301" w:rsidP="0025560D">
            <w:pPr>
              <w:ind w:right="-4"/>
              <w:jc w:val="center"/>
              <w:rPr>
                <w:lang w:val="en-GB"/>
              </w:rPr>
            </w:pPr>
            <w:r w:rsidRPr="0025560D">
              <w:rPr>
                <w:lang w:val="en-GB"/>
              </w:rPr>
              <w:t>0</w:t>
            </w:r>
          </w:p>
        </w:tc>
      </w:tr>
      <w:tr w:rsidR="00317301" w:rsidRPr="0025560D" w:rsidTr="0025560D">
        <w:trPr>
          <w:jc w:val="center"/>
        </w:trPr>
        <w:tc>
          <w:tcPr>
            <w:tcW w:w="4561" w:type="dxa"/>
          </w:tcPr>
          <w:p w:rsidR="00317301" w:rsidRPr="0025560D" w:rsidRDefault="00317301" w:rsidP="00B13D97">
            <w:pPr>
              <w:rPr>
                <w:b/>
                <w:lang w:val="en-GB"/>
              </w:rPr>
            </w:pPr>
            <w:r w:rsidRPr="0025560D">
              <w:rPr>
                <w:b/>
                <w:lang w:val="en-GB"/>
              </w:rPr>
              <w:t>Total Project Costs</w:t>
            </w:r>
          </w:p>
        </w:tc>
        <w:tc>
          <w:tcPr>
            <w:tcW w:w="1184" w:type="dxa"/>
            <w:vAlign w:val="center"/>
          </w:tcPr>
          <w:p w:rsidR="00317301" w:rsidRPr="0025560D" w:rsidRDefault="00317301" w:rsidP="0025560D">
            <w:pPr>
              <w:ind w:right="-4"/>
              <w:jc w:val="center"/>
              <w:rPr>
                <w:b/>
                <w:lang w:val="en-GB"/>
              </w:rPr>
            </w:pPr>
            <w:r w:rsidRPr="0025560D">
              <w:rPr>
                <w:b/>
                <w:lang w:val="en-GB"/>
              </w:rPr>
              <w:t>51.7</w:t>
            </w:r>
          </w:p>
        </w:tc>
        <w:tc>
          <w:tcPr>
            <w:tcW w:w="1459" w:type="dxa"/>
            <w:vAlign w:val="center"/>
          </w:tcPr>
          <w:p w:rsidR="00317301" w:rsidRPr="0025560D" w:rsidRDefault="00317301" w:rsidP="0025560D">
            <w:pPr>
              <w:ind w:right="-4"/>
              <w:jc w:val="center"/>
              <w:rPr>
                <w:b/>
                <w:lang w:val="en-GB"/>
              </w:rPr>
            </w:pPr>
            <w:r w:rsidRPr="0025560D">
              <w:rPr>
                <w:b/>
                <w:lang w:val="en-GB"/>
              </w:rPr>
              <w:t>35.0</w:t>
            </w:r>
          </w:p>
        </w:tc>
        <w:tc>
          <w:tcPr>
            <w:tcW w:w="1871" w:type="dxa"/>
            <w:vAlign w:val="center"/>
          </w:tcPr>
          <w:p w:rsidR="00317301" w:rsidRPr="0025560D" w:rsidRDefault="00317301" w:rsidP="0025560D">
            <w:pPr>
              <w:ind w:right="-4"/>
              <w:jc w:val="center"/>
              <w:rPr>
                <w:b/>
                <w:lang w:val="en-GB"/>
              </w:rPr>
            </w:pPr>
            <w:r w:rsidRPr="0025560D">
              <w:rPr>
                <w:b/>
                <w:lang w:val="en-GB"/>
              </w:rPr>
              <w:t>16.7</w:t>
            </w:r>
          </w:p>
        </w:tc>
      </w:tr>
      <w:tr w:rsidR="00317301" w:rsidTr="0025560D">
        <w:trPr>
          <w:jc w:val="center"/>
        </w:trPr>
        <w:tc>
          <w:tcPr>
            <w:tcW w:w="4561" w:type="dxa"/>
          </w:tcPr>
          <w:p w:rsidR="00317301" w:rsidRPr="0025560D" w:rsidRDefault="00317301" w:rsidP="00A9151C">
            <w:pPr>
              <w:rPr>
                <w:lang w:val="en-GB"/>
              </w:rPr>
            </w:pPr>
            <w:r w:rsidRPr="0025560D">
              <w:rPr>
                <w:lang w:val="en-GB"/>
              </w:rPr>
              <w:t xml:space="preserve">   EU “Visibility” (Recipient-Executed)</w:t>
            </w:r>
          </w:p>
        </w:tc>
        <w:tc>
          <w:tcPr>
            <w:tcW w:w="1184" w:type="dxa"/>
            <w:vAlign w:val="center"/>
          </w:tcPr>
          <w:p w:rsidR="00317301" w:rsidRPr="0025560D" w:rsidRDefault="00317301" w:rsidP="0025560D">
            <w:pPr>
              <w:ind w:right="-4"/>
              <w:jc w:val="center"/>
              <w:rPr>
                <w:lang w:val="en-GB"/>
              </w:rPr>
            </w:pPr>
            <w:r w:rsidRPr="0025560D">
              <w:rPr>
                <w:lang w:val="en-GB"/>
              </w:rPr>
              <w:t>0.1</w:t>
            </w:r>
          </w:p>
        </w:tc>
        <w:tc>
          <w:tcPr>
            <w:tcW w:w="1459" w:type="dxa"/>
            <w:vAlign w:val="center"/>
          </w:tcPr>
          <w:p w:rsidR="00317301" w:rsidRPr="0025560D" w:rsidRDefault="00317301" w:rsidP="0025560D">
            <w:pPr>
              <w:ind w:right="-4"/>
              <w:jc w:val="center"/>
              <w:rPr>
                <w:lang w:val="en-GB"/>
              </w:rPr>
            </w:pPr>
            <w:r w:rsidRPr="0025560D">
              <w:rPr>
                <w:lang w:val="en-GB"/>
              </w:rPr>
              <w:t>0.1</w:t>
            </w:r>
          </w:p>
        </w:tc>
        <w:tc>
          <w:tcPr>
            <w:tcW w:w="1871" w:type="dxa"/>
            <w:vAlign w:val="center"/>
          </w:tcPr>
          <w:p w:rsidR="00317301" w:rsidRPr="0025560D" w:rsidRDefault="00317301" w:rsidP="0025560D">
            <w:pPr>
              <w:ind w:right="-4"/>
              <w:jc w:val="center"/>
              <w:rPr>
                <w:lang w:val="en-GB"/>
              </w:rPr>
            </w:pPr>
            <w:r w:rsidRPr="0025560D">
              <w:rPr>
                <w:lang w:val="en-GB"/>
              </w:rPr>
              <w:t>0</w:t>
            </w:r>
          </w:p>
        </w:tc>
      </w:tr>
      <w:tr w:rsidR="00317301" w:rsidTr="0025560D">
        <w:trPr>
          <w:jc w:val="center"/>
        </w:trPr>
        <w:tc>
          <w:tcPr>
            <w:tcW w:w="4561" w:type="dxa"/>
          </w:tcPr>
          <w:p w:rsidR="00317301" w:rsidRPr="0025560D" w:rsidRDefault="00317301" w:rsidP="00707866">
            <w:pPr>
              <w:rPr>
                <w:lang w:val="en-GB"/>
              </w:rPr>
            </w:pPr>
            <w:r w:rsidRPr="0025560D">
              <w:rPr>
                <w:lang w:val="en-GB"/>
              </w:rPr>
              <w:t xml:space="preserve">   Physical Contingencies (Recipient-Executed)</w:t>
            </w:r>
          </w:p>
        </w:tc>
        <w:tc>
          <w:tcPr>
            <w:tcW w:w="1184" w:type="dxa"/>
            <w:vAlign w:val="center"/>
          </w:tcPr>
          <w:p w:rsidR="00317301" w:rsidRPr="0025560D" w:rsidRDefault="00317301" w:rsidP="0025560D">
            <w:pPr>
              <w:ind w:right="-4"/>
              <w:jc w:val="center"/>
              <w:rPr>
                <w:lang w:val="en-GB"/>
              </w:rPr>
            </w:pPr>
            <w:r w:rsidRPr="0025560D">
              <w:rPr>
                <w:lang w:val="en-GB"/>
              </w:rPr>
              <w:t>0.1</w:t>
            </w:r>
          </w:p>
        </w:tc>
        <w:tc>
          <w:tcPr>
            <w:tcW w:w="1459" w:type="dxa"/>
            <w:vAlign w:val="center"/>
          </w:tcPr>
          <w:p w:rsidR="00317301" w:rsidRPr="0025560D" w:rsidRDefault="00317301" w:rsidP="0025560D">
            <w:pPr>
              <w:ind w:right="-4"/>
              <w:jc w:val="center"/>
              <w:rPr>
                <w:lang w:val="en-GB"/>
              </w:rPr>
            </w:pPr>
            <w:r w:rsidRPr="0025560D">
              <w:rPr>
                <w:lang w:val="en-GB"/>
              </w:rPr>
              <w:t>0.1</w:t>
            </w:r>
          </w:p>
        </w:tc>
        <w:tc>
          <w:tcPr>
            <w:tcW w:w="1871" w:type="dxa"/>
            <w:vAlign w:val="center"/>
          </w:tcPr>
          <w:p w:rsidR="00317301" w:rsidRPr="0025560D" w:rsidRDefault="00317301" w:rsidP="0025560D">
            <w:pPr>
              <w:ind w:right="-4"/>
              <w:jc w:val="center"/>
              <w:rPr>
                <w:lang w:val="en-GB"/>
              </w:rPr>
            </w:pPr>
            <w:r w:rsidRPr="0025560D">
              <w:rPr>
                <w:lang w:val="en-GB"/>
              </w:rPr>
              <w:t>0</w:t>
            </w:r>
          </w:p>
        </w:tc>
      </w:tr>
      <w:tr w:rsidR="00317301" w:rsidTr="0025560D">
        <w:trPr>
          <w:jc w:val="center"/>
        </w:trPr>
        <w:tc>
          <w:tcPr>
            <w:tcW w:w="4561" w:type="dxa"/>
          </w:tcPr>
          <w:p w:rsidR="00317301" w:rsidRPr="0025560D" w:rsidRDefault="00317301" w:rsidP="00A9151C">
            <w:pPr>
              <w:rPr>
                <w:b/>
                <w:lang w:val="en-GB"/>
              </w:rPr>
            </w:pPr>
            <w:r w:rsidRPr="0025560D">
              <w:rPr>
                <w:b/>
                <w:lang w:val="en-GB"/>
              </w:rPr>
              <w:t>TOTAL FINANCING REQUIRED</w:t>
            </w:r>
          </w:p>
        </w:tc>
        <w:tc>
          <w:tcPr>
            <w:tcW w:w="1184" w:type="dxa"/>
            <w:vAlign w:val="center"/>
          </w:tcPr>
          <w:p w:rsidR="00317301" w:rsidRPr="0025560D" w:rsidRDefault="00317301" w:rsidP="0025560D">
            <w:pPr>
              <w:ind w:right="-4"/>
              <w:jc w:val="center"/>
              <w:rPr>
                <w:lang w:val="en-GB"/>
              </w:rPr>
            </w:pPr>
            <w:r w:rsidRPr="0025560D">
              <w:rPr>
                <w:lang w:val="en-GB"/>
              </w:rPr>
              <w:t>5</w:t>
            </w:r>
            <w:r w:rsidR="002215A3" w:rsidRPr="0025560D">
              <w:rPr>
                <w:lang w:val="en-GB"/>
              </w:rPr>
              <w:t>1</w:t>
            </w:r>
            <w:r w:rsidRPr="0025560D">
              <w:rPr>
                <w:lang w:val="en-GB"/>
              </w:rPr>
              <w:t>.</w:t>
            </w:r>
            <w:r w:rsidR="002215A3" w:rsidRPr="0025560D">
              <w:rPr>
                <w:lang w:val="en-GB"/>
              </w:rPr>
              <w:t>9</w:t>
            </w:r>
          </w:p>
        </w:tc>
        <w:tc>
          <w:tcPr>
            <w:tcW w:w="1459" w:type="dxa"/>
            <w:vAlign w:val="center"/>
          </w:tcPr>
          <w:p w:rsidR="00317301" w:rsidRPr="0025560D" w:rsidRDefault="00317301" w:rsidP="0025560D">
            <w:pPr>
              <w:ind w:right="-4"/>
              <w:jc w:val="center"/>
              <w:rPr>
                <w:lang w:val="en-GB"/>
              </w:rPr>
            </w:pPr>
            <w:r w:rsidRPr="0025560D">
              <w:rPr>
                <w:lang w:val="en-GB"/>
              </w:rPr>
              <w:t>3</w:t>
            </w:r>
            <w:r w:rsidR="008E24DD" w:rsidRPr="0025560D">
              <w:rPr>
                <w:lang w:val="en-GB"/>
              </w:rPr>
              <w:t>5</w:t>
            </w:r>
            <w:r w:rsidRPr="0025560D">
              <w:rPr>
                <w:lang w:val="en-GB"/>
              </w:rPr>
              <w:t>.</w:t>
            </w:r>
            <w:r w:rsidR="008E24DD" w:rsidRPr="0025560D">
              <w:rPr>
                <w:lang w:val="en-GB"/>
              </w:rPr>
              <w:t>2</w:t>
            </w:r>
          </w:p>
        </w:tc>
        <w:tc>
          <w:tcPr>
            <w:tcW w:w="1871" w:type="dxa"/>
            <w:vAlign w:val="center"/>
          </w:tcPr>
          <w:p w:rsidR="00317301" w:rsidRPr="0025560D" w:rsidRDefault="00317301" w:rsidP="0025560D">
            <w:pPr>
              <w:ind w:right="-4"/>
              <w:jc w:val="center"/>
              <w:rPr>
                <w:lang w:val="en-GB"/>
              </w:rPr>
            </w:pPr>
            <w:r w:rsidRPr="0025560D">
              <w:rPr>
                <w:lang w:val="en-GB"/>
              </w:rPr>
              <w:t>16.7</w:t>
            </w:r>
          </w:p>
        </w:tc>
      </w:tr>
    </w:tbl>
    <w:p w:rsidR="002A6B7D" w:rsidRDefault="002A6B7D" w:rsidP="005E679B">
      <w:pPr>
        <w:pStyle w:val="Heading2"/>
        <w:ind w:left="1080" w:hanging="360"/>
        <w:jc w:val="left"/>
        <w:rPr>
          <w:lang w:val="en-GB"/>
        </w:rPr>
      </w:pPr>
    </w:p>
    <w:p w:rsidR="00752F9F" w:rsidRPr="00F76496" w:rsidRDefault="005E679B" w:rsidP="005E679B">
      <w:pPr>
        <w:pStyle w:val="Heading2"/>
        <w:ind w:left="1080" w:hanging="360"/>
        <w:jc w:val="left"/>
        <w:rPr>
          <w:lang w:val="en-GB"/>
        </w:rPr>
      </w:pPr>
      <w:bookmarkStart w:id="22" w:name="_Toc354067271"/>
      <w:r>
        <w:rPr>
          <w:lang w:val="en-GB"/>
        </w:rPr>
        <w:t>C.</w:t>
      </w:r>
      <w:r>
        <w:rPr>
          <w:lang w:val="en-GB"/>
        </w:rPr>
        <w:tab/>
      </w:r>
      <w:r w:rsidR="00752F9F" w:rsidRPr="00F76496">
        <w:rPr>
          <w:lang w:val="en-GB"/>
        </w:rPr>
        <w:t>Lessons Learned and Reflected in the Project Design</w:t>
      </w:r>
      <w:bookmarkEnd w:id="22"/>
      <w:r w:rsidR="00752F9F" w:rsidRPr="00F76496">
        <w:rPr>
          <w:lang w:val="en-GB"/>
        </w:rPr>
        <w:t xml:space="preserve"> </w:t>
      </w:r>
    </w:p>
    <w:p w:rsidR="0069249D" w:rsidRDefault="0069249D">
      <w:pPr>
        <w:rPr>
          <w:lang w:val="en-GB"/>
        </w:rPr>
      </w:pPr>
    </w:p>
    <w:p w:rsidR="00A550B7" w:rsidRPr="003A6F78" w:rsidRDefault="000C16FA" w:rsidP="005E2993">
      <w:pPr>
        <w:pStyle w:val="ListParagraph"/>
        <w:numPr>
          <w:ilvl w:val="0"/>
          <w:numId w:val="24"/>
        </w:numPr>
        <w:ind w:left="0" w:firstLine="0"/>
        <w:jc w:val="both"/>
        <w:rPr>
          <w:lang w:val="en-GB"/>
        </w:rPr>
      </w:pPr>
      <w:r>
        <w:rPr>
          <w:bCs/>
        </w:rPr>
        <w:t xml:space="preserve">The </w:t>
      </w:r>
      <w:r w:rsidR="002677F2" w:rsidRPr="00352277">
        <w:rPr>
          <w:bCs/>
        </w:rPr>
        <w:t>Project</w:t>
      </w:r>
      <w:r w:rsidR="00842D4A" w:rsidRPr="00352277">
        <w:rPr>
          <w:bCs/>
        </w:rPr>
        <w:t xml:space="preserve"> </w:t>
      </w:r>
      <w:r w:rsidR="005B3949" w:rsidRPr="00352277">
        <w:rPr>
          <w:bCs/>
        </w:rPr>
        <w:t xml:space="preserve">design </w:t>
      </w:r>
      <w:r w:rsidR="002717C2">
        <w:rPr>
          <w:bCs/>
        </w:rPr>
        <w:t xml:space="preserve">incorporates </w:t>
      </w:r>
      <w:r w:rsidR="00842D4A" w:rsidRPr="00352277">
        <w:rPr>
          <w:bCs/>
        </w:rPr>
        <w:t xml:space="preserve">lessons learned from previous </w:t>
      </w:r>
      <w:r w:rsidR="00FD20F7">
        <w:rPr>
          <w:bCs/>
        </w:rPr>
        <w:t>Bank</w:t>
      </w:r>
      <w:r w:rsidR="00842D4A" w:rsidRPr="00352277">
        <w:rPr>
          <w:bCs/>
        </w:rPr>
        <w:t xml:space="preserve"> </w:t>
      </w:r>
      <w:r w:rsidR="00FC6D45">
        <w:rPr>
          <w:bCs/>
        </w:rPr>
        <w:t xml:space="preserve">financed </w:t>
      </w:r>
      <w:r w:rsidR="00842D4A" w:rsidRPr="00352277">
        <w:rPr>
          <w:bCs/>
        </w:rPr>
        <w:t xml:space="preserve">operations, analytical work and prior </w:t>
      </w:r>
      <w:r w:rsidR="005B3949" w:rsidRPr="00352277">
        <w:rPr>
          <w:bCs/>
        </w:rPr>
        <w:t xml:space="preserve">education </w:t>
      </w:r>
      <w:r w:rsidR="002677F2" w:rsidRPr="00352277">
        <w:rPr>
          <w:bCs/>
        </w:rPr>
        <w:t>Project</w:t>
      </w:r>
      <w:r w:rsidR="00842D4A" w:rsidRPr="00352277">
        <w:rPr>
          <w:bCs/>
        </w:rPr>
        <w:t>s implemented in Nicaragua</w:t>
      </w:r>
      <w:r w:rsidR="005B3949" w:rsidRPr="00352277">
        <w:rPr>
          <w:bCs/>
        </w:rPr>
        <w:t>,</w:t>
      </w:r>
      <w:r w:rsidR="00842D4A" w:rsidRPr="00352277">
        <w:rPr>
          <w:bCs/>
        </w:rPr>
        <w:t xml:space="preserve"> such as (i) </w:t>
      </w:r>
      <w:r w:rsidR="00FD20F7">
        <w:rPr>
          <w:bCs/>
        </w:rPr>
        <w:t>PASEN I</w:t>
      </w:r>
      <w:r w:rsidR="008F0436">
        <w:rPr>
          <w:bCs/>
        </w:rPr>
        <w:t xml:space="preserve"> and </w:t>
      </w:r>
      <w:r w:rsidR="00FD20F7">
        <w:rPr>
          <w:bCs/>
        </w:rPr>
        <w:t>PAS</w:t>
      </w:r>
      <w:r w:rsidR="00AD36E4">
        <w:rPr>
          <w:bCs/>
        </w:rPr>
        <w:t>EN II</w:t>
      </w:r>
      <w:r w:rsidR="00FD20F7">
        <w:rPr>
          <w:bCs/>
        </w:rPr>
        <w:t xml:space="preserve"> (ii) </w:t>
      </w:r>
      <w:r w:rsidR="00842D4A" w:rsidRPr="00352277">
        <w:rPr>
          <w:bCs/>
        </w:rPr>
        <w:t>APRENDE I</w:t>
      </w:r>
      <w:r w:rsidR="00832587" w:rsidRPr="00352277">
        <w:rPr>
          <w:bCs/>
        </w:rPr>
        <w:t xml:space="preserve"> </w:t>
      </w:r>
      <w:r w:rsidR="00842D4A" w:rsidRPr="00352277">
        <w:rPr>
          <w:bCs/>
        </w:rPr>
        <w:t xml:space="preserve">and </w:t>
      </w:r>
      <w:r w:rsidR="00FD20F7">
        <w:rPr>
          <w:bCs/>
        </w:rPr>
        <w:t xml:space="preserve">APRENDE </w:t>
      </w:r>
      <w:r w:rsidR="00842D4A" w:rsidRPr="00352277">
        <w:rPr>
          <w:bCs/>
        </w:rPr>
        <w:t>II</w:t>
      </w:r>
      <w:r w:rsidR="005B3949" w:rsidRPr="00352277">
        <w:rPr>
          <w:bCs/>
        </w:rPr>
        <w:t>;</w:t>
      </w:r>
      <w:r w:rsidR="00842D4A" w:rsidRPr="00352277">
        <w:rPr>
          <w:bCs/>
        </w:rPr>
        <w:t xml:space="preserve"> </w:t>
      </w:r>
      <w:r w:rsidR="008F0436">
        <w:rPr>
          <w:bCs/>
        </w:rPr>
        <w:t xml:space="preserve">and </w:t>
      </w:r>
      <w:r w:rsidR="00842D4A" w:rsidRPr="00352277">
        <w:rPr>
          <w:bCs/>
        </w:rPr>
        <w:t>(iii) the first EFA-F</w:t>
      </w:r>
      <w:r w:rsidR="00FB109A" w:rsidRPr="00352277">
        <w:rPr>
          <w:bCs/>
        </w:rPr>
        <w:t>und</w:t>
      </w:r>
      <w:r w:rsidR="005B3949" w:rsidRPr="00352277">
        <w:rPr>
          <w:bCs/>
        </w:rPr>
        <w:t xml:space="preserve"> program</w:t>
      </w:r>
      <w:r w:rsidR="000E42BE">
        <w:rPr>
          <w:bCs/>
        </w:rPr>
        <w:t xml:space="preserve"> </w:t>
      </w:r>
      <w:r w:rsidR="0046061E" w:rsidRPr="0046061E">
        <w:rPr>
          <w:bCs/>
        </w:rPr>
        <w:t>(TF057311</w:t>
      </w:r>
      <w:r w:rsidR="000E42BE" w:rsidRPr="0046061E">
        <w:rPr>
          <w:bCs/>
        </w:rPr>
        <w:t>)</w:t>
      </w:r>
      <w:r w:rsidR="00E5321C" w:rsidRPr="00352277">
        <w:rPr>
          <w:bCs/>
        </w:rPr>
        <w:t>.</w:t>
      </w:r>
      <w:r w:rsidR="008E4C1C">
        <w:rPr>
          <w:bCs/>
        </w:rPr>
        <w:t xml:space="preserve"> The</w:t>
      </w:r>
      <w:r w:rsidR="00A550B7">
        <w:rPr>
          <w:bCs/>
        </w:rPr>
        <w:t xml:space="preserve"> experience with PASEN I highlighted the importance of increased institutional analysis and implementation support</w:t>
      </w:r>
      <w:r w:rsidR="000E42BE">
        <w:rPr>
          <w:bCs/>
        </w:rPr>
        <w:t xml:space="preserve">. </w:t>
      </w:r>
      <w:r w:rsidR="0046061E">
        <w:rPr>
          <w:bCs/>
        </w:rPr>
        <w:t xml:space="preserve"> </w:t>
      </w:r>
      <w:r w:rsidR="00EC3F17">
        <w:rPr>
          <w:bCs/>
        </w:rPr>
        <w:t xml:space="preserve">A </w:t>
      </w:r>
      <w:r w:rsidR="000E42BE">
        <w:rPr>
          <w:bCs/>
        </w:rPr>
        <w:t>General Directorate</w:t>
      </w:r>
      <w:r w:rsidR="00A550B7">
        <w:rPr>
          <w:bCs/>
        </w:rPr>
        <w:t xml:space="preserve">-level institutional assessment of MINED led to definition of technical assistance, equipment and training needs which would be financed </w:t>
      </w:r>
      <w:r w:rsidR="00A550B7" w:rsidRPr="00F76496">
        <w:rPr>
          <w:bCs/>
        </w:rPr>
        <w:t xml:space="preserve">with </w:t>
      </w:r>
      <w:r w:rsidR="00A550B7">
        <w:rPr>
          <w:bCs/>
        </w:rPr>
        <w:t>the</w:t>
      </w:r>
      <w:r w:rsidR="00A550B7" w:rsidRPr="00F76496">
        <w:rPr>
          <w:bCs/>
        </w:rPr>
        <w:t xml:space="preserve"> objective of building capacity for implementation of </w:t>
      </w:r>
      <w:r w:rsidR="00A550B7">
        <w:rPr>
          <w:bCs/>
        </w:rPr>
        <w:t xml:space="preserve">both </w:t>
      </w:r>
      <w:r w:rsidR="002717C2">
        <w:rPr>
          <w:bCs/>
        </w:rPr>
        <w:t xml:space="preserve">PASEN II and </w:t>
      </w:r>
      <w:r w:rsidR="00C54A4C">
        <w:rPr>
          <w:bCs/>
        </w:rPr>
        <w:t>the Project</w:t>
      </w:r>
      <w:r w:rsidR="002717C2">
        <w:rPr>
          <w:bCs/>
        </w:rPr>
        <w:t>.</w:t>
      </w:r>
      <w:r w:rsidR="00A550B7">
        <w:rPr>
          <w:bCs/>
        </w:rPr>
        <w:t xml:space="preserve"> </w:t>
      </w:r>
    </w:p>
    <w:p w:rsidR="00E5321C" w:rsidRPr="00A550B7" w:rsidRDefault="00E5321C" w:rsidP="00E5321C">
      <w:pPr>
        <w:pStyle w:val="ListParagraph"/>
        <w:ind w:left="0"/>
        <w:jc w:val="both"/>
        <w:rPr>
          <w:color w:val="000000"/>
        </w:rPr>
      </w:pPr>
    </w:p>
    <w:p w:rsidR="000140D9" w:rsidRDefault="008F0436" w:rsidP="005E2993">
      <w:pPr>
        <w:pStyle w:val="ListParagraph"/>
        <w:numPr>
          <w:ilvl w:val="0"/>
          <w:numId w:val="24"/>
        </w:numPr>
        <w:ind w:left="0" w:firstLine="0"/>
        <w:jc w:val="both"/>
        <w:rPr>
          <w:bCs/>
        </w:rPr>
      </w:pPr>
      <w:r>
        <w:rPr>
          <w:bCs/>
        </w:rPr>
        <w:t>T</w:t>
      </w:r>
      <w:r w:rsidR="000C16FA">
        <w:rPr>
          <w:bCs/>
        </w:rPr>
        <w:t xml:space="preserve">he </w:t>
      </w:r>
      <w:r w:rsidR="00575F39" w:rsidRPr="002F0310">
        <w:rPr>
          <w:bCs/>
        </w:rPr>
        <w:t>P</w:t>
      </w:r>
      <w:r w:rsidR="009D37E7" w:rsidRPr="002F0310">
        <w:rPr>
          <w:bCs/>
        </w:rPr>
        <w:t xml:space="preserve">roject </w:t>
      </w:r>
      <w:r w:rsidR="00EC3F17">
        <w:rPr>
          <w:bCs/>
        </w:rPr>
        <w:t xml:space="preserve">also </w:t>
      </w:r>
      <w:r w:rsidR="009D37E7" w:rsidRPr="002F0310">
        <w:rPr>
          <w:bCs/>
        </w:rPr>
        <w:t>draws on</w:t>
      </w:r>
      <w:r w:rsidR="00352984" w:rsidRPr="002F0310">
        <w:rPr>
          <w:bCs/>
        </w:rPr>
        <w:t xml:space="preserve"> the experience of </w:t>
      </w:r>
      <w:r w:rsidR="0079678E" w:rsidRPr="002F0310">
        <w:rPr>
          <w:bCs/>
        </w:rPr>
        <w:t>Bank</w:t>
      </w:r>
      <w:r w:rsidR="00352984" w:rsidRPr="002F0310">
        <w:rPr>
          <w:bCs/>
        </w:rPr>
        <w:t xml:space="preserve">-financed </w:t>
      </w:r>
      <w:r w:rsidR="00F75747">
        <w:rPr>
          <w:bCs/>
        </w:rPr>
        <w:t>preschool</w:t>
      </w:r>
      <w:r w:rsidR="00352277" w:rsidRPr="002F0310">
        <w:rPr>
          <w:bCs/>
        </w:rPr>
        <w:t>, primary and secondary education</w:t>
      </w:r>
      <w:r w:rsidR="00352984" w:rsidRPr="002F0310">
        <w:rPr>
          <w:bCs/>
        </w:rPr>
        <w:t xml:space="preserve"> </w:t>
      </w:r>
      <w:r w:rsidR="002677F2" w:rsidRPr="002F0310">
        <w:rPr>
          <w:bCs/>
        </w:rPr>
        <w:t>Project</w:t>
      </w:r>
      <w:r w:rsidR="00352984" w:rsidRPr="002F0310">
        <w:rPr>
          <w:bCs/>
        </w:rPr>
        <w:t xml:space="preserve">s around the world, </w:t>
      </w:r>
      <w:r w:rsidR="009D37E7" w:rsidRPr="002F0310">
        <w:rPr>
          <w:bCs/>
        </w:rPr>
        <w:t xml:space="preserve">which </w:t>
      </w:r>
      <w:r w:rsidR="00A97FB5" w:rsidRPr="002F0310">
        <w:rPr>
          <w:bCs/>
        </w:rPr>
        <w:t>highlights</w:t>
      </w:r>
      <w:r w:rsidR="00BF66C7" w:rsidRPr="002F0310">
        <w:rPr>
          <w:bCs/>
        </w:rPr>
        <w:t xml:space="preserve"> the importance of </w:t>
      </w:r>
      <w:r w:rsidR="00A97FB5" w:rsidRPr="002F0310">
        <w:rPr>
          <w:bCs/>
        </w:rPr>
        <w:t xml:space="preserve">focusing on </w:t>
      </w:r>
      <w:r w:rsidR="00352277" w:rsidRPr="002F0310">
        <w:rPr>
          <w:bCs/>
        </w:rPr>
        <w:t xml:space="preserve">quality, </w:t>
      </w:r>
      <w:r w:rsidR="0046061E">
        <w:rPr>
          <w:bCs/>
        </w:rPr>
        <w:t>completion</w:t>
      </w:r>
      <w:r w:rsidR="009D37E7" w:rsidRPr="002F0310">
        <w:rPr>
          <w:bCs/>
        </w:rPr>
        <w:t xml:space="preserve"> </w:t>
      </w:r>
      <w:r w:rsidR="00352984" w:rsidRPr="002F0310">
        <w:rPr>
          <w:bCs/>
        </w:rPr>
        <w:t xml:space="preserve">and </w:t>
      </w:r>
      <w:r w:rsidR="002E0F8C" w:rsidRPr="002F0310">
        <w:rPr>
          <w:bCs/>
        </w:rPr>
        <w:t xml:space="preserve">measurable </w:t>
      </w:r>
      <w:r w:rsidR="00352984" w:rsidRPr="002F0310">
        <w:rPr>
          <w:bCs/>
        </w:rPr>
        <w:t xml:space="preserve">student learning, </w:t>
      </w:r>
      <w:r w:rsidR="0046061E">
        <w:rPr>
          <w:bCs/>
        </w:rPr>
        <w:t>as well as</w:t>
      </w:r>
      <w:r w:rsidR="009D37E7" w:rsidRPr="002F0310">
        <w:rPr>
          <w:bCs/>
        </w:rPr>
        <w:t xml:space="preserve"> </w:t>
      </w:r>
      <w:r w:rsidR="00352984" w:rsidRPr="002F0310">
        <w:rPr>
          <w:bCs/>
        </w:rPr>
        <w:t>expanded access</w:t>
      </w:r>
      <w:r w:rsidR="0046061E">
        <w:rPr>
          <w:bCs/>
        </w:rPr>
        <w:t>.</w:t>
      </w:r>
      <w:r w:rsidR="0031191D" w:rsidRPr="002F0310">
        <w:rPr>
          <w:bCs/>
        </w:rPr>
        <w:t xml:space="preserve">  </w:t>
      </w:r>
      <w:r w:rsidR="00352984" w:rsidRPr="002F0310">
        <w:rPr>
          <w:bCs/>
        </w:rPr>
        <w:t xml:space="preserve"> </w:t>
      </w:r>
      <w:r w:rsidR="002F0310">
        <w:rPr>
          <w:bCs/>
        </w:rPr>
        <w:t>More s</w:t>
      </w:r>
      <w:r w:rsidR="00036167" w:rsidRPr="002F0310">
        <w:rPr>
          <w:bCs/>
        </w:rPr>
        <w:t>pecifically, in addition to providing a wide range of high-quality materials designed to boos</w:t>
      </w:r>
      <w:r w:rsidR="0046061E">
        <w:rPr>
          <w:bCs/>
        </w:rPr>
        <w:t>t student learning and completion</w:t>
      </w:r>
      <w:r w:rsidR="00036167" w:rsidRPr="002F0310">
        <w:rPr>
          <w:bCs/>
        </w:rPr>
        <w:t xml:space="preserve">, the Project </w:t>
      </w:r>
      <w:r w:rsidR="00D60430" w:rsidRPr="002F0310">
        <w:rPr>
          <w:bCs/>
        </w:rPr>
        <w:t>would</w:t>
      </w:r>
      <w:r w:rsidR="00036167" w:rsidRPr="002F0310">
        <w:rPr>
          <w:bCs/>
        </w:rPr>
        <w:t xml:space="preserve"> </w:t>
      </w:r>
      <w:r w:rsidR="006B046F" w:rsidRPr="002F0310">
        <w:rPr>
          <w:bCs/>
        </w:rPr>
        <w:t>draw on</w:t>
      </w:r>
      <w:r w:rsidR="00036167" w:rsidRPr="002F0310">
        <w:rPr>
          <w:bCs/>
        </w:rPr>
        <w:t xml:space="preserve"> </w:t>
      </w:r>
      <w:r w:rsidR="00352277" w:rsidRPr="002F0310">
        <w:rPr>
          <w:bCs/>
        </w:rPr>
        <w:t xml:space="preserve">PASEN I’s experience supporting teacher effectiveness, with the expansion and adaptation of the TEPCEs program to emphasize teacher subject matter knowledge and pedagogical strategies. </w:t>
      </w:r>
      <w:r w:rsidR="007B0301">
        <w:rPr>
          <w:bCs/>
        </w:rPr>
        <w:t xml:space="preserve"> D</w:t>
      </w:r>
      <w:r w:rsidR="00A97FB5" w:rsidRPr="002F0310">
        <w:rPr>
          <w:bCs/>
        </w:rPr>
        <w:t xml:space="preserve">rawing from new research </w:t>
      </w:r>
      <w:r w:rsidR="00A97FB5" w:rsidRPr="002F0310">
        <w:rPr>
          <w:bCs/>
        </w:rPr>
        <w:lastRenderedPageBreak/>
        <w:t>regarding</w:t>
      </w:r>
      <w:r w:rsidR="0031191D" w:rsidRPr="002F0310">
        <w:rPr>
          <w:bCs/>
        </w:rPr>
        <w:t xml:space="preserve"> </w:t>
      </w:r>
      <w:r w:rsidR="001F0910" w:rsidRPr="002F0310">
        <w:rPr>
          <w:bCs/>
        </w:rPr>
        <w:t xml:space="preserve">the impact of </w:t>
      </w:r>
      <w:r w:rsidR="0031191D" w:rsidRPr="002F0310">
        <w:rPr>
          <w:bCs/>
        </w:rPr>
        <w:t>accountability reforms</w:t>
      </w:r>
      <w:r w:rsidR="0031191D">
        <w:rPr>
          <w:rStyle w:val="FootnoteReference"/>
          <w:bCs/>
        </w:rPr>
        <w:footnoteReference w:id="14"/>
      </w:r>
      <w:r w:rsidR="0031191D" w:rsidRPr="002F0310">
        <w:rPr>
          <w:bCs/>
        </w:rPr>
        <w:t xml:space="preserve">, the Project would support the dissemination of </w:t>
      </w:r>
      <w:r w:rsidR="00173BA7">
        <w:rPr>
          <w:bCs/>
        </w:rPr>
        <w:t>g</w:t>
      </w:r>
      <w:r w:rsidR="00352277" w:rsidRPr="002F0310">
        <w:rPr>
          <w:bCs/>
        </w:rPr>
        <w:t xml:space="preserve">rade 9 </w:t>
      </w:r>
      <w:r w:rsidR="0031191D" w:rsidRPr="002F0310">
        <w:rPr>
          <w:bCs/>
        </w:rPr>
        <w:t>learning assessment results to different stakeholders</w:t>
      </w:r>
      <w:r w:rsidR="00A97FB5" w:rsidRPr="002F0310">
        <w:rPr>
          <w:bCs/>
        </w:rPr>
        <w:t>,</w:t>
      </w:r>
      <w:r w:rsidR="0031191D" w:rsidRPr="002F0310">
        <w:rPr>
          <w:bCs/>
        </w:rPr>
        <w:t xml:space="preserve"> </w:t>
      </w:r>
      <w:r w:rsidR="001F0910" w:rsidRPr="002F0310">
        <w:rPr>
          <w:bCs/>
        </w:rPr>
        <w:t>enhancing</w:t>
      </w:r>
      <w:r w:rsidR="0031191D" w:rsidRPr="002F0310">
        <w:rPr>
          <w:bCs/>
        </w:rPr>
        <w:t xml:space="preserve"> accountability</w:t>
      </w:r>
      <w:r w:rsidR="008008AA" w:rsidRPr="002F0310">
        <w:rPr>
          <w:bCs/>
        </w:rPr>
        <w:t xml:space="preserve"> through better information and </w:t>
      </w:r>
      <w:r w:rsidR="001F0910" w:rsidRPr="002F0310">
        <w:rPr>
          <w:bCs/>
        </w:rPr>
        <w:t xml:space="preserve">expanded </w:t>
      </w:r>
      <w:r w:rsidR="008008AA" w:rsidRPr="002F0310">
        <w:rPr>
          <w:bCs/>
        </w:rPr>
        <w:t>participation.</w:t>
      </w:r>
      <w:r w:rsidR="0031191D" w:rsidRPr="002F0310">
        <w:rPr>
          <w:bCs/>
        </w:rPr>
        <w:t xml:space="preserve"> </w:t>
      </w:r>
    </w:p>
    <w:p w:rsidR="00CA091C" w:rsidRPr="00CA091C" w:rsidRDefault="00CA091C" w:rsidP="00CA091C">
      <w:pPr>
        <w:pStyle w:val="ListParagraph"/>
        <w:rPr>
          <w:bCs/>
        </w:rPr>
      </w:pPr>
    </w:p>
    <w:p w:rsidR="00752F9F" w:rsidRDefault="007B0E2E" w:rsidP="007B0E2E">
      <w:pPr>
        <w:pStyle w:val="Heading1"/>
      </w:pPr>
      <w:bookmarkStart w:id="23" w:name="_Toc354067272"/>
      <w:r>
        <w:t>IV</w:t>
      </w:r>
      <w:r w:rsidR="00103FF9">
        <w:t>.</w:t>
      </w:r>
      <w:r>
        <w:tab/>
      </w:r>
      <w:r w:rsidR="00752F9F">
        <w:t>Implementation</w:t>
      </w:r>
      <w:bookmarkEnd w:id="23"/>
    </w:p>
    <w:p w:rsidR="005E679B" w:rsidRPr="005E679B" w:rsidRDefault="005E679B" w:rsidP="005E679B"/>
    <w:p w:rsidR="00C61221" w:rsidRDefault="00C603A1" w:rsidP="005E2993">
      <w:pPr>
        <w:pStyle w:val="Heading2"/>
        <w:numPr>
          <w:ilvl w:val="1"/>
          <w:numId w:val="6"/>
        </w:numPr>
        <w:ind w:left="1080"/>
        <w:jc w:val="left"/>
        <w:rPr>
          <w:lang w:val="en-GB"/>
        </w:rPr>
      </w:pPr>
      <w:bookmarkStart w:id="24" w:name="_Toc354067273"/>
      <w:r w:rsidRPr="007C7CD8">
        <w:rPr>
          <w:lang w:val="en-GB"/>
        </w:rPr>
        <w:t xml:space="preserve">Institutional and </w:t>
      </w:r>
      <w:r w:rsidR="00391544" w:rsidRPr="007C7CD8">
        <w:rPr>
          <w:lang w:val="en-GB"/>
        </w:rPr>
        <w:t>Implementation Arrangements</w:t>
      </w:r>
      <w:bookmarkEnd w:id="24"/>
    </w:p>
    <w:p w:rsidR="007C7CD8" w:rsidRPr="007C7CD8" w:rsidRDefault="007C7CD8" w:rsidP="007C7CD8">
      <w:pPr>
        <w:rPr>
          <w:lang w:val="en-GB"/>
        </w:rPr>
      </w:pPr>
    </w:p>
    <w:p w:rsidR="00625C2E" w:rsidRDefault="00625C2E" w:rsidP="005E2993">
      <w:pPr>
        <w:pStyle w:val="ListParagraph"/>
        <w:numPr>
          <w:ilvl w:val="0"/>
          <w:numId w:val="24"/>
        </w:numPr>
        <w:ind w:left="0" w:firstLine="0"/>
        <w:jc w:val="both"/>
        <w:rPr>
          <w:bCs/>
        </w:rPr>
      </w:pPr>
      <w:r w:rsidRPr="00625C2E">
        <w:rPr>
          <w:bCs/>
        </w:rPr>
        <w:t>MINED would be r</w:t>
      </w:r>
      <w:r w:rsidR="002717C2">
        <w:rPr>
          <w:bCs/>
        </w:rPr>
        <w:t>esp</w:t>
      </w:r>
      <w:r w:rsidRPr="00625C2E">
        <w:rPr>
          <w:bCs/>
        </w:rPr>
        <w:t>onsibl</w:t>
      </w:r>
      <w:r w:rsidR="000C16FA">
        <w:rPr>
          <w:bCs/>
        </w:rPr>
        <w:t xml:space="preserve">e for implementing the </w:t>
      </w:r>
      <w:r w:rsidRPr="00625C2E">
        <w:rPr>
          <w:bCs/>
        </w:rPr>
        <w:t>Project through its existing organizational structure</w:t>
      </w:r>
      <w:r w:rsidR="002A2544">
        <w:rPr>
          <w:bCs/>
        </w:rPr>
        <w:t xml:space="preserve">, </w:t>
      </w:r>
      <w:r w:rsidRPr="00625C2E">
        <w:rPr>
          <w:bCs/>
        </w:rPr>
        <w:t>at central or regional levels.</w:t>
      </w:r>
      <w:r>
        <w:rPr>
          <w:bCs/>
        </w:rPr>
        <w:t xml:space="preserve">  </w:t>
      </w:r>
      <w:r w:rsidR="0046061E" w:rsidRPr="0046061E">
        <w:rPr>
          <w:bCs/>
        </w:rPr>
        <w:t>To support PASEN II and the Project</w:t>
      </w:r>
      <w:r w:rsidR="00EC3F17">
        <w:rPr>
          <w:bCs/>
        </w:rPr>
        <w:t>,</w:t>
      </w:r>
      <w:r w:rsidR="0046061E" w:rsidRPr="0046061E">
        <w:rPr>
          <w:bCs/>
        </w:rPr>
        <w:t xml:space="preserve"> a high level Project Coordinator (PC) </w:t>
      </w:r>
      <w:r w:rsidR="00C35FE2">
        <w:rPr>
          <w:bCs/>
        </w:rPr>
        <w:t>was</w:t>
      </w:r>
      <w:r w:rsidR="0046061E" w:rsidRPr="0046061E">
        <w:rPr>
          <w:bCs/>
        </w:rPr>
        <w:t xml:space="preserve"> appointed</w:t>
      </w:r>
      <w:r w:rsidR="00C35FE2">
        <w:rPr>
          <w:bCs/>
        </w:rPr>
        <w:t xml:space="preserve"> in April 2012</w:t>
      </w:r>
      <w:r w:rsidR="0046061E" w:rsidRPr="0046061E">
        <w:rPr>
          <w:bCs/>
        </w:rPr>
        <w:t xml:space="preserve"> </w:t>
      </w:r>
      <w:r w:rsidRPr="00625C2E">
        <w:rPr>
          <w:bCs/>
        </w:rPr>
        <w:t xml:space="preserve">to coordinate, facilitate and oversee implementation carried out by </w:t>
      </w:r>
      <w:r w:rsidR="00EE5A5B">
        <w:rPr>
          <w:bCs/>
        </w:rPr>
        <w:t xml:space="preserve">the </w:t>
      </w:r>
      <w:r w:rsidR="0046061E">
        <w:rPr>
          <w:bCs/>
        </w:rPr>
        <w:t>General D</w:t>
      </w:r>
      <w:r w:rsidRPr="00625C2E">
        <w:rPr>
          <w:bCs/>
        </w:rPr>
        <w:t>irectorates</w:t>
      </w:r>
      <w:r w:rsidR="00EE5A5B">
        <w:rPr>
          <w:bCs/>
        </w:rPr>
        <w:t xml:space="preserve"> of P</w:t>
      </w:r>
      <w:r w:rsidR="00F75747">
        <w:rPr>
          <w:bCs/>
        </w:rPr>
        <w:t>reschool</w:t>
      </w:r>
      <w:r w:rsidR="00EE5A5B">
        <w:rPr>
          <w:bCs/>
        </w:rPr>
        <w:t xml:space="preserve"> Education, Secondary Education, Teacher Training, School I</w:t>
      </w:r>
      <w:r w:rsidRPr="00625C2E">
        <w:rPr>
          <w:bCs/>
        </w:rPr>
        <w:t>nfrastructure</w:t>
      </w:r>
      <w:r w:rsidR="00EE5A5B" w:rsidRPr="00EE5A5B">
        <w:rPr>
          <w:bCs/>
          <w:vertAlign w:val="superscript"/>
        </w:rPr>
        <w:footnoteReference w:id="15"/>
      </w:r>
      <w:r w:rsidRPr="00625C2E">
        <w:rPr>
          <w:bCs/>
        </w:rPr>
        <w:t>.</w:t>
      </w:r>
      <w:r>
        <w:rPr>
          <w:bCs/>
        </w:rPr>
        <w:t xml:space="preserve">  The PC </w:t>
      </w:r>
      <w:r w:rsidR="00636C8C">
        <w:rPr>
          <w:bCs/>
        </w:rPr>
        <w:t>would</w:t>
      </w:r>
      <w:r w:rsidRPr="00625C2E">
        <w:rPr>
          <w:bCs/>
        </w:rPr>
        <w:t xml:space="preserve"> ensure that each department delivers key inputs on a timely basis.  In addition, </w:t>
      </w:r>
      <w:r w:rsidR="00C35FE2">
        <w:rPr>
          <w:bCs/>
        </w:rPr>
        <w:t>the PC</w:t>
      </w:r>
      <w:r w:rsidRPr="00625C2E">
        <w:rPr>
          <w:bCs/>
        </w:rPr>
        <w:t xml:space="preserve"> would liaise with the representatives of the Secretaries of Education Autonomous Regions Educational System (SEAR), which have been given certain r</w:t>
      </w:r>
      <w:r w:rsidR="002717C2">
        <w:rPr>
          <w:bCs/>
        </w:rPr>
        <w:t>esp</w:t>
      </w:r>
      <w:r w:rsidRPr="00625C2E">
        <w:rPr>
          <w:bCs/>
        </w:rPr>
        <w:t>onsibilities for education in indigenous areas under the 2006 Law of Education.</w:t>
      </w:r>
    </w:p>
    <w:p w:rsidR="007662CB" w:rsidRPr="00EE5A5B" w:rsidRDefault="00625C2E" w:rsidP="001A620F">
      <w:pPr>
        <w:pStyle w:val="ListParagraph"/>
        <w:ind w:left="0"/>
        <w:jc w:val="both"/>
        <w:rPr>
          <w:bCs/>
        </w:rPr>
      </w:pPr>
      <w:r>
        <w:rPr>
          <w:bCs/>
        </w:rPr>
        <w:t xml:space="preserve"> </w:t>
      </w:r>
    </w:p>
    <w:p w:rsidR="00C61221" w:rsidRPr="00280533" w:rsidRDefault="007A02B4" w:rsidP="00280533">
      <w:pPr>
        <w:pStyle w:val="ListParagraph"/>
        <w:numPr>
          <w:ilvl w:val="0"/>
          <w:numId w:val="24"/>
        </w:numPr>
        <w:ind w:left="0" w:firstLine="0"/>
        <w:jc w:val="both"/>
        <w:rPr>
          <w:bCs/>
        </w:rPr>
      </w:pPr>
      <w:r w:rsidRPr="001C1CE1">
        <w:rPr>
          <w:bCs/>
        </w:rPr>
        <w:t>The Operation Manual (OM) was</w:t>
      </w:r>
      <w:r w:rsidR="00280533">
        <w:rPr>
          <w:bCs/>
        </w:rPr>
        <w:t xml:space="preserve"> adopted by the Recipient and</w:t>
      </w:r>
      <w:r w:rsidRPr="00280533">
        <w:rPr>
          <w:bCs/>
        </w:rPr>
        <w:t xml:space="preserve"> approved by the Bank</w:t>
      </w:r>
      <w:r w:rsidR="009D242E">
        <w:rPr>
          <w:bCs/>
        </w:rPr>
        <w:t xml:space="preserve"> on March 26, 2013</w:t>
      </w:r>
      <w:r w:rsidRPr="00280533">
        <w:rPr>
          <w:bCs/>
        </w:rPr>
        <w:t>.</w:t>
      </w:r>
      <w:r w:rsidR="006C2FBD" w:rsidRPr="00280533">
        <w:rPr>
          <w:bCs/>
        </w:rPr>
        <w:t xml:space="preserve"> </w:t>
      </w:r>
      <w:r w:rsidR="00EA3FF4" w:rsidRPr="00280533">
        <w:rPr>
          <w:bCs/>
        </w:rPr>
        <w:t xml:space="preserve"> </w:t>
      </w:r>
      <w:r w:rsidR="00A87973" w:rsidRPr="00280533">
        <w:rPr>
          <w:bCs/>
        </w:rPr>
        <w:t>The OM include</w:t>
      </w:r>
      <w:r w:rsidR="0060511A" w:rsidRPr="00280533">
        <w:rPr>
          <w:bCs/>
        </w:rPr>
        <w:t>s</w:t>
      </w:r>
      <w:r w:rsidR="00A87973" w:rsidRPr="00280533">
        <w:rPr>
          <w:bCs/>
        </w:rPr>
        <w:t xml:space="preserve"> detailed </w:t>
      </w:r>
      <w:r w:rsidR="00FC6D45">
        <w:rPr>
          <w:bCs/>
        </w:rPr>
        <w:t xml:space="preserve">schedule </w:t>
      </w:r>
      <w:r w:rsidR="00C35FE2" w:rsidRPr="00280533">
        <w:rPr>
          <w:bCs/>
        </w:rPr>
        <w:t xml:space="preserve">and </w:t>
      </w:r>
      <w:r w:rsidR="00A87973" w:rsidRPr="00280533">
        <w:rPr>
          <w:bCs/>
        </w:rPr>
        <w:t>guidelines for implementation</w:t>
      </w:r>
      <w:r w:rsidR="000D655F">
        <w:rPr>
          <w:bCs/>
        </w:rPr>
        <w:t xml:space="preserve"> of the Project </w:t>
      </w:r>
      <w:r w:rsidR="00C25990">
        <w:rPr>
          <w:bCs/>
        </w:rPr>
        <w:t>Component</w:t>
      </w:r>
      <w:r w:rsidR="000D655F">
        <w:rPr>
          <w:bCs/>
        </w:rPr>
        <w:t>s, Terms of Reference</w:t>
      </w:r>
      <w:r w:rsidR="00A87973" w:rsidRPr="00280533">
        <w:rPr>
          <w:bCs/>
        </w:rPr>
        <w:t xml:space="preserve"> for key personnel and studies, procurement</w:t>
      </w:r>
      <w:r w:rsidR="00D82C1C" w:rsidRPr="00280533">
        <w:rPr>
          <w:bCs/>
        </w:rPr>
        <w:t xml:space="preserve"> procedures</w:t>
      </w:r>
      <w:r w:rsidR="00A87973" w:rsidRPr="00280533">
        <w:rPr>
          <w:bCs/>
        </w:rPr>
        <w:t>, financial management</w:t>
      </w:r>
      <w:r w:rsidR="00D82C1C" w:rsidRPr="00280533">
        <w:rPr>
          <w:bCs/>
        </w:rPr>
        <w:t xml:space="preserve"> arrangements</w:t>
      </w:r>
      <w:r w:rsidR="00A87973" w:rsidRPr="00280533">
        <w:rPr>
          <w:bCs/>
        </w:rPr>
        <w:t>, safeguards, m</w:t>
      </w:r>
      <w:r w:rsidR="002A2544" w:rsidRPr="00280533">
        <w:rPr>
          <w:bCs/>
        </w:rPr>
        <w:t xml:space="preserve">onitoring and evaluation, etc. </w:t>
      </w:r>
    </w:p>
    <w:p w:rsidR="001D23D9" w:rsidRDefault="001D23D9" w:rsidP="00AA19E1">
      <w:pPr>
        <w:rPr>
          <w:lang w:val="en-GB"/>
        </w:rPr>
      </w:pPr>
    </w:p>
    <w:p w:rsidR="00C61221" w:rsidRDefault="00966353" w:rsidP="005E2993">
      <w:pPr>
        <w:pStyle w:val="Heading2"/>
        <w:numPr>
          <w:ilvl w:val="1"/>
          <w:numId w:val="6"/>
        </w:numPr>
        <w:ind w:left="1080"/>
        <w:jc w:val="left"/>
        <w:rPr>
          <w:lang w:val="en-GB"/>
        </w:rPr>
      </w:pPr>
      <w:bookmarkStart w:id="25" w:name="_Toc354067274"/>
      <w:r w:rsidRPr="007C7CD8">
        <w:rPr>
          <w:lang w:val="en-GB"/>
        </w:rPr>
        <w:t>Results Monitoring and Evaluation</w:t>
      </w:r>
      <w:bookmarkEnd w:id="25"/>
    </w:p>
    <w:p w:rsidR="007C7CD8" w:rsidRPr="007C7CD8" w:rsidRDefault="007C7CD8" w:rsidP="007C7CD8">
      <w:pPr>
        <w:rPr>
          <w:lang w:val="en-GB"/>
        </w:rPr>
      </w:pPr>
    </w:p>
    <w:p w:rsidR="00460651" w:rsidRDefault="00F91298" w:rsidP="005E2993">
      <w:pPr>
        <w:pStyle w:val="ListParagraph"/>
        <w:numPr>
          <w:ilvl w:val="0"/>
          <w:numId w:val="24"/>
        </w:numPr>
        <w:ind w:left="0" w:firstLine="0"/>
        <w:jc w:val="both"/>
        <w:rPr>
          <w:lang w:val="en-GB"/>
        </w:rPr>
      </w:pPr>
      <w:r>
        <w:rPr>
          <w:lang w:val="en-GB"/>
        </w:rPr>
        <w:t>The P</w:t>
      </w:r>
      <w:r w:rsidR="0075523A">
        <w:rPr>
          <w:lang w:val="en-GB"/>
        </w:rPr>
        <w:t>C</w:t>
      </w:r>
      <w:r w:rsidR="00EE5A5B">
        <w:rPr>
          <w:lang w:val="en-GB"/>
        </w:rPr>
        <w:t xml:space="preserve"> and MINED’s </w:t>
      </w:r>
      <w:r>
        <w:rPr>
          <w:lang w:val="en-GB"/>
        </w:rPr>
        <w:t>D</w:t>
      </w:r>
      <w:r w:rsidR="00E76C2D">
        <w:rPr>
          <w:lang w:val="en-GB"/>
        </w:rPr>
        <w:t>ivision of Monitoring and Evaluation</w:t>
      </w:r>
      <w:r w:rsidR="00466949">
        <w:rPr>
          <w:lang w:val="en-GB"/>
        </w:rPr>
        <w:t xml:space="preserve"> </w:t>
      </w:r>
      <w:r w:rsidR="00636C8C">
        <w:rPr>
          <w:lang w:val="en-GB"/>
        </w:rPr>
        <w:t>would</w:t>
      </w:r>
      <w:r w:rsidR="00466949">
        <w:rPr>
          <w:lang w:val="en-GB"/>
        </w:rPr>
        <w:t xml:space="preserve"> </w:t>
      </w:r>
      <w:r>
        <w:rPr>
          <w:lang w:val="en-GB"/>
        </w:rPr>
        <w:t>be r</w:t>
      </w:r>
      <w:r w:rsidR="001C54FF">
        <w:rPr>
          <w:lang w:val="en-GB"/>
        </w:rPr>
        <w:t>esp</w:t>
      </w:r>
      <w:r>
        <w:rPr>
          <w:lang w:val="en-GB"/>
        </w:rPr>
        <w:t xml:space="preserve">onsible for tracking progress related to Project outcomes and results on a day-to-day basis. </w:t>
      </w:r>
      <w:r w:rsidR="00E76C2D">
        <w:rPr>
          <w:lang w:val="en-GB"/>
        </w:rPr>
        <w:t xml:space="preserve"> </w:t>
      </w:r>
      <w:r>
        <w:rPr>
          <w:lang w:val="en-GB"/>
        </w:rPr>
        <w:t xml:space="preserve">MINED </w:t>
      </w:r>
      <w:r w:rsidR="00636C8C">
        <w:rPr>
          <w:lang w:val="en-GB"/>
        </w:rPr>
        <w:t>would</w:t>
      </w:r>
      <w:r w:rsidR="00563D87">
        <w:rPr>
          <w:lang w:val="en-GB"/>
        </w:rPr>
        <w:t xml:space="preserve"> refine and implement</w:t>
      </w:r>
      <w:r w:rsidR="00745794">
        <w:rPr>
          <w:lang w:val="en-GB"/>
        </w:rPr>
        <w:t xml:space="preserve"> an integrated planning, monitoring and e</w:t>
      </w:r>
      <w:r w:rsidR="00E76C2D">
        <w:rPr>
          <w:lang w:val="en-GB"/>
        </w:rPr>
        <w:t>valuation (M&amp;E)</w:t>
      </w:r>
      <w:r>
        <w:rPr>
          <w:lang w:val="en-GB"/>
        </w:rPr>
        <w:t xml:space="preserve"> and statistical system that </w:t>
      </w:r>
      <w:r w:rsidR="00636C8C">
        <w:rPr>
          <w:lang w:val="en-GB"/>
        </w:rPr>
        <w:t>would</w:t>
      </w:r>
      <w:r>
        <w:rPr>
          <w:lang w:val="en-GB"/>
        </w:rPr>
        <w:t xml:space="preserve"> gather information from the municipal, departmental, and national level</w:t>
      </w:r>
      <w:r w:rsidR="00396BBF">
        <w:rPr>
          <w:lang w:val="en-GB"/>
        </w:rPr>
        <w:t>s</w:t>
      </w:r>
      <w:r w:rsidR="00401689">
        <w:rPr>
          <w:lang w:val="en-GB"/>
        </w:rPr>
        <w:t>, particularly with r</w:t>
      </w:r>
      <w:r w:rsidR="001C54FF">
        <w:rPr>
          <w:lang w:val="en-GB"/>
        </w:rPr>
        <w:t>esp</w:t>
      </w:r>
      <w:r w:rsidR="00401689">
        <w:rPr>
          <w:lang w:val="en-GB"/>
        </w:rPr>
        <w:t xml:space="preserve">ect to student </w:t>
      </w:r>
      <w:r w:rsidR="002E28AB">
        <w:rPr>
          <w:lang w:val="en-GB"/>
        </w:rPr>
        <w:t>enrolment</w:t>
      </w:r>
      <w:r w:rsidR="001F67CC">
        <w:rPr>
          <w:lang w:val="en-GB"/>
        </w:rPr>
        <w:t xml:space="preserve"> and </w:t>
      </w:r>
      <w:r w:rsidR="00401689">
        <w:rPr>
          <w:lang w:val="en-GB"/>
        </w:rPr>
        <w:t>retention</w:t>
      </w:r>
      <w:r>
        <w:rPr>
          <w:lang w:val="en-GB"/>
        </w:rPr>
        <w:t>.</w:t>
      </w:r>
    </w:p>
    <w:p w:rsidR="00460651" w:rsidRDefault="00460651" w:rsidP="00460651">
      <w:pPr>
        <w:pStyle w:val="ListParagraph"/>
        <w:jc w:val="both"/>
        <w:rPr>
          <w:lang w:val="en-GB"/>
        </w:rPr>
      </w:pPr>
    </w:p>
    <w:p w:rsidR="00C61221" w:rsidRPr="00EC3F17" w:rsidRDefault="00460651" w:rsidP="00EC3F17">
      <w:pPr>
        <w:pStyle w:val="ListParagraph"/>
        <w:numPr>
          <w:ilvl w:val="0"/>
          <w:numId w:val="24"/>
        </w:numPr>
        <w:ind w:left="0" w:firstLine="0"/>
        <w:jc w:val="both"/>
        <w:rPr>
          <w:lang w:val="en-GB"/>
        </w:rPr>
      </w:pPr>
      <w:r>
        <w:rPr>
          <w:lang w:val="en-GB"/>
        </w:rPr>
        <w:t xml:space="preserve">MINED would </w:t>
      </w:r>
      <w:r w:rsidR="00A438CA">
        <w:rPr>
          <w:lang w:val="en-GB"/>
        </w:rPr>
        <w:t xml:space="preserve">continue to </w:t>
      </w:r>
      <w:r>
        <w:rPr>
          <w:lang w:val="en-GB"/>
        </w:rPr>
        <w:t xml:space="preserve">organize two Joint Sector Reviews (JSR) per year (education sector round table or </w:t>
      </w:r>
      <w:r>
        <w:rPr>
          <w:i/>
          <w:lang w:val="en-GB"/>
        </w:rPr>
        <w:t>Mesa Sectorial)</w:t>
      </w:r>
      <w:r w:rsidRPr="00460651">
        <w:rPr>
          <w:lang w:val="en-GB"/>
        </w:rPr>
        <w:t>.</w:t>
      </w:r>
      <w:r>
        <w:rPr>
          <w:lang w:val="en-GB"/>
        </w:rPr>
        <w:t xml:space="preserve">  Donors and civil society representatives would be invited to participate.  JSR would be preceded by field visits to monitor the main accomplishments </w:t>
      </w:r>
      <w:r w:rsidR="00A438CA">
        <w:rPr>
          <w:lang w:val="en-GB"/>
        </w:rPr>
        <w:t>of</w:t>
      </w:r>
      <w:r>
        <w:rPr>
          <w:lang w:val="en-GB"/>
        </w:rPr>
        <w:t xml:space="preserve"> the implementation of the ESS during the period.  The Secretariat of the JSR led by the PC and the Directorate of External Cooperation of MINED would prepare technical reports on </w:t>
      </w:r>
      <w:r w:rsidR="00A438CA">
        <w:rPr>
          <w:lang w:val="en-GB"/>
        </w:rPr>
        <w:t xml:space="preserve">various </w:t>
      </w:r>
      <w:r>
        <w:rPr>
          <w:lang w:val="en-GB"/>
        </w:rPr>
        <w:t>Project activities to be discussed during the JSR.</w:t>
      </w:r>
    </w:p>
    <w:p w:rsidR="00636C8C" w:rsidRDefault="00636C8C">
      <w:pPr>
        <w:rPr>
          <w:lang w:val="en-GB"/>
        </w:rPr>
      </w:pPr>
    </w:p>
    <w:p w:rsidR="00C61221" w:rsidRDefault="00E73130" w:rsidP="005E2993">
      <w:pPr>
        <w:pStyle w:val="Heading2"/>
        <w:numPr>
          <w:ilvl w:val="1"/>
          <w:numId w:val="6"/>
        </w:numPr>
        <w:ind w:left="1080"/>
        <w:jc w:val="left"/>
        <w:rPr>
          <w:lang w:val="en-GB"/>
        </w:rPr>
      </w:pPr>
      <w:bookmarkStart w:id="26" w:name="_Toc354067275"/>
      <w:r w:rsidRPr="00051A70">
        <w:rPr>
          <w:lang w:val="en-GB"/>
        </w:rPr>
        <w:t>Sustainability</w:t>
      </w:r>
      <w:bookmarkEnd w:id="26"/>
    </w:p>
    <w:p w:rsidR="00391055" w:rsidRDefault="00391055" w:rsidP="00391055">
      <w:pPr>
        <w:rPr>
          <w:lang w:val="en-GB"/>
        </w:rPr>
      </w:pPr>
    </w:p>
    <w:p w:rsidR="00DB7333" w:rsidRPr="00911C25" w:rsidRDefault="00DB7333" w:rsidP="005E2993">
      <w:pPr>
        <w:pStyle w:val="ListParagraph"/>
        <w:numPr>
          <w:ilvl w:val="0"/>
          <w:numId w:val="24"/>
        </w:numPr>
        <w:ind w:left="0" w:firstLine="0"/>
        <w:jc w:val="both"/>
        <w:rPr>
          <w:lang w:val="en-GB"/>
        </w:rPr>
      </w:pPr>
      <w:r>
        <w:t xml:space="preserve">Estimated additional recurrent costs linked to the </w:t>
      </w:r>
      <w:r w:rsidR="002677F2">
        <w:t>Project</w:t>
      </w:r>
      <w:r>
        <w:t xml:space="preserve"> are estimated at </w:t>
      </w:r>
      <w:r w:rsidR="004F1299">
        <w:t>US</w:t>
      </w:r>
      <w:r w:rsidR="00924CEA" w:rsidRPr="00924CEA">
        <w:t>$</w:t>
      </w:r>
      <w:r w:rsidR="00961320" w:rsidRPr="00961320">
        <w:t>4.</w:t>
      </w:r>
      <w:r w:rsidR="007C3B1E">
        <w:t>3</w:t>
      </w:r>
      <w:r w:rsidR="00961320" w:rsidRPr="00961320">
        <w:t>5</w:t>
      </w:r>
      <w:r>
        <w:t xml:space="preserve"> million per year, including those for </w:t>
      </w:r>
      <w:r w:rsidR="00904D99">
        <w:t xml:space="preserve">new </w:t>
      </w:r>
      <w:r w:rsidR="00911C25">
        <w:t xml:space="preserve">lower </w:t>
      </w:r>
      <w:r w:rsidR="00961320">
        <w:t xml:space="preserve">secondary and </w:t>
      </w:r>
      <w:r w:rsidR="001F67CC">
        <w:t xml:space="preserve">formal </w:t>
      </w:r>
      <w:r w:rsidR="00F75747">
        <w:t>preschool</w:t>
      </w:r>
      <w:r w:rsidR="001F67CC">
        <w:t xml:space="preserve"> teachers</w:t>
      </w:r>
      <w:r w:rsidR="00904D99">
        <w:t xml:space="preserve"> (</w:t>
      </w:r>
      <w:r w:rsidR="004F1299">
        <w:t>US$</w:t>
      </w:r>
      <w:r w:rsidR="00961320" w:rsidRPr="00961320">
        <w:t>1.4</w:t>
      </w:r>
      <w:r w:rsidR="00904D99">
        <w:t xml:space="preserve"> million per year), </w:t>
      </w:r>
      <w:r w:rsidR="001F67CC">
        <w:t xml:space="preserve">salary increases for </w:t>
      </w:r>
      <w:r w:rsidR="00961320">
        <w:t xml:space="preserve">newly </w:t>
      </w:r>
      <w:r w:rsidR="001F67CC">
        <w:t>certified teachers (</w:t>
      </w:r>
      <w:r w:rsidR="001F67CC" w:rsidRPr="00961320">
        <w:t>US$</w:t>
      </w:r>
      <w:r w:rsidR="00961320" w:rsidRPr="00961320">
        <w:t>0.</w:t>
      </w:r>
      <w:r w:rsidR="007C3B1E">
        <w:t>2</w:t>
      </w:r>
      <w:r w:rsidR="00A24830" w:rsidRPr="00961320">
        <w:t xml:space="preserve"> </w:t>
      </w:r>
      <w:r w:rsidR="001F67CC" w:rsidRPr="00961320">
        <w:t>million</w:t>
      </w:r>
      <w:r w:rsidR="001F67CC">
        <w:t xml:space="preserve"> per year)</w:t>
      </w:r>
      <w:r>
        <w:t>, textbook</w:t>
      </w:r>
      <w:r w:rsidR="00961320">
        <w:t xml:space="preserve"> replacement</w:t>
      </w:r>
      <w:r>
        <w:t xml:space="preserve">, </w:t>
      </w:r>
      <w:r w:rsidR="006831E9">
        <w:t xml:space="preserve">operation </w:t>
      </w:r>
      <w:r>
        <w:t>&amp;</w:t>
      </w:r>
      <w:r w:rsidR="006831E9">
        <w:t xml:space="preserve"> maintenance </w:t>
      </w:r>
      <w:r>
        <w:t>of I</w:t>
      </w:r>
      <w:r w:rsidR="00EC3F17">
        <w:t xml:space="preserve">nformation </w:t>
      </w:r>
      <w:r>
        <w:t>C</w:t>
      </w:r>
      <w:r w:rsidR="00EC3F17">
        <w:t xml:space="preserve">ommunication and </w:t>
      </w:r>
      <w:r>
        <w:t>T</w:t>
      </w:r>
      <w:r w:rsidR="00EC3F17">
        <w:t>echnology (ICT)</w:t>
      </w:r>
      <w:r w:rsidR="001F67CC">
        <w:t xml:space="preserve">, </w:t>
      </w:r>
      <w:r w:rsidR="00745794">
        <w:t xml:space="preserve">and </w:t>
      </w:r>
      <w:r w:rsidR="001F67CC">
        <w:lastRenderedPageBreak/>
        <w:t>maintenance of new school infrastructure</w:t>
      </w:r>
      <w:r w:rsidR="004469FB">
        <w:t xml:space="preserve"> (calculated at 5</w:t>
      </w:r>
      <w:r w:rsidR="006D3ABC">
        <w:t xml:space="preserve"> percent</w:t>
      </w:r>
      <w:r w:rsidR="00A24830">
        <w:t xml:space="preserve"> of total investment cost)</w:t>
      </w:r>
      <w:r w:rsidR="00904D99">
        <w:t>.</w:t>
      </w:r>
      <w:r w:rsidR="002B7962">
        <w:t xml:space="preserve"> </w:t>
      </w:r>
      <w:r w:rsidR="00CE77A5">
        <w:t xml:space="preserve"> </w:t>
      </w:r>
      <w:r w:rsidR="00961320">
        <w:t xml:space="preserve"> This represents 1.8 percent of MINED’s 2011 total budget of </w:t>
      </w:r>
      <w:r w:rsidR="004469FB">
        <w:t>US$248 million</w:t>
      </w:r>
      <w:r w:rsidR="0090262F">
        <w:t xml:space="preserve">. </w:t>
      </w:r>
      <w:r w:rsidR="00911C25">
        <w:t xml:space="preserve"> </w:t>
      </w:r>
      <w:r>
        <w:t>With r</w:t>
      </w:r>
      <w:r w:rsidR="001C54FF">
        <w:t>esp</w:t>
      </w:r>
      <w:r>
        <w:t>ect to</w:t>
      </w:r>
      <w:r w:rsidR="00961320">
        <w:t xml:space="preserve"> the</w:t>
      </w:r>
      <w:r w:rsidR="001F67CC">
        <w:t xml:space="preserve"> </w:t>
      </w:r>
      <w:r w:rsidR="00904D99">
        <w:t xml:space="preserve">new </w:t>
      </w:r>
      <w:r w:rsidR="00F75747">
        <w:t>preschool</w:t>
      </w:r>
      <w:r w:rsidR="00961320">
        <w:t xml:space="preserve"> and secondary</w:t>
      </w:r>
      <w:r w:rsidR="001F67CC">
        <w:t xml:space="preserve"> </w:t>
      </w:r>
      <w:r w:rsidR="00904D99">
        <w:t>teachers,</w:t>
      </w:r>
      <w:r>
        <w:t xml:space="preserve"> </w:t>
      </w:r>
      <w:r w:rsidR="00566769">
        <w:t xml:space="preserve">the Ministry of </w:t>
      </w:r>
      <w:r w:rsidR="00AB4B30">
        <w:t>Finance</w:t>
      </w:r>
      <w:r w:rsidR="00566769">
        <w:t xml:space="preserve"> and </w:t>
      </w:r>
      <w:r>
        <w:rPr>
          <w:lang w:val="en-GB"/>
        </w:rPr>
        <w:t xml:space="preserve">MINED </w:t>
      </w:r>
      <w:r w:rsidR="009D14A9">
        <w:rPr>
          <w:lang w:val="en-GB"/>
        </w:rPr>
        <w:t xml:space="preserve">have agreed to </w:t>
      </w:r>
      <w:r>
        <w:rPr>
          <w:lang w:val="en-GB"/>
        </w:rPr>
        <w:t>absorb the new salary expenditures in its 201</w:t>
      </w:r>
      <w:r w:rsidR="00DF5C66">
        <w:rPr>
          <w:lang w:val="en-GB"/>
        </w:rPr>
        <w:t>4</w:t>
      </w:r>
      <w:r>
        <w:rPr>
          <w:lang w:val="en-GB"/>
        </w:rPr>
        <w:t xml:space="preserve"> and 201</w:t>
      </w:r>
      <w:r w:rsidR="00DF5C66">
        <w:rPr>
          <w:lang w:val="en-GB"/>
        </w:rPr>
        <w:t>5</w:t>
      </w:r>
      <w:r>
        <w:rPr>
          <w:lang w:val="en-GB"/>
        </w:rPr>
        <w:t xml:space="preserve"> national budgets and onwards (as was done in 2011 when 1,600 community-based multi-grade teachers were hired).</w:t>
      </w:r>
      <w:r w:rsidR="008B6C61">
        <w:rPr>
          <w:lang w:val="en-GB"/>
        </w:rPr>
        <w:t xml:space="preserve">  </w:t>
      </w:r>
      <w:r w:rsidR="00D3734F">
        <w:rPr>
          <w:lang w:val="en-GB"/>
        </w:rPr>
        <w:t xml:space="preserve"> </w:t>
      </w:r>
      <w:r>
        <w:rPr>
          <w:lang w:val="en-GB"/>
        </w:rPr>
        <w:t xml:space="preserve"> </w:t>
      </w:r>
    </w:p>
    <w:p w:rsidR="00E76C2D" w:rsidRDefault="00E76C2D">
      <w:pPr>
        <w:jc w:val="both"/>
        <w:rPr>
          <w:lang w:val="en-GB"/>
        </w:rPr>
      </w:pPr>
    </w:p>
    <w:p w:rsidR="00E244A9" w:rsidRDefault="007B0E2E" w:rsidP="007B0E2E">
      <w:pPr>
        <w:pStyle w:val="Heading1"/>
      </w:pPr>
      <w:bookmarkStart w:id="27" w:name="_Toc354067276"/>
      <w:r>
        <w:t>V</w:t>
      </w:r>
      <w:r w:rsidR="00103FF9">
        <w:t>.</w:t>
      </w:r>
      <w:r>
        <w:tab/>
      </w:r>
      <w:r w:rsidR="00795860" w:rsidRPr="0045399E">
        <w:t>Key Risks and Mitigation Measures</w:t>
      </w:r>
      <w:bookmarkEnd w:id="27"/>
    </w:p>
    <w:p w:rsidR="00217112" w:rsidRPr="00217112" w:rsidRDefault="00217112" w:rsidP="00217112"/>
    <w:p w:rsidR="0018262A" w:rsidRDefault="0018262A" w:rsidP="005E2993">
      <w:pPr>
        <w:pStyle w:val="Heading2"/>
        <w:numPr>
          <w:ilvl w:val="1"/>
          <w:numId w:val="19"/>
        </w:numPr>
        <w:ind w:left="1080"/>
        <w:jc w:val="left"/>
        <w:rPr>
          <w:lang w:val="en-GB"/>
        </w:rPr>
      </w:pPr>
      <w:bookmarkStart w:id="28" w:name="_Toc354067277"/>
      <w:r w:rsidRPr="005B016C">
        <w:rPr>
          <w:lang w:val="en-GB"/>
        </w:rPr>
        <w:t>Risk Ratings Summary</w:t>
      </w:r>
      <w:bookmarkEnd w:id="28"/>
    </w:p>
    <w:p w:rsidR="0046061E" w:rsidRPr="0046061E" w:rsidRDefault="0046061E" w:rsidP="0046061E">
      <w:pPr>
        <w:rPr>
          <w:lang w:val="en-GB"/>
        </w:rPr>
      </w:pPr>
    </w:p>
    <w:tbl>
      <w:tblPr>
        <w:tblStyle w:val="TableGrid"/>
        <w:tblW w:w="0" w:type="auto"/>
        <w:tblInd w:w="1664" w:type="dxa"/>
        <w:tblLook w:val="04A0" w:firstRow="1" w:lastRow="0" w:firstColumn="1" w:lastColumn="0" w:noHBand="0" w:noVBand="1"/>
      </w:tblPr>
      <w:tblGrid>
        <w:gridCol w:w="4788"/>
        <w:gridCol w:w="1363"/>
      </w:tblGrid>
      <w:tr w:rsidR="00EA0DB5">
        <w:tc>
          <w:tcPr>
            <w:tcW w:w="4788" w:type="dxa"/>
          </w:tcPr>
          <w:p w:rsidR="00EA0DB5" w:rsidRPr="00EA0DB5" w:rsidRDefault="00EA0DB5" w:rsidP="00EA0DB5">
            <w:pPr>
              <w:rPr>
                <w:b/>
                <w:lang w:val="en-GB"/>
              </w:rPr>
            </w:pPr>
            <w:r w:rsidRPr="00EA0DB5">
              <w:rPr>
                <w:b/>
                <w:lang w:val="en-GB"/>
              </w:rPr>
              <w:t>Stakeholder  Risk</w:t>
            </w:r>
          </w:p>
        </w:tc>
        <w:tc>
          <w:tcPr>
            <w:tcW w:w="1260" w:type="dxa"/>
          </w:tcPr>
          <w:p w:rsidR="00EA0DB5" w:rsidRPr="007A4931" w:rsidRDefault="00911C25" w:rsidP="00F2685A">
            <w:pPr>
              <w:rPr>
                <w:lang w:val="en-GB"/>
              </w:rPr>
            </w:pPr>
            <w:r w:rsidRPr="007A4931">
              <w:rPr>
                <w:lang w:val="en-GB"/>
              </w:rPr>
              <w:t>M</w:t>
            </w:r>
            <w:r w:rsidR="00FC6D45">
              <w:rPr>
                <w:lang w:val="en-GB"/>
              </w:rPr>
              <w:t>oderate</w:t>
            </w:r>
          </w:p>
        </w:tc>
      </w:tr>
      <w:tr w:rsidR="00EA0DB5">
        <w:tc>
          <w:tcPr>
            <w:tcW w:w="4788" w:type="dxa"/>
            <w:vAlign w:val="center"/>
          </w:tcPr>
          <w:p w:rsidR="00EA0DB5" w:rsidRPr="0018262A" w:rsidRDefault="00EA0DB5" w:rsidP="00492DE2">
            <w:pPr>
              <w:ind w:left="180" w:hanging="180"/>
              <w:rPr>
                <w:b/>
                <w:bCs/>
              </w:rPr>
            </w:pPr>
            <w:r w:rsidRPr="0018262A">
              <w:rPr>
                <w:b/>
                <w:bCs/>
              </w:rPr>
              <w:t>Implementing Agency Risk</w:t>
            </w:r>
          </w:p>
        </w:tc>
        <w:tc>
          <w:tcPr>
            <w:tcW w:w="1260" w:type="dxa"/>
            <w:vAlign w:val="center"/>
          </w:tcPr>
          <w:p w:rsidR="00EA0DB5" w:rsidRPr="0018262A" w:rsidRDefault="00EA0DB5" w:rsidP="00F2685A">
            <w:pPr>
              <w:rPr>
                <w:b/>
                <w:bCs/>
              </w:rPr>
            </w:pPr>
          </w:p>
        </w:tc>
      </w:tr>
      <w:tr w:rsidR="00EA0DB5">
        <w:tc>
          <w:tcPr>
            <w:tcW w:w="4788" w:type="dxa"/>
            <w:vAlign w:val="center"/>
          </w:tcPr>
          <w:p w:rsidR="00EA0DB5" w:rsidRPr="0018262A" w:rsidRDefault="00EA0DB5" w:rsidP="005E2993">
            <w:pPr>
              <w:numPr>
                <w:ilvl w:val="0"/>
                <w:numId w:val="13"/>
              </w:numPr>
              <w:ind w:left="180" w:hanging="180"/>
              <w:rPr>
                <w:bCs/>
              </w:rPr>
            </w:pPr>
            <w:r w:rsidRPr="0018262A">
              <w:rPr>
                <w:bCs/>
              </w:rPr>
              <w:t>Capacity</w:t>
            </w:r>
          </w:p>
        </w:tc>
        <w:tc>
          <w:tcPr>
            <w:tcW w:w="1260" w:type="dxa"/>
            <w:vAlign w:val="center"/>
          </w:tcPr>
          <w:p w:rsidR="00EA0DB5" w:rsidRPr="0018262A" w:rsidRDefault="00EA0DB5" w:rsidP="00F2685A">
            <w:pPr>
              <w:rPr>
                <w:bCs/>
              </w:rPr>
            </w:pPr>
            <w:r w:rsidRPr="0018262A">
              <w:rPr>
                <w:bCs/>
              </w:rPr>
              <w:t>S</w:t>
            </w:r>
            <w:r w:rsidR="00FC6D45">
              <w:rPr>
                <w:bCs/>
              </w:rPr>
              <w:t>atisfactory</w:t>
            </w:r>
          </w:p>
        </w:tc>
      </w:tr>
      <w:tr w:rsidR="00EA0DB5">
        <w:tc>
          <w:tcPr>
            <w:tcW w:w="4788" w:type="dxa"/>
            <w:vAlign w:val="center"/>
          </w:tcPr>
          <w:p w:rsidR="00EA0DB5" w:rsidRPr="0018262A" w:rsidRDefault="00EA0DB5" w:rsidP="005E2993">
            <w:pPr>
              <w:numPr>
                <w:ilvl w:val="0"/>
                <w:numId w:val="13"/>
              </w:numPr>
              <w:ind w:left="180" w:hanging="180"/>
              <w:rPr>
                <w:bCs/>
              </w:rPr>
            </w:pPr>
            <w:r w:rsidRPr="0018262A">
              <w:rPr>
                <w:bCs/>
              </w:rPr>
              <w:t>Governance</w:t>
            </w:r>
          </w:p>
        </w:tc>
        <w:tc>
          <w:tcPr>
            <w:tcW w:w="1260" w:type="dxa"/>
            <w:vAlign w:val="center"/>
          </w:tcPr>
          <w:p w:rsidR="00EA0DB5" w:rsidRPr="0018262A" w:rsidRDefault="00EA0DB5" w:rsidP="00F2685A">
            <w:pPr>
              <w:rPr>
                <w:bCs/>
              </w:rPr>
            </w:pPr>
            <w:r w:rsidRPr="0018262A">
              <w:rPr>
                <w:bCs/>
              </w:rPr>
              <w:t>M</w:t>
            </w:r>
            <w:r w:rsidR="00FC6D45">
              <w:rPr>
                <w:bCs/>
              </w:rPr>
              <w:t>oderate</w:t>
            </w:r>
          </w:p>
        </w:tc>
      </w:tr>
      <w:tr w:rsidR="00EA0DB5">
        <w:tc>
          <w:tcPr>
            <w:tcW w:w="4788" w:type="dxa"/>
            <w:vAlign w:val="center"/>
          </w:tcPr>
          <w:p w:rsidR="00EA0DB5" w:rsidRPr="0018262A" w:rsidRDefault="00EA0DB5" w:rsidP="00492DE2">
            <w:pPr>
              <w:rPr>
                <w:b/>
                <w:bCs/>
              </w:rPr>
            </w:pPr>
            <w:r w:rsidRPr="0018262A">
              <w:rPr>
                <w:b/>
                <w:bCs/>
              </w:rPr>
              <w:t>Project Risk</w:t>
            </w:r>
          </w:p>
        </w:tc>
        <w:tc>
          <w:tcPr>
            <w:tcW w:w="1260" w:type="dxa"/>
            <w:vAlign w:val="bottom"/>
          </w:tcPr>
          <w:p w:rsidR="00EA0DB5" w:rsidRPr="0018262A" w:rsidRDefault="00EA0DB5" w:rsidP="00F2685A">
            <w:pPr>
              <w:rPr>
                <w:b/>
                <w:bCs/>
              </w:rPr>
            </w:pPr>
          </w:p>
        </w:tc>
      </w:tr>
      <w:tr w:rsidR="00EA0DB5">
        <w:tc>
          <w:tcPr>
            <w:tcW w:w="4788" w:type="dxa"/>
            <w:vAlign w:val="center"/>
          </w:tcPr>
          <w:p w:rsidR="00EA0DB5" w:rsidRPr="0018262A" w:rsidRDefault="00EA0DB5" w:rsidP="005E2993">
            <w:pPr>
              <w:numPr>
                <w:ilvl w:val="0"/>
                <w:numId w:val="13"/>
              </w:numPr>
              <w:ind w:left="162" w:hanging="180"/>
              <w:rPr>
                <w:bCs/>
              </w:rPr>
            </w:pPr>
            <w:r w:rsidRPr="0018262A">
              <w:rPr>
                <w:bCs/>
              </w:rPr>
              <w:t>Design</w:t>
            </w:r>
          </w:p>
        </w:tc>
        <w:tc>
          <w:tcPr>
            <w:tcW w:w="1260" w:type="dxa"/>
            <w:vAlign w:val="bottom"/>
          </w:tcPr>
          <w:p w:rsidR="00EA0DB5" w:rsidRPr="0018262A" w:rsidRDefault="00EA0DB5" w:rsidP="00F2685A">
            <w:pPr>
              <w:rPr>
                <w:bCs/>
              </w:rPr>
            </w:pPr>
            <w:r w:rsidRPr="0018262A">
              <w:rPr>
                <w:bCs/>
              </w:rPr>
              <w:t>S</w:t>
            </w:r>
            <w:r w:rsidR="00FC6D45">
              <w:rPr>
                <w:bCs/>
              </w:rPr>
              <w:t>atisfactory</w:t>
            </w:r>
          </w:p>
        </w:tc>
      </w:tr>
      <w:tr w:rsidR="00EA0DB5">
        <w:tc>
          <w:tcPr>
            <w:tcW w:w="4788" w:type="dxa"/>
            <w:vAlign w:val="center"/>
          </w:tcPr>
          <w:p w:rsidR="00EA0DB5" w:rsidRPr="0018262A" w:rsidRDefault="00EA0DB5" w:rsidP="005E2993">
            <w:pPr>
              <w:numPr>
                <w:ilvl w:val="0"/>
                <w:numId w:val="13"/>
              </w:numPr>
              <w:ind w:left="162" w:hanging="180"/>
              <w:rPr>
                <w:bCs/>
              </w:rPr>
            </w:pPr>
            <w:r w:rsidRPr="0018262A">
              <w:rPr>
                <w:bCs/>
              </w:rPr>
              <w:t>Social and Environmental</w:t>
            </w:r>
          </w:p>
        </w:tc>
        <w:tc>
          <w:tcPr>
            <w:tcW w:w="1260" w:type="dxa"/>
            <w:vAlign w:val="center"/>
          </w:tcPr>
          <w:p w:rsidR="00EA0DB5" w:rsidRPr="0018262A" w:rsidRDefault="00EA0DB5" w:rsidP="00F2685A">
            <w:pPr>
              <w:rPr>
                <w:bCs/>
              </w:rPr>
            </w:pPr>
            <w:r w:rsidRPr="0018262A">
              <w:rPr>
                <w:bCs/>
              </w:rPr>
              <w:t>L</w:t>
            </w:r>
            <w:r w:rsidR="00FC6D45">
              <w:rPr>
                <w:bCs/>
              </w:rPr>
              <w:t>ow</w:t>
            </w:r>
          </w:p>
        </w:tc>
      </w:tr>
      <w:tr w:rsidR="00EA0DB5">
        <w:tc>
          <w:tcPr>
            <w:tcW w:w="4788" w:type="dxa"/>
            <w:vAlign w:val="center"/>
          </w:tcPr>
          <w:p w:rsidR="00EA0DB5" w:rsidRPr="0018262A" w:rsidRDefault="00EA0DB5" w:rsidP="005E2993">
            <w:pPr>
              <w:numPr>
                <w:ilvl w:val="0"/>
                <w:numId w:val="13"/>
              </w:numPr>
              <w:ind w:left="162" w:hanging="180"/>
              <w:rPr>
                <w:bCs/>
              </w:rPr>
            </w:pPr>
            <w:r w:rsidRPr="0018262A">
              <w:rPr>
                <w:bCs/>
              </w:rPr>
              <w:t>Program and Donor</w:t>
            </w:r>
          </w:p>
        </w:tc>
        <w:tc>
          <w:tcPr>
            <w:tcW w:w="1260" w:type="dxa"/>
            <w:vAlign w:val="center"/>
          </w:tcPr>
          <w:p w:rsidR="00EA0DB5" w:rsidRPr="0018262A" w:rsidRDefault="00E53ABE" w:rsidP="00F2685A">
            <w:pPr>
              <w:rPr>
                <w:bCs/>
              </w:rPr>
            </w:pPr>
            <w:r>
              <w:rPr>
                <w:bCs/>
              </w:rPr>
              <w:t>L</w:t>
            </w:r>
            <w:r w:rsidR="00FC6D45">
              <w:rPr>
                <w:bCs/>
              </w:rPr>
              <w:t>ow</w:t>
            </w:r>
          </w:p>
        </w:tc>
      </w:tr>
      <w:tr w:rsidR="00EA0DB5">
        <w:tc>
          <w:tcPr>
            <w:tcW w:w="4788" w:type="dxa"/>
            <w:vAlign w:val="center"/>
          </w:tcPr>
          <w:p w:rsidR="00EA0DB5" w:rsidRPr="0018262A" w:rsidRDefault="00EA0DB5" w:rsidP="005E2993">
            <w:pPr>
              <w:numPr>
                <w:ilvl w:val="0"/>
                <w:numId w:val="13"/>
              </w:numPr>
              <w:ind w:left="162" w:hanging="180"/>
              <w:rPr>
                <w:bCs/>
              </w:rPr>
            </w:pPr>
            <w:r w:rsidRPr="0018262A">
              <w:rPr>
                <w:bCs/>
              </w:rPr>
              <w:t>Delivery Monitoring and Sustainability</w:t>
            </w:r>
          </w:p>
        </w:tc>
        <w:tc>
          <w:tcPr>
            <w:tcW w:w="1260" w:type="dxa"/>
            <w:vAlign w:val="bottom"/>
          </w:tcPr>
          <w:p w:rsidR="00EA0DB5" w:rsidRPr="0018262A" w:rsidRDefault="001D2EED" w:rsidP="00F2685A">
            <w:pPr>
              <w:rPr>
                <w:bCs/>
              </w:rPr>
            </w:pPr>
            <w:r>
              <w:rPr>
                <w:bCs/>
              </w:rPr>
              <w:t>S</w:t>
            </w:r>
            <w:r w:rsidR="00FC6D45">
              <w:rPr>
                <w:bCs/>
              </w:rPr>
              <w:t>atisfactory</w:t>
            </w:r>
          </w:p>
        </w:tc>
      </w:tr>
      <w:tr w:rsidR="00EA0DB5">
        <w:tc>
          <w:tcPr>
            <w:tcW w:w="4788" w:type="dxa"/>
            <w:vAlign w:val="center"/>
          </w:tcPr>
          <w:p w:rsidR="00EA0DB5" w:rsidRPr="0018262A" w:rsidRDefault="00EA0DB5" w:rsidP="00492DE2">
            <w:pPr>
              <w:jc w:val="both"/>
              <w:rPr>
                <w:b/>
                <w:bCs/>
              </w:rPr>
            </w:pPr>
            <w:r w:rsidRPr="0018262A">
              <w:rPr>
                <w:b/>
                <w:bCs/>
              </w:rPr>
              <w:t>Overall Implementation Risk</w:t>
            </w:r>
          </w:p>
        </w:tc>
        <w:tc>
          <w:tcPr>
            <w:tcW w:w="1260" w:type="dxa"/>
            <w:vAlign w:val="center"/>
          </w:tcPr>
          <w:p w:rsidR="00EA0DB5" w:rsidRPr="0018262A" w:rsidRDefault="00EA0DB5" w:rsidP="00F2685A">
            <w:pPr>
              <w:rPr>
                <w:b/>
                <w:bCs/>
              </w:rPr>
            </w:pPr>
            <w:r w:rsidRPr="0018262A">
              <w:rPr>
                <w:b/>
                <w:bCs/>
              </w:rPr>
              <w:t>S</w:t>
            </w:r>
            <w:r w:rsidR="00FC6D45" w:rsidRPr="00F2685A">
              <w:rPr>
                <w:bCs/>
              </w:rPr>
              <w:t>atisfactory</w:t>
            </w:r>
          </w:p>
        </w:tc>
      </w:tr>
    </w:tbl>
    <w:p w:rsidR="00337582" w:rsidRDefault="00337582">
      <w:pPr>
        <w:pStyle w:val="Heading3"/>
        <w:ind w:left="1080"/>
        <w:jc w:val="left"/>
        <w:rPr>
          <w:sz w:val="24"/>
          <w:lang w:val="en-GB"/>
        </w:rPr>
      </w:pPr>
    </w:p>
    <w:p w:rsidR="0018262A" w:rsidRPr="005B016C" w:rsidRDefault="007E1139" w:rsidP="005E2993">
      <w:pPr>
        <w:pStyle w:val="Heading2"/>
        <w:numPr>
          <w:ilvl w:val="1"/>
          <w:numId w:val="19"/>
        </w:numPr>
        <w:ind w:left="1080"/>
        <w:jc w:val="left"/>
        <w:rPr>
          <w:lang w:val="en-GB"/>
        </w:rPr>
      </w:pPr>
      <w:bookmarkStart w:id="29" w:name="_Toc354067278"/>
      <w:r>
        <w:rPr>
          <w:lang w:val="en-GB"/>
        </w:rPr>
        <w:t xml:space="preserve">Overall </w:t>
      </w:r>
      <w:r w:rsidR="00EA0DB5">
        <w:rPr>
          <w:lang w:val="en-GB"/>
        </w:rPr>
        <w:t>Risk Rating Explanation</w:t>
      </w:r>
      <w:bookmarkEnd w:id="29"/>
    </w:p>
    <w:p w:rsidR="0018262A" w:rsidRPr="0018262A" w:rsidRDefault="0018262A" w:rsidP="0018262A">
      <w:pPr>
        <w:jc w:val="both"/>
        <w:rPr>
          <w:bCs/>
          <w:lang w:val="en-GB"/>
        </w:rPr>
      </w:pPr>
    </w:p>
    <w:p w:rsidR="0046061E" w:rsidRDefault="0018262A" w:rsidP="005E2993">
      <w:pPr>
        <w:pStyle w:val="ListParagraph"/>
        <w:numPr>
          <w:ilvl w:val="0"/>
          <w:numId w:val="24"/>
        </w:numPr>
        <w:ind w:left="0" w:firstLine="0"/>
        <w:jc w:val="both"/>
        <w:rPr>
          <w:bCs/>
        </w:rPr>
      </w:pPr>
      <w:r w:rsidRPr="00656DD4">
        <w:rPr>
          <w:bCs/>
        </w:rPr>
        <w:t xml:space="preserve">Based on the risks included in Annex 4, the Overall Implementation Risk is considered </w:t>
      </w:r>
      <w:r w:rsidR="00192769" w:rsidRPr="00656DD4">
        <w:rPr>
          <w:bCs/>
        </w:rPr>
        <w:t>“</w:t>
      </w:r>
      <w:r w:rsidRPr="00656DD4">
        <w:rPr>
          <w:bCs/>
        </w:rPr>
        <w:t>Substantial</w:t>
      </w:r>
      <w:r w:rsidR="00EE2ABC">
        <w:rPr>
          <w:bCs/>
        </w:rPr>
        <w:t>,”</w:t>
      </w:r>
      <w:r w:rsidR="00FD5D59" w:rsidRPr="00656DD4">
        <w:rPr>
          <w:bCs/>
        </w:rPr>
        <w:t xml:space="preserve"> largely driven by</w:t>
      </w:r>
      <w:r w:rsidR="00EC3F17">
        <w:rPr>
          <w:bCs/>
        </w:rPr>
        <w:t xml:space="preserve"> </w:t>
      </w:r>
      <w:r w:rsidR="00FD5D59" w:rsidRPr="00656DD4">
        <w:rPr>
          <w:bCs/>
        </w:rPr>
        <w:t>capacity</w:t>
      </w:r>
      <w:r w:rsidR="00EC3F17">
        <w:rPr>
          <w:bCs/>
        </w:rPr>
        <w:t xml:space="preserve">, </w:t>
      </w:r>
      <w:r w:rsidR="00FD5D59" w:rsidRPr="00656DD4">
        <w:rPr>
          <w:bCs/>
        </w:rPr>
        <w:t>design and</w:t>
      </w:r>
      <w:r w:rsidR="00EC3F17">
        <w:rPr>
          <w:bCs/>
        </w:rPr>
        <w:t xml:space="preserve"> </w:t>
      </w:r>
      <w:r w:rsidR="00FD5D59" w:rsidRPr="00656DD4">
        <w:rPr>
          <w:bCs/>
        </w:rPr>
        <w:t xml:space="preserve">delivery monitoring and sustainability risks. </w:t>
      </w:r>
      <w:r w:rsidR="002567AD">
        <w:rPr>
          <w:bCs/>
        </w:rPr>
        <w:t xml:space="preserve"> </w:t>
      </w:r>
      <w:r w:rsidR="00B25ADA" w:rsidRPr="00656DD4">
        <w:rPr>
          <w:bCs/>
        </w:rPr>
        <w:t xml:space="preserve">Implementation capacity risks would be mitigated by using the same </w:t>
      </w:r>
      <w:r w:rsidR="001279DB">
        <w:rPr>
          <w:bCs/>
        </w:rPr>
        <w:t>Project</w:t>
      </w:r>
      <w:r w:rsidR="00B25ADA" w:rsidRPr="00656DD4">
        <w:rPr>
          <w:bCs/>
        </w:rPr>
        <w:t xml:space="preserve"> implementation mechanisms and structures as PASEN II</w:t>
      </w:r>
      <w:r w:rsidR="001727C7">
        <w:rPr>
          <w:bCs/>
        </w:rPr>
        <w:t>.  The Project would also finance capacity building for four of MINED’s General Directorates directly responsible for implementing the Project.</w:t>
      </w:r>
      <w:r w:rsidR="00B25ADA" w:rsidRPr="00656DD4">
        <w:rPr>
          <w:bCs/>
        </w:rPr>
        <w:t xml:space="preserve">  The design risk would be mitigated by </w:t>
      </w:r>
      <w:r w:rsidR="003C08FC">
        <w:rPr>
          <w:bCs/>
        </w:rPr>
        <w:t>supporting teachers in the classrooms through regular visits of pedagogical superv</w:t>
      </w:r>
      <w:r w:rsidR="00A846EB">
        <w:rPr>
          <w:bCs/>
        </w:rPr>
        <w:t>isors and trainers from the Teacher Training Institutes (TTIs)</w:t>
      </w:r>
      <w:r w:rsidR="003C08FC">
        <w:rPr>
          <w:bCs/>
        </w:rPr>
        <w:t xml:space="preserve"> and Universities.  Preschool teachers </w:t>
      </w:r>
      <w:r w:rsidR="00636C8C">
        <w:rPr>
          <w:bCs/>
        </w:rPr>
        <w:t>would</w:t>
      </w:r>
      <w:r w:rsidR="003C08FC">
        <w:rPr>
          <w:bCs/>
        </w:rPr>
        <w:t xml:space="preserve"> also spe</w:t>
      </w:r>
      <w:r w:rsidR="001727C7">
        <w:rPr>
          <w:bCs/>
        </w:rPr>
        <w:t>nd at least two days a year at</w:t>
      </w:r>
      <w:r w:rsidR="003C08FC">
        <w:rPr>
          <w:bCs/>
        </w:rPr>
        <w:t xml:space="preserve"> demonstration schools to help them put in practice what they have learned during their professional development</w:t>
      </w:r>
      <w:r w:rsidR="001727C7">
        <w:rPr>
          <w:bCs/>
        </w:rPr>
        <w:t xml:space="preserve"> training</w:t>
      </w:r>
      <w:r w:rsidR="003C08FC">
        <w:rPr>
          <w:bCs/>
        </w:rPr>
        <w:t xml:space="preserve">.  All the teachers </w:t>
      </w:r>
      <w:r w:rsidR="00636C8C">
        <w:rPr>
          <w:bCs/>
        </w:rPr>
        <w:t>would</w:t>
      </w:r>
      <w:r w:rsidR="003C08FC">
        <w:rPr>
          <w:bCs/>
        </w:rPr>
        <w:t xml:space="preserve"> participate in monthly TEPCES, which </w:t>
      </w:r>
      <w:r w:rsidR="00636C8C">
        <w:rPr>
          <w:bCs/>
        </w:rPr>
        <w:t>would</w:t>
      </w:r>
      <w:r w:rsidR="003C08FC">
        <w:rPr>
          <w:bCs/>
        </w:rPr>
        <w:t xml:space="preserve"> be used to reinforce content areas, exchange good practices and help teacher to plan classroom activities.</w:t>
      </w:r>
      <w:r w:rsidR="00B25ADA" w:rsidRPr="00656DD4">
        <w:rPr>
          <w:bCs/>
        </w:rPr>
        <w:t xml:space="preserve">  The delivery risk would be mitigated through </w:t>
      </w:r>
      <w:r w:rsidR="003C08FC">
        <w:rPr>
          <w:bCs/>
        </w:rPr>
        <w:t xml:space="preserve">the preparation of detailed implementation and supervision work programs that </w:t>
      </w:r>
      <w:r w:rsidR="00636C8C">
        <w:rPr>
          <w:bCs/>
        </w:rPr>
        <w:t>would</w:t>
      </w:r>
      <w:r w:rsidR="003C08FC">
        <w:rPr>
          <w:bCs/>
        </w:rPr>
        <w:t xml:space="preserve"> be monitored at the municipal level by MINED staff.</w:t>
      </w:r>
    </w:p>
    <w:p w:rsidR="006042F7" w:rsidRDefault="006042F7" w:rsidP="008F3FE7">
      <w:pPr>
        <w:pStyle w:val="ListParagraph"/>
        <w:ind w:left="0"/>
        <w:jc w:val="both"/>
        <w:rPr>
          <w:bCs/>
        </w:rPr>
      </w:pPr>
    </w:p>
    <w:p w:rsidR="0045241C" w:rsidRDefault="007B0E2E" w:rsidP="007B0E2E">
      <w:pPr>
        <w:pStyle w:val="Heading1"/>
      </w:pPr>
      <w:bookmarkStart w:id="30" w:name="_Toc354067279"/>
      <w:r>
        <w:t>VI</w:t>
      </w:r>
      <w:r>
        <w:tab/>
      </w:r>
      <w:r w:rsidR="00FE7D1E" w:rsidRPr="005B016C">
        <w:t xml:space="preserve">Appraisal </w:t>
      </w:r>
      <w:r w:rsidR="00391544" w:rsidRPr="005B016C">
        <w:t>Summary</w:t>
      </w:r>
      <w:bookmarkEnd w:id="30"/>
    </w:p>
    <w:p w:rsidR="00217112" w:rsidRPr="00217112" w:rsidRDefault="00217112" w:rsidP="00217112"/>
    <w:p w:rsidR="00C61221" w:rsidRDefault="00AC57C9" w:rsidP="005E2993">
      <w:pPr>
        <w:pStyle w:val="Heading2"/>
        <w:numPr>
          <w:ilvl w:val="1"/>
          <w:numId w:val="20"/>
        </w:numPr>
        <w:ind w:left="1080"/>
        <w:jc w:val="left"/>
        <w:rPr>
          <w:lang w:val="en-GB"/>
        </w:rPr>
      </w:pPr>
      <w:bookmarkStart w:id="31" w:name="_Toc354067280"/>
      <w:r w:rsidRPr="00C054DE">
        <w:rPr>
          <w:lang w:val="en-GB"/>
        </w:rPr>
        <w:t>Economic and Financial Analysis</w:t>
      </w:r>
      <w:bookmarkEnd w:id="31"/>
    </w:p>
    <w:p w:rsidR="00CC4789" w:rsidRDefault="00CC4789" w:rsidP="00CC4789">
      <w:pPr>
        <w:rPr>
          <w:lang w:val="en-GB"/>
        </w:rPr>
      </w:pPr>
    </w:p>
    <w:p w:rsidR="00F34573" w:rsidRPr="00430CA2" w:rsidRDefault="007848C4" w:rsidP="005E2993">
      <w:pPr>
        <w:pStyle w:val="ListParagraph"/>
        <w:numPr>
          <w:ilvl w:val="0"/>
          <w:numId w:val="24"/>
        </w:numPr>
        <w:ind w:left="0" w:firstLine="0"/>
        <w:jc w:val="both"/>
      </w:pPr>
      <w:r w:rsidRPr="007848C4">
        <w:t xml:space="preserve">The economic analysis of </w:t>
      </w:r>
      <w:r w:rsidR="00911C25">
        <w:t>the Project</w:t>
      </w:r>
      <w:r w:rsidRPr="007848C4">
        <w:t xml:space="preserve"> indicates an int</w:t>
      </w:r>
      <w:r w:rsidR="00911C25">
        <w:t>ernal rate of return of 11</w:t>
      </w:r>
      <w:r w:rsidRPr="007848C4">
        <w:t xml:space="preserve"> percent. </w:t>
      </w:r>
      <w:r>
        <w:t xml:space="preserve"> </w:t>
      </w:r>
      <w:r w:rsidRPr="007848C4">
        <w:t>It is</w:t>
      </w:r>
      <w:r w:rsidR="00911C25">
        <w:t xml:space="preserve"> based on four key assumptions</w:t>
      </w:r>
      <w:r w:rsidRPr="007848C4">
        <w:t xml:space="preserve">: (i) </w:t>
      </w:r>
      <w:r w:rsidR="00911C25">
        <w:t>i</w:t>
      </w:r>
      <w:r w:rsidRPr="007848C4">
        <w:rPr>
          <w:bCs/>
        </w:rPr>
        <w:t xml:space="preserve">ncrease in the gross enrollment rate for preschool (aged 3-5 years) in </w:t>
      </w:r>
      <w:r w:rsidR="00116F52" w:rsidRPr="00A51473">
        <w:rPr>
          <w:bCs/>
        </w:rPr>
        <w:t>selected</w:t>
      </w:r>
      <w:r w:rsidRPr="007848C4">
        <w:rPr>
          <w:bCs/>
        </w:rPr>
        <w:t xml:space="preserve"> municipalities</w:t>
      </w:r>
      <w:r w:rsidR="0025560D">
        <w:t xml:space="preserve"> (from 41.</w:t>
      </w:r>
      <w:r w:rsidRPr="007848C4">
        <w:t>6</w:t>
      </w:r>
      <w:r w:rsidR="006D3ABC">
        <w:t xml:space="preserve"> percent</w:t>
      </w:r>
      <w:r w:rsidR="0025560D">
        <w:t xml:space="preserve"> to 53.</w:t>
      </w:r>
      <w:r w:rsidRPr="007848C4">
        <w:t>0</w:t>
      </w:r>
      <w:r w:rsidR="006D3ABC">
        <w:t xml:space="preserve"> percent</w:t>
      </w:r>
      <w:r w:rsidRPr="007848C4">
        <w:t xml:space="preserve">), (ii) </w:t>
      </w:r>
      <w:r>
        <w:rPr>
          <w:bCs/>
        </w:rPr>
        <w:t>i</w:t>
      </w:r>
      <w:r w:rsidRPr="007848C4">
        <w:rPr>
          <w:bCs/>
        </w:rPr>
        <w:t>ncrease in the gross enroll</w:t>
      </w:r>
      <w:r w:rsidR="00173BA7">
        <w:rPr>
          <w:bCs/>
        </w:rPr>
        <w:t>ment rate for lower secondary (g</w:t>
      </w:r>
      <w:r w:rsidRPr="007848C4">
        <w:rPr>
          <w:bCs/>
        </w:rPr>
        <w:t xml:space="preserve">rades 7-9) in </w:t>
      </w:r>
      <w:r w:rsidR="00116F52" w:rsidRPr="00A51473">
        <w:rPr>
          <w:bCs/>
        </w:rPr>
        <w:t>selected</w:t>
      </w:r>
      <w:r w:rsidRPr="007848C4">
        <w:rPr>
          <w:bCs/>
        </w:rPr>
        <w:t xml:space="preserve"> municipalities</w:t>
      </w:r>
      <w:r w:rsidRPr="007848C4">
        <w:t xml:space="preserve"> (f</w:t>
      </w:r>
      <w:r w:rsidR="0025560D">
        <w:t>rom 48.</w:t>
      </w:r>
      <w:r>
        <w:t>6</w:t>
      </w:r>
      <w:r w:rsidR="006D3ABC">
        <w:t xml:space="preserve"> percent</w:t>
      </w:r>
      <w:r>
        <w:t xml:space="preserve"> to 59</w:t>
      </w:r>
      <w:r w:rsidR="006D3ABC">
        <w:t xml:space="preserve"> percent</w:t>
      </w:r>
      <w:r>
        <w:t>);</w:t>
      </w:r>
      <w:r w:rsidR="00911C25">
        <w:t xml:space="preserve"> </w:t>
      </w:r>
      <w:r w:rsidRPr="007848C4">
        <w:t xml:space="preserve">(iii) better quality in lower secondary that increases nationwide </w:t>
      </w:r>
      <w:r>
        <w:t>grade</w:t>
      </w:r>
      <w:r w:rsidR="00173BA7">
        <w:t xml:space="preserve"> 9</w:t>
      </w:r>
      <w:r>
        <w:t xml:space="preserve"> </w:t>
      </w:r>
      <w:r w:rsidRPr="007848C4">
        <w:t xml:space="preserve">completion </w:t>
      </w:r>
      <w:r w:rsidRPr="007848C4">
        <w:lastRenderedPageBreak/>
        <w:t xml:space="preserve">rate </w:t>
      </w:r>
      <w:r w:rsidR="00911C25">
        <w:t>(</w:t>
      </w:r>
      <w:r>
        <w:t>from 52</w:t>
      </w:r>
      <w:r w:rsidR="006D3ABC">
        <w:t xml:space="preserve"> percent</w:t>
      </w:r>
      <w:r>
        <w:t xml:space="preserve"> to 60</w:t>
      </w:r>
      <w:r w:rsidR="006D3ABC">
        <w:t xml:space="preserve"> percent</w:t>
      </w:r>
      <w:r w:rsidR="00911C25">
        <w:t xml:space="preserve">); and (iv) </w:t>
      </w:r>
      <w:r w:rsidRPr="007848C4">
        <w:t xml:space="preserve">a reduction of 5 percent in repetition and dropout rates due to better school readiness as learning conditions in preschool improve. </w:t>
      </w:r>
      <w:r>
        <w:t xml:space="preserve"> </w:t>
      </w:r>
      <w:r w:rsidRPr="007848C4">
        <w:t>Each of these assumptions translates into higher education attainment in mean years of education and into higher earnings.</w:t>
      </w:r>
    </w:p>
    <w:p w:rsidR="00747EBA" w:rsidRPr="00911C25" w:rsidRDefault="0073601F" w:rsidP="00911C25">
      <w:pPr>
        <w:pStyle w:val="ListParagraph"/>
        <w:ind w:left="0"/>
        <w:jc w:val="both"/>
        <w:rPr>
          <w:lang w:val="en-GB"/>
        </w:rPr>
      </w:pPr>
      <w:r>
        <w:rPr>
          <w:bCs/>
          <w:lang w:val="en-GB"/>
        </w:rPr>
        <w:t xml:space="preserve">  </w:t>
      </w:r>
    </w:p>
    <w:p w:rsidR="00C61221" w:rsidRDefault="00AC57C9" w:rsidP="005E2993">
      <w:pPr>
        <w:pStyle w:val="Heading2"/>
        <w:numPr>
          <w:ilvl w:val="1"/>
          <w:numId w:val="20"/>
        </w:numPr>
        <w:ind w:left="1080"/>
        <w:jc w:val="left"/>
        <w:rPr>
          <w:lang w:val="en-GB"/>
        </w:rPr>
      </w:pPr>
      <w:bookmarkStart w:id="32" w:name="_Toc354067281"/>
      <w:r w:rsidRPr="00C054DE">
        <w:rPr>
          <w:lang w:val="en-GB"/>
        </w:rPr>
        <w:t>Technical</w:t>
      </w:r>
      <w:bookmarkEnd w:id="32"/>
    </w:p>
    <w:p w:rsidR="00CC4789" w:rsidRDefault="00CC4789" w:rsidP="00CC4789">
      <w:pPr>
        <w:rPr>
          <w:lang w:val="en-GB"/>
        </w:rPr>
      </w:pPr>
    </w:p>
    <w:p w:rsidR="00534071" w:rsidRPr="007A4931" w:rsidRDefault="000C2DDE" w:rsidP="005E2993">
      <w:pPr>
        <w:pStyle w:val="ListParagraph"/>
        <w:numPr>
          <w:ilvl w:val="0"/>
          <w:numId w:val="24"/>
        </w:numPr>
        <w:ind w:left="0" w:firstLine="0"/>
        <w:jc w:val="both"/>
        <w:rPr>
          <w:lang w:val="en-GB"/>
        </w:rPr>
      </w:pPr>
      <w:r>
        <w:rPr>
          <w:bCs/>
          <w:lang w:val="en-GB"/>
        </w:rPr>
        <w:t>For the most part, t</w:t>
      </w:r>
      <w:r w:rsidR="00370AAE">
        <w:rPr>
          <w:bCs/>
          <w:lang w:val="en-GB"/>
        </w:rPr>
        <w:t xml:space="preserve">he Project has </w:t>
      </w:r>
      <w:r w:rsidR="00370AAE" w:rsidRPr="006A61CB">
        <w:rPr>
          <w:bCs/>
          <w:lang w:val="en-GB"/>
        </w:rPr>
        <w:t>select</w:t>
      </w:r>
      <w:r w:rsidR="00370AAE">
        <w:rPr>
          <w:bCs/>
          <w:lang w:val="en-GB"/>
        </w:rPr>
        <w:t>ed</w:t>
      </w:r>
      <w:r w:rsidR="00656DD4">
        <w:rPr>
          <w:bCs/>
          <w:lang w:val="en-GB"/>
        </w:rPr>
        <w:t xml:space="preserve"> activities with</w:t>
      </w:r>
      <w:r w:rsidR="00370AAE" w:rsidRPr="006A61CB">
        <w:rPr>
          <w:bCs/>
          <w:lang w:val="en-GB"/>
        </w:rPr>
        <w:t xml:space="preserve"> simple and sound</w:t>
      </w:r>
      <w:r w:rsidR="00370AAE">
        <w:rPr>
          <w:bCs/>
          <w:lang w:val="en-GB"/>
        </w:rPr>
        <w:t xml:space="preserve"> technical design</w:t>
      </w:r>
      <w:r w:rsidR="00656DD4">
        <w:rPr>
          <w:bCs/>
          <w:lang w:val="en-GB"/>
        </w:rPr>
        <w:t>s</w:t>
      </w:r>
      <w:r w:rsidR="00370AAE">
        <w:rPr>
          <w:bCs/>
          <w:lang w:val="en-GB"/>
        </w:rPr>
        <w:t xml:space="preserve"> that </w:t>
      </w:r>
      <w:r w:rsidR="00370AAE" w:rsidRPr="006A61CB">
        <w:rPr>
          <w:bCs/>
          <w:lang w:val="en-GB"/>
        </w:rPr>
        <w:t>c</w:t>
      </w:r>
      <w:r w:rsidR="00A16616">
        <w:rPr>
          <w:bCs/>
          <w:lang w:val="en-GB"/>
        </w:rPr>
        <w:t xml:space="preserve">an </w:t>
      </w:r>
      <w:r w:rsidR="0075538D" w:rsidRPr="006A61CB">
        <w:rPr>
          <w:bCs/>
          <w:lang w:val="en-GB"/>
        </w:rPr>
        <w:t>be implemented</w:t>
      </w:r>
      <w:r w:rsidR="00370AAE" w:rsidRPr="006A61CB">
        <w:rPr>
          <w:bCs/>
          <w:lang w:val="en-GB"/>
        </w:rPr>
        <w:t xml:space="preserve"> in </w:t>
      </w:r>
      <w:r w:rsidR="00370AAE">
        <w:rPr>
          <w:bCs/>
          <w:lang w:val="en-GB"/>
        </w:rPr>
        <w:t>municipalities with the lowest economic and social indicators in the country</w:t>
      </w:r>
      <w:r w:rsidR="00370AAE" w:rsidRPr="006A61CB">
        <w:rPr>
          <w:bCs/>
          <w:lang w:val="en-GB"/>
        </w:rPr>
        <w:t>.</w:t>
      </w:r>
      <w:r w:rsidR="007A4931">
        <w:rPr>
          <w:bCs/>
          <w:lang w:val="en-GB"/>
        </w:rPr>
        <w:t xml:space="preserve"> </w:t>
      </w:r>
      <w:r w:rsidR="00370AAE" w:rsidRPr="007A4931">
        <w:rPr>
          <w:bCs/>
        </w:rPr>
        <w:t xml:space="preserve">Other </w:t>
      </w:r>
      <w:r w:rsidR="00A846EB">
        <w:rPr>
          <w:bCs/>
        </w:rPr>
        <w:t xml:space="preserve">Project </w:t>
      </w:r>
      <w:r w:rsidR="00370AAE" w:rsidRPr="007A4931">
        <w:rPr>
          <w:bCs/>
        </w:rPr>
        <w:t>interventions would be more challenging in terms of both technical design and implementation</w:t>
      </w:r>
      <w:r w:rsidR="00A846EB">
        <w:rPr>
          <w:bCs/>
        </w:rPr>
        <w:t xml:space="preserve">, such as </w:t>
      </w:r>
      <w:r w:rsidR="00370AAE" w:rsidRPr="007A4931">
        <w:rPr>
          <w:bCs/>
        </w:rPr>
        <w:t xml:space="preserve">such activity </w:t>
      </w:r>
      <w:r w:rsidR="00A846EB">
        <w:rPr>
          <w:bCs/>
        </w:rPr>
        <w:t>t</w:t>
      </w:r>
      <w:r w:rsidR="00370AAE" w:rsidRPr="007A4931">
        <w:rPr>
          <w:bCs/>
        </w:rPr>
        <w:t xml:space="preserve">he </w:t>
      </w:r>
      <w:r w:rsidR="00911C25" w:rsidRPr="007A4931">
        <w:rPr>
          <w:bCs/>
        </w:rPr>
        <w:t>improved</w:t>
      </w:r>
      <w:r w:rsidR="009D242E">
        <w:rPr>
          <w:bCs/>
        </w:rPr>
        <w:t xml:space="preserve"> infrastructure for 20</w:t>
      </w:r>
      <w:r w:rsidR="00534071" w:rsidRPr="007A4931">
        <w:rPr>
          <w:bCs/>
        </w:rPr>
        <w:t xml:space="preserve">0 </w:t>
      </w:r>
      <w:r w:rsidR="00425807" w:rsidRPr="007A4931">
        <w:rPr>
          <w:bCs/>
        </w:rPr>
        <w:t>basic</w:t>
      </w:r>
      <w:r w:rsidR="00911C25" w:rsidRPr="007A4931">
        <w:rPr>
          <w:bCs/>
        </w:rPr>
        <w:t xml:space="preserve"> schools</w:t>
      </w:r>
      <w:r w:rsidR="00C35FE2" w:rsidRPr="007A4931">
        <w:rPr>
          <w:bCs/>
        </w:rPr>
        <w:t xml:space="preserve"> and 200 preschools</w:t>
      </w:r>
      <w:r w:rsidR="00534071" w:rsidRPr="007A4931">
        <w:rPr>
          <w:bCs/>
        </w:rPr>
        <w:t xml:space="preserve">. </w:t>
      </w:r>
      <w:r w:rsidR="00370AAE" w:rsidRPr="007A4931">
        <w:rPr>
          <w:bCs/>
        </w:rPr>
        <w:t>MINED’s limited experience</w:t>
      </w:r>
      <w:r w:rsidR="002E749E" w:rsidRPr="007A4931">
        <w:rPr>
          <w:bCs/>
        </w:rPr>
        <w:t xml:space="preserve"> and</w:t>
      </w:r>
      <w:r w:rsidR="00370AAE" w:rsidRPr="007A4931">
        <w:rPr>
          <w:bCs/>
        </w:rPr>
        <w:t xml:space="preserve"> institutional capacity </w:t>
      </w:r>
      <w:r w:rsidR="00636C8C" w:rsidRPr="007A4931">
        <w:rPr>
          <w:bCs/>
        </w:rPr>
        <w:t>would</w:t>
      </w:r>
      <w:r w:rsidR="00370AAE" w:rsidRPr="007A4931">
        <w:rPr>
          <w:bCs/>
        </w:rPr>
        <w:t xml:space="preserve"> require close supervision and sustained technical assistance to ens</w:t>
      </w:r>
      <w:r w:rsidR="009B4A68">
        <w:rPr>
          <w:bCs/>
        </w:rPr>
        <w:t xml:space="preserve">ure progress on this activity. </w:t>
      </w:r>
      <w:r w:rsidR="00124FA7" w:rsidRPr="007A4931">
        <w:rPr>
          <w:bCs/>
        </w:rPr>
        <w:t>Another challenge</w:t>
      </w:r>
      <w:r w:rsidR="00534071" w:rsidRPr="007A4931">
        <w:rPr>
          <w:bCs/>
        </w:rPr>
        <w:t xml:space="preserve"> is ensuring the quality and impact of teacher training activities </w:t>
      </w:r>
      <w:r w:rsidR="009B4A68">
        <w:rPr>
          <w:bCs/>
        </w:rPr>
        <w:t xml:space="preserve">at scale. </w:t>
      </w:r>
      <w:r w:rsidR="00E56A8F" w:rsidRPr="007A4931">
        <w:rPr>
          <w:bCs/>
        </w:rPr>
        <w:t xml:space="preserve">For the secondary level certification programs, MINED must rely </w:t>
      </w:r>
      <w:r w:rsidR="00567F36" w:rsidRPr="007A4931">
        <w:rPr>
          <w:bCs/>
        </w:rPr>
        <w:t xml:space="preserve">primarily </w:t>
      </w:r>
      <w:r w:rsidR="006D2FC1" w:rsidRPr="007A4931">
        <w:rPr>
          <w:bCs/>
        </w:rPr>
        <w:t>on the public u</w:t>
      </w:r>
      <w:r w:rsidR="00E56A8F" w:rsidRPr="007A4931">
        <w:rPr>
          <w:bCs/>
        </w:rPr>
        <w:t>niversities for curriculum, trainers and assessme</w:t>
      </w:r>
      <w:r w:rsidR="006D2FC1" w:rsidRPr="007A4931">
        <w:rPr>
          <w:bCs/>
        </w:rPr>
        <w:t xml:space="preserve">nt/certification.  </w:t>
      </w:r>
      <w:r w:rsidR="00425807" w:rsidRPr="007A4931">
        <w:rPr>
          <w:bCs/>
        </w:rPr>
        <w:t>It</w:t>
      </w:r>
      <w:r w:rsidR="00E56A8F" w:rsidRPr="007A4931">
        <w:rPr>
          <w:bCs/>
        </w:rPr>
        <w:t xml:space="preserve"> was agreed that MIN</w:t>
      </w:r>
      <w:r w:rsidR="006D2FC1" w:rsidRPr="007A4931">
        <w:rPr>
          <w:bCs/>
        </w:rPr>
        <w:t>ED would work closely with the u</w:t>
      </w:r>
      <w:r w:rsidR="00E56A8F" w:rsidRPr="007A4931">
        <w:rPr>
          <w:bCs/>
        </w:rPr>
        <w:t xml:space="preserve">niversities </w:t>
      </w:r>
      <w:r w:rsidR="00567F36" w:rsidRPr="007A4931">
        <w:rPr>
          <w:bCs/>
        </w:rPr>
        <w:t>to</w:t>
      </w:r>
      <w:r w:rsidR="006D2FC1" w:rsidRPr="007A4931">
        <w:rPr>
          <w:bCs/>
        </w:rPr>
        <w:t>:</w:t>
      </w:r>
      <w:r w:rsidR="00567F36" w:rsidRPr="007A4931">
        <w:rPr>
          <w:bCs/>
        </w:rPr>
        <w:t xml:space="preserve"> (i) develop new training quality standards for all certification pro</w:t>
      </w:r>
      <w:r w:rsidR="006D2FC1" w:rsidRPr="007A4931">
        <w:rPr>
          <w:bCs/>
        </w:rPr>
        <w:t>grams financed by the Project;</w:t>
      </w:r>
      <w:r w:rsidR="00567F36" w:rsidRPr="007A4931">
        <w:rPr>
          <w:bCs/>
        </w:rPr>
        <w:t xml:space="preserve"> (ii) prepare new </w:t>
      </w:r>
      <w:r w:rsidR="006D2FC1" w:rsidRPr="007A4931">
        <w:rPr>
          <w:bCs/>
        </w:rPr>
        <w:t>training curricula;</w:t>
      </w:r>
      <w:r w:rsidR="00E56A8F" w:rsidRPr="007A4931">
        <w:rPr>
          <w:bCs/>
        </w:rPr>
        <w:t xml:space="preserve"> </w:t>
      </w:r>
      <w:r w:rsidR="00567F36" w:rsidRPr="007A4931">
        <w:rPr>
          <w:bCs/>
        </w:rPr>
        <w:t xml:space="preserve">(iii) </w:t>
      </w:r>
      <w:r w:rsidR="00E56A8F" w:rsidRPr="007A4931">
        <w:rPr>
          <w:bCs/>
        </w:rPr>
        <w:t xml:space="preserve">train </w:t>
      </w:r>
      <w:r w:rsidR="00567F36" w:rsidRPr="007A4931">
        <w:rPr>
          <w:bCs/>
        </w:rPr>
        <w:t xml:space="preserve">all </w:t>
      </w:r>
      <w:r w:rsidR="006D2FC1" w:rsidRPr="007A4931">
        <w:rPr>
          <w:bCs/>
        </w:rPr>
        <w:t>trainers in the new programs;</w:t>
      </w:r>
      <w:r w:rsidR="00E56A8F" w:rsidRPr="007A4931">
        <w:rPr>
          <w:bCs/>
        </w:rPr>
        <w:t xml:space="preserve"> </w:t>
      </w:r>
      <w:r w:rsidR="00567F36" w:rsidRPr="007A4931">
        <w:rPr>
          <w:bCs/>
        </w:rPr>
        <w:t>(iv) prepare</w:t>
      </w:r>
      <w:r w:rsidR="00E56A8F" w:rsidRPr="007A4931">
        <w:rPr>
          <w:bCs/>
        </w:rPr>
        <w:t xml:space="preserve"> and administ</w:t>
      </w:r>
      <w:r w:rsidR="00567F36" w:rsidRPr="007A4931">
        <w:rPr>
          <w:bCs/>
        </w:rPr>
        <w:t xml:space="preserve">er </w:t>
      </w:r>
      <w:r w:rsidR="00E56A8F" w:rsidRPr="007A4931">
        <w:rPr>
          <w:bCs/>
        </w:rPr>
        <w:t>monitoring and evaluation activities (including post-training surveys of newly certified teachers)</w:t>
      </w:r>
      <w:r w:rsidR="006D2FC1" w:rsidRPr="007A4931">
        <w:rPr>
          <w:bCs/>
        </w:rPr>
        <w:t>;</w:t>
      </w:r>
      <w:r w:rsidR="00BF76C7" w:rsidRPr="007A4931">
        <w:rPr>
          <w:bCs/>
        </w:rPr>
        <w:t xml:space="preserve"> and </w:t>
      </w:r>
      <w:r w:rsidR="00567F36" w:rsidRPr="007A4931">
        <w:rPr>
          <w:bCs/>
        </w:rPr>
        <w:t xml:space="preserve">(v) feed </w:t>
      </w:r>
      <w:r w:rsidR="00BF76C7" w:rsidRPr="007A4931">
        <w:rPr>
          <w:bCs/>
        </w:rPr>
        <w:t xml:space="preserve">these results back into the revision of </w:t>
      </w:r>
      <w:r w:rsidR="00124FA7" w:rsidRPr="007A4931">
        <w:rPr>
          <w:bCs/>
        </w:rPr>
        <w:t>certification</w:t>
      </w:r>
      <w:r w:rsidR="00BF76C7" w:rsidRPr="007A4931">
        <w:rPr>
          <w:bCs/>
        </w:rPr>
        <w:t xml:space="preserve"> programs.</w:t>
      </w:r>
      <w:r w:rsidR="00534071" w:rsidRPr="007A4931">
        <w:rPr>
          <w:bCs/>
        </w:rPr>
        <w:t xml:space="preserve"> </w:t>
      </w:r>
    </w:p>
    <w:p w:rsidR="00A9553A" w:rsidRDefault="00E6189B" w:rsidP="00217112">
      <w:pPr>
        <w:pStyle w:val="ListParagraph"/>
        <w:ind w:left="0"/>
        <w:jc w:val="both"/>
        <w:rPr>
          <w:lang w:val="en-GB"/>
        </w:rPr>
      </w:pPr>
      <w:r w:rsidRPr="006A61CB">
        <w:rPr>
          <w:bCs/>
        </w:rPr>
        <w:t xml:space="preserve">    </w:t>
      </w:r>
      <w:r w:rsidR="00AE0098" w:rsidRPr="006A61CB">
        <w:rPr>
          <w:bCs/>
        </w:rPr>
        <w:t xml:space="preserve">  </w:t>
      </w:r>
    </w:p>
    <w:p w:rsidR="00C61221" w:rsidRPr="00A9151C" w:rsidRDefault="00AC57C9" w:rsidP="005E2993">
      <w:pPr>
        <w:pStyle w:val="Heading2"/>
        <w:numPr>
          <w:ilvl w:val="1"/>
          <w:numId w:val="20"/>
        </w:numPr>
        <w:ind w:left="1080"/>
        <w:jc w:val="left"/>
        <w:rPr>
          <w:lang w:val="en-GB"/>
        </w:rPr>
      </w:pPr>
      <w:bookmarkStart w:id="33" w:name="_Toc354067282"/>
      <w:r w:rsidRPr="00A9151C">
        <w:rPr>
          <w:lang w:val="en-GB"/>
        </w:rPr>
        <w:t>Financial Management</w:t>
      </w:r>
      <w:bookmarkEnd w:id="33"/>
    </w:p>
    <w:p w:rsidR="00CC4789" w:rsidRDefault="00CC4789" w:rsidP="00CC4789"/>
    <w:p w:rsidR="00C15BF2" w:rsidRPr="00D51EAB" w:rsidRDefault="00C15BF2" w:rsidP="005E2993">
      <w:pPr>
        <w:pStyle w:val="ListParagraph"/>
        <w:numPr>
          <w:ilvl w:val="0"/>
          <w:numId w:val="24"/>
        </w:numPr>
        <w:ind w:left="0" w:firstLine="0"/>
        <w:jc w:val="both"/>
      </w:pPr>
      <w:r w:rsidRPr="00D51EAB">
        <w:t>A financial management</w:t>
      </w:r>
      <w:r w:rsidR="00277665" w:rsidRPr="00D51EAB">
        <w:t xml:space="preserve"> (FM)</w:t>
      </w:r>
      <w:r w:rsidRPr="00D51EAB">
        <w:t xml:space="preserve"> assessment was carried out to determine </w:t>
      </w:r>
      <w:r w:rsidR="00277665" w:rsidRPr="00D51EAB">
        <w:t>FM</w:t>
      </w:r>
      <w:r w:rsidRPr="00D51EAB">
        <w:t xml:space="preserve"> implementation risk and help establish adequate FM arrangements for the </w:t>
      </w:r>
      <w:r w:rsidR="000C16FA" w:rsidRPr="00D51EAB">
        <w:t>Project</w:t>
      </w:r>
      <w:r w:rsidRPr="00D51EAB">
        <w:t xml:space="preserve">.  The FM </w:t>
      </w:r>
      <w:r w:rsidR="00E62A27" w:rsidRPr="00D51EAB">
        <w:t>arrangements</w:t>
      </w:r>
      <w:r w:rsidRPr="00D51EAB">
        <w:t xml:space="preserve"> r</w:t>
      </w:r>
      <w:r w:rsidR="005663DA" w:rsidRPr="00D51EAB">
        <w:t>esp</w:t>
      </w:r>
      <w:r w:rsidRPr="00D51EAB">
        <w:t>ond to the identified risk</w:t>
      </w:r>
      <w:r w:rsidR="00E62A27" w:rsidRPr="00D51EAB">
        <w:t>s</w:t>
      </w:r>
      <w:r w:rsidRPr="00D51EAB">
        <w:t xml:space="preserve"> and </w:t>
      </w:r>
      <w:r w:rsidR="001F5484" w:rsidRPr="00D51EAB">
        <w:t>include</w:t>
      </w:r>
      <w:r w:rsidRPr="00D51EAB">
        <w:t xml:space="preserve"> a suitable supervision strategy.</w:t>
      </w:r>
      <w:r w:rsidR="002C7603" w:rsidRPr="00D51EAB">
        <w:t xml:space="preserve"> </w:t>
      </w:r>
      <w:r w:rsidRPr="00D51EAB">
        <w:t xml:space="preserve"> </w:t>
      </w:r>
      <w:r w:rsidR="007A4931" w:rsidRPr="00D51EAB">
        <w:t>C</w:t>
      </w:r>
      <w:r w:rsidRPr="00D51EAB">
        <w:t xml:space="preserve">omplementary actions have been </w:t>
      </w:r>
      <w:r w:rsidR="00E62A27" w:rsidRPr="00D51EAB">
        <w:t>identified to</w:t>
      </w:r>
      <w:r w:rsidRPr="00D51EAB">
        <w:t xml:space="preserve"> ensure that the Project is implemented within a sound fiduciary environment in </w:t>
      </w:r>
      <w:r w:rsidRPr="00D51EAB">
        <w:rPr>
          <w:bCs/>
        </w:rPr>
        <w:t>compliance</w:t>
      </w:r>
      <w:r w:rsidRPr="00D51EAB">
        <w:t xml:space="preserve"> with </w:t>
      </w:r>
      <w:r w:rsidR="00EE5A5B" w:rsidRPr="00D51EAB">
        <w:t>Bank</w:t>
      </w:r>
      <w:r w:rsidRPr="00D51EAB">
        <w:t xml:space="preserve"> requirements</w:t>
      </w:r>
      <w:r w:rsidR="00C35FE2" w:rsidRPr="00D51EAB">
        <w:t xml:space="preserve">, including recruitment of a </w:t>
      </w:r>
      <w:r w:rsidR="00103FF9" w:rsidRPr="00D51EAB">
        <w:t>s</w:t>
      </w:r>
      <w:r w:rsidR="00C35FE2" w:rsidRPr="00D51EAB">
        <w:t xml:space="preserve">enior </w:t>
      </w:r>
      <w:r w:rsidR="00103FF9" w:rsidRPr="00D51EAB">
        <w:t>f</w:t>
      </w:r>
      <w:r w:rsidR="00C35FE2" w:rsidRPr="00D51EAB">
        <w:t xml:space="preserve">inancial </w:t>
      </w:r>
      <w:r w:rsidR="00E34260" w:rsidRPr="00D51EAB">
        <w:t>m</w:t>
      </w:r>
      <w:r w:rsidR="007A02B4" w:rsidRPr="00D51EAB">
        <w:t>a</w:t>
      </w:r>
      <w:r w:rsidR="00EE6158" w:rsidRPr="00D51EAB">
        <w:t>na</w:t>
      </w:r>
      <w:r w:rsidR="007A02B4" w:rsidRPr="00D51EAB">
        <w:t xml:space="preserve">gement </w:t>
      </w:r>
      <w:r w:rsidR="00103FF9" w:rsidRPr="00D51EAB">
        <w:t>s</w:t>
      </w:r>
      <w:r w:rsidR="00C35FE2" w:rsidRPr="00D51EAB">
        <w:t xml:space="preserve">pecialist, </w:t>
      </w:r>
      <w:r w:rsidR="001E3CC0" w:rsidRPr="00D51EAB">
        <w:t>two</w:t>
      </w:r>
      <w:r w:rsidR="00C35FE2" w:rsidRPr="00D51EAB">
        <w:t xml:space="preserve"> </w:t>
      </w:r>
      <w:r w:rsidR="007A02B4" w:rsidRPr="00D51EAB">
        <w:t>a</w:t>
      </w:r>
      <w:r w:rsidR="00C35FE2" w:rsidRPr="00D51EAB">
        <w:t>ccountant and</w:t>
      </w:r>
      <w:r w:rsidR="001E3CC0" w:rsidRPr="00D51EAB">
        <w:t xml:space="preserve"> six controllers</w:t>
      </w:r>
      <w:r w:rsidRPr="00D51EAB">
        <w:t xml:space="preserve">.  MINED’s </w:t>
      </w:r>
      <w:r w:rsidR="000D655F" w:rsidRPr="003251BD">
        <w:rPr>
          <w:bCs/>
        </w:rPr>
        <w:t xml:space="preserve">Administrative and Financial General Division </w:t>
      </w:r>
      <w:r w:rsidR="000D655F">
        <w:t>(</w:t>
      </w:r>
      <w:r w:rsidR="000D655F" w:rsidRPr="007604E6">
        <w:rPr>
          <w:bCs/>
          <w:i/>
        </w:rPr>
        <w:t>División General Administrativa Financiera</w:t>
      </w:r>
      <w:r w:rsidR="000D655F">
        <w:rPr>
          <w:bCs/>
        </w:rPr>
        <w:t>,</w:t>
      </w:r>
      <w:r w:rsidR="000D655F" w:rsidRPr="00D51EAB">
        <w:rPr>
          <w:bCs/>
        </w:rPr>
        <w:t xml:space="preserve"> </w:t>
      </w:r>
      <w:r w:rsidR="00E62E03" w:rsidRPr="00D51EAB">
        <w:rPr>
          <w:bCs/>
        </w:rPr>
        <w:t>AFGD</w:t>
      </w:r>
      <w:r w:rsidR="000D655F">
        <w:rPr>
          <w:bCs/>
        </w:rPr>
        <w:t>)</w:t>
      </w:r>
      <w:r w:rsidR="009F2044" w:rsidRPr="00D51EAB">
        <w:t xml:space="preserve"> </w:t>
      </w:r>
      <w:r w:rsidRPr="00D51EAB">
        <w:t>would be r</w:t>
      </w:r>
      <w:r w:rsidR="005663DA" w:rsidRPr="00D51EAB">
        <w:t>esp</w:t>
      </w:r>
      <w:r w:rsidRPr="00D51EAB">
        <w:t>onsible for the financial manageme</w:t>
      </w:r>
      <w:r w:rsidR="000C16FA" w:rsidRPr="00D51EAB">
        <w:t xml:space="preserve">nt arrangements of the </w:t>
      </w:r>
      <w:r w:rsidRPr="00D51EAB">
        <w:t>Project.  It would consolidate the financial registration in the Integrated Financial Management System</w:t>
      </w:r>
      <w:r w:rsidR="009C5BBC" w:rsidRPr="00D51EAB">
        <w:t xml:space="preserve"> (</w:t>
      </w:r>
      <w:r w:rsidR="009C5BBC" w:rsidRPr="00D51EAB">
        <w:rPr>
          <w:i/>
        </w:rPr>
        <w:t>Sistema Integrado de Gestión Financiera</w:t>
      </w:r>
      <w:r w:rsidR="009C5BBC" w:rsidRPr="00D51EAB">
        <w:t xml:space="preserve">, </w:t>
      </w:r>
      <w:r w:rsidRPr="00D51EAB">
        <w:t xml:space="preserve">SIGFAPRO) </w:t>
      </w:r>
      <w:r w:rsidR="00E61F83" w:rsidRPr="00D51EAB">
        <w:t>or other financial system</w:t>
      </w:r>
      <w:r w:rsidR="00D82EAA" w:rsidRPr="00D51EAB">
        <w:t>s</w:t>
      </w:r>
      <w:r w:rsidR="00E61F83" w:rsidRPr="00D51EAB">
        <w:t xml:space="preserve"> </w:t>
      </w:r>
      <w:r w:rsidR="001859F7" w:rsidRPr="00D51EAB">
        <w:t>approved</w:t>
      </w:r>
      <w:r w:rsidR="00E61F83" w:rsidRPr="00D51EAB">
        <w:t xml:space="preserve"> by the Bank and</w:t>
      </w:r>
      <w:r w:rsidRPr="00D51EAB">
        <w:t xml:space="preserve"> perform reconciliation of the accounts.</w:t>
      </w:r>
      <w:r w:rsidR="0071671D" w:rsidRPr="00D51EAB">
        <w:t xml:space="preserve"> </w:t>
      </w:r>
      <w:r w:rsidRPr="00D51EAB">
        <w:t xml:space="preserve"> </w:t>
      </w:r>
      <w:r w:rsidR="00E62A27" w:rsidRPr="00D51EAB">
        <w:t xml:space="preserve">The </w:t>
      </w:r>
      <w:r w:rsidR="00E62E03" w:rsidRPr="00D51EAB">
        <w:t>AFGD</w:t>
      </w:r>
      <w:r w:rsidRPr="00D51EAB">
        <w:t xml:space="preserve"> has experience managing </w:t>
      </w:r>
      <w:r w:rsidR="00EE5A5B" w:rsidRPr="00D51EAB">
        <w:t>Bank</w:t>
      </w:r>
      <w:r w:rsidRPr="00D51EAB">
        <w:t xml:space="preserve"> funds with the recently implemented </w:t>
      </w:r>
      <w:r w:rsidR="008126B1" w:rsidRPr="00D51EAB">
        <w:t>PASEN I</w:t>
      </w:r>
      <w:r w:rsidR="00E62A27" w:rsidRPr="00D51EAB">
        <w:t>.</w:t>
      </w:r>
      <w:r w:rsidRPr="00D51EAB">
        <w:t xml:space="preserve">  The adequacy of FM arrangements would be continuously monitored during </w:t>
      </w:r>
      <w:r w:rsidR="002677F2" w:rsidRPr="00D51EAB">
        <w:t>Project</w:t>
      </w:r>
      <w:r w:rsidRPr="00D51EAB">
        <w:t xml:space="preserve"> supervision.</w:t>
      </w:r>
    </w:p>
    <w:p w:rsidR="005B016C" w:rsidRDefault="005B016C" w:rsidP="005B016C">
      <w:pPr>
        <w:pStyle w:val="ListParagraph"/>
        <w:ind w:left="0"/>
        <w:jc w:val="both"/>
      </w:pPr>
    </w:p>
    <w:p w:rsidR="00C61221" w:rsidRPr="00A9151C" w:rsidRDefault="00AC57C9" w:rsidP="005E2993">
      <w:pPr>
        <w:pStyle w:val="Heading2"/>
        <w:numPr>
          <w:ilvl w:val="1"/>
          <w:numId w:val="20"/>
        </w:numPr>
        <w:ind w:left="1080"/>
        <w:jc w:val="left"/>
        <w:rPr>
          <w:lang w:val="en-GB"/>
        </w:rPr>
      </w:pPr>
      <w:bookmarkStart w:id="34" w:name="_Toc354067283"/>
      <w:r w:rsidRPr="00A9151C">
        <w:rPr>
          <w:lang w:val="en-GB"/>
        </w:rPr>
        <w:t>Procurement</w:t>
      </w:r>
      <w:bookmarkEnd w:id="34"/>
    </w:p>
    <w:p w:rsidR="00C054DE" w:rsidRPr="00217112" w:rsidRDefault="00C054DE" w:rsidP="00217112">
      <w:pPr>
        <w:pStyle w:val="Heading2"/>
        <w:ind w:left="1080"/>
        <w:jc w:val="left"/>
        <w:rPr>
          <w:lang w:val="en-GB"/>
        </w:rPr>
      </w:pPr>
    </w:p>
    <w:p w:rsidR="001C1CE1" w:rsidRPr="00C27783" w:rsidRDefault="00E1542C" w:rsidP="00C27783">
      <w:pPr>
        <w:pStyle w:val="ListParagraph"/>
        <w:numPr>
          <w:ilvl w:val="0"/>
          <w:numId w:val="24"/>
        </w:numPr>
        <w:ind w:left="0" w:firstLine="0"/>
        <w:jc w:val="both"/>
        <w:rPr>
          <w:b/>
        </w:rPr>
      </w:pPr>
      <w:r w:rsidRPr="00E1542C">
        <w:t>Procurement fo</w:t>
      </w:r>
      <w:r w:rsidR="000C16FA">
        <w:t xml:space="preserve">r the </w:t>
      </w:r>
      <w:r w:rsidR="002677F2">
        <w:t>Project</w:t>
      </w:r>
      <w:r w:rsidR="000C16FA">
        <w:t xml:space="preserve"> would</w:t>
      </w:r>
      <w:r w:rsidRPr="00E1542C">
        <w:t xml:space="preserve"> be carried out by the Procurement Division of MINED. </w:t>
      </w:r>
      <w:r>
        <w:t xml:space="preserve"> </w:t>
      </w:r>
      <w:r w:rsidRPr="00E1542C">
        <w:t>The unit was found adequately staffed and equipped to undertake the standard procurement activit</w:t>
      </w:r>
      <w:r w:rsidR="00E62A27">
        <w:t>ies</w:t>
      </w:r>
      <w:r w:rsidRPr="00E1542C">
        <w:t xml:space="preserve"> routinely carried out by the division. </w:t>
      </w:r>
      <w:r>
        <w:t xml:space="preserve"> </w:t>
      </w:r>
      <w:r w:rsidRPr="00E1542C">
        <w:t xml:space="preserve">The key issues and risks </w:t>
      </w:r>
      <w:r w:rsidRPr="002248BE">
        <w:rPr>
          <w:bCs/>
        </w:rPr>
        <w:t>concerning</w:t>
      </w:r>
      <w:r w:rsidRPr="00E1542C">
        <w:t xml:space="preserve"> procurement for implementation of the </w:t>
      </w:r>
      <w:r w:rsidR="001F5484">
        <w:t>P</w:t>
      </w:r>
      <w:r w:rsidR="00277665">
        <w:t>roject include: (i</w:t>
      </w:r>
      <w:r w:rsidRPr="00E1542C">
        <w:t>) MINED</w:t>
      </w:r>
      <w:r w:rsidR="002248BE">
        <w:t>’s</w:t>
      </w:r>
      <w:r w:rsidRPr="00E1542C">
        <w:t xml:space="preserve"> </w:t>
      </w:r>
      <w:r w:rsidRPr="00464138">
        <w:t>weak</w:t>
      </w:r>
      <w:r w:rsidRPr="002248BE">
        <w:rPr>
          <w:bCs/>
        </w:rPr>
        <w:t xml:space="preserve"> implementation capacity</w:t>
      </w:r>
      <w:r w:rsidR="00B20A8D" w:rsidRPr="002248BE">
        <w:rPr>
          <w:bCs/>
        </w:rPr>
        <w:t xml:space="preserve"> in comparison with the expected high workload</w:t>
      </w:r>
      <w:r w:rsidR="00AB0FE4" w:rsidRPr="002248BE">
        <w:rPr>
          <w:bCs/>
        </w:rPr>
        <w:t>;</w:t>
      </w:r>
      <w:r w:rsidRPr="002248BE">
        <w:rPr>
          <w:bCs/>
        </w:rPr>
        <w:t xml:space="preserve"> </w:t>
      </w:r>
      <w:r w:rsidR="00277665">
        <w:t>(ii</w:t>
      </w:r>
      <w:r w:rsidRPr="00E1542C">
        <w:t xml:space="preserve">) variety and complexity of procurement to be carried out for </w:t>
      </w:r>
      <w:r w:rsidR="001F5484">
        <w:t>P</w:t>
      </w:r>
      <w:r w:rsidRPr="00E1542C">
        <w:t>roject implementation</w:t>
      </w:r>
      <w:r w:rsidR="00AB0FE4">
        <w:t>;</w:t>
      </w:r>
      <w:r w:rsidR="00277665">
        <w:t xml:space="preserve"> and (iii</w:t>
      </w:r>
      <w:r w:rsidRPr="00E1542C">
        <w:t xml:space="preserve">) local procurement regulations </w:t>
      </w:r>
      <w:r w:rsidR="00AB0FE4">
        <w:t>include</w:t>
      </w:r>
      <w:r w:rsidRPr="00E1542C">
        <w:t xml:space="preserve"> practices </w:t>
      </w:r>
      <w:r w:rsidRPr="00E1542C">
        <w:lastRenderedPageBreak/>
        <w:t xml:space="preserve">that are not acceptable to the </w:t>
      </w:r>
      <w:r w:rsidR="00ED6468">
        <w:t>Bank</w:t>
      </w:r>
      <w:r w:rsidRPr="00E1542C">
        <w:t>.</w:t>
      </w:r>
      <w:r w:rsidR="00C27783">
        <w:rPr>
          <w:b/>
        </w:rPr>
        <w:t xml:space="preserve">  </w:t>
      </w:r>
      <w:r w:rsidR="001859F7" w:rsidRPr="003B559D">
        <w:t>U</w:t>
      </w:r>
      <w:r w:rsidR="00D90A53" w:rsidRPr="00C27783">
        <w:rPr>
          <w:iCs/>
        </w:rPr>
        <w:t xml:space="preserve">nder PASEN II, </w:t>
      </w:r>
      <w:r w:rsidR="00C27783">
        <w:rPr>
          <w:iCs/>
        </w:rPr>
        <w:t>MINED hired</w:t>
      </w:r>
      <w:r w:rsidR="00B20A8D" w:rsidRPr="00C27783">
        <w:rPr>
          <w:iCs/>
        </w:rPr>
        <w:t xml:space="preserve"> </w:t>
      </w:r>
      <w:r w:rsidR="000F19CB" w:rsidRPr="00C27783">
        <w:rPr>
          <w:iCs/>
        </w:rPr>
        <w:t>three</w:t>
      </w:r>
      <w:r w:rsidR="00C27783">
        <w:rPr>
          <w:iCs/>
        </w:rPr>
        <w:t xml:space="preserve"> additional procurement a</w:t>
      </w:r>
      <w:r w:rsidR="00B20A8D" w:rsidRPr="00C27783">
        <w:rPr>
          <w:iCs/>
        </w:rPr>
        <w:t xml:space="preserve">nalysts who </w:t>
      </w:r>
      <w:r w:rsidR="00636C8C" w:rsidRPr="00C27783">
        <w:rPr>
          <w:iCs/>
        </w:rPr>
        <w:t>would</w:t>
      </w:r>
      <w:r w:rsidR="00B20A8D" w:rsidRPr="00C27783">
        <w:rPr>
          <w:iCs/>
        </w:rPr>
        <w:t xml:space="preserve"> be in charge of the </w:t>
      </w:r>
      <w:r w:rsidR="001279DB" w:rsidRPr="00C27783">
        <w:rPr>
          <w:iCs/>
        </w:rPr>
        <w:t>Project</w:t>
      </w:r>
      <w:r w:rsidR="00B20A8D" w:rsidRPr="00C27783">
        <w:rPr>
          <w:iCs/>
        </w:rPr>
        <w:t xml:space="preserve"> procurement function</w:t>
      </w:r>
      <w:r w:rsidR="008F4368" w:rsidRPr="00C27783">
        <w:rPr>
          <w:iCs/>
        </w:rPr>
        <w:t>s for both PASEN II and the Project</w:t>
      </w:r>
      <w:r w:rsidR="006E5EDE" w:rsidRPr="00C27783">
        <w:rPr>
          <w:iCs/>
        </w:rPr>
        <w:t xml:space="preserve">.  </w:t>
      </w:r>
      <w:r w:rsidR="002E749E" w:rsidRPr="00C27783">
        <w:rPr>
          <w:iCs/>
        </w:rPr>
        <w:t xml:space="preserve">MINED </w:t>
      </w:r>
      <w:r w:rsidR="003B559D" w:rsidRPr="00C27783">
        <w:rPr>
          <w:iCs/>
        </w:rPr>
        <w:t xml:space="preserve">hired </w:t>
      </w:r>
      <w:r w:rsidR="002E749E" w:rsidRPr="00C27783">
        <w:rPr>
          <w:iCs/>
        </w:rPr>
        <w:t xml:space="preserve">a highly qualified </w:t>
      </w:r>
      <w:r w:rsidR="00CB69E6" w:rsidRPr="00C27783">
        <w:rPr>
          <w:iCs/>
        </w:rPr>
        <w:t>international procurement specialist</w:t>
      </w:r>
      <w:r w:rsidR="002E749E" w:rsidRPr="00C27783">
        <w:rPr>
          <w:iCs/>
        </w:rPr>
        <w:t xml:space="preserve"> who </w:t>
      </w:r>
      <w:r w:rsidR="00636C8C" w:rsidRPr="00C27783">
        <w:rPr>
          <w:iCs/>
        </w:rPr>
        <w:t>would</w:t>
      </w:r>
      <w:r w:rsidR="002E749E" w:rsidRPr="00C27783">
        <w:rPr>
          <w:iCs/>
        </w:rPr>
        <w:t xml:space="preserve"> coach the analysts and procurement MINED staff and contribute to quality control</w:t>
      </w:r>
      <w:r w:rsidR="001859F7" w:rsidRPr="00C27783">
        <w:rPr>
          <w:iCs/>
        </w:rPr>
        <w:t xml:space="preserve">.  Under </w:t>
      </w:r>
      <w:r w:rsidR="008F4368" w:rsidRPr="003B559D">
        <w:t>the Project</w:t>
      </w:r>
      <w:r w:rsidR="002E749E" w:rsidRPr="003B559D">
        <w:t>,</w:t>
      </w:r>
      <w:r w:rsidR="00B20A8D" w:rsidRPr="003B559D">
        <w:t xml:space="preserve"> </w:t>
      </w:r>
      <w:r w:rsidR="000F19CB" w:rsidRPr="003B559D">
        <w:t>three</w:t>
      </w:r>
      <w:r w:rsidR="00D90A53" w:rsidRPr="003B559D">
        <w:t xml:space="preserve"> addi</w:t>
      </w:r>
      <w:r w:rsidR="00C27783">
        <w:t>tional procurement a</w:t>
      </w:r>
      <w:r w:rsidR="001859F7" w:rsidRPr="003B559D">
        <w:t>nalysts would</w:t>
      </w:r>
      <w:r w:rsidR="00D90A53" w:rsidRPr="003B559D">
        <w:t xml:space="preserve"> be hired</w:t>
      </w:r>
      <w:r w:rsidR="000F19CB" w:rsidRPr="003B559D">
        <w:t>.  One of the three would have an engi</w:t>
      </w:r>
      <w:r w:rsidR="002B289C" w:rsidRPr="003B559D">
        <w:t>neering/architect background</w:t>
      </w:r>
      <w:r w:rsidR="000F19CB" w:rsidRPr="003B559D">
        <w:t xml:space="preserve"> to help with procurement activities related to civil works</w:t>
      </w:r>
      <w:r w:rsidR="001859F7" w:rsidRPr="003B559D">
        <w:t>.</w:t>
      </w:r>
    </w:p>
    <w:p w:rsidR="00ED6468" w:rsidRDefault="001859F7" w:rsidP="001C1CE1">
      <w:pPr>
        <w:pStyle w:val="ListParagraph"/>
        <w:ind w:left="0"/>
        <w:jc w:val="both"/>
      </w:pPr>
      <w:r w:rsidRPr="001C1CE1">
        <w:rPr>
          <w:iCs/>
          <w:highlight w:val="yellow"/>
        </w:rPr>
        <w:t xml:space="preserve">  </w:t>
      </w:r>
    </w:p>
    <w:p w:rsidR="00C61221" w:rsidRPr="00A9151C" w:rsidRDefault="00AC57C9" w:rsidP="005E2993">
      <w:pPr>
        <w:pStyle w:val="Heading2"/>
        <w:numPr>
          <w:ilvl w:val="1"/>
          <w:numId w:val="20"/>
        </w:numPr>
        <w:ind w:left="1080"/>
        <w:jc w:val="left"/>
        <w:rPr>
          <w:lang w:val="en-GB"/>
        </w:rPr>
      </w:pPr>
      <w:bookmarkStart w:id="35" w:name="_Toc354067284"/>
      <w:r w:rsidRPr="00A9151C">
        <w:rPr>
          <w:lang w:val="en-GB"/>
        </w:rPr>
        <w:t>Social (including safeguards)</w:t>
      </w:r>
      <w:bookmarkEnd w:id="35"/>
    </w:p>
    <w:p w:rsidR="00C054DE" w:rsidRPr="00AE0098" w:rsidRDefault="00C054DE" w:rsidP="00C054DE"/>
    <w:p w:rsidR="00E61B23" w:rsidRDefault="00E61B23" w:rsidP="005E2993">
      <w:pPr>
        <w:pStyle w:val="ListParagraph"/>
        <w:numPr>
          <w:ilvl w:val="0"/>
          <w:numId w:val="24"/>
        </w:numPr>
        <w:ind w:left="0" w:firstLine="0"/>
        <w:jc w:val="both"/>
        <w:rPr>
          <w:bCs/>
        </w:rPr>
      </w:pPr>
      <w:r>
        <w:rPr>
          <w:bCs/>
        </w:rPr>
        <w:t>Indigenous peoples, afro-descendants and the poorer and most vulnerable sectors of the Nicaraguan population are among the main beneficiaries of the Project.  More specifi</w:t>
      </w:r>
      <w:r w:rsidR="001859F7">
        <w:rPr>
          <w:bCs/>
        </w:rPr>
        <w:t xml:space="preserve">cally the Project </w:t>
      </w:r>
      <w:r w:rsidR="00636C8C">
        <w:rPr>
          <w:bCs/>
        </w:rPr>
        <w:t>would</w:t>
      </w:r>
      <w:r w:rsidR="001859F7">
        <w:rPr>
          <w:bCs/>
        </w:rPr>
        <w:t xml:space="preserve"> benefit Indigenous P</w:t>
      </w:r>
      <w:r>
        <w:rPr>
          <w:bCs/>
        </w:rPr>
        <w:t xml:space="preserve">eoples living in RAAN, RAAS, and those who live in the North Pacific and Center Regions.  It </w:t>
      </w:r>
      <w:r w:rsidR="00636C8C">
        <w:rPr>
          <w:bCs/>
        </w:rPr>
        <w:t>would</w:t>
      </w:r>
      <w:r>
        <w:rPr>
          <w:bCs/>
        </w:rPr>
        <w:t xml:space="preserve"> also include the afro-descendant populations living in the </w:t>
      </w:r>
      <w:r w:rsidRPr="007F6350">
        <w:rPr>
          <w:bCs/>
        </w:rPr>
        <w:t>Rio San Juan</w:t>
      </w:r>
      <w:r>
        <w:rPr>
          <w:bCs/>
        </w:rPr>
        <w:t>, and the peasants and mestizo communities that populate the entire country.  In these Regions</w:t>
      </w:r>
      <w:r w:rsidR="00DE253E">
        <w:rPr>
          <w:bCs/>
        </w:rPr>
        <w:t>,</w:t>
      </w:r>
      <w:r>
        <w:rPr>
          <w:bCs/>
        </w:rPr>
        <w:t xml:space="preserve"> the Project faces the challenge of supporting and strengthening Intercultural Bilingual Education</w:t>
      </w:r>
      <w:r w:rsidR="001859F7">
        <w:rPr>
          <w:bCs/>
        </w:rPr>
        <w:t xml:space="preserve"> (IBE)</w:t>
      </w:r>
      <w:r>
        <w:rPr>
          <w:bCs/>
        </w:rPr>
        <w:t xml:space="preserve">.  </w:t>
      </w:r>
    </w:p>
    <w:p w:rsidR="00934B6E" w:rsidRDefault="00934B6E" w:rsidP="00934B6E">
      <w:pPr>
        <w:pStyle w:val="ListParagraph"/>
        <w:ind w:left="0"/>
        <w:jc w:val="both"/>
        <w:rPr>
          <w:bCs/>
        </w:rPr>
      </w:pPr>
    </w:p>
    <w:p w:rsidR="008F3FE7" w:rsidRDefault="00E61B23" w:rsidP="001C1CE1">
      <w:pPr>
        <w:pStyle w:val="ListParagraph"/>
        <w:numPr>
          <w:ilvl w:val="0"/>
          <w:numId w:val="24"/>
        </w:numPr>
        <w:ind w:left="0" w:firstLine="0"/>
        <w:jc w:val="both"/>
        <w:rPr>
          <w:bCs/>
        </w:rPr>
      </w:pPr>
      <w:r w:rsidRPr="005F54EB">
        <w:rPr>
          <w:bCs/>
        </w:rPr>
        <w:t>The Project triggers OP/BP 4.10 (Indigenous Peoples).  During preparation of PASEN II, an Indigenous Peoples Plan</w:t>
      </w:r>
      <w:r w:rsidR="00DE253E">
        <w:rPr>
          <w:bCs/>
        </w:rPr>
        <w:t xml:space="preserve"> (IPP)</w:t>
      </w:r>
      <w:r w:rsidRPr="005F54EB">
        <w:rPr>
          <w:bCs/>
        </w:rPr>
        <w:t xml:space="preserve"> was prepared and disclosed on </w:t>
      </w:r>
      <w:r w:rsidR="001859F7" w:rsidRPr="005B7E78">
        <w:rPr>
          <w:bCs/>
        </w:rPr>
        <w:t>MINED’s w</w:t>
      </w:r>
      <w:r w:rsidRPr="005B7E78">
        <w:rPr>
          <w:bCs/>
        </w:rPr>
        <w:t>ebsite and on the Bank</w:t>
      </w:r>
      <w:r w:rsidR="001859F7" w:rsidRPr="005B7E78">
        <w:rPr>
          <w:bCs/>
        </w:rPr>
        <w:t>’s</w:t>
      </w:r>
      <w:r w:rsidRPr="005B7E78">
        <w:rPr>
          <w:bCs/>
        </w:rPr>
        <w:t xml:space="preserve"> website</w:t>
      </w:r>
      <w:r w:rsidRPr="005F54EB">
        <w:rPr>
          <w:bCs/>
        </w:rPr>
        <w:t xml:space="preserve">.  </w:t>
      </w:r>
      <w:r w:rsidR="008F4368" w:rsidRPr="005F54EB">
        <w:rPr>
          <w:bCs/>
        </w:rPr>
        <w:t xml:space="preserve">As part of preparation of the </w:t>
      </w:r>
      <w:r w:rsidR="000C16FA" w:rsidRPr="005F54EB">
        <w:rPr>
          <w:bCs/>
        </w:rPr>
        <w:t>Project</w:t>
      </w:r>
      <w:r w:rsidR="006E5EDE" w:rsidRPr="005F54EB">
        <w:rPr>
          <w:bCs/>
        </w:rPr>
        <w:t>, the Plan was</w:t>
      </w:r>
      <w:r w:rsidRPr="005F54EB">
        <w:rPr>
          <w:bCs/>
        </w:rPr>
        <w:t xml:space="preserve"> adapted to cover </w:t>
      </w:r>
      <w:r w:rsidRPr="005B7E78">
        <w:rPr>
          <w:bCs/>
        </w:rPr>
        <w:t xml:space="preserve">preschool and </w:t>
      </w:r>
      <w:r w:rsidR="001859F7" w:rsidRPr="005B7E78">
        <w:rPr>
          <w:bCs/>
        </w:rPr>
        <w:t xml:space="preserve">lower </w:t>
      </w:r>
      <w:r w:rsidRPr="005B7E78">
        <w:rPr>
          <w:bCs/>
        </w:rPr>
        <w:t>secondary education and the municipalities not included in PASEN II.</w:t>
      </w:r>
      <w:r w:rsidR="001859F7" w:rsidRPr="005F54EB">
        <w:rPr>
          <w:bCs/>
        </w:rPr>
        <w:t xml:space="preserve">  </w:t>
      </w:r>
      <w:r w:rsidR="005F54EB">
        <w:rPr>
          <w:bCs/>
        </w:rPr>
        <w:t xml:space="preserve"> The d</w:t>
      </w:r>
      <w:r w:rsidR="005F54EB" w:rsidRPr="008F3FE7">
        <w:rPr>
          <w:bCs/>
        </w:rPr>
        <w:t>raft IPP was disclosed o</w:t>
      </w:r>
      <w:r w:rsidR="006002E4">
        <w:rPr>
          <w:bCs/>
        </w:rPr>
        <w:t>n the Bank's website and locally on MINED’s web site on March 23, 2012</w:t>
      </w:r>
      <w:r w:rsidR="005F54EB" w:rsidRPr="008F3FE7">
        <w:rPr>
          <w:bCs/>
        </w:rPr>
        <w:t xml:space="preserve"> prior to Appraisal.  </w:t>
      </w:r>
      <w:r w:rsidR="005F54EB">
        <w:rPr>
          <w:bCs/>
        </w:rPr>
        <w:t>It was</w:t>
      </w:r>
      <w:r w:rsidR="00E039DB">
        <w:rPr>
          <w:bCs/>
        </w:rPr>
        <w:t xml:space="preserve"> finalized on June 15, 2012 and disclosed again</w:t>
      </w:r>
      <w:r w:rsidR="00D66832">
        <w:rPr>
          <w:bCs/>
        </w:rPr>
        <w:t xml:space="preserve"> locally on MINED’s website on June 30, 2012 and</w:t>
      </w:r>
      <w:r w:rsidR="00E039DB">
        <w:rPr>
          <w:bCs/>
        </w:rPr>
        <w:t xml:space="preserve"> on the Bank’s website on March 8, 2013</w:t>
      </w:r>
      <w:r w:rsidR="005F54EB" w:rsidRPr="008F3FE7">
        <w:rPr>
          <w:bCs/>
        </w:rPr>
        <w:t>.</w:t>
      </w:r>
    </w:p>
    <w:p w:rsidR="003B559D" w:rsidRDefault="003B559D" w:rsidP="003B559D">
      <w:pPr>
        <w:pStyle w:val="ListParagraph"/>
        <w:ind w:left="0"/>
        <w:jc w:val="both"/>
        <w:rPr>
          <w:bCs/>
        </w:rPr>
      </w:pPr>
    </w:p>
    <w:p w:rsidR="00E61B23" w:rsidRPr="008E24DD" w:rsidRDefault="008B314B" w:rsidP="005E2993">
      <w:pPr>
        <w:pStyle w:val="ListParagraph"/>
        <w:numPr>
          <w:ilvl w:val="0"/>
          <w:numId w:val="24"/>
        </w:numPr>
        <w:ind w:left="0" w:firstLine="0"/>
        <w:jc w:val="both"/>
        <w:rPr>
          <w:bCs/>
        </w:rPr>
      </w:pPr>
      <w:r w:rsidRPr="00A229CE">
        <w:rPr>
          <w:bCs/>
        </w:rPr>
        <w:t xml:space="preserve">The </w:t>
      </w:r>
      <w:r>
        <w:rPr>
          <w:bCs/>
        </w:rPr>
        <w:t xml:space="preserve">Project triggers </w:t>
      </w:r>
      <w:r w:rsidRPr="00A229CE">
        <w:rPr>
          <w:bCs/>
        </w:rPr>
        <w:t>OP/BP 4.12</w:t>
      </w:r>
      <w:r>
        <w:rPr>
          <w:bCs/>
        </w:rPr>
        <w:t xml:space="preserve"> (</w:t>
      </w:r>
      <w:r w:rsidRPr="00A229CE">
        <w:rPr>
          <w:bCs/>
        </w:rPr>
        <w:t>Involuntary Resettlement</w:t>
      </w:r>
      <w:r>
        <w:rPr>
          <w:bCs/>
        </w:rPr>
        <w:t xml:space="preserve">).  </w:t>
      </w:r>
      <w:r w:rsidRPr="00A229CE">
        <w:rPr>
          <w:bCs/>
        </w:rPr>
        <w:t>A Resettlement Policy Framework</w:t>
      </w:r>
      <w:r>
        <w:rPr>
          <w:bCs/>
        </w:rPr>
        <w:t xml:space="preserve"> (RPF) was</w:t>
      </w:r>
      <w:r w:rsidRPr="00A229CE">
        <w:rPr>
          <w:bCs/>
        </w:rPr>
        <w:t xml:space="preserve"> prepare</w:t>
      </w:r>
      <w:r>
        <w:rPr>
          <w:bCs/>
        </w:rPr>
        <w:t>d</w:t>
      </w:r>
      <w:r w:rsidRPr="00A229CE">
        <w:rPr>
          <w:bCs/>
        </w:rPr>
        <w:t xml:space="preserve"> for the Project</w:t>
      </w:r>
      <w:r>
        <w:rPr>
          <w:bCs/>
        </w:rPr>
        <w:t xml:space="preserve"> to address the issues related to land acquisition, potential displacement or restriction of access to resources</w:t>
      </w:r>
      <w:r w:rsidRPr="00A229CE">
        <w:rPr>
          <w:bCs/>
        </w:rPr>
        <w:t xml:space="preserve">.  The RPF </w:t>
      </w:r>
      <w:r>
        <w:rPr>
          <w:bCs/>
        </w:rPr>
        <w:t>requires that all civil works proposed to be carried out under the Project be</w:t>
      </w:r>
      <w:r w:rsidRPr="00A229CE">
        <w:rPr>
          <w:bCs/>
        </w:rPr>
        <w:t xml:space="preserve"> screen</w:t>
      </w:r>
      <w:r>
        <w:rPr>
          <w:bCs/>
        </w:rPr>
        <w:t>ed</w:t>
      </w:r>
      <w:r w:rsidRPr="00A229CE">
        <w:rPr>
          <w:bCs/>
        </w:rPr>
        <w:t xml:space="preserve"> </w:t>
      </w:r>
      <w:r>
        <w:rPr>
          <w:bCs/>
        </w:rPr>
        <w:t xml:space="preserve">to ensure </w:t>
      </w:r>
      <w:r w:rsidRPr="00A229CE">
        <w:rPr>
          <w:bCs/>
        </w:rPr>
        <w:t>that</w:t>
      </w:r>
      <w:r>
        <w:rPr>
          <w:bCs/>
        </w:rPr>
        <w:t xml:space="preserve"> no </w:t>
      </w:r>
      <w:r w:rsidRPr="00A229CE">
        <w:rPr>
          <w:bCs/>
        </w:rPr>
        <w:t xml:space="preserve">involuntary </w:t>
      </w:r>
      <w:r>
        <w:rPr>
          <w:bCs/>
        </w:rPr>
        <w:t xml:space="preserve">taking of </w:t>
      </w:r>
      <w:r w:rsidRPr="00A229CE">
        <w:rPr>
          <w:bCs/>
        </w:rPr>
        <w:t>land or restriction of access to resources</w:t>
      </w:r>
      <w:r>
        <w:rPr>
          <w:bCs/>
        </w:rPr>
        <w:t xml:space="preserve"> takes place under the Project.  The Project will only finance civil works proposed to be carried out in preschools and lower secondary education schools that are located on land that is properly registered and titled in the name of the Recipient in accordance with Nicaraguan laws and for which there are no pending or unresolved claims within the past five years of the Effectiveness date of the Grant Agreement financing the respective civil works. Voluntary l</w:t>
      </w:r>
      <w:r w:rsidRPr="00A229CE">
        <w:rPr>
          <w:bCs/>
        </w:rPr>
        <w:t xml:space="preserve">and donations might occur under the Project.  </w:t>
      </w:r>
      <w:r>
        <w:rPr>
          <w:bCs/>
        </w:rPr>
        <w:t>In order to evaluate the voluntary nature of potential land donations and appropriately document it, t</w:t>
      </w:r>
      <w:r w:rsidRPr="00A229CE">
        <w:rPr>
          <w:bCs/>
        </w:rPr>
        <w:t>he RPF include</w:t>
      </w:r>
      <w:r>
        <w:rPr>
          <w:bCs/>
        </w:rPr>
        <w:t>s</w:t>
      </w:r>
      <w:r w:rsidRPr="00A229CE">
        <w:rPr>
          <w:bCs/>
        </w:rPr>
        <w:t xml:space="preserve"> a process to </w:t>
      </w:r>
      <w:r>
        <w:rPr>
          <w:bCs/>
        </w:rPr>
        <w:t xml:space="preserve">document and </w:t>
      </w:r>
      <w:r w:rsidRPr="00A229CE">
        <w:rPr>
          <w:bCs/>
        </w:rPr>
        <w:t xml:space="preserve">verify </w:t>
      </w:r>
      <w:r>
        <w:rPr>
          <w:bCs/>
        </w:rPr>
        <w:t xml:space="preserve">that all </w:t>
      </w:r>
      <w:r w:rsidRPr="00A229CE">
        <w:rPr>
          <w:bCs/>
        </w:rPr>
        <w:t xml:space="preserve">land donations </w:t>
      </w:r>
      <w:r>
        <w:rPr>
          <w:bCs/>
        </w:rPr>
        <w:t>are carried out voluntarily and that all donors have full prior knowledge of the consequences and benefits of their donation. This process also establishes the maximum area of land that may be subject to voluntary land donation as a percentage of the total area of land owned by a donor</w:t>
      </w:r>
      <w:r w:rsidRPr="008E24DD">
        <w:rPr>
          <w:bCs/>
        </w:rPr>
        <w:t xml:space="preserve">.  </w:t>
      </w:r>
      <w:r w:rsidRPr="002C7325">
        <w:rPr>
          <w:bCs/>
        </w:rPr>
        <w:t xml:space="preserve">The draft RPF was disclosed on the Bank's website and on MINED’s website on March 23, 2012 prior to Appraisal.  It was finalized on June 15, 2012 and disclosed again locally on MINED’s website on June 30, 2012 and on the Bank’s </w:t>
      </w:r>
      <w:r w:rsidRPr="008B314B">
        <w:rPr>
          <w:bCs/>
        </w:rPr>
        <w:t>Infoshop on March 8, 2013,</w:t>
      </w:r>
      <w:r>
        <w:rPr>
          <w:bCs/>
        </w:rPr>
        <w:t xml:space="preserve"> and further revised and disclosed again </w:t>
      </w:r>
      <w:r w:rsidRPr="002C7325">
        <w:rPr>
          <w:bCs/>
        </w:rPr>
        <w:t xml:space="preserve">locally on MINED’s website on </w:t>
      </w:r>
      <w:r w:rsidR="007E1614">
        <w:rPr>
          <w:bCs/>
        </w:rPr>
        <w:t>April 1</w:t>
      </w:r>
      <w:r w:rsidRPr="002C7325">
        <w:rPr>
          <w:bCs/>
        </w:rPr>
        <w:t>, 201</w:t>
      </w:r>
      <w:r>
        <w:rPr>
          <w:bCs/>
        </w:rPr>
        <w:t>3</w:t>
      </w:r>
      <w:r w:rsidRPr="002C7325">
        <w:rPr>
          <w:bCs/>
        </w:rPr>
        <w:t xml:space="preserve"> and on the Bank’s </w:t>
      </w:r>
      <w:r w:rsidR="00C74E7E">
        <w:rPr>
          <w:bCs/>
        </w:rPr>
        <w:t>website</w:t>
      </w:r>
      <w:r w:rsidRPr="002D0ACA">
        <w:rPr>
          <w:bCs/>
        </w:rPr>
        <w:t xml:space="preserve"> on</w:t>
      </w:r>
      <w:r w:rsidR="002D0ACA" w:rsidRPr="002D0ACA">
        <w:rPr>
          <w:bCs/>
        </w:rPr>
        <w:t xml:space="preserve"> March 29</w:t>
      </w:r>
      <w:r w:rsidRPr="002D0ACA">
        <w:rPr>
          <w:bCs/>
        </w:rPr>
        <w:t>, 2013</w:t>
      </w:r>
      <w:r w:rsidR="00D66832" w:rsidRPr="002D0ACA">
        <w:rPr>
          <w:bCs/>
        </w:rPr>
        <w:t>.</w:t>
      </w:r>
      <w:r w:rsidR="005F54EB" w:rsidRPr="008E24DD">
        <w:rPr>
          <w:bCs/>
        </w:rPr>
        <w:t xml:space="preserve">  </w:t>
      </w:r>
    </w:p>
    <w:p w:rsidR="00E115BA" w:rsidRPr="00E115BA" w:rsidRDefault="00E115BA" w:rsidP="00E115BA">
      <w:pPr>
        <w:pStyle w:val="ListParagraph"/>
        <w:rPr>
          <w:bCs/>
        </w:rPr>
      </w:pPr>
    </w:p>
    <w:p w:rsidR="00E115BA" w:rsidRDefault="00E115BA" w:rsidP="005E2993">
      <w:pPr>
        <w:pStyle w:val="ListParagraph"/>
        <w:numPr>
          <w:ilvl w:val="0"/>
          <w:numId w:val="24"/>
        </w:numPr>
        <w:ind w:left="0" w:firstLine="0"/>
        <w:jc w:val="both"/>
        <w:rPr>
          <w:bCs/>
        </w:rPr>
      </w:pPr>
      <w:r>
        <w:rPr>
          <w:bCs/>
        </w:rPr>
        <w:lastRenderedPageBreak/>
        <w:t xml:space="preserve">There are slightly more girls than boys enrolled in primary and lower secondary education.  </w:t>
      </w:r>
      <w:r w:rsidR="00C45683">
        <w:rPr>
          <w:rFonts w:ascii="Tms Rmn" w:eastAsia="Calibri" w:hAnsi="Tms Rmn" w:cs="Tms Rmn"/>
          <w:color w:val="000000"/>
        </w:rPr>
        <w:t>Retention of girls across all levels of education is higher than those of boys</w:t>
      </w:r>
      <w:r>
        <w:rPr>
          <w:bCs/>
        </w:rPr>
        <w:t>.  On recent national standardized evaluations, Early Grade Reading and Math Assessment</w:t>
      </w:r>
      <w:r w:rsidR="006E5EDE">
        <w:rPr>
          <w:bCs/>
        </w:rPr>
        <w:t>s</w:t>
      </w:r>
      <w:r>
        <w:rPr>
          <w:bCs/>
        </w:rPr>
        <w:t xml:space="preserve"> as well</w:t>
      </w:r>
      <w:r w:rsidR="00871F0F">
        <w:rPr>
          <w:bCs/>
        </w:rPr>
        <w:t xml:space="preserve"> as on</w:t>
      </w:r>
      <w:r>
        <w:rPr>
          <w:bCs/>
        </w:rPr>
        <w:t xml:space="preserve"> international regional standardized evaluations</w:t>
      </w:r>
      <w:r w:rsidR="00A846EB">
        <w:rPr>
          <w:bCs/>
        </w:rPr>
        <w:t>,</w:t>
      </w:r>
      <w:r>
        <w:rPr>
          <w:bCs/>
        </w:rPr>
        <w:t xml:space="preserve"> girls have consistently scored higher than boys.  However, discriminatory practices against girls and sometime abuses can still be found</w:t>
      </w:r>
      <w:r w:rsidR="00871F0F">
        <w:rPr>
          <w:bCs/>
        </w:rPr>
        <w:t xml:space="preserve"> in schools</w:t>
      </w:r>
      <w:r>
        <w:rPr>
          <w:bCs/>
        </w:rPr>
        <w:t xml:space="preserve">.  To address these issues, MINED included specific content and instructions in the revised curriculum for primary and secondary </w:t>
      </w:r>
      <w:r w:rsidR="00871F0F">
        <w:rPr>
          <w:bCs/>
        </w:rPr>
        <w:t xml:space="preserve">education introduced in 2007.  The Project would include when relevant and appropriate gender-sensitive activities, particularly for teacher professional development programs, instructional materials and </w:t>
      </w:r>
      <w:r w:rsidR="00397AD4">
        <w:rPr>
          <w:bCs/>
        </w:rPr>
        <w:t xml:space="preserve">construction/rehabilitation of </w:t>
      </w:r>
      <w:r w:rsidR="00871F0F">
        <w:rPr>
          <w:bCs/>
        </w:rPr>
        <w:t xml:space="preserve">school facilities.        </w:t>
      </w:r>
      <w:r>
        <w:rPr>
          <w:bCs/>
        </w:rPr>
        <w:t xml:space="preserve">  </w:t>
      </w:r>
    </w:p>
    <w:p w:rsidR="00C13EC2" w:rsidRDefault="00C13EC2" w:rsidP="00AF4F9E">
      <w:pPr>
        <w:pStyle w:val="ListParagraph"/>
        <w:ind w:left="0"/>
        <w:jc w:val="both"/>
        <w:rPr>
          <w:bCs/>
        </w:rPr>
      </w:pPr>
    </w:p>
    <w:p w:rsidR="00142A7F" w:rsidRPr="00A9151C" w:rsidRDefault="00142A7F" w:rsidP="005E2993">
      <w:pPr>
        <w:pStyle w:val="Heading2"/>
        <w:numPr>
          <w:ilvl w:val="1"/>
          <w:numId w:val="20"/>
        </w:numPr>
        <w:ind w:left="1080"/>
        <w:jc w:val="left"/>
        <w:rPr>
          <w:lang w:val="en-GB"/>
        </w:rPr>
      </w:pPr>
      <w:bookmarkStart w:id="36" w:name="_Toc354067285"/>
      <w:r w:rsidRPr="00A9151C">
        <w:rPr>
          <w:lang w:val="en-GB"/>
        </w:rPr>
        <w:t>Environ</w:t>
      </w:r>
      <w:r w:rsidR="00AD6CAB" w:rsidRPr="00A9151C">
        <w:rPr>
          <w:lang w:val="en-GB"/>
        </w:rPr>
        <w:t>m</w:t>
      </w:r>
      <w:r w:rsidRPr="00A9151C">
        <w:rPr>
          <w:lang w:val="en-GB"/>
        </w:rPr>
        <w:t>ent (including safeguards)</w:t>
      </w:r>
      <w:bookmarkEnd w:id="36"/>
    </w:p>
    <w:p w:rsidR="00692985" w:rsidRPr="00692985" w:rsidRDefault="00692985" w:rsidP="00692985">
      <w:pPr>
        <w:rPr>
          <w:b/>
          <w:bCs/>
        </w:rPr>
      </w:pPr>
    </w:p>
    <w:p w:rsidR="00D82EAA" w:rsidRDefault="00E61B23" w:rsidP="005E2993">
      <w:pPr>
        <w:pStyle w:val="ListParagraph"/>
        <w:numPr>
          <w:ilvl w:val="0"/>
          <w:numId w:val="24"/>
        </w:numPr>
        <w:ind w:left="0" w:firstLine="0"/>
        <w:jc w:val="both"/>
        <w:rPr>
          <w:bCs/>
        </w:rPr>
      </w:pPr>
      <w:r w:rsidRPr="00C13EE7">
        <w:rPr>
          <w:bCs/>
        </w:rPr>
        <w:t xml:space="preserve">The Project </w:t>
      </w:r>
      <w:r>
        <w:rPr>
          <w:bCs/>
        </w:rPr>
        <w:t>is rated Category “B” as it involves a large number of small civil works spread across the country which are not expected to generate significant environmental impact.</w:t>
      </w:r>
      <w:r w:rsidRPr="00A85C2D">
        <w:rPr>
          <w:bCs/>
        </w:rPr>
        <w:t xml:space="preserve">  </w:t>
      </w:r>
      <w:r w:rsidR="00D82EAA">
        <w:rPr>
          <w:bCs/>
        </w:rPr>
        <w:t>The Project triggers</w:t>
      </w:r>
      <w:r>
        <w:rPr>
          <w:bCs/>
        </w:rPr>
        <w:t xml:space="preserve"> the policy on </w:t>
      </w:r>
      <w:r w:rsidRPr="00A85C2D">
        <w:rPr>
          <w:bCs/>
        </w:rPr>
        <w:t>Environmental Assessment (OP/BP 4.01)</w:t>
      </w:r>
      <w:r>
        <w:rPr>
          <w:bCs/>
        </w:rPr>
        <w:t xml:space="preserve"> to address the potential environmental and social impacts </w:t>
      </w:r>
      <w:r w:rsidR="00F019C8">
        <w:rPr>
          <w:bCs/>
        </w:rPr>
        <w:t>related to</w:t>
      </w:r>
      <w:r>
        <w:rPr>
          <w:bCs/>
        </w:rPr>
        <w:t xml:space="preserve"> site selection, construction and operation of the school facilities.  An Environmental </w:t>
      </w:r>
      <w:r w:rsidR="00D82EAA">
        <w:rPr>
          <w:bCs/>
        </w:rPr>
        <w:t>Management Framework (EMF) w</w:t>
      </w:r>
      <w:r w:rsidR="006E5EDE">
        <w:rPr>
          <w:bCs/>
        </w:rPr>
        <w:t>as</w:t>
      </w:r>
      <w:r>
        <w:rPr>
          <w:bCs/>
        </w:rPr>
        <w:t xml:space="preserve"> prepared to screen, assess, and mitigate environmental and social impacts of Project activities</w:t>
      </w:r>
      <w:r w:rsidR="002B05BD">
        <w:rPr>
          <w:bCs/>
        </w:rPr>
        <w:t xml:space="preserve">.  </w:t>
      </w:r>
      <w:r w:rsidR="005F54EB">
        <w:rPr>
          <w:bCs/>
        </w:rPr>
        <w:t>The d</w:t>
      </w:r>
      <w:r w:rsidR="005F54EB" w:rsidRPr="0024310C">
        <w:rPr>
          <w:bCs/>
        </w:rPr>
        <w:t xml:space="preserve">raft of the </w:t>
      </w:r>
      <w:r w:rsidR="005F54EB">
        <w:rPr>
          <w:bCs/>
        </w:rPr>
        <w:t>EMF</w:t>
      </w:r>
      <w:r w:rsidR="005F54EB" w:rsidRPr="0024310C">
        <w:rPr>
          <w:bCs/>
        </w:rPr>
        <w:t xml:space="preserve"> was disclosed on the Bank's website and </w:t>
      </w:r>
      <w:r w:rsidR="00E039DB">
        <w:rPr>
          <w:bCs/>
        </w:rPr>
        <w:t>on MINED’s website on March 23, 2012</w:t>
      </w:r>
      <w:r w:rsidR="00E039DB" w:rsidRPr="008F3FE7">
        <w:rPr>
          <w:bCs/>
        </w:rPr>
        <w:t xml:space="preserve"> prior to Appraisal</w:t>
      </w:r>
      <w:r w:rsidR="005F54EB" w:rsidRPr="0024310C">
        <w:rPr>
          <w:bCs/>
        </w:rPr>
        <w:t xml:space="preserve">.  </w:t>
      </w:r>
      <w:r w:rsidR="00E039DB">
        <w:rPr>
          <w:bCs/>
        </w:rPr>
        <w:t xml:space="preserve">It was finalized on August 31, 2012 and disclosed again </w:t>
      </w:r>
      <w:r w:rsidR="00D66832">
        <w:rPr>
          <w:bCs/>
        </w:rPr>
        <w:t>locally on MINED’s website on September 15, 2012 and on the Bank’s website on March 8, 2013</w:t>
      </w:r>
      <w:r w:rsidR="00D66832" w:rsidRPr="008F3FE7">
        <w:rPr>
          <w:bCs/>
        </w:rPr>
        <w:t>.</w:t>
      </w:r>
    </w:p>
    <w:p w:rsidR="00D82EAA" w:rsidRDefault="00D82EAA" w:rsidP="00D82EAA">
      <w:pPr>
        <w:pStyle w:val="ListParagraph"/>
        <w:ind w:left="0"/>
        <w:jc w:val="both"/>
        <w:rPr>
          <w:bCs/>
        </w:rPr>
      </w:pPr>
    </w:p>
    <w:p w:rsidR="00E61B23" w:rsidRPr="00E61B23" w:rsidRDefault="00E61B23" w:rsidP="005E2993">
      <w:pPr>
        <w:pStyle w:val="ListParagraph"/>
        <w:numPr>
          <w:ilvl w:val="0"/>
          <w:numId w:val="24"/>
        </w:numPr>
        <w:ind w:left="0" w:firstLine="0"/>
        <w:jc w:val="both"/>
        <w:rPr>
          <w:bCs/>
        </w:rPr>
      </w:pPr>
      <w:r w:rsidRPr="00E61B23">
        <w:rPr>
          <w:bCs/>
        </w:rPr>
        <w:t xml:space="preserve">Pre-investment studies for all civil works would be carried out in accordance with </w:t>
      </w:r>
      <w:r w:rsidR="00ED6468">
        <w:rPr>
          <w:bCs/>
        </w:rPr>
        <w:t>Bank</w:t>
      </w:r>
      <w:r w:rsidRPr="00E61B23">
        <w:rPr>
          <w:bCs/>
        </w:rPr>
        <w:t xml:space="preserve"> policies, and they would include appropriate environmental and safety considerations, such as: (i) selection of construction materials that minimize social and environmental impacts; (ii) environmental</w:t>
      </w:r>
      <w:r w:rsidR="00934B6E">
        <w:rPr>
          <w:bCs/>
        </w:rPr>
        <w:t xml:space="preserve"> mitigation and </w:t>
      </w:r>
      <w:r w:rsidR="00934B6E" w:rsidRPr="00934B6E">
        <w:rPr>
          <w:bCs/>
        </w:rPr>
        <w:t>institutional arrangement</w:t>
      </w:r>
      <w:r w:rsidR="00DE253E">
        <w:rPr>
          <w:bCs/>
        </w:rPr>
        <w:t>s</w:t>
      </w:r>
      <w:r w:rsidR="00934B6E" w:rsidRPr="00934B6E">
        <w:rPr>
          <w:bCs/>
        </w:rPr>
        <w:t xml:space="preserve"> for supervision and oversight of environmental measures</w:t>
      </w:r>
      <w:r w:rsidRPr="00E61B23">
        <w:rPr>
          <w:bCs/>
        </w:rPr>
        <w:t xml:space="preserve"> to be taken during implementation; (iii) waste disposal measures; (iv) construction site management criteria (proper safety protocols for construction workers, including the use of personal protective equipment); </w:t>
      </w:r>
      <w:r w:rsidR="00934B6E">
        <w:rPr>
          <w:bCs/>
        </w:rPr>
        <w:t xml:space="preserve">and </w:t>
      </w:r>
      <w:r w:rsidRPr="00E61B23">
        <w:rPr>
          <w:bCs/>
        </w:rPr>
        <w:t>(v) dust and noise control</w:t>
      </w:r>
      <w:r w:rsidR="00934B6E">
        <w:rPr>
          <w:bCs/>
        </w:rPr>
        <w:t xml:space="preserve">. </w:t>
      </w:r>
    </w:p>
    <w:p w:rsidR="00E61B23" w:rsidRDefault="00E61B23" w:rsidP="00E61B23">
      <w:pPr>
        <w:jc w:val="both"/>
      </w:pPr>
    </w:p>
    <w:p w:rsidR="0091226E" w:rsidRDefault="00DE253E" w:rsidP="00A07F51">
      <w:pPr>
        <w:pStyle w:val="ListParagraph"/>
        <w:numPr>
          <w:ilvl w:val="0"/>
          <w:numId w:val="24"/>
        </w:numPr>
        <w:ind w:left="0" w:firstLine="0"/>
        <w:jc w:val="both"/>
      </w:pPr>
      <w:r>
        <w:t xml:space="preserve">Given </w:t>
      </w:r>
      <w:r w:rsidR="00E61B23">
        <w:t xml:space="preserve">that </w:t>
      </w:r>
      <w:r w:rsidR="00E61B23" w:rsidRPr="00692985">
        <w:t>Central America is a natural disaster</w:t>
      </w:r>
      <w:r w:rsidR="00E61B23">
        <w:t>-</w:t>
      </w:r>
      <w:r w:rsidR="00E61B23" w:rsidRPr="00692985">
        <w:t>prone ar</w:t>
      </w:r>
      <w:r w:rsidR="00E61B23">
        <w:t xml:space="preserve">ea, </w:t>
      </w:r>
      <w:r w:rsidR="00E61B23" w:rsidRPr="00692985">
        <w:t xml:space="preserve">school </w:t>
      </w:r>
      <w:r w:rsidR="00E61B23">
        <w:t>infra</w:t>
      </w:r>
      <w:r w:rsidR="00E61B23" w:rsidRPr="00692985">
        <w:t xml:space="preserve">structure </w:t>
      </w:r>
      <w:r w:rsidR="00E61B23">
        <w:t>would be designed to</w:t>
      </w:r>
      <w:r w:rsidR="00E61B23" w:rsidRPr="00692985">
        <w:t xml:space="preserve"> </w:t>
      </w:r>
      <w:r w:rsidR="00E61B23">
        <w:t xml:space="preserve">withstand </w:t>
      </w:r>
      <w:r w:rsidR="00E61B23" w:rsidRPr="00692985">
        <w:t xml:space="preserve">major </w:t>
      </w:r>
      <w:r w:rsidR="00E61B23">
        <w:t xml:space="preserve">natural disasters (i.e. </w:t>
      </w:r>
      <w:r w:rsidR="00E61B23" w:rsidRPr="00692985">
        <w:t>earthquake</w:t>
      </w:r>
      <w:r w:rsidR="00E61B23">
        <w:t>s, floods, landslides)</w:t>
      </w:r>
      <w:r w:rsidR="00E61B23" w:rsidRPr="00692985">
        <w:t xml:space="preserve"> </w:t>
      </w:r>
      <w:r w:rsidR="00E61B23">
        <w:t xml:space="preserve">and provide adequate shelter in the case of such events. </w:t>
      </w:r>
      <w:r w:rsidR="00E61B23" w:rsidRPr="00692985">
        <w:t xml:space="preserve"> As appropriate, each civil works contract w</w:t>
      </w:r>
      <w:r w:rsidR="00E61B23">
        <w:t>ould</w:t>
      </w:r>
      <w:r w:rsidR="00E61B23" w:rsidRPr="00692985">
        <w:t xml:space="preserve"> specify the required </w:t>
      </w:r>
      <w:r w:rsidR="00E61B23">
        <w:t xml:space="preserve">structural safety and exposure to natural hazards to be considered in the design and construction of school facilities.  A rigorous monitoring and quality assurance procedure </w:t>
      </w:r>
      <w:r w:rsidR="00636C8C">
        <w:t>would</w:t>
      </w:r>
      <w:r w:rsidR="00E61B23">
        <w:t xml:space="preserve"> be included in the contracts to ensure compliance with environmental health and safety st</w:t>
      </w:r>
      <w:r w:rsidR="00DA6635">
        <w:t>andards as outlined in the EMF</w:t>
      </w:r>
      <w:r w:rsidR="00C74E7E">
        <w:t>.</w:t>
      </w:r>
    </w:p>
    <w:p w:rsidR="00A07F51" w:rsidRDefault="00A07F51" w:rsidP="00A07F51">
      <w:pPr>
        <w:pStyle w:val="ListParagraph"/>
        <w:numPr>
          <w:ilvl w:val="0"/>
          <w:numId w:val="24"/>
        </w:numPr>
        <w:ind w:left="0" w:firstLine="0"/>
        <w:jc w:val="both"/>
        <w:sectPr w:rsidR="00A07F51">
          <w:footerReference w:type="first" r:id="rId11"/>
          <w:pgSz w:w="12240" w:h="15840"/>
          <w:pgMar w:top="1440" w:right="1260" w:bottom="1440" w:left="1440" w:header="720" w:footer="720" w:gutter="0"/>
          <w:pgNumType w:start="1"/>
          <w:cols w:space="720"/>
          <w:docGrid w:linePitch="360"/>
        </w:sectPr>
      </w:pPr>
    </w:p>
    <w:p w:rsidR="0099245A" w:rsidRPr="00710381" w:rsidRDefault="00DA6635" w:rsidP="00DA6635">
      <w:pPr>
        <w:pStyle w:val="Heading1"/>
        <w:tabs>
          <w:tab w:val="center" w:pos="6480"/>
        </w:tabs>
        <w:rPr>
          <w:lang w:val="en-GB"/>
        </w:rPr>
      </w:pPr>
      <w:r>
        <w:rPr>
          <w:lang w:val="en-GB"/>
        </w:rPr>
        <w:lastRenderedPageBreak/>
        <w:tab/>
      </w:r>
      <w:bookmarkStart w:id="37" w:name="_Toc354067286"/>
      <w:r w:rsidR="0099245A" w:rsidRPr="00710381">
        <w:rPr>
          <w:lang w:val="en-GB"/>
        </w:rPr>
        <w:t>Annex 1: Results Framework and Monitoring</w:t>
      </w:r>
      <w:bookmarkEnd w:id="37"/>
    </w:p>
    <w:p w:rsidR="0099245A" w:rsidRDefault="00C64F38" w:rsidP="00763982">
      <w:pPr>
        <w:jc w:val="center"/>
        <w:rPr>
          <w:b/>
          <w:bCs/>
          <w:caps/>
        </w:rPr>
      </w:pPr>
      <w:r>
        <w:fldChar w:fldCharType="begin"/>
      </w:r>
      <w:r>
        <w:instrText xml:space="preserve"> DOCPROPERTY "Country" \* MERGEFORMAT </w:instrText>
      </w:r>
      <w:r>
        <w:fldChar w:fldCharType="separate"/>
      </w:r>
      <w:r w:rsidR="0099245A" w:rsidRPr="00710381">
        <w:rPr>
          <w:b/>
          <w:bCs/>
          <w:caps/>
        </w:rPr>
        <w:t>COUNTRY</w:t>
      </w:r>
      <w:r>
        <w:rPr>
          <w:b/>
          <w:bCs/>
          <w:caps/>
        </w:rPr>
        <w:fldChar w:fldCharType="end"/>
      </w:r>
      <w:r w:rsidR="0099245A" w:rsidRPr="00710381">
        <w:rPr>
          <w:b/>
          <w:bCs/>
          <w:caps/>
        </w:rPr>
        <w:t>: Nicaragua</w:t>
      </w:r>
      <w:r w:rsidR="0099245A">
        <w:rPr>
          <w:b/>
          <w:bCs/>
          <w:caps/>
        </w:rPr>
        <w:t xml:space="preserve"> EDUCATION SECTOR STRATEGY SUPPORT PROJECT</w:t>
      </w:r>
    </w:p>
    <w:p w:rsidR="00AE7ECE" w:rsidRDefault="00AE7ECE" w:rsidP="00AE7ECE"/>
    <w:tbl>
      <w:tblPr>
        <w:tblW w:w="1476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360"/>
        <w:gridCol w:w="767"/>
        <w:gridCol w:w="810"/>
        <w:gridCol w:w="810"/>
        <w:gridCol w:w="810"/>
        <w:gridCol w:w="810"/>
        <w:gridCol w:w="810"/>
        <w:gridCol w:w="1102"/>
        <w:gridCol w:w="1060"/>
        <w:gridCol w:w="1078"/>
        <w:gridCol w:w="3150"/>
      </w:tblGrid>
      <w:tr w:rsidR="00AE7ECE" w:rsidTr="00956664">
        <w:trPr>
          <w:trHeight w:val="342"/>
        </w:trPr>
        <w:tc>
          <w:tcPr>
            <w:tcW w:w="14763" w:type="dxa"/>
            <w:gridSpan w:val="12"/>
            <w:vAlign w:val="center"/>
          </w:tcPr>
          <w:p w:rsidR="00AE7ECE" w:rsidRPr="003058CD" w:rsidRDefault="00AE7ECE" w:rsidP="002D52E1">
            <w:pPr>
              <w:pStyle w:val="ListParagraph"/>
              <w:ind w:left="0"/>
              <w:jc w:val="both"/>
              <w:rPr>
                <w:bCs/>
              </w:rPr>
            </w:pPr>
            <w:r w:rsidRPr="00D362FD">
              <w:rPr>
                <w:b/>
                <w:bCs/>
                <w:sz w:val="18"/>
                <w:szCs w:val="18"/>
                <w:u w:val="single"/>
              </w:rPr>
              <w:t>Project Development Objective (PDO)</w:t>
            </w:r>
            <w:r w:rsidRPr="00D362FD">
              <w:rPr>
                <w:b/>
                <w:bCs/>
                <w:sz w:val="18"/>
                <w:szCs w:val="18"/>
              </w:rPr>
              <w:t>:</w:t>
            </w:r>
            <w:r>
              <w:rPr>
                <w:b/>
                <w:bCs/>
                <w:sz w:val="18"/>
                <w:szCs w:val="18"/>
              </w:rPr>
              <w:t xml:space="preserve">  </w:t>
            </w:r>
            <w:r w:rsidRPr="0069333F">
              <w:rPr>
                <w:sz w:val="16"/>
                <w:szCs w:val="16"/>
              </w:rPr>
              <w:t>The objectives of the Project are</w:t>
            </w:r>
            <w:r>
              <w:rPr>
                <w:sz w:val="16"/>
                <w:szCs w:val="16"/>
              </w:rPr>
              <w:t xml:space="preserve"> to</w:t>
            </w:r>
            <w:r w:rsidR="002D52E1">
              <w:rPr>
                <w:sz w:val="16"/>
                <w:szCs w:val="16"/>
              </w:rPr>
              <w:t>: (a) increase access to p</w:t>
            </w:r>
            <w:r w:rsidRPr="009E3D8C">
              <w:rPr>
                <w:sz w:val="16"/>
                <w:szCs w:val="16"/>
              </w:rPr>
              <w:t xml:space="preserve">reschool </w:t>
            </w:r>
            <w:r w:rsidR="002D52E1">
              <w:rPr>
                <w:sz w:val="16"/>
                <w:szCs w:val="16"/>
              </w:rPr>
              <w:t>e</w:t>
            </w:r>
            <w:r w:rsidRPr="009E3D8C">
              <w:rPr>
                <w:sz w:val="16"/>
                <w:szCs w:val="16"/>
              </w:rPr>
              <w:t>ducation in</w:t>
            </w:r>
            <w:r>
              <w:rPr>
                <w:sz w:val="16"/>
                <w:szCs w:val="16"/>
              </w:rPr>
              <w:t xml:space="preserve"> </w:t>
            </w:r>
            <w:r w:rsidR="002D52E1">
              <w:rPr>
                <w:sz w:val="16"/>
                <w:szCs w:val="16"/>
              </w:rPr>
              <w:t>selected m</w:t>
            </w:r>
            <w:r w:rsidR="003058CD">
              <w:rPr>
                <w:sz w:val="16"/>
                <w:szCs w:val="16"/>
              </w:rPr>
              <w:t xml:space="preserve">unicipalities, and to improve </w:t>
            </w:r>
            <w:r w:rsidR="002D52E1">
              <w:rPr>
                <w:sz w:val="16"/>
                <w:szCs w:val="16"/>
              </w:rPr>
              <w:t>p</w:t>
            </w:r>
            <w:r w:rsidRPr="009E3D8C">
              <w:rPr>
                <w:sz w:val="16"/>
                <w:szCs w:val="16"/>
              </w:rPr>
              <w:t xml:space="preserve">reschool </w:t>
            </w:r>
            <w:r w:rsidR="002D52E1">
              <w:rPr>
                <w:sz w:val="16"/>
                <w:szCs w:val="16"/>
              </w:rPr>
              <w:t>e</w:t>
            </w:r>
            <w:r w:rsidRPr="009E3D8C">
              <w:rPr>
                <w:sz w:val="16"/>
                <w:szCs w:val="16"/>
              </w:rPr>
              <w:t>ducation learning conditions nationwi</w:t>
            </w:r>
            <w:r w:rsidR="003058CD">
              <w:rPr>
                <w:sz w:val="16"/>
                <w:szCs w:val="16"/>
              </w:rPr>
              <w:t xml:space="preserve">de; and (b) increase access to </w:t>
            </w:r>
            <w:r w:rsidR="002D52E1">
              <w:rPr>
                <w:sz w:val="16"/>
                <w:szCs w:val="16"/>
              </w:rPr>
              <w:t>l</w:t>
            </w:r>
            <w:r w:rsidRPr="009E3D8C">
              <w:rPr>
                <w:sz w:val="16"/>
                <w:szCs w:val="16"/>
              </w:rPr>
              <w:t xml:space="preserve">ower </w:t>
            </w:r>
            <w:r w:rsidR="002D52E1">
              <w:rPr>
                <w:sz w:val="16"/>
                <w:szCs w:val="16"/>
              </w:rPr>
              <w:t>s</w:t>
            </w:r>
            <w:r w:rsidR="003058CD">
              <w:rPr>
                <w:sz w:val="16"/>
                <w:szCs w:val="16"/>
              </w:rPr>
              <w:t xml:space="preserve">econdary </w:t>
            </w:r>
            <w:r w:rsidR="002D52E1">
              <w:rPr>
                <w:sz w:val="16"/>
                <w:szCs w:val="16"/>
              </w:rPr>
              <w:t>e</w:t>
            </w:r>
            <w:r w:rsidRPr="009E3D8C">
              <w:rPr>
                <w:sz w:val="16"/>
                <w:szCs w:val="16"/>
              </w:rPr>
              <w:t xml:space="preserve">ducation in </w:t>
            </w:r>
            <w:r w:rsidR="002D52E1">
              <w:rPr>
                <w:sz w:val="16"/>
                <w:szCs w:val="16"/>
              </w:rPr>
              <w:t>s</w:t>
            </w:r>
            <w:r>
              <w:rPr>
                <w:sz w:val="16"/>
                <w:szCs w:val="16"/>
              </w:rPr>
              <w:t xml:space="preserve">elected </w:t>
            </w:r>
            <w:r w:rsidR="002D52E1">
              <w:rPr>
                <w:sz w:val="16"/>
                <w:szCs w:val="16"/>
              </w:rPr>
              <w:t>m</w:t>
            </w:r>
            <w:r w:rsidRPr="009E3D8C">
              <w:rPr>
                <w:sz w:val="16"/>
                <w:szCs w:val="16"/>
              </w:rPr>
              <w:t xml:space="preserve">unicipalities, and improve </w:t>
            </w:r>
            <w:r w:rsidR="002D52E1">
              <w:rPr>
                <w:sz w:val="16"/>
                <w:szCs w:val="16"/>
              </w:rPr>
              <w:t>l</w:t>
            </w:r>
            <w:r w:rsidR="003058CD">
              <w:rPr>
                <w:sz w:val="16"/>
                <w:szCs w:val="16"/>
              </w:rPr>
              <w:t xml:space="preserve">ower </w:t>
            </w:r>
            <w:r w:rsidR="002D52E1">
              <w:rPr>
                <w:sz w:val="16"/>
                <w:szCs w:val="16"/>
              </w:rPr>
              <w:t>s</w:t>
            </w:r>
            <w:r w:rsidR="003058CD">
              <w:rPr>
                <w:sz w:val="16"/>
                <w:szCs w:val="16"/>
              </w:rPr>
              <w:t xml:space="preserve">econdary </w:t>
            </w:r>
            <w:r w:rsidR="002D52E1">
              <w:rPr>
                <w:sz w:val="16"/>
                <w:szCs w:val="16"/>
              </w:rPr>
              <w:t>e</w:t>
            </w:r>
            <w:r w:rsidRPr="009E3D8C">
              <w:rPr>
                <w:sz w:val="16"/>
                <w:szCs w:val="16"/>
              </w:rPr>
              <w:t>ducation quality and completion rates nationwide.</w:t>
            </w:r>
          </w:p>
        </w:tc>
      </w:tr>
      <w:tr w:rsidR="00AE7ECE" w:rsidTr="001D7F1C">
        <w:trPr>
          <w:trHeight w:val="86"/>
        </w:trPr>
        <w:tc>
          <w:tcPr>
            <w:tcW w:w="3196" w:type="dxa"/>
            <w:vMerge w:val="restart"/>
            <w:tcBorders>
              <w:right w:val="double" w:sz="4" w:space="0" w:color="auto"/>
            </w:tcBorders>
            <w:vAlign w:val="center"/>
          </w:tcPr>
          <w:p w:rsidR="00AE7ECE" w:rsidRPr="006531A8" w:rsidRDefault="00AE7ECE" w:rsidP="00956664">
            <w:pPr>
              <w:jc w:val="center"/>
              <w:rPr>
                <w:b/>
                <w:bCs/>
                <w:sz w:val="18"/>
                <w:szCs w:val="18"/>
              </w:rPr>
            </w:pPr>
          </w:p>
        </w:tc>
        <w:tc>
          <w:tcPr>
            <w:tcW w:w="360" w:type="dxa"/>
            <w:vMerge w:val="restart"/>
            <w:tcBorders>
              <w:left w:val="double" w:sz="4" w:space="0" w:color="auto"/>
            </w:tcBorders>
            <w:textDirection w:val="btLr"/>
            <w:vAlign w:val="center"/>
          </w:tcPr>
          <w:p w:rsidR="00AE7ECE" w:rsidRPr="006531A8" w:rsidRDefault="00AE7ECE" w:rsidP="00956664">
            <w:pPr>
              <w:ind w:left="-108" w:right="-108"/>
              <w:jc w:val="center"/>
              <w:rPr>
                <w:b/>
                <w:bCs/>
                <w:sz w:val="18"/>
                <w:szCs w:val="18"/>
              </w:rPr>
            </w:pPr>
            <w:r w:rsidRPr="006531A8">
              <w:rPr>
                <w:b/>
                <w:bCs/>
                <w:sz w:val="18"/>
                <w:szCs w:val="18"/>
              </w:rPr>
              <w:t>Core</w:t>
            </w:r>
          </w:p>
        </w:tc>
        <w:tc>
          <w:tcPr>
            <w:tcW w:w="767" w:type="dxa"/>
            <w:vMerge w:val="restart"/>
            <w:vAlign w:val="center"/>
          </w:tcPr>
          <w:p w:rsidR="00AE7ECE" w:rsidRPr="006531A8" w:rsidRDefault="00AE7ECE" w:rsidP="00956664">
            <w:pPr>
              <w:ind w:left="-108" w:right="-108"/>
              <w:jc w:val="center"/>
              <w:rPr>
                <w:b/>
                <w:bCs/>
                <w:sz w:val="18"/>
                <w:szCs w:val="18"/>
              </w:rPr>
            </w:pPr>
            <w:r w:rsidRPr="006531A8">
              <w:rPr>
                <w:b/>
                <w:bCs/>
                <w:sz w:val="18"/>
                <w:szCs w:val="18"/>
              </w:rPr>
              <w:t>Unit of Measure</w:t>
            </w:r>
          </w:p>
        </w:tc>
        <w:tc>
          <w:tcPr>
            <w:tcW w:w="810" w:type="dxa"/>
            <w:vMerge w:val="restart"/>
            <w:tcBorders>
              <w:right w:val="double" w:sz="4" w:space="0" w:color="auto"/>
            </w:tcBorders>
            <w:vAlign w:val="center"/>
          </w:tcPr>
          <w:p w:rsidR="00AE7ECE" w:rsidRPr="006531A8" w:rsidRDefault="00AE7ECE" w:rsidP="00956664">
            <w:pPr>
              <w:jc w:val="center"/>
              <w:rPr>
                <w:b/>
                <w:bCs/>
                <w:sz w:val="18"/>
                <w:szCs w:val="18"/>
              </w:rPr>
            </w:pPr>
            <w:r w:rsidRPr="006531A8">
              <w:rPr>
                <w:b/>
                <w:bCs/>
                <w:sz w:val="18"/>
                <w:szCs w:val="18"/>
              </w:rPr>
              <w:t>Base</w:t>
            </w:r>
          </w:p>
          <w:p w:rsidR="00AE7ECE" w:rsidRPr="006531A8" w:rsidRDefault="00AE7ECE" w:rsidP="00956664">
            <w:pPr>
              <w:jc w:val="center"/>
              <w:rPr>
                <w:b/>
                <w:bCs/>
                <w:sz w:val="18"/>
                <w:szCs w:val="18"/>
              </w:rPr>
            </w:pPr>
            <w:r w:rsidRPr="006531A8">
              <w:rPr>
                <w:b/>
                <w:bCs/>
                <w:sz w:val="18"/>
                <w:szCs w:val="18"/>
              </w:rPr>
              <w:t>line</w:t>
            </w:r>
          </w:p>
        </w:tc>
        <w:tc>
          <w:tcPr>
            <w:tcW w:w="3240" w:type="dxa"/>
            <w:gridSpan w:val="4"/>
            <w:tcBorders>
              <w:right w:val="double" w:sz="4" w:space="0" w:color="auto"/>
            </w:tcBorders>
            <w:vAlign w:val="center"/>
          </w:tcPr>
          <w:p w:rsidR="00AE7ECE" w:rsidRPr="006531A8" w:rsidRDefault="00AE7ECE" w:rsidP="00956664">
            <w:pPr>
              <w:jc w:val="center"/>
              <w:rPr>
                <w:b/>
                <w:bCs/>
                <w:sz w:val="18"/>
                <w:szCs w:val="18"/>
              </w:rPr>
            </w:pPr>
            <w:r w:rsidRPr="006531A8">
              <w:rPr>
                <w:b/>
                <w:bCs/>
                <w:sz w:val="18"/>
                <w:szCs w:val="18"/>
              </w:rPr>
              <w:t>Cumulative Target Values</w:t>
            </w:r>
          </w:p>
        </w:tc>
        <w:tc>
          <w:tcPr>
            <w:tcW w:w="1102" w:type="dxa"/>
            <w:vMerge w:val="restart"/>
            <w:tcBorders>
              <w:left w:val="double" w:sz="4" w:space="0" w:color="auto"/>
            </w:tcBorders>
            <w:vAlign w:val="center"/>
          </w:tcPr>
          <w:p w:rsidR="00AE7ECE" w:rsidRPr="006531A8" w:rsidRDefault="00AE7ECE" w:rsidP="00956664">
            <w:pPr>
              <w:jc w:val="center"/>
              <w:rPr>
                <w:b/>
                <w:bCs/>
                <w:sz w:val="18"/>
                <w:szCs w:val="18"/>
              </w:rPr>
            </w:pPr>
            <w:r w:rsidRPr="006531A8">
              <w:rPr>
                <w:b/>
                <w:bCs/>
                <w:sz w:val="18"/>
                <w:szCs w:val="18"/>
              </w:rPr>
              <w:t>Frequency</w:t>
            </w:r>
          </w:p>
        </w:tc>
        <w:tc>
          <w:tcPr>
            <w:tcW w:w="1060" w:type="dxa"/>
            <w:vMerge w:val="restart"/>
            <w:vAlign w:val="center"/>
          </w:tcPr>
          <w:p w:rsidR="00AE7ECE" w:rsidRPr="006531A8" w:rsidRDefault="00AE7ECE" w:rsidP="00956664">
            <w:pPr>
              <w:jc w:val="center"/>
              <w:rPr>
                <w:b/>
                <w:bCs/>
                <w:sz w:val="18"/>
                <w:szCs w:val="18"/>
              </w:rPr>
            </w:pPr>
            <w:r w:rsidRPr="006531A8">
              <w:rPr>
                <w:b/>
                <w:bCs/>
                <w:sz w:val="18"/>
                <w:szCs w:val="18"/>
              </w:rPr>
              <w:t>Data Source/</w:t>
            </w:r>
          </w:p>
        </w:tc>
        <w:tc>
          <w:tcPr>
            <w:tcW w:w="1078" w:type="dxa"/>
            <w:vMerge w:val="restart"/>
            <w:vAlign w:val="center"/>
          </w:tcPr>
          <w:p w:rsidR="00AE7ECE" w:rsidRPr="006531A8" w:rsidRDefault="00AE7ECE" w:rsidP="00956664">
            <w:pPr>
              <w:jc w:val="center"/>
              <w:rPr>
                <w:b/>
                <w:bCs/>
                <w:sz w:val="18"/>
                <w:szCs w:val="18"/>
              </w:rPr>
            </w:pPr>
            <w:r w:rsidRPr="006531A8">
              <w:rPr>
                <w:b/>
                <w:bCs/>
                <w:sz w:val="18"/>
                <w:szCs w:val="18"/>
              </w:rPr>
              <w:t>Data Collection</w:t>
            </w:r>
          </w:p>
        </w:tc>
        <w:tc>
          <w:tcPr>
            <w:tcW w:w="3150" w:type="dxa"/>
            <w:vMerge w:val="restart"/>
            <w:vAlign w:val="center"/>
          </w:tcPr>
          <w:p w:rsidR="00AE7ECE" w:rsidRPr="006531A8" w:rsidRDefault="00AE7ECE" w:rsidP="00956664">
            <w:pPr>
              <w:jc w:val="center"/>
              <w:rPr>
                <w:b/>
                <w:bCs/>
                <w:sz w:val="18"/>
                <w:szCs w:val="18"/>
              </w:rPr>
            </w:pPr>
            <w:r w:rsidRPr="006531A8">
              <w:rPr>
                <w:b/>
                <w:bCs/>
                <w:sz w:val="18"/>
                <w:szCs w:val="18"/>
              </w:rPr>
              <w:t>Description (indicator</w:t>
            </w:r>
          </w:p>
          <w:p w:rsidR="00AE7ECE" w:rsidRPr="006531A8" w:rsidRDefault="00AE7ECE" w:rsidP="00956664">
            <w:pPr>
              <w:jc w:val="center"/>
              <w:rPr>
                <w:b/>
                <w:bCs/>
                <w:sz w:val="18"/>
                <w:szCs w:val="18"/>
              </w:rPr>
            </w:pPr>
            <w:proofErr w:type="gramStart"/>
            <w:r w:rsidRPr="006531A8">
              <w:rPr>
                <w:b/>
                <w:bCs/>
                <w:sz w:val="18"/>
                <w:szCs w:val="18"/>
              </w:rPr>
              <w:t>definition</w:t>
            </w:r>
            <w:proofErr w:type="gramEnd"/>
            <w:r w:rsidRPr="006531A8">
              <w:rPr>
                <w:b/>
                <w:bCs/>
                <w:sz w:val="18"/>
                <w:szCs w:val="18"/>
              </w:rPr>
              <w:t xml:space="preserve"> etc.)</w:t>
            </w:r>
          </w:p>
        </w:tc>
      </w:tr>
      <w:tr w:rsidR="001D7F1C" w:rsidTr="001D7F1C">
        <w:trPr>
          <w:trHeight w:val="179"/>
        </w:trPr>
        <w:tc>
          <w:tcPr>
            <w:tcW w:w="3196" w:type="dxa"/>
            <w:vMerge/>
            <w:tcBorders>
              <w:right w:val="double" w:sz="4" w:space="0" w:color="auto"/>
            </w:tcBorders>
            <w:shd w:val="clear" w:color="auto" w:fill="E6E6E6"/>
            <w:vAlign w:val="center"/>
          </w:tcPr>
          <w:p w:rsidR="001D7F1C" w:rsidRPr="006531A8" w:rsidRDefault="001D7F1C" w:rsidP="00956664">
            <w:pPr>
              <w:jc w:val="center"/>
              <w:rPr>
                <w:b/>
                <w:bCs/>
              </w:rPr>
            </w:pPr>
          </w:p>
        </w:tc>
        <w:tc>
          <w:tcPr>
            <w:tcW w:w="360" w:type="dxa"/>
            <w:vMerge/>
            <w:tcBorders>
              <w:left w:val="double" w:sz="4" w:space="0" w:color="auto"/>
            </w:tcBorders>
            <w:shd w:val="clear" w:color="auto" w:fill="E6E6E6"/>
            <w:vAlign w:val="center"/>
          </w:tcPr>
          <w:p w:rsidR="001D7F1C" w:rsidRPr="006531A8" w:rsidRDefault="001D7F1C" w:rsidP="00956664">
            <w:pPr>
              <w:jc w:val="center"/>
              <w:rPr>
                <w:b/>
                <w:bCs/>
              </w:rPr>
            </w:pPr>
          </w:p>
        </w:tc>
        <w:tc>
          <w:tcPr>
            <w:tcW w:w="767" w:type="dxa"/>
            <w:vMerge/>
            <w:shd w:val="clear" w:color="auto" w:fill="E6E6E6"/>
            <w:vAlign w:val="center"/>
          </w:tcPr>
          <w:p w:rsidR="001D7F1C" w:rsidRPr="006531A8" w:rsidRDefault="001D7F1C" w:rsidP="00956664">
            <w:pPr>
              <w:jc w:val="center"/>
              <w:rPr>
                <w:b/>
                <w:bCs/>
              </w:rPr>
            </w:pPr>
          </w:p>
        </w:tc>
        <w:tc>
          <w:tcPr>
            <w:tcW w:w="810" w:type="dxa"/>
            <w:vMerge/>
            <w:tcBorders>
              <w:right w:val="double" w:sz="4" w:space="0" w:color="auto"/>
            </w:tcBorders>
            <w:shd w:val="clear" w:color="auto" w:fill="E6E6E6"/>
            <w:vAlign w:val="center"/>
          </w:tcPr>
          <w:p w:rsidR="001D7F1C" w:rsidRPr="006531A8" w:rsidRDefault="001D7F1C" w:rsidP="00956664">
            <w:pPr>
              <w:jc w:val="center"/>
              <w:rPr>
                <w:b/>
                <w:bCs/>
              </w:rPr>
            </w:pPr>
          </w:p>
        </w:tc>
        <w:tc>
          <w:tcPr>
            <w:tcW w:w="810" w:type="dxa"/>
            <w:vAlign w:val="center"/>
          </w:tcPr>
          <w:p w:rsidR="001D7F1C" w:rsidRPr="006531A8" w:rsidRDefault="001D7F1C" w:rsidP="00956664">
            <w:pPr>
              <w:jc w:val="center"/>
              <w:rPr>
                <w:b/>
                <w:bCs/>
                <w:sz w:val="18"/>
                <w:szCs w:val="18"/>
              </w:rPr>
            </w:pPr>
            <w:r w:rsidRPr="006531A8">
              <w:rPr>
                <w:b/>
                <w:bCs/>
                <w:sz w:val="18"/>
                <w:szCs w:val="18"/>
              </w:rPr>
              <w:t>YR 1</w:t>
            </w:r>
          </w:p>
          <w:p w:rsidR="001D7F1C" w:rsidRPr="006531A8" w:rsidRDefault="001D7F1C" w:rsidP="00956664">
            <w:pPr>
              <w:jc w:val="center"/>
              <w:rPr>
                <w:b/>
                <w:bCs/>
                <w:sz w:val="18"/>
                <w:szCs w:val="18"/>
              </w:rPr>
            </w:pPr>
            <w:r w:rsidRPr="006531A8">
              <w:rPr>
                <w:b/>
                <w:bCs/>
                <w:sz w:val="18"/>
                <w:szCs w:val="18"/>
              </w:rPr>
              <w:t>201</w:t>
            </w:r>
            <w:r>
              <w:rPr>
                <w:b/>
                <w:bCs/>
                <w:sz w:val="18"/>
                <w:szCs w:val="18"/>
              </w:rPr>
              <w:t>3</w:t>
            </w:r>
          </w:p>
        </w:tc>
        <w:tc>
          <w:tcPr>
            <w:tcW w:w="810" w:type="dxa"/>
            <w:vAlign w:val="center"/>
          </w:tcPr>
          <w:p w:rsidR="001D7F1C" w:rsidRPr="006531A8" w:rsidRDefault="001D7F1C" w:rsidP="00956664">
            <w:pPr>
              <w:jc w:val="center"/>
              <w:rPr>
                <w:b/>
                <w:bCs/>
                <w:sz w:val="18"/>
                <w:szCs w:val="18"/>
              </w:rPr>
            </w:pPr>
            <w:r>
              <w:rPr>
                <w:b/>
                <w:bCs/>
                <w:sz w:val="18"/>
                <w:szCs w:val="18"/>
              </w:rPr>
              <w:t>YR 2</w:t>
            </w:r>
          </w:p>
          <w:p w:rsidR="001D7F1C" w:rsidRPr="006531A8" w:rsidRDefault="001D7F1C" w:rsidP="00956664">
            <w:pPr>
              <w:jc w:val="center"/>
              <w:rPr>
                <w:b/>
                <w:bCs/>
                <w:sz w:val="18"/>
                <w:szCs w:val="18"/>
              </w:rPr>
            </w:pPr>
            <w:r w:rsidRPr="006531A8">
              <w:rPr>
                <w:b/>
                <w:bCs/>
                <w:sz w:val="18"/>
                <w:szCs w:val="18"/>
              </w:rPr>
              <w:t>201</w:t>
            </w:r>
            <w:r>
              <w:rPr>
                <w:b/>
                <w:bCs/>
                <w:sz w:val="18"/>
                <w:szCs w:val="18"/>
              </w:rPr>
              <w:t>4</w:t>
            </w:r>
          </w:p>
        </w:tc>
        <w:tc>
          <w:tcPr>
            <w:tcW w:w="810" w:type="dxa"/>
            <w:vAlign w:val="center"/>
          </w:tcPr>
          <w:p w:rsidR="001D7F1C" w:rsidRPr="006531A8" w:rsidRDefault="001D7F1C" w:rsidP="00956664">
            <w:pPr>
              <w:jc w:val="center"/>
              <w:rPr>
                <w:b/>
                <w:bCs/>
                <w:sz w:val="18"/>
                <w:szCs w:val="18"/>
              </w:rPr>
            </w:pPr>
            <w:r>
              <w:rPr>
                <w:b/>
                <w:bCs/>
                <w:sz w:val="18"/>
                <w:szCs w:val="18"/>
              </w:rPr>
              <w:t>YR 3</w:t>
            </w:r>
          </w:p>
          <w:p w:rsidR="001D7F1C" w:rsidRPr="006531A8" w:rsidRDefault="001D7F1C" w:rsidP="00956664">
            <w:pPr>
              <w:jc w:val="center"/>
              <w:rPr>
                <w:b/>
                <w:bCs/>
                <w:sz w:val="18"/>
                <w:szCs w:val="18"/>
              </w:rPr>
            </w:pPr>
            <w:r w:rsidRPr="006531A8">
              <w:rPr>
                <w:b/>
                <w:bCs/>
                <w:sz w:val="18"/>
                <w:szCs w:val="18"/>
              </w:rPr>
              <w:t>201</w:t>
            </w:r>
            <w:r>
              <w:rPr>
                <w:b/>
                <w:bCs/>
                <w:sz w:val="18"/>
                <w:szCs w:val="18"/>
              </w:rPr>
              <w:t>5</w:t>
            </w:r>
          </w:p>
        </w:tc>
        <w:tc>
          <w:tcPr>
            <w:tcW w:w="810" w:type="dxa"/>
            <w:tcBorders>
              <w:right w:val="double" w:sz="4" w:space="0" w:color="auto"/>
            </w:tcBorders>
            <w:vAlign w:val="center"/>
          </w:tcPr>
          <w:p w:rsidR="001D7F1C" w:rsidRPr="006531A8" w:rsidRDefault="001D7F1C" w:rsidP="00956664">
            <w:pPr>
              <w:jc w:val="center"/>
              <w:rPr>
                <w:b/>
                <w:bCs/>
                <w:sz w:val="18"/>
                <w:szCs w:val="18"/>
              </w:rPr>
            </w:pPr>
            <w:r w:rsidRPr="006531A8">
              <w:rPr>
                <w:b/>
                <w:bCs/>
                <w:sz w:val="18"/>
                <w:szCs w:val="18"/>
              </w:rPr>
              <w:t>YR</w:t>
            </w:r>
            <w:r>
              <w:rPr>
                <w:b/>
                <w:bCs/>
                <w:sz w:val="18"/>
                <w:szCs w:val="18"/>
              </w:rPr>
              <w:t>4</w:t>
            </w:r>
          </w:p>
          <w:p w:rsidR="001D7F1C" w:rsidRPr="006531A8" w:rsidRDefault="001D7F1C" w:rsidP="001D7F1C">
            <w:pPr>
              <w:jc w:val="center"/>
              <w:rPr>
                <w:b/>
                <w:bCs/>
                <w:sz w:val="18"/>
                <w:szCs w:val="18"/>
              </w:rPr>
            </w:pPr>
            <w:r w:rsidRPr="006531A8">
              <w:rPr>
                <w:b/>
                <w:bCs/>
                <w:sz w:val="18"/>
                <w:szCs w:val="18"/>
              </w:rPr>
              <w:t>201</w:t>
            </w:r>
            <w:r>
              <w:rPr>
                <w:b/>
                <w:bCs/>
                <w:sz w:val="18"/>
                <w:szCs w:val="18"/>
              </w:rPr>
              <w:t>6</w:t>
            </w:r>
          </w:p>
        </w:tc>
        <w:tc>
          <w:tcPr>
            <w:tcW w:w="1102" w:type="dxa"/>
            <w:vMerge/>
            <w:tcBorders>
              <w:left w:val="double" w:sz="4" w:space="0" w:color="auto"/>
            </w:tcBorders>
            <w:shd w:val="clear" w:color="auto" w:fill="E6E6E6"/>
            <w:vAlign w:val="center"/>
          </w:tcPr>
          <w:p w:rsidR="001D7F1C" w:rsidRPr="006531A8" w:rsidRDefault="001D7F1C" w:rsidP="00956664">
            <w:pPr>
              <w:jc w:val="center"/>
              <w:rPr>
                <w:b/>
                <w:bCs/>
              </w:rPr>
            </w:pPr>
          </w:p>
        </w:tc>
        <w:tc>
          <w:tcPr>
            <w:tcW w:w="1060" w:type="dxa"/>
            <w:vMerge/>
            <w:shd w:val="clear" w:color="auto" w:fill="E6E6E6"/>
            <w:vAlign w:val="center"/>
          </w:tcPr>
          <w:p w:rsidR="001D7F1C" w:rsidRPr="006531A8" w:rsidRDefault="001D7F1C" w:rsidP="00956664">
            <w:pPr>
              <w:jc w:val="center"/>
              <w:rPr>
                <w:b/>
                <w:bCs/>
              </w:rPr>
            </w:pPr>
          </w:p>
        </w:tc>
        <w:tc>
          <w:tcPr>
            <w:tcW w:w="1078" w:type="dxa"/>
            <w:vMerge/>
            <w:shd w:val="clear" w:color="auto" w:fill="E6E6E6"/>
            <w:vAlign w:val="center"/>
          </w:tcPr>
          <w:p w:rsidR="001D7F1C" w:rsidRPr="006531A8" w:rsidRDefault="001D7F1C" w:rsidP="00956664">
            <w:pPr>
              <w:jc w:val="center"/>
              <w:rPr>
                <w:b/>
                <w:bCs/>
              </w:rPr>
            </w:pPr>
          </w:p>
        </w:tc>
        <w:tc>
          <w:tcPr>
            <w:tcW w:w="3150" w:type="dxa"/>
            <w:vMerge/>
            <w:shd w:val="clear" w:color="auto" w:fill="E6E6E6"/>
            <w:vAlign w:val="center"/>
          </w:tcPr>
          <w:p w:rsidR="001D7F1C" w:rsidRPr="006531A8" w:rsidRDefault="001D7F1C" w:rsidP="00956664">
            <w:pPr>
              <w:jc w:val="center"/>
              <w:rPr>
                <w:b/>
                <w:bCs/>
              </w:rPr>
            </w:pPr>
          </w:p>
        </w:tc>
      </w:tr>
      <w:tr w:rsidR="00AE7ECE" w:rsidRPr="00086C9E" w:rsidTr="00956664">
        <w:trPr>
          <w:trHeight w:val="206"/>
        </w:trPr>
        <w:tc>
          <w:tcPr>
            <w:tcW w:w="14763" w:type="dxa"/>
            <w:gridSpan w:val="12"/>
            <w:tcBorders>
              <w:bottom w:val="nil"/>
            </w:tcBorders>
            <w:vAlign w:val="center"/>
          </w:tcPr>
          <w:p w:rsidR="00AE7ECE" w:rsidRPr="00041491" w:rsidRDefault="00AE7ECE" w:rsidP="00956664">
            <w:pPr>
              <w:jc w:val="center"/>
              <w:rPr>
                <w:b/>
                <w:bCs/>
              </w:rPr>
            </w:pPr>
            <w:r w:rsidRPr="006531A8">
              <w:rPr>
                <w:b/>
                <w:bCs/>
                <w:sz w:val="22"/>
                <w:szCs w:val="22"/>
              </w:rPr>
              <w:t>PDO LEVEL RESULTS INDICATORS</w:t>
            </w:r>
          </w:p>
        </w:tc>
      </w:tr>
      <w:tr w:rsidR="00FE5F42" w:rsidRPr="00086C9E" w:rsidTr="001D7F1C">
        <w:trPr>
          <w:trHeight w:val="215"/>
        </w:trPr>
        <w:tc>
          <w:tcPr>
            <w:tcW w:w="3196" w:type="dxa"/>
            <w:tcBorders>
              <w:bottom w:val="nil"/>
              <w:right w:val="double" w:sz="4" w:space="0" w:color="auto"/>
            </w:tcBorders>
            <w:vAlign w:val="center"/>
          </w:tcPr>
          <w:p w:rsidR="00FE5F42" w:rsidRPr="00557EDB" w:rsidRDefault="00FE5F42" w:rsidP="00956664">
            <w:pPr>
              <w:pStyle w:val="FootnoteText"/>
              <w:rPr>
                <w:bCs/>
                <w:sz w:val="18"/>
                <w:szCs w:val="18"/>
              </w:rPr>
            </w:pPr>
            <w:r w:rsidRPr="00557EDB">
              <w:rPr>
                <w:b/>
                <w:sz w:val="18"/>
                <w:szCs w:val="18"/>
              </w:rPr>
              <w:t>Indicator One</w:t>
            </w:r>
            <w:r w:rsidRPr="00557EDB">
              <w:rPr>
                <w:sz w:val="18"/>
                <w:szCs w:val="18"/>
              </w:rPr>
              <w:t xml:space="preserve">: Increase in the </w:t>
            </w:r>
            <w:r>
              <w:rPr>
                <w:sz w:val="18"/>
                <w:szCs w:val="18"/>
              </w:rPr>
              <w:t>gross enrollment r</w:t>
            </w:r>
            <w:r w:rsidRPr="00557EDB">
              <w:rPr>
                <w:sz w:val="18"/>
                <w:szCs w:val="18"/>
              </w:rPr>
              <w:t>ate for preschool (3-5</w:t>
            </w:r>
            <w:r>
              <w:rPr>
                <w:sz w:val="18"/>
                <w:szCs w:val="18"/>
              </w:rPr>
              <w:t xml:space="preserve"> years</w:t>
            </w:r>
            <w:r w:rsidRPr="00557EDB">
              <w:rPr>
                <w:sz w:val="18"/>
                <w:szCs w:val="18"/>
              </w:rPr>
              <w:t xml:space="preserve">) in </w:t>
            </w:r>
            <w:r w:rsidRPr="00664FCA">
              <w:rPr>
                <w:sz w:val="18"/>
                <w:szCs w:val="18"/>
              </w:rPr>
              <w:t>selected</w:t>
            </w:r>
            <w:r w:rsidRPr="00557EDB">
              <w:rPr>
                <w:sz w:val="18"/>
                <w:szCs w:val="18"/>
              </w:rPr>
              <w:t xml:space="preserve"> municipalities.</w:t>
            </w:r>
          </w:p>
        </w:tc>
        <w:tc>
          <w:tcPr>
            <w:tcW w:w="360" w:type="dxa"/>
            <w:tcBorders>
              <w:left w:val="double" w:sz="4" w:space="0" w:color="auto"/>
              <w:bottom w:val="nil"/>
            </w:tcBorders>
            <w:vAlign w:val="center"/>
          </w:tcPr>
          <w:p w:rsidR="00FE5F42" w:rsidRPr="00290AF3" w:rsidRDefault="00FE5F42" w:rsidP="00956664">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767" w:type="dxa"/>
            <w:vAlign w:val="center"/>
          </w:tcPr>
          <w:p w:rsidR="00FE5F42" w:rsidRPr="00290AF3" w:rsidRDefault="00FE5F42" w:rsidP="00956664">
            <w:pPr>
              <w:pStyle w:val="FootnoteText"/>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956664">
            <w:pPr>
              <w:jc w:val="center"/>
              <w:rPr>
                <w:sz w:val="18"/>
                <w:szCs w:val="18"/>
              </w:rPr>
            </w:pPr>
            <w:r w:rsidRPr="00290AF3">
              <w:rPr>
                <w:sz w:val="18"/>
                <w:szCs w:val="18"/>
              </w:rPr>
              <w:t>41.7</w:t>
            </w:r>
          </w:p>
        </w:tc>
        <w:tc>
          <w:tcPr>
            <w:tcW w:w="810" w:type="dxa"/>
            <w:tcBorders>
              <w:left w:val="double" w:sz="4" w:space="0" w:color="auto"/>
            </w:tcBorders>
            <w:vAlign w:val="center"/>
          </w:tcPr>
          <w:p w:rsidR="00FE5F42" w:rsidRPr="00290AF3" w:rsidRDefault="0050704D" w:rsidP="00956664">
            <w:pPr>
              <w:jc w:val="center"/>
              <w:rPr>
                <w:sz w:val="18"/>
                <w:szCs w:val="18"/>
              </w:rPr>
            </w:pPr>
            <w:r>
              <w:rPr>
                <w:sz w:val="18"/>
                <w:szCs w:val="18"/>
              </w:rPr>
              <w:t>41</w:t>
            </w:r>
            <w:r w:rsidR="00FE5F42" w:rsidRPr="00290AF3">
              <w:rPr>
                <w:sz w:val="18"/>
                <w:szCs w:val="18"/>
              </w:rPr>
              <w:t>.7</w:t>
            </w:r>
          </w:p>
        </w:tc>
        <w:tc>
          <w:tcPr>
            <w:tcW w:w="810" w:type="dxa"/>
            <w:vAlign w:val="center"/>
          </w:tcPr>
          <w:p w:rsidR="00FE5F42" w:rsidRPr="00290AF3" w:rsidRDefault="00FE5F42" w:rsidP="00956664">
            <w:pPr>
              <w:jc w:val="center"/>
              <w:rPr>
                <w:sz w:val="18"/>
                <w:szCs w:val="18"/>
              </w:rPr>
            </w:pPr>
            <w:r w:rsidRPr="00290AF3">
              <w:rPr>
                <w:sz w:val="18"/>
                <w:szCs w:val="18"/>
              </w:rPr>
              <w:t>43.7</w:t>
            </w:r>
          </w:p>
        </w:tc>
        <w:tc>
          <w:tcPr>
            <w:tcW w:w="810" w:type="dxa"/>
            <w:vAlign w:val="center"/>
          </w:tcPr>
          <w:p w:rsidR="00FE5F42" w:rsidRPr="00290AF3" w:rsidRDefault="00FE5F42" w:rsidP="00956664">
            <w:pPr>
              <w:jc w:val="center"/>
              <w:rPr>
                <w:sz w:val="18"/>
                <w:szCs w:val="18"/>
              </w:rPr>
            </w:pPr>
            <w:r w:rsidRPr="00290AF3">
              <w:rPr>
                <w:sz w:val="18"/>
                <w:szCs w:val="18"/>
              </w:rPr>
              <w:t>47</w:t>
            </w:r>
          </w:p>
        </w:tc>
        <w:tc>
          <w:tcPr>
            <w:tcW w:w="810" w:type="dxa"/>
            <w:tcBorders>
              <w:right w:val="double" w:sz="4" w:space="0" w:color="auto"/>
            </w:tcBorders>
            <w:vAlign w:val="center"/>
          </w:tcPr>
          <w:p w:rsidR="00FE5F42" w:rsidRPr="00290AF3" w:rsidRDefault="0050704D" w:rsidP="004E34A7">
            <w:pPr>
              <w:jc w:val="center"/>
              <w:rPr>
                <w:sz w:val="18"/>
                <w:szCs w:val="18"/>
              </w:rPr>
            </w:pPr>
            <w:r>
              <w:rPr>
                <w:sz w:val="18"/>
                <w:szCs w:val="18"/>
              </w:rPr>
              <w:t>48</w:t>
            </w:r>
          </w:p>
        </w:tc>
        <w:tc>
          <w:tcPr>
            <w:tcW w:w="1102" w:type="dxa"/>
            <w:tcBorders>
              <w:left w:val="double" w:sz="4" w:space="0" w:color="auto"/>
            </w:tcBorders>
            <w:vAlign w:val="center"/>
          </w:tcPr>
          <w:p w:rsidR="00FE5F42" w:rsidRPr="00290AF3" w:rsidRDefault="00FE5F42" w:rsidP="00956664">
            <w:pPr>
              <w:rPr>
                <w:sz w:val="16"/>
                <w:szCs w:val="16"/>
              </w:rPr>
            </w:pPr>
            <w:r w:rsidRPr="00290AF3">
              <w:rPr>
                <w:sz w:val="16"/>
                <w:szCs w:val="16"/>
              </w:rPr>
              <w:t>Annual</w:t>
            </w:r>
          </w:p>
        </w:tc>
        <w:tc>
          <w:tcPr>
            <w:tcW w:w="1060" w:type="dxa"/>
            <w:vAlign w:val="center"/>
          </w:tcPr>
          <w:p w:rsidR="00FE5F42" w:rsidRPr="00290AF3" w:rsidRDefault="00FE5F42" w:rsidP="00956664">
            <w:pPr>
              <w:rPr>
                <w:sz w:val="16"/>
                <w:szCs w:val="16"/>
              </w:rPr>
            </w:pPr>
            <w:r w:rsidRPr="00290AF3">
              <w:rPr>
                <w:bCs/>
                <w:sz w:val="16"/>
                <w:szCs w:val="16"/>
              </w:rPr>
              <w:t>Annual Monitoring  Report</w:t>
            </w:r>
          </w:p>
        </w:tc>
        <w:tc>
          <w:tcPr>
            <w:tcW w:w="1078" w:type="dxa"/>
            <w:vAlign w:val="center"/>
          </w:tcPr>
          <w:p w:rsidR="00FE5F42" w:rsidRPr="00290AF3" w:rsidRDefault="00FE5F42" w:rsidP="00956664">
            <w:pPr>
              <w:rPr>
                <w:sz w:val="16"/>
                <w:szCs w:val="16"/>
              </w:rPr>
            </w:pPr>
            <w:r w:rsidRPr="00290AF3">
              <w:rPr>
                <w:sz w:val="16"/>
                <w:szCs w:val="16"/>
              </w:rPr>
              <w:t>Department of Statistics</w:t>
            </w:r>
          </w:p>
        </w:tc>
        <w:tc>
          <w:tcPr>
            <w:tcW w:w="3150" w:type="dxa"/>
            <w:vAlign w:val="center"/>
          </w:tcPr>
          <w:p w:rsidR="00FE5F42" w:rsidRPr="00F622FD" w:rsidRDefault="00FE5F42" w:rsidP="00956664">
            <w:pPr>
              <w:rPr>
                <w:sz w:val="16"/>
                <w:szCs w:val="16"/>
              </w:rPr>
            </w:pPr>
            <w:r>
              <w:rPr>
                <w:sz w:val="16"/>
                <w:szCs w:val="16"/>
              </w:rPr>
              <w:t xml:space="preserve">Number of students enrolled in grades 3-5 of preschool divided by the total population of children of 3-5 years of age based on the 2005 Population Census Data. </w:t>
            </w:r>
            <w:r w:rsidRPr="00F622FD">
              <w:rPr>
                <w:sz w:val="16"/>
                <w:szCs w:val="16"/>
              </w:rPr>
              <w:t xml:space="preserve">Indicator </w:t>
            </w:r>
            <w:r>
              <w:rPr>
                <w:sz w:val="16"/>
                <w:szCs w:val="16"/>
              </w:rPr>
              <w:t>would</w:t>
            </w:r>
            <w:r w:rsidRPr="00F622FD">
              <w:rPr>
                <w:sz w:val="16"/>
                <w:szCs w:val="16"/>
              </w:rPr>
              <w:t xml:space="preserve"> be</w:t>
            </w:r>
            <w:r>
              <w:rPr>
                <w:sz w:val="16"/>
                <w:szCs w:val="16"/>
              </w:rPr>
              <w:t xml:space="preserve"> </w:t>
            </w:r>
            <w:r w:rsidRPr="00F622FD">
              <w:rPr>
                <w:sz w:val="16"/>
                <w:szCs w:val="16"/>
              </w:rPr>
              <w:t>calculated for all</w:t>
            </w:r>
            <w:r>
              <w:rPr>
                <w:sz w:val="16"/>
                <w:szCs w:val="16"/>
              </w:rPr>
              <w:t xml:space="preserve"> pre</w:t>
            </w:r>
            <w:r w:rsidRPr="00F622FD">
              <w:rPr>
                <w:sz w:val="16"/>
                <w:szCs w:val="16"/>
              </w:rPr>
              <w:t>schools in</w:t>
            </w:r>
            <w:r>
              <w:rPr>
                <w:sz w:val="16"/>
                <w:szCs w:val="16"/>
              </w:rPr>
              <w:t xml:space="preserve"> </w:t>
            </w:r>
            <w:r w:rsidRPr="00F622FD">
              <w:rPr>
                <w:sz w:val="16"/>
                <w:szCs w:val="16"/>
              </w:rPr>
              <w:t>t</w:t>
            </w:r>
            <w:r>
              <w:rPr>
                <w:sz w:val="16"/>
                <w:szCs w:val="16"/>
              </w:rPr>
              <w:t xml:space="preserve">he 43 </w:t>
            </w:r>
            <w:r w:rsidRPr="00664FCA">
              <w:rPr>
                <w:sz w:val="16"/>
                <w:szCs w:val="16"/>
              </w:rPr>
              <w:t>selected</w:t>
            </w:r>
            <w:r>
              <w:rPr>
                <w:sz w:val="16"/>
                <w:szCs w:val="16"/>
              </w:rPr>
              <w:t xml:space="preserve"> </w:t>
            </w:r>
            <w:r w:rsidRPr="00F622FD">
              <w:rPr>
                <w:sz w:val="16"/>
                <w:szCs w:val="16"/>
              </w:rPr>
              <w:t>municipalities</w:t>
            </w:r>
            <w:r>
              <w:rPr>
                <w:sz w:val="16"/>
                <w:szCs w:val="16"/>
              </w:rPr>
              <w:t>.</w:t>
            </w:r>
          </w:p>
        </w:tc>
      </w:tr>
      <w:tr w:rsidR="00FE5F42" w:rsidRPr="00E94BE2" w:rsidTr="001D7F1C">
        <w:trPr>
          <w:trHeight w:val="64"/>
        </w:trPr>
        <w:tc>
          <w:tcPr>
            <w:tcW w:w="3196" w:type="dxa"/>
            <w:tcBorders>
              <w:bottom w:val="nil"/>
              <w:right w:val="double" w:sz="4" w:space="0" w:color="auto"/>
            </w:tcBorders>
            <w:vAlign w:val="center"/>
          </w:tcPr>
          <w:p w:rsidR="00FE5F42" w:rsidRPr="00557EDB" w:rsidRDefault="00FE5F42" w:rsidP="00956664">
            <w:pPr>
              <w:pStyle w:val="FootnoteText"/>
              <w:rPr>
                <w:b/>
                <w:sz w:val="18"/>
                <w:szCs w:val="18"/>
              </w:rPr>
            </w:pPr>
            <w:r w:rsidRPr="00557EDB">
              <w:rPr>
                <w:b/>
                <w:sz w:val="18"/>
                <w:szCs w:val="18"/>
              </w:rPr>
              <w:t xml:space="preserve">Indicator Two: </w:t>
            </w:r>
            <w:r>
              <w:rPr>
                <w:sz w:val="18"/>
                <w:szCs w:val="18"/>
              </w:rPr>
              <w:t>Increase in the g</w:t>
            </w:r>
            <w:r w:rsidRPr="00557EDB">
              <w:rPr>
                <w:sz w:val="18"/>
                <w:szCs w:val="18"/>
              </w:rPr>
              <w:t xml:space="preserve">ross </w:t>
            </w:r>
            <w:r>
              <w:rPr>
                <w:sz w:val="18"/>
                <w:szCs w:val="18"/>
              </w:rPr>
              <w:t>enrollment r</w:t>
            </w:r>
            <w:r w:rsidRPr="00557EDB">
              <w:rPr>
                <w:sz w:val="18"/>
                <w:szCs w:val="18"/>
              </w:rPr>
              <w:t>ate for lower secondary (</w:t>
            </w:r>
            <w:r>
              <w:rPr>
                <w:sz w:val="18"/>
                <w:szCs w:val="18"/>
              </w:rPr>
              <w:t>g</w:t>
            </w:r>
            <w:r w:rsidRPr="00557EDB">
              <w:rPr>
                <w:sz w:val="18"/>
                <w:szCs w:val="18"/>
              </w:rPr>
              <w:t xml:space="preserve">rades 7-9) in </w:t>
            </w:r>
            <w:r w:rsidRPr="00664FCA">
              <w:rPr>
                <w:sz w:val="18"/>
                <w:szCs w:val="18"/>
              </w:rPr>
              <w:t>selected</w:t>
            </w:r>
            <w:r w:rsidRPr="00557EDB">
              <w:rPr>
                <w:sz w:val="18"/>
                <w:szCs w:val="18"/>
              </w:rPr>
              <w:t xml:space="preserve"> municipalities</w:t>
            </w:r>
            <w:r>
              <w:rPr>
                <w:sz w:val="18"/>
                <w:szCs w:val="18"/>
              </w:rPr>
              <w:t>.</w:t>
            </w:r>
          </w:p>
        </w:tc>
        <w:tc>
          <w:tcPr>
            <w:tcW w:w="360" w:type="dxa"/>
            <w:tcBorders>
              <w:left w:val="double" w:sz="4" w:space="0" w:color="auto"/>
              <w:bottom w:val="nil"/>
            </w:tcBorders>
            <w:vAlign w:val="center"/>
          </w:tcPr>
          <w:p w:rsidR="00FE5F42" w:rsidRPr="00290AF3" w:rsidRDefault="00FE5F42" w:rsidP="00956664">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767" w:type="dxa"/>
            <w:tcBorders>
              <w:bottom w:val="nil"/>
            </w:tcBorders>
            <w:vAlign w:val="center"/>
          </w:tcPr>
          <w:p w:rsidR="00FE5F42" w:rsidRPr="00290AF3" w:rsidRDefault="00FE5F42" w:rsidP="00956664">
            <w:pPr>
              <w:pStyle w:val="FootnoteText"/>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956664">
            <w:pPr>
              <w:jc w:val="center"/>
              <w:rPr>
                <w:sz w:val="18"/>
                <w:szCs w:val="18"/>
              </w:rPr>
            </w:pPr>
            <w:r w:rsidRPr="00290AF3">
              <w:rPr>
                <w:sz w:val="18"/>
                <w:szCs w:val="18"/>
              </w:rPr>
              <w:t>48.6</w:t>
            </w:r>
          </w:p>
        </w:tc>
        <w:tc>
          <w:tcPr>
            <w:tcW w:w="810" w:type="dxa"/>
            <w:tcBorders>
              <w:left w:val="double" w:sz="4" w:space="0" w:color="auto"/>
            </w:tcBorders>
            <w:vAlign w:val="center"/>
          </w:tcPr>
          <w:p w:rsidR="00FE5F42" w:rsidRPr="00290AF3" w:rsidRDefault="0050704D" w:rsidP="00956664">
            <w:pPr>
              <w:jc w:val="center"/>
              <w:rPr>
                <w:sz w:val="18"/>
                <w:szCs w:val="18"/>
              </w:rPr>
            </w:pPr>
            <w:r>
              <w:rPr>
                <w:sz w:val="18"/>
                <w:szCs w:val="18"/>
              </w:rPr>
              <w:t>48</w:t>
            </w:r>
            <w:r w:rsidR="00FE5F42" w:rsidRPr="00290AF3">
              <w:rPr>
                <w:sz w:val="18"/>
                <w:szCs w:val="18"/>
              </w:rPr>
              <w:t>.6</w:t>
            </w:r>
          </w:p>
        </w:tc>
        <w:tc>
          <w:tcPr>
            <w:tcW w:w="810" w:type="dxa"/>
            <w:vAlign w:val="center"/>
          </w:tcPr>
          <w:p w:rsidR="00FE5F42" w:rsidRPr="00290AF3" w:rsidRDefault="00FE5F42" w:rsidP="00956664">
            <w:pPr>
              <w:jc w:val="center"/>
              <w:rPr>
                <w:sz w:val="18"/>
                <w:szCs w:val="18"/>
              </w:rPr>
            </w:pPr>
            <w:r w:rsidRPr="00290AF3">
              <w:rPr>
                <w:sz w:val="18"/>
                <w:szCs w:val="18"/>
              </w:rPr>
              <w:t>50.6</w:t>
            </w:r>
          </w:p>
        </w:tc>
        <w:tc>
          <w:tcPr>
            <w:tcW w:w="810" w:type="dxa"/>
            <w:tcBorders>
              <w:bottom w:val="nil"/>
            </w:tcBorders>
            <w:vAlign w:val="center"/>
          </w:tcPr>
          <w:p w:rsidR="00FE5F42" w:rsidRPr="00290AF3" w:rsidRDefault="00FE5F42" w:rsidP="00956664">
            <w:pPr>
              <w:jc w:val="center"/>
              <w:rPr>
                <w:sz w:val="18"/>
                <w:szCs w:val="18"/>
              </w:rPr>
            </w:pPr>
            <w:r w:rsidRPr="00290AF3">
              <w:rPr>
                <w:sz w:val="18"/>
                <w:szCs w:val="18"/>
              </w:rPr>
              <w:t>53</w:t>
            </w:r>
          </w:p>
        </w:tc>
        <w:tc>
          <w:tcPr>
            <w:tcW w:w="810" w:type="dxa"/>
            <w:tcBorders>
              <w:bottom w:val="nil"/>
              <w:right w:val="double" w:sz="4" w:space="0" w:color="auto"/>
            </w:tcBorders>
            <w:vAlign w:val="center"/>
          </w:tcPr>
          <w:p w:rsidR="00FE5F42" w:rsidRPr="00290AF3" w:rsidRDefault="0050704D" w:rsidP="004E34A7">
            <w:pPr>
              <w:jc w:val="center"/>
              <w:rPr>
                <w:sz w:val="18"/>
                <w:szCs w:val="18"/>
              </w:rPr>
            </w:pPr>
            <w:r>
              <w:rPr>
                <w:sz w:val="18"/>
                <w:szCs w:val="18"/>
              </w:rPr>
              <w:t>54</w:t>
            </w:r>
          </w:p>
        </w:tc>
        <w:tc>
          <w:tcPr>
            <w:tcW w:w="1102" w:type="dxa"/>
            <w:tcBorders>
              <w:left w:val="double" w:sz="4" w:space="0" w:color="auto"/>
            </w:tcBorders>
            <w:vAlign w:val="center"/>
          </w:tcPr>
          <w:p w:rsidR="00FE5F42" w:rsidRPr="00290AF3" w:rsidRDefault="00FE5F42" w:rsidP="00956664">
            <w:pPr>
              <w:rPr>
                <w:sz w:val="16"/>
                <w:szCs w:val="16"/>
              </w:rPr>
            </w:pPr>
            <w:r w:rsidRPr="00290AF3">
              <w:rPr>
                <w:sz w:val="16"/>
                <w:szCs w:val="16"/>
              </w:rPr>
              <w:t>Annual</w:t>
            </w:r>
          </w:p>
        </w:tc>
        <w:tc>
          <w:tcPr>
            <w:tcW w:w="1060" w:type="dxa"/>
            <w:vAlign w:val="center"/>
          </w:tcPr>
          <w:p w:rsidR="00FE5F42" w:rsidRPr="00290AF3" w:rsidRDefault="00FE5F42" w:rsidP="00956664">
            <w:pPr>
              <w:rPr>
                <w:sz w:val="16"/>
                <w:szCs w:val="16"/>
              </w:rPr>
            </w:pPr>
            <w:r w:rsidRPr="00290AF3">
              <w:rPr>
                <w:bCs/>
                <w:sz w:val="16"/>
                <w:szCs w:val="16"/>
              </w:rPr>
              <w:t>Annual Monitoring  Report</w:t>
            </w:r>
          </w:p>
        </w:tc>
        <w:tc>
          <w:tcPr>
            <w:tcW w:w="1078" w:type="dxa"/>
            <w:vAlign w:val="center"/>
          </w:tcPr>
          <w:p w:rsidR="00FE5F42" w:rsidRPr="00290AF3" w:rsidRDefault="00FE5F42" w:rsidP="00956664">
            <w:pPr>
              <w:rPr>
                <w:sz w:val="16"/>
                <w:szCs w:val="16"/>
              </w:rPr>
            </w:pPr>
            <w:r w:rsidRPr="00290AF3">
              <w:rPr>
                <w:sz w:val="16"/>
                <w:szCs w:val="16"/>
              </w:rPr>
              <w:t>Department of Statistics</w:t>
            </w:r>
          </w:p>
        </w:tc>
        <w:tc>
          <w:tcPr>
            <w:tcW w:w="3150" w:type="dxa"/>
            <w:vAlign w:val="center"/>
          </w:tcPr>
          <w:p w:rsidR="00FE5F42" w:rsidRPr="00F622FD" w:rsidRDefault="00FE5F42" w:rsidP="00956664">
            <w:pPr>
              <w:rPr>
                <w:sz w:val="16"/>
                <w:szCs w:val="16"/>
              </w:rPr>
            </w:pPr>
            <w:r>
              <w:rPr>
                <w:sz w:val="16"/>
                <w:szCs w:val="16"/>
              </w:rPr>
              <w:t xml:space="preserve">Number of students enrolled in grades 7-9 of preschool divided by the total population of children of 12-14 years of age based on the 2005 Population Census Data. </w:t>
            </w:r>
            <w:r w:rsidRPr="00F622FD">
              <w:rPr>
                <w:sz w:val="16"/>
                <w:szCs w:val="16"/>
              </w:rPr>
              <w:t xml:space="preserve">Indicator </w:t>
            </w:r>
            <w:r>
              <w:rPr>
                <w:sz w:val="16"/>
                <w:szCs w:val="16"/>
              </w:rPr>
              <w:t>would</w:t>
            </w:r>
            <w:r w:rsidRPr="00F622FD">
              <w:rPr>
                <w:sz w:val="16"/>
                <w:szCs w:val="16"/>
              </w:rPr>
              <w:t xml:space="preserve"> be</w:t>
            </w:r>
            <w:r>
              <w:rPr>
                <w:sz w:val="16"/>
                <w:szCs w:val="16"/>
              </w:rPr>
              <w:t xml:space="preserve"> </w:t>
            </w:r>
            <w:r w:rsidRPr="00F622FD">
              <w:rPr>
                <w:sz w:val="16"/>
                <w:szCs w:val="16"/>
              </w:rPr>
              <w:t>calculated for all</w:t>
            </w:r>
            <w:r>
              <w:rPr>
                <w:sz w:val="16"/>
                <w:szCs w:val="16"/>
              </w:rPr>
              <w:t xml:space="preserve"> pre</w:t>
            </w:r>
            <w:r w:rsidRPr="00F622FD">
              <w:rPr>
                <w:sz w:val="16"/>
                <w:szCs w:val="16"/>
              </w:rPr>
              <w:t>schools in</w:t>
            </w:r>
            <w:r>
              <w:rPr>
                <w:sz w:val="16"/>
                <w:szCs w:val="16"/>
              </w:rPr>
              <w:t xml:space="preserve"> </w:t>
            </w:r>
            <w:r w:rsidRPr="00F622FD">
              <w:rPr>
                <w:sz w:val="16"/>
                <w:szCs w:val="16"/>
              </w:rPr>
              <w:t>t</w:t>
            </w:r>
            <w:r>
              <w:rPr>
                <w:sz w:val="16"/>
                <w:szCs w:val="16"/>
              </w:rPr>
              <w:t xml:space="preserve">he 43 </w:t>
            </w:r>
            <w:r w:rsidRPr="00664FCA">
              <w:rPr>
                <w:sz w:val="16"/>
                <w:szCs w:val="16"/>
              </w:rPr>
              <w:t>selected</w:t>
            </w:r>
            <w:r>
              <w:rPr>
                <w:sz w:val="16"/>
                <w:szCs w:val="16"/>
              </w:rPr>
              <w:t xml:space="preserve"> </w:t>
            </w:r>
            <w:r w:rsidRPr="00F622FD">
              <w:rPr>
                <w:sz w:val="16"/>
                <w:szCs w:val="16"/>
              </w:rPr>
              <w:t>municipalities</w:t>
            </w:r>
            <w:r>
              <w:rPr>
                <w:sz w:val="16"/>
                <w:szCs w:val="16"/>
              </w:rPr>
              <w:t>.</w:t>
            </w:r>
          </w:p>
        </w:tc>
      </w:tr>
      <w:tr w:rsidR="00FE5F42" w:rsidRPr="00E94BE2" w:rsidTr="001D7F1C">
        <w:trPr>
          <w:trHeight w:val="64"/>
        </w:trPr>
        <w:tc>
          <w:tcPr>
            <w:tcW w:w="3196" w:type="dxa"/>
            <w:tcBorders>
              <w:bottom w:val="nil"/>
              <w:right w:val="double" w:sz="4" w:space="0" w:color="auto"/>
            </w:tcBorders>
            <w:vAlign w:val="center"/>
          </w:tcPr>
          <w:p w:rsidR="00FE5F42" w:rsidRPr="00557EDB" w:rsidRDefault="00FE5F42" w:rsidP="00956664">
            <w:pPr>
              <w:pStyle w:val="FootnoteText"/>
              <w:rPr>
                <w:bCs/>
                <w:sz w:val="18"/>
                <w:szCs w:val="18"/>
              </w:rPr>
            </w:pPr>
            <w:r w:rsidRPr="00557EDB">
              <w:rPr>
                <w:b/>
                <w:sz w:val="18"/>
                <w:szCs w:val="18"/>
              </w:rPr>
              <w:t xml:space="preserve">Indicator Three: </w:t>
            </w:r>
          </w:p>
          <w:p w:rsidR="00FE5F42" w:rsidRPr="00557EDB" w:rsidRDefault="00FE5F42" w:rsidP="00956664">
            <w:pPr>
              <w:pStyle w:val="FootnoteText"/>
              <w:rPr>
                <w:bCs/>
                <w:sz w:val="18"/>
                <w:szCs w:val="18"/>
              </w:rPr>
            </w:pPr>
            <w:r w:rsidRPr="00557EDB">
              <w:rPr>
                <w:bCs/>
                <w:sz w:val="18"/>
                <w:szCs w:val="18"/>
              </w:rPr>
              <w:t xml:space="preserve">Learning conditions improved in preschool. </w:t>
            </w:r>
          </w:p>
          <w:p w:rsidR="00FE5F42" w:rsidRPr="00557EDB" w:rsidRDefault="00FE5F42" w:rsidP="00956664">
            <w:pPr>
              <w:pStyle w:val="FootnoteText"/>
              <w:rPr>
                <w:sz w:val="18"/>
                <w:szCs w:val="18"/>
              </w:rPr>
            </w:pPr>
          </w:p>
        </w:tc>
        <w:tc>
          <w:tcPr>
            <w:tcW w:w="360" w:type="dxa"/>
            <w:tcBorders>
              <w:left w:val="double" w:sz="4" w:space="0" w:color="auto"/>
              <w:bottom w:val="nil"/>
            </w:tcBorders>
            <w:vAlign w:val="center"/>
          </w:tcPr>
          <w:p w:rsidR="00FE5F42" w:rsidRPr="00290AF3" w:rsidRDefault="00FE5F42" w:rsidP="00956664">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767" w:type="dxa"/>
            <w:tcBorders>
              <w:bottom w:val="nil"/>
            </w:tcBorders>
            <w:vAlign w:val="center"/>
          </w:tcPr>
          <w:p w:rsidR="00FE5F42" w:rsidRPr="00290AF3" w:rsidRDefault="00FE5F42" w:rsidP="00956664">
            <w:pPr>
              <w:pStyle w:val="FootnoteText"/>
              <w:jc w:val="center"/>
              <w:rPr>
                <w:sz w:val="18"/>
                <w:szCs w:val="18"/>
              </w:rPr>
            </w:pPr>
            <w:r>
              <w:rPr>
                <w:sz w:val="18"/>
                <w:szCs w:val="18"/>
              </w:rPr>
              <w:t>Text</w:t>
            </w:r>
          </w:p>
        </w:tc>
        <w:tc>
          <w:tcPr>
            <w:tcW w:w="810" w:type="dxa"/>
            <w:tcBorders>
              <w:right w:val="double" w:sz="4" w:space="0" w:color="auto"/>
            </w:tcBorders>
            <w:vAlign w:val="center"/>
          </w:tcPr>
          <w:p w:rsidR="00FE5F42" w:rsidRPr="00290AF3" w:rsidRDefault="00FE5F42" w:rsidP="00956664">
            <w:pPr>
              <w:jc w:val="center"/>
              <w:rPr>
                <w:sz w:val="18"/>
                <w:szCs w:val="18"/>
              </w:rPr>
            </w:pPr>
            <w:r>
              <w:rPr>
                <w:sz w:val="18"/>
                <w:szCs w:val="18"/>
              </w:rPr>
              <w:t>Yes/No</w:t>
            </w:r>
          </w:p>
        </w:tc>
        <w:tc>
          <w:tcPr>
            <w:tcW w:w="810" w:type="dxa"/>
            <w:tcBorders>
              <w:left w:val="double" w:sz="4" w:space="0" w:color="auto"/>
            </w:tcBorders>
            <w:vAlign w:val="center"/>
          </w:tcPr>
          <w:p w:rsidR="00FE5F42" w:rsidRPr="00290AF3" w:rsidRDefault="00FE5F42" w:rsidP="00956664">
            <w:pPr>
              <w:jc w:val="center"/>
              <w:rPr>
                <w:sz w:val="18"/>
                <w:szCs w:val="18"/>
              </w:rPr>
            </w:pPr>
            <w:r>
              <w:rPr>
                <w:sz w:val="18"/>
                <w:szCs w:val="18"/>
              </w:rPr>
              <w:t>No</w:t>
            </w:r>
          </w:p>
        </w:tc>
        <w:tc>
          <w:tcPr>
            <w:tcW w:w="810" w:type="dxa"/>
            <w:vAlign w:val="center"/>
          </w:tcPr>
          <w:p w:rsidR="00FE5F42" w:rsidRPr="00290AF3" w:rsidRDefault="00FE5F42" w:rsidP="00956664">
            <w:pPr>
              <w:jc w:val="center"/>
              <w:rPr>
                <w:sz w:val="18"/>
                <w:szCs w:val="18"/>
              </w:rPr>
            </w:pPr>
            <w:r>
              <w:rPr>
                <w:sz w:val="18"/>
                <w:szCs w:val="18"/>
              </w:rPr>
              <w:t>No</w:t>
            </w:r>
          </w:p>
        </w:tc>
        <w:tc>
          <w:tcPr>
            <w:tcW w:w="810" w:type="dxa"/>
            <w:tcBorders>
              <w:bottom w:val="nil"/>
            </w:tcBorders>
            <w:vAlign w:val="center"/>
          </w:tcPr>
          <w:p w:rsidR="00FE5F42" w:rsidRPr="00290AF3" w:rsidRDefault="00FE5F42" w:rsidP="00956664">
            <w:pPr>
              <w:jc w:val="center"/>
              <w:rPr>
                <w:sz w:val="18"/>
                <w:szCs w:val="18"/>
              </w:rPr>
            </w:pPr>
            <w:r>
              <w:rPr>
                <w:sz w:val="18"/>
                <w:szCs w:val="18"/>
              </w:rPr>
              <w:t>No</w:t>
            </w:r>
          </w:p>
        </w:tc>
        <w:tc>
          <w:tcPr>
            <w:tcW w:w="810" w:type="dxa"/>
            <w:tcBorders>
              <w:bottom w:val="nil"/>
              <w:right w:val="double" w:sz="4" w:space="0" w:color="auto"/>
            </w:tcBorders>
            <w:vAlign w:val="center"/>
          </w:tcPr>
          <w:p w:rsidR="00FE5F42" w:rsidRPr="00290AF3" w:rsidRDefault="00FE5F42" w:rsidP="004E34A7">
            <w:pPr>
              <w:jc w:val="center"/>
              <w:rPr>
                <w:sz w:val="18"/>
                <w:szCs w:val="18"/>
              </w:rPr>
            </w:pPr>
            <w:r>
              <w:rPr>
                <w:sz w:val="18"/>
                <w:szCs w:val="18"/>
              </w:rPr>
              <w:t>Yes</w:t>
            </w:r>
          </w:p>
        </w:tc>
        <w:tc>
          <w:tcPr>
            <w:tcW w:w="1102" w:type="dxa"/>
            <w:tcBorders>
              <w:left w:val="double" w:sz="4" w:space="0" w:color="auto"/>
            </w:tcBorders>
            <w:vAlign w:val="center"/>
          </w:tcPr>
          <w:p w:rsidR="00FE5F42" w:rsidRPr="00290AF3" w:rsidRDefault="00FE5F42" w:rsidP="00956664">
            <w:pPr>
              <w:rPr>
                <w:sz w:val="16"/>
                <w:szCs w:val="16"/>
              </w:rPr>
            </w:pPr>
            <w:r w:rsidRPr="00290AF3">
              <w:rPr>
                <w:sz w:val="16"/>
                <w:szCs w:val="16"/>
              </w:rPr>
              <w:t>Annual</w:t>
            </w:r>
          </w:p>
        </w:tc>
        <w:tc>
          <w:tcPr>
            <w:tcW w:w="1060" w:type="dxa"/>
            <w:vAlign w:val="center"/>
          </w:tcPr>
          <w:p w:rsidR="00FE5F42" w:rsidRPr="00290AF3" w:rsidRDefault="00FE5F42" w:rsidP="00956664">
            <w:pPr>
              <w:rPr>
                <w:sz w:val="16"/>
                <w:szCs w:val="16"/>
              </w:rPr>
            </w:pPr>
            <w:r w:rsidRPr="00290AF3">
              <w:rPr>
                <w:bCs/>
                <w:sz w:val="16"/>
                <w:szCs w:val="16"/>
              </w:rPr>
              <w:t>Annual Monitoring  Report</w:t>
            </w:r>
          </w:p>
        </w:tc>
        <w:tc>
          <w:tcPr>
            <w:tcW w:w="1078" w:type="dxa"/>
            <w:vAlign w:val="center"/>
          </w:tcPr>
          <w:p w:rsidR="00FE5F42" w:rsidRPr="00290AF3" w:rsidRDefault="00FE5F42" w:rsidP="00956664">
            <w:pPr>
              <w:rPr>
                <w:sz w:val="16"/>
                <w:szCs w:val="16"/>
              </w:rPr>
            </w:pPr>
            <w:r w:rsidRPr="00290AF3">
              <w:rPr>
                <w:sz w:val="16"/>
                <w:szCs w:val="16"/>
              </w:rPr>
              <w:t xml:space="preserve">Directorate of </w:t>
            </w:r>
            <w:r>
              <w:rPr>
                <w:sz w:val="16"/>
                <w:szCs w:val="16"/>
              </w:rPr>
              <w:t>Preschool, Department of Training</w:t>
            </w:r>
            <w:r w:rsidRPr="00290AF3">
              <w:rPr>
                <w:sz w:val="16"/>
                <w:szCs w:val="16"/>
              </w:rPr>
              <w:t xml:space="preserve"> and Department of Statistics</w:t>
            </w:r>
          </w:p>
        </w:tc>
        <w:tc>
          <w:tcPr>
            <w:tcW w:w="3150" w:type="dxa"/>
            <w:vAlign w:val="center"/>
          </w:tcPr>
          <w:p w:rsidR="00FE5F42" w:rsidRDefault="00FE5F42" w:rsidP="00956664">
            <w:pPr>
              <w:rPr>
                <w:sz w:val="16"/>
                <w:szCs w:val="16"/>
              </w:rPr>
            </w:pPr>
            <w:r>
              <w:rPr>
                <w:sz w:val="16"/>
                <w:szCs w:val="16"/>
              </w:rPr>
              <w:t xml:space="preserve">Learning conditions would be considered effectively improved if 50% of the preschools nationwide have at least 3 out of the 4 conditions </w:t>
            </w:r>
            <w:r w:rsidRPr="00814588">
              <w:rPr>
                <w:sz w:val="16"/>
                <w:szCs w:val="16"/>
              </w:rPr>
              <w:t>described below</w:t>
            </w:r>
            <w:r>
              <w:rPr>
                <w:sz w:val="16"/>
                <w:szCs w:val="16"/>
              </w:rPr>
              <w:t>:</w:t>
            </w:r>
          </w:p>
          <w:p w:rsidR="00FE5F42" w:rsidRPr="00D4626A" w:rsidRDefault="00FE5F42" w:rsidP="00956664">
            <w:pPr>
              <w:pStyle w:val="ListParagraph"/>
              <w:numPr>
                <w:ilvl w:val="0"/>
                <w:numId w:val="29"/>
              </w:numPr>
              <w:ind w:left="211" w:hanging="211"/>
              <w:rPr>
                <w:sz w:val="16"/>
                <w:szCs w:val="16"/>
              </w:rPr>
            </w:pPr>
            <w:r>
              <w:rPr>
                <w:sz w:val="16"/>
                <w:szCs w:val="16"/>
              </w:rPr>
              <w:t>Preschool teachers trained in the use of the unified curriculum</w:t>
            </w:r>
          </w:p>
          <w:p w:rsidR="00FE5F42" w:rsidRPr="00D4626A" w:rsidRDefault="00FE5F42" w:rsidP="00956664">
            <w:pPr>
              <w:pStyle w:val="ListParagraph"/>
              <w:numPr>
                <w:ilvl w:val="0"/>
                <w:numId w:val="29"/>
              </w:numPr>
              <w:ind w:left="211" w:hanging="211"/>
              <w:rPr>
                <w:sz w:val="16"/>
                <w:szCs w:val="16"/>
              </w:rPr>
            </w:pPr>
            <w:r>
              <w:rPr>
                <w:sz w:val="16"/>
                <w:szCs w:val="16"/>
              </w:rPr>
              <w:t xml:space="preserve">Revised classroom learning instruments are available in preschools </w:t>
            </w:r>
          </w:p>
          <w:p w:rsidR="00FE5F42" w:rsidRDefault="00FE5F42" w:rsidP="00956664">
            <w:pPr>
              <w:pStyle w:val="ListParagraph"/>
              <w:numPr>
                <w:ilvl w:val="0"/>
                <w:numId w:val="29"/>
              </w:numPr>
              <w:ind w:left="211" w:hanging="211"/>
              <w:rPr>
                <w:sz w:val="16"/>
                <w:szCs w:val="16"/>
              </w:rPr>
            </w:pPr>
            <w:r>
              <w:rPr>
                <w:sz w:val="16"/>
                <w:szCs w:val="16"/>
              </w:rPr>
              <w:t>Preschool teachers are certified</w:t>
            </w:r>
          </w:p>
          <w:p w:rsidR="00FE5F42" w:rsidRPr="00D4626A" w:rsidRDefault="00FE5F42" w:rsidP="00956664">
            <w:pPr>
              <w:pStyle w:val="ListParagraph"/>
              <w:numPr>
                <w:ilvl w:val="0"/>
                <w:numId w:val="29"/>
              </w:numPr>
              <w:ind w:left="211" w:hanging="211"/>
              <w:rPr>
                <w:sz w:val="16"/>
                <w:szCs w:val="16"/>
              </w:rPr>
            </w:pPr>
            <w:r>
              <w:rPr>
                <w:sz w:val="16"/>
                <w:szCs w:val="16"/>
              </w:rPr>
              <w:t>Preschools have received a package of learning materials.</w:t>
            </w:r>
          </w:p>
        </w:tc>
      </w:tr>
      <w:tr w:rsidR="00FE5F42" w:rsidRPr="009766D7" w:rsidTr="001D7F1C">
        <w:trPr>
          <w:trHeight w:val="64"/>
        </w:trPr>
        <w:tc>
          <w:tcPr>
            <w:tcW w:w="3196" w:type="dxa"/>
            <w:tcBorders>
              <w:bottom w:val="nil"/>
              <w:right w:val="double" w:sz="4" w:space="0" w:color="auto"/>
            </w:tcBorders>
            <w:vAlign w:val="center"/>
          </w:tcPr>
          <w:p w:rsidR="00FE5F42" w:rsidRPr="00557EDB" w:rsidRDefault="00FE5F42" w:rsidP="00956664">
            <w:pPr>
              <w:pStyle w:val="FootnoteText"/>
              <w:rPr>
                <w:b/>
                <w:sz w:val="18"/>
                <w:szCs w:val="18"/>
              </w:rPr>
            </w:pPr>
            <w:r w:rsidRPr="00557EDB">
              <w:rPr>
                <w:b/>
                <w:sz w:val="18"/>
                <w:szCs w:val="18"/>
              </w:rPr>
              <w:t>Indicator Four:</w:t>
            </w:r>
          </w:p>
          <w:p w:rsidR="00FE5F42" w:rsidRPr="00557EDB" w:rsidRDefault="00FE5F42" w:rsidP="00956664">
            <w:pPr>
              <w:pStyle w:val="FootnoteText"/>
              <w:rPr>
                <w:sz w:val="18"/>
                <w:szCs w:val="18"/>
              </w:rPr>
            </w:pPr>
            <w:r>
              <w:rPr>
                <w:sz w:val="18"/>
                <w:szCs w:val="18"/>
              </w:rPr>
              <w:t>Increase in the grade 9 completion r</w:t>
            </w:r>
            <w:r w:rsidRPr="00557EDB">
              <w:rPr>
                <w:sz w:val="18"/>
                <w:szCs w:val="18"/>
              </w:rPr>
              <w:t>ate.</w:t>
            </w:r>
          </w:p>
        </w:tc>
        <w:tc>
          <w:tcPr>
            <w:tcW w:w="360" w:type="dxa"/>
            <w:tcBorders>
              <w:left w:val="double" w:sz="4" w:space="0" w:color="auto"/>
              <w:bottom w:val="nil"/>
            </w:tcBorders>
            <w:vAlign w:val="center"/>
          </w:tcPr>
          <w:p w:rsidR="00FE5F42" w:rsidRPr="00290AF3" w:rsidRDefault="00FE5F42" w:rsidP="00956664">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767" w:type="dxa"/>
            <w:tcBorders>
              <w:bottom w:val="nil"/>
            </w:tcBorders>
            <w:vAlign w:val="center"/>
          </w:tcPr>
          <w:p w:rsidR="00FE5F42" w:rsidRPr="00290AF3" w:rsidRDefault="00FE5F42" w:rsidP="00956664">
            <w:pPr>
              <w:pStyle w:val="FootnoteText"/>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956664">
            <w:pPr>
              <w:jc w:val="center"/>
              <w:rPr>
                <w:sz w:val="18"/>
                <w:szCs w:val="18"/>
              </w:rPr>
            </w:pPr>
            <w:r w:rsidRPr="00290AF3">
              <w:rPr>
                <w:sz w:val="18"/>
                <w:szCs w:val="18"/>
              </w:rPr>
              <w:t>52</w:t>
            </w:r>
          </w:p>
        </w:tc>
        <w:tc>
          <w:tcPr>
            <w:tcW w:w="810" w:type="dxa"/>
            <w:tcBorders>
              <w:left w:val="double" w:sz="4" w:space="0" w:color="auto"/>
            </w:tcBorders>
            <w:vAlign w:val="center"/>
          </w:tcPr>
          <w:p w:rsidR="00FE5F42" w:rsidRPr="00290AF3" w:rsidRDefault="0050704D" w:rsidP="00956664">
            <w:pPr>
              <w:jc w:val="center"/>
              <w:rPr>
                <w:sz w:val="18"/>
                <w:szCs w:val="18"/>
              </w:rPr>
            </w:pPr>
            <w:r>
              <w:rPr>
                <w:sz w:val="18"/>
                <w:szCs w:val="18"/>
              </w:rPr>
              <w:t>52</w:t>
            </w:r>
          </w:p>
        </w:tc>
        <w:tc>
          <w:tcPr>
            <w:tcW w:w="810" w:type="dxa"/>
            <w:vAlign w:val="center"/>
          </w:tcPr>
          <w:p w:rsidR="00FE5F42" w:rsidRPr="00290AF3" w:rsidRDefault="00FE5F42" w:rsidP="00956664">
            <w:pPr>
              <w:jc w:val="center"/>
              <w:rPr>
                <w:sz w:val="18"/>
                <w:szCs w:val="18"/>
              </w:rPr>
            </w:pPr>
            <w:r w:rsidRPr="00290AF3">
              <w:rPr>
                <w:sz w:val="18"/>
                <w:szCs w:val="18"/>
              </w:rPr>
              <w:t>54</w:t>
            </w:r>
          </w:p>
        </w:tc>
        <w:tc>
          <w:tcPr>
            <w:tcW w:w="810" w:type="dxa"/>
            <w:tcBorders>
              <w:bottom w:val="nil"/>
            </w:tcBorders>
            <w:vAlign w:val="center"/>
          </w:tcPr>
          <w:p w:rsidR="00FE5F42" w:rsidRPr="00290AF3" w:rsidRDefault="00FE5F42" w:rsidP="00956664">
            <w:pPr>
              <w:jc w:val="center"/>
              <w:rPr>
                <w:sz w:val="18"/>
                <w:szCs w:val="18"/>
              </w:rPr>
            </w:pPr>
            <w:r w:rsidRPr="00290AF3">
              <w:rPr>
                <w:sz w:val="18"/>
                <w:szCs w:val="18"/>
              </w:rPr>
              <w:t>56</w:t>
            </w:r>
          </w:p>
        </w:tc>
        <w:tc>
          <w:tcPr>
            <w:tcW w:w="810" w:type="dxa"/>
            <w:tcBorders>
              <w:bottom w:val="nil"/>
              <w:right w:val="double" w:sz="4" w:space="0" w:color="auto"/>
            </w:tcBorders>
            <w:vAlign w:val="center"/>
          </w:tcPr>
          <w:p w:rsidR="00FE5F42" w:rsidRPr="00290AF3" w:rsidRDefault="0050704D" w:rsidP="004E34A7">
            <w:pPr>
              <w:jc w:val="center"/>
              <w:rPr>
                <w:sz w:val="18"/>
                <w:szCs w:val="18"/>
              </w:rPr>
            </w:pPr>
            <w:r>
              <w:rPr>
                <w:sz w:val="18"/>
                <w:szCs w:val="18"/>
              </w:rPr>
              <w:t>57</w:t>
            </w:r>
          </w:p>
        </w:tc>
        <w:tc>
          <w:tcPr>
            <w:tcW w:w="1102" w:type="dxa"/>
            <w:tcBorders>
              <w:left w:val="double" w:sz="4" w:space="0" w:color="auto"/>
            </w:tcBorders>
            <w:vAlign w:val="center"/>
          </w:tcPr>
          <w:p w:rsidR="00FE5F42" w:rsidRPr="00290AF3" w:rsidRDefault="00FE5F42" w:rsidP="00956664">
            <w:pPr>
              <w:rPr>
                <w:sz w:val="16"/>
                <w:szCs w:val="16"/>
              </w:rPr>
            </w:pPr>
            <w:r w:rsidRPr="00290AF3">
              <w:rPr>
                <w:sz w:val="16"/>
                <w:szCs w:val="16"/>
              </w:rPr>
              <w:t>Annual</w:t>
            </w:r>
          </w:p>
        </w:tc>
        <w:tc>
          <w:tcPr>
            <w:tcW w:w="1060" w:type="dxa"/>
            <w:vAlign w:val="center"/>
          </w:tcPr>
          <w:p w:rsidR="00FE5F42" w:rsidRPr="00290AF3" w:rsidRDefault="00FE5F42" w:rsidP="00956664">
            <w:pPr>
              <w:rPr>
                <w:sz w:val="16"/>
                <w:szCs w:val="16"/>
              </w:rPr>
            </w:pPr>
            <w:r w:rsidRPr="00290AF3">
              <w:rPr>
                <w:bCs/>
                <w:sz w:val="16"/>
                <w:szCs w:val="16"/>
              </w:rPr>
              <w:t>Annual Monitoring  Report</w:t>
            </w:r>
          </w:p>
        </w:tc>
        <w:tc>
          <w:tcPr>
            <w:tcW w:w="1078" w:type="dxa"/>
            <w:vAlign w:val="center"/>
          </w:tcPr>
          <w:p w:rsidR="00FE5F42" w:rsidRPr="00290AF3" w:rsidRDefault="00FE5F42" w:rsidP="00956664">
            <w:pPr>
              <w:rPr>
                <w:sz w:val="16"/>
                <w:szCs w:val="16"/>
              </w:rPr>
            </w:pPr>
            <w:r w:rsidRPr="00290AF3">
              <w:rPr>
                <w:sz w:val="16"/>
                <w:szCs w:val="16"/>
              </w:rPr>
              <w:t>Department of Statistics</w:t>
            </w:r>
          </w:p>
        </w:tc>
        <w:tc>
          <w:tcPr>
            <w:tcW w:w="3150" w:type="dxa"/>
            <w:vAlign w:val="center"/>
          </w:tcPr>
          <w:p w:rsidR="00FE5F42" w:rsidRPr="00F622FD" w:rsidRDefault="00FE5F42" w:rsidP="00956664">
            <w:pPr>
              <w:rPr>
                <w:sz w:val="16"/>
                <w:szCs w:val="16"/>
              </w:rPr>
            </w:pPr>
            <w:r>
              <w:rPr>
                <w:sz w:val="16"/>
                <w:szCs w:val="16"/>
              </w:rPr>
              <w:t xml:space="preserve">Number of students enrolled in grade 9 at the end of the school year divided by the total population of children of 14 years of age based on the 2005 Population Census Data. </w:t>
            </w:r>
            <w:r w:rsidRPr="00F622FD">
              <w:rPr>
                <w:sz w:val="16"/>
                <w:szCs w:val="16"/>
              </w:rPr>
              <w:t xml:space="preserve">Indicator </w:t>
            </w:r>
            <w:r>
              <w:rPr>
                <w:sz w:val="16"/>
                <w:szCs w:val="16"/>
              </w:rPr>
              <w:t>would</w:t>
            </w:r>
            <w:r w:rsidRPr="00F622FD">
              <w:rPr>
                <w:sz w:val="16"/>
                <w:szCs w:val="16"/>
              </w:rPr>
              <w:t xml:space="preserve"> be</w:t>
            </w:r>
            <w:r>
              <w:rPr>
                <w:sz w:val="16"/>
                <w:szCs w:val="16"/>
              </w:rPr>
              <w:t xml:space="preserve"> </w:t>
            </w:r>
            <w:r w:rsidRPr="00F622FD">
              <w:rPr>
                <w:sz w:val="16"/>
                <w:szCs w:val="16"/>
              </w:rPr>
              <w:t xml:space="preserve">calculated </w:t>
            </w:r>
            <w:r>
              <w:rPr>
                <w:sz w:val="16"/>
                <w:szCs w:val="16"/>
              </w:rPr>
              <w:t>at the national level.</w:t>
            </w:r>
          </w:p>
        </w:tc>
      </w:tr>
      <w:tr w:rsidR="00FE5F42" w:rsidRPr="00EC012A" w:rsidTr="001D7F1C">
        <w:trPr>
          <w:trHeight w:val="64"/>
        </w:trPr>
        <w:tc>
          <w:tcPr>
            <w:tcW w:w="3196" w:type="dxa"/>
            <w:tcBorders>
              <w:right w:val="double" w:sz="4" w:space="0" w:color="auto"/>
            </w:tcBorders>
            <w:vAlign w:val="center"/>
          </w:tcPr>
          <w:p w:rsidR="00FE5F42" w:rsidRPr="00557EDB" w:rsidRDefault="00FE5F42" w:rsidP="00956664">
            <w:pPr>
              <w:pStyle w:val="FootnoteText"/>
              <w:rPr>
                <w:b/>
                <w:sz w:val="18"/>
                <w:szCs w:val="18"/>
              </w:rPr>
            </w:pPr>
            <w:r w:rsidRPr="00557EDB">
              <w:rPr>
                <w:sz w:val="18"/>
                <w:szCs w:val="18"/>
              </w:rPr>
              <w:br w:type="page"/>
            </w:r>
            <w:r w:rsidRPr="00557EDB">
              <w:rPr>
                <w:b/>
                <w:sz w:val="18"/>
                <w:szCs w:val="18"/>
              </w:rPr>
              <w:t>Indicator Five</w:t>
            </w:r>
            <w:r w:rsidRPr="00557EDB">
              <w:rPr>
                <w:sz w:val="18"/>
                <w:szCs w:val="18"/>
              </w:rPr>
              <w:t>:  In</w:t>
            </w:r>
            <w:r>
              <w:rPr>
                <w:sz w:val="18"/>
                <w:szCs w:val="18"/>
              </w:rPr>
              <w:t>crease in the percentage of g</w:t>
            </w:r>
            <w:r w:rsidRPr="00557EDB">
              <w:rPr>
                <w:sz w:val="18"/>
                <w:szCs w:val="18"/>
              </w:rPr>
              <w:t>rade</w:t>
            </w:r>
            <w:r>
              <w:rPr>
                <w:sz w:val="18"/>
                <w:szCs w:val="18"/>
              </w:rPr>
              <w:t xml:space="preserve"> 9</w:t>
            </w:r>
            <w:r w:rsidRPr="00557EDB">
              <w:rPr>
                <w:sz w:val="18"/>
                <w:szCs w:val="18"/>
              </w:rPr>
              <w:t xml:space="preserve"> students </w:t>
            </w:r>
            <w:r w:rsidRPr="00557EDB">
              <w:rPr>
                <w:bCs/>
                <w:sz w:val="18"/>
                <w:szCs w:val="18"/>
              </w:rPr>
              <w:t xml:space="preserve">achieving </w:t>
            </w:r>
            <w:r>
              <w:rPr>
                <w:bCs/>
                <w:sz w:val="18"/>
                <w:szCs w:val="18"/>
              </w:rPr>
              <w:t xml:space="preserve">intermediate, </w:t>
            </w:r>
            <w:r w:rsidRPr="00557EDB">
              <w:rPr>
                <w:bCs/>
                <w:sz w:val="18"/>
                <w:szCs w:val="18"/>
              </w:rPr>
              <w:t xml:space="preserve">advanced </w:t>
            </w:r>
            <w:r>
              <w:rPr>
                <w:bCs/>
                <w:sz w:val="18"/>
                <w:szCs w:val="18"/>
              </w:rPr>
              <w:t xml:space="preserve">or above </w:t>
            </w:r>
            <w:r w:rsidRPr="00557EDB">
              <w:rPr>
                <w:bCs/>
                <w:sz w:val="18"/>
                <w:szCs w:val="18"/>
              </w:rPr>
              <w:t>proficiency levels standardized evaluations for Spanish and Mathematics</w:t>
            </w:r>
            <w:r>
              <w:rPr>
                <w:bCs/>
                <w:sz w:val="18"/>
                <w:szCs w:val="18"/>
              </w:rPr>
              <w:t>.</w:t>
            </w:r>
            <w:r w:rsidRPr="00557EDB" w:rsidDel="00934A0C">
              <w:rPr>
                <w:bCs/>
                <w:sz w:val="18"/>
                <w:szCs w:val="18"/>
              </w:rPr>
              <w:t xml:space="preserve"> </w:t>
            </w:r>
          </w:p>
        </w:tc>
        <w:tc>
          <w:tcPr>
            <w:tcW w:w="360" w:type="dxa"/>
            <w:tcBorders>
              <w:left w:val="double" w:sz="4" w:space="0" w:color="auto"/>
            </w:tcBorders>
            <w:vAlign w:val="center"/>
          </w:tcPr>
          <w:p w:rsidR="00FE5F42" w:rsidRPr="00290AF3" w:rsidRDefault="00FE5F42" w:rsidP="00956664">
            <w:pPr>
              <w:jc w:val="center"/>
              <w:rPr>
                <w:sz w:val="18"/>
                <w:szCs w:val="18"/>
              </w:rPr>
            </w:pPr>
          </w:p>
        </w:tc>
        <w:tc>
          <w:tcPr>
            <w:tcW w:w="767" w:type="dxa"/>
            <w:vAlign w:val="center"/>
          </w:tcPr>
          <w:p w:rsidR="00FE5F42" w:rsidRPr="00290AF3" w:rsidRDefault="00FE5F42" w:rsidP="00956664">
            <w:pPr>
              <w:pStyle w:val="FootnoteText"/>
              <w:jc w:val="center"/>
              <w:rPr>
                <w:sz w:val="18"/>
                <w:szCs w:val="18"/>
              </w:rPr>
            </w:pPr>
          </w:p>
        </w:tc>
        <w:tc>
          <w:tcPr>
            <w:tcW w:w="810" w:type="dxa"/>
            <w:tcBorders>
              <w:right w:val="double" w:sz="4" w:space="0" w:color="auto"/>
            </w:tcBorders>
            <w:vAlign w:val="center"/>
          </w:tcPr>
          <w:p w:rsidR="00FE5F42" w:rsidRPr="00290AF3" w:rsidRDefault="00FE5F42" w:rsidP="00956664">
            <w:pPr>
              <w:jc w:val="center"/>
              <w:rPr>
                <w:sz w:val="18"/>
                <w:szCs w:val="18"/>
              </w:rPr>
            </w:pPr>
          </w:p>
        </w:tc>
        <w:tc>
          <w:tcPr>
            <w:tcW w:w="810" w:type="dxa"/>
            <w:tcBorders>
              <w:left w:val="double" w:sz="4" w:space="0" w:color="auto"/>
            </w:tcBorders>
            <w:vAlign w:val="center"/>
          </w:tcPr>
          <w:p w:rsidR="00FE5F42" w:rsidRPr="00290AF3" w:rsidRDefault="00FE5F42" w:rsidP="00956664">
            <w:pPr>
              <w:rPr>
                <w:sz w:val="18"/>
                <w:szCs w:val="18"/>
              </w:rPr>
            </w:pPr>
          </w:p>
        </w:tc>
        <w:tc>
          <w:tcPr>
            <w:tcW w:w="810" w:type="dxa"/>
            <w:vAlign w:val="center"/>
          </w:tcPr>
          <w:p w:rsidR="00FE5F42" w:rsidRPr="00290AF3" w:rsidRDefault="00FE5F42" w:rsidP="00956664">
            <w:pPr>
              <w:jc w:val="center"/>
              <w:rPr>
                <w:sz w:val="18"/>
                <w:szCs w:val="18"/>
              </w:rPr>
            </w:pPr>
          </w:p>
        </w:tc>
        <w:tc>
          <w:tcPr>
            <w:tcW w:w="810" w:type="dxa"/>
            <w:vAlign w:val="center"/>
          </w:tcPr>
          <w:p w:rsidR="00FE5F42" w:rsidRPr="00290AF3" w:rsidRDefault="00FE5F42" w:rsidP="00956664">
            <w:pPr>
              <w:jc w:val="center"/>
              <w:rPr>
                <w:sz w:val="18"/>
                <w:szCs w:val="18"/>
              </w:rPr>
            </w:pPr>
          </w:p>
        </w:tc>
        <w:tc>
          <w:tcPr>
            <w:tcW w:w="810" w:type="dxa"/>
            <w:tcBorders>
              <w:right w:val="double" w:sz="4" w:space="0" w:color="auto"/>
            </w:tcBorders>
            <w:vAlign w:val="center"/>
          </w:tcPr>
          <w:p w:rsidR="00FE5F42" w:rsidRPr="00290AF3" w:rsidRDefault="00FE5F42" w:rsidP="004E34A7">
            <w:pPr>
              <w:jc w:val="center"/>
              <w:rPr>
                <w:sz w:val="18"/>
                <w:szCs w:val="18"/>
              </w:rPr>
            </w:pPr>
          </w:p>
        </w:tc>
        <w:tc>
          <w:tcPr>
            <w:tcW w:w="1102" w:type="dxa"/>
            <w:vMerge w:val="restart"/>
            <w:tcBorders>
              <w:left w:val="double" w:sz="4" w:space="0" w:color="auto"/>
            </w:tcBorders>
            <w:vAlign w:val="center"/>
          </w:tcPr>
          <w:p w:rsidR="00FE5F42" w:rsidRPr="00290AF3" w:rsidRDefault="00FE5F42" w:rsidP="00956664">
            <w:pPr>
              <w:rPr>
                <w:sz w:val="16"/>
                <w:szCs w:val="16"/>
              </w:rPr>
            </w:pPr>
            <w:r w:rsidRPr="00290AF3">
              <w:rPr>
                <w:sz w:val="16"/>
                <w:szCs w:val="16"/>
              </w:rPr>
              <w:t>Defined by M</w:t>
            </w:r>
            <w:r>
              <w:rPr>
                <w:sz w:val="16"/>
                <w:szCs w:val="16"/>
              </w:rPr>
              <w:t>INED</w:t>
            </w:r>
          </w:p>
        </w:tc>
        <w:tc>
          <w:tcPr>
            <w:tcW w:w="1060" w:type="dxa"/>
            <w:vMerge w:val="restart"/>
            <w:vAlign w:val="center"/>
          </w:tcPr>
          <w:p w:rsidR="00FE5F42" w:rsidRPr="00290AF3" w:rsidRDefault="00FE5F42" w:rsidP="00956664">
            <w:pPr>
              <w:rPr>
                <w:sz w:val="16"/>
                <w:szCs w:val="16"/>
              </w:rPr>
            </w:pPr>
            <w:r w:rsidRPr="00290AF3">
              <w:rPr>
                <w:bCs/>
                <w:sz w:val="16"/>
                <w:szCs w:val="16"/>
              </w:rPr>
              <w:t>Evaluation  Report</w:t>
            </w:r>
          </w:p>
        </w:tc>
        <w:tc>
          <w:tcPr>
            <w:tcW w:w="1078" w:type="dxa"/>
            <w:vMerge w:val="restart"/>
            <w:vAlign w:val="center"/>
          </w:tcPr>
          <w:p w:rsidR="00FE5F42" w:rsidRPr="00290AF3" w:rsidRDefault="00FE5F42" w:rsidP="00956664">
            <w:pPr>
              <w:rPr>
                <w:sz w:val="16"/>
                <w:szCs w:val="16"/>
              </w:rPr>
            </w:pPr>
            <w:r w:rsidRPr="00290AF3">
              <w:rPr>
                <w:sz w:val="16"/>
                <w:szCs w:val="16"/>
              </w:rPr>
              <w:t>Office of Learning Evaluations Directorate of Secondary and Department of Statistics</w:t>
            </w:r>
          </w:p>
        </w:tc>
        <w:tc>
          <w:tcPr>
            <w:tcW w:w="3150" w:type="dxa"/>
            <w:vMerge w:val="restart"/>
            <w:vAlign w:val="center"/>
          </w:tcPr>
          <w:p w:rsidR="00FE5F42" w:rsidRPr="00290AF3" w:rsidRDefault="00FE5F42" w:rsidP="00956664">
            <w:pPr>
              <w:rPr>
                <w:sz w:val="16"/>
                <w:szCs w:val="16"/>
              </w:rPr>
            </w:pPr>
            <w:r w:rsidRPr="00290AF3">
              <w:rPr>
                <w:sz w:val="16"/>
                <w:szCs w:val="16"/>
              </w:rPr>
              <w:t xml:space="preserve">The next assessment </w:t>
            </w:r>
            <w:r>
              <w:rPr>
                <w:sz w:val="16"/>
                <w:szCs w:val="16"/>
              </w:rPr>
              <w:t>would</w:t>
            </w:r>
            <w:r w:rsidRPr="00290AF3">
              <w:rPr>
                <w:sz w:val="16"/>
                <w:szCs w:val="16"/>
              </w:rPr>
              <w:t xml:space="preserve"> be carried out in 2015.  Baseline is 2010. The baseline is the sum of the two levels advance and excellence.  Tests conducted on a representative sample at national level.   </w:t>
            </w:r>
          </w:p>
        </w:tc>
      </w:tr>
      <w:tr w:rsidR="00FE5F42" w:rsidRPr="00EC012A" w:rsidTr="001D7F1C">
        <w:trPr>
          <w:trHeight w:val="64"/>
        </w:trPr>
        <w:tc>
          <w:tcPr>
            <w:tcW w:w="3196" w:type="dxa"/>
            <w:tcBorders>
              <w:right w:val="double" w:sz="4" w:space="0" w:color="auto"/>
            </w:tcBorders>
            <w:vAlign w:val="center"/>
          </w:tcPr>
          <w:p w:rsidR="00FE5F42" w:rsidRDefault="00FE5F42" w:rsidP="00956664">
            <w:pPr>
              <w:pStyle w:val="FootnoteText"/>
              <w:jc w:val="right"/>
            </w:pPr>
            <w:r>
              <w:t>Math</w:t>
            </w:r>
          </w:p>
        </w:tc>
        <w:tc>
          <w:tcPr>
            <w:tcW w:w="360" w:type="dxa"/>
            <w:tcBorders>
              <w:left w:val="double" w:sz="4" w:space="0" w:color="auto"/>
            </w:tcBorders>
            <w:vAlign w:val="center"/>
          </w:tcPr>
          <w:p w:rsidR="00FE5F42" w:rsidRPr="00290AF3" w:rsidRDefault="00FE5F42" w:rsidP="00956664">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767" w:type="dxa"/>
            <w:vAlign w:val="center"/>
          </w:tcPr>
          <w:p w:rsidR="00FE5F42" w:rsidRPr="00290AF3" w:rsidRDefault="00FE5F42" w:rsidP="00956664">
            <w:pPr>
              <w:pStyle w:val="FootnoteText"/>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956664">
            <w:pPr>
              <w:jc w:val="center"/>
              <w:rPr>
                <w:sz w:val="18"/>
                <w:szCs w:val="18"/>
              </w:rPr>
            </w:pPr>
            <w:r>
              <w:rPr>
                <w:sz w:val="18"/>
                <w:szCs w:val="18"/>
              </w:rPr>
              <w:t>51</w:t>
            </w:r>
            <w:r w:rsidRPr="00290AF3">
              <w:rPr>
                <w:sz w:val="18"/>
                <w:szCs w:val="18"/>
              </w:rPr>
              <w:t>.</w:t>
            </w:r>
            <w:r>
              <w:rPr>
                <w:sz w:val="18"/>
                <w:szCs w:val="18"/>
              </w:rPr>
              <w:t>2</w:t>
            </w:r>
          </w:p>
        </w:tc>
        <w:tc>
          <w:tcPr>
            <w:tcW w:w="810" w:type="dxa"/>
            <w:tcBorders>
              <w:left w:val="double" w:sz="4" w:space="0" w:color="auto"/>
            </w:tcBorders>
            <w:vAlign w:val="center"/>
          </w:tcPr>
          <w:p w:rsidR="00FE5F42" w:rsidRPr="00290AF3" w:rsidRDefault="00FE5F42" w:rsidP="00956664">
            <w:pPr>
              <w:rPr>
                <w:sz w:val="18"/>
                <w:szCs w:val="18"/>
              </w:rPr>
            </w:pPr>
            <w:r w:rsidRPr="00290AF3">
              <w:rPr>
                <w:sz w:val="18"/>
                <w:szCs w:val="18"/>
              </w:rPr>
              <w:t xml:space="preserve">   ---</w:t>
            </w:r>
          </w:p>
        </w:tc>
        <w:tc>
          <w:tcPr>
            <w:tcW w:w="810" w:type="dxa"/>
            <w:vAlign w:val="center"/>
          </w:tcPr>
          <w:p w:rsidR="00FE5F42" w:rsidRPr="00290AF3" w:rsidRDefault="00FE5F42" w:rsidP="00956664">
            <w:pPr>
              <w:jc w:val="center"/>
              <w:rPr>
                <w:sz w:val="18"/>
                <w:szCs w:val="18"/>
              </w:rPr>
            </w:pPr>
            <w:r w:rsidRPr="00290AF3">
              <w:rPr>
                <w:sz w:val="18"/>
                <w:szCs w:val="18"/>
              </w:rPr>
              <w:t>---</w:t>
            </w:r>
          </w:p>
        </w:tc>
        <w:tc>
          <w:tcPr>
            <w:tcW w:w="810" w:type="dxa"/>
            <w:vAlign w:val="center"/>
          </w:tcPr>
          <w:p w:rsidR="00FE5F42" w:rsidRPr="00290AF3" w:rsidRDefault="00FE5F42" w:rsidP="00956664">
            <w:pPr>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4E34A7">
            <w:pPr>
              <w:jc w:val="center"/>
              <w:rPr>
                <w:sz w:val="18"/>
                <w:szCs w:val="18"/>
              </w:rPr>
            </w:pPr>
            <w:r>
              <w:rPr>
                <w:sz w:val="18"/>
                <w:szCs w:val="18"/>
              </w:rPr>
              <w:t>53</w:t>
            </w:r>
          </w:p>
        </w:tc>
        <w:tc>
          <w:tcPr>
            <w:tcW w:w="1102" w:type="dxa"/>
            <w:vMerge/>
            <w:tcBorders>
              <w:left w:val="double" w:sz="4" w:space="0" w:color="auto"/>
            </w:tcBorders>
            <w:vAlign w:val="center"/>
          </w:tcPr>
          <w:p w:rsidR="00FE5F42" w:rsidRDefault="00FE5F42" w:rsidP="00956664">
            <w:pPr>
              <w:rPr>
                <w:sz w:val="18"/>
                <w:szCs w:val="18"/>
              </w:rPr>
            </w:pPr>
          </w:p>
        </w:tc>
        <w:tc>
          <w:tcPr>
            <w:tcW w:w="1060" w:type="dxa"/>
            <w:vMerge/>
            <w:vAlign w:val="center"/>
          </w:tcPr>
          <w:p w:rsidR="00FE5F42" w:rsidRDefault="00FE5F42" w:rsidP="00956664">
            <w:pPr>
              <w:rPr>
                <w:bCs/>
                <w:sz w:val="18"/>
                <w:szCs w:val="18"/>
              </w:rPr>
            </w:pPr>
          </w:p>
        </w:tc>
        <w:tc>
          <w:tcPr>
            <w:tcW w:w="1078" w:type="dxa"/>
            <w:vMerge/>
            <w:vAlign w:val="center"/>
          </w:tcPr>
          <w:p w:rsidR="00FE5F42" w:rsidRDefault="00FE5F42" w:rsidP="00956664">
            <w:pPr>
              <w:rPr>
                <w:sz w:val="18"/>
                <w:szCs w:val="18"/>
              </w:rPr>
            </w:pPr>
          </w:p>
        </w:tc>
        <w:tc>
          <w:tcPr>
            <w:tcW w:w="3150" w:type="dxa"/>
            <w:vMerge/>
            <w:vAlign w:val="center"/>
          </w:tcPr>
          <w:p w:rsidR="00FE5F42" w:rsidRPr="00D02ECB" w:rsidRDefault="00FE5F42" w:rsidP="00956664">
            <w:pPr>
              <w:rPr>
                <w:sz w:val="18"/>
                <w:szCs w:val="18"/>
              </w:rPr>
            </w:pPr>
          </w:p>
        </w:tc>
      </w:tr>
      <w:tr w:rsidR="00FE5F42" w:rsidRPr="00EC012A" w:rsidTr="001D7F1C">
        <w:trPr>
          <w:trHeight w:val="253"/>
        </w:trPr>
        <w:tc>
          <w:tcPr>
            <w:tcW w:w="3196" w:type="dxa"/>
            <w:tcBorders>
              <w:right w:val="double" w:sz="4" w:space="0" w:color="auto"/>
            </w:tcBorders>
            <w:vAlign w:val="center"/>
          </w:tcPr>
          <w:p w:rsidR="00FE5F42" w:rsidRDefault="00FE5F42" w:rsidP="00956664">
            <w:pPr>
              <w:pStyle w:val="FootnoteText"/>
              <w:jc w:val="right"/>
            </w:pPr>
            <w:r>
              <w:t>Language</w:t>
            </w:r>
          </w:p>
        </w:tc>
        <w:tc>
          <w:tcPr>
            <w:tcW w:w="360" w:type="dxa"/>
            <w:tcBorders>
              <w:left w:val="double" w:sz="4" w:space="0" w:color="auto"/>
            </w:tcBorders>
            <w:vAlign w:val="center"/>
          </w:tcPr>
          <w:p w:rsidR="00FE5F42" w:rsidRPr="00290AF3" w:rsidRDefault="00FE5F42" w:rsidP="00956664">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767" w:type="dxa"/>
            <w:vAlign w:val="center"/>
          </w:tcPr>
          <w:p w:rsidR="00FE5F42" w:rsidRPr="00290AF3" w:rsidRDefault="00FE5F42" w:rsidP="00956664">
            <w:pPr>
              <w:pStyle w:val="FootnoteText"/>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956664">
            <w:pPr>
              <w:jc w:val="center"/>
              <w:rPr>
                <w:sz w:val="18"/>
                <w:szCs w:val="18"/>
              </w:rPr>
            </w:pPr>
            <w:r>
              <w:rPr>
                <w:sz w:val="18"/>
                <w:szCs w:val="18"/>
              </w:rPr>
              <w:t>64.9</w:t>
            </w:r>
          </w:p>
        </w:tc>
        <w:tc>
          <w:tcPr>
            <w:tcW w:w="810" w:type="dxa"/>
            <w:tcBorders>
              <w:left w:val="double" w:sz="4" w:space="0" w:color="auto"/>
            </w:tcBorders>
            <w:vAlign w:val="center"/>
          </w:tcPr>
          <w:p w:rsidR="00FE5F42" w:rsidRPr="00290AF3" w:rsidRDefault="00FE5F42" w:rsidP="00956664">
            <w:pPr>
              <w:rPr>
                <w:sz w:val="18"/>
                <w:szCs w:val="18"/>
              </w:rPr>
            </w:pPr>
            <w:r w:rsidRPr="00290AF3">
              <w:rPr>
                <w:sz w:val="18"/>
                <w:szCs w:val="18"/>
              </w:rPr>
              <w:t xml:space="preserve">   ---</w:t>
            </w:r>
          </w:p>
        </w:tc>
        <w:tc>
          <w:tcPr>
            <w:tcW w:w="810" w:type="dxa"/>
            <w:vAlign w:val="center"/>
          </w:tcPr>
          <w:p w:rsidR="00FE5F42" w:rsidRPr="00290AF3" w:rsidRDefault="00FE5F42" w:rsidP="00956664">
            <w:pPr>
              <w:jc w:val="center"/>
              <w:rPr>
                <w:sz w:val="18"/>
                <w:szCs w:val="18"/>
              </w:rPr>
            </w:pPr>
            <w:r w:rsidRPr="00290AF3">
              <w:rPr>
                <w:sz w:val="18"/>
                <w:szCs w:val="18"/>
              </w:rPr>
              <w:t>---</w:t>
            </w:r>
          </w:p>
        </w:tc>
        <w:tc>
          <w:tcPr>
            <w:tcW w:w="810" w:type="dxa"/>
            <w:vAlign w:val="center"/>
          </w:tcPr>
          <w:p w:rsidR="00FE5F42" w:rsidRPr="00290AF3" w:rsidRDefault="00FE5F42" w:rsidP="00956664">
            <w:pPr>
              <w:jc w:val="center"/>
              <w:rPr>
                <w:sz w:val="18"/>
                <w:szCs w:val="18"/>
              </w:rPr>
            </w:pPr>
            <w:r w:rsidRPr="00290AF3">
              <w:rPr>
                <w:sz w:val="18"/>
                <w:szCs w:val="18"/>
              </w:rPr>
              <w:t>---</w:t>
            </w:r>
          </w:p>
        </w:tc>
        <w:tc>
          <w:tcPr>
            <w:tcW w:w="810" w:type="dxa"/>
            <w:tcBorders>
              <w:right w:val="double" w:sz="4" w:space="0" w:color="auto"/>
            </w:tcBorders>
            <w:vAlign w:val="center"/>
          </w:tcPr>
          <w:p w:rsidR="00FE5F42" w:rsidRPr="00290AF3" w:rsidRDefault="00FE5F42" w:rsidP="004E34A7">
            <w:pPr>
              <w:jc w:val="center"/>
              <w:rPr>
                <w:sz w:val="18"/>
                <w:szCs w:val="18"/>
              </w:rPr>
            </w:pPr>
            <w:r>
              <w:rPr>
                <w:sz w:val="18"/>
                <w:szCs w:val="18"/>
              </w:rPr>
              <w:t>66</w:t>
            </w:r>
          </w:p>
        </w:tc>
        <w:tc>
          <w:tcPr>
            <w:tcW w:w="1102" w:type="dxa"/>
            <w:vMerge/>
            <w:tcBorders>
              <w:left w:val="double" w:sz="4" w:space="0" w:color="auto"/>
            </w:tcBorders>
            <w:vAlign w:val="center"/>
          </w:tcPr>
          <w:p w:rsidR="00FE5F42" w:rsidRDefault="00FE5F42" w:rsidP="00956664">
            <w:pPr>
              <w:rPr>
                <w:sz w:val="18"/>
                <w:szCs w:val="18"/>
              </w:rPr>
            </w:pPr>
          </w:p>
        </w:tc>
        <w:tc>
          <w:tcPr>
            <w:tcW w:w="1060" w:type="dxa"/>
            <w:vMerge/>
            <w:vAlign w:val="center"/>
          </w:tcPr>
          <w:p w:rsidR="00FE5F42" w:rsidRDefault="00FE5F42" w:rsidP="00956664">
            <w:pPr>
              <w:rPr>
                <w:bCs/>
                <w:sz w:val="18"/>
                <w:szCs w:val="18"/>
              </w:rPr>
            </w:pPr>
          </w:p>
        </w:tc>
        <w:tc>
          <w:tcPr>
            <w:tcW w:w="1078" w:type="dxa"/>
            <w:vMerge/>
            <w:vAlign w:val="center"/>
          </w:tcPr>
          <w:p w:rsidR="00FE5F42" w:rsidRDefault="00FE5F42" w:rsidP="00956664">
            <w:pPr>
              <w:rPr>
                <w:sz w:val="18"/>
                <w:szCs w:val="18"/>
              </w:rPr>
            </w:pPr>
          </w:p>
        </w:tc>
        <w:tc>
          <w:tcPr>
            <w:tcW w:w="3150" w:type="dxa"/>
            <w:vMerge/>
            <w:vAlign w:val="center"/>
          </w:tcPr>
          <w:p w:rsidR="00FE5F42" w:rsidRPr="00041491" w:rsidRDefault="00FE5F42" w:rsidP="00956664">
            <w:pPr>
              <w:rPr>
                <w:sz w:val="20"/>
                <w:szCs w:val="20"/>
              </w:rPr>
            </w:pPr>
          </w:p>
        </w:tc>
      </w:tr>
    </w:tbl>
    <w:tbl>
      <w:tblPr>
        <w:tblpPr w:leftFromText="180" w:rightFromText="180" w:horzAnchor="margin" w:tblpXSpec="center" w:tblpY="687"/>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357"/>
        <w:gridCol w:w="916"/>
        <w:gridCol w:w="1015"/>
        <w:gridCol w:w="810"/>
        <w:gridCol w:w="810"/>
        <w:gridCol w:w="810"/>
        <w:gridCol w:w="750"/>
        <w:gridCol w:w="1194"/>
        <w:gridCol w:w="1316"/>
        <w:gridCol w:w="1351"/>
        <w:gridCol w:w="18"/>
        <w:gridCol w:w="2643"/>
      </w:tblGrid>
      <w:tr w:rsidR="0007563D" w:rsidRPr="00BC5E90" w:rsidTr="00907A0A">
        <w:trPr>
          <w:trHeight w:val="73"/>
        </w:trPr>
        <w:tc>
          <w:tcPr>
            <w:tcW w:w="3220" w:type="dxa"/>
            <w:vMerge w:val="restart"/>
            <w:tcBorders>
              <w:right w:val="double" w:sz="4" w:space="0" w:color="auto"/>
            </w:tcBorders>
            <w:shd w:val="clear" w:color="auto" w:fill="FFFFFF"/>
            <w:vAlign w:val="center"/>
          </w:tcPr>
          <w:p w:rsidR="0007563D" w:rsidRPr="006531A8" w:rsidRDefault="0007563D" w:rsidP="0007563D">
            <w:pPr>
              <w:jc w:val="center"/>
              <w:rPr>
                <w:b/>
                <w:bCs/>
                <w:sz w:val="18"/>
                <w:szCs w:val="18"/>
              </w:rPr>
            </w:pPr>
          </w:p>
        </w:tc>
        <w:tc>
          <w:tcPr>
            <w:tcW w:w="357" w:type="dxa"/>
            <w:vMerge w:val="restart"/>
            <w:tcBorders>
              <w:left w:val="double" w:sz="4" w:space="0" w:color="auto"/>
            </w:tcBorders>
            <w:shd w:val="clear" w:color="auto" w:fill="FFFFFF"/>
            <w:textDirection w:val="btLr"/>
            <w:vAlign w:val="center"/>
          </w:tcPr>
          <w:p w:rsidR="0007563D" w:rsidRPr="006531A8" w:rsidRDefault="0007563D" w:rsidP="0007563D">
            <w:pPr>
              <w:ind w:left="-108" w:right="-108"/>
              <w:jc w:val="center"/>
              <w:rPr>
                <w:b/>
                <w:bCs/>
                <w:sz w:val="18"/>
                <w:szCs w:val="18"/>
              </w:rPr>
            </w:pPr>
            <w:r w:rsidRPr="006531A8">
              <w:rPr>
                <w:b/>
                <w:bCs/>
                <w:sz w:val="18"/>
                <w:szCs w:val="18"/>
              </w:rPr>
              <w:t>Core</w:t>
            </w:r>
          </w:p>
        </w:tc>
        <w:tc>
          <w:tcPr>
            <w:tcW w:w="916" w:type="dxa"/>
            <w:vMerge w:val="restart"/>
            <w:shd w:val="clear" w:color="auto" w:fill="FFFFFF"/>
            <w:vAlign w:val="center"/>
          </w:tcPr>
          <w:p w:rsidR="0007563D" w:rsidRPr="006531A8" w:rsidRDefault="0007563D" w:rsidP="0007563D">
            <w:pPr>
              <w:ind w:left="-108" w:right="-108"/>
              <w:jc w:val="center"/>
              <w:rPr>
                <w:b/>
                <w:bCs/>
                <w:sz w:val="18"/>
                <w:szCs w:val="18"/>
              </w:rPr>
            </w:pPr>
            <w:r w:rsidRPr="006531A8">
              <w:rPr>
                <w:b/>
                <w:bCs/>
                <w:sz w:val="18"/>
                <w:szCs w:val="18"/>
              </w:rPr>
              <w:t>Unit of Measure</w:t>
            </w:r>
          </w:p>
        </w:tc>
        <w:tc>
          <w:tcPr>
            <w:tcW w:w="1015" w:type="dxa"/>
            <w:vMerge w:val="restart"/>
            <w:tcBorders>
              <w:right w:val="double" w:sz="4" w:space="0" w:color="auto"/>
            </w:tcBorders>
            <w:shd w:val="clear" w:color="auto" w:fill="FFFFFF"/>
            <w:vAlign w:val="center"/>
          </w:tcPr>
          <w:p w:rsidR="0007563D" w:rsidRPr="006531A8" w:rsidRDefault="0007563D" w:rsidP="0007563D">
            <w:pPr>
              <w:jc w:val="center"/>
              <w:rPr>
                <w:b/>
                <w:bCs/>
                <w:sz w:val="18"/>
                <w:szCs w:val="18"/>
              </w:rPr>
            </w:pPr>
            <w:r w:rsidRPr="006531A8">
              <w:rPr>
                <w:b/>
                <w:bCs/>
                <w:sz w:val="18"/>
                <w:szCs w:val="18"/>
              </w:rPr>
              <w:t>Base</w:t>
            </w:r>
          </w:p>
          <w:p w:rsidR="0007563D" w:rsidRPr="006531A8" w:rsidRDefault="0007563D" w:rsidP="0007563D">
            <w:pPr>
              <w:jc w:val="center"/>
              <w:rPr>
                <w:b/>
                <w:bCs/>
                <w:sz w:val="18"/>
                <w:szCs w:val="18"/>
              </w:rPr>
            </w:pPr>
            <w:r w:rsidRPr="006531A8">
              <w:rPr>
                <w:b/>
                <w:bCs/>
                <w:sz w:val="18"/>
                <w:szCs w:val="18"/>
              </w:rPr>
              <w:t>line</w:t>
            </w:r>
          </w:p>
        </w:tc>
        <w:tc>
          <w:tcPr>
            <w:tcW w:w="3180" w:type="dxa"/>
            <w:gridSpan w:val="4"/>
            <w:tcBorders>
              <w:right w:val="double" w:sz="4" w:space="0" w:color="auto"/>
            </w:tcBorders>
            <w:shd w:val="clear" w:color="auto" w:fill="FFFFFF"/>
            <w:vAlign w:val="center"/>
          </w:tcPr>
          <w:p w:rsidR="0007563D" w:rsidRPr="006531A8" w:rsidRDefault="0007563D" w:rsidP="0007563D">
            <w:pPr>
              <w:jc w:val="center"/>
              <w:rPr>
                <w:b/>
                <w:bCs/>
                <w:sz w:val="18"/>
                <w:szCs w:val="18"/>
              </w:rPr>
            </w:pPr>
            <w:r w:rsidRPr="006531A8">
              <w:rPr>
                <w:b/>
                <w:bCs/>
                <w:sz w:val="18"/>
                <w:szCs w:val="18"/>
              </w:rPr>
              <w:t>Cumulative Target Values</w:t>
            </w:r>
          </w:p>
        </w:tc>
        <w:tc>
          <w:tcPr>
            <w:tcW w:w="1194" w:type="dxa"/>
            <w:vMerge w:val="restart"/>
            <w:tcBorders>
              <w:left w:val="double" w:sz="4" w:space="0" w:color="auto"/>
            </w:tcBorders>
            <w:shd w:val="clear" w:color="auto" w:fill="FFFFFF"/>
            <w:vAlign w:val="center"/>
          </w:tcPr>
          <w:p w:rsidR="0007563D" w:rsidRPr="006531A8" w:rsidRDefault="0007563D" w:rsidP="0007563D">
            <w:pPr>
              <w:jc w:val="center"/>
              <w:rPr>
                <w:b/>
                <w:bCs/>
                <w:sz w:val="18"/>
                <w:szCs w:val="18"/>
              </w:rPr>
            </w:pPr>
            <w:r w:rsidRPr="006531A8">
              <w:rPr>
                <w:b/>
                <w:bCs/>
                <w:sz w:val="18"/>
                <w:szCs w:val="18"/>
              </w:rPr>
              <w:t>Frequency</w:t>
            </w:r>
          </w:p>
        </w:tc>
        <w:tc>
          <w:tcPr>
            <w:tcW w:w="1316" w:type="dxa"/>
            <w:vMerge w:val="restart"/>
            <w:shd w:val="clear" w:color="auto" w:fill="FFFFFF"/>
            <w:vAlign w:val="center"/>
          </w:tcPr>
          <w:p w:rsidR="0007563D" w:rsidRPr="006531A8" w:rsidRDefault="0007563D" w:rsidP="0007563D">
            <w:pPr>
              <w:jc w:val="center"/>
              <w:rPr>
                <w:b/>
                <w:bCs/>
                <w:sz w:val="18"/>
                <w:szCs w:val="18"/>
              </w:rPr>
            </w:pPr>
            <w:r w:rsidRPr="006531A8">
              <w:rPr>
                <w:b/>
                <w:bCs/>
                <w:sz w:val="18"/>
                <w:szCs w:val="18"/>
              </w:rPr>
              <w:t>Data Source/</w:t>
            </w:r>
          </w:p>
        </w:tc>
        <w:tc>
          <w:tcPr>
            <w:tcW w:w="1351" w:type="dxa"/>
            <w:vMerge w:val="restart"/>
            <w:shd w:val="clear" w:color="auto" w:fill="FFFFFF"/>
            <w:vAlign w:val="center"/>
          </w:tcPr>
          <w:p w:rsidR="0007563D" w:rsidRPr="006531A8" w:rsidRDefault="0007563D" w:rsidP="0007563D">
            <w:pPr>
              <w:jc w:val="center"/>
              <w:rPr>
                <w:b/>
                <w:bCs/>
                <w:sz w:val="18"/>
                <w:szCs w:val="18"/>
              </w:rPr>
            </w:pPr>
            <w:r w:rsidRPr="006531A8">
              <w:rPr>
                <w:b/>
                <w:bCs/>
                <w:sz w:val="18"/>
                <w:szCs w:val="18"/>
              </w:rPr>
              <w:t>Data Collection</w:t>
            </w:r>
          </w:p>
        </w:tc>
        <w:tc>
          <w:tcPr>
            <w:tcW w:w="2661" w:type="dxa"/>
            <w:gridSpan w:val="2"/>
            <w:vMerge w:val="restart"/>
            <w:shd w:val="clear" w:color="auto" w:fill="FFFFFF"/>
            <w:vAlign w:val="center"/>
          </w:tcPr>
          <w:p w:rsidR="0007563D" w:rsidRPr="006531A8" w:rsidRDefault="0007563D" w:rsidP="0007563D">
            <w:pPr>
              <w:jc w:val="center"/>
              <w:rPr>
                <w:b/>
                <w:bCs/>
                <w:sz w:val="18"/>
                <w:szCs w:val="18"/>
              </w:rPr>
            </w:pPr>
            <w:r w:rsidRPr="006531A8">
              <w:rPr>
                <w:b/>
                <w:bCs/>
                <w:sz w:val="18"/>
                <w:szCs w:val="18"/>
              </w:rPr>
              <w:t>Description (indicator</w:t>
            </w:r>
          </w:p>
          <w:p w:rsidR="0007563D" w:rsidRPr="006531A8" w:rsidRDefault="0007563D" w:rsidP="0007563D">
            <w:pPr>
              <w:jc w:val="center"/>
              <w:rPr>
                <w:b/>
                <w:bCs/>
                <w:sz w:val="18"/>
                <w:szCs w:val="18"/>
              </w:rPr>
            </w:pPr>
            <w:proofErr w:type="gramStart"/>
            <w:r w:rsidRPr="006531A8">
              <w:rPr>
                <w:b/>
                <w:bCs/>
                <w:sz w:val="18"/>
                <w:szCs w:val="18"/>
              </w:rPr>
              <w:t>definition</w:t>
            </w:r>
            <w:proofErr w:type="gramEnd"/>
            <w:r w:rsidRPr="006531A8">
              <w:rPr>
                <w:b/>
                <w:bCs/>
                <w:sz w:val="18"/>
                <w:szCs w:val="18"/>
              </w:rPr>
              <w:t xml:space="preserve"> etc.)</w:t>
            </w:r>
          </w:p>
        </w:tc>
      </w:tr>
      <w:tr w:rsidR="0087397A" w:rsidRPr="00BC5E90" w:rsidTr="00907A0A">
        <w:trPr>
          <w:trHeight w:val="485"/>
        </w:trPr>
        <w:tc>
          <w:tcPr>
            <w:tcW w:w="3220" w:type="dxa"/>
            <w:vMerge/>
            <w:tcBorders>
              <w:right w:val="double" w:sz="4" w:space="0" w:color="auto"/>
            </w:tcBorders>
            <w:shd w:val="clear" w:color="auto" w:fill="FFFFFF"/>
            <w:vAlign w:val="center"/>
          </w:tcPr>
          <w:p w:rsidR="0087397A" w:rsidRPr="00BC5E90" w:rsidRDefault="0087397A" w:rsidP="00956664">
            <w:pPr>
              <w:rPr>
                <w:b/>
                <w:bCs/>
              </w:rPr>
            </w:pPr>
          </w:p>
        </w:tc>
        <w:tc>
          <w:tcPr>
            <w:tcW w:w="357" w:type="dxa"/>
            <w:vMerge/>
            <w:tcBorders>
              <w:left w:val="double" w:sz="4" w:space="0" w:color="auto"/>
            </w:tcBorders>
            <w:shd w:val="clear" w:color="auto" w:fill="FFFFFF"/>
            <w:vAlign w:val="center"/>
          </w:tcPr>
          <w:p w:rsidR="0087397A" w:rsidRPr="00BC5E90" w:rsidRDefault="0087397A" w:rsidP="00956664"/>
        </w:tc>
        <w:tc>
          <w:tcPr>
            <w:tcW w:w="916" w:type="dxa"/>
            <w:vMerge/>
            <w:shd w:val="clear" w:color="auto" w:fill="FFFFFF"/>
            <w:vAlign w:val="center"/>
          </w:tcPr>
          <w:p w:rsidR="0087397A" w:rsidRPr="00BC5E90" w:rsidRDefault="0087397A" w:rsidP="00956664">
            <w:pPr>
              <w:rPr>
                <w:bCs/>
              </w:rPr>
            </w:pPr>
          </w:p>
        </w:tc>
        <w:tc>
          <w:tcPr>
            <w:tcW w:w="1015" w:type="dxa"/>
            <w:vMerge/>
            <w:tcBorders>
              <w:right w:val="double" w:sz="4" w:space="0" w:color="auto"/>
            </w:tcBorders>
            <w:shd w:val="clear" w:color="auto" w:fill="FFFFFF"/>
            <w:vAlign w:val="center"/>
          </w:tcPr>
          <w:p w:rsidR="0087397A" w:rsidRPr="00BC5E90" w:rsidRDefault="0087397A" w:rsidP="00956664">
            <w:pPr>
              <w:rPr>
                <w:bCs/>
              </w:rPr>
            </w:pPr>
          </w:p>
        </w:tc>
        <w:tc>
          <w:tcPr>
            <w:tcW w:w="810" w:type="dxa"/>
            <w:shd w:val="clear" w:color="auto" w:fill="FFFFFF"/>
            <w:vAlign w:val="center"/>
          </w:tcPr>
          <w:p w:rsidR="0087397A" w:rsidRPr="006531A8" w:rsidRDefault="0087397A" w:rsidP="0007563D">
            <w:pPr>
              <w:jc w:val="center"/>
              <w:rPr>
                <w:b/>
                <w:bCs/>
                <w:sz w:val="18"/>
                <w:szCs w:val="18"/>
              </w:rPr>
            </w:pPr>
            <w:r w:rsidRPr="006531A8">
              <w:rPr>
                <w:b/>
                <w:bCs/>
                <w:sz w:val="18"/>
                <w:szCs w:val="18"/>
              </w:rPr>
              <w:t>YR 1</w:t>
            </w:r>
          </w:p>
          <w:p w:rsidR="0087397A" w:rsidRPr="006531A8" w:rsidRDefault="0087397A" w:rsidP="0007563D">
            <w:pPr>
              <w:jc w:val="center"/>
              <w:rPr>
                <w:b/>
                <w:bCs/>
                <w:sz w:val="18"/>
                <w:szCs w:val="18"/>
              </w:rPr>
            </w:pPr>
            <w:r w:rsidRPr="006531A8">
              <w:rPr>
                <w:b/>
                <w:bCs/>
                <w:sz w:val="18"/>
                <w:szCs w:val="18"/>
              </w:rPr>
              <w:t>201</w:t>
            </w:r>
            <w:r>
              <w:rPr>
                <w:b/>
                <w:bCs/>
                <w:sz w:val="18"/>
                <w:szCs w:val="18"/>
              </w:rPr>
              <w:t>3</w:t>
            </w:r>
          </w:p>
        </w:tc>
        <w:tc>
          <w:tcPr>
            <w:tcW w:w="810" w:type="dxa"/>
            <w:shd w:val="clear" w:color="auto" w:fill="FFFFFF"/>
            <w:vAlign w:val="center"/>
          </w:tcPr>
          <w:p w:rsidR="0087397A" w:rsidRPr="006531A8" w:rsidRDefault="0087397A" w:rsidP="0007563D">
            <w:pPr>
              <w:jc w:val="center"/>
              <w:rPr>
                <w:b/>
                <w:bCs/>
                <w:sz w:val="18"/>
                <w:szCs w:val="18"/>
              </w:rPr>
            </w:pPr>
            <w:r>
              <w:rPr>
                <w:b/>
                <w:bCs/>
                <w:sz w:val="18"/>
                <w:szCs w:val="18"/>
              </w:rPr>
              <w:t>YR 2</w:t>
            </w:r>
          </w:p>
          <w:p w:rsidR="0087397A" w:rsidRPr="006531A8" w:rsidRDefault="0087397A" w:rsidP="0007563D">
            <w:pPr>
              <w:jc w:val="center"/>
              <w:rPr>
                <w:b/>
                <w:bCs/>
                <w:sz w:val="18"/>
                <w:szCs w:val="18"/>
              </w:rPr>
            </w:pPr>
            <w:r w:rsidRPr="006531A8">
              <w:rPr>
                <w:b/>
                <w:bCs/>
                <w:sz w:val="18"/>
                <w:szCs w:val="18"/>
              </w:rPr>
              <w:t>201</w:t>
            </w:r>
            <w:r>
              <w:rPr>
                <w:b/>
                <w:bCs/>
                <w:sz w:val="18"/>
                <w:szCs w:val="18"/>
              </w:rPr>
              <w:t>4</w:t>
            </w:r>
          </w:p>
        </w:tc>
        <w:tc>
          <w:tcPr>
            <w:tcW w:w="810" w:type="dxa"/>
            <w:shd w:val="clear" w:color="auto" w:fill="FFFFFF"/>
            <w:vAlign w:val="center"/>
          </w:tcPr>
          <w:p w:rsidR="0087397A" w:rsidRPr="006531A8" w:rsidRDefault="0087397A" w:rsidP="0007563D">
            <w:pPr>
              <w:jc w:val="center"/>
              <w:rPr>
                <w:b/>
                <w:bCs/>
                <w:sz w:val="18"/>
                <w:szCs w:val="18"/>
              </w:rPr>
            </w:pPr>
            <w:r>
              <w:rPr>
                <w:b/>
                <w:bCs/>
                <w:sz w:val="18"/>
                <w:szCs w:val="18"/>
              </w:rPr>
              <w:t>YR 3</w:t>
            </w:r>
          </w:p>
          <w:p w:rsidR="0087397A" w:rsidRPr="006531A8" w:rsidRDefault="0087397A" w:rsidP="0007563D">
            <w:pPr>
              <w:jc w:val="center"/>
              <w:rPr>
                <w:b/>
                <w:bCs/>
                <w:sz w:val="18"/>
                <w:szCs w:val="18"/>
              </w:rPr>
            </w:pPr>
            <w:r w:rsidRPr="006531A8">
              <w:rPr>
                <w:b/>
                <w:bCs/>
                <w:sz w:val="18"/>
                <w:szCs w:val="18"/>
              </w:rPr>
              <w:t>201</w:t>
            </w:r>
            <w:r>
              <w:rPr>
                <w:b/>
                <w:bCs/>
                <w:sz w:val="18"/>
                <w:szCs w:val="18"/>
              </w:rPr>
              <w:t>5</w:t>
            </w:r>
          </w:p>
        </w:tc>
        <w:tc>
          <w:tcPr>
            <w:tcW w:w="750" w:type="dxa"/>
            <w:tcBorders>
              <w:right w:val="double" w:sz="4" w:space="0" w:color="auto"/>
            </w:tcBorders>
            <w:shd w:val="clear" w:color="auto" w:fill="FFFFFF"/>
            <w:vAlign w:val="center"/>
          </w:tcPr>
          <w:p w:rsidR="0087397A" w:rsidRPr="006531A8" w:rsidRDefault="0087397A" w:rsidP="0007563D">
            <w:pPr>
              <w:jc w:val="center"/>
              <w:rPr>
                <w:b/>
                <w:bCs/>
                <w:sz w:val="18"/>
                <w:szCs w:val="18"/>
              </w:rPr>
            </w:pPr>
            <w:r w:rsidRPr="006531A8">
              <w:rPr>
                <w:b/>
                <w:bCs/>
                <w:sz w:val="18"/>
                <w:szCs w:val="18"/>
              </w:rPr>
              <w:t>YR</w:t>
            </w:r>
            <w:r>
              <w:rPr>
                <w:b/>
                <w:bCs/>
                <w:sz w:val="18"/>
                <w:szCs w:val="18"/>
              </w:rPr>
              <w:t>4</w:t>
            </w:r>
          </w:p>
          <w:p w:rsidR="0087397A" w:rsidRPr="006531A8" w:rsidRDefault="0087397A" w:rsidP="0087397A">
            <w:pPr>
              <w:jc w:val="center"/>
              <w:rPr>
                <w:b/>
                <w:bCs/>
                <w:sz w:val="18"/>
                <w:szCs w:val="18"/>
              </w:rPr>
            </w:pPr>
            <w:r w:rsidRPr="006531A8">
              <w:rPr>
                <w:b/>
                <w:bCs/>
                <w:sz w:val="18"/>
                <w:szCs w:val="18"/>
              </w:rPr>
              <w:t>201</w:t>
            </w:r>
            <w:r>
              <w:rPr>
                <w:b/>
                <w:bCs/>
                <w:sz w:val="18"/>
                <w:szCs w:val="18"/>
              </w:rPr>
              <w:t>6</w:t>
            </w:r>
          </w:p>
        </w:tc>
        <w:tc>
          <w:tcPr>
            <w:tcW w:w="1194" w:type="dxa"/>
            <w:vMerge/>
            <w:tcBorders>
              <w:left w:val="double" w:sz="4" w:space="0" w:color="auto"/>
            </w:tcBorders>
            <w:shd w:val="clear" w:color="auto" w:fill="FFFFFF"/>
            <w:vAlign w:val="center"/>
          </w:tcPr>
          <w:p w:rsidR="0087397A" w:rsidRPr="00BC5E90" w:rsidRDefault="0087397A" w:rsidP="00956664">
            <w:pPr>
              <w:rPr>
                <w:lang w:val="es-ES"/>
              </w:rPr>
            </w:pPr>
          </w:p>
        </w:tc>
        <w:tc>
          <w:tcPr>
            <w:tcW w:w="1316" w:type="dxa"/>
            <w:vMerge/>
            <w:shd w:val="clear" w:color="auto" w:fill="FFFFFF"/>
            <w:vAlign w:val="center"/>
          </w:tcPr>
          <w:p w:rsidR="0087397A" w:rsidRPr="00BC5E90" w:rsidRDefault="0087397A" w:rsidP="00956664">
            <w:pPr>
              <w:rPr>
                <w:bCs/>
              </w:rPr>
            </w:pPr>
          </w:p>
        </w:tc>
        <w:tc>
          <w:tcPr>
            <w:tcW w:w="1351" w:type="dxa"/>
            <w:vMerge/>
            <w:shd w:val="clear" w:color="auto" w:fill="FFFFFF"/>
            <w:vAlign w:val="center"/>
          </w:tcPr>
          <w:p w:rsidR="0087397A" w:rsidRPr="00BC5E90" w:rsidRDefault="0087397A" w:rsidP="00956664"/>
        </w:tc>
        <w:tc>
          <w:tcPr>
            <w:tcW w:w="2661" w:type="dxa"/>
            <w:gridSpan w:val="2"/>
            <w:vMerge/>
            <w:shd w:val="clear" w:color="auto" w:fill="FFFFFF"/>
            <w:vAlign w:val="center"/>
          </w:tcPr>
          <w:p w:rsidR="0087397A" w:rsidRPr="00BC5E90" w:rsidRDefault="0087397A" w:rsidP="00956664"/>
        </w:tc>
      </w:tr>
      <w:tr w:rsidR="0025560D" w:rsidRPr="00BC5E90" w:rsidTr="00EA0A6C">
        <w:trPr>
          <w:trHeight w:val="287"/>
        </w:trPr>
        <w:tc>
          <w:tcPr>
            <w:tcW w:w="15210" w:type="dxa"/>
            <w:gridSpan w:val="13"/>
            <w:vAlign w:val="center"/>
          </w:tcPr>
          <w:p w:rsidR="0025560D" w:rsidRPr="00B42847" w:rsidRDefault="0025560D" w:rsidP="0025560D">
            <w:pPr>
              <w:jc w:val="center"/>
              <w:rPr>
                <w:b/>
                <w:sz w:val="20"/>
                <w:szCs w:val="20"/>
              </w:rPr>
            </w:pPr>
            <w:r w:rsidRPr="00BC5E90">
              <w:rPr>
                <w:b/>
                <w:bCs/>
              </w:rPr>
              <w:t>INTERMEDIATE RESULT</w:t>
            </w:r>
            <w:r>
              <w:rPr>
                <w:b/>
                <w:bCs/>
              </w:rPr>
              <w:t xml:space="preserve"> INDICATORS</w:t>
            </w:r>
          </w:p>
        </w:tc>
      </w:tr>
      <w:tr w:rsidR="00AE7ECE" w:rsidRPr="00BC5E90" w:rsidTr="00EA0A6C">
        <w:trPr>
          <w:trHeight w:val="287"/>
        </w:trPr>
        <w:tc>
          <w:tcPr>
            <w:tcW w:w="15210" w:type="dxa"/>
            <w:gridSpan w:val="13"/>
            <w:vAlign w:val="center"/>
          </w:tcPr>
          <w:p w:rsidR="00AE7ECE" w:rsidRPr="00B42847" w:rsidRDefault="00AE7ECE" w:rsidP="00956664">
            <w:pPr>
              <w:rPr>
                <w:b/>
                <w:bCs/>
                <w:sz w:val="20"/>
                <w:szCs w:val="20"/>
              </w:rPr>
            </w:pPr>
            <w:r w:rsidRPr="00B42847">
              <w:rPr>
                <w:b/>
                <w:sz w:val="20"/>
                <w:szCs w:val="20"/>
              </w:rPr>
              <w:t xml:space="preserve">Intermediate Results (Component One): </w:t>
            </w:r>
            <w:r w:rsidRPr="00B42847">
              <w:rPr>
                <w:bCs/>
                <w:sz w:val="20"/>
                <w:szCs w:val="20"/>
              </w:rPr>
              <w:t>Increasing Access and</w:t>
            </w:r>
            <w:r>
              <w:rPr>
                <w:bCs/>
                <w:sz w:val="20"/>
                <w:szCs w:val="20"/>
              </w:rPr>
              <w:t xml:space="preserve"> Improving</w:t>
            </w:r>
            <w:r w:rsidRPr="00B42847">
              <w:rPr>
                <w:bCs/>
                <w:sz w:val="20"/>
                <w:szCs w:val="20"/>
              </w:rPr>
              <w:t xml:space="preserve"> </w:t>
            </w:r>
            <w:r>
              <w:rPr>
                <w:bCs/>
                <w:sz w:val="20"/>
                <w:szCs w:val="20"/>
              </w:rPr>
              <w:t>Learning Conditions</w:t>
            </w:r>
            <w:r w:rsidRPr="00B42847">
              <w:rPr>
                <w:bCs/>
                <w:sz w:val="20"/>
                <w:szCs w:val="20"/>
              </w:rPr>
              <w:t xml:space="preserve"> of </w:t>
            </w:r>
            <w:r>
              <w:rPr>
                <w:bCs/>
                <w:sz w:val="20"/>
                <w:szCs w:val="20"/>
              </w:rPr>
              <w:t>Preschool</w:t>
            </w:r>
            <w:r w:rsidRPr="00B42847">
              <w:rPr>
                <w:bCs/>
                <w:sz w:val="20"/>
                <w:szCs w:val="20"/>
              </w:rPr>
              <w:t xml:space="preserve"> Education</w:t>
            </w:r>
          </w:p>
        </w:tc>
      </w:tr>
      <w:tr w:rsidR="00FE5F42" w:rsidRPr="00BC5E90" w:rsidTr="00907A0A">
        <w:trPr>
          <w:trHeight w:val="395"/>
        </w:trPr>
        <w:tc>
          <w:tcPr>
            <w:tcW w:w="3220" w:type="dxa"/>
            <w:tcBorders>
              <w:right w:val="double" w:sz="4" w:space="0" w:color="auto"/>
            </w:tcBorders>
            <w:vAlign w:val="center"/>
          </w:tcPr>
          <w:p w:rsidR="00FE5F42" w:rsidRPr="00295C05" w:rsidRDefault="00FE5F42" w:rsidP="00FE5F42">
            <w:pPr>
              <w:rPr>
                <w:sz w:val="20"/>
                <w:szCs w:val="20"/>
              </w:rPr>
            </w:pPr>
            <w:r w:rsidRPr="00664FCA">
              <w:rPr>
                <w:sz w:val="20"/>
                <w:szCs w:val="20"/>
              </w:rPr>
              <w:t>Intermediate Result indicator one</w:t>
            </w:r>
            <w:r w:rsidRPr="00295C05">
              <w:rPr>
                <w:sz w:val="20"/>
                <w:szCs w:val="20"/>
              </w:rPr>
              <w:t>:</w:t>
            </w:r>
          </w:p>
          <w:p w:rsidR="00FE5F42" w:rsidRPr="00BC5E90" w:rsidRDefault="00FE5F42" w:rsidP="00FE5F42">
            <w:pPr>
              <w:rPr>
                <w:bCs/>
                <w:sz w:val="20"/>
                <w:szCs w:val="20"/>
              </w:rPr>
            </w:pPr>
            <w:r w:rsidRPr="00276A86">
              <w:rPr>
                <w:bCs/>
                <w:sz w:val="20"/>
                <w:szCs w:val="20"/>
              </w:rPr>
              <w:t xml:space="preserve">Number of </w:t>
            </w:r>
            <w:r>
              <w:rPr>
                <w:bCs/>
                <w:sz w:val="20"/>
                <w:szCs w:val="20"/>
              </w:rPr>
              <w:t>preschool classrooms and complementary facilities</w:t>
            </w:r>
            <w:r w:rsidRPr="00276A86">
              <w:rPr>
                <w:bCs/>
                <w:sz w:val="20"/>
                <w:szCs w:val="20"/>
              </w:rPr>
              <w:t xml:space="preserve"> improved and equipped in </w:t>
            </w:r>
            <w:r>
              <w:rPr>
                <w:bCs/>
                <w:sz w:val="20"/>
                <w:szCs w:val="20"/>
              </w:rPr>
              <w:t>selected</w:t>
            </w:r>
            <w:r w:rsidRPr="00276A86">
              <w:rPr>
                <w:bCs/>
                <w:sz w:val="20"/>
                <w:szCs w:val="20"/>
              </w:rPr>
              <w:t xml:space="preserve"> municipalities</w:t>
            </w:r>
            <w:r w:rsidRPr="00BC5E90">
              <w:rPr>
                <w:bCs/>
                <w:sz w:val="20"/>
                <w:szCs w:val="20"/>
              </w:rPr>
              <w:t>.</w:t>
            </w:r>
          </w:p>
        </w:tc>
        <w:tc>
          <w:tcPr>
            <w:tcW w:w="357"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16" w:type="dxa"/>
            <w:vAlign w:val="center"/>
          </w:tcPr>
          <w:p w:rsidR="00FE5F42" w:rsidRPr="00290AF3" w:rsidRDefault="00FE5F42" w:rsidP="00FE5F42">
            <w:pPr>
              <w:rPr>
                <w:bCs/>
                <w:sz w:val="18"/>
                <w:szCs w:val="18"/>
              </w:rPr>
            </w:pPr>
            <w:r w:rsidRPr="00290AF3">
              <w:rPr>
                <w:bCs/>
                <w:sz w:val="18"/>
                <w:szCs w:val="18"/>
              </w:rPr>
              <w:t>Number</w:t>
            </w:r>
          </w:p>
        </w:tc>
        <w:tc>
          <w:tcPr>
            <w:tcW w:w="1015" w:type="dxa"/>
            <w:tcBorders>
              <w:right w:val="double" w:sz="4" w:space="0" w:color="auto"/>
            </w:tcBorders>
            <w:vAlign w:val="center"/>
          </w:tcPr>
          <w:p w:rsidR="00FE5F42" w:rsidRPr="00290AF3" w:rsidRDefault="00FE5F42" w:rsidP="00FE5F42">
            <w:pPr>
              <w:jc w:val="center"/>
              <w:rPr>
                <w:sz w:val="18"/>
                <w:szCs w:val="18"/>
              </w:rPr>
            </w:pPr>
            <w:r w:rsidRPr="00290AF3">
              <w:rPr>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shd w:val="clear" w:color="auto" w:fill="FFFFFF"/>
            <w:vAlign w:val="center"/>
          </w:tcPr>
          <w:p w:rsidR="00FE5F42" w:rsidRPr="00290AF3" w:rsidRDefault="00FE5F42" w:rsidP="00FE5F42">
            <w:pPr>
              <w:jc w:val="center"/>
              <w:rPr>
                <w:bCs/>
                <w:sz w:val="18"/>
                <w:szCs w:val="18"/>
              </w:rPr>
            </w:pPr>
            <w:r>
              <w:rPr>
                <w:bCs/>
                <w:sz w:val="18"/>
                <w:szCs w:val="18"/>
              </w:rPr>
              <w:t>25</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1</w:t>
            </w:r>
            <w:r>
              <w:rPr>
                <w:sz w:val="18"/>
                <w:szCs w:val="18"/>
              </w:rPr>
              <w:t>15</w:t>
            </w:r>
          </w:p>
        </w:tc>
        <w:tc>
          <w:tcPr>
            <w:tcW w:w="750" w:type="dxa"/>
            <w:tcBorders>
              <w:right w:val="double" w:sz="4" w:space="0" w:color="auto"/>
            </w:tcBorders>
            <w:shd w:val="clear" w:color="auto" w:fill="FFFFFF"/>
            <w:vAlign w:val="center"/>
          </w:tcPr>
          <w:p w:rsidR="00FE5F42" w:rsidRPr="00290AF3" w:rsidRDefault="00FE5F42" w:rsidP="00FE5F42">
            <w:pPr>
              <w:jc w:val="center"/>
              <w:rPr>
                <w:bCs/>
                <w:sz w:val="18"/>
                <w:szCs w:val="18"/>
              </w:rPr>
            </w:pPr>
            <w:r>
              <w:rPr>
                <w:bCs/>
                <w:sz w:val="18"/>
                <w:szCs w:val="18"/>
              </w:rPr>
              <w:t>200</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16" w:type="dxa"/>
            <w:vAlign w:val="center"/>
          </w:tcPr>
          <w:p w:rsidR="00FE5F42" w:rsidRPr="00B42847" w:rsidRDefault="00FE5F42" w:rsidP="00FE5F42">
            <w:pPr>
              <w:rPr>
                <w:sz w:val="18"/>
                <w:szCs w:val="18"/>
              </w:rPr>
            </w:pPr>
            <w:r w:rsidRPr="00B42847">
              <w:rPr>
                <w:sz w:val="18"/>
                <w:szCs w:val="18"/>
              </w:rPr>
              <w:t>Annual Monitoring Report</w:t>
            </w:r>
          </w:p>
        </w:tc>
        <w:tc>
          <w:tcPr>
            <w:tcW w:w="1369" w:type="dxa"/>
            <w:gridSpan w:val="2"/>
            <w:vAlign w:val="center"/>
          </w:tcPr>
          <w:p w:rsidR="00FE5F42" w:rsidRPr="00B42847" w:rsidRDefault="00FE5F42" w:rsidP="00FE5F42">
            <w:pPr>
              <w:rPr>
                <w:sz w:val="18"/>
                <w:szCs w:val="18"/>
              </w:rPr>
            </w:pPr>
            <w:r w:rsidRPr="00B42847">
              <w:rPr>
                <w:sz w:val="18"/>
                <w:szCs w:val="18"/>
              </w:rPr>
              <w:t>Directorate of Infrastructure</w:t>
            </w:r>
          </w:p>
        </w:tc>
        <w:tc>
          <w:tcPr>
            <w:tcW w:w="2643" w:type="dxa"/>
            <w:vAlign w:val="center"/>
          </w:tcPr>
          <w:p w:rsidR="00FE5F42" w:rsidRPr="00290AF3" w:rsidRDefault="00FE5F42" w:rsidP="00FE5F42">
            <w:pPr>
              <w:rPr>
                <w:sz w:val="16"/>
                <w:szCs w:val="16"/>
              </w:rPr>
            </w:pPr>
            <w:r w:rsidRPr="00290AF3">
              <w:rPr>
                <w:sz w:val="16"/>
                <w:szCs w:val="16"/>
              </w:rPr>
              <w:t xml:space="preserve">Interventions to improve a </w:t>
            </w:r>
            <w:r>
              <w:rPr>
                <w:sz w:val="16"/>
                <w:szCs w:val="16"/>
              </w:rPr>
              <w:t>preschool classroom</w:t>
            </w:r>
            <w:r w:rsidRPr="00290AF3">
              <w:rPr>
                <w:sz w:val="16"/>
                <w:szCs w:val="16"/>
              </w:rPr>
              <w:t xml:space="preserve"> </w:t>
            </w:r>
            <w:r>
              <w:rPr>
                <w:sz w:val="16"/>
                <w:szCs w:val="16"/>
              </w:rPr>
              <w:t>would</w:t>
            </w:r>
            <w:r w:rsidRPr="00290AF3">
              <w:rPr>
                <w:sz w:val="16"/>
                <w:szCs w:val="16"/>
              </w:rPr>
              <w:t xml:space="preserve"> comprise: (i) the construction and/or rehabilitation of classrooms</w:t>
            </w:r>
            <w:r>
              <w:rPr>
                <w:sz w:val="16"/>
                <w:szCs w:val="16"/>
              </w:rPr>
              <w:t xml:space="preserve">; </w:t>
            </w:r>
            <w:r w:rsidRPr="002E680E">
              <w:rPr>
                <w:sz w:val="16"/>
                <w:szCs w:val="16"/>
              </w:rPr>
              <w:t>(ii)</w:t>
            </w:r>
            <w:r>
              <w:rPr>
                <w:sz w:val="16"/>
                <w:szCs w:val="16"/>
              </w:rPr>
              <w:t xml:space="preserve"> complementary facilities including but not limited to toilets, recreational areas, water/sanitation and security and (iii)</w:t>
            </w:r>
            <w:r w:rsidRPr="002E680E">
              <w:rPr>
                <w:sz w:val="16"/>
                <w:szCs w:val="16"/>
              </w:rPr>
              <w:t xml:space="preserve"> the provision of furniture and equipment.</w:t>
            </w:r>
            <w:r>
              <w:rPr>
                <w:sz w:val="16"/>
                <w:szCs w:val="16"/>
              </w:rPr>
              <w:t xml:space="preserve"> </w:t>
            </w:r>
          </w:p>
        </w:tc>
      </w:tr>
      <w:tr w:rsidR="00FE5F42" w:rsidRPr="00BC5E90" w:rsidTr="00907A0A">
        <w:trPr>
          <w:trHeight w:val="73"/>
        </w:trPr>
        <w:tc>
          <w:tcPr>
            <w:tcW w:w="3220" w:type="dxa"/>
            <w:tcBorders>
              <w:right w:val="double" w:sz="4" w:space="0" w:color="auto"/>
            </w:tcBorders>
            <w:vAlign w:val="center"/>
          </w:tcPr>
          <w:p w:rsidR="00FE5F42" w:rsidRPr="00664FCA" w:rsidRDefault="00FE5F42" w:rsidP="00FE5F42">
            <w:pPr>
              <w:rPr>
                <w:bCs/>
                <w:sz w:val="20"/>
                <w:szCs w:val="20"/>
              </w:rPr>
            </w:pPr>
            <w:r w:rsidRPr="00664FCA">
              <w:rPr>
                <w:bCs/>
                <w:sz w:val="20"/>
                <w:szCs w:val="20"/>
              </w:rPr>
              <w:t>Intermediate Result indicator two:</w:t>
            </w:r>
          </w:p>
          <w:p w:rsidR="00FE5F42" w:rsidRPr="00BC5E90" w:rsidRDefault="00FE5F42" w:rsidP="00FE5F42">
            <w:pPr>
              <w:rPr>
                <w:sz w:val="20"/>
                <w:szCs w:val="20"/>
              </w:rPr>
            </w:pPr>
            <w:r>
              <w:rPr>
                <w:bCs/>
                <w:sz w:val="20"/>
                <w:szCs w:val="20"/>
              </w:rPr>
              <w:t>Preschool unified curriculum developed</w:t>
            </w:r>
            <w:r w:rsidRPr="00BC5E90">
              <w:rPr>
                <w:bCs/>
                <w:sz w:val="20"/>
                <w:szCs w:val="20"/>
              </w:rPr>
              <w:t>.</w:t>
            </w:r>
          </w:p>
        </w:tc>
        <w:tc>
          <w:tcPr>
            <w:tcW w:w="357"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16" w:type="dxa"/>
            <w:vAlign w:val="center"/>
          </w:tcPr>
          <w:p w:rsidR="00FE5F42" w:rsidRPr="00290AF3" w:rsidRDefault="00FE5F42" w:rsidP="00FE5F42">
            <w:pPr>
              <w:rPr>
                <w:sz w:val="18"/>
                <w:szCs w:val="18"/>
              </w:rPr>
            </w:pPr>
            <w:r w:rsidRPr="00290AF3">
              <w:rPr>
                <w:sz w:val="18"/>
                <w:szCs w:val="18"/>
              </w:rPr>
              <w:t>Text</w:t>
            </w:r>
          </w:p>
        </w:tc>
        <w:tc>
          <w:tcPr>
            <w:tcW w:w="1015" w:type="dxa"/>
            <w:tcBorders>
              <w:right w:val="double" w:sz="4" w:space="0" w:color="auto"/>
            </w:tcBorders>
            <w:vAlign w:val="center"/>
          </w:tcPr>
          <w:p w:rsidR="00FE5F42" w:rsidRPr="00290AF3" w:rsidRDefault="00FE5F42" w:rsidP="00FE5F42">
            <w:pPr>
              <w:jc w:val="center"/>
              <w:rPr>
                <w:sz w:val="18"/>
                <w:szCs w:val="18"/>
              </w:rPr>
            </w:pPr>
            <w:r>
              <w:rPr>
                <w:sz w:val="18"/>
                <w:szCs w:val="18"/>
              </w:rPr>
              <w:t>Yes/</w:t>
            </w:r>
            <w:r w:rsidRPr="00290AF3">
              <w:rPr>
                <w:sz w:val="18"/>
                <w:szCs w:val="18"/>
              </w:rPr>
              <w:t>No</w:t>
            </w:r>
          </w:p>
        </w:tc>
        <w:tc>
          <w:tcPr>
            <w:tcW w:w="810" w:type="dxa"/>
            <w:vAlign w:val="center"/>
          </w:tcPr>
          <w:p w:rsidR="00FE5F42" w:rsidRPr="00290AF3" w:rsidRDefault="00FE5F42" w:rsidP="00FE5F42">
            <w:pPr>
              <w:jc w:val="center"/>
              <w:rPr>
                <w:sz w:val="18"/>
                <w:szCs w:val="18"/>
              </w:rPr>
            </w:pPr>
            <w:r w:rsidRPr="00290AF3">
              <w:rPr>
                <w:sz w:val="18"/>
                <w:szCs w:val="18"/>
              </w:rPr>
              <w:t>No</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Yes</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Yes</w:t>
            </w:r>
          </w:p>
        </w:tc>
        <w:tc>
          <w:tcPr>
            <w:tcW w:w="750" w:type="dxa"/>
            <w:tcBorders>
              <w:right w:val="double" w:sz="4" w:space="0" w:color="auto"/>
            </w:tcBorders>
            <w:shd w:val="clear" w:color="auto" w:fill="FFFFFF"/>
            <w:vAlign w:val="center"/>
          </w:tcPr>
          <w:p w:rsidR="00FE5F42" w:rsidRPr="00290AF3" w:rsidRDefault="00FE5F42" w:rsidP="00FE5F42">
            <w:pPr>
              <w:jc w:val="center"/>
              <w:rPr>
                <w:sz w:val="18"/>
                <w:szCs w:val="18"/>
              </w:rPr>
            </w:pPr>
            <w:r w:rsidRPr="00290AF3">
              <w:rPr>
                <w:sz w:val="18"/>
                <w:szCs w:val="18"/>
              </w:rPr>
              <w:t>Yes</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Once only</w:t>
            </w:r>
          </w:p>
        </w:tc>
        <w:tc>
          <w:tcPr>
            <w:tcW w:w="1316" w:type="dxa"/>
            <w:vAlign w:val="center"/>
          </w:tcPr>
          <w:p w:rsidR="00FE5F42" w:rsidRPr="00B42847" w:rsidRDefault="00FE5F42" w:rsidP="00FE5F42">
            <w:pPr>
              <w:rPr>
                <w:sz w:val="18"/>
                <w:szCs w:val="18"/>
              </w:rPr>
            </w:pPr>
            <w:r w:rsidRPr="00B42847">
              <w:rPr>
                <w:sz w:val="18"/>
                <w:szCs w:val="18"/>
              </w:rPr>
              <w:t>Annual Monitoring Report</w:t>
            </w:r>
          </w:p>
        </w:tc>
        <w:tc>
          <w:tcPr>
            <w:tcW w:w="1369" w:type="dxa"/>
            <w:gridSpan w:val="2"/>
            <w:vAlign w:val="center"/>
          </w:tcPr>
          <w:p w:rsidR="00FE5F42" w:rsidRPr="00B42847" w:rsidRDefault="00FE5F42" w:rsidP="00FE5F42">
            <w:pPr>
              <w:rPr>
                <w:sz w:val="18"/>
                <w:szCs w:val="18"/>
              </w:rPr>
            </w:pPr>
            <w:r w:rsidRPr="00B42847">
              <w:rPr>
                <w:sz w:val="18"/>
                <w:szCs w:val="18"/>
              </w:rPr>
              <w:t xml:space="preserve">Directorate of </w:t>
            </w:r>
            <w:r>
              <w:rPr>
                <w:sz w:val="18"/>
                <w:szCs w:val="18"/>
              </w:rPr>
              <w:t>Preschool</w:t>
            </w:r>
          </w:p>
        </w:tc>
        <w:tc>
          <w:tcPr>
            <w:tcW w:w="2643" w:type="dxa"/>
            <w:vAlign w:val="center"/>
          </w:tcPr>
          <w:p w:rsidR="00FE5F42" w:rsidRPr="00290AF3" w:rsidRDefault="00FE5F42" w:rsidP="00FE5F42">
            <w:pPr>
              <w:rPr>
                <w:sz w:val="16"/>
                <w:szCs w:val="16"/>
              </w:rPr>
            </w:pPr>
            <w:r>
              <w:rPr>
                <w:sz w:val="16"/>
                <w:szCs w:val="16"/>
              </w:rPr>
              <w:t xml:space="preserve">One curricular framework and </w:t>
            </w:r>
            <w:r w:rsidRPr="00CD3438">
              <w:rPr>
                <w:sz w:val="16"/>
                <w:szCs w:val="16"/>
              </w:rPr>
              <w:t>three preschool classroom instruction guides</w:t>
            </w:r>
            <w:r w:rsidRPr="00290AF3">
              <w:rPr>
                <w:sz w:val="16"/>
                <w:szCs w:val="16"/>
              </w:rPr>
              <w:t xml:space="preserve"> </w:t>
            </w:r>
            <w:r>
              <w:rPr>
                <w:sz w:val="16"/>
                <w:szCs w:val="16"/>
              </w:rPr>
              <w:t>would</w:t>
            </w:r>
            <w:r w:rsidRPr="00290AF3">
              <w:rPr>
                <w:sz w:val="16"/>
                <w:szCs w:val="16"/>
              </w:rPr>
              <w:t xml:space="preserve"> be integrated in one unified </w:t>
            </w:r>
            <w:r>
              <w:rPr>
                <w:sz w:val="16"/>
                <w:szCs w:val="16"/>
              </w:rPr>
              <w:t>preschool</w:t>
            </w:r>
            <w:r w:rsidRPr="00290AF3">
              <w:rPr>
                <w:sz w:val="16"/>
                <w:szCs w:val="16"/>
              </w:rPr>
              <w:t xml:space="preserve"> curriculum approved by the Executive Directorate of MINED</w:t>
            </w:r>
            <w:r>
              <w:rPr>
                <w:sz w:val="16"/>
                <w:szCs w:val="16"/>
              </w:rPr>
              <w:t xml:space="preserve"> and published in a short document.</w:t>
            </w:r>
          </w:p>
        </w:tc>
      </w:tr>
      <w:tr w:rsidR="00FE5F42" w:rsidRPr="00BC5E90" w:rsidTr="00907A0A">
        <w:trPr>
          <w:trHeight w:val="73"/>
        </w:trPr>
        <w:tc>
          <w:tcPr>
            <w:tcW w:w="3220" w:type="dxa"/>
            <w:tcBorders>
              <w:right w:val="double" w:sz="4" w:space="0" w:color="auto"/>
            </w:tcBorders>
            <w:vAlign w:val="center"/>
          </w:tcPr>
          <w:p w:rsidR="00FE5F42" w:rsidRPr="008F3FE7" w:rsidRDefault="00FE5F42" w:rsidP="00FE5F42">
            <w:pPr>
              <w:rPr>
                <w:b/>
                <w:bCs/>
                <w:sz w:val="20"/>
                <w:szCs w:val="20"/>
              </w:rPr>
            </w:pPr>
            <w:r w:rsidRPr="008F3FE7">
              <w:rPr>
                <w:bCs/>
                <w:sz w:val="20"/>
                <w:szCs w:val="20"/>
              </w:rPr>
              <w:t>Intermediate Result indicator three</w:t>
            </w:r>
            <w:r w:rsidRPr="008F3FE7">
              <w:rPr>
                <w:b/>
                <w:bCs/>
                <w:sz w:val="20"/>
                <w:szCs w:val="20"/>
              </w:rPr>
              <w:t xml:space="preserve">: </w:t>
            </w:r>
          </w:p>
          <w:p w:rsidR="00FE5F42" w:rsidRPr="00BC5E90" w:rsidRDefault="00FE5F42" w:rsidP="00FE5F42">
            <w:pPr>
              <w:rPr>
                <w:bCs/>
                <w:sz w:val="20"/>
                <w:szCs w:val="20"/>
              </w:rPr>
            </w:pPr>
            <w:r w:rsidRPr="00BC5E90">
              <w:rPr>
                <w:bCs/>
                <w:sz w:val="20"/>
                <w:szCs w:val="20"/>
              </w:rPr>
              <w:t xml:space="preserve">Increase in the percentage of certified </w:t>
            </w:r>
            <w:r>
              <w:rPr>
                <w:bCs/>
                <w:sz w:val="20"/>
                <w:szCs w:val="20"/>
              </w:rPr>
              <w:t>preschool</w:t>
            </w:r>
            <w:r w:rsidRPr="00BC5E90">
              <w:rPr>
                <w:bCs/>
                <w:sz w:val="20"/>
                <w:szCs w:val="20"/>
              </w:rPr>
              <w:t xml:space="preserve"> teachers (Nation-wide).</w:t>
            </w:r>
          </w:p>
        </w:tc>
        <w:tc>
          <w:tcPr>
            <w:tcW w:w="357"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16" w:type="dxa"/>
            <w:vAlign w:val="center"/>
          </w:tcPr>
          <w:p w:rsidR="00FE5F42" w:rsidRPr="00290AF3" w:rsidRDefault="00FE5F42" w:rsidP="00FE5F42">
            <w:pPr>
              <w:jc w:val="center"/>
              <w:rPr>
                <w:sz w:val="18"/>
                <w:szCs w:val="18"/>
              </w:rPr>
            </w:pPr>
            <w:r w:rsidRPr="00290AF3">
              <w:rPr>
                <w:sz w:val="18"/>
                <w:szCs w:val="18"/>
              </w:rPr>
              <w:t>%</w:t>
            </w:r>
          </w:p>
        </w:tc>
        <w:tc>
          <w:tcPr>
            <w:tcW w:w="1015" w:type="dxa"/>
            <w:tcBorders>
              <w:right w:val="double" w:sz="4" w:space="0" w:color="auto"/>
            </w:tcBorders>
            <w:vAlign w:val="center"/>
          </w:tcPr>
          <w:p w:rsidR="00FE5F42" w:rsidRPr="00290AF3" w:rsidRDefault="00FE5F42" w:rsidP="00FE5F42">
            <w:pPr>
              <w:jc w:val="center"/>
              <w:rPr>
                <w:sz w:val="18"/>
                <w:szCs w:val="18"/>
              </w:rPr>
            </w:pPr>
            <w:r w:rsidRPr="00290AF3">
              <w:rPr>
                <w:sz w:val="18"/>
                <w:szCs w:val="18"/>
              </w:rPr>
              <w:t>44</w:t>
            </w:r>
          </w:p>
        </w:tc>
        <w:tc>
          <w:tcPr>
            <w:tcW w:w="810" w:type="dxa"/>
            <w:vAlign w:val="center"/>
          </w:tcPr>
          <w:p w:rsidR="00FE5F42" w:rsidRPr="00290AF3" w:rsidRDefault="00FE5F42" w:rsidP="00FE5F42">
            <w:pPr>
              <w:jc w:val="center"/>
              <w:rPr>
                <w:sz w:val="18"/>
                <w:szCs w:val="18"/>
              </w:rPr>
            </w:pPr>
            <w:r w:rsidRPr="00290AF3">
              <w:rPr>
                <w:sz w:val="18"/>
                <w:szCs w:val="18"/>
              </w:rPr>
              <w:t>44</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44</w:t>
            </w:r>
          </w:p>
        </w:tc>
        <w:tc>
          <w:tcPr>
            <w:tcW w:w="810" w:type="dxa"/>
            <w:shd w:val="clear" w:color="auto" w:fill="FFFFFF"/>
            <w:vAlign w:val="center"/>
          </w:tcPr>
          <w:p w:rsidR="00FE5F42" w:rsidRPr="00290AF3" w:rsidRDefault="00FE5F42" w:rsidP="00FE5F42">
            <w:pPr>
              <w:jc w:val="center"/>
              <w:rPr>
                <w:sz w:val="18"/>
                <w:szCs w:val="18"/>
              </w:rPr>
            </w:pPr>
            <w:r>
              <w:rPr>
                <w:sz w:val="18"/>
                <w:szCs w:val="18"/>
              </w:rPr>
              <w:t>44</w:t>
            </w:r>
          </w:p>
        </w:tc>
        <w:tc>
          <w:tcPr>
            <w:tcW w:w="750" w:type="dxa"/>
            <w:tcBorders>
              <w:right w:val="double" w:sz="4" w:space="0" w:color="auto"/>
            </w:tcBorders>
            <w:shd w:val="clear" w:color="auto" w:fill="FFFFFF"/>
            <w:vAlign w:val="center"/>
          </w:tcPr>
          <w:p w:rsidR="00FE5F42" w:rsidRPr="00290AF3" w:rsidRDefault="00FE5F42" w:rsidP="00FE5F42">
            <w:pPr>
              <w:jc w:val="center"/>
              <w:rPr>
                <w:sz w:val="18"/>
                <w:szCs w:val="18"/>
              </w:rPr>
            </w:pPr>
            <w:r>
              <w:rPr>
                <w:sz w:val="18"/>
                <w:szCs w:val="18"/>
              </w:rPr>
              <w:t>73</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16" w:type="dxa"/>
            <w:vAlign w:val="center"/>
          </w:tcPr>
          <w:p w:rsidR="00FE5F42" w:rsidRPr="00B42847" w:rsidRDefault="00FE5F42" w:rsidP="00FE5F42">
            <w:pPr>
              <w:rPr>
                <w:sz w:val="18"/>
                <w:szCs w:val="18"/>
              </w:rPr>
            </w:pPr>
            <w:r w:rsidRPr="00B42847">
              <w:rPr>
                <w:sz w:val="18"/>
                <w:szCs w:val="18"/>
              </w:rPr>
              <w:t>Annual Monitoring Report</w:t>
            </w:r>
          </w:p>
        </w:tc>
        <w:tc>
          <w:tcPr>
            <w:tcW w:w="1369" w:type="dxa"/>
            <w:gridSpan w:val="2"/>
            <w:vAlign w:val="center"/>
          </w:tcPr>
          <w:p w:rsidR="00FE5F42" w:rsidRPr="00B42847" w:rsidRDefault="00FE5F42" w:rsidP="00FE5F42">
            <w:pPr>
              <w:rPr>
                <w:sz w:val="18"/>
                <w:szCs w:val="18"/>
              </w:rPr>
            </w:pPr>
            <w:r w:rsidRPr="00B42847">
              <w:rPr>
                <w:sz w:val="18"/>
                <w:szCs w:val="18"/>
              </w:rPr>
              <w:t xml:space="preserve">Directorate of </w:t>
            </w:r>
            <w:r>
              <w:rPr>
                <w:sz w:val="18"/>
                <w:szCs w:val="18"/>
              </w:rPr>
              <w:t>Preschool</w:t>
            </w:r>
          </w:p>
        </w:tc>
        <w:tc>
          <w:tcPr>
            <w:tcW w:w="2643" w:type="dxa"/>
            <w:vAlign w:val="center"/>
          </w:tcPr>
          <w:p w:rsidR="00FE5F42" w:rsidRPr="00290AF3" w:rsidRDefault="00FE5F42" w:rsidP="00FE5F42">
            <w:pPr>
              <w:rPr>
                <w:sz w:val="16"/>
                <w:szCs w:val="16"/>
              </w:rPr>
            </w:pPr>
            <w:r w:rsidRPr="00290AF3">
              <w:rPr>
                <w:sz w:val="16"/>
                <w:szCs w:val="16"/>
              </w:rPr>
              <w:t xml:space="preserve">Total number of </w:t>
            </w:r>
            <w:r>
              <w:rPr>
                <w:sz w:val="16"/>
                <w:szCs w:val="16"/>
              </w:rPr>
              <w:t>preschool</w:t>
            </w:r>
            <w:r w:rsidRPr="00290AF3">
              <w:rPr>
                <w:sz w:val="16"/>
                <w:szCs w:val="16"/>
              </w:rPr>
              <w:t xml:space="preserve"> teachers is 9,</w:t>
            </w:r>
            <w:r>
              <w:rPr>
                <w:sz w:val="16"/>
                <w:szCs w:val="16"/>
              </w:rPr>
              <w:t>296</w:t>
            </w:r>
            <w:r w:rsidRPr="00290AF3">
              <w:rPr>
                <w:sz w:val="16"/>
                <w:szCs w:val="16"/>
              </w:rPr>
              <w:t xml:space="preserve">.  Total number of certified </w:t>
            </w:r>
            <w:r>
              <w:rPr>
                <w:sz w:val="16"/>
                <w:szCs w:val="16"/>
              </w:rPr>
              <w:t>preschool</w:t>
            </w:r>
            <w:r w:rsidRPr="00290AF3">
              <w:rPr>
                <w:sz w:val="16"/>
                <w:szCs w:val="16"/>
              </w:rPr>
              <w:t xml:space="preserve"> teachers in 2011 is 4,096 (44%).  Total number of </w:t>
            </w:r>
            <w:r>
              <w:rPr>
                <w:sz w:val="16"/>
                <w:szCs w:val="16"/>
              </w:rPr>
              <w:t>preschool</w:t>
            </w:r>
            <w:r w:rsidRPr="00290AF3">
              <w:rPr>
                <w:sz w:val="16"/>
                <w:szCs w:val="16"/>
              </w:rPr>
              <w:t xml:space="preserve"> teachers to be</w:t>
            </w:r>
            <w:r>
              <w:rPr>
                <w:sz w:val="16"/>
                <w:szCs w:val="16"/>
              </w:rPr>
              <w:t xml:space="preserve"> certified by the Project is 2,7</w:t>
            </w:r>
            <w:r w:rsidRPr="00290AF3">
              <w:rPr>
                <w:sz w:val="16"/>
                <w:szCs w:val="16"/>
              </w:rPr>
              <w:t>00 (equivalen</w:t>
            </w:r>
            <w:r>
              <w:rPr>
                <w:sz w:val="16"/>
                <w:szCs w:val="16"/>
              </w:rPr>
              <w:t>t to 29</w:t>
            </w:r>
            <w:r w:rsidRPr="00290AF3">
              <w:rPr>
                <w:sz w:val="16"/>
                <w:szCs w:val="16"/>
              </w:rPr>
              <w:t>% of the 9,</w:t>
            </w:r>
            <w:r>
              <w:rPr>
                <w:sz w:val="16"/>
                <w:szCs w:val="16"/>
              </w:rPr>
              <w:t>296</w:t>
            </w:r>
            <w:r w:rsidRPr="00290AF3">
              <w:rPr>
                <w:sz w:val="16"/>
                <w:szCs w:val="16"/>
              </w:rPr>
              <w:t xml:space="preserve"> </w:t>
            </w:r>
            <w:r>
              <w:rPr>
                <w:sz w:val="16"/>
                <w:szCs w:val="16"/>
              </w:rPr>
              <w:t>preschool</w:t>
            </w:r>
            <w:r w:rsidRPr="00290AF3">
              <w:rPr>
                <w:sz w:val="16"/>
                <w:szCs w:val="16"/>
              </w:rPr>
              <w:t xml:space="preserve"> teachers in 2011)</w:t>
            </w:r>
            <w:r>
              <w:rPr>
                <w:sz w:val="16"/>
                <w:szCs w:val="16"/>
              </w:rPr>
              <w:t>.</w:t>
            </w:r>
            <w:r w:rsidRPr="00290AF3">
              <w:rPr>
                <w:sz w:val="16"/>
                <w:szCs w:val="16"/>
              </w:rPr>
              <w:t xml:space="preserve"> </w:t>
            </w:r>
          </w:p>
        </w:tc>
      </w:tr>
      <w:tr w:rsidR="00FE5F42" w:rsidRPr="00BC5E90" w:rsidTr="00907A0A">
        <w:trPr>
          <w:trHeight w:val="73"/>
        </w:trPr>
        <w:tc>
          <w:tcPr>
            <w:tcW w:w="3220" w:type="dxa"/>
            <w:tcBorders>
              <w:right w:val="double" w:sz="4" w:space="0" w:color="auto"/>
            </w:tcBorders>
            <w:vAlign w:val="center"/>
          </w:tcPr>
          <w:p w:rsidR="00FE5F42" w:rsidRPr="008F3FE7" w:rsidRDefault="00FE5F42" w:rsidP="00FE5F42">
            <w:pPr>
              <w:rPr>
                <w:bCs/>
                <w:sz w:val="20"/>
                <w:szCs w:val="20"/>
              </w:rPr>
            </w:pPr>
            <w:r w:rsidRPr="008F3FE7">
              <w:rPr>
                <w:bCs/>
                <w:sz w:val="20"/>
                <w:szCs w:val="20"/>
              </w:rPr>
              <w:t>Intermediate Result indicator four:</w:t>
            </w:r>
          </w:p>
          <w:p w:rsidR="00FE5F42" w:rsidRPr="00BC5E90" w:rsidRDefault="00FE5F42" w:rsidP="00FE5F42">
            <w:pPr>
              <w:rPr>
                <w:sz w:val="20"/>
                <w:szCs w:val="20"/>
              </w:rPr>
            </w:pPr>
            <w:r w:rsidRPr="00BC5E90">
              <w:rPr>
                <w:bCs/>
                <w:sz w:val="20"/>
                <w:szCs w:val="20"/>
              </w:rPr>
              <w:t xml:space="preserve">Number of </w:t>
            </w:r>
            <w:r>
              <w:rPr>
                <w:bCs/>
                <w:sz w:val="20"/>
                <w:szCs w:val="20"/>
              </w:rPr>
              <w:t>preschools that receive learning material</w:t>
            </w:r>
            <w:r w:rsidRPr="00BC5E90">
              <w:rPr>
                <w:bCs/>
                <w:sz w:val="20"/>
                <w:szCs w:val="20"/>
              </w:rPr>
              <w:t xml:space="preserve"> packages.</w:t>
            </w:r>
          </w:p>
        </w:tc>
        <w:tc>
          <w:tcPr>
            <w:tcW w:w="357"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16" w:type="dxa"/>
            <w:vAlign w:val="center"/>
          </w:tcPr>
          <w:p w:rsidR="00FE5F42" w:rsidRPr="00290AF3" w:rsidRDefault="00FE5F42" w:rsidP="00FE5F42">
            <w:pPr>
              <w:rPr>
                <w:sz w:val="18"/>
                <w:szCs w:val="18"/>
              </w:rPr>
            </w:pPr>
            <w:r w:rsidRPr="00290AF3">
              <w:rPr>
                <w:sz w:val="18"/>
                <w:szCs w:val="18"/>
              </w:rPr>
              <w:t>Number</w:t>
            </w:r>
          </w:p>
        </w:tc>
        <w:tc>
          <w:tcPr>
            <w:tcW w:w="1015" w:type="dxa"/>
            <w:tcBorders>
              <w:right w:val="double" w:sz="4" w:space="0" w:color="auto"/>
            </w:tcBorders>
            <w:vAlign w:val="center"/>
          </w:tcPr>
          <w:p w:rsidR="00FE5F42" w:rsidRPr="00290AF3" w:rsidRDefault="00FE5F42" w:rsidP="00FE5F42">
            <w:pPr>
              <w:jc w:val="center"/>
              <w:rPr>
                <w:sz w:val="18"/>
                <w:szCs w:val="18"/>
              </w:rPr>
            </w:pPr>
            <w:r w:rsidRPr="00290AF3">
              <w:rPr>
                <w:sz w:val="18"/>
                <w:szCs w:val="18"/>
              </w:rPr>
              <w:t>0</w:t>
            </w:r>
          </w:p>
        </w:tc>
        <w:tc>
          <w:tcPr>
            <w:tcW w:w="810" w:type="dxa"/>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Pr>
                <w:sz w:val="18"/>
                <w:szCs w:val="18"/>
              </w:rPr>
              <w:t>8</w:t>
            </w:r>
            <w:r w:rsidRPr="00290AF3">
              <w:rPr>
                <w:sz w:val="18"/>
                <w:szCs w:val="18"/>
              </w:rPr>
              <w:t>,000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14,000</w:t>
            </w:r>
          </w:p>
        </w:tc>
        <w:tc>
          <w:tcPr>
            <w:tcW w:w="750" w:type="dxa"/>
            <w:tcBorders>
              <w:right w:val="double" w:sz="4" w:space="0" w:color="auto"/>
            </w:tcBorders>
            <w:shd w:val="clear" w:color="auto" w:fill="FFFFFF"/>
            <w:vAlign w:val="center"/>
          </w:tcPr>
          <w:p w:rsidR="00FE5F42" w:rsidRPr="00290AF3" w:rsidRDefault="00FE5F42" w:rsidP="00FE5F42">
            <w:pPr>
              <w:jc w:val="center"/>
              <w:rPr>
                <w:sz w:val="18"/>
                <w:szCs w:val="18"/>
              </w:rPr>
            </w:pPr>
            <w:r w:rsidRPr="00290AF3">
              <w:rPr>
                <w:sz w:val="18"/>
                <w:szCs w:val="18"/>
              </w:rPr>
              <w:t>14,000</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16" w:type="dxa"/>
            <w:vAlign w:val="center"/>
          </w:tcPr>
          <w:p w:rsidR="00FE5F42" w:rsidRPr="00B42847" w:rsidRDefault="00FE5F42" w:rsidP="00FE5F42">
            <w:pPr>
              <w:rPr>
                <w:sz w:val="18"/>
                <w:szCs w:val="18"/>
              </w:rPr>
            </w:pPr>
            <w:r w:rsidRPr="00B42847">
              <w:rPr>
                <w:sz w:val="18"/>
                <w:szCs w:val="18"/>
              </w:rPr>
              <w:t>Annual Monitoring Report</w:t>
            </w:r>
          </w:p>
        </w:tc>
        <w:tc>
          <w:tcPr>
            <w:tcW w:w="1369" w:type="dxa"/>
            <w:gridSpan w:val="2"/>
            <w:vAlign w:val="center"/>
          </w:tcPr>
          <w:p w:rsidR="00FE5F42" w:rsidRPr="00B42847" w:rsidRDefault="00FE5F42" w:rsidP="00FE5F42">
            <w:pPr>
              <w:rPr>
                <w:sz w:val="18"/>
                <w:szCs w:val="18"/>
              </w:rPr>
            </w:pPr>
            <w:r w:rsidRPr="00B42847">
              <w:rPr>
                <w:sz w:val="18"/>
                <w:szCs w:val="18"/>
              </w:rPr>
              <w:t xml:space="preserve">Directorate of </w:t>
            </w:r>
            <w:r>
              <w:rPr>
                <w:sz w:val="18"/>
                <w:szCs w:val="18"/>
              </w:rPr>
              <w:t>Preschool</w:t>
            </w:r>
          </w:p>
        </w:tc>
        <w:tc>
          <w:tcPr>
            <w:tcW w:w="2643" w:type="dxa"/>
            <w:vAlign w:val="center"/>
          </w:tcPr>
          <w:p w:rsidR="00FE5F42" w:rsidRPr="00290AF3" w:rsidRDefault="00FE5F42" w:rsidP="00FE5F42">
            <w:pPr>
              <w:rPr>
                <w:sz w:val="16"/>
                <w:szCs w:val="16"/>
              </w:rPr>
            </w:pPr>
            <w:r w:rsidRPr="00290AF3">
              <w:rPr>
                <w:sz w:val="16"/>
                <w:szCs w:val="16"/>
              </w:rPr>
              <w:t xml:space="preserve">Learning materials included in each package </w:t>
            </w:r>
            <w:r>
              <w:rPr>
                <w:sz w:val="16"/>
                <w:szCs w:val="16"/>
              </w:rPr>
              <w:t>would</w:t>
            </w:r>
            <w:r w:rsidRPr="00290AF3">
              <w:rPr>
                <w:sz w:val="16"/>
                <w:szCs w:val="16"/>
              </w:rPr>
              <w:t xml:space="preserve"> include small school supplies and toys to be distributed in all </w:t>
            </w:r>
            <w:r>
              <w:rPr>
                <w:sz w:val="16"/>
                <w:szCs w:val="16"/>
              </w:rPr>
              <w:t>preschool</w:t>
            </w:r>
            <w:r w:rsidRPr="00290AF3">
              <w:rPr>
                <w:sz w:val="16"/>
                <w:szCs w:val="16"/>
              </w:rPr>
              <w:t>s nation-wide</w:t>
            </w:r>
            <w:r>
              <w:rPr>
                <w:sz w:val="16"/>
                <w:szCs w:val="16"/>
              </w:rPr>
              <w:t>.</w:t>
            </w:r>
            <w:r w:rsidRPr="00290AF3">
              <w:rPr>
                <w:sz w:val="16"/>
                <w:szCs w:val="16"/>
              </w:rPr>
              <w:t xml:space="preserve"> </w:t>
            </w:r>
          </w:p>
        </w:tc>
      </w:tr>
      <w:tr w:rsidR="00FE5F42" w:rsidRPr="00BC5E90" w:rsidTr="00907A0A">
        <w:trPr>
          <w:trHeight w:val="73"/>
        </w:trPr>
        <w:tc>
          <w:tcPr>
            <w:tcW w:w="3220" w:type="dxa"/>
            <w:tcBorders>
              <w:right w:val="double" w:sz="4" w:space="0" w:color="auto"/>
            </w:tcBorders>
          </w:tcPr>
          <w:p w:rsidR="00FE5F42" w:rsidRPr="00664FCA" w:rsidRDefault="00FE5F42" w:rsidP="00FE5F42">
            <w:pPr>
              <w:pStyle w:val="FootnoteText"/>
              <w:rPr>
                <w:bCs/>
              </w:rPr>
            </w:pPr>
            <w:r w:rsidRPr="00664FCA">
              <w:rPr>
                <w:bCs/>
              </w:rPr>
              <w:t>Intermediate Result indicator five:</w:t>
            </w:r>
          </w:p>
          <w:p w:rsidR="00FE5F42" w:rsidRPr="004B0501" w:rsidRDefault="00FE5F42" w:rsidP="00FE5F42">
            <w:pPr>
              <w:pStyle w:val="FootnoteText"/>
              <w:rPr>
                <w:bCs/>
              </w:rPr>
            </w:pPr>
            <w:r>
              <w:rPr>
                <w:bCs/>
              </w:rPr>
              <w:t>System to evaluate early childhood development outcomes in place and operational.</w:t>
            </w:r>
          </w:p>
        </w:tc>
        <w:tc>
          <w:tcPr>
            <w:tcW w:w="357"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16" w:type="dxa"/>
            <w:vAlign w:val="center"/>
          </w:tcPr>
          <w:p w:rsidR="00FE5F42" w:rsidRPr="00290AF3" w:rsidRDefault="00FE5F42" w:rsidP="00FE5F42">
            <w:pPr>
              <w:pStyle w:val="FootnoteText"/>
              <w:jc w:val="center"/>
              <w:rPr>
                <w:sz w:val="18"/>
                <w:szCs w:val="18"/>
              </w:rPr>
            </w:pPr>
            <w:r w:rsidRPr="00290AF3">
              <w:rPr>
                <w:sz w:val="18"/>
                <w:szCs w:val="18"/>
              </w:rPr>
              <w:t>Number</w:t>
            </w:r>
          </w:p>
        </w:tc>
        <w:tc>
          <w:tcPr>
            <w:tcW w:w="1015" w:type="dxa"/>
            <w:tcBorders>
              <w:right w:val="double" w:sz="4" w:space="0" w:color="auto"/>
            </w:tcBorders>
            <w:vAlign w:val="center"/>
          </w:tcPr>
          <w:p w:rsidR="00FE5F42" w:rsidRPr="00290AF3" w:rsidRDefault="00FE5F42" w:rsidP="00FE5F42">
            <w:pPr>
              <w:jc w:val="center"/>
              <w:rPr>
                <w:sz w:val="18"/>
                <w:szCs w:val="18"/>
              </w:rPr>
            </w:pPr>
            <w:r w:rsidRPr="00290AF3">
              <w:rPr>
                <w:sz w:val="18"/>
                <w:szCs w:val="18"/>
              </w:rPr>
              <w:t>0</w:t>
            </w:r>
          </w:p>
        </w:tc>
        <w:tc>
          <w:tcPr>
            <w:tcW w:w="810" w:type="dxa"/>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1</w:t>
            </w:r>
          </w:p>
        </w:tc>
        <w:tc>
          <w:tcPr>
            <w:tcW w:w="750" w:type="dxa"/>
            <w:tcBorders>
              <w:right w:val="double" w:sz="4" w:space="0" w:color="auto"/>
            </w:tcBorders>
            <w:shd w:val="clear" w:color="auto" w:fill="FFFFFF"/>
            <w:vAlign w:val="center"/>
          </w:tcPr>
          <w:p w:rsidR="00FE5F42" w:rsidRPr="00290AF3" w:rsidRDefault="00FE5F42" w:rsidP="00FE5F42">
            <w:pPr>
              <w:jc w:val="center"/>
              <w:rPr>
                <w:sz w:val="18"/>
                <w:szCs w:val="18"/>
              </w:rPr>
            </w:pPr>
            <w:r w:rsidRPr="00290AF3">
              <w:rPr>
                <w:sz w:val="18"/>
                <w:szCs w:val="18"/>
              </w:rPr>
              <w:t>2</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16" w:type="dxa"/>
            <w:vMerge w:val="restart"/>
            <w:vAlign w:val="center"/>
          </w:tcPr>
          <w:p w:rsidR="00FE5F42" w:rsidRPr="00290AF3" w:rsidRDefault="00FE5F42" w:rsidP="00FE5F42">
            <w:pPr>
              <w:rPr>
                <w:sz w:val="16"/>
                <w:szCs w:val="16"/>
              </w:rPr>
            </w:pPr>
            <w:r w:rsidRPr="00290AF3">
              <w:rPr>
                <w:sz w:val="16"/>
                <w:szCs w:val="16"/>
              </w:rPr>
              <w:t>Annual Monitoring Report</w:t>
            </w:r>
          </w:p>
          <w:p w:rsidR="00FE5F42" w:rsidRPr="00290AF3" w:rsidRDefault="00FE5F42" w:rsidP="00FE5F42">
            <w:pPr>
              <w:rPr>
                <w:sz w:val="16"/>
                <w:szCs w:val="16"/>
              </w:rPr>
            </w:pPr>
            <w:r w:rsidRPr="00290AF3">
              <w:rPr>
                <w:bCs/>
                <w:sz w:val="16"/>
                <w:szCs w:val="16"/>
              </w:rPr>
              <w:t xml:space="preserve">Evaluation </w:t>
            </w:r>
          </w:p>
          <w:p w:rsidR="00FE5F42" w:rsidRPr="00290AF3" w:rsidRDefault="00FE5F42" w:rsidP="00FE5F42">
            <w:pPr>
              <w:rPr>
                <w:sz w:val="16"/>
                <w:szCs w:val="16"/>
              </w:rPr>
            </w:pPr>
          </w:p>
        </w:tc>
        <w:tc>
          <w:tcPr>
            <w:tcW w:w="1369" w:type="dxa"/>
            <w:gridSpan w:val="2"/>
            <w:vMerge w:val="restart"/>
            <w:vAlign w:val="center"/>
          </w:tcPr>
          <w:p w:rsidR="00FE5F42" w:rsidRPr="00290AF3" w:rsidRDefault="00FE5F42" w:rsidP="00FE5F42">
            <w:pPr>
              <w:rPr>
                <w:sz w:val="16"/>
                <w:szCs w:val="16"/>
              </w:rPr>
            </w:pPr>
            <w:r w:rsidRPr="00290AF3">
              <w:rPr>
                <w:sz w:val="16"/>
                <w:szCs w:val="16"/>
              </w:rPr>
              <w:t xml:space="preserve">Office of Learning Evaluation, Directorate of </w:t>
            </w:r>
            <w:r>
              <w:rPr>
                <w:sz w:val="16"/>
                <w:szCs w:val="16"/>
              </w:rPr>
              <w:t>Preschool</w:t>
            </w:r>
            <w:r w:rsidRPr="00290AF3">
              <w:rPr>
                <w:sz w:val="16"/>
                <w:szCs w:val="16"/>
              </w:rPr>
              <w:t xml:space="preserve"> and Department of Statistics</w:t>
            </w:r>
          </w:p>
          <w:p w:rsidR="00FE5F42" w:rsidRPr="00290AF3" w:rsidRDefault="00FE5F42" w:rsidP="00FE5F42">
            <w:pPr>
              <w:rPr>
                <w:sz w:val="16"/>
                <w:szCs w:val="16"/>
              </w:rPr>
            </w:pPr>
          </w:p>
        </w:tc>
        <w:tc>
          <w:tcPr>
            <w:tcW w:w="2643" w:type="dxa"/>
            <w:vMerge w:val="restart"/>
            <w:vAlign w:val="center"/>
          </w:tcPr>
          <w:p w:rsidR="00FE5F42" w:rsidRPr="00290AF3" w:rsidRDefault="00FE5F42" w:rsidP="00FE5F42">
            <w:pPr>
              <w:rPr>
                <w:sz w:val="16"/>
                <w:szCs w:val="16"/>
              </w:rPr>
            </w:pPr>
            <w:r w:rsidRPr="00290AF3">
              <w:rPr>
                <w:sz w:val="16"/>
                <w:szCs w:val="16"/>
              </w:rPr>
              <w:t xml:space="preserve">A new </w:t>
            </w:r>
            <w:r>
              <w:rPr>
                <w:sz w:val="16"/>
                <w:szCs w:val="16"/>
              </w:rPr>
              <w:t>system</w:t>
            </w:r>
            <w:r w:rsidRPr="00290AF3">
              <w:rPr>
                <w:sz w:val="16"/>
                <w:szCs w:val="16"/>
              </w:rPr>
              <w:t xml:space="preserve"> </w:t>
            </w:r>
            <w:r>
              <w:rPr>
                <w:sz w:val="16"/>
                <w:szCs w:val="16"/>
              </w:rPr>
              <w:t>would</w:t>
            </w:r>
            <w:r w:rsidRPr="00290AF3">
              <w:rPr>
                <w:sz w:val="16"/>
                <w:szCs w:val="16"/>
              </w:rPr>
              <w:t xml:space="preserve"> be developed and piloted. The </w:t>
            </w:r>
            <w:r>
              <w:rPr>
                <w:sz w:val="16"/>
                <w:szCs w:val="16"/>
              </w:rPr>
              <w:t xml:space="preserve">tools developed to measure child development outcomes will be validated </w:t>
            </w:r>
            <w:r w:rsidRPr="00290AF3">
              <w:rPr>
                <w:sz w:val="16"/>
                <w:szCs w:val="16"/>
              </w:rPr>
              <w:t>on</w:t>
            </w:r>
            <w:r>
              <w:rPr>
                <w:sz w:val="16"/>
                <w:szCs w:val="16"/>
              </w:rPr>
              <w:t xml:space="preserve"> </w:t>
            </w:r>
            <w:r w:rsidRPr="00290AF3">
              <w:rPr>
                <w:sz w:val="16"/>
                <w:szCs w:val="16"/>
              </w:rPr>
              <w:t>a representative sample of the 43 municipalities</w:t>
            </w:r>
            <w:r>
              <w:rPr>
                <w:sz w:val="16"/>
                <w:szCs w:val="16"/>
              </w:rPr>
              <w:t>.</w:t>
            </w:r>
            <w:r w:rsidRPr="00290AF3">
              <w:rPr>
                <w:sz w:val="16"/>
                <w:szCs w:val="16"/>
              </w:rPr>
              <w:t xml:space="preserve">     </w:t>
            </w:r>
          </w:p>
        </w:tc>
      </w:tr>
      <w:tr w:rsidR="00FE5F42" w:rsidRPr="00BC5E90" w:rsidTr="00907A0A">
        <w:trPr>
          <w:trHeight w:val="73"/>
        </w:trPr>
        <w:tc>
          <w:tcPr>
            <w:tcW w:w="3220" w:type="dxa"/>
            <w:tcBorders>
              <w:right w:val="double" w:sz="4" w:space="0" w:color="auto"/>
            </w:tcBorders>
          </w:tcPr>
          <w:p w:rsidR="00FE5F42" w:rsidRDefault="00FE5F42" w:rsidP="00FE5F42">
            <w:pPr>
              <w:pStyle w:val="FootnoteText"/>
              <w:numPr>
                <w:ilvl w:val="0"/>
                <w:numId w:val="25"/>
              </w:numPr>
              <w:ind w:left="522" w:hanging="270"/>
            </w:pPr>
            <w:r>
              <w:t xml:space="preserve">Evaluation system </w:t>
            </w:r>
            <w:r>
              <w:rPr>
                <w:bCs/>
              </w:rPr>
              <w:t>designed and piloted</w:t>
            </w:r>
            <w:r>
              <w:t xml:space="preserve">. </w:t>
            </w:r>
          </w:p>
        </w:tc>
        <w:tc>
          <w:tcPr>
            <w:tcW w:w="357" w:type="dxa"/>
            <w:tcBorders>
              <w:left w:val="double" w:sz="4" w:space="0" w:color="auto"/>
            </w:tcBorders>
            <w:vAlign w:val="center"/>
          </w:tcPr>
          <w:p w:rsidR="00FE5F42" w:rsidRPr="00290AF3" w:rsidRDefault="00FE5F42" w:rsidP="00FE5F42">
            <w:pPr>
              <w:jc w:val="center"/>
              <w:rPr>
                <w:sz w:val="18"/>
                <w:szCs w:val="18"/>
              </w:rPr>
            </w:pPr>
          </w:p>
        </w:tc>
        <w:tc>
          <w:tcPr>
            <w:tcW w:w="916" w:type="dxa"/>
            <w:vAlign w:val="center"/>
          </w:tcPr>
          <w:p w:rsidR="00FE5F42" w:rsidRPr="00290AF3" w:rsidRDefault="00FE5F42" w:rsidP="00FE5F42">
            <w:pPr>
              <w:pStyle w:val="FootnoteText"/>
              <w:rPr>
                <w:sz w:val="18"/>
                <w:szCs w:val="18"/>
              </w:rPr>
            </w:pPr>
            <w:r w:rsidRPr="00290AF3">
              <w:rPr>
                <w:b/>
                <w:sz w:val="18"/>
                <w:szCs w:val="18"/>
              </w:rPr>
              <w:t xml:space="preserve"> </w:t>
            </w:r>
            <w:r w:rsidRPr="00290AF3">
              <w:rPr>
                <w:sz w:val="18"/>
                <w:szCs w:val="18"/>
              </w:rPr>
              <w:t>Number</w:t>
            </w:r>
          </w:p>
        </w:tc>
        <w:tc>
          <w:tcPr>
            <w:tcW w:w="1015" w:type="dxa"/>
            <w:tcBorders>
              <w:right w:val="double" w:sz="4" w:space="0" w:color="auto"/>
            </w:tcBorders>
            <w:vAlign w:val="center"/>
          </w:tcPr>
          <w:p w:rsidR="00FE5F42" w:rsidRPr="00290AF3" w:rsidRDefault="00FE5F42" w:rsidP="00FE5F42">
            <w:pPr>
              <w:jc w:val="center"/>
              <w:rPr>
                <w:sz w:val="18"/>
                <w:szCs w:val="18"/>
              </w:rPr>
            </w:pPr>
            <w:r w:rsidRPr="00290AF3">
              <w:rPr>
                <w:sz w:val="18"/>
                <w:szCs w:val="18"/>
              </w:rPr>
              <w:t>0</w:t>
            </w:r>
          </w:p>
        </w:tc>
        <w:tc>
          <w:tcPr>
            <w:tcW w:w="810" w:type="dxa"/>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1</w:t>
            </w:r>
          </w:p>
        </w:tc>
        <w:tc>
          <w:tcPr>
            <w:tcW w:w="750" w:type="dxa"/>
            <w:tcBorders>
              <w:right w:val="double" w:sz="4" w:space="0" w:color="auto"/>
            </w:tcBorders>
            <w:shd w:val="clear" w:color="auto" w:fill="FFFFFF"/>
            <w:vAlign w:val="center"/>
          </w:tcPr>
          <w:p w:rsidR="00FE5F42" w:rsidRPr="00290AF3" w:rsidRDefault="00FE5F42" w:rsidP="00FE5F42">
            <w:pPr>
              <w:jc w:val="center"/>
              <w:rPr>
                <w:sz w:val="18"/>
                <w:szCs w:val="18"/>
              </w:rPr>
            </w:pPr>
            <w:r w:rsidRPr="00290AF3">
              <w:rPr>
                <w:sz w:val="18"/>
                <w:szCs w:val="18"/>
              </w:rPr>
              <w:t>1</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Once only</w:t>
            </w:r>
          </w:p>
        </w:tc>
        <w:tc>
          <w:tcPr>
            <w:tcW w:w="1316" w:type="dxa"/>
            <w:vMerge/>
            <w:vAlign w:val="center"/>
          </w:tcPr>
          <w:p w:rsidR="00FE5F42" w:rsidRPr="00041491" w:rsidRDefault="00FE5F42" w:rsidP="00FE5F42">
            <w:pPr>
              <w:rPr>
                <w:bCs/>
                <w:sz w:val="18"/>
                <w:szCs w:val="18"/>
              </w:rPr>
            </w:pPr>
          </w:p>
        </w:tc>
        <w:tc>
          <w:tcPr>
            <w:tcW w:w="1369" w:type="dxa"/>
            <w:gridSpan w:val="2"/>
            <w:vMerge/>
            <w:vAlign w:val="center"/>
          </w:tcPr>
          <w:p w:rsidR="00FE5F42" w:rsidRPr="00041491" w:rsidRDefault="00FE5F42" w:rsidP="00FE5F42">
            <w:pPr>
              <w:rPr>
                <w:sz w:val="18"/>
                <w:szCs w:val="18"/>
              </w:rPr>
            </w:pPr>
          </w:p>
        </w:tc>
        <w:tc>
          <w:tcPr>
            <w:tcW w:w="2643" w:type="dxa"/>
            <w:vMerge/>
            <w:vAlign w:val="center"/>
          </w:tcPr>
          <w:p w:rsidR="00FE5F42" w:rsidRPr="00D02ECB" w:rsidRDefault="00FE5F42" w:rsidP="00FE5F42">
            <w:pPr>
              <w:rPr>
                <w:sz w:val="18"/>
                <w:szCs w:val="18"/>
              </w:rPr>
            </w:pPr>
          </w:p>
        </w:tc>
      </w:tr>
      <w:tr w:rsidR="00FE5F42" w:rsidRPr="00BC5E90" w:rsidTr="00907A0A">
        <w:trPr>
          <w:trHeight w:val="73"/>
        </w:trPr>
        <w:tc>
          <w:tcPr>
            <w:tcW w:w="3220" w:type="dxa"/>
            <w:tcBorders>
              <w:right w:val="double" w:sz="4" w:space="0" w:color="auto"/>
            </w:tcBorders>
          </w:tcPr>
          <w:p w:rsidR="00FE5F42" w:rsidRDefault="00FE5F42" w:rsidP="00FE5F42">
            <w:pPr>
              <w:pStyle w:val="FootnoteText"/>
              <w:numPr>
                <w:ilvl w:val="0"/>
                <w:numId w:val="25"/>
              </w:numPr>
              <w:ind w:left="522" w:hanging="270"/>
            </w:pPr>
            <w:r w:rsidRPr="00A01320">
              <w:rPr>
                <w:rFonts w:eastAsia="Times New Roman"/>
                <w:bCs/>
              </w:rPr>
              <w:t xml:space="preserve">System validation conducted in a sample of the </w:t>
            </w:r>
            <w:r>
              <w:rPr>
                <w:rFonts w:eastAsia="Times New Roman"/>
                <w:bCs/>
              </w:rPr>
              <w:t>selected</w:t>
            </w:r>
            <w:r w:rsidRPr="00A01320">
              <w:rPr>
                <w:rFonts w:eastAsia="Times New Roman"/>
                <w:bCs/>
              </w:rPr>
              <w:t xml:space="preserve"> municipalities, and results published.</w:t>
            </w:r>
            <w:r>
              <w:t xml:space="preserve">  </w:t>
            </w:r>
          </w:p>
        </w:tc>
        <w:tc>
          <w:tcPr>
            <w:tcW w:w="357" w:type="dxa"/>
            <w:tcBorders>
              <w:left w:val="double" w:sz="4" w:space="0" w:color="auto"/>
            </w:tcBorders>
            <w:vAlign w:val="center"/>
          </w:tcPr>
          <w:p w:rsidR="00FE5F42" w:rsidRPr="00290AF3" w:rsidRDefault="00FE5F42" w:rsidP="00FE5F42">
            <w:pPr>
              <w:jc w:val="center"/>
              <w:rPr>
                <w:sz w:val="18"/>
                <w:szCs w:val="18"/>
              </w:rPr>
            </w:pPr>
          </w:p>
        </w:tc>
        <w:tc>
          <w:tcPr>
            <w:tcW w:w="916" w:type="dxa"/>
            <w:vAlign w:val="center"/>
          </w:tcPr>
          <w:p w:rsidR="00FE5F42" w:rsidRPr="00290AF3" w:rsidRDefault="00FE5F42" w:rsidP="00FE5F42">
            <w:pPr>
              <w:pStyle w:val="FootnoteText"/>
              <w:jc w:val="center"/>
              <w:rPr>
                <w:sz w:val="18"/>
                <w:szCs w:val="18"/>
              </w:rPr>
            </w:pPr>
            <w:r w:rsidRPr="00290AF3">
              <w:rPr>
                <w:sz w:val="18"/>
                <w:szCs w:val="18"/>
              </w:rPr>
              <w:t>Number</w:t>
            </w:r>
          </w:p>
        </w:tc>
        <w:tc>
          <w:tcPr>
            <w:tcW w:w="1015" w:type="dxa"/>
            <w:tcBorders>
              <w:right w:val="double" w:sz="4" w:space="0" w:color="auto"/>
            </w:tcBorders>
            <w:vAlign w:val="center"/>
          </w:tcPr>
          <w:p w:rsidR="00FE5F42" w:rsidRPr="00290AF3" w:rsidRDefault="00FE5F42" w:rsidP="00FE5F42">
            <w:pPr>
              <w:jc w:val="center"/>
              <w:rPr>
                <w:sz w:val="18"/>
                <w:szCs w:val="18"/>
              </w:rPr>
            </w:pPr>
            <w:r w:rsidRPr="00290AF3">
              <w:rPr>
                <w:sz w:val="18"/>
                <w:szCs w:val="18"/>
              </w:rPr>
              <w:t>0</w:t>
            </w:r>
          </w:p>
        </w:tc>
        <w:tc>
          <w:tcPr>
            <w:tcW w:w="810" w:type="dxa"/>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0</w:t>
            </w:r>
          </w:p>
        </w:tc>
        <w:tc>
          <w:tcPr>
            <w:tcW w:w="810" w:type="dxa"/>
            <w:shd w:val="clear" w:color="auto" w:fill="FFFFFF"/>
            <w:vAlign w:val="center"/>
          </w:tcPr>
          <w:p w:rsidR="00FE5F42" w:rsidRPr="00290AF3" w:rsidRDefault="00FE5F42" w:rsidP="00FE5F42">
            <w:pPr>
              <w:jc w:val="center"/>
              <w:rPr>
                <w:sz w:val="18"/>
                <w:szCs w:val="18"/>
              </w:rPr>
            </w:pPr>
            <w:r w:rsidRPr="00290AF3">
              <w:rPr>
                <w:sz w:val="18"/>
                <w:szCs w:val="18"/>
              </w:rPr>
              <w:t>0</w:t>
            </w:r>
          </w:p>
        </w:tc>
        <w:tc>
          <w:tcPr>
            <w:tcW w:w="750" w:type="dxa"/>
            <w:tcBorders>
              <w:right w:val="double" w:sz="4" w:space="0" w:color="auto"/>
            </w:tcBorders>
            <w:shd w:val="clear" w:color="auto" w:fill="FFFFFF"/>
            <w:vAlign w:val="center"/>
          </w:tcPr>
          <w:p w:rsidR="00FE5F42" w:rsidRPr="00290AF3" w:rsidRDefault="00FE5F42" w:rsidP="00FE5F42">
            <w:pPr>
              <w:jc w:val="center"/>
              <w:rPr>
                <w:sz w:val="18"/>
                <w:szCs w:val="18"/>
              </w:rPr>
            </w:pPr>
            <w:r w:rsidRPr="00290AF3">
              <w:rPr>
                <w:sz w:val="18"/>
                <w:szCs w:val="18"/>
              </w:rPr>
              <w:t>1</w:t>
            </w:r>
          </w:p>
        </w:tc>
        <w:tc>
          <w:tcPr>
            <w:tcW w:w="1194" w:type="dxa"/>
            <w:tcBorders>
              <w:left w:val="double" w:sz="4" w:space="0" w:color="auto"/>
            </w:tcBorders>
            <w:vAlign w:val="center"/>
          </w:tcPr>
          <w:p w:rsidR="00FE5F42" w:rsidRPr="00290AF3" w:rsidRDefault="00FE5F42" w:rsidP="00FE5F42">
            <w:pPr>
              <w:rPr>
                <w:sz w:val="16"/>
                <w:szCs w:val="16"/>
              </w:rPr>
            </w:pPr>
            <w:r w:rsidRPr="00290AF3">
              <w:rPr>
                <w:sz w:val="16"/>
                <w:szCs w:val="16"/>
              </w:rPr>
              <w:t>Once only</w:t>
            </w:r>
          </w:p>
        </w:tc>
        <w:tc>
          <w:tcPr>
            <w:tcW w:w="1316" w:type="dxa"/>
            <w:vMerge/>
            <w:vAlign w:val="center"/>
          </w:tcPr>
          <w:p w:rsidR="00FE5F42" w:rsidRPr="00B42847" w:rsidRDefault="00FE5F42" w:rsidP="00FE5F42">
            <w:pPr>
              <w:rPr>
                <w:sz w:val="18"/>
                <w:szCs w:val="18"/>
              </w:rPr>
            </w:pPr>
          </w:p>
        </w:tc>
        <w:tc>
          <w:tcPr>
            <w:tcW w:w="1369" w:type="dxa"/>
            <w:gridSpan w:val="2"/>
            <w:vMerge/>
            <w:vAlign w:val="center"/>
          </w:tcPr>
          <w:p w:rsidR="00FE5F42" w:rsidRPr="00B42847" w:rsidRDefault="00FE5F42" w:rsidP="00FE5F42">
            <w:pPr>
              <w:rPr>
                <w:sz w:val="18"/>
                <w:szCs w:val="18"/>
              </w:rPr>
            </w:pPr>
          </w:p>
        </w:tc>
        <w:tc>
          <w:tcPr>
            <w:tcW w:w="2643" w:type="dxa"/>
            <w:vMerge/>
            <w:vAlign w:val="center"/>
          </w:tcPr>
          <w:p w:rsidR="00FE5F42" w:rsidRPr="00B42847" w:rsidRDefault="00FE5F42" w:rsidP="00FE5F42">
            <w:pPr>
              <w:rPr>
                <w:sz w:val="18"/>
                <w:szCs w:val="18"/>
              </w:rPr>
            </w:pPr>
          </w:p>
        </w:tc>
      </w:tr>
    </w:tbl>
    <w:p w:rsidR="00AE7ECE" w:rsidRDefault="00AE7ECE" w:rsidP="00AE7ECE"/>
    <w:tbl>
      <w:tblPr>
        <w:tblpPr w:leftFromText="180" w:rightFromText="180" w:vertAnchor="page" w:horzAnchor="page" w:tblpX="540" w:tblpY="1029"/>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60"/>
        <w:gridCol w:w="900"/>
        <w:gridCol w:w="990"/>
        <w:gridCol w:w="810"/>
        <w:gridCol w:w="810"/>
        <w:gridCol w:w="810"/>
        <w:gridCol w:w="810"/>
        <w:gridCol w:w="1170"/>
        <w:gridCol w:w="1350"/>
        <w:gridCol w:w="1350"/>
        <w:gridCol w:w="2592"/>
      </w:tblGrid>
      <w:tr w:rsidR="00AE7ECE" w:rsidRPr="00B42847" w:rsidTr="005C4814">
        <w:trPr>
          <w:trHeight w:val="64"/>
        </w:trPr>
        <w:tc>
          <w:tcPr>
            <w:tcW w:w="3078" w:type="dxa"/>
            <w:vMerge w:val="restart"/>
            <w:tcBorders>
              <w:right w:val="double" w:sz="4" w:space="0" w:color="auto"/>
            </w:tcBorders>
            <w:vAlign w:val="center"/>
          </w:tcPr>
          <w:p w:rsidR="00AE7ECE" w:rsidRPr="00BC5E90" w:rsidRDefault="00AE7ECE" w:rsidP="002D0F65">
            <w:pPr>
              <w:jc w:val="center"/>
              <w:rPr>
                <w:b/>
                <w:bCs/>
                <w:sz w:val="18"/>
                <w:szCs w:val="18"/>
              </w:rPr>
            </w:pPr>
          </w:p>
        </w:tc>
        <w:tc>
          <w:tcPr>
            <w:tcW w:w="360" w:type="dxa"/>
            <w:vMerge w:val="restart"/>
            <w:tcBorders>
              <w:left w:val="double" w:sz="4" w:space="0" w:color="auto"/>
            </w:tcBorders>
            <w:textDirection w:val="btLr"/>
            <w:vAlign w:val="center"/>
          </w:tcPr>
          <w:p w:rsidR="00AE7ECE" w:rsidRPr="00BC5E90" w:rsidRDefault="00AE7ECE" w:rsidP="002D0F65">
            <w:pPr>
              <w:jc w:val="center"/>
              <w:rPr>
                <w:b/>
                <w:bCs/>
                <w:sz w:val="18"/>
                <w:szCs w:val="18"/>
              </w:rPr>
            </w:pPr>
            <w:r w:rsidRPr="00BC5E90">
              <w:rPr>
                <w:b/>
                <w:bCs/>
                <w:sz w:val="18"/>
                <w:szCs w:val="18"/>
              </w:rPr>
              <w:t>Core</w:t>
            </w:r>
          </w:p>
        </w:tc>
        <w:tc>
          <w:tcPr>
            <w:tcW w:w="900" w:type="dxa"/>
            <w:vMerge w:val="restart"/>
            <w:vAlign w:val="center"/>
          </w:tcPr>
          <w:p w:rsidR="00AE7ECE" w:rsidRPr="00BC5E90" w:rsidRDefault="00AE7ECE" w:rsidP="002D0F65">
            <w:pPr>
              <w:jc w:val="center"/>
              <w:rPr>
                <w:b/>
                <w:bCs/>
                <w:sz w:val="18"/>
                <w:szCs w:val="18"/>
              </w:rPr>
            </w:pPr>
            <w:r w:rsidRPr="00BC5E90">
              <w:rPr>
                <w:b/>
                <w:bCs/>
                <w:sz w:val="18"/>
                <w:szCs w:val="18"/>
              </w:rPr>
              <w:t>Unit of Measure</w:t>
            </w:r>
          </w:p>
        </w:tc>
        <w:tc>
          <w:tcPr>
            <w:tcW w:w="990" w:type="dxa"/>
            <w:vMerge w:val="restart"/>
            <w:tcBorders>
              <w:right w:val="double" w:sz="4" w:space="0" w:color="auto"/>
            </w:tcBorders>
            <w:vAlign w:val="center"/>
          </w:tcPr>
          <w:p w:rsidR="00AE7ECE" w:rsidRPr="00BC5E90" w:rsidRDefault="00AE7ECE" w:rsidP="002D0F65">
            <w:pPr>
              <w:jc w:val="center"/>
              <w:rPr>
                <w:b/>
                <w:bCs/>
                <w:sz w:val="18"/>
                <w:szCs w:val="18"/>
              </w:rPr>
            </w:pPr>
            <w:r w:rsidRPr="00BC5E90">
              <w:rPr>
                <w:b/>
                <w:bCs/>
                <w:sz w:val="18"/>
                <w:szCs w:val="18"/>
              </w:rPr>
              <w:t>Base</w:t>
            </w:r>
          </w:p>
          <w:p w:rsidR="00AE7ECE" w:rsidRPr="00BC5E90" w:rsidRDefault="00AE7ECE" w:rsidP="002D0F65">
            <w:pPr>
              <w:jc w:val="center"/>
              <w:rPr>
                <w:b/>
                <w:bCs/>
                <w:sz w:val="18"/>
                <w:szCs w:val="18"/>
              </w:rPr>
            </w:pPr>
            <w:r w:rsidRPr="00BC5E90">
              <w:rPr>
                <w:b/>
                <w:bCs/>
                <w:sz w:val="18"/>
                <w:szCs w:val="18"/>
              </w:rPr>
              <w:t>line</w:t>
            </w:r>
          </w:p>
        </w:tc>
        <w:tc>
          <w:tcPr>
            <w:tcW w:w="3240" w:type="dxa"/>
            <w:gridSpan w:val="4"/>
            <w:tcBorders>
              <w:right w:val="double" w:sz="4" w:space="0" w:color="auto"/>
            </w:tcBorders>
          </w:tcPr>
          <w:p w:rsidR="00AE7ECE" w:rsidRPr="00BC5E90" w:rsidRDefault="00AE7ECE" w:rsidP="002D0F65">
            <w:pPr>
              <w:jc w:val="center"/>
              <w:rPr>
                <w:b/>
                <w:bCs/>
                <w:sz w:val="18"/>
                <w:szCs w:val="18"/>
              </w:rPr>
            </w:pPr>
            <w:r w:rsidRPr="00BC5E90">
              <w:rPr>
                <w:b/>
                <w:bCs/>
                <w:sz w:val="18"/>
                <w:szCs w:val="18"/>
              </w:rPr>
              <w:t>Cumulative Target Values</w:t>
            </w:r>
          </w:p>
        </w:tc>
        <w:tc>
          <w:tcPr>
            <w:tcW w:w="1170" w:type="dxa"/>
            <w:vMerge w:val="restart"/>
            <w:tcBorders>
              <w:left w:val="double" w:sz="4" w:space="0" w:color="auto"/>
            </w:tcBorders>
            <w:vAlign w:val="center"/>
          </w:tcPr>
          <w:p w:rsidR="00AE7ECE" w:rsidRPr="006531A8" w:rsidRDefault="00AE7ECE" w:rsidP="002D0F65">
            <w:pPr>
              <w:jc w:val="center"/>
              <w:rPr>
                <w:b/>
                <w:bCs/>
                <w:sz w:val="18"/>
                <w:szCs w:val="18"/>
              </w:rPr>
            </w:pPr>
            <w:r w:rsidRPr="006531A8">
              <w:rPr>
                <w:b/>
                <w:bCs/>
                <w:sz w:val="18"/>
                <w:szCs w:val="18"/>
              </w:rPr>
              <w:t>Frequency</w:t>
            </w:r>
          </w:p>
        </w:tc>
        <w:tc>
          <w:tcPr>
            <w:tcW w:w="1350" w:type="dxa"/>
            <w:vMerge w:val="restart"/>
            <w:vAlign w:val="center"/>
          </w:tcPr>
          <w:p w:rsidR="00AE7ECE" w:rsidRPr="006531A8" w:rsidRDefault="00AE7ECE" w:rsidP="002D0F65">
            <w:pPr>
              <w:jc w:val="center"/>
              <w:rPr>
                <w:b/>
                <w:bCs/>
                <w:sz w:val="18"/>
                <w:szCs w:val="18"/>
              </w:rPr>
            </w:pPr>
            <w:r w:rsidRPr="006531A8">
              <w:rPr>
                <w:b/>
                <w:bCs/>
                <w:sz w:val="18"/>
                <w:szCs w:val="18"/>
              </w:rPr>
              <w:t>Data Source/</w:t>
            </w:r>
          </w:p>
        </w:tc>
        <w:tc>
          <w:tcPr>
            <w:tcW w:w="1350" w:type="dxa"/>
            <w:vMerge w:val="restart"/>
            <w:vAlign w:val="center"/>
          </w:tcPr>
          <w:p w:rsidR="00AE7ECE" w:rsidRPr="006531A8" w:rsidRDefault="00AE7ECE" w:rsidP="002D0F65">
            <w:pPr>
              <w:jc w:val="center"/>
              <w:rPr>
                <w:b/>
                <w:bCs/>
                <w:sz w:val="18"/>
                <w:szCs w:val="18"/>
              </w:rPr>
            </w:pPr>
            <w:r w:rsidRPr="006531A8">
              <w:rPr>
                <w:b/>
                <w:bCs/>
                <w:sz w:val="18"/>
                <w:szCs w:val="18"/>
              </w:rPr>
              <w:t>Data Collection</w:t>
            </w:r>
          </w:p>
        </w:tc>
        <w:tc>
          <w:tcPr>
            <w:tcW w:w="2592" w:type="dxa"/>
            <w:vMerge w:val="restart"/>
            <w:vAlign w:val="center"/>
          </w:tcPr>
          <w:p w:rsidR="00AE7ECE" w:rsidRPr="006531A8" w:rsidRDefault="00AE7ECE" w:rsidP="002D0F65">
            <w:pPr>
              <w:jc w:val="center"/>
              <w:rPr>
                <w:b/>
                <w:bCs/>
                <w:sz w:val="18"/>
                <w:szCs w:val="18"/>
              </w:rPr>
            </w:pPr>
            <w:r w:rsidRPr="006531A8">
              <w:rPr>
                <w:b/>
                <w:bCs/>
                <w:sz w:val="18"/>
                <w:szCs w:val="18"/>
              </w:rPr>
              <w:t>Description (indicator</w:t>
            </w:r>
          </w:p>
          <w:p w:rsidR="00AE7ECE" w:rsidRPr="006531A8" w:rsidRDefault="00AE7ECE" w:rsidP="002D0F65">
            <w:pPr>
              <w:jc w:val="center"/>
              <w:rPr>
                <w:b/>
                <w:bCs/>
                <w:sz w:val="18"/>
                <w:szCs w:val="18"/>
              </w:rPr>
            </w:pPr>
            <w:proofErr w:type="gramStart"/>
            <w:r w:rsidRPr="006531A8">
              <w:rPr>
                <w:b/>
                <w:bCs/>
                <w:sz w:val="18"/>
                <w:szCs w:val="18"/>
              </w:rPr>
              <w:t>definition</w:t>
            </w:r>
            <w:proofErr w:type="gramEnd"/>
            <w:r w:rsidRPr="006531A8">
              <w:rPr>
                <w:b/>
                <w:bCs/>
                <w:sz w:val="18"/>
                <w:szCs w:val="18"/>
              </w:rPr>
              <w:t xml:space="preserve"> etc.)</w:t>
            </w:r>
          </w:p>
        </w:tc>
      </w:tr>
      <w:tr w:rsidR="005C4814" w:rsidRPr="00B42847" w:rsidTr="005C4814">
        <w:trPr>
          <w:trHeight w:val="64"/>
        </w:trPr>
        <w:tc>
          <w:tcPr>
            <w:tcW w:w="3078" w:type="dxa"/>
            <w:vMerge/>
            <w:tcBorders>
              <w:bottom w:val="nil"/>
              <w:right w:val="double" w:sz="4" w:space="0" w:color="auto"/>
            </w:tcBorders>
            <w:vAlign w:val="center"/>
          </w:tcPr>
          <w:p w:rsidR="005C4814" w:rsidRPr="00BC5E90" w:rsidRDefault="005C4814" w:rsidP="002D0F65">
            <w:pPr>
              <w:rPr>
                <w:i/>
                <w:sz w:val="20"/>
                <w:szCs w:val="20"/>
              </w:rPr>
            </w:pPr>
          </w:p>
        </w:tc>
        <w:tc>
          <w:tcPr>
            <w:tcW w:w="360" w:type="dxa"/>
            <w:vMerge/>
            <w:tcBorders>
              <w:left w:val="double" w:sz="4" w:space="0" w:color="auto"/>
              <w:bottom w:val="nil"/>
            </w:tcBorders>
            <w:vAlign w:val="center"/>
          </w:tcPr>
          <w:p w:rsidR="005C4814" w:rsidRPr="00290AF3" w:rsidRDefault="005C4814" w:rsidP="002D0F65">
            <w:pPr>
              <w:jc w:val="center"/>
              <w:rPr>
                <w:sz w:val="18"/>
                <w:szCs w:val="18"/>
              </w:rPr>
            </w:pPr>
          </w:p>
        </w:tc>
        <w:tc>
          <w:tcPr>
            <w:tcW w:w="900" w:type="dxa"/>
            <w:vMerge/>
            <w:tcBorders>
              <w:bottom w:val="nil"/>
            </w:tcBorders>
            <w:vAlign w:val="center"/>
          </w:tcPr>
          <w:p w:rsidR="005C4814" w:rsidRPr="00290AF3" w:rsidRDefault="005C4814" w:rsidP="002D0F65">
            <w:pPr>
              <w:jc w:val="center"/>
              <w:rPr>
                <w:bCs/>
                <w:sz w:val="18"/>
                <w:szCs w:val="18"/>
              </w:rPr>
            </w:pPr>
          </w:p>
        </w:tc>
        <w:tc>
          <w:tcPr>
            <w:tcW w:w="990" w:type="dxa"/>
            <w:vMerge/>
            <w:tcBorders>
              <w:bottom w:val="nil"/>
              <w:right w:val="double" w:sz="4" w:space="0" w:color="auto"/>
            </w:tcBorders>
            <w:vAlign w:val="center"/>
          </w:tcPr>
          <w:p w:rsidR="005C4814" w:rsidRPr="00290AF3" w:rsidRDefault="005C4814" w:rsidP="002D0F65">
            <w:pPr>
              <w:jc w:val="center"/>
              <w:rPr>
                <w:bCs/>
                <w:sz w:val="18"/>
                <w:szCs w:val="18"/>
              </w:rPr>
            </w:pPr>
          </w:p>
        </w:tc>
        <w:tc>
          <w:tcPr>
            <w:tcW w:w="810" w:type="dxa"/>
            <w:vAlign w:val="center"/>
          </w:tcPr>
          <w:p w:rsidR="005C4814" w:rsidRPr="00BC5E90" w:rsidRDefault="005C4814" w:rsidP="002D0F65">
            <w:pPr>
              <w:jc w:val="center"/>
              <w:rPr>
                <w:b/>
                <w:bCs/>
                <w:sz w:val="18"/>
                <w:szCs w:val="18"/>
              </w:rPr>
            </w:pPr>
            <w:r w:rsidRPr="00BC5E90">
              <w:rPr>
                <w:b/>
                <w:bCs/>
                <w:sz w:val="18"/>
                <w:szCs w:val="18"/>
              </w:rPr>
              <w:t>YR 1</w:t>
            </w:r>
          </w:p>
          <w:p w:rsidR="005C4814" w:rsidRPr="00BC5E90" w:rsidRDefault="005C4814" w:rsidP="002D0F65">
            <w:pPr>
              <w:jc w:val="center"/>
              <w:rPr>
                <w:b/>
                <w:bCs/>
                <w:sz w:val="18"/>
                <w:szCs w:val="18"/>
              </w:rPr>
            </w:pPr>
            <w:r>
              <w:rPr>
                <w:b/>
                <w:bCs/>
                <w:sz w:val="18"/>
                <w:szCs w:val="18"/>
              </w:rPr>
              <w:t>2013</w:t>
            </w:r>
          </w:p>
        </w:tc>
        <w:tc>
          <w:tcPr>
            <w:tcW w:w="810" w:type="dxa"/>
            <w:vAlign w:val="center"/>
          </w:tcPr>
          <w:p w:rsidR="005C4814" w:rsidRPr="00BC5E90" w:rsidRDefault="005C4814" w:rsidP="002D0F65">
            <w:pPr>
              <w:jc w:val="center"/>
              <w:rPr>
                <w:b/>
                <w:bCs/>
                <w:sz w:val="18"/>
                <w:szCs w:val="18"/>
              </w:rPr>
            </w:pPr>
            <w:r w:rsidRPr="00BC5E90">
              <w:rPr>
                <w:b/>
                <w:bCs/>
                <w:sz w:val="18"/>
                <w:szCs w:val="18"/>
              </w:rPr>
              <w:t>YR 2</w:t>
            </w:r>
          </w:p>
          <w:p w:rsidR="005C4814" w:rsidRPr="00BC5E90" w:rsidRDefault="005C4814" w:rsidP="002D0F65">
            <w:pPr>
              <w:jc w:val="center"/>
              <w:rPr>
                <w:b/>
                <w:bCs/>
                <w:sz w:val="18"/>
                <w:szCs w:val="18"/>
              </w:rPr>
            </w:pPr>
            <w:r>
              <w:rPr>
                <w:b/>
                <w:bCs/>
                <w:sz w:val="18"/>
                <w:szCs w:val="18"/>
              </w:rPr>
              <w:t>2014</w:t>
            </w:r>
          </w:p>
        </w:tc>
        <w:tc>
          <w:tcPr>
            <w:tcW w:w="810" w:type="dxa"/>
            <w:tcBorders>
              <w:bottom w:val="nil"/>
            </w:tcBorders>
            <w:vAlign w:val="center"/>
          </w:tcPr>
          <w:p w:rsidR="005C4814" w:rsidRPr="00BC5E90" w:rsidRDefault="005C4814" w:rsidP="002D0F65">
            <w:pPr>
              <w:jc w:val="center"/>
              <w:rPr>
                <w:b/>
                <w:bCs/>
                <w:sz w:val="18"/>
                <w:szCs w:val="18"/>
              </w:rPr>
            </w:pPr>
            <w:r w:rsidRPr="00BC5E90">
              <w:rPr>
                <w:b/>
                <w:bCs/>
                <w:sz w:val="18"/>
                <w:szCs w:val="18"/>
              </w:rPr>
              <w:t>YR 3</w:t>
            </w:r>
          </w:p>
          <w:p w:rsidR="005C4814" w:rsidRPr="00BC5E90" w:rsidRDefault="005C4814" w:rsidP="002D0F65">
            <w:pPr>
              <w:jc w:val="center"/>
              <w:rPr>
                <w:b/>
                <w:bCs/>
                <w:sz w:val="18"/>
                <w:szCs w:val="18"/>
              </w:rPr>
            </w:pPr>
            <w:r>
              <w:rPr>
                <w:b/>
                <w:bCs/>
                <w:sz w:val="18"/>
                <w:szCs w:val="18"/>
              </w:rPr>
              <w:t>2015</w:t>
            </w:r>
          </w:p>
        </w:tc>
        <w:tc>
          <w:tcPr>
            <w:tcW w:w="810" w:type="dxa"/>
            <w:tcBorders>
              <w:bottom w:val="nil"/>
              <w:right w:val="double" w:sz="4" w:space="0" w:color="auto"/>
            </w:tcBorders>
            <w:vAlign w:val="center"/>
          </w:tcPr>
          <w:p w:rsidR="005C4814" w:rsidRPr="00BC5E90" w:rsidRDefault="005C4814" w:rsidP="002D0F65">
            <w:pPr>
              <w:jc w:val="center"/>
              <w:rPr>
                <w:b/>
                <w:bCs/>
                <w:sz w:val="18"/>
                <w:szCs w:val="18"/>
              </w:rPr>
            </w:pPr>
            <w:r w:rsidRPr="00BC5E90">
              <w:rPr>
                <w:b/>
                <w:bCs/>
                <w:sz w:val="18"/>
                <w:szCs w:val="18"/>
              </w:rPr>
              <w:t>YR4</w:t>
            </w:r>
          </w:p>
          <w:p w:rsidR="005C4814" w:rsidRPr="00BC5E90" w:rsidRDefault="005C4814" w:rsidP="005C4814">
            <w:pPr>
              <w:jc w:val="center"/>
              <w:rPr>
                <w:b/>
                <w:bCs/>
                <w:sz w:val="18"/>
                <w:szCs w:val="18"/>
              </w:rPr>
            </w:pPr>
            <w:r>
              <w:rPr>
                <w:b/>
                <w:bCs/>
                <w:sz w:val="18"/>
                <w:szCs w:val="18"/>
              </w:rPr>
              <w:t>2016</w:t>
            </w:r>
          </w:p>
        </w:tc>
        <w:tc>
          <w:tcPr>
            <w:tcW w:w="1170" w:type="dxa"/>
            <w:vMerge/>
            <w:tcBorders>
              <w:left w:val="double" w:sz="4" w:space="0" w:color="auto"/>
            </w:tcBorders>
            <w:vAlign w:val="center"/>
          </w:tcPr>
          <w:p w:rsidR="005C4814" w:rsidRPr="00290AF3" w:rsidRDefault="005C4814" w:rsidP="002D0F65">
            <w:pPr>
              <w:rPr>
                <w:sz w:val="16"/>
                <w:szCs w:val="16"/>
              </w:rPr>
            </w:pPr>
          </w:p>
        </w:tc>
        <w:tc>
          <w:tcPr>
            <w:tcW w:w="1350" w:type="dxa"/>
            <w:vMerge/>
            <w:vAlign w:val="center"/>
          </w:tcPr>
          <w:p w:rsidR="005C4814" w:rsidRPr="00290AF3" w:rsidRDefault="005C4814" w:rsidP="002D0F65">
            <w:pPr>
              <w:rPr>
                <w:bCs/>
                <w:sz w:val="16"/>
                <w:szCs w:val="16"/>
              </w:rPr>
            </w:pPr>
          </w:p>
        </w:tc>
        <w:tc>
          <w:tcPr>
            <w:tcW w:w="1350" w:type="dxa"/>
            <w:vMerge/>
            <w:vAlign w:val="center"/>
          </w:tcPr>
          <w:p w:rsidR="005C4814" w:rsidRPr="00290AF3" w:rsidRDefault="005C4814" w:rsidP="002D0F65">
            <w:pPr>
              <w:rPr>
                <w:sz w:val="16"/>
                <w:szCs w:val="16"/>
              </w:rPr>
            </w:pPr>
          </w:p>
        </w:tc>
        <w:tc>
          <w:tcPr>
            <w:tcW w:w="2592" w:type="dxa"/>
            <w:vMerge/>
            <w:vAlign w:val="center"/>
          </w:tcPr>
          <w:p w:rsidR="005C4814" w:rsidRPr="00290AF3" w:rsidRDefault="005C4814" w:rsidP="002D0F65">
            <w:pPr>
              <w:rPr>
                <w:sz w:val="16"/>
                <w:szCs w:val="16"/>
              </w:rPr>
            </w:pPr>
          </w:p>
        </w:tc>
      </w:tr>
      <w:tr w:rsidR="0025560D" w:rsidRPr="00B42847" w:rsidTr="002D0F65">
        <w:trPr>
          <w:trHeight w:val="64"/>
        </w:trPr>
        <w:tc>
          <w:tcPr>
            <w:tcW w:w="15030" w:type="dxa"/>
            <w:gridSpan w:val="12"/>
            <w:tcBorders>
              <w:bottom w:val="nil"/>
            </w:tcBorders>
            <w:vAlign w:val="center"/>
          </w:tcPr>
          <w:p w:rsidR="0025560D" w:rsidRPr="009B7EE3" w:rsidRDefault="0025560D" w:rsidP="002D0F65">
            <w:pPr>
              <w:pStyle w:val="FootnoteText"/>
              <w:jc w:val="center"/>
              <w:rPr>
                <w:b/>
                <w:bCs/>
                <w:sz w:val="24"/>
                <w:szCs w:val="24"/>
              </w:rPr>
            </w:pPr>
            <w:r w:rsidRPr="009B7EE3">
              <w:rPr>
                <w:b/>
                <w:bCs/>
                <w:sz w:val="24"/>
                <w:szCs w:val="24"/>
              </w:rPr>
              <w:t>INTERMEDIATE RESULT INDICATORS</w:t>
            </w:r>
          </w:p>
        </w:tc>
      </w:tr>
      <w:tr w:rsidR="0025560D" w:rsidRPr="00B42847" w:rsidTr="002D0F65">
        <w:trPr>
          <w:trHeight w:val="64"/>
        </w:trPr>
        <w:tc>
          <w:tcPr>
            <w:tcW w:w="15030" w:type="dxa"/>
            <w:gridSpan w:val="12"/>
            <w:tcBorders>
              <w:bottom w:val="nil"/>
            </w:tcBorders>
          </w:tcPr>
          <w:p w:rsidR="0025560D" w:rsidRPr="00BC5E90" w:rsidRDefault="0025560D" w:rsidP="002D0F65">
            <w:pPr>
              <w:rPr>
                <w:bCs/>
                <w:sz w:val="20"/>
                <w:szCs w:val="20"/>
              </w:rPr>
            </w:pPr>
            <w:r w:rsidRPr="00BC5E90">
              <w:rPr>
                <w:b/>
                <w:sz w:val="20"/>
                <w:szCs w:val="20"/>
              </w:rPr>
              <w:t xml:space="preserve">Intermediate Result (Component Two): </w:t>
            </w:r>
            <w:r>
              <w:rPr>
                <w:bCs/>
                <w:sz w:val="20"/>
                <w:szCs w:val="20"/>
              </w:rPr>
              <w:t>Improv</w:t>
            </w:r>
            <w:r w:rsidRPr="00BC5E90">
              <w:rPr>
                <w:bCs/>
                <w:sz w:val="20"/>
                <w:szCs w:val="20"/>
              </w:rPr>
              <w:t>ing Access, Quality and Completion of Lower Secondary Education</w:t>
            </w:r>
          </w:p>
        </w:tc>
      </w:tr>
      <w:tr w:rsidR="00FE5F42" w:rsidRPr="00B42847" w:rsidTr="005C4814">
        <w:trPr>
          <w:trHeight w:val="64"/>
        </w:trPr>
        <w:tc>
          <w:tcPr>
            <w:tcW w:w="3078" w:type="dxa"/>
            <w:tcBorders>
              <w:bottom w:val="nil"/>
              <w:right w:val="double" w:sz="4" w:space="0" w:color="auto"/>
            </w:tcBorders>
            <w:vAlign w:val="center"/>
          </w:tcPr>
          <w:p w:rsidR="00FE5F42" w:rsidRPr="008F3FE7" w:rsidRDefault="00FE5F42" w:rsidP="00FE5F42">
            <w:pPr>
              <w:rPr>
                <w:sz w:val="20"/>
                <w:szCs w:val="20"/>
              </w:rPr>
            </w:pPr>
            <w:r w:rsidRPr="008F3FE7">
              <w:rPr>
                <w:sz w:val="20"/>
                <w:szCs w:val="20"/>
              </w:rPr>
              <w:t xml:space="preserve">Intermediate Result indicator six: </w:t>
            </w:r>
          </w:p>
          <w:p w:rsidR="00FE5F42" w:rsidRPr="00BC5E90" w:rsidRDefault="00FE5F42" w:rsidP="00FE5F42">
            <w:pPr>
              <w:rPr>
                <w:sz w:val="20"/>
                <w:szCs w:val="20"/>
              </w:rPr>
            </w:pPr>
            <w:r w:rsidRPr="00BC5E90">
              <w:rPr>
                <w:sz w:val="20"/>
                <w:szCs w:val="20"/>
              </w:rPr>
              <w:t>Number of core schools</w:t>
            </w:r>
            <w:r>
              <w:rPr>
                <w:sz w:val="20"/>
                <w:szCs w:val="20"/>
              </w:rPr>
              <w:t xml:space="preserve"> (K-9)</w:t>
            </w:r>
            <w:r w:rsidRPr="00BC5E90">
              <w:rPr>
                <w:sz w:val="20"/>
                <w:szCs w:val="20"/>
              </w:rPr>
              <w:t xml:space="preserve"> with facilities improved for lower secondary education.</w:t>
            </w:r>
          </w:p>
        </w:tc>
        <w:tc>
          <w:tcPr>
            <w:tcW w:w="360" w:type="dxa"/>
            <w:tcBorders>
              <w:left w:val="double" w:sz="4" w:space="0" w:color="auto"/>
              <w:bottom w:val="nil"/>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00" w:type="dxa"/>
            <w:tcBorders>
              <w:bottom w:val="nil"/>
            </w:tcBorders>
            <w:vAlign w:val="center"/>
          </w:tcPr>
          <w:p w:rsidR="00FE5F42" w:rsidRPr="00290AF3" w:rsidRDefault="00FE5F42" w:rsidP="00FE5F42">
            <w:pPr>
              <w:jc w:val="center"/>
              <w:rPr>
                <w:bCs/>
                <w:sz w:val="18"/>
                <w:szCs w:val="18"/>
              </w:rPr>
            </w:pPr>
            <w:r w:rsidRPr="00290AF3">
              <w:rPr>
                <w:bCs/>
                <w:sz w:val="18"/>
                <w:szCs w:val="18"/>
              </w:rPr>
              <w:t>Number</w:t>
            </w:r>
          </w:p>
        </w:tc>
        <w:tc>
          <w:tcPr>
            <w:tcW w:w="990" w:type="dxa"/>
            <w:tcBorders>
              <w:bottom w:val="nil"/>
              <w:right w:val="double" w:sz="4" w:space="0" w:color="auto"/>
            </w:tcBorders>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50</w:t>
            </w:r>
          </w:p>
        </w:tc>
        <w:tc>
          <w:tcPr>
            <w:tcW w:w="810" w:type="dxa"/>
            <w:tcBorders>
              <w:bottom w:val="nil"/>
            </w:tcBorders>
            <w:vAlign w:val="center"/>
          </w:tcPr>
          <w:p w:rsidR="00FE5F42" w:rsidRPr="00290AF3" w:rsidRDefault="00FE5F42" w:rsidP="00FE5F42">
            <w:pPr>
              <w:jc w:val="center"/>
              <w:rPr>
                <w:bCs/>
                <w:sz w:val="18"/>
                <w:szCs w:val="18"/>
              </w:rPr>
            </w:pPr>
            <w:r w:rsidRPr="00290AF3">
              <w:rPr>
                <w:bCs/>
                <w:sz w:val="18"/>
                <w:szCs w:val="18"/>
              </w:rPr>
              <w:t>110</w:t>
            </w:r>
          </w:p>
        </w:tc>
        <w:tc>
          <w:tcPr>
            <w:tcW w:w="810" w:type="dxa"/>
            <w:tcBorders>
              <w:bottom w:val="nil"/>
              <w:right w:val="double" w:sz="4" w:space="0" w:color="auto"/>
            </w:tcBorders>
            <w:vAlign w:val="center"/>
          </w:tcPr>
          <w:p w:rsidR="00FE5F42" w:rsidRPr="00290AF3" w:rsidRDefault="00FE5F42" w:rsidP="00FE5F42">
            <w:pPr>
              <w:jc w:val="center"/>
              <w:rPr>
                <w:bCs/>
                <w:sz w:val="18"/>
                <w:szCs w:val="18"/>
              </w:rPr>
            </w:pPr>
            <w:r w:rsidRPr="00290AF3">
              <w:rPr>
                <w:bCs/>
                <w:sz w:val="18"/>
                <w:szCs w:val="18"/>
              </w:rPr>
              <w:t>200</w:t>
            </w:r>
          </w:p>
        </w:tc>
        <w:tc>
          <w:tcPr>
            <w:tcW w:w="1170"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rPr>
                <w:sz w:val="16"/>
                <w:szCs w:val="16"/>
              </w:rPr>
            </w:pPr>
            <w:r w:rsidRPr="00290AF3">
              <w:rPr>
                <w:sz w:val="16"/>
                <w:szCs w:val="16"/>
              </w:rPr>
              <w:t>Directorate of Infrastructure</w:t>
            </w:r>
          </w:p>
        </w:tc>
        <w:tc>
          <w:tcPr>
            <w:tcW w:w="2592" w:type="dxa"/>
            <w:vAlign w:val="center"/>
          </w:tcPr>
          <w:p w:rsidR="00FE5F42" w:rsidRPr="00290AF3" w:rsidRDefault="00FE5F42" w:rsidP="00FE5F42">
            <w:pPr>
              <w:rPr>
                <w:sz w:val="16"/>
                <w:szCs w:val="16"/>
              </w:rPr>
            </w:pPr>
            <w:r w:rsidRPr="00290AF3">
              <w:rPr>
                <w:sz w:val="16"/>
                <w:szCs w:val="16"/>
              </w:rPr>
              <w:t xml:space="preserve">Interventions to improve a core school facility </w:t>
            </w:r>
            <w:r>
              <w:rPr>
                <w:sz w:val="16"/>
                <w:szCs w:val="16"/>
              </w:rPr>
              <w:t>would</w:t>
            </w:r>
            <w:r w:rsidRPr="00290AF3">
              <w:rPr>
                <w:sz w:val="16"/>
                <w:szCs w:val="16"/>
              </w:rPr>
              <w:t xml:space="preserve"> comprise: (i) two new and/or rehabilitated classrooms on average per school; (ii) improved learning facilities (ICT, libraries, vocational workshops); (iii) classroom furniture and blackboards and (iv) complementary facilities, such as improve</w:t>
            </w:r>
            <w:r>
              <w:rPr>
                <w:sz w:val="16"/>
                <w:szCs w:val="16"/>
              </w:rPr>
              <w:t>d sanitation, water supply etc.</w:t>
            </w:r>
            <w:r w:rsidRPr="00290AF3">
              <w:rPr>
                <w:sz w:val="16"/>
                <w:szCs w:val="16"/>
              </w:rPr>
              <w:t xml:space="preserve"> </w:t>
            </w:r>
          </w:p>
        </w:tc>
      </w:tr>
      <w:tr w:rsidR="00FE5F42" w:rsidRPr="00B42847" w:rsidTr="005C4814">
        <w:trPr>
          <w:trHeight w:val="170"/>
        </w:trPr>
        <w:tc>
          <w:tcPr>
            <w:tcW w:w="3078" w:type="dxa"/>
            <w:tcBorders>
              <w:right w:val="double" w:sz="4" w:space="0" w:color="auto"/>
            </w:tcBorders>
            <w:vAlign w:val="center"/>
          </w:tcPr>
          <w:p w:rsidR="00FE5F42" w:rsidRPr="008F3FE7" w:rsidRDefault="00FE5F42" w:rsidP="00FE5F42">
            <w:pPr>
              <w:rPr>
                <w:sz w:val="20"/>
                <w:szCs w:val="20"/>
              </w:rPr>
            </w:pPr>
            <w:r w:rsidRPr="008F3FE7">
              <w:rPr>
                <w:sz w:val="20"/>
                <w:szCs w:val="20"/>
              </w:rPr>
              <w:t>Intermediate Result indicator seven:</w:t>
            </w:r>
          </w:p>
          <w:p w:rsidR="00FE5F42" w:rsidRPr="00BC5E90" w:rsidRDefault="00FE5F42" w:rsidP="00FE5F42">
            <w:pPr>
              <w:rPr>
                <w:sz w:val="20"/>
                <w:szCs w:val="20"/>
              </w:rPr>
            </w:pPr>
            <w:r>
              <w:rPr>
                <w:sz w:val="20"/>
                <w:szCs w:val="20"/>
              </w:rPr>
              <w:t>A university-based certification program for lower-secondary teachers implemented.</w:t>
            </w:r>
            <w:r w:rsidRPr="00BC5E90">
              <w:rPr>
                <w:sz w:val="20"/>
                <w:szCs w:val="20"/>
              </w:rPr>
              <w:t xml:space="preserve">  </w:t>
            </w:r>
          </w:p>
        </w:tc>
        <w:tc>
          <w:tcPr>
            <w:tcW w:w="360"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00" w:type="dxa"/>
            <w:vAlign w:val="center"/>
          </w:tcPr>
          <w:p w:rsidR="00FE5F42" w:rsidRPr="00290AF3" w:rsidRDefault="00FE5F42" w:rsidP="00FE5F42">
            <w:pPr>
              <w:jc w:val="center"/>
              <w:rPr>
                <w:bCs/>
                <w:sz w:val="18"/>
                <w:szCs w:val="18"/>
              </w:rPr>
            </w:pPr>
            <w:r>
              <w:rPr>
                <w:bCs/>
                <w:sz w:val="18"/>
                <w:szCs w:val="18"/>
              </w:rPr>
              <w:t>Text</w:t>
            </w:r>
          </w:p>
        </w:tc>
        <w:tc>
          <w:tcPr>
            <w:tcW w:w="99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No</w:t>
            </w:r>
          </w:p>
        </w:tc>
        <w:tc>
          <w:tcPr>
            <w:tcW w:w="810" w:type="dxa"/>
            <w:vAlign w:val="center"/>
          </w:tcPr>
          <w:p w:rsidR="00FE5F42" w:rsidRPr="005D5D70" w:rsidRDefault="00FE5F42" w:rsidP="00FE5F42">
            <w:pPr>
              <w:rPr>
                <w:bCs/>
                <w:sz w:val="16"/>
                <w:szCs w:val="16"/>
              </w:rPr>
            </w:pPr>
            <w:r w:rsidRPr="005D5D70">
              <w:rPr>
                <w:bCs/>
                <w:sz w:val="16"/>
                <w:szCs w:val="16"/>
              </w:rPr>
              <w:t>Development of a pre-service training certification program by the Universities</w:t>
            </w:r>
          </w:p>
        </w:tc>
        <w:tc>
          <w:tcPr>
            <w:tcW w:w="810" w:type="dxa"/>
            <w:vAlign w:val="center"/>
          </w:tcPr>
          <w:p w:rsidR="00FE5F42" w:rsidRPr="00290AF3" w:rsidRDefault="00FE5F42" w:rsidP="00FE5F42">
            <w:pPr>
              <w:rPr>
                <w:bCs/>
                <w:sz w:val="18"/>
                <w:szCs w:val="18"/>
              </w:rPr>
            </w:pPr>
            <w:r>
              <w:rPr>
                <w:bCs/>
                <w:sz w:val="18"/>
                <w:szCs w:val="18"/>
              </w:rPr>
              <w:t>1,</w:t>
            </w:r>
            <w:r w:rsidRPr="00290AF3">
              <w:rPr>
                <w:bCs/>
                <w:sz w:val="18"/>
                <w:szCs w:val="18"/>
              </w:rPr>
              <w:t>000 student-teachers enrolled</w:t>
            </w:r>
          </w:p>
        </w:tc>
        <w:tc>
          <w:tcPr>
            <w:tcW w:w="810" w:type="dxa"/>
            <w:vAlign w:val="center"/>
          </w:tcPr>
          <w:p w:rsidR="00FE5F42" w:rsidRPr="00290AF3" w:rsidRDefault="00FE5F42" w:rsidP="00FE5F42">
            <w:pPr>
              <w:rPr>
                <w:bCs/>
                <w:sz w:val="18"/>
                <w:szCs w:val="18"/>
              </w:rPr>
            </w:pPr>
            <w:r>
              <w:rPr>
                <w:bCs/>
                <w:sz w:val="18"/>
                <w:szCs w:val="18"/>
              </w:rPr>
              <w:t>1,</w:t>
            </w:r>
            <w:r w:rsidRPr="00290AF3">
              <w:rPr>
                <w:bCs/>
                <w:sz w:val="18"/>
                <w:szCs w:val="18"/>
              </w:rPr>
              <w:t>000 student-teachers enrolled</w:t>
            </w:r>
          </w:p>
        </w:tc>
        <w:tc>
          <w:tcPr>
            <w:tcW w:w="81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900 student-teachers certified</w:t>
            </w:r>
          </w:p>
        </w:tc>
        <w:tc>
          <w:tcPr>
            <w:tcW w:w="1170"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rPr>
                <w:sz w:val="16"/>
                <w:szCs w:val="16"/>
              </w:rPr>
            </w:pPr>
            <w:r w:rsidRPr="00290AF3">
              <w:rPr>
                <w:sz w:val="16"/>
                <w:szCs w:val="16"/>
              </w:rPr>
              <w:t>Directorate of Secondary</w:t>
            </w:r>
          </w:p>
        </w:tc>
        <w:tc>
          <w:tcPr>
            <w:tcW w:w="2592" w:type="dxa"/>
          </w:tcPr>
          <w:p w:rsidR="00FE5F42" w:rsidRPr="00290AF3" w:rsidRDefault="00FE5F42" w:rsidP="00FE5F42">
            <w:pPr>
              <w:rPr>
                <w:sz w:val="16"/>
                <w:szCs w:val="16"/>
              </w:rPr>
            </w:pPr>
            <w:r w:rsidRPr="00D961E3">
              <w:rPr>
                <w:sz w:val="16"/>
                <w:szCs w:val="16"/>
              </w:rPr>
              <w:t xml:space="preserve">Universities </w:t>
            </w:r>
            <w:r>
              <w:rPr>
                <w:sz w:val="16"/>
                <w:szCs w:val="16"/>
              </w:rPr>
              <w:t>would</w:t>
            </w:r>
            <w:r w:rsidRPr="00D961E3">
              <w:rPr>
                <w:sz w:val="16"/>
                <w:szCs w:val="16"/>
              </w:rPr>
              <w:t xml:space="preserve"> sign a </w:t>
            </w:r>
            <w:r>
              <w:rPr>
                <w:sz w:val="16"/>
                <w:szCs w:val="16"/>
              </w:rPr>
              <w:t>contract</w:t>
            </w:r>
            <w:r w:rsidRPr="00D961E3">
              <w:rPr>
                <w:sz w:val="16"/>
                <w:szCs w:val="16"/>
              </w:rPr>
              <w:t xml:space="preserve"> with MINED for the implementation of the university-based certification program and the enrollment of secondary </w:t>
            </w:r>
            <w:r>
              <w:rPr>
                <w:sz w:val="16"/>
                <w:szCs w:val="16"/>
              </w:rPr>
              <w:t>school</w:t>
            </w:r>
            <w:r w:rsidRPr="00D961E3">
              <w:rPr>
                <w:sz w:val="16"/>
                <w:szCs w:val="16"/>
              </w:rPr>
              <w:t xml:space="preserve"> teachers in the three-year program</w:t>
            </w:r>
            <w:r>
              <w:rPr>
                <w:sz w:val="16"/>
                <w:szCs w:val="16"/>
              </w:rPr>
              <w:t xml:space="preserve"> to end in 2014.</w:t>
            </w:r>
          </w:p>
        </w:tc>
      </w:tr>
      <w:tr w:rsidR="00FE5F42" w:rsidRPr="00BC5E90" w:rsidTr="005C4814">
        <w:trPr>
          <w:trHeight w:val="64"/>
        </w:trPr>
        <w:tc>
          <w:tcPr>
            <w:tcW w:w="3078" w:type="dxa"/>
            <w:tcBorders>
              <w:right w:val="double" w:sz="4" w:space="0" w:color="auto"/>
            </w:tcBorders>
            <w:vAlign w:val="center"/>
          </w:tcPr>
          <w:p w:rsidR="00FE5F42" w:rsidRPr="008F3FE7" w:rsidRDefault="00FE5F42" w:rsidP="00FE5F42">
            <w:pPr>
              <w:rPr>
                <w:sz w:val="20"/>
                <w:szCs w:val="20"/>
              </w:rPr>
            </w:pPr>
            <w:r w:rsidRPr="008F3FE7">
              <w:rPr>
                <w:sz w:val="20"/>
                <w:szCs w:val="20"/>
              </w:rPr>
              <w:t>Intermediate Result indicator eight:</w:t>
            </w:r>
          </w:p>
          <w:p w:rsidR="00FE5F42" w:rsidRPr="005D5D70" w:rsidRDefault="00FE5F42" w:rsidP="00FE5F42">
            <w:pPr>
              <w:rPr>
                <w:sz w:val="18"/>
                <w:szCs w:val="18"/>
              </w:rPr>
            </w:pPr>
            <w:r w:rsidRPr="008F3FE7">
              <w:rPr>
                <w:sz w:val="20"/>
                <w:szCs w:val="20"/>
              </w:rPr>
              <w:t>Number of secondary school teachers who participate in the 20-days in-service teacher upgrading training based on the secondary curriculum</w:t>
            </w:r>
            <w:r>
              <w:rPr>
                <w:sz w:val="20"/>
                <w:szCs w:val="20"/>
              </w:rPr>
              <w:t>.</w:t>
            </w:r>
          </w:p>
        </w:tc>
        <w:tc>
          <w:tcPr>
            <w:tcW w:w="360"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00" w:type="dxa"/>
            <w:vAlign w:val="center"/>
          </w:tcPr>
          <w:p w:rsidR="00FE5F42" w:rsidRPr="00290AF3" w:rsidRDefault="00FE5F42" w:rsidP="00FE5F42">
            <w:pPr>
              <w:jc w:val="center"/>
              <w:rPr>
                <w:bCs/>
                <w:sz w:val="18"/>
                <w:szCs w:val="18"/>
              </w:rPr>
            </w:pPr>
            <w:r w:rsidRPr="00290AF3">
              <w:rPr>
                <w:bCs/>
                <w:sz w:val="18"/>
                <w:szCs w:val="18"/>
              </w:rPr>
              <w:t>Number</w:t>
            </w:r>
          </w:p>
        </w:tc>
        <w:tc>
          <w:tcPr>
            <w:tcW w:w="99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Pr>
                <w:bCs/>
                <w:sz w:val="18"/>
                <w:szCs w:val="18"/>
              </w:rPr>
              <w:t>0</w:t>
            </w:r>
          </w:p>
        </w:tc>
        <w:tc>
          <w:tcPr>
            <w:tcW w:w="810" w:type="dxa"/>
            <w:tcBorders>
              <w:right w:val="double" w:sz="4" w:space="0" w:color="auto"/>
            </w:tcBorders>
            <w:vAlign w:val="center"/>
          </w:tcPr>
          <w:p w:rsidR="00FE5F42" w:rsidRPr="00290AF3" w:rsidRDefault="00FE5F42" w:rsidP="00FE5F42">
            <w:pPr>
              <w:jc w:val="center"/>
              <w:rPr>
                <w:bCs/>
                <w:sz w:val="18"/>
                <w:szCs w:val="18"/>
              </w:rPr>
            </w:pPr>
            <w:r>
              <w:rPr>
                <w:bCs/>
                <w:sz w:val="18"/>
                <w:szCs w:val="18"/>
              </w:rPr>
              <w:t>1,64</w:t>
            </w:r>
            <w:r w:rsidRPr="00290AF3">
              <w:rPr>
                <w:bCs/>
                <w:sz w:val="18"/>
                <w:szCs w:val="18"/>
              </w:rPr>
              <w:t>0</w:t>
            </w:r>
          </w:p>
        </w:tc>
        <w:tc>
          <w:tcPr>
            <w:tcW w:w="1170"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rPr>
                <w:sz w:val="16"/>
                <w:szCs w:val="16"/>
              </w:rPr>
            </w:pPr>
            <w:r w:rsidRPr="00290AF3">
              <w:rPr>
                <w:sz w:val="16"/>
                <w:szCs w:val="16"/>
              </w:rPr>
              <w:t>Directorate of Training</w:t>
            </w:r>
          </w:p>
        </w:tc>
        <w:tc>
          <w:tcPr>
            <w:tcW w:w="2592" w:type="dxa"/>
            <w:vAlign w:val="center"/>
          </w:tcPr>
          <w:p w:rsidR="00FE5F42" w:rsidRPr="00290AF3" w:rsidRDefault="00FE5F42" w:rsidP="00FE5F42">
            <w:pPr>
              <w:rPr>
                <w:sz w:val="16"/>
                <w:szCs w:val="16"/>
              </w:rPr>
            </w:pPr>
            <w:r>
              <w:rPr>
                <w:sz w:val="16"/>
                <w:szCs w:val="16"/>
              </w:rPr>
              <w:t>10 days of i</w:t>
            </w:r>
            <w:r w:rsidRPr="00290AF3">
              <w:rPr>
                <w:sz w:val="16"/>
                <w:szCs w:val="16"/>
              </w:rPr>
              <w:t xml:space="preserve">n-service courses </w:t>
            </w:r>
            <w:r>
              <w:rPr>
                <w:sz w:val="16"/>
                <w:szCs w:val="16"/>
              </w:rPr>
              <w:t>would</w:t>
            </w:r>
            <w:r w:rsidRPr="00290AF3">
              <w:rPr>
                <w:sz w:val="16"/>
                <w:szCs w:val="16"/>
              </w:rPr>
              <w:t xml:space="preserve"> be offered by the eight Teacher Training Institutes</w:t>
            </w:r>
            <w:r>
              <w:rPr>
                <w:sz w:val="16"/>
                <w:szCs w:val="16"/>
              </w:rPr>
              <w:t xml:space="preserve"> - TTIs</w:t>
            </w:r>
            <w:r w:rsidRPr="00290AF3">
              <w:rPr>
                <w:sz w:val="16"/>
                <w:szCs w:val="16"/>
              </w:rPr>
              <w:t xml:space="preserve"> (</w:t>
            </w:r>
            <w:r w:rsidRPr="00290AF3">
              <w:rPr>
                <w:i/>
                <w:sz w:val="16"/>
                <w:szCs w:val="16"/>
              </w:rPr>
              <w:t>Escuelas Normales</w:t>
            </w:r>
            <w:r>
              <w:rPr>
                <w:sz w:val="16"/>
                <w:szCs w:val="16"/>
              </w:rPr>
              <w:t>) in 2014 and 2015</w:t>
            </w:r>
            <w:r w:rsidRPr="00290AF3">
              <w:rPr>
                <w:sz w:val="16"/>
                <w:szCs w:val="16"/>
              </w:rPr>
              <w:t xml:space="preserve">. </w:t>
            </w:r>
          </w:p>
        </w:tc>
      </w:tr>
      <w:tr w:rsidR="00FE5F42" w:rsidRPr="00BC5E90" w:rsidTr="005C4814">
        <w:trPr>
          <w:trHeight w:val="170"/>
        </w:trPr>
        <w:tc>
          <w:tcPr>
            <w:tcW w:w="3078" w:type="dxa"/>
            <w:tcBorders>
              <w:right w:val="double" w:sz="4" w:space="0" w:color="auto"/>
            </w:tcBorders>
            <w:vAlign w:val="center"/>
          </w:tcPr>
          <w:p w:rsidR="00FE5F42" w:rsidRPr="008F3FE7" w:rsidRDefault="00FE5F42" w:rsidP="00FE5F42">
            <w:pPr>
              <w:rPr>
                <w:sz w:val="20"/>
                <w:szCs w:val="20"/>
              </w:rPr>
            </w:pPr>
            <w:r w:rsidRPr="008F3FE7">
              <w:rPr>
                <w:sz w:val="20"/>
                <w:szCs w:val="20"/>
              </w:rPr>
              <w:t xml:space="preserve">Intermediate Result indicator nine: </w:t>
            </w:r>
          </w:p>
          <w:p w:rsidR="00FE5F42" w:rsidRPr="00BC5E90" w:rsidRDefault="00FE5F42" w:rsidP="00FE5F42">
            <w:pPr>
              <w:rPr>
                <w:sz w:val="20"/>
                <w:szCs w:val="20"/>
              </w:rPr>
            </w:pPr>
            <w:r w:rsidRPr="00BC5E90">
              <w:rPr>
                <w:bCs/>
                <w:sz w:val="20"/>
                <w:szCs w:val="20"/>
              </w:rPr>
              <w:t>Number of secondary textbooks distributed</w:t>
            </w:r>
            <w:r>
              <w:rPr>
                <w:bCs/>
                <w:sz w:val="20"/>
                <w:szCs w:val="20"/>
              </w:rPr>
              <w:t>.</w:t>
            </w:r>
          </w:p>
        </w:tc>
        <w:tc>
          <w:tcPr>
            <w:tcW w:w="360"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00" w:type="dxa"/>
            <w:vAlign w:val="center"/>
          </w:tcPr>
          <w:p w:rsidR="00FE5F42" w:rsidRPr="00290AF3" w:rsidRDefault="00FE5F42" w:rsidP="00FE5F42">
            <w:pPr>
              <w:jc w:val="center"/>
              <w:rPr>
                <w:bCs/>
                <w:sz w:val="18"/>
                <w:szCs w:val="18"/>
              </w:rPr>
            </w:pPr>
            <w:r w:rsidRPr="00290AF3">
              <w:rPr>
                <w:bCs/>
                <w:sz w:val="18"/>
                <w:szCs w:val="18"/>
              </w:rPr>
              <w:t>Number</w:t>
            </w:r>
          </w:p>
        </w:tc>
        <w:tc>
          <w:tcPr>
            <w:tcW w:w="99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1.1 M</w:t>
            </w:r>
          </w:p>
        </w:tc>
        <w:tc>
          <w:tcPr>
            <w:tcW w:w="81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1.1 M</w:t>
            </w:r>
          </w:p>
        </w:tc>
        <w:tc>
          <w:tcPr>
            <w:tcW w:w="1170"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rPr>
                <w:sz w:val="16"/>
                <w:szCs w:val="16"/>
              </w:rPr>
            </w:pPr>
            <w:r w:rsidRPr="00290AF3">
              <w:rPr>
                <w:sz w:val="16"/>
                <w:szCs w:val="16"/>
              </w:rPr>
              <w:t>Directorate of Secondary</w:t>
            </w:r>
          </w:p>
        </w:tc>
        <w:tc>
          <w:tcPr>
            <w:tcW w:w="2592" w:type="dxa"/>
            <w:vAlign w:val="center"/>
          </w:tcPr>
          <w:p w:rsidR="00FE5F42" w:rsidRPr="00290AF3" w:rsidRDefault="00FE5F42" w:rsidP="00FE5F42">
            <w:pPr>
              <w:rPr>
                <w:sz w:val="16"/>
                <w:szCs w:val="16"/>
              </w:rPr>
            </w:pPr>
            <w:r>
              <w:rPr>
                <w:sz w:val="16"/>
                <w:szCs w:val="16"/>
              </w:rPr>
              <w:t>Textbooks would be distributed for grades 7 to 11 in five subject matters according to the table 2.5 of the PAD.</w:t>
            </w:r>
          </w:p>
        </w:tc>
      </w:tr>
      <w:tr w:rsidR="00FE5F42" w:rsidRPr="00BC5E90" w:rsidTr="005C4814">
        <w:trPr>
          <w:trHeight w:val="170"/>
        </w:trPr>
        <w:tc>
          <w:tcPr>
            <w:tcW w:w="3078" w:type="dxa"/>
            <w:tcBorders>
              <w:right w:val="double" w:sz="4" w:space="0" w:color="auto"/>
            </w:tcBorders>
            <w:vAlign w:val="center"/>
          </w:tcPr>
          <w:p w:rsidR="00FE5F42" w:rsidRPr="00BC5E90" w:rsidRDefault="00FE5F42" w:rsidP="00FE5F42">
            <w:pPr>
              <w:rPr>
                <w:i/>
                <w:sz w:val="20"/>
                <w:szCs w:val="20"/>
              </w:rPr>
            </w:pPr>
            <w:r w:rsidRPr="008F3FE7">
              <w:rPr>
                <w:sz w:val="20"/>
                <w:szCs w:val="20"/>
              </w:rPr>
              <w:t>Intermediate Result indicator ten</w:t>
            </w:r>
            <w:r w:rsidRPr="00BC5E90">
              <w:rPr>
                <w:i/>
                <w:sz w:val="20"/>
                <w:szCs w:val="20"/>
              </w:rPr>
              <w:t xml:space="preserve">: </w:t>
            </w:r>
          </w:p>
          <w:p w:rsidR="00FE5F42" w:rsidRPr="00BC5E90" w:rsidRDefault="00FE5F42" w:rsidP="00FE5F42">
            <w:pPr>
              <w:rPr>
                <w:sz w:val="20"/>
                <w:szCs w:val="20"/>
              </w:rPr>
            </w:pPr>
            <w:r w:rsidRPr="00BC5E90">
              <w:rPr>
                <w:bCs/>
                <w:sz w:val="20"/>
                <w:szCs w:val="20"/>
              </w:rPr>
              <w:t xml:space="preserve">Number of teaching guides distributed </w:t>
            </w:r>
            <w:r>
              <w:rPr>
                <w:bCs/>
                <w:sz w:val="20"/>
                <w:szCs w:val="20"/>
              </w:rPr>
              <w:t xml:space="preserve">to </w:t>
            </w:r>
            <w:r w:rsidRPr="00BC5E90">
              <w:rPr>
                <w:bCs/>
                <w:sz w:val="20"/>
                <w:szCs w:val="20"/>
              </w:rPr>
              <w:t>secondary school teachers.</w:t>
            </w:r>
          </w:p>
        </w:tc>
        <w:tc>
          <w:tcPr>
            <w:tcW w:w="360" w:type="dxa"/>
            <w:tcBorders>
              <w:left w:val="double" w:sz="4" w:space="0" w:color="auto"/>
            </w:tcBorders>
            <w:vAlign w:val="center"/>
          </w:tcPr>
          <w:p w:rsidR="00FE5F42" w:rsidRPr="00290AF3" w:rsidRDefault="00FE5F42" w:rsidP="00FE5F42">
            <w:pPr>
              <w:jc w:val="center"/>
              <w:rPr>
                <w:sz w:val="18"/>
                <w:szCs w:val="18"/>
              </w:rPr>
            </w:pPr>
            <w:r w:rsidRPr="00290AF3">
              <w:rPr>
                <w:sz w:val="18"/>
                <w:szCs w:val="18"/>
              </w:rPr>
              <w:fldChar w:fldCharType="begin">
                <w:ffData>
                  <w:name w:val="Check1"/>
                  <w:enabled/>
                  <w:calcOnExit w:val="0"/>
                  <w:checkBox>
                    <w:sizeAuto/>
                    <w:default w:val="0"/>
                  </w:checkBox>
                </w:ffData>
              </w:fldChar>
            </w:r>
            <w:r w:rsidRPr="00290AF3">
              <w:rPr>
                <w:sz w:val="18"/>
                <w:szCs w:val="18"/>
              </w:rPr>
              <w:instrText xml:space="preserve"> FORMCHECKBOX </w:instrText>
            </w:r>
            <w:r w:rsidR="00C64F38">
              <w:rPr>
                <w:sz w:val="18"/>
                <w:szCs w:val="18"/>
              </w:rPr>
            </w:r>
            <w:r w:rsidR="00C64F38">
              <w:rPr>
                <w:sz w:val="18"/>
                <w:szCs w:val="18"/>
              </w:rPr>
              <w:fldChar w:fldCharType="separate"/>
            </w:r>
            <w:r w:rsidRPr="00290AF3">
              <w:rPr>
                <w:sz w:val="18"/>
                <w:szCs w:val="18"/>
              </w:rPr>
              <w:fldChar w:fldCharType="end"/>
            </w:r>
          </w:p>
        </w:tc>
        <w:tc>
          <w:tcPr>
            <w:tcW w:w="900" w:type="dxa"/>
            <w:vAlign w:val="center"/>
          </w:tcPr>
          <w:p w:rsidR="00FE5F42" w:rsidRPr="00290AF3" w:rsidRDefault="00FE5F42" w:rsidP="00FE5F42">
            <w:pPr>
              <w:jc w:val="center"/>
              <w:rPr>
                <w:bCs/>
                <w:sz w:val="18"/>
                <w:szCs w:val="18"/>
              </w:rPr>
            </w:pPr>
            <w:r w:rsidRPr="00290AF3">
              <w:rPr>
                <w:bCs/>
                <w:sz w:val="18"/>
                <w:szCs w:val="18"/>
              </w:rPr>
              <w:t>Number</w:t>
            </w:r>
          </w:p>
        </w:tc>
        <w:tc>
          <w:tcPr>
            <w:tcW w:w="99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0</w:t>
            </w:r>
          </w:p>
        </w:tc>
        <w:tc>
          <w:tcPr>
            <w:tcW w:w="810" w:type="dxa"/>
            <w:vAlign w:val="center"/>
          </w:tcPr>
          <w:p w:rsidR="00FE5F42" w:rsidRPr="00290AF3" w:rsidRDefault="00FE5F42" w:rsidP="00FE5F42">
            <w:pPr>
              <w:jc w:val="center"/>
              <w:rPr>
                <w:bCs/>
                <w:sz w:val="18"/>
                <w:szCs w:val="18"/>
              </w:rPr>
            </w:pPr>
            <w:r w:rsidRPr="00290AF3">
              <w:rPr>
                <w:bCs/>
                <w:sz w:val="18"/>
                <w:szCs w:val="18"/>
              </w:rPr>
              <w:t>16,300</w:t>
            </w:r>
          </w:p>
        </w:tc>
        <w:tc>
          <w:tcPr>
            <w:tcW w:w="810" w:type="dxa"/>
            <w:tcBorders>
              <w:right w:val="double" w:sz="4" w:space="0" w:color="auto"/>
            </w:tcBorders>
            <w:vAlign w:val="center"/>
          </w:tcPr>
          <w:p w:rsidR="00FE5F42" w:rsidRPr="00290AF3" w:rsidRDefault="00FE5F42" w:rsidP="00FE5F42">
            <w:pPr>
              <w:jc w:val="center"/>
              <w:rPr>
                <w:bCs/>
                <w:sz w:val="18"/>
                <w:szCs w:val="18"/>
              </w:rPr>
            </w:pPr>
            <w:r w:rsidRPr="00290AF3">
              <w:rPr>
                <w:bCs/>
                <w:sz w:val="18"/>
                <w:szCs w:val="18"/>
              </w:rPr>
              <w:t>16,300</w:t>
            </w:r>
          </w:p>
        </w:tc>
        <w:tc>
          <w:tcPr>
            <w:tcW w:w="1170" w:type="dxa"/>
            <w:tcBorders>
              <w:left w:val="double" w:sz="4" w:space="0" w:color="auto"/>
            </w:tcBorders>
            <w:vAlign w:val="center"/>
          </w:tcPr>
          <w:p w:rsidR="00FE5F42" w:rsidRPr="00290AF3" w:rsidRDefault="00FE5F42" w:rsidP="00FE5F42">
            <w:pPr>
              <w:rPr>
                <w:sz w:val="16"/>
                <w:szCs w:val="16"/>
              </w:rPr>
            </w:pPr>
            <w:r w:rsidRPr="00290AF3">
              <w:rPr>
                <w:sz w:val="16"/>
                <w:szCs w:val="16"/>
              </w:rPr>
              <w:t>Annual</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rPr>
                <w:sz w:val="16"/>
                <w:szCs w:val="16"/>
              </w:rPr>
            </w:pPr>
            <w:r w:rsidRPr="00290AF3">
              <w:rPr>
                <w:sz w:val="16"/>
                <w:szCs w:val="16"/>
              </w:rPr>
              <w:t>Directorate of Secondary</w:t>
            </w:r>
          </w:p>
        </w:tc>
        <w:tc>
          <w:tcPr>
            <w:tcW w:w="2592" w:type="dxa"/>
            <w:vAlign w:val="center"/>
          </w:tcPr>
          <w:p w:rsidR="00FE5F42" w:rsidRPr="00290AF3" w:rsidRDefault="00FE5F42" w:rsidP="00FE5F42">
            <w:pPr>
              <w:rPr>
                <w:sz w:val="16"/>
                <w:szCs w:val="16"/>
              </w:rPr>
            </w:pPr>
            <w:r>
              <w:rPr>
                <w:sz w:val="16"/>
                <w:szCs w:val="16"/>
              </w:rPr>
              <w:t>Teaching guides would be distributed to all secondary school teachers in five subject matters.</w:t>
            </w:r>
          </w:p>
        </w:tc>
      </w:tr>
    </w:tbl>
    <w:p w:rsidR="00AE7ECE" w:rsidRDefault="00AE7ECE" w:rsidP="00AE7ECE"/>
    <w:p w:rsidR="00AE7ECE" w:rsidRDefault="00AE7ECE" w:rsidP="00AE7ECE"/>
    <w:p w:rsidR="00AE7ECE" w:rsidRDefault="00AE7ECE" w:rsidP="00AE7ECE"/>
    <w:p w:rsidR="00AE7ECE" w:rsidRPr="00BC5E90" w:rsidRDefault="00AE7ECE" w:rsidP="00AE7ECE">
      <w:pPr>
        <w:rPr>
          <w:sz w:val="20"/>
          <w:szCs w:val="20"/>
        </w:rPr>
      </w:pPr>
    </w:p>
    <w:p w:rsidR="00AE7ECE" w:rsidRDefault="00AE7ECE" w:rsidP="00AE7ECE"/>
    <w:p w:rsidR="00AE7ECE" w:rsidRDefault="00AE7ECE" w:rsidP="00AE7ECE"/>
    <w:p w:rsidR="00705BE2" w:rsidRDefault="00705BE2">
      <w:pPr>
        <w:rPr>
          <w:b/>
          <w:bCs/>
        </w:rPr>
      </w:pPr>
    </w:p>
    <w:tbl>
      <w:tblPr>
        <w:tblpPr w:leftFromText="180" w:rightFromText="180" w:horzAnchor="margin" w:tblpXSpec="center" w:tblpY="687"/>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3"/>
        <w:gridCol w:w="407"/>
        <w:gridCol w:w="900"/>
        <w:gridCol w:w="990"/>
        <w:gridCol w:w="810"/>
        <w:gridCol w:w="810"/>
        <w:gridCol w:w="810"/>
        <w:gridCol w:w="810"/>
        <w:gridCol w:w="1170"/>
        <w:gridCol w:w="1350"/>
        <w:gridCol w:w="1350"/>
        <w:gridCol w:w="2610"/>
      </w:tblGrid>
      <w:tr w:rsidR="005C4814" w:rsidRPr="00BC5E90" w:rsidTr="006211B3">
        <w:trPr>
          <w:trHeight w:val="170"/>
        </w:trPr>
        <w:tc>
          <w:tcPr>
            <w:tcW w:w="3121" w:type="dxa"/>
            <w:gridSpan w:val="2"/>
            <w:vMerge w:val="restart"/>
            <w:tcBorders>
              <w:right w:val="double" w:sz="4" w:space="0" w:color="auto"/>
            </w:tcBorders>
            <w:vAlign w:val="center"/>
          </w:tcPr>
          <w:p w:rsidR="005C4814" w:rsidRPr="00BC5E90" w:rsidRDefault="005C4814" w:rsidP="004E34A7">
            <w:pPr>
              <w:jc w:val="center"/>
              <w:rPr>
                <w:b/>
                <w:bCs/>
                <w:sz w:val="18"/>
                <w:szCs w:val="18"/>
              </w:rPr>
            </w:pPr>
          </w:p>
        </w:tc>
        <w:tc>
          <w:tcPr>
            <w:tcW w:w="407" w:type="dxa"/>
            <w:vMerge w:val="restart"/>
            <w:tcBorders>
              <w:left w:val="double" w:sz="4" w:space="0" w:color="auto"/>
            </w:tcBorders>
            <w:textDirection w:val="btLr"/>
            <w:vAlign w:val="center"/>
          </w:tcPr>
          <w:p w:rsidR="005C4814" w:rsidRPr="00BC5E90" w:rsidRDefault="005C4814" w:rsidP="004E34A7">
            <w:pPr>
              <w:jc w:val="center"/>
              <w:rPr>
                <w:b/>
                <w:bCs/>
                <w:sz w:val="18"/>
                <w:szCs w:val="18"/>
              </w:rPr>
            </w:pPr>
            <w:r w:rsidRPr="00BC5E90">
              <w:rPr>
                <w:b/>
                <w:bCs/>
                <w:sz w:val="18"/>
                <w:szCs w:val="18"/>
              </w:rPr>
              <w:t>Core</w:t>
            </w:r>
          </w:p>
        </w:tc>
        <w:tc>
          <w:tcPr>
            <w:tcW w:w="900" w:type="dxa"/>
            <w:vMerge w:val="restart"/>
            <w:vAlign w:val="center"/>
          </w:tcPr>
          <w:p w:rsidR="005C4814" w:rsidRPr="00BC5E90" w:rsidRDefault="005C4814" w:rsidP="004E34A7">
            <w:pPr>
              <w:jc w:val="center"/>
              <w:rPr>
                <w:b/>
                <w:bCs/>
                <w:sz w:val="18"/>
                <w:szCs w:val="18"/>
              </w:rPr>
            </w:pPr>
            <w:r w:rsidRPr="00BC5E90">
              <w:rPr>
                <w:b/>
                <w:bCs/>
                <w:sz w:val="18"/>
                <w:szCs w:val="18"/>
              </w:rPr>
              <w:t>Unit of Measure</w:t>
            </w:r>
          </w:p>
        </w:tc>
        <w:tc>
          <w:tcPr>
            <w:tcW w:w="990" w:type="dxa"/>
            <w:vMerge w:val="restart"/>
            <w:tcBorders>
              <w:right w:val="double" w:sz="4" w:space="0" w:color="auto"/>
            </w:tcBorders>
            <w:vAlign w:val="center"/>
          </w:tcPr>
          <w:p w:rsidR="005C4814" w:rsidRPr="00BC5E90" w:rsidRDefault="005C4814" w:rsidP="004E34A7">
            <w:pPr>
              <w:jc w:val="center"/>
              <w:rPr>
                <w:b/>
                <w:bCs/>
                <w:sz w:val="18"/>
                <w:szCs w:val="18"/>
              </w:rPr>
            </w:pPr>
            <w:r w:rsidRPr="00BC5E90">
              <w:rPr>
                <w:b/>
                <w:bCs/>
                <w:sz w:val="18"/>
                <w:szCs w:val="18"/>
              </w:rPr>
              <w:t>Base</w:t>
            </w:r>
          </w:p>
          <w:p w:rsidR="005C4814" w:rsidRPr="00BC5E90" w:rsidRDefault="005C4814" w:rsidP="004E34A7">
            <w:pPr>
              <w:jc w:val="center"/>
              <w:rPr>
                <w:b/>
                <w:bCs/>
                <w:sz w:val="18"/>
                <w:szCs w:val="18"/>
              </w:rPr>
            </w:pPr>
            <w:r w:rsidRPr="00BC5E90">
              <w:rPr>
                <w:b/>
                <w:bCs/>
                <w:sz w:val="18"/>
                <w:szCs w:val="18"/>
              </w:rPr>
              <w:t>line</w:t>
            </w:r>
          </w:p>
        </w:tc>
        <w:tc>
          <w:tcPr>
            <w:tcW w:w="3240" w:type="dxa"/>
            <w:gridSpan w:val="4"/>
            <w:tcBorders>
              <w:right w:val="double" w:sz="4" w:space="0" w:color="auto"/>
            </w:tcBorders>
            <w:vAlign w:val="center"/>
          </w:tcPr>
          <w:p w:rsidR="005C4814" w:rsidRPr="00573472" w:rsidRDefault="005C4814" w:rsidP="004E34A7">
            <w:pPr>
              <w:pStyle w:val="FootnoteText"/>
              <w:jc w:val="center"/>
              <w:rPr>
                <w:sz w:val="18"/>
                <w:szCs w:val="18"/>
              </w:rPr>
            </w:pPr>
            <w:r w:rsidRPr="00A90779">
              <w:rPr>
                <w:b/>
                <w:bCs/>
                <w:sz w:val="18"/>
                <w:szCs w:val="18"/>
              </w:rPr>
              <w:t>Cumulative Target Values</w:t>
            </w:r>
          </w:p>
        </w:tc>
        <w:tc>
          <w:tcPr>
            <w:tcW w:w="1170" w:type="dxa"/>
            <w:vMerge w:val="restart"/>
            <w:tcBorders>
              <w:left w:val="double" w:sz="4" w:space="0" w:color="auto"/>
            </w:tcBorders>
            <w:vAlign w:val="center"/>
          </w:tcPr>
          <w:p w:rsidR="005C4814" w:rsidRPr="006531A8" w:rsidRDefault="005C4814" w:rsidP="004E34A7">
            <w:pPr>
              <w:jc w:val="center"/>
              <w:rPr>
                <w:b/>
                <w:bCs/>
                <w:sz w:val="18"/>
                <w:szCs w:val="18"/>
              </w:rPr>
            </w:pPr>
            <w:r w:rsidRPr="006531A8">
              <w:rPr>
                <w:b/>
                <w:bCs/>
                <w:sz w:val="18"/>
                <w:szCs w:val="18"/>
              </w:rPr>
              <w:t>Frequency</w:t>
            </w:r>
          </w:p>
        </w:tc>
        <w:tc>
          <w:tcPr>
            <w:tcW w:w="1350" w:type="dxa"/>
            <w:vMerge w:val="restart"/>
            <w:vAlign w:val="center"/>
          </w:tcPr>
          <w:p w:rsidR="005C4814" w:rsidRPr="006531A8" w:rsidRDefault="005C4814" w:rsidP="004E34A7">
            <w:pPr>
              <w:jc w:val="center"/>
              <w:rPr>
                <w:b/>
                <w:bCs/>
                <w:sz w:val="18"/>
                <w:szCs w:val="18"/>
              </w:rPr>
            </w:pPr>
            <w:r w:rsidRPr="006531A8">
              <w:rPr>
                <w:b/>
                <w:bCs/>
                <w:sz w:val="18"/>
                <w:szCs w:val="18"/>
              </w:rPr>
              <w:t>Data Source/</w:t>
            </w:r>
          </w:p>
        </w:tc>
        <w:tc>
          <w:tcPr>
            <w:tcW w:w="1350" w:type="dxa"/>
            <w:vMerge w:val="restart"/>
            <w:vAlign w:val="center"/>
          </w:tcPr>
          <w:p w:rsidR="005C4814" w:rsidRPr="006531A8" w:rsidRDefault="005C4814" w:rsidP="004E34A7">
            <w:pPr>
              <w:jc w:val="center"/>
              <w:rPr>
                <w:b/>
                <w:bCs/>
                <w:sz w:val="18"/>
                <w:szCs w:val="18"/>
              </w:rPr>
            </w:pPr>
            <w:r w:rsidRPr="006531A8">
              <w:rPr>
                <w:b/>
                <w:bCs/>
                <w:sz w:val="18"/>
                <w:szCs w:val="18"/>
              </w:rPr>
              <w:t>Data Collection</w:t>
            </w:r>
          </w:p>
        </w:tc>
        <w:tc>
          <w:tcPr>
            <w:tcW w:w="2610" w:type="dxa"/>
            <w:vMerge w:val="restart"/>
            <w:vAlign w:val="center"/>
          </w:tcPr>
          <w:p w:rsidR="005C4814" w:rsidRPr="006531A8" w:rsidRDefault="005C4814" w:rsidP="004E34A7">
            <w:pPr>
              <w:jc w:val="center"/>
              <w:rPr>
                <w:b/>
                <w:bCs/>
                <w:sz w:val="18"/>
                <w:szCs w:val="18"/>
              </w:rPr>
            </w:pPr>
            <w:r w:rsidRPr="006531A8">
              <w:rPr>
                <w:b/>
                <w:bCs/>
                <w:sz w:val="18"/>
                <w:szCs w:val="18"/>
              </w:rPr>
              <w:t>Description (indicator</w:t>
            </w:r>
          </w:p>
          <w:p w:rsidR="005C4814" w:rsidRPr="006531A8" w:rsidRDefault="005C4814" w:rsidP="004E34A7">
            <w:pPr>
              <w:jc w:val="center"/>
              <w:rPr>
                <w:b/>
                <w:bCs/>
                <w:sz w:val="18"/>
                <w:szCs w:val="18"/>
              </w:rPr>
            </w:pPr>
            <w:proofErr w:type="gramStart"/>
            <w:r w:rsidRPr="006531A8">
              <w:rPr>
                <w:b/>
                <w:bCs/>
                <w:sz w:val="18"/>
                <w:szCs w:val="18"/>
              </w:rPr>
              <w:t>definition</w:t>
            </w:r>
            <w:proofErr w:type="gramEnd"/>
            <w:r w:rsidRPr="006531A8">
              <w:rPr>
                <w:b/>
                <w:bCs/>
                <w:sz w:val="18"/>
                <w:szCs w:val="18"/>
              </w:rPr>
              <w:t xml:space="preserve"> etc.)</w:t>
            </w:r>
          </w:p>
        </w:tc>
      </w:tr>
      <w:tr w:rsidR="006211B3" w:rsidRPr="00BC5E90" w:rsidTr="006211B3">
        <w:trPr>
          <w:trHeight w:val="170"/>
        </w:trPr>
        <w:tc>
          <w:tcPr>
            <w:tcW w:w="3121" w:type="dxa"/>
            <w:gridSpan w:val="2"/>
            <w:vMerge/>
            <w:tcBorders>
              <w:right w:val="double" w:sz="4" w:space="0" w:color="auto"/>
            </w:tcBorders>
            <w:vAlign w:val="center"/>
          </w:tcPr>
          <w:p w:rsidR="006211B3" w:rsidRPr="00BC5E90" w:rsidRDefault="006211B3" w:rsidP="004E34A7">
            <w:pPr>
              <w:pStyle w:val="FootnoteText"/>
              <w:rPr>
                <w:i/>
              </w:rPr>
            </w:pPr>
          </w:p>
        </w:tc>
        <w:tc>
          <w:tcPr>
            <w:tcW w:w="407" w:type="dxa"/>
            <w:vMerge/>
            <w:tcBorders>
              <w:left w:val="double" w:sz="4" w:space="0" w:color="auto"/>
            </w:tcBorders>
            <w:vAlign w:val="center"/>
          </w:tcPr>
          <w:p w:rsidR="006211B3" w:rsidRPr="00BC5E90" w:rsidRDefault="006211B3" w:rsidP="004E34A7">
            <w:pPr>
              <w:jc w:val="center"/>
              <w:rPr>
                <w:sz w:val="20"/>
                <w:szCs w:val="20"/>
              </w:rPr>
            </w:pPr>
          </w:p>
        </w:tc>
        <w:tc>
          <w:tcPr>
            <w:tcW w:w="900" w:type="dxa"/>
            <w:vMerge/>
            <w:vAlign w:val="center"/>
          </w:tcPr>
          <w:p w:rsidR="006211B3" w:rsidRPr="00BC5E90" w:rsidRDefault="006211B3" w:rsidP="004E34A7">
            <w:pPr>
              <w:pStyle w:val="FootnoteText"/>
              <w:jc w:val="center"/>
              <w:rPr>
                <w:bCs/>
              </w:rPr>
            </w:pPr>
          </w:p>
        </w:tc>
        <w:tc>
          <w:tcPr>
            <w:tcW w:w="990" w:type="dxa"/>
            <w:vMerge/>
            <w:tcBorders>
              <w:right w:val="double" w:sz="4" w:space="0" w:color="auto"/>
            </w:tcBorders>
            <w:vAlign w:val="center"/>
          </w:tcPr>
          <w:p w:rsidR="006211B3" w:rsidRPr="004065AE" w:rsidRDefault="006211B3" w:rsidP="004E34A7">
            <w:pPr>
              <w:pStyle w:val="FootnoteText"/>
              <w:jc w:val="center"/>
              <w:rPr>
                <w:bCs/>
                <w:sz w:val="18"/>
                <w:szCs w:val="18"/>
              </w:rPr>
            </w:pPr>
          </w:p>
        </w:tc>
        <w:tc>
          <w:tcPr>
            <w:tcW w:w="810" w:type="dxa"/>
            <w:vAlign w:val="center"/>
          </w:tcPr>
          <w:p w:rsidR="006211B3" w:rsidRPr="00BC5E90" w:rsidRDefault="006211B3" w:rsidP="004E34A7">
            <w:pPr>
              <w:jc w:val="center"/>
              <w:rPr>
                <w:b/>
                <w:bCs/>
                <w:sz w:val="18"/>
                <w:szCs w:val="18"/>
              </w:rPr>
            </w:pPr>
            <w:r w:rsidRPr="00BC5E90">
              <w:rPr>
                <w:b/>
                <w:bCs/>
                <w:sz w:val="18"/>
                <w:szCs w:val="18"/>
              </w:rPr>
              <w:t>YR 1</w:t>
            </w:r>
          </w:p>
          <w:p w:rsidR="006211B3" w:rsidRPr="00BC5E90" w:rsidRDefault="006211B3" w:rsidP="004E34A7">
            <w:pPr>
              <w:jc w:val="center"/>
              <w:rPr>
                <w:b/>
                <w:bCs/>
                <w:sz w:val="18"/>
                <w:szCs w:val="18"/>
              </w:rPr>
            </w:pPr>
            <w:r>
              <w:rPr>
                <w:b/>
                <w:bCs/>
                <w:sz w:val="18"/>
                <w:szCs w:val="18"/>
              </w:rPr>
              <w:t>2013</w:t>
            </w:r>
          </w:p>
        </w:tc>
        <w:tc>
          <w:tcPr>
            <w:tcW w:w="810" w:type="dxa"/>
            <w:vAlign w:val="center"/>
          </w:tcPr>
          <w:p w:rsidR="006211B3" w:rsidRPr="00BC5E90" w:rsidRDefault="006211B3" w:rsidP="004E34A7">
            <w:pPr>
              <w:jc w:val="center"/>
              <w:rPr>
                <w:b/>
                <w:bCs/>
                <w:sz w:val="18"/>
                <w:szCs w:val="18"/>
              </w:rPr>
            </w:pPr>
            <w:r w:rsidRPr="00BC5E90">
              <w:rPr>
                <w:b/>
                <w:bCs/>
                <w:sz w:val="18"/>
                <w:szCs w:val="18"/>
              </w:rPr>
              <w:t>YR 2</w:t>
            </w:r>
          </w:p>
          <w:p w:rsidR="006211B3" w:rsidRPr="00BC5E90" w:rsidRDefault="006211B3" w:rsidP="004E34A7">
            <w:pPr>
              <w:jc w:val="center"/>
              <w:rPr>
                <w:b/>
                <w:bCs/>
                <w:sz w:val="18"/>
                <w:szCs w:val="18"/>
              </w:rPr>
            </w:pPr>
            <w:r>
              <w:rPr>
                <w:b/>
                <w:bCs/>
                <w:sz w:val="18"/>
                <w:szCs w:val="18"/>
              </w:rPr>
              <w:t>2014</w:t>
            </w:r>
          </w:p>
        </w:tc>
        <w:tc>
          <w:tcPr>
            <w:tcW w:w="810" w:type="dxa"/>
            <w:vAlign w:val="center"/>
          </w:tcPr>
          <w:p w:rsidR="006211B3" w:rsidRPr="00BC5E90" w:rsidRDefault="006211B3" w:rsidP="004E34A7">
            <w:pPr>
              <w:jc w:val="center"/>
              <w:rPr>
                <w:b/>
                <w:bCs/>
                <w:sz w:val="18"/>
                <w:szCs w:val="18"/>
              </w:rPr>
            </w:pPr>
            <w:r w:rsidRPr="00BC5E90">
              <w:rPr>
                <w:b/>
                <w:bCs/>
                <w:sz w:val="18"/>
                <w:szCs w:val="18"/>
              </w:rPr>
              <w:t>YR 3</w:t>
            </w:r>
          </w:p>
          <w:p w:rsidR="006211B3" w:rsidRPr="00BC5E90" w:rsidRDefault="006211B3" w:rsidP="004E34A7">
            <w:pPr>
              <w:jc w:val="center"/>
              <w:rPr>
                <w:b/>
                <w:bCs/>
                <w:sz w:val="18"/>
                <w:szCs w:val="18"/>
              </w:rPr>
            </w:pPr>
            <w:r>
              <w:rPr>
                <w:b/>
                <w:bCs/>
                <w:sz w:val="18"/>
                <w:szCs w:val="18"/>
              </w:rPr>
              <w:t>2015</w:t>
            </w:r>
          </w:p>
        </w:tc>
        <w:tc>
          <w:tcPr>
            <w:tcW w:w="810" w:type="dxa"/>
            <w:tcBorders>
              <w:right w:val="double" w:sz="4" w:space="0" w:color="auto"/>
            </w:tcBorders>
            <w:vAlign w:val="center"/>
          </w:tcPr>
          <w:p w:rsidR="006211B3" w:rsidRPr="00BC5E90" w:rsidRDefault="006211B3" w:rsidP="004E34A7">
            <w:pPr>
              <w:jc w:val="center"/>
              <w:rPr>
                <w:b/>
                <w:bCs/>
                <w:sz w:val="18"/>
                <w:szCs w:val="18"/>
              </w:rPr>
            </w:pPr>
            <w:r w:rsidRPr="00BC5E90">
              <w:rPr>
                <w:b/>
                <w:bCs/>
                <w:sz w:val="18"/>
                <w:szCs w:val="18"/>
              </w:rPr>
              <w:t>YR4</w:t>
            </w:r>
          </w:p>
          <w:p w:rsidR="006211B3" w:rsidRPr="00BC5E90" w:rsidRDefault="006211B3" w:rsidP="006211B3">
            <w:pPr>
              <w:jc w:val="center"/>
              <w:rPr>
                <w:b/>
                <w:bCs/>
                <w:sz w:val="18"/>
                <w:szCs w:val="18"/>
              </w:rPr>
            </w:pPr>
            <w:r>
              <w:rPr>
                <w:b/>
                <w:bCs/>
                <w:sz w:val="18"/>
                <w:szCs w:val="18"/>
              </w:rPr>
              <w:t>2016</w:t>
            </w:r>
          </w:p>
        </w:tc>
        <w:tc>
          <w:tcPr>
            <w:tcW w:w="1170" w:type="dxa"/>
            <w:vMerge/>
            <w:tcBorders>
              <w:left w:val="double" w:sz="4" w:space="0" w:color="auto"/>
            </w:tcBorders>
            <w:vAlign w:val="center"/>
          </w:tcPr>
          <w:p w:rsidR="006211B3" w:rsidRPr="00290AF3" w:rsidRDefault="006211B3" w:rsidP="004E34A7">
            <w:pPr>
              <w:pStyle w:val="FootnoteText"/>
              <w:rPr>
                <w:sz w:val="16"/>
                <w:szCs w:val="16"/>
              </w:rPr>
            </w:pPr>
          </w:p>
        </w:tc>
        <w:tc>
          <w:tcPr>
            <w:tcW w:w="1350" w:type="dxa"/>
            <w:vMerge/>
            <w:vAlign w:val="center"/>
          </w:tcPr>
          <w:p w:rsidR="006211B3" w:rsidRPr="00290AF3" w:rsidRDefault="006211B3" w:rsidP="004E34A7">
            <w:pPr>
              <w:rPr>
                <w:bCs/>
                <w:sz w:val="16"/>
                <w:szCs w:val="16"/>
              </w:rPr>
            </w:pPr>
          </w:p>
        </w:tc>
        <w:tc>
          <w:tcPr>
            <w:tcW w:w="1350" w:type="dxa"/>
            <w:vMerge/>
            <w:vAlign w:val="center"/>
          </w:tcPr>
          <w:p w:rsidR="006211B3" w:rsidRPr="00290AF3" w:rsidRDefault="006211B3" w:rsidP="004E34A7">
            <w:pPr>
              <w:pStyle w:val="FootnoteText"/>
              <w:rPr>
                <w:sz w:val="16"/>
                <w:szCs w:val="16"/>
              </w:rPr>
            </w:pPr>
          </w:p>
        </w:tc>
        <w:tc>
          <w:tcPr>
            <w:tcW w:w="2610" w:type="dxa"/>
            <w:vMerge/>
            <w:vAlign w:val="center"/>
          </w:tcPr>
          <w:p w:rsidR="006211B3" w:rsidRDefault="006211B3" w:rsidP="004E34A7">
            <w:pPr>
              <w:pStyle w:val="FootnoteText"/>
              <w:rPr>
                <w:sz w:val="16"/>
                <w:szCs w:val="16"/>
              </w:rPr>
            </w:pPr>
          </w:p>
        </w:tc>
      </w:tr>
      <w:tr w:rsidR="005C4814" w:rsidRPr="00BC5E90" w:rsidTr="004E34A7">
        <w:trPr>
          <w:trHeight w:val="170"/>
        </w:trPr>
        <w:tc>
          <w:tcPr>
            <w:tcW w:w="15138" w:type="dxa"/>
            <w:gridSpan w:val="13"/>
            <w:vAlign w:val="center"/>
          </w:tcPr>
          <w:p w:rsidR="005C4814" w:rsidRPr="009B7EE3" w:rsidRDefault="005C4814" w:rsidP="004E34A7">
            <w:pPr>
              <w:pStyle w:val="FootnoteText"/>
              <w:jc w:val="center"/>
              <w:rPr>
                <w:b/>
                <w:bCs/>
                <w:sz w:val="24"/>
                <w:szCs w:val="24"/>
              </w:rPr>
            </w:pPr>
            <w:r w:rsidRPr="009B7EE3">
              <w:rPr>
                <w:b/>
                <w:bCs/>
                <w:sz w:val="24"/>
                <w:szCs w:val="24"/>
              </w:rPr>
              <w:t>INTERMEDIATE RESULT INDICATORS</w:t>
            </w:r>
          </w:p>
        </w:tc>
      </w:tr>
      <w:tr w:rsidR="005C4814" w:rsidRPr="00BC5E90" w:rsidTr="004E34A7">
        <w:trPr>
          <w:trHeight w:val="170"/>
        </w:trPr>
        <w:tc>
          <w:tcPr>
            <w:tcW w:w="15138" w:type="dxa"/>
            <w:gridSpan w:val="13"/>
            <w:vAlign w:val="center"/>
          </w:tcPr>
          <w:p w:rsidR="005C4814" w:rsidRPr="00C517F6" w:rsidRDefault="005C4814" w:rsidP="004E34A7">
            <w:pPr>
              <w:pStyle w:val="FootnoteText"/>
            </w:pPr>
            <w:r w:rsidRPr="00C517F6">
              <w:rPr>
                <w:b/>
                <w:bCs/>
              </w:rPr>
              <w:t xml:space="preserve">Intermediate Result (Component Three): </w:t>
            </w:r>
            <w:r w:rsidRPr="00C517F6">
              <w:rPr>
                <w:sz w:val="16"/>
                <w:szCs w:val="16"/>
              </w:rPr>
              <w:t xml:space="preserve"> </w:t>
            </w:r>
            <w:r w:rsidRPr="00C517F6">
              <w:t>Strengthening of the Ministry of Education’s Institutional Capacity for Preschool Education</w:t>
            </w:r>
          </w:p>
        </w:tc>
      </w:tr>
      <w:tr w:rsidR="00FE5F42" w:rsidRPr="00BC5E90" w:rsidTr="006211B3">
        <w:trPr>
          <w:trHeight w:val="170"/>
        </w:trPr>
        <w:tc>
          <w:tcPr>
            <w:tcW w:w="3078" w:type="dxa"/>
            <w:tcBorders>
              <w:right w:val="double" w:sz="4" w:space="0" w:color="auto"/>
            </w:tcBorders>
            <w:vAlign w:val="center"/>
          </w:tcPr>
          <w:p w:rsidR="00FE5F42" w:rsidRPr="008F3FE7" w:rsidRDefault="00FE5F42" w:rsidP="00FE5F42">
            <w:pPr>
              <w:pStyle w:val="FootnoteText"/>
            </w:pPr>
            <w:r w:rsidRPr="008F3FE7">
              <w:t>Intermediate Result indicator eleven:</w:t>
            </w:r>
          </w:p>
          <w:p w:rsidR="00FE5F42" w:rsidRPr="00BC5E90" w:rsidRDefault="00FE5F42" w:rsidP="00FE5F42">
            <w:pPr>
              <w:pStyle w:val="FootnoteText"/>
              <w:rPr>
                <w:i/>
              </w:rPr>
            </w:pPr>
            <w:r>
              <w:t>Personnel from the Directorate of Preschool Education are trained in basic management techniques.</w:t>
            </w:r>
            <w:r w:rsidRPr="00BC5E90">
              <w:t xml:space="preserve">  </w:t>
            </w:r>
          </w:p>
        </w:tc>
        <w:tc>
          <w:tcPr>
            <w:tcW w:w="450" w:type="dxa"/>
            <w:gridSpan w:val="2"/>
            <w:tcBorders>
              <w:left w:val="double" w:sz="4" w:space="0" w:color="auto"/>
            </w:tcBorders>
            <w:vAlign w:val="center"/>
          </w:tcPr>
          <w:p w:rsidR="00FE5F42" w:rsidRPr="00BC5E90" w:rsidRDefault="00FE5F42" w:rsidP="00FE5F42">
            <w:pPr>
              <w:jc w:val="center"/>
              <w:rPr>
                <w:sz w:val="20"/>
                <w:szCs w:val="20"/>
              </w:rPr>
            </w:pPr>
            <w:r w:rsidRPr="00BC5E90">
              <w:rPr>
                <w:sz w:val="20"/>
                <w:szCs w:val="20"/>
              </w:rPr>
              <w:fldChar w:fldCharType="begin">
                <w:ffData>
                  <w:name w:val="Check1"/>
                  <w:enabled/>
                  <w:calcOnExit w:val="0"/>
                  <w:checkBox>
                    <w:sizeAuto/>
                    <w:default w:val="0"/>
                  </w:checkBox>
                </w:ffData>
              </w:fldChar>
            </w:r>
            <w:r w:rsidRPr="00BC5E90">
              <w:rPr>
                <w:sz w:val="20"/>
                <w:szCs w:val="20"/>
              </w:rPr>
              <w:instrText xml:space="preserve"> FORMCHECKBOX </w:instrText>
            </w:r>
            <w:r w:rsidR="00C64F38">
              <w:rPr>
                <w:sz w:val="20"/>
                <w:szCs w:val="20"/>
              </w:rPr>
            </w:r>
            <w:r w:rsidR="00C64F38">
              <w:rPr>
                <w:sz w:val="20"/>
                <w:szCs w:val="20"/>
              </w:rPr>
              <w:fldChar w:fldCharType="separate"/>
            </w:r>
            <w:r w:rsidRPr="00BC5E90">
              <w:rPr>
                <w:sz w:val="20"/>
                <w:szCs w:val="20"/>
              </w:rPr>
              <w:fldChar w:fldCharType="end"/>
            </w:r>
          </w:p>
        </w:tc>
        <w:tc>
          <w:tcPr>
            <w:tcW w:w="900" w:type="dxa"/>
            <w:vAlign w:val="center"/>
          </w:tcPr>
          <w:p w:rsidR="00FE5F42" w:rsidRPr="00BC5E90" w:rsidRDefault="00FE5F42" w:rsidP="00FE5F42">
            <w:pPr>
              <w:pStyle w:val="FootnoteText"/>
              <w:jc w:val="center"/>
              <w:rPr>
                <w:bCs/>
              </w:rPr>
            </w:pPr>
            <w:r w:rsidRPr="00362796">
              <w:rPr>
                <w:bCs/>
              </w:rPr>
              <w:t>Yes/No</w:t>
            </w:r>
          </w:p>
        </w:tc>
        <w:tc>
          <w:tcPr>
            <w:tcW w:w="990" w:type="dxa"/>
            <w:tcBorders>
              <w:right w:val="double" w:sz="4" w:space="0" w:color="auto"/>
            </w:tcBorders>
            <w:vAlign w:val="center"/>
          </w:tcPr>
          <w:p w:rsidR="00FE5F42" w:rsidRPr="004E3616" w:rsidRDefault="00FE5F42" w:rsidP="00FE5F42">
            <w:pPr>
              <w:pStyle w:val="FootnoteText"/>
              <w:jc w:val="center"/>
              <w:rPr>
                <w:bCs/>
                <w:sz w:val="18"/>
                <w:szCs w:val="18"/>
              </w:rPr>
            </w:pPr>
            <w:r w:rsidRPr="004065AE">
              <w:rPr>
                <w:bCs/>
                <w:sz w:val="18"/>
                <w:szCs w:val="18"/>
              </w:rPr>
              <w:t>No</w:t>
            </w:r>
          </w:p>
        </w:tc>
        <w:tc>
          <w:tcPr>
            <w:tcW w:w="810" w:type="dxa"/>
            <w:vAlign w:val="center"/>
          </w:tcPr>
          <w:p w:rsidR="00FE5F42" w:rsidRPr="00573472" w:rsidRDefault="00FE5F42" w:rsidP="00FE5F42">
            <w:pPr>
              <w:pStyle w:val="FootnoteText"/>
              <w:jc w:val="center"/>
              <w:rPr>
                <w:bCs/>
                <w:sz w:val="18"/>
                <w:szCs w:val="18"/>
              </w:rPr>
            </w:pPr>
            <w:r w:rsidRPr="00573472">
              <w:rPr>
                <w:bCs/>
                <w:sz w:val="18"/>
                <w:szCs w:val="18"/>
              </w:rPr>
              <w:t>No</w:t>
            </w:r>
          </w:p>
        </w:tc>
        <w:tc>
          <w:tcPr>
            <w:tcW w:w="810" w:type="dxa"/>
            <w:vAlign w:val="center"/>
          </w:tcPr>
          <w:p w:rsidR="00FE5F42" w:rsidRPr="00573472" w:rsidRDefault="00FE5F42" w:rsidP="00FE5F42">
            <w:pPr>
              <w:pStyle w:val="FootnoteText"/>
              <w:jc w:val="center"/>
              <w:rPr>
                <w:bCs/>
                <w:sz w:val="18"/>
                <w:szCs w:val="18"/>
              </w:rPr>
            </w:pPr>
            <w:r>
              <w:rPr>
                <w:bCs/>
                <w:sz w:val="18"/>
                <w:szCs w:val="18"/>
              </w:rPr>
              <w:t>Yes</w:t>
            </w:r>
          </w:p>
        </w:tc>
        <w:tc>
          <w:tcPr>
            <w:tcW w:w="810" w:type="dxa"/>
            <w:vAlign w:val="center"/>
          </w:tcPr>
          <w:p w:rsidR="00FE5F42" w:rsidRPr="00573472" w:rsidRDefault="00FE5F42" w:rsidP="00FE5F42">
            <w:pPr>
              <w:pStyle w:val="FootnoteText"/>
              <w:jc w:val="center"/>
              <w:rPr>
                <w:bCs/>
                <w:sz w:val="18"/>
                <w:szCs w:val="18"/>
              </w:rPr>
            </w:pPr>
            <w:r w:rsidRPr="00573472">
              <w:rPr>
                <w:bCs/>
                <w:sz w:val="18"/>
                <w:szCs w:val="18"/>
              </w:rPr>
              <w:t>Yes</w:t>
            </w:r>
          </w:p>
        </w:tc>
        <w:tc>
          <w:tcPr>
            <w:tcW w:w="810" w:type="dxa"/>
            <w:tcBorders>
              <w:right w:val="double" w:sz="4" w:space="0" w:color="auto"/>
            </w:tcBorders>
            <w:vAlign w:val="center"/>
          </w:tcPr>
          <w:p w:rsidR="00FE5F42" w:rsidRPr="00573472" w:rsidRDefault="00FE5F42" w:rsidP="00FE5F42">
            <w:pPr>
              <w:pStyle w:val="FootnoteText"/>
              <w:jc w:val="center"/>
              <w:rPr>
                <w:bCs/>
                <w:sz w:val="18"/>
                <w:szCs w:val="18"/>
              </w:rPr>
            </w:pPr>
            <w:r w:rsidRPr="00573472">
              <w:rPr>
                <w:bCs/>
                <w:sz w:val="18"/>
                <w:szCs w:val="18"/>
              </w:rPr>
              <w:t>Yes</w:t>
            </w:r>
          </w:p>
        </w:tc>
        <w:tc>
          <w:tcPr>
            <w:tcW w:w="1170" w:type="dxa"/>
            <w:tcBorders>
              <w:left w:val="double" w:sz="4" w:space="0" w:color="auto"/>
            </w:tcBorders>
            <w:vAlign w:val="center"/>
          </w:tcPr>
          <w:p w:rsidR="00FE5F42" w:rsidRPr="00290AF3" w:rsidRDefault="00FE5F42" w:rsidP="00FE5F42">
            <w:pPr>
              <w:pStyle w:val="FootnoteText"/>
              <w:rPr>
                <w:sz w:val="16"/>
                <w:szCs w:val="16"/>
              </w:rPr>
            </w:pPr>
            <w:r w:rsidRPr="00290AF3">
              <w:rPr>
                <w:sz w:val="16"/>
                <w:szCs w:val="16"/>
              </w:rPr>
              <w:t>Once only</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pStyle w:val="FootnoteText"/>
              <w:rPr>
                <w:sz w:val="16"/>
                <w:szCs w:val="16"/>
              </w:rPr>
            </w:pPr>
            <w:r w:rsidRPr="00290AF3">
              <w:rPr>
                <w:sz w:val="16"/>
                <w:szCs w:val="16"/>
              </w:rPr>
              <w:t>Directorate of Infrastructure</w:t>
            </w:r>
          </w:p>
        </w:tc>
        <w:tc>
          <w:tcPr>
            <w:tcW w:w="2610" w:type="dxa"/>
            <w:vAlign w:val="center"/>
          </w:tcPr>
          <w:p w:rsidR="00FE5F42" w:rsidRPr="00290AF3" w:rsidRDefault="00FE5F42" w:rsidP="00FE5F42">
            <w:pPr>
              <w:pStyle w:val="FootnoteText"/>
              <w:rPr>
                <w:sz w:val="16"/>
                <w:szCs w:val="16"/>
              </w:rPr>
            </w:pPr>
            <w:r>
              <w:rPr>
                <w:sz w:val="16"/>
                <w:szCs w:val="16"/>
              </w:rPr>
              <w:t>Three GDSI</w:t>
            </w:r>
            <w:r w:rsidRPr="00290AF3">
              <w:rPr>
                <w:sz w:val="16"/>
                <w:szCs w:val="16"/>
              </w:rPr>
              <w:t xml:space="preserve"> offices are to</w:t>
            </w:r>
            <w:r>
              <w:rPr>
                <w:sz w:val="16"/>
                <w:szCs w:val="16"/>
              </w:rPr>
              <w:t xml:space="preserve"> be created in </w:t>
            </w:r>
            <w:r>
              <w:rPr>
                <w:i/>
                <w:sz w:val="16"/>
                <w:szCs w:val="16"/>
              </w:rPr>
              <w:t>Boaco, Leon and Zelaya Central</w:t>
            </w:r>
            <w:r>
              <w:rPr>
                <w:sz w:val="16"/>
                <w:szCs w:val="16"/>
              </w:rPr>
              <w:t>. Each office would include basic facilities for the GDSI to conduct pre-feasibility studies as well as the monitoring and supervision of civil works contracted to firms.</w:t>
            </w:r>
          </w:p>
        </w:tc>
      </w:tr>
      <w:tr w:rsidR="00FE5F42" w:rsidRPr="00BC5E90" w:rsidTr="004E34A7">
        <w:trPr>
          <w:trHeight w:val="170"/>
        </w:trPr>
        <w:tc>
          <w:tcPr>
            <w:tcW w:w="15138" w:type="dxa"/>
            <w:gridSpan w:val="13"/>
            <w:vAlign w:val="center"/>
          </w:tcPr>
          <w:p w:rsidR="00FE5F42" w:rsidRPr="00D362FD" w:rsidRDefault="00FE5F42" w:rsidP="00FE5F42">
            <w:pPr>
              <w:pStyle w:val="FootnoteText"/>
              <w:rPr>
                <w:sz w:val="16"/>
                <w:szCs w:val="16"/>
              </w:rPr>
            </w:pPr>
            <w:r w:rsidRPr="00D362FD">
              <w:rPr>
                <w:b/>
                <w:bCs/>
              </w:rPr>
              <w:t xml:space="preserve">Intermediate Result (Component Four): </w:t>
            </w:r>
            <w:r w:rsidRPr="00C517F6">
              <w:t xml:space="preserve"> </w:t>
            </w:r>
            <w:r>
              <w:t xml:space="preserve">Strengthening of the </w:t>
            </w:r>
            <w:r w:rsidRPr="00C517F6">
              <w:t xml:space="preserve">Ministry of Education’s Institutional Capacity </w:t>
            </w:r>
            <w:r>
              <w:rPr>
                <w:bCs/>
              </w:rPr>
              <w:t>for Lower Secondary Education</w:t>
            </w:r>
          </w:p>
        </w:tc>
      </w:tr>
      <w:tr w:rsidR="00FE5F42" w:rsidRPr="00BC5E90" w:rsidTr="006211B3">
        <w:trPr>
          <w:trHeight w:val="170"/>
        </w:trPr>
        <w:tc>
          <w:tcPr>
            <w:tcW w:w="3078" w:type="dxa"/>
            <w:tcBorders>
              <w:right w:val="double" w:sz="4" w:space="0" w:color="auto"/>
            </w:tcBorders>
            <w:vAlign w:val="center"/>
          </w:tcPr>
          <w:p w:rsidR="00FE5F42" w:rsidRPr="008F3FE7" w:rsidRDefault="00FE5F42" w:rsidP="00FE5F42">
            <w:pPr>
              <w:pStyle w:val="FootnoteText"/>
            </w:pPr>
            <w:r w:rsidRPr="008F3FE7">
              <w:t>Intermediate Result indicator twelve:</w:t>
            </w:r>
          </w:p>
          <w:p w:rsidR="00FE5F42" w:rsidRPr="00BC5E90" w:rsidRDefault="00FE5F42" w:rsidP="00FE5F42">
            <w:pPr>
              <w:pStyle w:val="FootnoteText"/>
              <w:rPr>
                <w:i/>
              </w:rPr>
            </w:pPr>
            <w:r>
              <w:t>General Directorate of School Infrastructure (GDSI) offices set up in two departmental education delegations and one territorial division of RAAS</w:t>
            </w:r>
            <w:r w:rsidRPr="00BC5E90">
              <w:t xml:space="preserve">.  </w:t>
            </w:r>
          </w:p>
        </w:tc>
        <w:tc>
          <w:tcPr>
            <w:tcW w:w="450" w:type="dxa"/>
            <w:gridSpan w:val="2"/>
            <w:tcBorders>
              <w:left w:val="double" w:sz="4" w:space="0" w:color="auto"/>
            </w:tcBorders>
            <w:vAlign w:val="center"/>
          </w:tcPr>
          <w:p w:rsidR="00FE5F42" w:rsidRPr="00BC5E90" w:rsidRDefault="00FE5F42" w:rsidP="00FE5F42">
            <w:pPr>
              <w:jc w:val="center"/>
              <w:rPr>
                <w:sz w:val="20"/>
                <w:szCs w:val="20"/>
              </w:rPr>
            </w:pPr>
            <w:r w:rsidRPr="00BC5E90">
              <w:rPr>
                <w:sz w:val="20"/>
                <w:szCs w:val="20"/>
              </w:rPr>
              <w:fldChar w:fldCharType="begin">
                <w:ffData>
                  <w:name w:val="Check1"/>
                  <w:enabled/>
                  <w:calcOnExit w:val="0"/>
                  <w:checkBox>
                    <w:sizeAuto/>
                    <w:default w:val="0"/>
                  </w:checkBox>
                </w:ffData>
              </w:fldChar>
            </w:r>
            <w:r w:rsidRPr="00BC5E90">
              <w:rPr>
                <w:sz w:val="20"/>
                <w:szCs w:val="20"/>
              </w:rPr>
              <w:instrText xml:space="preserve"> FORMCHECKBOX </w:instrText>
            </w:r>
            <w:r w:rsidR="00C64F38">
              <w:rPr>
                <w:sz w:val="20"/>
                <w:szCs w:val="20"/>
              </w:rPr>
            </w:r>
            <w:r w:rsidR="00C64F38">
              <w:rPr>
                <w:sz w:val="20"/>
                <w:szCs w:val="20"/>
              </w:rPr>
              <w:fldChar w:fldCharType="separate"/>
            </w:r>
            <w:r w:rsidRPr="00BC5E90">
              <w:rPr>
                <w:sz w:val="20"/>
                <w:szCs w:val="20"/>
              </w:rPr>
              <w:fldChar w:fldCharType="end"/>
            </w:r>
          </w:p>
        </w:tc>
        <w:tc>
          <w:tcPr>
            <w:tcW w:w="900" w:type="dxa"/>
            <w:vAlign w:val="center"/>
          </w:tcPr>
          <w:p w:rsidR="00FE5F42" w:rsidRPr="00BC5E90" w:rsidRDefault="00FE5F42" w:rsidP="00FE5F42">
            <w:pPr>
              <w:pStyle w:val="FootnoteText"/>
              <w:jc w:val="center"/>
              <w:rPr>
                <w:bCs/>
              </w:rPr>
            </w:pPr>
            <w:r>
              <w:rPr>
                <w:bCs/>
              </w:rPr>
              <w:t>Number</w:t>
            </w:r>
          </w:p>
        </w:tc>
        <w:tc>
          <w:tcPr>
            <w:tcW w:w="990" w:type="dxa"/>
            <w:tcBorders>
              <w:right w:val="double" w:sz="4" w:space="0" w:color="auto"/>
            </w:tcBorders>
            <w:vAlign w:val="center"/>
          </w:tcPr>
          <w:p w:rsidR="00FE5F42" w:rsidRPr="004E3616" w:rsidDel="004E3616" w:rsidRDefault="00FE5F42" w:rsidP="00FE5F42">
            <w:pPr>
              <w:pStyle w:val="FootnoteText"/>
              <w:jc w:val="center"/>
              <w:rPr>
                <w:bCs/>
                <w:sz w:val="18"/>
                <w:szCs w:val="18"/>
              </w:rPr>
            </w:pPr>
            <w:r>
              <w:rPr>
                <w:bCs/>
                <w:sz w:val="18"/>
                <w:szCs w:val="18"/>
              </w:rPr>
              <w:t>0</w:t>
            </w:r>
          </w:p>
        </w:tc>
        <w:tc>
          <w:tcPr>
            <w:tcW w:w="810" w:type="dxa"/>
            <w:vAlign w:val="center"/>
          </w:tcPr>
          <w:p w:rsidR="00FE5F42" w:rsidRPr="00573472" w:rsidRDefault="00FE5F42" w:rsidP="00FE5F42">
            <w:pPr>
              <w:pStyle w:val="FootnoteText"/>
              <w:jc w:val="center"/>
              <w:rPr>
                <w:bCs/>
                <w:sz w:val="18"/>
                <w:szCs w:val="18"/>
              </w:rPr>
            </w:pPr>
            <w:r>
              <w:rPr>
                <w:bCs/>
                <w:sz w:val="18"/>
                <w:szCs w:val="18"/>
              </w:rPr>
              <w:t>0</w:t>
            </w:r>
          </w:p>
        </w:tc>
        <w:tc>
          <w:tcPr>
            <w:tcW w:w="810" w:type="dxa"/>
            <w:vAlign w:val="center"/>
          </w:tcPr>
          <w:p w:rsidR="00FE5F42" w:rsidRPr="00573472" w:rsidRDefault="00FE5F42" w:rsidP="00FE5F42">
            <w:pPr>
              <w:pStyle w:val="FootnoteText"/>
              <w:jc w:val="center"/>
              <w:rPr>
                <w:bCs/>
                <w:sz w:val="18"/>
                <w:szCs w:val="18"/>
              </w:rPr>
            </w:pPr>
            <w:r>
              <w:rPr>
                <w:bCs/>
                <w:sz w:val="18"/>
                <w:szCs w:val="18"/>
              </w:rPr>
              <w:t>3</w:t>
            </w:r>
          </w:p>
        </w:tc>
        <w:tc>
          <w:tcPr>
            <w:tcW w:w="810" w:type="dxa"/>
            <w:vAlign w:val="center"/>
          </w:tcPr>
          <w:p w:rsidR="00FE5F42" w:rsidRPr="00573472" w:rsidRDefault="00FE5F42" w:rsidP="00FE5F42">
            <w:pPr>
              <w:pStyle w:val="FootnoteText"/>
              <w:jc w:val="center"/>
              <w:rPr>
                <w:bCs/>
                <w:sz w:val="18"/>
                <w:szCs w:val="18"/>
              </w:rPr>
            </w:pPr>
            <w:r>
              <w:rPr>
                <w:bCs/>
                <w:sz w:val="18"/>
                <w:szCs w:val="18"/>
              </w:rPr>
              <w:t>3</w:t>
            </w:r>
          </w:p>
        </w:tc>
        <w:tc>
          <w:tcPr>
            <w:tcW w:w="810" w:type="dxa"/>
            <w:tcBorders>
              <w:right w:val="double" w:sz="4" w:space="0" w:color="auto"/>
            </w:tcBorders>
            <w:vAlign w:val="center"/>
          </w:tcPr>
          <w:p w:rsidR="00FE5F42" w:rsidRPr="00573472" w:rsidRDefault="00FE5F42" w:rsidP="00FE5F42">
            <w:pPr>
              <w:pStyle w:val="FootnoteText"/>
              <w:jc w:val="center"/>
              <w:rPr>
                <w:bCs/>
                <w:sz w:val="18"/>
                <w:szCs w:val="18"/>
              </w:rPr>
            </w:pPr>
            <w:r>
              <w:rPr>
                <w:bCs/>
                <w:sz w:val="18"/>
                <w:szCs w:val="18"/>
              </w:rPr>
              <w:t>3</w:t>
            </w:r>
          </w:p>
        </w:tc>
        <w:tc>
          <w:tcPr>
            <w:tcW w:w="1170" w:type="dxa"/>
            <w:tcBorders>
              <w:left w:val="double" w:sz="4" w:space="0" w:color="auto"/>
            </w:tcBorders>
            <w:vAlign w:val="center"/>
          </w:tcPr>
          <w:p w:rsidR="00FE5F42" w:rsidRPr="00290AF3" w:rsidRDefault="00FE5F42" w:rsidP="00FE5F42">
            <w:pPr>
              <w:pStyle w:val="FootnoteText"/>
              <w:rPr>
                <w:sz w:val="16"/>
                <w:szCs w:val="16"/>
              </w:rPr>
            </w:pPr>
            <w:r w:rsidRPr="00290AF3">
              <w:rPr>
                <w:sz w:val="16"/>
                <w:szCs w:val="16"/>
              </w:rPr>
              <w:t>Once only</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pStyle w:val="FootnoteText"/>
              <w:rPr>
                <w:sz w:val="16"/>
                <w:szCs w:val="16"/>
              </w:rPr>
            </w:pPr>
            <w:r w:rsidRPr="00290AF3">
              <w:rPr>
                <w:sz w:val="16"/>
                <w:szCs w:val="16"/>
              </w:rPr>
              <w:t>Directorate of Infrastructure</w:t>
            </w:r>
          </w:p>
        </w:tc>
        <w:tc>
          <w:tcPr>
            <w:tcW w:w="2610" w:type="dxa"/>
            <w:vAlign w:val="center"/>
          </w:tcPr>
          <w:p w:rsidR="00FE5F42" w:rsidRPr="00290AF3" w:rsidRDefault="00FE5F42" w:rsidP="00FE5F42">
            <w:pPr>
              <w:pStyle w:val="FootnoteText"/>
              <w:rPr>
                <w:sz w:val="16"/>
                <w:szCs w:val="16"/>
              </w:rPr>
            </w:pPr>
            <w:r>
              <w:rPr>
                <w:sz w:val="16"/>
                <w:szCs w:val="16"/>
              </w:rPr>
              <w:t>Three GDSI</w:t>
            </w:r>
            <w:r w:rsidRPr="00290AF3">
              <w:rPr>
                <w:sz w:val="16"/>
                <w:szCs w:val="16"/>
              </w:rPr>
              <w:t xml:space="preserve"> offices are to</w:t>
            </w:r>
            <w:r>
              <w:rPr>
                <w:sz w:val="16"/>
                <w:szCs w:val="16"/>
              </w:rPr>
              <w:t xml:space="preserve"> be created in </w:t>
            </w:r>
            <w:r>
              <w:rPr>
                <w:i/>
                <w:sz w:val="16"/>
                <w:szCs w:val="16"/>
              </w:rPr>
              <w:t>Boaco, Leon and Zelaya Central</w:t>
            </w:r>
            <w:r>
              <w:rPr>
                <w:sz w:val="16"/>
                <w:szCs w:val="16"/>
              </w:rPr>
              <w:t>. Each office would include basic facilities for the GDSI to conduct pre-feasibility studies as well as the monitoring and supervision of civil works contracted to firms.</w:t>
            </w:r>
          </w:p>
        </w:tc>
      </w:tr>
      <w:tr w:rsidR="00FE5F42" w:rsidRPr="00BC5E90" w:rsidTr="006211B3">
        <w:trPr>
          <w:trHeight w:val="170"/>
        </w:trPr>
        <w:tc>
          <w:tcPr>
            <w:tcW w:w="3078" w:type="dxa"/>
            <w:tcBorders>
              <w:right w:val="double" w:sz="4" w:space="0" w:color="auto"/>
            </w:tcBorders>
            <w:vAlign w:val="center"/>
          </w:tcPr>
          <w:p w:rsidR="00FE5F42" w:rsidRPr="008F3FE7" w:rsidRDefault="00FE5F42" w:rsidP="00FE5F42">
            <w:pPr>
              <w:pStyle w:val="FootnoteText"/>
            </w:pPr>
            <w:r w:rsidRPr="008F3FE7">
              <w:t>Intermediate Result indicator thirteen:</w:t>
            </w:r>
          </w:p>
          <w:p w:rsidR="00FE5F42" w:rsidRPr="00BC5E90" w:rsidRDefault="00FE5F42" w:rsidP="00FE5F42">
            <w:pPr>
              <w:pStyle w:val="FootnoteText"/>
            </w:pPr>
            <w:r w:rsidRPr="002A496F">
              <w:rPr>
                <w:bCs/>
              </w:rPr>
              <w:t>Development of infrastructure maintenance guides/norms</w:t>
            </w:r>
            <w:r w:rsidRPr="00BC5E90">
              <w:t xml:space="preserve">.  </w:t>
            </w:r>
          </w:p>
        </w:tc>
        <w:tc>
          <w:tcPr>
            <w:tcW w:w="450" w:type="dxa"/>
            <w:gridSpan w:val="2"/>
            <w:tcBorders>
              <w:left w:val="double" w:sz="4" w:space="0" w:color="auto"/>
            </w:tcBorders>
            <w:vAlign w:val="center"/>
          </w:tcPr>
          <w:p w:rsidR="00FE5F42" w:rsidRPr="00BC5E90" w:rsidRDefault="00FE5F42" w:rsidP="00FE5F42">
            <w:pPr>
              <w:jc w:val="center"/>
              <w:rPr>
                <w:sz w:val="20"/>
                <w:szCs w:val="20"/>
              </w:rPr>
            </w:pPr>
            <w:r w:rsidRPr="00BC5E90">
              <w:rPr>
                <w:sz w:val="20"/>
                <w:szCs w:val="20"/>
              </w:rPr>
              <w:fldChar w:fldCharType="begin">
                <w:ffData>
                  <w:name w:val="Check1"/>
                  <w:enabled/>
                  <w:calcOnExit w:val="0"/>
                  <w:checkBox>
                    <w:sizeAuto/>
                    <w:default w:val="0"/>
                  </w:checkBox>
                </w:ffData>
              </w:fldChar>
            </w:r>
            <w:r w:rsidRPr="00BC5E90">
              <w:rPr>
                <w:sz w:val="20"/>
                <w:szCs w:val="20"/>
              </w:rPr>
              <w:instrText xml:space="preserve"> FORMCHECKBOX </w:instrText>
            </w:r>
            <w:r w:rsidR="00C64F38">
              <w:rPr>
                <w:sz w:val="20"/>
                <w:szCs w:val="20"/>
              </w:rPr>
            </w:r>
            <w:r w:rsidR="00C64F38">
              <w:rPr>
                <w:sz w:val="20"/>
                <w:szCs w:val="20"/>
              </w:rPr>
              <w:fldChar w:fldCharType="separate"/>
            </w:r>
            <w:r w:rsidRPr="00BC5E90">
              <w:rPr>
                <w:sz w:val="20"/>
                <w:szCs w:val="20"/>
              </w:rPr>
              <w:fldChar w:fldCharType="end"/>
            </w:r>
          </w:p>
        </w:tc>
        <w:tc>
          <w:tcPr>
            <w:tcW w:w="900" w:type="dxa"/>
            <w:vAlign w:val="center"/>
          </w:tcPr>
          <w:p w:rsidR="00FE5F42" w:rsidRPr="00BC5E90" w:rsidRDefault="00FE5F42" w:rsidP="00FE5F42">
            <w:pPr>
              <w:pStyle w:val="FootnoteText"/>
              <w:jc w:val="center"/>
              <w:rPr>
                <w:bCs/>
              </w:rPr>
            </w:pPr>
            <w:r>
              <w:rPr>
                <w:bCs/>
              </w:rPr>
              <w:t>Yes/No</w:t>
            </w:r>
          </w:p>
        </w:tc>
        <w:tc>
          <w:tcPr>
            <w:tcW w:w="990" w:type="dxa"/>
            <w:tcBorders>
              <w:right w:val="double" w:sz="4" w:space="0" w:color="auto"/>
            </w:tcBorders>
            <w:vAlign w:val="center"/>
          </w:tcPr>
          <w:p w:rsidR="00FE5F42" w:rsidRPr="004E3616" w:rsidRDefault="00FE5F42" w:rsidP="00FE5F42">
            <w:pPr>
              <w:pStyle w:val="FootnoteText"/>
              <w:jc w:val="center"/>
              <w:rPr>
                <w:bCs/>
                <w:sz w:val="18"/>
                <w:szCs w:val="18"/>
              </w:rPr>
            </w:pPr>
            <w:r w:rsidRPr="004065AE">
              <w:rPr>
                <w:bCs/>
                <w:sz w:val="18"/>
                <w:szCs w:val="18"/>
              </w:rPr>
              <w:t>No</w:t>
            </w:r>
          </w:p>
        </w:tc>
        <w:tc>
          <w:tcPr>
            <w:tcW w:w="810" w:type="dxa"/>
            <w:vAlign w:val="center"/>
          </w:tcPr>
          <w:p w:rsidR="00FE5F42" w:rsidRPr="00573472" w:rsidRDefault="00FE5F42" w:rsidP="00FE5F42">
            <w:pPr>
              <w:pStyle w:val="FootnoteText"/>
              <w:jc w:val="center"/>
              <w:rPr>
                <w:bCs/>
                <w:sz w:val="18"/>
                <w:szCs w:val="18"/>
              </w:rPr>
            </w:pPr>
            <w:r w:rsidRPr="00573472">
              <w:rPr>
                <w:bCs/>
                <w:sz w:val="18"/>
                <w:szCs w:val="18"/>
              </w:rPr>
              <w:t>No</w:t>
            </w:r>
          </w:p>
        </w:tc>
        <w:tc>
          <w:tcPr>
            <w:tcW w:w="810" w:type="dxa"/>
            <w:vAlign w:val="center"/>
          </w:tcPr>
          <w:p w:rsidR="00FE5F42" w:rsidRPr="00573472" w:rsidRDefault="00FE5F42" w:rsidP="00FE5F42">
            <w:pPr>
              <w:pStyle w:val="FootnoteText"/>
              <w:jc w:val="center"/>
              <w:rPr>
                <w:bCs/>
                <w:sz w:val="18"/>
                <w:szCs w:val="18"/>
              </w:rPr>
            </w:pPr>
            <w:r>
              <w:rPr>
                <w:bCs/>
                <w:sz w:val="18"/>
                <w:szCs w:val="18"/>
              </w:rPr>
              <w:t>Yes</w:t>
            </w:r>
          </w:p>
        </w:tc>
        <w:tc>
          <w:tcPr>
            <w:tcW w:w="810" w:type="dxa"/>
            <w:vAlign w:val="center"/>
          </w:tcPr>
          <w:p w:rsidR="00FE5F42" w:rsidRPr="00573472" w:rsidRDefault="00FE5F42" w:rsidP="00FE5F42">
            <w:pPr>
              <w:pStyle w:val="FootnoteText"/>
              <w:jc w:val="center"/>
              <w:rPr>
                <w:bCs/>
                <w:sz w:val="18"/>
                <w:szCs w:val="18"/>
              </w:rPr>
            </w:pPr>
            <w:r w:rsidRPr="00573472">
              <w:rPr>
                <w:bCs/>
                <w:sz w:val="18"/>
                <w:szCs w:val="18"/>
              </w:rPr>
              <w:t>Yes</w:t>
            </w:r>
          </w:p>
        </w:tc>
        <w:tc>
          <w:tcPr>
            <w:tcW w:w="810" w:type="dxa"/>
            <w:tcBorders>
              <w:right w:val="double" w:sz="4" w:space="0" w:color="auto"/>
            </w:tcBorders>
            <w:vAlign w:val="center"/>
          </w:tcPr>
          <w:p w:rsidR="00FE5F42" w:rsidRPr="00573472" w:rsidRDefault="00FE5F42" w:rsidP="00FE5F42">
            <w:pPr>
              <w:pStyle w:val="FootnoteText"/>
              <w:jc w:val="center"/>
              <w:rPr>
                <w:bCs/>
                <w:sz w:val="18"/>
                <w:szCs w:val="18"/>
              </w:rPr>
            </w:pPr>
            <w:r w:rsidRPr="00573472">
              <w:rPr>
                <w:bCs/>
                <w:sz w:val="18"/>
                <w:szCs w:val="18"/>
              </w:rPr>
              <w:t>Yes</w:t>
            </w:r>
          </w:p>
        </w:tc>
        <w:tc>
          <w:tcPr>
            <w:tcW w:w="1170" w:type="dxa"/>
            <w:tcBorders>
              <w:left w:val="double" w:sz="4" w:space="0" w:color="auto"/>
            </w:tcBorders>
            <w:vAlign w:val="center"/>
          </w:tcPr>
          <w:p w:rsidR="00FE5F42" w:rsidRPr="00290AF3" w:rsidRDefault="00FE5F42" w:rsidP="00FE5F42">
            <w:pPr>
              <w:pStyle w:val="FootnoteText"/>
              <w:rPr>
                <w:sz w:val="16"/>
                <w:szCs w:val="16"/>
              </w:rPr>
            </w:pPr>
            <w:r w:rsidRPr="00290AF3">
              <w:rPr>
                <w:sz w:val="16"/>
                <w:szCs w:val="16"/>
              </w:rPr>
              <w:t>Once only</w:t>
            </w:r>
          </w:p>
        </w:tc>
        <w:tc>
          <w:tcPr>
            <w:tcW w:w="1350" w:type="dxa"/>
            <w:vAlign w:val="center"/>
          </w:tcPr>
          <w:p w:rsidR="00FE5F42" w:rsidRPr="00290AF3" w:rsidRDefault="00FE5F42" w:rsidP="00FE5F42">
            <w:pPr>
              <w:rPr>
                <w:bCs/>
                <w:sz w:val="16"/>
                <w:szCs w:val="16"/>
              </w:rPr>
            </w:pPr>
            <w:r w:rsidRPr="00290AF3">
              <w:rPr>
                <w:bCs/>
                <w:sz w:val="16"/>
                <w:szCs w:val="16"/>
              </w:rPr>
              <w:t>Annual Monitoring Report</w:t>
            </w:r>
          </w:p>
        </w:tc>
        <w:tc>
          <w:tcPr>
            <w:tcW w:w="1350" w:type="dxa"/>
            <w:vAlign w:val="center"/>
          </w:tcPr>
          <w:p w:rsidR="00FE5F42" w:rsidRPr="00290AF3" w:rsidRDefault="00FE5F42" w:rsidP="00FE5F42">
            <w:pPr>
              <w:pStyle w:val="FootnoteText"/>
              <w:rPr>
                <w:sz w:val="16"/>
                <w:szCs w:val="16"/>
              </w:rPr>
            </w:pPr>
            <w:r w:rsidRPr="00290AF3">
              <w:rPr>
                <w:sz w:val="16"/>
                <w:szCs w:val="16"/>
              </w:rPr>
              <w:t>Directorate of Infrastructure</w:t>
            </w:r>
          </w:p>
        </w:tc>
        <w:tc>
          <w:tcPr>
            <w:tcW w:w="2610" w:type="dxa"/>
            <w:vAlign w:val="center"/>
          </w:tcPr>
          <w:p w:rsidR="00FE5F42" w:rsidRPr="00290AF3" w:rsidRDefault="00FE5F42" w:rsidP="00FE5F42">
            <w:pPr>
              <w:pStyle w:val="FootnoteText"/>
              <w:rPr>
                <w:sz w:val="16"/>
                <w:szCs w:val="16"/>
              </w:rPr>
            </w:pPr>
            <w:r>
              <w:rPr>
                <w:sz w:val="16"/>
                <w:szCs w:val="16"/>
              </w:rPr>
              <w:t>The maintenance guide and norms would be developed by the Directorate of Infrastructure.  It would comprise a simple booklet for the school communities with a list of recommendations and some awareness materials (poster/flyers for instance).  It would be distributed to all new school facilities financed by the Project.</w:t>
            </w:r>
            <w:r w:rsidRPr="00290AF3">
              <w:rPr>
                <w:sz w:val="16"/>
                <w:szCs w:val="16"/>
              </w:rPr>
              <w:t xml:space="preserve"> </w:t>
            </w:r>
          </w:p>
        </w:tc>
      </w:tr>
      <w:tr w:rsidR="00FE5F42" w:rsidRPr="00BC5E90" w:rsidTr="006211B3">
        <w:trPr>
          <w:trHeight w:val="170"/>
        </w:trPr>
        <w:tc>
          <w:tcPr>
            <w:tcW w:w="3078" w:type="dxa"/>
            <w:vMerge w:val="restart"/>
            <w:tcBorders>
              <w:right w:val="double" w:sz="4" w:space="0" w:color="auto"/>
            </w:tcBorders>
            <w:vAlign w:val="center"/>
          </w:tcPr>
          <w:p w:rsidR="00FE5F42" w:rsidRPr="008F3FE7" w:rsidRDefault="00FE5F42" w:rsidP="00FE5F42">
            <w:pPr>
              <w:pStyle w:val="FootnoteText"/>
            </w:pPr>
            <w:r w:rsidRPr="008F3FE7">
              <w:t>Intermediate Result indicator fourteen:</w:t>
            </w:r>
          </w:p>
          <w:p w:rsidR="00FE5F42" w:rsidRPr="00BC5E90" w:rsidRDefault="00FE5F42" w:rsidP="00FE5F42">
            <w:pPr>
              <w:pStyle w:val="FootnoteText"/>
            </w:pPr>
            <w:r w:rsidRPr="00BC5E90">
              <w:t>Direct Project beneficiaries, of which percent female</w:t>
            </w:r>
            <w:r>
              <w:t>.</w:t>
            </w:r>
          </w:p>
        </w:tc>
        <w:tc>
          <w:tcPr>
            <w:tcW w:w="450" w:type="dxa"/>
            <w:gridSpan w:val="2"/>
            <w:tcBorders>
              <w:left w:val="double" w:sz="4" w:space="0" w:color="auto"/>
            </w:tcBorders>
            <w:vAlign w:val="center"/>
          </w:tcPr>
          <w:p w:rsidR="00FE5F42" w:rsidRPr="00BC5E90" w:rsidRDefault="00FE5F42" w:rsidP="00FE5F42">
            <w:pPr>
              <w:jc w:val="center"/>
              <w:rPr>
                <w:sz w:val="20"/>
                <w:szCs w:val="20"/>
              </w:rPr>
            </w:pPr>
            <w:r w:rsidRPr="00BC5E90">
              <w:rPr>
                <w:sz w:val="20"/>
                <w:szCs w:val="20"/>
              </w:rPr>
              <w:fldChar w:fldCharType="begin">
                <w:ffData>
                  <w:name w:val=""/>
                  <w:enabled/>
                  <w:calcOnExit w:val="0"/>
                  <w:checkBox>
                    <w:sizeAuto/>
                    <w:default w:val="1"/>
                  </w:checkBox>
                </w:ffData>
              </w:fldChar>
            </w:r>
            <w:r w:rsidRPr="00BC5E90">
              <w:rPr>
                <w:sz w:val="20"/>
                <w:szCs w:val="20"/>
              </w:rPr>
              <w:instrText xml:space="preserve"> FORMCHECKBOX </w:instrText>
            </w:r>
            <w:r w:rsidR="00C64F38">
              <w:rPr>
                <w:sz w:val="20"/>
                <w:szCs w:val="20"/>
              </w:rPr>
            </w:r>
            <w:r w:rsidR="00C64F38">
              <w:rPr>
                <w:sz w:val="20"/>
                <w:szCs w:val="20"/>
              </w:rPr>
              <w:fldChar w:fldCharType="separate"/>
            </w:r>
            <w:r w:rsidRPr="00BC5E90">
              <w:rPr>
                <w:sz w:val="20"/>
                <w:szCs w:val="20"/>
              </w:rPr>
              <w:fldChar w:fldCharType="end"/>
            </w:r>
          </w:p>
        </w:tc>
        <w:tc>
          <w:tcPr>
            <w:tcW w:w="900" w:type="dxa"/>
            <w:vAlign w:val="center"/>
          </w:tcPr>
          <w:p w:rsidR="00FE5F42" w:rsidRPr="00573472" w:rsidRDefault="00FE5F42" w:rsidP="00FE5F42">
            <w:pPr>
              <w:pStyle w:val="FootnoteText"/>
              <w:jc w:val="center"/>
              <w:rPr>
                <w:bCs/>
                <w:sz w:val="18"/>
                <w:szCs w:val="18"/>
              </w:rPr>
            </w:pPr>
            <w:r w:rsidRPr="00573472">
              <w:rPr>
                <w:bCs/>
                <w:sz w:val="18"/>
                <w:szCs w:val="18"/>
              </w:rPr>
              <w:t>Number</w:t>
            </w:r>
          </w:p>
        </w:tc>
        <w:tc>
          <w:tcPr>
            <w:tcW w:w="990" w:type="dxa"/>
            <w:tcBorders>
              <w:right w:val="double" w:sz="4" w:space="0" w:color="auto"/>
            </w:tcBorders>
            <w:vAlign w:val="center"/>
          </w:tcPr>
          <w:p w:rsidR="00FE5F42" w:rsidRPr="00573472" w:rsidRDefault="00FE5F42" w:rsidP="00FE5F42">
            <w:pPr>
              <w:pStyle w:val="FootnoteText"/>
              <w:jc w:val="center"/>
              <w:rPr>
                <w:bCs/>
                <w:sz w:val="18"/>
                <w:szCs w:val="18"/>
              </w:rPr>
            </w:pPr>
            <w:r>
              <w:rPr>
                <w:bCs/>
                <w:sz w:val="18"/>
                <w:szCs w:val="18"/>
              </w:rPr>
              <w:t>551,000</w:t>
            </w:r>
          </w:p>
        </w:tc>
        <w:tc>
          <w:tcPr>
            <w:tcW w:w="810" w:type="dxa"/>
            <w:vAlign w:val="center"/>
          </w:tcPr>
          <w:p w:rsidR="00FE5F42" w:rsidRPr="00573472" w:rsidRDefault="00FE5F42" w:rsidP="00FE5F42">
            <w:pPr>
              <w:pStyle w:val="FootnoteText"/>
              <w:jc w:val="center"/>
              <w:rPr>
                <w:bCs/>
                <w:sz w:val="18"/>
                <w:szCs w:val="18"/>
              </w:rPr>
            </w:pPr>
            <w:r>
              <w:rPr>
                <w:bCs/>
                <w:sz w:val="18"/>
                <w:szCs w:val="18"/>
              </w:rPr>
              <w:t>553,000</w:t>
            </w:r>
          </w:p>
        </w:tc>
        <w:tc>
          <w:tcPr>
            <w:tcW w:w="810" w:type="dxa"/>
            <w:vAlign w:val="center"/>
          </w:tcPr>
          <w:p w:rsidR="00FE5F42" w:rsidRPr="00573472" w:rsidRDefault="00FE5F42" w:rsidP="00FE5F42">
            <w:pPr>
              <w:pStyle w:val="FootnoteText"/>
              <w:jc w:val="center"/>
              <w:rPr>
                <w:bCs/>
                <w:sz w:val="18"/>
                <w:szCs w:val="18"/>
              </w:rPr>
            </w:pPr>
            <w:r>
              <w:rPr>
                <w:bCs/>
                <w:sz w:val="18"/>
                <w:szCs w:val="18"/>
              </w:rPr>
              <w:t>555,000</w:t>
            </w:r>
          </w:p>
        </w:tc>
        <w:tc>
          <w:tcPr>
            <w:tcW w:w="810" w:type="dxa"/>
            <w:vAlign w:val="center"/>
          </w:tcPr>
          <w:p w:rsidR="00FE5F42" w:rsidRPr="00573472" w:rsidRDefault="00FE5F42" w:rsidP="00FE5F42">
            <w:pPr>
              <w:pStyle w:val="FootnoteText"/>
              <w:jc w:val="center"/>
              <w:rPr>
                <w:bCs/>
                <w:sz w:val="18"/>
                <w:szCs w:val="18"/>
              </w:rPr>
            </w:pPr>
            <w:r>
              <w:rPr>
                <w:bCs/>
                <w:sz w:val="18"/>
                <w:szCs w:val="18"/>
              </w:rPr>
              <w:t>562,000</w:t>
            </w:r>
          </w:p>
        </w:tc>
        <w:tc>
          <w:tcPr>
            <w:tcW w:w="810" w:type="dxa"/>
            <w:tcBorders>
              <w:right w:val="double" w:sz="4" w:space="0" w:color="auto"/>
            </w:tcBorders>
            <w:vAlign w:val="center"/>
          </w:tcPr>
          <w:p w:rsidR="00FE5F42" w:rsidRPr="00573472" w:rsidRDefault="00FE5F42" w:rsidP="00FE5F42">
            <w:pPr>
              <w:pStyle w:val="FootnoteText"/>
              <w:jc w:val="center"/>
              <w:rPr>
                <w:bCs/>
                <w:sz w:val="18"/>
                <w:szCs w:val="18"/>
              </w:rPr>
            </w:pPr>
            <w:r>
              <w:rPr>
                <w:bCs/>
                <w:sz w:val="18"/>
                <w:szCs w:val="18"/>
              </w:rPr>
              <w:t>569,000</w:t>
            </w:r>
          </w:p>
        </w:tc>
        <w:tc>
          <w:tcPr>
            <w:tcW w:w="1170" w:type="dxa"/>
            <w:vMerge w:val="restart"/>
            <w:tcBorders>
              <w:left w:val="double" w:sz="4" w:space="0" w:color="auto"/>
            </w:tcBorders>
            <w:vAlign w:val="center"/>
          </w:tcPr>
          <w:p w:rsidR="00FE5F42" w:rsidRPr="00290AF3" w:rsidRDefault="00FE5F42" w:rsidP="00FE5F42">
            <w:pPr>
              <w:pStyle w:val="FootnoteText"/>
              <w:rPr>
                <w:sz w:val="16"/>
                <w:szCs w:val="16"/>
              </w:rPr>
            </w:pPr>
            <w:r w:rsidRPr="00290AF3">
              <w:rPr>
                <w:sz w:val="16"/>
                <w:szCs w:val="16"/>
              </w:rPr>
              <w:t>Annual</w:t>
            </w:r>
          </w:p>
        </w:tc>
        <w:tc>
          <w:tcPr>
            <w:tcW w:w="1350" w:type="dxa"/>
            <w:vMerge w:val="restart"/>
            <w:vAlign w:val="center"/>
          </w:tcPr>
          <w:p w:rsidR="00FE5F42" w:rsidRPr="00290AF3" w:rsidRDefault="00FE5F42" w:rsidP="00FE5F42">
            <w:pPr>
              <w:rPr>
                <w:bCs/>
                <w:sz w:val="16"/>
                <w:szCs w:val="16"/>
              </w:rPr>
            </w:pPr>
            <w:r w:rsidRPr="00290AF3">
              <w:rPr>
                <w:bCs/>
                <w:sz w:val="16"/>
                <w:szCs w:val="16"/>
              </w:rPr>
              <w:t>Annual Monitoring Report</w:t>
            </w:r>
          </w:p>
        </w:tc>
        <w:tc>
          <w:tcPr>
            <w:tcW w:w="1350" w:type="dxa"/>
            <w:vMerge w:val="restart"/>
            <w:vAlign w:val="center"/>
          </w:tcPr>
          <w:p w:rsidR="00FE5F42" w:rsidRPr="00290AF3" w:rsidRDefault="00FE5F42" w:rsidP="00FE5F42">
            <w:pPr>
              <w:pStyle w:val="FootnoteText"/>
              <w:rPr>
                <w:sz w:val="16"/>
                <w:szCs w:val="16"/>
              </w:rPr>
            </w:pPr>
            <w:r w:rsidRPr="00290AF3">
              <w:rPr>
                <w:sz w:val="16"/>
                <w:szCs w:val="16"/>
              </w:rPr>
              <w:t>Directorate of Statistics</w:t>
            </w:r>
          </w:p>
        </w:tc>
        <w:tc>
          <w:tcPr>
            <w:tcW w:w="2610" w:type="dxa"/>
            <w:vMerge w:val="restart"/>
            <w:vAlign w:val="center"/>
          </w:tcPr>
          <w:p w:rsidR="00FE5F42" w:rsidRPr="00290AF3" w:rsidRDefault="00FE5F42" w:rsidP="00FE5F42">
            <w:pPr>
              <w:pStyle w:val="FootnoteText"/>
              <w:rPr>
                <w:sz w:val="16"/>
                <w:szCs w:val="16"/>
              </w:rPr>
            </w:pPr>
            <w:r w:rsidRPr="00290AF3">
              <w:rPr>
                <w:sz w:val="16"/>
                <w:szCs w:val="16"/>
              </w:rPr>
              <w:t xml:space="preserve">Total number of pre primary and secondary school children enrolled in 2011 in the 43 </w:t>
            </w:r>
            <w:r>
              <w:rPr>
                <w:sz w:val="16"/>
                <w:szCs w:val="16"/>
              </w:rPr>
              <w:t xml:space="preserve">selected </w:t>
            </w:r>
            <w:r w:rsidRPr="00290AF3">
              <w:rPr>
                <w:sz w:val="16"/>
                <w:szCs w:val="16"/>
              </w:rPr>
              <w:t>municipalities as reported by MINED.</w:t>
            </w:r>
          </w:p>
        </w:tc>
      </w:tr>
      <w:tr w:rsidR="00FE5F42" w:rsidRPr="00BC5E90" w:rsidTr="006211B3">
        <w:trPr>
          <w:trHeight w:val="170"/>
        </w:trPr>
        <w:tc>
          <w:tcPr>
            <w:tcW w:w="3078" w:type="dxa"/>
            <w:vMerge/>
            <w:tcBorders>
              <w:right w:val="double" w:sz="4" w:space="0" w:color="auto"/>
            </w:tcBorders>
            <w:vAlign w:val="center"/>
          </w:tcPr>
          <w:p w:rsidR="00FE5F42" w:rsidRPr="00BC5E90" w:rsidRDefault="00FE5F42" w:rsidP="00FE5F42">
            <w:pPr>
              <w:rPr>
                <w:i/>
                <w:sz w:val="20"/>
                <w:szCs w:val="20"/>
              </w:rPr>
            </w:pPr>
          </w:p>
        </w:tc>
        <w:tc>
          <w:tcPr>
            <w:tcW w:w="450" w:type="dxa"/>
            <w:gridSpan w:val="2"/>
            <w:tcBorders>
              <w:left w:val="double" w:sz="4" w:space="0" w:color="auto"/>
            </w:tcBorders>
            <w:vAlign w:val="center"/>
          </w:tcPr>
          <w:p w:rsidR="00FE5F42" w:rsidRPr="00BC5E90" w:rsidRDefault="00FE5F42" w:rsidP="00FE5F42">
            <w:pPr>
              <w:jc w:val="center"/>
              <w:rPr>
                <w:sz w:val="20"/>
                <w:szCs w:val="20"/>
              </w:rPr>
            </w:pPr>
            <w:r w:rsidRPr="00E11B2B">
              <w:rPr>
                <w:sz w:val="18"/>
                <w:szCs w:val="18"/>
              </w:rPr>
              <w:fldChar w:fldCharType="begin">
                <w:ffData>
                  <w:name w:val=""/>
                  <w:enabled/>
                  <w:calcOnExit w:val="0"/>
                  <w:checkBox>
                    <w:sizeAuto/>
                    <w:default w:val="1"/>
                  </w:checkBox>
                </w:ffData>
              </w:fldChar>
            </w:r>
            <w:r w:rsidRPr="00E11B2B">
              <w:rPr>
                <w:sz w:val="18"/>
                <w:szCs w:val="18"/>
              </w:rPr>
              <w:instrText xml:space="preserve"> FORMCHECKBOX </w:instrText>
            </w:r>
            <w:r w:rsidR="00C64F38">
              <w:rPr>
                <w:sz w:val="18"/>
                <w:szCs w:val="18"/>
              </w:rPr>
            </w:r>
            <w:r w:rsidR="00C64F38">
              <w:rPr>
                <w:sz w:val="18"/>
                <w:szCs w:val="18"/>
              </w:rPr>
              <w:fldChar w:fldCharType="separate"/>
            </w:r>
            <w:r w:rsidRPr="00E11B2B">
              <w:rPr>
                <w:sz w:val="18"/>
                <w:szCs w:val="18"/>
              </w:rPr>
              <w:fldChar w:fldCharType="end"/>
            </w:r>
          </w:p>
        </w:tc>
        <w:tc>
          <w:tcPr>
            <w:tcW w:w="900" w:type="dxa"/>
            <w:vAlign w:val="center"/>
          </w:tcPr>
          <w:p w:rsidR="00FE5F42" w:rsidRPr="00573472" w:rsidRDefault="00FE5F42" w:rsidP="00FE5F42">
            <w:pPr>
              <w:jc w:val="center"/>
              <w:rPr>
                <w:bCs/>
                <w:sz w:val="18"/>
                <w:szCs w:val="18"/>
              </w:rPr>
            </w:pPr>
            <w:r w:rsidRPr="00573472">
              <w:rPr>
                <w:bCs/>
                <w:sz w:val="18"/>
                <w:szCs w:val="18"/>
              </w:rPr>
              <w:t>%</w:t>
            </w:r>
          </w:p>
        </w:tc>
        <w:tc>
          <w:tcPr>
            <w:tcW w:w="990" w:type="dxa"/>
            <w:tcBorders>
              <w:right w:val="double" w:sz="4" w:space="0" w:color="auto"/>
            </w:tcBorders>
            <w:vAlign w:val="center"/>
          </w:tcPr>
          <w:p w:rsidR="00FE5F42" w:rsidRPr="00573472" w:rsidRDefault="00FE5F42" w:rsidP="00FE5F42">
            <w:pPr>
              <w:jc w:val="center"/>
              <w:rPr>
                <w:bCs/>
                <w:sz w:val="18"/>
                <w:szCs w:val="18"/>
              </w:rPr>
            </w:pPr>
            <w:r w:rsidRPr="00573472">
              <w:rPr>
                <w:bCs/>
                <w:sz w:val="18"/>
                <w:szCs w:val="18"/>
              </w:rPr>
              <w:t>50</w:t>
            </w:r>
          </w:p>
        </w:tc>
        <w:tc>
          <w:tcPr>
            <w:tcW w:w="810" w:type="dxa"/>
            <w:vAlign w:val="center"/>
          </w:tcPr>
          <w:p w:rsidR="00FE5F42" w:rsidRPr="00573472" w:rsidRDefault="00FE5F42" w:rsidP="00FE5F42">
            <w:pPr>
              <w:jc w:val="center"/>
              <w:rPr>
                <w:bCs/>
                <w:sz w:val="18"/>
                <w:szCs w:val="18"/>
              </w:rPr>
            </w:pPr>
            <w:r w:rsidRPr="00573472">
              <w:rPr>
                <w:bCs/>
                <w:sz w:val="18"/>
                <w:szCs w:val="18"/>
              </w:rPr>
              <w:t>50</w:t>
            </w:r>
          </w:p>
        </w:tc>
        <w:tc>
          <w:tcPr>
            <w:tcW w:w="810" w:type="dxa"/>
            <w:vAlign w:val="center"/>
          </w:tcPr>
          <w:p w:rsidR="00FE5F42" w:rsidRPr="00573472" w:rsidRDefault="00FE5F42" w:rsidP="00FE5F42">
            <w:pPr>
              <w:jc w:val="center"/>
              <w:rPr>
                <w:bCs/>
                <w:sz w:val="18"/>
                <w:szCs w:val="18"/>
              </w:rPr>
            </w:pPr>
            <w:r w:rsidRPr="00573472">
              <w:rPr>
                <w:bCs/>
                <w:sz w:val="18"/>
                <w:szCs w:val="18"/>
              </w:rPr>
              <w:t>50</w:t>
            </w:r>
          </w:p>
        </w:tc>
        <w:tc>
          <w:tcPr>
            <w:tcW w:w="810" w:type="dxa"/>
            <w:vAlign w:val="center"/>
          </w:tcPr>
          <w:p w:rsidR="00FE5F42" w:rsidRPr="00573472" w:rsidRDefault="00FE5F42" w:rsidP="00FE5F42">
            <w:pPr>
              <w:jc w:val="center"/>
              <w:rPr>
                <w:bCs/>
                <w:sz w:val="18"/>
                <w:szCs w:val="18"/>
              </w:rPr>
            </w:pPr>
            <w:r w:rsidRPr="00573472">
              <w:rPr>
                <w:bCs/>
                <w:sz w:val="18"/>
                <w:szCs w:val="18"/>
              </w:rPr>
              <w:t>50</w:t>
            </w:r>
          </w:p>
        </w:tc>
        <w:tc>
          <w:tcPr>
            <w:tcW w:w="810" w:type="dxa"/>
            <w:tcBorders>
              <w:right w:val="double" w:sz="4" w:space="0" w:color="auto"/>
            </w:tcBorders>
            <w:vAlign w:val="center"/>
          </w:tcPr>
          <w:p w:rsidR="00FE5F42" w:rsidRPr="00573472" w:rsidRDefault="00FE5F42" w:rsidP="00FE5F42">
            <w:pPr>
              <w:jc w:val="center"/>
              <w:rPr>
                <w:bCs/>
                <w:sz w:val="18"/>
                <w:szCs w:val="18"/>
              </w:rPr>
            </w:pPr>
            <w:r w:rsidRPr="00573472">
              <w:rPr>
                <w:bCs/>
                <w:sz w:val="18"/>
                <w:szCs w:val="18"/>
              </w:rPr>
              <w:t>50</w:t>
            </w:r>
          </w:p>
        </w:tc>
        <w:tc>
          <w:tcPr>
            <w:tcW w:w="1170" w:type="dxa"/>
            <w:vMerge/>
            <w:tcBorders>
              <w:left w:val="double" w:sz="4" w:space="0" w:color="auto"/>
            </w:tcBorders>
            <w:vAlign w:val="center"/>
          </w:tcPr>
          <w:p w:rsidR="00FE5F42" w:rsidRPr="00B42847" w:rsidRDefault="00FE5F42" w:rsidP="00FE5F42">
            <w:pPr>
              <w:rPr>
                <w:sz w:val="18"/>
                <w:szCs w:val="18"/>
              </w:rPr>
            </w:pPr>
          </w:p>
        </w:tc>
        <w:tc>
          <w:tcPr>
            <w:tcW w:w="1350" w:type="dxa"/>
            <w:vMerge/>
            <w:vAlign w:val="center"/>
          </w:tcPr>
          <w:p w:rsidR="00FE5F42" w:rsidRPr="00B42847" w:rsidRDefault="00FE5F42" w:rsidP="00FE5F42">
            <w:pPr>
              <w:rPr>
                <w:bCs/>
                <w:sz w:val="18"/>
                <w:szCs w:val="18"/>
              </w:rPr>
            </w:pPr>
          </w:p>
        </w:tc>
        <w:tc>
          <w:tcPr>
            <w:tcW w:w="1350" w:type="dxa"/>
            <w:vMerge/>
            <w:vAlign w:val="center"/>
          </w:tcPr>
          <w:p w:rsidR="00FE5F42" w:rsidRPr="00057745" w:rsidRDefault="00FE5F42" w:rsidP="00FE5F42">
            <w:pPr>
              <w:rPr>
                <w:sz w:val="18"/>
                <w:szCs w:val="18"/>
              </w:rPr>
            </w:pPr>
          </w:p>
        </w:tc>
        <w:tc>
          <w:tcPr>
            <w:tcW w:w="2610" w:type="dxa"/>
            <w:vMerge/>
            <w:vAlign w:val="center"/>
          </w:tcPr>
          <w:p w:rsidR="00FE5F42" w:rsidRPr="00057745" w:rsidRDefault="00FE5F42" w:rsidP="00FE5F42">
            <w:pPr>
              <w:rPr>
                <w:sz w:val="18"/>
                <w:szCs w:val="18"/>
              </w:rPr>
            </w:pPr>
          </w:p>
        </w:tc>
      </w:tr>
    </w:tbl>
    <w:p w:rsidR="0084512C" w:rsidRDefault="0084512C" w:rsidP="005C4814">
      <w:pPr>
        <w:pStyle w:val="Heading1"/>
        <w:rPr>
          <w:lang w:val="en-GB"/>
        </w:rPr>
        <w:sectPr w:rsidR="0084512C">
          <w:pgSz w:w="15840" w:h="12240" w:orient="landscape"/>
          <w:pgMar w:top="1440" w:right="1440" w:bottom="1260" w:left="1440" w:header="720" w:footer="720" w:gutter="0"/>
          <w:cols w:space="720"/>
          <w:docGrid w:linePitch="360"/>
        </w:sectPr>
      </w:pPr>
    </w:p>
    <w:p w:rsidR="00366978" w:rsidRDefault="00FE0D1D" w:rsidP="002A30D9">
      <w:pPr>
        <w:pStyle w:val="Heading1"/>
        <w:jc w:val="center"/>
        <w:rPr>
          <w:lang w:val="en-GB"/>
        </w:rPr>
      </w:pPr>
      <w:bookmarkStart w:id="38" w:name="_Toc354067287"/>
      <w:r>
        <w:rPr>
          <w:lang w:val="en-GB"/>
        </w:rPr>
        <w:lastRenderedPageBreak/>
        <w:t>A</w:t>
      </w:r>
      <w:r w:rsidR="00D432EA">
        <w:rPr>
          <w:lang w:val="en-GB"/>
        </w:rPr>
        <w:t>nnex 2</w:t>
      </w:r>
      <w:r w:rsidR="009E37D1" w:rsidRPr="00BA3FF4">
        <w:rPr>
          <w:lang w:val="en-GB"/>
        </w:rPr>
        <w:t xml:space="preserve">: </w:t>
      </w:r>
      <w:r w:rsidR="009E37D1">
        <w:rPr>
          <w:lang w:val="en-GB"/>
        </w:rPr>
        <w:t xml:space="preserve"> </w:t>
      </w:r>
      <w:r w:rsidR="00366978">
        <w:rPr>
          <w:lang w:val="en-GB"/>
        </w:rPr>
        <w:t>Detailed Project Description</w:t>
      </w:r>
      <w:bookmarkEnd w:id="38"/>
    </w:p>
    <w:p w:rsidR="005E3E79" w:rsidRDefault="005E3E79" w:rsidP="005E3E79">
      <w:pPr>
        <w:jc w:val="both"/>
      </w:pPr>
    </w:p>
    <w:p w:rsidR="006042F7" w:rsidRDefault="00E72277" w:rsidP="00C517F6">
      <w:pPr>
        <w:pStyle w:val="ListParagraph"/>
        <w:numPr>
          <w:ilvl w:val="0"/>
          <w:numId w:val="7"/>
        </w:numPr>
        <w:ind w:left="0" w:firstLine="0"/>
        <w:jc w:val="both"/>
      </w:pPr>
      <w:r w:rsidRPr="00E72277">
        <w:t>The objectives of the Project are to: (a) increase access to preschool education in Selected Municipalities, and to improve preschool education learning conditions nationwide; and (b) increase access to lower secondary education in Selected Municipalities, and improve lower secondary education quality and completion rates nationwide</w:t>
      </w:r>
      <w:r w:rsidR="00DA5FC9" w:rsidRPr="00164B1B">
        <w:t>.</w:t>
      </w:r>
    </w:p>
    <w:p w:rsidR="00C517F6" w:rsidRDefault="00C517F6" w:rsidP="008F3FE7">
      <w:pPr>
        <w:pStyle w:val="ListParagraph"/>
        <w:ind w:left="360"/>
        <w:jc w:val="both"/>
        <w:rPr>
          <w:bCs/>
        </w:rPr>
      </w:pPr>
    </w:p>
    <w:p w:rsidR="002B0C6C" w:rsidRPr="00E73550" w:rsidRDefault="00EF066A" w:rsidP="005E2993">
      <w:pPr>
        <w:pStyle w:val="ListParagraph"/>
        <w:numPr>
          <w:ilvl w:val="0"/>
          <w:numId w:val="7"/>
        </w:numPr>
        <w:ind w:left="0" w:firstLine="0"/>
        <w:jc w:val="both"/>
        <w:rPr>
          <w:bCs/>
        </w:rPr>
      </w:pPr>
      <w:r>
        <w:t>A</w:t>
      </w:r>
      <w:r w:rsidRPr="00EF066A">
        <w:t>ccess-related infrastructure and equipment investments would be targeted</w:t>
      </w:r>
      <w:r>
        <w:t xml:space="preserve"> in 43 municipalities, while m</w:t>
      </w:r>
      <w:r w:rsidR="00E73550">
        <w:t>ost of the qualitative investments (</w:t>
      </w:r>
      <w:r w:rsidR="00F75747">
        <w:t>preschool</w:t>
      </w:r>
      <w:r>
        <w:t xml:space="preserve"> unified curriculum</w:t>
      </w:r>
      <w:r w:rsidR="001A155E">
        <w:t xml:space="preserve">, </w:t>
      </w:r>
      <w:r w:rsidR="00E73550">
        <w:t xml:space="preserve">teacher training and provision of educational materials) for both </w:t>
      </w:r>
      <w:r w:rsidR="00F75747">
        <w:t>preschool</w:t>
      </w:r>
      <w:r w:rsidR="00E73550">
        <w:t xml:space="preserve"> and </w:t>
      </w:r>
      <w:r w:rsidR="009A2EAF">
        <w:t xml:space="preserve">lower </w:t>
      </w:r>
      <w:r w:rsidR="00E73550">
        <w:t>secondary education would be national in scope.</w:t>
      </w:r>
      <w:r w:rsidR="009A2EAF">
        <w:t xml:space="preserve">  </w:t>
      </w:r>
      <w:r w:rsidR="009A2EAF" w:rsidRPr="009A2EAF">
        <w:rPr>
          <w:bCs/>
        </w:rPr>
        <w:t xml:space="preserve">Within these 43 municipalities, a total of 250 </w:t>
      </w:r>
      <w:r w:rsidR="009A2EAF" w:rsidRPr="009A2EAF">
        <w:rPr>
          <w:bCs/>
          <w:i/>
        </w:rPr>
        <w:t>núcleos educativos</w:t>
      </w:r>
      <w:r w:rsidR="009A2EAF" w:rsidRPr="009A2EAF">
        <w:rPr>
          <w:bCs/>
        </w:rPr>
        <w:t xml:space="preserve"> (education clusters) would be selected.  </w:t>
      </w:r>
      <w:r w:rsidR="00E73550">
        <w:t>Targeting would focus on municipalities</w:t>
      </w:r>
      <w:r w:rsidR="00F14EED" w:rsidRPr="00E73550">
        <w:rPr>
          <w:bCs/>
        </w:rPr>
        <w:t xml:space="preserve"> where </w:t>
      </w:r>
      <w:r w:rsidR="00F75747">
        <w:rPr>
          <w:bCs/>
        </w:rPr>
        <w:t>preschool</w:t>
      </w:r>
      <w:r w:rsidR="00FD328F" w:rsidRPr="00E73550">
        <w:rPr>
          <w:bCs/>
        </w:rPr>
        <w:t xml:space="preserve"> and secondary education indicators are the worst </w:t>
      </w:r>
      <w:r w:rsidR="00F14EED" w:rsidRPr="00E73550">
        <w:rPr>
          <w:bCs/>
        </w:rPr>
        <w:t>and poverty levels are the highest</w:t>
      </w:r>
      <w:r w:rsidR="00FD328F" w:rsidRPr="00E73550">
        <w:rPr>
          <w:bCs/>
        </w:rPr>
        <w:t xml:space="preserve">, while maximizing geographical overlap with PASEN II </w:t>
      </w:r>
      <w:r w:rsidR="00B72EF4">
        <w:rPr>
          <w:bCs/>
        </w:rPr>
        <w:t>(</w:t>
      </w:r>
      <w:r w:rsidR="00FD328F" w:rsidRPr="00E73550">
        <w:rPr>
          <w:bCs/>
        </w:rPr>
        <w:t>which focuses on primary education</w:t>
      </w:r>
      <w:r w:rsidR="00B72EF4">
        <w:rPr>
          <w:bCs/>
        </w:rPr>
        <w:t>)</w:t>
      </w:r>
      <w:r w:rsidR="00F14EED" w:rsidRPr="00E73550">
        <w:rPr>
          <w:bCs/>
        </w:rPr>
        <w:t xml:space="preserve">.  </w:t>
      </w:r>
      <w:r w:rsidR="00C25990">
        <w:rPr>
          <w:bCs/>
        </w:rPr>
        <w:t>In this way</w:t>
      </w:r>
      <w:r w:rsidR="00FD328F" w:rsidRPr="00E73550">
        <w:rPr>
          <w:bCs/>
        </w:rPr>
        <w:t xml:space="preserve"> the Project aims to maximize</w:t>
      </w:r>
      <w:r w:rsidR="0093708A">
        <w:rPr>
          <w:bCs/>
        </w:rPr>
        <w:t>:</w:t>
      </w:r>
      <w:r w:rsidR="00FD328F" w:rsidRPr="00E73550">
        <w:rPr>
          <w:bCs/>
        </w:rPr>
        <w:t xml:space="preserve"> </w:t>
      </w:r>
      <w:r w:rsidR="001C618D" w:rsidRPr="00E73550">
        <w:rPr>
          <w:bCs/>
        </w:rPr>
        <w:t>(</w:t>
      </w:r>
      <w:r w:rsidR="0093708A">
        <w:rPr>
          <w:bCs/>
        </w:rPr>
        <w:t>i</w:t>
      </w:r>
      <w:r w:rsidR="001C618D" w:rsidRPr="00E73550">
        <w:rPr>
          <w:bCs/>
        </w:rPr>
        <w:t xml:space="preserve">) </w:t>
      </w:r>
      <w:r w:rsidR="00FD328F" w:rsidRPr="00E73550">
        <w:rPr>
          <w:bCs/>
        </w:rPr>
        <w:t xml:space="preserve">vertical integration between </w:t>
      </w:r>
      <w:r w:rsidR="00F75747">
        <w:rPr>
          <w:bCs/>
        </w:rPr>
        <w:t>preschool</w:t>
      </w:r>
      <w:r w:rsidR="00FD328F" w:rsidRPr="00E73550">
        <w:rPr>
          <w:bCs/>
        </w:rPr>
        <w:t xml:space="preserve">, primary and secondary education, as well as </w:t>
      </w:r>
      <w:r w:rsidR="001C618D" w:rsidRPr="00E73550">
        <w:rPr>
          <w:bCs/>
        </w:rPr>
        <w:t>(</w:t>
      </w:r>
      <w:r w:rsidR="0093708A">
        <w:rPr>
          <w:bCs/>
        </w:rPr>
        <w:t>ii</w:t>
      </w:r>
      <w:r w:rsidR="001C618D" w:rsidRPr="00E73550">
        <w:rPr>
          <w:bCs/>
        </w:rPr>
        <w:t xml:space="preserve">) </w:t>
      </w:r>
      <w:r w:rsidR="00FD328F" w:rsidRPr="00E73550">
        <w:rPr>
          <w:bCs/>
        </w:rPr>
        <w:t xml:space="preserve">synergy </w:t>
      </w:r>
      <w:r w:rsidR="00E73550">
        <w:rPr>
          <w:bCs/>
        </w:rPr>
        <w:t>between PASEN II and</w:t>
      </w:r>
      <w:r w:rsidR="008F4368">
        <w:rPr>
          <w:bCs/>
        </w:rPr>
        <w:t xml:space="preserve"> the Project</w:t>
      </w:r>
      <w:r w:rsidR="009A2EAF">
        <w:rPr>
          <w:bCs/>
        </w:rPr>
        <w:t xml:space="preserve"> (</w:t>
      </w:r>
      <w:r w:rsidR="009A2EAF" w:rsidRPr="009A2EAF">
        <w:rPr>
          <w:bCs/>
        </w:rPr>
        <w:t>25 of these municipalities are also targeted for primary education investment under PASEN II</w:t>
      </w:r>
      <w:r w:rsidR="009A2EAF">
        <w:rPr>
          <w:bCs/>
        </w:rPr>
        <w:t>)</w:t>
      </w:r>
      <w:r w:rsidR="00FD328F" w:rsidRPr="00E73550">
        <w:rPr>
          <w:bCs/>
        </w:rPr>
        <w:t>.</w:t>
      </w:r>
    </w:p>
    <w:p w:rsidR="001E03AE" w:rsidRPr="001E03AE" w:rsidRDefault="001E03AE" w:rsidP="001E03AE">
      <w:pPr>
        <w:jc w:val="both"/>
        <w:rPr>
          <w:bCs/>
        </w:rPr>
      </w:pPr>
    </w:p>
    <w:p w:rsidR="001E03AE" w:rsidRDefault="001E03AE" w:rsidP="005E2993">
      <w:pPr>
        <w:pStyle w:val="ListParagraph"/>
        <w:numPr>
          <w:ilvl w:val="0"/>
          <w:numId w:val="21"/>
        </w:numPr>
        <w:ind w:left="0" w:firstLine="0"/>
        <w:jc w:val="both"/>
        <w:rPr>
          <w:bCs/>
        </w:rPr>
      </w:pPr>
      <w:r w:rsidRPr="001E03AE">
        <w:rPr>
          <w:bCs/>
        </w:rPr>
        <w:t xml:space="preserve">The targeting criteria discussed with MINED for the selection of </w:t>
      </w:r>
      <w:r w:rsidR="00636799">
        <w:rPr>
          <w:bCs/>
        </w:rPr>
        <w:t xml:space="preserve">selected </w:t>
      </w:r>
      <w:r w:rsidR="008F4368">
        <w:rPr>
          <w:bCs/>
        </w:rPr>
        <w:t>municipalities under the Project</w:t>
      </w:r>
      <w:r w:rsidRPr="001E03AE">
        <w:rPr>
          <w:bCs/>
        </w:rPr>
        <w:t xml:space="preserve"> include:</w:t>
      </w:r>
    </w:p>
    <w:p w:rsidR="006C307B" w:rsidRDefault="006C307B" w:rsidP="006C307B">
      <w:pPr>
        <w:pStyle w:val="ListParagraph"/>
        <w:ind w:left="0"/>
        <w:jc w:val="both"/>
        <w:rPr>
          <w:bCs/>
        </w:rPr>
      </w:pPr>
    </w:p>
    <w:p w:rsidR="00114C45" w:rsidRPr="00114C45" w:rsidRDefault="00114C45" w:rsidP="00114C45">
      <w:pPr>
        <w:pStyle w:val="ListParagraph"/>
        <w:ind w:left="0"/>
        <w:jc w:val="center"/>
        <w:rPr>
          <w:b/>
          <w:bCs/>
        </w:rPr>
      </w:pPr>
      <w:r w:rsidRPr="00114C45">
        <w:rPr>
          <w:b/>
          <w:bCs/>
        </w:rPr>
        <w:t>Table 2.1: Targeting Criteria</w:t>
      </w:r>
    </w:p>
    <w:tbl>
      <w:tblPr>
        <w:tblStyle w:val="TableGrid"/>
        <w:tblW w:w="0" w:type="auto"/>
        <w:tblLook w:val="04A0" w:firstRow="1" w:lastRow="0" w:firstColumn="1" w:lastColumn="0" w:noHBand="0" w:noVBand="1"/>
      </w:tblPr>
      <w:tblGrid>
        <w:gridCol w:w="4788"/>
        <w:gridCol w:w="4788"/>
      </w:tblGrid>
      <w:tr w:rsidR="006C307B" w:rsidRPr="006544D3">
        <w:tc>
          <w:tcPr>
            <w:tcW w:w="4788" w:type="dxa"/>
          </w:tcPr>
          <w:p w:rsidR="006C307B" w:rsidRPr="006544D3" w:rsidRDefault="00F75747" w:rsidP="006C307B">
            <w:pPr>
              <w:pStyle w:val="ListParagraph"/>
              <w:ind w:left="0"/>
              <w:jc w:val="center"/>
              <w:rPr>
                <w:b/>
                <w:bCs/>
              </w:rPr>
            </w:pPr>
            <w:r>
              <w:rPr>
                <w:b/>
                <w:bCs/>
              </w:rPr>
              <w:t>Preschool</w:t>
            </w:r>
          </w:p>
        </w:tc>
        <w:tc>
          <w:tcPr>
            <w:tcW w:w="4788" w:type="dxa"/>
          </w:tcPr>
          <w:p w:rsidR="006C307B" w:rsidRPr="006544D3" w:rsidRDefault="00587B05" w:rsidP="006C307B">
            <w:pPr>
              <w:pStyle w:val="ListParagraph"/>
              <w:ind w:left="0"/>
              <w:jc w:val="center"/>
              <w:rPr>
                <w:b/>
                <w:bCs/>
              </w:rPr>
            </w:pPr>
            <w:r>
              <w:rPr>
                <w:b/>
                <w:bCs/>
              </w:rPr>
              <w:t>Lower Secondary Education</w:t>
            </w:r>
          </w:p>
        </w:tc>
      </w:tr>
      <w:tr w:rsidR="006C307B" w:rsidRPr="006544D3">
        <w:tc>
          <w:tcPr>
            <w:tcW w:w="4788" w:type="dxa"/>
          </w:tcPr>
          <w:p w:rsidR="006C307B" w:rsidRPr="006544D3" w:rsidRDefault="00752DDA" w:rsidP="00752DDA">
            <w:pPr>
              <w:pStyle w:val="ListParagraph"/>
              <w:ind w:left="0"/>
              <w:jc w:val="both"/>
              <w:rPr>
                <w:bCs/>
              </w:rPr>
            </w:pPr>
            <w:r>
              <w:rPr>
                <w:bCs/>
              </w:rPr>
              <w:t>Gross Enrollment Rate</w:t>
            </w:r>
            <w:r w:rsidR="006C307B">
              <w:rPr>
                <w:bCs/>
              </w:rPr>
              <w:t xml:space="preserve"> (3-5 years)</w:t>
            </w:r>
          </w:p>
        </w:tc>
        <w:tc>
          <w:tcPr>
            <w:tcW w:w="4788" w:type="dxa"/>
          </w:tcPr>
          <w:p w:rsidR="006C307B" w:rsidRPr="006544D3" w:rsidRDefault="00752DDA" w:rsidP="006C307B">
            <w:pPr>
              <w:pStyle w:val="ListParagraph"/>
              <w:ind w:left="0"/>
              <w:jc w:val="both"/>
              <w:rPr>
                <w:bCs/>
              </w:rPr>
            </w:pPr>
            <w:r>
              <w:rPr>
                <w:bCs/>
              </w:rPr>
              <w:t>Gross Enrollment Rate</w:t>
            </w:r>
            <w:r w:rsidR="006C307B">
              <w:rPr>
                <w:bCs/>
              </w:rPr>
              <w:t xml:space="preserve"> (12-14 years)</w:t>
            </w:r>
          </w:p>
        </w:tc>
      </w:tr>
      <w:tr w:rsidR="006C307B" w:rsidRPr="006544D3">
        <w:tc>
          <w:tcPr>
            <w:tcW w:w="4788" w:type="dxa"/>
          </w:tcPr>
          <w:p w:rsidR="006C307B" w:rsidRPr="006544D3" w:rsidRDefault="006C307B" w:rsidP="006C307B">
            <w:pPr>
              <w:pStyle w:val="ListParagraph"/>
              <w:ind w:left="0"/>
              <w:jc w:val="both"/>
              <w:rPr>
                <w:bCs/>
              </w:rPr>
            </w:pPr>
            <w:r>
              <w:rPr>
                <w:bCs/>
              </w:rPr>
              <w:t xml:space="preserve">Transition rates from </w:t>
            </w:r>
            <w:r w:rsidR="00F75747">
              <w:rPr>
                <w:bCs/>
              </w:rPr>
              <w:t>preschool</w:t>
            </w:r>
            <w:r>
              <w:rPr>
                <w:bCs/>
              </w:rPr>
              <w:t xml:space="preserve"> to primary education</w:t>
            </w:r>
          </w:p>
        </w:tc>
        <w:tc>
          <w:tcPr>
            <w:tcW w:w="4788" w:type="dxa"/>
          </w:tcPr>
          <w:p w:rsidR="006C307B" w:rsidRPr="006544D3" w:rsidRDefault="006C307B" w:rsidP="006C307B">
            <w:pPr>
              <w:pStyle w:val="ListParagraph"/>
              <w:ind w:left="0"/>
              <w:jc w:val="both"/>
              <w:rPr>
                <w:bCs/>
              </w:rPr>
            </w:pPr>
            <w:r>
              <w:rPr>
                <w:bCs/>
              </w:rPr>
              <w:t>Transition rates from primary to lower secondary education</w:t>
            </w:r>
          </w:p>
        </w:tc>
      </w:tr>
      <w:tr w:rsidR="006C307B" w:rsidRPr="006544D3">
        <w:tc>
          <w:tcPr>
            <w:tcW w:w="4788" w:type="dxa"/>
          </w:tcPr>
          <w:p w:rsidR="006C307B" w:rsidRPr="006544D3" w:rsidRDefault="006C307B" w:rsidP="006C307B">
            <w:pPr>
              <w:pStyle w:val="ListParagraph"/>
              <w:ind w:left="0"/>
              <w:jc w:val="both"/>
              <w:rPr>
                <w:bCs/>
              </w:rPr>
            </w:pPr>
            <w:r>
              <w:rPr>
                <w:bCs/>
              </w:rPr>
              <w:t>Retention</w:t>
            </w:r>
            <w:r w:rsidR="00752DDA">
              <w:rPr>
                <w:bCs/>
              </w:rPr>
              <w:t>/Completion</w:t>
            </w:r>
            <w:r>
              <w:rPr>
                <w:bCs/>
              </w:rPr>
              <w:t xml:space="preserve"> rates within </w:t>
            </w:r>
            <w:r w:rsidR="00F75747">
              <w:rPr>
                <w:bCs/>
              </w:rPr>
              <w:t>preschool</w:t>
            </w:r>
          </w:p>
        </w:tc>
        <w:tc>
          <w:tcPr>
            <w:tcW w:w="4788" w:type="dxa"/>
          </w:tcPr>
          <w:p w:rsidR="006C307B" w:rsidRPr="006544D3" w:rsidRDefault="006C307B" w:rsidP="00752DDA">
            <w:pPr>
              <w:pStyle w:val="ListParagraph"/>
              <w:ind w:left="0"/>
              <w:jc w:val="both"/>
              <w:rPr>
                <w:bCs/>
              </w:rPr>
            </w:pPr>
            <w:r>
              <w:rPr>
                <w:bCs/>
              </w:rPr>
              <w:t>Retention</w:t>
            </w:r>
            <w:r w:rsidR="00752DDA">
              <w:rPr>
                <w:bCs/>
              </w:rPr>
              <w:t xml:space="preserve">/Completion </w:t>
            </w:r>
            <w:r>
              <w:rPr>
                <w:bCs/>
              </w:rPr>
              <w:t>rates within lower secondary education</w:t>
            </w:r>
          </w:p>
        </w:tc>
      </w:tr>
      <w:tr w:rsidR="006C307B" w:rsidRPr="006544D3">
        <w:tc>
          <w:tcPr>
            <w:tcW w:w="4788" w:type="dxa"/>
          </w:tcPr>
          <w:p w:rsidR="006C307B" w:rsidRPr="006544D3" w:rsidRDefault="006C307B" w:rsidP="006C307B">
            <w:pPr>
              <w:pStyle w:val="ListParagraph"/>
              <w:ind w:left="0"/>
              <w:jc w:val="both"/>
              <w:rPr>
                <w:bCs/>
              </w:rPr>
            </w:pPr>
            <w:r>
              <w:rPr>
                <w:bCs/>
              </w:rPr>
              <w:t>O</w:t>
            </w:r>
            <w:r w:rsidRPr="00435C7E">
              <w:rPr>
                <w:bCs/>
              </w:rPr>
              <w:t>ut of school population b</w:t>
            </w:r>
            <w:r>
              <w:rPr>
                <w:bCs/>
              </w:rPr>
              <w:t>etween 3-5 years</w:t>
            </w:r>
            <w:r w:rsidRPr="00435C7E">
              <w:rPr>
                <w:bCs/>
              </w:rPr>
              <w:t xml:space="preserve"> of age</w:t>
            </w:r>
          </w:p>
        </w:tc>
        <w:tc>
          <w:tcPr>
            <w:tcW w:w="4788" w:type="dxa"/>
          </w:tcPr>
          <w:p w:rsidR="006C307B" w:rsidRPr="006544D3" w:rsidRDefault="00951169" w:rsidP="006C307B">
            <w:pPr>
              <w:pStyle w:val="ListParagraph"/>
              <w:ind w:left="0"/>
              <w:jc w:val="both"/>
              <w:rPr>
                <w:bCs/>
              </w:rPr>
            </w:pPr>
            <w:r>
              <w:rPr>
                <w:bCs/>
              </w:rPr>
              <w:t>O</w:t>
            </w:r>
            <w:r w:rsidR="006C307B" w:rsidRPr="00435C7E">
              <w:rPr>
                <w:bCs/>
              </w:rPr>
              <w:t xml:space="preserve">ut of school population between </w:t>
            </w:r>
            <w:r w:rsidR="006C307B">
              <w:rPr>
                <w:bCs/>
              </w:rPr>
              <w:t>12-14</w:t>
            </w:r>
            <w:r w:rsidR="006C307B" w:rsidRPr="00435C7E">
              <w:rPr>
                <w:bCs/>
              </w:rPr>
              <w:t xml:space="preserve"> years of age</w:t>
            </w:r>
          </w:p>
        </w:tc>
      </w:tr>
      <w:tr w:rsidR="006C307B" w:rsidRPr="006544D3">
        <w:tc>
          <w:tcPr>
            <w:tcW w:w="9576" w:type="dxa"/>
            <w:gridSpan w:val="2"/>
          </w:tcPr>
          <w:p w:rsidR="006C307B" w:rsidRPr="006544D3" w:rsidRDefault="006C307B" w:rsidP="006C307B">
            <w:pPr>
              <w:pStyle w:val="ListParagraph"/>
              <w:ind w:left="0"/>
              <w:jc w:val="center"/>
              <w:rPr>
                <w:bCs/>
              </w:rPr>
            </w:pPr>
            <w:r>
              <w:rPr>
                <w:bCs/>
              </w:rPr>
              <w:t>Poverty rates in municipalities</w:t>
            </w:r>
          </w:p>
        </w:tc>
      </w:tr>
    </w:tbl>
    <w:p w:rsidR="006C307B" w:rsidRDefault="006C307B" w:rsidP="006C307B">
      <w:pPr>
        <w:jc w:val="both"/>
        <w:rPr>
          <w:bCs/>
        </w:rPr>
      </w:pPr>
    </w:p>
    <w:p w:rsidR="00C73DA3" w:rsidRPr="008C635C" w:rsidRDefault="00752DDA" w:rsidP="005E2993">
      <w:pPr>
        <w:pStyle w:val="ListParagraph"/>
        <w:numPr>
          <w:ilvl w:val="0"/>
          <w:numId w:val="21"/>
        </w:numPr>
        <w:ind w:left="0" w:firstLine="0"/>
        <w:jc w:val="both"/>
        <w:rPr>
          <w:b/>
          <w:bCs/>
        </w:rPr>
      </w:pPr>
      <w:r w:rsidRPr="008B6E3F">
        <w:rPr>
          <w:bCs/>
        </w:rPr>
        <w:t>Applying these criteria to education statistical data organized by the 153 municipalities in the country generated a ranking of the neediest municipalities which also had the greatest number of potential beneficiaries</w:t>
      </w:r>
      <w:r w:rsidR="00725900" w:rsidRPr="008B6E3F">
        <w:rPr>
          <w:bCs/>
        </w:rPr>
        <w:t xml:space="preserve"> (that is, the largest numbers of out-of-school children at these levels)</w:t>
      </w:r>
      <w:r w:rsidRPr="008B6E3F">
        <w:rPr>
          <w:bCs/>
        </w:rPr>
        <w:t>.</w:t>
      </w:r>
      <w:r w:rsidR="00725900" w:rsidRPr="008B6E3F">
        <w:rPr>
          <w:bCs/>
        </w:rPr>
        <w:t xml:space="preserve">  The first iteration of this yielded a </w:t>
      </w:r>
      <w:r w:rsidR="008B7552" w:rsidRPr="008B6E3F">
        <w:rPr>
          <w:bCs/>
        </w:rPr>
        <w:t>set of 52 municipalities in 13 Departments and 2 R</w:t>
      </w:r>
      <w:r w:rsidR="00725900" w:rsidRPr="008B6E3F">
        <w:rPr>
          <w:bCs/>
        </w:rPr>
        <w:t>egions, which included several municipalities which were “outliers” in being the on</w:t>
      </w:r>
      <w:r w:rsidR="008B7552" w:rsidRPr="008B6E3F">
        <w:rPr>
          <w:bCs/>
        </w:rPr>
        <w:t>ly ones which qualified in the D</w:t>
      </w:r>
      <w:r w:rsidR="00725900" w:rsidRPr="008B6E3F">
        <w:rPr>
          <w:bCs/>
        </w:rPr>
        <w:t xml:space="preserve">epartment.  The Project’s financing </w:t>
      </w:r>
      <w:r w:rsidR="00665EA9">
        <w:rPr>
          <w:bCs/>
        </w:rPr>
        <w:t xml:space="preserve">for civil works for secondary education and </w:t>
      </w:r>
      <w:r w:rsidR="00F75747">
        <w:rPr>
          <w:bCs/>
        </w:rPr>
        <w:t>preschool</w:t>
      </w:r>
      <w:r w:rsidR="00665EA9">
        <w:rPr>
          <w:bCs/>
        </w:rPr>
        <w:t xml:space="preserve"> </w:t>
      </w:r>
      <w:r w:rsidR="00725900" w:rsidRPr="008B6E3F">
        <w:rPr>
          <w:bCs/>
        </w:rPr>
        <w:t>being limited to</w:t>
      </w:r>
      <w:r w:rsidR="00665EA9">
        <w:rPr>
          <w:bCs/>
        </w:rPr>
        <w:t xml:space="preserve"> only</w:t>
      </w:r>
      <w:r w:rsidR="00725900" w:rsidRPr="008B6E3F">
        <w:rPr>
          <w:bCs/>
        </w:rPr>
        <w:t xml:space="preserve"> 250 </w:t>
      </w:r>
      <w:r w:rsidR="004065AE" w:rsidRPr="004065AE">
        <w:rPr>
          <w:bCs/>
          <w:i/>
        </w:rPr>
        <w:t>núcleos</w:t>
      </w:r>
      <w:r w:rsidR="00665EA9">
        <w:rPr>
          <w:bCs/>
          <w:i/>
        </w:rPr>
        <w:t xml:space="preserve"> educativos</w:t>
      </w:r>
      <w:r w:rsidR="00665EA9">
        <w:rPr>
          <w:bCs/>
        </w:rPr>
        <w:t xml:space="preserve"> and the need to strengthen capacity in all 13 Departments,</w:t>
      </w:r>
      <w:r w:rsidR="00725900" w:rsidRPr="008B6E3F">
        <w:rPr>
          <w:bCs/>
          <w:i/>
        </w:rPr>
        <w:t xml:space="preserve"> </w:t>
      </w:r>
      <w:r w:rsidR="00665EA9">
        <w:rPr>
          <w:bCs/>
        </w:rPr>
        <w:t>MINED</w:t>
      </w:r>
      <w:r w:rsidR="00725900" w:rsidRPr="008B6E3F">
        <w:rPr>
          <w:bCs/>
        </w:rPr>
        <w:t xml:space="preserve"> decid</w:t>
      </w:r>
      <w:r w:rsidR="008B7552" w:rsidRPr="008B6E3F">
        <w:rPr>
          <w:bCs/>
        </w:rPr>
        <w:t>ed to concentrate resources in D</w:t>
      </w:r>
      <w:r w:rsidR="00725900" w:rsidRPr="008B6E3F">
        <w:rPr>
          <w:bCs/>
        </w:rPr>
        <w:t>epartments</w:t>
      </w:r>
      <w:r w:rsidR="00F967B5" w:rsidRPr="008B6E3F">
        <w:rPr>
          <w:bCs/>
        </w:rPr>
        <w:t xml:space="preserve"> with at least 3 mun</w:t>
      </w:r>
      <w:r w:rsidR="00665EA9">
        <w:rPr>
          <w:bCs/>
        </w:rPr>
        <w:t>i</w:t>
      </w:r>
      <w:r w:rsidR="00F967B5" w:rsidRPr="008B6E3F">
        <w:rPr>
          <w:bCs/>
        </w:rPr>
        <w:t>cipalities.  This process yielded a t</w:t>
      </w:r>
      <w:r w:rsidR="008B7552" w:rsidRPr="008B6E3F">
        <w:rPr>
          <w:bCs/>
        </w:rPr>
        <w:t>otal of 43 mun</w:t>
      </w:r>
      <w:r w:rsidR="00665EA9">
        <w:rPr>
          <w:bCs/>
        </w:rPr>
        <w:t>i</w:t>
      </w:r>
      <w:r w:rsidR="0019445D">
        <w:rPr>
          <w:bCs/>
        </w:rPr>
        <w:t>cipalities, in 7</w:t>
      </w:r>
      <w:r w:rsidR="008B7552" w:rsidRPr="008B6E3F">
        <w:rPr>
          <w:bCs/>
        </w:rPr>
        <w:t xml:space="preserve"> D</w:t>
      </w:r>
      <w:r w:rsidR="00F967B5" w:rsidRPr="008B6E3F">
        <w:rPr>
          <w:bCs/>
        </w:rPr>
        <w:t xml:space="preserve">epartments and 2 regions.  </w:t>
      </w:r>
      <w:r w:rsidR="00D9142A" w:rsidRPr="008B6E3F">
        <w:rPr>
          <w:bCs/>
        </w:rPr>
        <w:t xml:space="preserve">Table </w:t>
      </w:r>
      <w:r w:rsidR="005E3EE7">
        <w:rPr>
          <w:bCs/>
        </w:rPr>
        <w:t>2.</w:t>
      </w:r>
      <w:r w:rsidR="00114C45">
        <w:rPr>
          <w:bCs/>
        </w:rPr>
        <w:t>2</w:t>
      </w:r>
      <w:r w:rsidR="00D9142A" w:rsidRPr="008B6E3F">
        <w:rPr>
          <w:bCs/>
        </w:rPr>
        <w:t xml:space="preserve"> below provides a list of all targeted municipalities, including </w:t>
      </w:r>
      <w:r w:rsidR="00485EB9" w:rsidRPr="008B6E3F">
        <w:rPr>
          <w:bCs/>
        </w:rPr>
        <w:t>wheth</w:t>
      </w:r>
      <w:r w:rsidR="008B7552" w:rsidRPr="008B6E3F">
        <w:rPr>
          <w:bCs/>
        </w:rPr>
        <w:t xml:space="preserve">er they </w:t>
      </w:r>
      <w:r w:rsidR="00636C8C">
        <w:rPr>
          <w:bCs/>
        </w:rPr>
        <w:t>would</w:t>
      </w:r>
      <w:r w:rsidR="008B7552" w:rsidRPr="008B6E3F">
        <w:rPr>
          <w:bCs/>
        </w:rPr>
        <w:t xml:space="preserve"> receive support from</w:t>
      </w:r>
      <w:r w:rsidR="00485EB9" w:rsidRPr="008B6E3F">
        <w:rPr>
          <w:bCs/>
        </w:rPr>
        <w:t xml:space="preserve"> both </w:t>
      </w:r>
      <w:r w:rsidR="008F4368">
        <w:rPr>
          <w:bCs/>
        </w:rPr>
        <w:t>the Project</w:t>
      </w:r>
      <w:r w:rsidR="00D9142A" w:rsidRPr="008B6E3F">
        <w:rPr>
          <w:bCs/>
        </w:rPr>
        <w:t xml:space="preserve"> and PASEN II</w:t>
      </w:r>
      <w:r w:rsidR="00485EB9" w:rsidRPr="008B6E3F">
        <w:rPr>
          <w:bCs/>
        </w:rPr>
        <w:t xml:space="preserve">, or only </w:t>
      </w:r>
      <w:r w:rsidR="008B7552" w:rsidRPr="008B6E3F">
        <w:rPr>
          <w:bCs/>
        </w:rPr>
        <w:t xml:space="preserve">from </w:t>
      </w:r>
      <w:r w:rsidR="008F4368">
        <w:rPr>
          <w:bCs/>
        </w:rPr>
        <w:t>the Project</w:t>
      </w:r>
      <w:r w:rsidR="00D9142A" w:rsidRPr="008B6E3F">
        <w:rPr>
          <w:bCs/>
        </w:rPr>
        <w:t>.</w:t>
      </w:r>
    </w:p>
    <w:p w:rsidR="00114C45" w:rsidRDefault="00114C45" w:rsidP="00D9142A">
      <w:pPr>
        <w:ind w:left="708"/>
        <w:jc w:val="center"/>
        <w:rPr>
          <w:b/>
          <w:bCs/>
        </w:rPr>
      </w:pPr>
    </w:p>
    <w:p w:rsidR="00DB09A9" w:rsidRDefault="00DB09A9" w:rsidP="00D9142A">
      <w:pPr>
        <w:ind w:left="708"/>
        <w:jc w:val="center"/>
        <w:rPr>
          <w:b/>
          <w:bCs/>
        </w:rPr>
      </w:pPr>
    </w:p>
    <w:p w:rsidR="00DB09A9" w:rsidRDefault="00DB09A9" w:rsidP="00D9142A">
      <w:pPr>
        <w:ind w:left="708"/>
        <w:jc w:val="center"/>
        <w:rPr>
          <w:b/>
          <w:bCs/>
        </w:rPr>
      </w:pPr>
    </w:p>
    <w:p w:rsidR="00D9142A" w:rsidRDefault="00114C45" w:rsidP="00D9142A">
      <w:pPr>
        <w:ind w:left="708"/>
        <w:jc w:val="center"/>
        <w:rPr>
          <w:b/>
          <w:bCs/>
        </w:rPr>
      </w:pPr>
      <w:r>
        <w:rPr>
          <w:b/>
          <w:bCs/>
        </w:rPr>
        <w:lastRenderedPageBreak/>
        <w:t xml:space="preserve">Table 2.2: </w:t>
      </w:r>
      <w:r w:rsidR="008F4368">
        <w:rPr>
          <w:b/>
          <w:bCs/>
        </w:rPr>
        <w:t>Municipalities Covered under the Project</w:t>
      </w:r>
      <w:r w:rsidR="00D9142A" w:rsidRPr="008B6E3F">
        <w:rPr>
          <w:b/>
          <w:bCs/>
        </w:rPr>
        <w:t xml:space="preserve"> and PASEN II</w:t>
      </w:r>
    </w:p>
    <w:p w:rsidR="0029582E" w:rsidRDefault="0029582E" w:rsidP="00B922C0">
      <w:pPr>
        <w:jc w:val="center"/>
        <w:rPr>
          <w:sz w:val="20"/>
          <w:szCs w:val="20"/>
        </w:rPr>
      </w:pPr>
      <w:r w:rsidRPr="0029582E">
        <w:rPr>
          <w:noProof/>
          <w:szCs w:val="20"/>
        </w:rPr>
        <w:drawing>
          <wp:inline distT="0" distB="0" distL="0" distR="0" wp14:anchorId="23463057" wp14:editId="56B93971">
            <wp:extent cx="5597719" cy="7872162"/>
            <wp:effectExtent l="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616313" cy="7898311"/>
                    </a:xfrm>
                    <a:prstGeom prst="rect">
                      <a:avLst/>
                    </a:prstGeom>
                    <a:noFill/>
                    <a:ln w="9525">
                      <a:noFill/>
                      <a:miter lim="800000"/>
                      <a:headEnd/>
                      <a:tailEnd/>
                    </a:ln>
                  </pic:spPr>
                </pic:pic>
              </a:graphicData>
            </a:graphic>
          </wp:inline>
        </w:drawing>
      </w:r>
    </w:p>
    <w:p w:rsidR="009A2EAF" w:rsidRPr="009A2EAF" w:rsidRDefault="009A2EAF" w:rsidP="009A2EAF">
      <w:pPr>
        <w:jc w:val="both"/>
        <w:rPr>
          <w:bCs/>
        </w:rPr>
      </w:pPr>
    </w:p>
    <w:p w:rsidR="00EF066A" w:rsidRDefault="00EF066A" w:rsidP="005E2993">
      <w:pPr>
        <w:pStyle w:val="ListParagraph"/>
        <w:numPr>
          <w:ilvl w:val="0"/>
          <w:numId w:val="22"/>
        </w:numPr>
        <w:ind w:left="0" w:firstLine="0"/>
        <w:jc w:val="both"/>
        <w:rPr>
          <w:bCs/>
        </w:rPr>
      </w:pPr>
      <w:r w:rsidRPr="000426C1">
        <w:rPr>
          <w:bCs/>
        </w:rPr>
        <w:lastRenderedPageBreak/>
        <w:t>The Project</w:t>
      </w:r>
      <w:r>
        <w:rPr>
          <w:bCs/>
        </w:rPr>
        <w:t xml:space="preserve"> would finance activities in </w:t>
      </w:r>
      <w:r w:rsidR="001F49A5">
        <w:rPr>
          <w:bCs/>
        </w:rPr>
        <w:t>four</w:t>
      </w:r>
      <w:r w:rsidR="001F49A5" w:rsidRPr="000426C1">
        <w:rPr>
          <w:bCs/>
        </w:rPr>
        <w:t xml:space="preserve"> </w:t>
      </w:r>
      <w:r w:rsidR="00C25990">
        <w:rPr>
          <w:bCs/>
        </w:rPr>
        <w:t>C</w:t>
      </w:r>
      <w:r w:rsidRPr="000426C1">
        <w:rPr>
          <w:bCs/>
        </w:rPr>
        <w:t>omponents: (i)</w:t>
      </w:r>
      <w:r>
        <w:rPr>
          <w:bCs/>
        </w:rPr>
        <w:t xml:space="preserve"> increasing access and </w:t>
      </w:r>
      <w:r w:rsidR="003F3F90">
        <w:rPr>
          <w:bCs/>
        </w:rPr>
        <w:t xml:space="preserve">improving </w:t>
      </w:r>
      <w:r>
        <w:rPr>
          <w:bCs/>
        </w:rPr>
        <w:t xml:space="preserve">learning conditions of </w:t>
      </w:r>
      <w:r w:rsidR="00F75747">
        <w:rPr>
          <w:bCs/>
        </w:rPr>
        <w:t>preschool</w:t>
      </w:r>
      <w:r>
        <w:rPr>
          <w:bCs/>
        </w:rPr>
        <w:t xml:space="preserve"> education; (ii</w:t>
      </w:r>
      <w:r w:rsidRPr="002665EB">
        <w:rPr>
          <w:bCs/>
        </w:rPr>
        <w:t xml:space="preserve">) </w:t>
      </w:r>
      <w:r w:rsidR="00DA5FC9">
        <w:rPr>
          <w:bCs/>
        </w:rPr>
        <w:t>i</w:t>
      </w:r>
      <w:r w:rsidR="002665EB" w:rsidRPr="00164B1B">
        <w:rPr>
          <w:bCs/>
        </w:rPr>
        <w:t xml:space="preserve">mproving </w:t>
      </w:r>
      <w:r w:rsidR="00DA5FC9">
        <w:rPr>
          <w:bCs/>
        </w:rPr>
        <w:t>a</w:t>
      </w:r>
      <w:r w:rsidR="002665EB" w:rsidRPr="00164B1B">
        <w:rPr>
          <w:bCs/>
        </w:rPr>
        <w:t xml:space="preserve">ccess, </w:t>
      </w:r>
      <w:r w:rsidR="00DA5FC9">
        <w:rPr>
          <w:bCs/>
        </w:rPr>
        <w:t>q</w:t>
      </w:r>
      <w:r w:rsidR="002665EB" w:rsidRPr="00164B1B">
        <w:rPr>
          <w:bCs/>
        </w:rPr>
        <w:t xml:space="preserve">uality and </w:t>
      </w:r>
      <w:r w:rsidR="00DA5FC9" w:rsidRPr="00164B1B">
        <w:rPr>
          <w:bCs/>
        </w:rPr>
        <w:t>c</w:t>
      </w:r>
      <w:r w:rsidR="002665EB" w:rsidRPr="00164B1B">
        <w:rPr>
          <w:bCs/>
        </w:rPr>
        <w:t xml:space="preserve">ompletion of </w:t>
      </w:r>
      <w:r w:rsidR="00DA5FC9" w:rsidRPr="00164B1B">
        <w:rPr>
          <w:bCs/>
        </w:rPr>
        <w:t>l</w:t>
      </w:r>
      <w:r w:rsidR="002665EB" w:rsidRPr="00164B1B">
        <w:rPr>
          <w:bCs/>
        </w:rPr>
        <w:t xml:space="preserve">ower </w:t>
      </w:r>
      <w:r w:rsidR="00DA5FC9" w:rsidRPr="00164B1B">
        <w:rPr>
          <w:bCs/>
        </w:rPr>
        <w:t>s</w:t>
      </w:r>
      <w:r w:rsidR="002665EB" w:rsidRPr="00164B1B">
        <w:rPr>
          <w:bCs/>
        </w:rPr>
        <w:t xml:space="preserve">econdary </w:t>
      </w:r>
      <w:r w:rsidR="00DA5FC9" w:rsidRPr="00164B1B">
        <w:rPr>
          <w:bCs/>
        </w:rPr>
        <w:t>e</w:t>
      </w:r>
      <w:r w:rsidR="00C25990">
        <w:rPr>
          <w:bCs/>
        </w:rPr>
        <w:t>ducation;</w:t>
      </w:r>
      <w:r w:rsidR="001F49A5" w:rsidRPr="00164B1B">
        <w:rPr>
          <w:bCs/>
        </w:rPr>
        <w:t xml:space="preserve"> (iii)</w:t>
      </w:r>
      <w:r w:rsidR="008F3FE7" w:rsidRPr="00164B1B">
        <w:rPr>
          <w:bCs/>
        </w:rPr>
        <w:t xml:space="preserve"> </w:t>
      </w:r>
      <w:r w:rsidR="00DA5FC9" w:rsidRPr="00164B1B">
        <w:t>s</w:t>
      </w:r>
      <w:r w:rsidR="002665EB" w:rsidRPr="00164B1B">
        <w:t xml:space="preserve">trengthening of the Ministry of Education’s </w:t>
      </w:r>
      <w:r w:rsidR="00DA5FC9" w:rsidRPr="00164B1B">
        <w:t>i</w:t>
      </w:r>
      <w:r w:rsidR="002665EB" w:rsidRPr="00164B1B">
        <w:t xml:space="preserve">nstitutional </w:t>
      </w:r>
      <w:r w:rsidR="00DA5FC9" w:rsidRPr="00164B1B">
        <w:t>c</w:t>
      </w:r>
      <w:r w:rsidR="002665EB" w:rsidRPr="00164B1B">
        <w:t xml:space="preserve">apacity for </w:t>
      </w:r>
      <w:r w:rsidR="00DA5FC9" w:rsidRPr="00164B1B">
        <w:t>p</w:t>
      </w:r>
      <w:r w:rsidR="002665EB" w:rsidRPr="00164B1B">
        <w:t xml:space="preserve">reschool </w:t>
      </w:r>
      <w:r w:rsidR="00DA5FC9" w:rsidRPr="00164B1B">
        <w:t>e</w:t>
      </w:r>
      <w:r w:rsidR="002665EB" w:rsidRPr="00164B1B">
        <w:t>ducation</w:t>
      </w:r>
      <w:r w:rsidR="0046720A" w:rsidRPr="00164B1B">
        <w:rPr>
          <w:bCs/>
        </w:rPr>
        <w:t xml:space="preserve">; and </w:t>
      </w:r>
      <w:proofErr w:type="gramStart"/>
      <w:r w:rsidRPr="00164B1B">
        <w:rPr>
          <w:bCs/>
        </w:rPr>
        <w:t>(i</w:t>
      </w:r>
      <w:r w:rsidR="0046720A" w:rsidRPr="00164B1B">
        <w:rPr>
          <w:bCs/>
        </w:rPr>
        <w:t>v</w:t>
      </w:r>
      <w:r w:rsidRPr="00164B1B">
        <w:rPr>
          <w:bCs/>
        </w:rPr>
        <w:t>)</w:t>
      </w:r>
      <w:r w:rsidR="0046720A" w:rsidRPr="00164B1B">
        <w:rPr>
          <w:bCs/>
        </w:rPr>
        <w:t xml:space="preserve"> strengthening</w:t>
      </w:r>
      <w:proofErr w:type="gramEnd"/>
      <w:r w:rsidR="0046720A" w:rsidRPr="00164B1B">
        <w:rPr>
          <w:bCs/>
        </w:rPr>
        <w:t xml:space="preserve"> of the Ministry of </w:t>
      </w:r>
      <w:r w:rsidR="0046720A">
        <w:rPr>
          <w:bCs/>
        </w:rPr>
        <w:t xml:space="preserve">Education’s </w:t>
      </w:r>
      <w:r w:rsidR="00DA5FC9">
        <w:rPr>
          <w:bCs/>
        </w:rPr>
        <w:t>i</w:t>
      </w:r>
      <w:r w:rsidR="0046720A">
        <w:rPr>
          <w:bCs/>
        </w:rPr>
        <w:t>nstitutional capacity for</w:t>
      </w:r>
      <w:r w:rsidRPr="000426C1">
        <w:rPr>
          <w:bCs/>
        </w:rPr>
        <w:t xml:space="preserve"> </w:t>
      </w:r>
      <w:r w:rsidR="0046720A">
        <w:rPr>
          <w:bCs/>
        </w:rPr>
        <w:t>lower secondary education.</w:t>
      </w:r>
    </w:p>
    <w:p w:rsidR="002665EB" w:rsidRPr="000426C1" w:rsidRDefault="002665EB" w:rsidP="00164B1B">
      <w:pPr>
        <w:pStyle w:val="ListParagraph"/>
        <w:ind w:left="0"/>
        <w:jc w:val="both"/>
        <w:rPr>
          <w:bCs/>
        </w:rPr>
      </w:pPr>
    </w:p>
    <w:p w:rsidR="00C80C53" w:rsidRDefault="00C80C53" w:rsidP="00C80C53">
      <w:pPr>
        <w:pStyle w:val="ListParagraph"/>
        <w:ind w:left="0"/>
        <w:rPr>
          <w:b/>
          <w:bCs/>
        </w:rPr>
      </w:pPr>
      <w:r w:rsidRPr="00C80C53">
        <w:rPr>
          <w:b/>
          <w:bCs/>
        </w:rPr>
        <w:t xml:space="preserve">Component 1: </w:t>
      </w:r>
      <w:r w:rsidR="00B84FDA" w:rsidRPr="00C80C53">
        <w:rPr>
          <w:b/>
          <w:bCs/>
        </w:rPr>
        <w:t>I</w:t>
      </w:r>
      <w:r w:rsidR="00B84FDA">
        <w:rPr>
          <w:b/>
          <w:bCs/>
        </w:rPr>
        <w:t xml:space="preserve">ncreasing Access and </w:t>
      </w:r>
      <w:r w:rsidR="00CE2740">
        <w:rPr>
          <w:b/>
          <w:bCs/>
        </w:rPr>
        <w:t xml:space="preserve">Improving </w:t>
      </w:r>
      <w:r w:rsidR="006D1FA4">
        <w:rPr>
          <w:b/>
          <w:bCs/>
        </w:rPr>
        <w:t xml:space="preserve">Learning Conditions </w:t>
      </w:r>
      <w:r w:rsidRPr="00C80C53">
        <w:rPr>
          <w:b/>
          <w:bCs/>
        </w:rPr>
        <w:t xml:space="preserve">of </w:t>
      </w:r>
      <w:r w:rsidR="00F75747">
        <w:rPr>
          <w:b/>
          <w:bCs/>
        </w:rPr>
        <w:t>Preschool</w:t>
      </w:r>
      <w:r w:rsidRPr="00C80C53">
        <w:rPr>
          <w:b/>
          <w:bCs/>
        </w:rPr>
        <w:t xml:space="preserve"> Education (US1</w:t>
      </w:r>
      <w:r w:rsidR="00DB09A9">
        <w:rPr>
          <w:b/>
          <w:bCs/>
        </w:rPr>
        <w:t>5.9</w:t>
      </w:r>
      <w:r w:rsidRPr="00C80C53">
        <w:rPr>
          <w:b/>
          <w:bCs/>
        </w:rPr>
        <w:t xml:space="preserve"> million</w:t>
      </w:r>
      <w:r w:rsidR="0066787C">
        <w:rPr>
          <w:b/>
          <w:bCs/>
        </w:rPr>
        <w:t xml:space="preserve"> – GPE</w:t>
      </w:r>
      <w:r w:rsidRPr="00C80C53">
        <w:rPr>
          <w:b/>
          <w:bCs/>
        </w:rPr>
        <w:t>)</w:t>
      </w:r>
    </w:p>
    <w:p w:rsidR="00B51CE2" w:rsidRDefault="00B51CE2" w:rsidP="00C80C53">
      <w:pPr>
        <w:pStyle w:val="ListParagraph"/>
        <w:ind w:left="0"/>
        <w:rPr>
          <w:bCs/>
        </w:rPr>
      </w:pPr>
    </w:p>
    <w:p w:rsidR="00EF066A" w:rsidRPr="00295C05" w:rsidRDefault="00F67CBB" w:rsidP="005E2993">
      <w:pPr>
        <w:pStyle w:val="ListParagraph"/>
        <w:numPr>
          <w:ilvl w:val="0"/>
          <w:numId w:val="23"/>
        </w:numPr>
        <w:ind w:left="0" w:firstLine="0"/>
        <w:jc w:val="both"/>
        <w:rPr>
          <w:bCs/>
        </w:rPr>
      </w:pPr>
      <w:r>
        <w:rPr>
          <w:bCs/>
        </w:rPr>
        <w:t>Component 1</w:t>
      </w:r>
      <w:r w:rsidR="00CA091C">
        <w:rPr>
          <w:bCs/>
        </w:rPr>
        <w:t xml:space="preserve"> </w:t>
      </w:r>
      <w:r w:rsidR="00EF066A" w:rsidRPr="008F3FE7">
        <w:rPr>
          <w:bCs/>
        </w:rPr>
        <w:t xml:space="preserve">would contribute to increasing access to </w:t>
      </w:r>
      <w:r w:rsidR="00F75747" w:rsidRPr="008F3FE7">
        <w:rPr>
          <w:bCs/>
        </w:rPr>
        <w:t>preschool</w:t>
      </w:r>
      <w:r w:rsidR="00EF066A" w:rsidRPr="008F3FE7">
        <w:rPr>
          <w:bCs/>
        </w:rPr>
        <w:t xml:space="preserve"> education in 43 </w:t>
      </w:r>
      <w:r w:rsidR="00636799" w:rsidRPr="008F3FE7">
        <w:rPr>
          <w:bCs/>
        </w:rPr>
        <w:t xml:space="preserve">selected </w:t>
      </w:r>
      <w:r w:rsidR="00EF066A" w:rsidRPr="008F3FE7">
        <w:rPr>
          <w:bCs/>
        </w:rPr>
        <w:t xml:space="preserve">municipalities and improving </w:t>
      </w:r>
      <w:r w:rsidR="00F75747" w:rsidRPr="008F3FE7">
        <w:rPr>
          <w:bCs/>
        </w:rPr>
        <w:t>preschool</w:t>
      </w:r>
      <w:r w:rsidR="00EF066A" w:rsidRPr="008F3FE7">
        <w:rPr>
          <w:bCs/>
        </w:rPr>
        <w:t xml:space="preserve"> learning conditions nationwide.  </w:t>
      </w:r>
    </w:p>
    <w:p w:rsidR="00EF066A" w:rsidRDefault="00EF066A" w:rsidP="00EF066A">
      <w:pPr>
        <w:pStyle w:val="ListParagraph"/>
        <w:ind w:left="0"/>
        <w:jc w:val="both"/>
        <w:rPr>
          <w:bCs/>
        </w:rPr>
      </w:pPr>
    </w:p>
    <w:p w:rsidR="001032D7" w:rsidRDefault="00CA091C" w:rsidP="001032D7">
      <w:pPr>
        <w:pStyle w:val="ListParagraph"/>
        <w:numPr>
          <w:ilvl w:val="0"/>
          <w:numId w:val="23"/>
        </w:numPr>
        <w:ind w:left="0" w:firstLine="0"/>
        <w:jc w:val="both"/>
        <w:rPr>
          <w:bCs/>
        </w:rPr>
      </w:pPr>
      <w:r>
        <w:rPr>
          <w:bCs/>
        </w:rPr>
        <w:t xml:space="preserve">It </w:t>
      </w:r>
      <w:r w:rsidR="0031006F">
        <w:rPr>
          <w:bCs/>
        </w:rPr>
        <w:t xml:space="preserve">is aligned with the </w:t>
      </w:r>
      <w:r w:rsidR="003A1B4F" w:rsidRPr="005B1AD2">
        <w:rPr>
          <w:bCs/>
        </w:rPr>
        <w:t>Early Childhood</w:t>
      </w:r>
      <w:r w:rsidR="00B51CE2">
        <w:rPr>
          <w:bCs/>
        </w:rPr>
        <w:t xml:space="preserve"> Policy</w:t>
      </w:r>
      <w:r w:rsidR="003A1B4F" w:rsidRPr="005B1AD2">
        <w:rPr>
          <w:bCs/>
        </w:rPr>
        <w:t xml:space="preserve"> </w:t>
      </w:r>
      <w:r w:rsidR="003474F5">
        <w:rPr>
          <w:bCs/>
        </w:rPr>
        <w:t xml:space="preserve">issued by the GoN in </w:t>
      </w:r>
      <w:r w:rsidR="00C87410">
        <w:rPr>
          <w:bCs/>
        </w:rPr>
        <w:t xml:space="preserve">November </w:t>
      </w:r>
      <w:r w:rsidR="003474F5">
        <w:rPr>
          <w:bCs/>
        </w:rPr>
        <w:t xml:space="preserve">2011 </w:t>
      </w:r>
      <w:r w:rsidR="003A1B4F" w:rsidRPr="005B1AD2">
        <w:rPr>
          <w:bCs/>
        </w:rPr>
        <w:t xml:space="preserve">and designed to contribute to the achievement of </w:t>
      </w:r>
      <w:r w:rsidR="00F75747">
        <w:rPr>
          <w:bCs/>
        </w:rPr>
        <w:t>preschool</w:t>
      </w:r>
      <w:r w:rsidR="003A1B4F" w:rsidRPr="005B1AD2">
        <w:rPr>
          <w:bCs/>
        </w:rPr>
        <w:t xml:space="preserve"> education objectives detailed in the ES</w:t>
      </w:r>
      <w:r w:rsidR="00636A95" w:rsidRPr="005B1AD2">
        <w:rPr>
          <w:bCs/>
        </w:rPr>
        <w:t>S</w:t>
      </w:r>
      <w:r w:rsidR="003A1B4F" w:rsidRPr="005B1AD2">
        <w:rPr>
          <w:bCs/>
        </w:rPr>
        <w:t xml:space="preserve">.  Specifically, these objectives include: (i) reaching a </w:t>
      </w:r>
      <w:r w:rsidR="00F75747">
        <w:rPr>
          <w:bCs/>
        </w:rPr>
        <w:t>preschool</w:t>
      </w:r>
      <w:r w:rsidR="003A1B4F" w:rsidRPr="005B1AD2">
        <w:rPr>
          <w:bCs/>
        </w:rPr>
        <w:t xml:space="preserve"> education </w:t>
      </w:r>
      <w:r w:rsidR="00D8063C">
        <w:rPr>
          <w:bCs/>
        </w:rPr>
        <w:t>Gross Enrollment Rate (</w:t>
      </w:r>
      <w:r w:rsidR="003A1B4F" w:rsidRPr="005B1AD2">
        <w:rPr>
          <w:bCs/>
        </w:rPr>
        <w:t>GER</w:t>
      </w:r>
      <w:r w:rsidR="00D8063C">
        <w:rPr>
          <w:bCs/>
        </w:rPr>
        <w:t>)</w:t>
      </w:r>
      <w:r w:rsidR="003A1B4F" w:rsidRPr="005B1AD2">
        <w:rPr>
          <w:bCs/>
        </w:rPr>
        <w:t xml:space="preserve"> of 65 percent; (ii) a </w:t>
      </w:r>
      <w:r w:rsidR="00F75747">
        <w:rPr>
          <w:bCs/>
        </w:rPr>
        <w:t>preschool</w:t>
      </w:r>
      <w:r w:rsidR="003A1B4F" w:rsidRPr="005B1AD2">
        <w:rPr>
          <w:bCs/>
        </w:rPr>
        <w:t xml:space="preserve"> approval rate of 90 percent; </w:t>
      </w:r>
      <w:r w:rsidR="00C814FB">
        <w:rPr>
          <w:bCs/>
        </w:rPr>
        <w:t xml:space="preserve">(iii) </w:t>
      </w:r>
      <w:r w:rsidR="003A1B4F" w:rsidRPr="005B1AD2">
        <w:rPr>
          <w:bCs/>
        </w:rPr>
        <w:t xml:space="preserve">50 percent of primary schools offering </w:t>
      </w:r>
      <w:r w:rsidR="00F75747">
        <w:rPr>
          <w:bCs/>
        </w:rPr>
        <w:t>preschool</w:t>
      </w:r>
      <w:r w:rsidR="003A1B4F" w:rsidRPr="005B1AD2">
        <w:rPr>
          <w:bCs/>
        </w:rPr>
        <w:t xml:space="preserve"> education; and </w:t>
      </w:r>
      <w:r w:rsidR="00C814FB">
        <w:rPr>
          <w:bCs/>
        </w:rPr>
        <w:t xml:space="preserve">(iv) </w:t>
      </w:r>
      <w:r w:rsidR="003A1B4F" w:rsidRPr="005B1AD2">
        <w:rPr>
          <w:bCs/>
        </w:rPr>
        <w:t xml:space="preserve">100 percent of community </w:t>
      </w:r>
      <w:r w:rsidR="00F75747">
        <w:rPr>
          <w:bCs/>
        </w:rPr>
        <w:t>preschool</w:t>
      </w:r>
      <w:r w:rsidR="003A1B4F" w:rsidRPr="005B1AD2">
        <w:rPr>
          <w:bCs/>
        </w:rPr>
        <w:t xml:space="preserve">s functioning as per MINED norms. </w:t>
      </w:r>
    </w:p>
    <w:p w:rsidR="001032D7" w:rsidRDefault="001032D7" w:rsidP="001032D7">
      <w:pPr>
        <w:pStyle w:val="ListParagraph"/>
      </w:pPr>
    </w:p>
    <w:p w:rsidR="0051408A" w:rsidRPr="001032D7" w:rsidRDefault="00F67CBB" w:rsidP="001032D7">
      <w:pPr>
        <w:pStyle w:val="ListParagraph"/>
        <w:numPr>
          <w:ilvl w:val="0"/>
          <w:numId w:val="23"/>
        </w:numPr>
        <w:ind w:left="0" w:firstLine="0"/>
        <w:jc w:val="both"/>
        <w:rPr>
          <w:bCs/>
        </w:rPr>
      </w:pPr>
      <w:r>
        <w:t>It</w:t>
      </w:r>
      <w:r w:rsidR="000172C6" w:rsidRPr="000172C6">
        <w:t xml:space="preserve"> focuses on children aged 3-5 and consists of five sub-components, aimed at </w:t>
      </w:r>
      <w:r w:rsidR="00204BF3">
        <w:t>increas</w:t>
      </w:r>
      <w:r w:rsidR="000172C6" w:rsidRPr="000172C6">
        <w:t xml:space="preserve">ing access to </w:t>
      </w:r>
      <w:r w:rsidR="00F75747">
        <w:t>preschool</w:t>
      </w:r>
      <w:r w:rsidR="000172C6" w:rsidRPr="000172C6">
        <w:t xml:space="preserve"> education in the 43 </w:t>
      </w:r>
      <w:r w:rsidR="00636799">
        <w:t>selected</w:t>
      </w:r>
      <w:r w:rsidR="00636799" w:rsidRPr="000172C6">
        <w:t xml:space="preserve"> </w:t>
      </w:r>
      <w:r w:rsidR="000172C6" w:rsidRPr="000172C6">
        <w:t xml:space="preserve">municipalities and </w:t>
      </w:r>
      <w:r w:rsidR="00204BF3">
        <w:t xml:space="preserve">improving learning conditions </w:t>
      </w:r>
      <w:r w:rsidR="000172C6" w:rsidRPr="000172C6">
        <w:t xml:space="preserve">nationwide, through inter alia: (i) development and alignment of curricular instruments; (ii) improved/expanded </w:t>
      </w:r>
      <w:r w:rsidR="00F75747">
        <w:t>preschool</w:t>
      </w:r>
      <w:r w:rsidR="00B51CE2">
        <w:t xml:space="preserve"> education infrastructure;</w:t>
      </w:r>
      <w:r w:rsidR="000172C6" w:rsidRPr="000172C6">
        <w:t xml:space="preserve"> (iii) training of </w:t>
      </w:r>
      <w:r w:rsidR="00F75747">
        <w:t>preschool</w:t>
      </w:r>
      <w:r w:rsidR="000172C6" w:rsidRPr="000172C6">
        <w:t xml:space="preserve"> teachers</w:t>
      </w:r>
      <w:r w:rsidR="00B51CE2">
        <w:t xml:space="preserve"> both </w:t>
      </w:r>
      <w:r w:rsidR="00C11B7B">
        <w:t xml:space="preserve">from </w:t>
      </w:r>
      <w:r w:rsidR="00B51CE2">
        <w:t>community-based non-formal preschool</w:t>
      </w:r>
      <w:r w:rsidR="00C11B7B">
        <w:t>s</w:t>
      </w:r>
      <w:r w:rsidR="00B51CE2">
        <w:t xml:space="preserve"> and</w:t>
      </w:r>
      <w:r w:rsidR="00C11B7B">
        <w:t xml:space="preserve"> from</w:t>
      </w:r>
      <w:r w:rsidR="00B51CE2">
        <w:t xml:space="preserve"> formal</w:t>
      </w:r>
      <w:r w:rsidR="00C11B7B">
        <w:t xml:space="preserve"> preschools</w:t>
      </w:r>
      <w:r w:rsidR="000172C6" w:rsidRPr="000172C6">
        <w:t xml:space="preserve">; (iv) improved supply of learning materials, including those for minority ethnic and indigenous groups, and those with special needs; and (v) development and administration of </w:t>
      </w:r>
      <w:r w:rsidR="00F75747">
        <w:t>preschool</w:t>
      </w:r>
      <w:r w:rsidR="000172C6" w:rsidRPr="000172C6">
        <w:t xml:space="preserve"> evaluation</w:t>
      </w:r>
      <w:r w:rsidR="000172C6" w:rsidRPr="001032D7">
        <w:rPr>
          <w:b/>
        </w:rPr>
        <w:t>.</w:t>
      </w:r>
      <w:r w:rsidR="00C11B7B" w:rsidRPr="0051408A">
        <w:t xml:space="preserve"> </w:t>
      </w:r>
      <w:r w:rsidR="0051408A" w:rsidRPr="0051408A">
        <w:t>Learning conditions would be consid</w:t>
      </w:r>
      <w:r w:rsidR="00D8063C">
        <w:t>ered effectively improved if 50 percent</w:t>
      </w:r>
      <w:r w:rsidR="0051408A" w:rsidRPr="0051408A">
        <w:t xml:space="preserve"> of the presc</w:t>
      </w:r>
      <w:r w:rsidR="00D8063C">
        <w:t>hools nationwide have at least three out of the four</w:t>
      </w:r>
      <w:r w:rsidR="0051408A" w:rsidRPr="0051408A">
        <w:t xml:space="preserve"> following conditions: (i) </w:t>
      </w:r>
      <w:r w:rsidR="00C25990">
        <w:t>p</w:t>
      </w:r>
      <w:r w:rsidR="0051408A" w:rsidRPr="0051408A">
        <w:t>reschool teachers trained in the use o</w:t>
      </w:r>
      <w:r w:rsidR="00C25990">
        <w:t>f the unified curriculum; (ii) r</w:t>
      </w:r>
      <w:r w:rsidR="0051408A" w:rsidRPr="0051408A">
        <w:t xml:space="preserve">evised classroom learning instruments are </w:t>
      </w:r>
      <w:r w:rsidR="00C25990">
        <w:t>available in preschools; (iii) preschool teachers are certified;</w:t>
      </w:r>
      <w:r w:rsidR="0051408A">
        <w:t xml:space="preserve"> and</w:t>
      </w:r>
      <w:r w:rsidR="00C25990">
        <w:t xml:space="preserve"> </w:t>
      </w:r>
      <w:proofErr w:type="gramStart"/>
      <w:r w:rsidR="00C25990">
        <w:t>(iv) p</w:t>
      </w:r>
      <w:r w:rsidR="0051408A" w:rsidRPr="0051408A">
        <w:t>reschools</w:t>
      </w:r>
      <w:proofErr w:type="gramEnd"/>
      <w:r w:rsidR="0051408A" w:rsidRPr="0051408A">
        <w:t xml:space="preserve"> have received a package of learning materials.</w:t>
      </w:r>
    </w:p>
    <w:p w:rsidR="0051408A" w:rsidRPr="0051408A" w:rsidRDefault="0051408A" w:rsidP="0051408A">
      <w:pPr>
        <w:rPr>
          <w:bCs/>
        </w:rPr>
      </w:pPr>
    </w:p>
    <w:p w:rsidR="0051408A" w:rsidRDefault="000172C6" w:rsidP="0051408A">
      <w:pPr>
        <w:pStyle w:val="ListParagraph"/>
        <w:numPr>
          <w:ilvl w:val="0"/>
          <w:numId w:val="23"/>
        </w:numPr>
        <w:ind w:left="0" w:firstLine="0"/>
        <w:jc w:val="both"/>
        <w:rPr>
          <w:bCs/>
        </w:rPr>
      </w:pPr>
      <w:r w:rsidRPr="000172C6">
        <w:rPr>
          <w:bCs/>
        </w:rPr>
        <w:t xml:space="preserve">Coordination with the Early Childhood Commission </w:t>
      </w:r>
      <w:r w:rsidR="00636C8C">
        <w:rPr>
          <w:bCs/>
        </w:rPr>
        <w:t>would</w:t>
      </w:r>
      <w:r w:rsidRPr="000172C6">
        <w:rPr>
          <w:bCs/>
        </w:rPr>
        <w:t xml:space="preserve"> take place in a continuous basis to support family and community interventions to promote Early Childhood Development</w:t>
      </w:r>
      <w:r w:rsidR="00C11B7B">
        <w:rPr>
          <w:bCs/>
        </w:rPr>
        <w:t xml:space="preserve"> (ECD)</w:t>
      </w:r>
      <w:r w:rsidRPr="000172C6">
        <w:rPr>
          <w:bCs/>
        </w:rPr>
        <w:t xml:space="preserve">. </w:t>
      </w:r>
      <w:r w:rsidR="00C11B7B">
        <w:rPr>
          <w:bCs/>
        </w:rPr>
        <w:t xml:space="preserve"> </w:t>
      </w:r>
      <w:r w:rsidRPr="000172C6">
        <w:rPr>
          <w:bCs/>
        </w:rPr>
        <w:t>These interventions include parenting skills through house visits, and awareness and sensitization campaigns</w:t>
      </w:r>
      <w:r w:rsidR="00C814FB">
        <w:rPr>
          <w:rStyle w:val="FootnoteReference"/>
          <w:bCs/>
        </w:rPr>
        <w:footnoteReference w:id="16"/>
      </w:r>
      <w:r w:rsidRPr="000172C6">
        <w:rPr>
          <w:bCs/>
        </w:rPr>
        <w:t>.</w:t>
      </w:r>
    </w:p>
    <w:p w:rsidR="000172C6" w:rsidRPr="000172C6" w:rsidRDefault="000172C6" w:rsidP="000172C6">
      <w:pPr>
        <w:pStyle w:val="ListParagraph"/>
        <w:ind w:left="0"/>
        <w:jc w:val="both"/>
        <w:rPr>
          <w:bCs/>
        </w:rPr>
      </w:pPr>
    </w:p>
    <w:p w:rsidR="000172C6" w:rsidRDefault="003A1B4F" w:rsidP="005E2993">
      <w:pPr>
        <w:pStyle w:val="ListParagraph"/>
        <w:numPr>
          <w:ilvl w:val="0"/>
          <w:numId w:val="23"/>
        </w:numPr>
        <w:ind w:left="0" w:firstLine="0"/>
        <w:jc w:val="both"/>
        <w:rPr>
          <w:bCs/>
        </w:rPr>
      </w:pPr>
      <w:r w:rsidRPr="005B1AD2">
        <w:rPr>
          <w:bCs/>
        </w:rPr>
        <w:t xml:space="preserve">This </w:t>
      </w:r>
      <w:r w:rsidR="00C25990">
        <w:rPr>
          <w:bCs/>
        </w:rPr>
        <w:t>Component</w:t>
      </w:r>
      <w:r w:rsidRPr="005B1AD2">
        <w:rPr>
          <w:bCs/>
        </w:rPr>
        <w:t xml:space="preserve"> would strive to implement a </w:t>
      </w:r>
      <w:r w:rsidR="00F75747">
        <w:rPr>
          <w:bCs/>
        </w:rPr>
        <w:t>Preschool</w:t>
      </w:r>
      <w:r w:rsidRPr="005B1AD2">
        <w:rPr>
          <w:bCs/>
        </w:rPr>
        <w:t xml:space="preserve"> Education Quality Model</w:t>
      </w:r>
      <w:r w:rsidR="00C11B7B">
        <w:rPr>
          <w:bCs/>
        </w:rPr>
        <w:t xml:space="preserve"> (PEQM)</w:t>
      </w:r>
      <w:r w:rsidR="0069674F" w:rsidRPr="005B1AD2">
        <w:rPr>
          <w:bCs/>
        </w:rPr>
        <w:t xml:space="preserve"> in the 43 </w:t>
      </w:r>
      <w:r w:rsidR="00636799">
        <w:rPr>
          <w:bCs/>
        </w:rPr>
        <w:t>selected</w:t>
      </w:r>
      <w:r w:rsidR="00636799" w:rsidRPr="005B1AD2">
        <w:rPr>
          <w:bCs/>
        </w:rPr>
        <w:t xml:space="preserve"> </w:t>
      </w:r>
      <w:r w:rsidR="0069674F" w:rsidRPr="005B1AD2">
        <w:rPr>
          <w:bCs/>
        </w:rPr>
        <w:t>municipalities</w:t>
      </w:r>
      <w:r w:rsidRPr="005B1AD2">
        <w:rPr>
          <w:bCs/>
        </w:rPr>
        <w:t xml:space="preserve">. </w:t>
      </w:r>
      <w:r w:rsidR="00C11B7B">
        <w:rPr>
          <w:bCs/>
        </w:rPr>
        <w:t xml:space="preserve"> </w:t>
      </w:r>
      <w:r w:rsidRPr="005B1AD2">
        <w:rPr>
          <w:bCs/>
        </w:rPr>
        <w:t xml:space="preserve">The main features of this model are presented in Figure </w:t>
      </w:r>
      <w:r w:rsidR="005E3EE7" w:rsidRPr="005B1AD2">
        <w:rPr>
          <w:bCs/>
        </w:rPr>
        <w:t>2.</w:t>
      </w:r>
      <w:r w:rsidRPr="005B1AD2">
        <w:rPr>
          <w:bCs/>
        </w:rPr>
        <w:t>1 below.</w:t>
      </w:r>
      <w:r w:rsidR="00C11B7B">
        <w:rPr>
          <w:bCs/>
        </w:rPr>
        <w:t xml:space="preserve"> </w:t>
      </w:r>
      <w:r w:rsidRPr="005B1AD2">
        <w:rPr>
          <w:bCs/>
        </w:rPr>
        <w:t xml:space="preserve"> </w:t>
      </w:r>
      <w:r w:rsidR="004065AE" w:rsidRPr="004065AE">
        <w:rPr>
          <w:bCs/>
        </w:rPr>
        <w:t>The model’s conceptual framework, including the quality standards and consultat</w:t>
      </w:r>
      <w:r w:rsidR="00C11B7B">
        <w:rPr>
          <w:bCs/>
        </w:rPr>
        <w:t>ive process would be developed</w:t>
      </w:r>
      <w:r w:rsidR="004065AE" w:rsidRPr="004065AE">
        <w:rPr>
          <w:bCs/>
        </w:rPr>
        <w:t xml:space="preserve"> by MINED in coordination with UNICEF</w:t>
      </w:r>
      <w:r w:rsidR="00C11B7B">
        <w:rPr>
          <w:bCs/>
        </w:rPr>
        <w:t xml:space="preserve"> in the first semester of</w:t>
      </w:r>
      <w:r w:rsidR="005B1AD2" w:rsidRPr="005B1AD2">
        <w:rPr>
          <w:bCs/>
        </w:rPr>
        <w:t xml:space="preserve"> 2012</w:t>
      </w:r>
      <w:r w:rsidRPr="005B1AD2">
        <w:rPr>
          <w:bCs/>
        </w:rPr>
        <w:t>.</w:t>
      </w:r>
      <w:r w:rsidR="005B1AD2" w:rsidRPr="005B1AD2">
        <w:rPr>
          <w:bCs/>
        </w:rPr>
        <w:t xml:space="preserve"> </w:t>
      </w:r>
      <w:r w:rsidR="000B5705">
        <w:rPr>
          <w:bCs/>
        </w:rPr>
        <w:t xml:space="preserve"> </w:t>
      </w:r>
      <w:r w:rsidR="005B1AD2" w:rsidRPr="005B1AD2">
        <w:rPr>
          <w:bCs/>
        </w:rPr>
        <w:t>Th</w:t>
      </w:r>
      <w:r w:rsidR="007E052E">
        <w:rPr>
          <w:bCs/>
        </w:rPr>
        <w:t>e quality s</w:t>
      </w:r>
      <w:r w:rsidR="005B1AD2" w:rsidRPr="005B1AD2">
        <w:rPr>
          <w:bCs/>
        </w:rPr>
        <w:t>tandards</w:t>
      </w:r>
      <w:r w:rsidR="00C11B7B">
        <w:rPr>
          <w:bCs/>
        </w:rPr>
        <w:t xml:space="preserve"> of the PEQM</w:t>
      </w:r>
      <w:r w:rsidR="005B1AD2" w:rsidRPr="005B1AD2">
        <w:rPr>
          <w:bCs/>
        </w:rPr>
        <w:t xml:space="preserve"> would comprise a range of </w:t>
      </w:r>
      <w:r w:rsidR="006D5E48">
        <w:rPr>
          <w:bCs/>
        </w:rPr>
        <w:t>areas</w:t>
      </w:r>
      <w:r w:rsidR="005B1AD2" w:rsidRPr="005B1AD2">
        <w:rPr>
          <w:bCs/>
        </w:rPr>
        <w:t xml:space="preserve"> including: </w:t>
      </w:r>
      <w:r w:rsidR="006D5E48">
        <w:rPr>
          <w:bCs/>
        </w:rPr>
        <w:t xml:space="preserve">(i) </w:t>
      </w:r>
      <w:r w:rsidR="000576C9" w:rsidRPr="005B1AD2">
        <w:rPr>
          <w:bCs/>
        </w:rPr>
        <w:t>child a</w:t>
      </w:r>
      <w:r w:rsidR="006D5E48">
        <w:rPr>
          <w:bCs/>
        </w:rPr>
        <w:t>ssessment;</w:t>
      </w:r>
      <w:r w:rsidR="000576C9">
        <w:rPr>
          <w:bCs/>
        </w:rPr>
        <w:t xml:space="preserve"> </w:t>
      </w:r>
      <w:r w:rsidR="006D5E48">
        <w:rPr>
          <w:bCs/>
        </w:rPr>
        <w:t>(ii) teacher assessment; (iii)</w:t>
      </w:r>
      <w:r w:rsidR="000576C9">
        <w:rPr>
          <w:bCs/>
        </w:rPr>
        <w:t xml:space="preserve"> </w:t>
      </w:r>
      <w:r w:rsidR="000576C9" w:rsidRPr="005B1AD2">
        <w:rPr>
          <w:bCs/>
        </w:rPr>
        <w:t>staf</w:t>
      </w:r>
      <w:r w:rsidR="006D5E48">
        <w:rPr>
          <w:bCs/>
        </w:rPr>
        <w:t xml:space="preserve">f qualifications and training; (iv) </w:t>
      </w:r>
      <w:r w:rsidR="000576C9" w:rsidRPr="005B1AD2">
        <w:rPr>
          <w:bCs/>
        </w:rPr>
        <w:t>r</w:t>
      </w:r>
      <w:r w:rsidR="006D5E48">
        <w:rPr>
          <w:bCs/>
        </w:rPr>
        <w:t>atio and group size; (v)</w:t>
      </w:r>
      <w:r w:rsidR="000576C9">
        <w:rPr>
          <w:bCs/>
        </w:rPr>
        <w:t xml:space="preserve"> family partn</w:t>
      </w:r>
      <w:r w:rsidR="006D5E48">
        <w:rPr>
          <w:bCs/>
        </w:rPr>
        <w:t>erships; (vi) community involvement; (vii)</w:t>
      </w:r>
      <w:r w:rsidR="000576C9" w:rsidRPr="005B1AD2">
        <w:rPr>
          <w:bCs/>
        </w:rPr>
        <w:t xml:space="preserve"> </w:t>
      </w:r>
      <w:r w:rsidR="006D5E48">
        <w:rPr>
          <w:bCs/>
        </w:rPr>
        <w:t xml:space="preserve">curriculum; </w:t>
      </w:r>
      <w:r w:rsidR="006D5E48">
        <w:rPr>
          <w:bCs/>
        </w:rPr>
        <w:lastRenderedPageBreak/>
        <w:t>(viii) environment; (ix) health and safety; (x) provision for special needs; (xi)</w:t>
      </w:r>
      <w:r w:rsidR="000576C9" w:rsidRPr="005B1AD2">
        <w:rPr>
          <w:bCs/>
        </w:rPr>
        <w:t xml:space="preserve"> cultural and linguistic diversity</w:t>
      </w:r>
      <w:r w:rsidR="006D5E48">
        <w:rPr>
          <w:bCs/>
        </w:rPr>
        <w:t>; (xii)</w:t>
      </w:r>
      <w:r w:rsidR="000576C9">
        <w:rPr>
          <w:bCs/>
        </w:rPr>
        <w:t xml:space="preserve"> transition strategies</w:t>
      </w:r>
      <w:r w:rsidR="006D5E48">
        <w:rPr>
          <w:bCs/>
        </w:rPr>
        <w:t>; and</w:t>
      </w:r>
      <w:r w:rsidR="000576C9">
        <w:rPr>
          <w:bCs/>
        </w:rPr>
        <w:t xml:space="preserve"> </w:t>
      </w:r>
      <w:r w:rsidR="006D5E48">
        <w:rPr>
          <w:bCs/>
        </w:rPr>
        <w:t xml:space="preserve">(xiii) </w:t>
      </w:r>
      <w:r w:rsidR="000576C9">
        <w:rPr>
          <w:bCs/>
        </w:rPr>
        <w:t xml:space="preserve">education system management. </w:t>
      </w:r>
      <w:r w:rsidR="000172C6">
        <w:rPr>
          <w:bCs/>
        </w:rPr>
        <w:t xml:space="preserve"> </w:t>
      </w:r>
      <w:r w:rsidR="006D5E48">
        <w:rPr>
          <w:bCs/>
        </w:rPr>
        <w:t>The final list of areas</w:t>
      </w:r>
      <w:r w:rsidR="000576C9">
        <w:rPr>
          <w:bCs/>
        </w:rPr>
        <w:t xml:space="preserve"> and guidelines to define</w:t>
      </w:r>
      <w:r w:rsidR="007E052E">
        <w:rPr>
          <w:bCs/>
        </w:rPr>
        <w:t xml:space="preserve"> the quality s</w:t>
      </w:r>
      <w:r w:rsidR="006D5E48">
        <w:rPr>
          <w:bCs/>
        </w:rPr>
        <w:t>tandards would</w:t>
      </w:r>
      <w:r w:rsidR="000576C9">
        <w:rPr>
          <w:bCs/>
        </w:rPr>
        <w:t xml:space="preserve"> be validated through a consultative process with teachers, parents, community leaders </w:t>
      </w:r>
      <w:r w:rsidR="000172C6">
        <w:rPr>
          <w:bCs/>
        </w:rPr>
        <w:t xml:space="preserve">and government stakeholders. The </w:t>
      </w:r>
      <w:r w:rsidR="000576C9">
        <w:rPr>
          <w:bCs/>
        </w:rPr>
        <w:t xml:space="preserve">consultations </w:t>
      </w:r>
      <w:r w:rsidR="00636C8C">
        <w:rPr>
          <w:bCs/>
        </w:rPr>
        <w:t>would</w:t>
      </w:r>
      <w:r w:rsidR="000576C9">
        <w:rPr>
          <w:bCs/>
        </w:rPr>
        <w:t xml:space="preserve"> take place during </w:t>
      </w:r>
      <w:r w:rsidR="007E052E">
        <w:rPr>
          <w:bCs/>
        </w:rPr>
        <w:t xml:space="preserve">the second half of </w:t>
      </w:r>
      <w:r w:rsidR="000576C9">
        <w:rPr>
          <w:bCs/>
        </w:rPr>
        <w:t xml:space="preserve">2012 </w:t>
      </w:r>
      <w:r w:rsidR="000172C6">
        <w:rPr>
          <w:bCs/>
        </w:rPr>
        <w:t xml:space="preserve">both </w:t>
      </w:r>
      <w:r w:rsidR="000576C9">
        <w:rPr>
          <w:bCs/>
        </w:rPr>
        <w:t>at the national and municipal level</w:t>
      </w:r>
      <w:r w:rsidR="000172C6">
        <w:rPr>
          <w:bCs/>
        </w:rPr>
        <w:t>s</w:t>
      </w:r>
      <w:r w:rsidR="000576C9">
        <w:rPr>
          <w:bCs/>
        </w:rPr>
        <w:t xml:space="preserve">. </w:t>
      </w:r>
    </w:p>
    <w:p w:rsidR="009A2EAF" w:rsidRDefault="009A2EAF" w:rsidP="009A2EAF">
      <w:pPr>
        <w:pStyle w:val="ListParagraph"/>
        <w:ind w:left="0"/>
        <w:jc w:val="both"/>
        <w:rPr>
          <w:bCs/>
        </w:rPr>
      </w:pPr>
    </w:p>
    <w:p w:rsidR="003A1B4F" w:rsidRDefault="00114C45" w:rsidP="003A1B4F">
      <w:pPr>
        <w:pStyle w:val="ListParagraph"/>
        <w:ind w:left="0"/>
        <w:jc w:val="center"/>
        <w:rPr>
          <w:b/>
          <w:bCs/>
        </w:rPr>
      </w:pPr>
      <w:r>
        <w:rPr>
          <w:b/>
          <w:bCs/>
        </w:rPr>
        <w:t xml:space="preserve">Figure 2.1: </w:t>
      </w:r>
      <w:r w:rsidR="00F75747">
        <w:rPr>
          <w:b/>
          <w:bCs/>
        </w:rPr>
        <w:t>Preschool</w:t>
      </w:r>
      <w:r w:rsidR="003A1B4F">
        <w:rPr>
          <w:b/>
          <w:bCs/>
        </w:rPr>
        <w:t xml:space="preserve"> Education Quality Model</w:t>
      </w:r>
    </w:p>
    <w:p w:rsidR="003A1B4F" w:rsidRDefault="003A1B4F" w:rsidP="003A1B4F">
      <w:pPr>
        <w:pStyle w:val="ListParagraph"/>
        <w:ind w:left="0"/>
        <w:jc w:val="both"/>
        <w:rPr>
          <w:b/>
          <w:bCs/>
        </w:rPr>
      </w:pPr>
      <w:r w:rsidRPr="0040253F">
        <w:rPr>
          <w:b/>
          <w:bCs/>
          <w:noProof/>
        </w:rPr>
        <w:drawing>
          <wp:inline distT="0" distB="0" distL="0" distR="0" wp14:anchorId="1ADD9AF7" wp14:editId="428EB352">
            <wp:extent cx="5943600" cy="4534747"/>
            <wp:effectExtent l="19050" t="19050" r="19050" b="18203"/>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4534747"/>
                    </a:xfrm>
                    <a:prstGeom prst="rect">
                      <a:avLst/>
                    </a:prstGeom>
                    <a:noFill/>
                    <a:ln w="9525">
                      <a:solidFill>
                        <a:schemeClr val="accent1"/>
                      </a:solidFill>
                      <a:miter lim="800000"/>
                      <a:headEnd/>
                      <a:tailEnd/>
                    </a:ln>
                  </pic:spPr>
                </pic:pic>
              </a:graphicData>
            </a:graphic>
          </wp:inline>
        </w:drawing>
      </w:r>
    </w:p>
    <w:p w:rsidR="003A1B4F" w:rsidRPr="00C80C53" w:rsidRDefault="003A1B4F" w:rsidP="003A1B4F">
      <w:pPr>
        <w:pStyle w:val="ListParagraph"/>
        <w:ind w:left="0"/>
        <w:jc w:val="both"/>
        <w:rPr>
          <w:b/>
          <w:bCs/>
        </w:rPr>
      </w:pPr>
    </w:p>
    <w:p w:rsidR="003A1B4F" w:rsidRPr="008F3FE7" w:rsidRDefault="004065AE" w:rsidP="005E2993">
      <w:pPr>
        <w:pStyle w:val="ListParagraph"/>
        <w:numPr>
          <w:ilvl w:val="0"/>
          <w:numId w:val="23"/>
        </w:numPr>
        <w:ind w:left="0" w:firstLine="0"/>
        <w:rPr>
          <w:bCs/>
        </w:rPr>
      </w:pPr>
      <w:r w:rsidRPr="008F3FE7">
        <w:rPr>
          <w:bCs/>
        </w:rPr>
        <w:t xml:space="preserve">This </w:t>
      </w:r>
      <w:r w:rsidR="00C25990">
        <w:rPr>
          <w:bCs/>
        </w:rPr>
        <w:t>Component</w:t>
      </w:r>
      <w:r w:rsidRPr="008F3FE7">
        <w:rPr>
          <w:bCs/>
        </w:rPr>
        <w:t xml:space="preserve"> has </w:t>
      </w:r>
      <w:r w:rsidR="00EB274D" w:rsidRPr="008F3FE7">
        <w:rPr>
          <w:bCs/>
        </w:rPr>
        <w:t>five</w:t>
      </w:r>
      <w:r w:rsidRPr="008F3FE7">
        <w:rPr>
          <w:bCs/>
        </w:rPr>
        <w:t xml:space="preserve"> sub-components</w:t>
      </w:r>
      <w:r w:rsidR="008C135A" w:rsidRPr="008F3FE7">
        <w:rPr>
          <w:bCs/>
        </w:rPr>
        <w:t>:</w:t>
      </w:r>
    </w:p>
    <w:p w:rsidR="00656C4A" w:rsidRPr="00295C05" w:rsidRDefault="00656C4A" w:rsidP="0040253F">
      <w:pPr>
        <w:tabs>
          <w:tab w:val="left" w:pos="540"/>
        </w:tabs>
        <w:rPr>
          <w:bCs/>
        </w:rPr>
      </w:pPr>
    </w:p>
    <w:p w:rsidR="00F75747" w:rsidRPr="008F3FE7" w:rsidRDefault="002D24A7" w:rsidP="008F3FE7">
      <w:pPr>
        <w:ind w:firstLine="720"/>
        <w:rPr>
          <w:bCs/>
        </w:rPr>
      </w:pPr>
      <w:r>
        <w:rPr>
          <w:bCs/>
        </w:rPr>
        <w:t>1.1</w:t>
      </w:r>
      <w:r>
        <w:rPr>
          <w:bCs/>
        </w:rPr>
        <w:tab/>
      </w:r>
      <w:r w:rsidR="00AF41A9" w:rsidRPr="008F3FE7">
        <w:rPr>
          <w:bCs/>
        </w:rPr>
        <w:t xml:space="preserve">Improving and/or </w:t>
      </w:r>
      <w:r w:rsidR="00F75747" w:rsidRPr="008F3FE7">
        <w:rPr>
          <w:bCs/>
        </w:rPr>
        <w:t>expand</w:t>
      </w:r>
      <w:r w:rsidR="00AF41A9" w:rsidRPr="008F3FE7">
        <w:rPr>
          <w:bCs/>
        </w:rPr>
        <w:t>ing</w:t>
      </w:r>
      <w:r w:rsidR="00F75747" w:rsidRPr="008F3FE7">
        <w:rPr>
          <w:bCs/>
        </w:rPr>
        <w:t xml:space="preserve"> Preschool Education Infrastructure (US$7.</w:t>
      </w:r>
      <w:r w:rsidR="00FA086F" w:rsidRPr="008F3FE7">
        <w:rPr>
          <w:bCs/>
        </w:rPr>
        <w:t>0</w:t>
      </w:r>
      <w:r w:rsidR="00F75747" w:rsidRPr="008F3FE7">
        <w:rPr>
          <w:bCs/>
        </w:rPr>
        <w:t xml:space="preserve"> million)</w:t>
      </w:r>
    </w:p>
    <w:p w:rsidR="00F75747" w:rsidRPr="00F75747" w:rsidRDefault="00F75747" w:rsidP="00F75747">
      <w:pPr>
        <w:tabs>
          <w:tab w:val="left" w:pos="540"/>
        </w:tabs>
        <w:rPr>
          <w:bCs/>
          <w:i/>
        </w:rPr>
      </w:pPr>
    </w:p>
    <w:p w:rsidR="00F75747" w:rsidRPr="00F75747" w:rsidRDefault="006F556E" w:rsidP="005E2993">
      <w:pPr>
        <w:pStyle w:val="ListParagraph"/>
        <w:numPr>
          <w:ilvl w:val="0"/>
          <w:numId w:val="23"/>
        </w:numPr>
        <w:ind w:left="0" w:firstLine="0"/>
        <w:jc w:val="both"/>
        <w:rPr>
          <w:bCs/>
        </w:rPr>
      </w:pPr>
      <w:r w:rsidRPr="003E5A9D">
        <w:rPr>
          <w:bCs/>
        </w:rPr>
        <w:t xml:space="preserve">This sub-component </w:t>
      </w:r>
      <w:r w:rsidR="002801CA">
        <w:rPr>
          <w:bCs/>
        </w:rPr>
        <w:t>would support</w:t>
      </w:r>
      <w:r w:rsidR="002801CA" w:rsidRPr="003E5A9D">
        <w:rPr>
          <w:bCs/>
        </w:rPr>
        <w:t xml:space="preserve"> </w:t>
      </w:r>
      <w:r w:rsidR="002801CA">
        <w:rPr>
          <w:bCs/>
        </w:rPr>
        <w:t>the c</w:t>
      </w:r>
      <w:r w:rsidR="002801CA" w:rsidRPr="00787209">
        <w:rPr>
          <w:bCs/>
        </w:rPr>
        <w:t>onstruction and/or rehabilitation of classrooms</w:t>
      </w:r>
      <w:r w:rsidR="002801CA">
        <w:rPr>
          <w:bCs/>
        </w:rPr>
        <w:t>,</w:t>
      </w:r>
      <w:r w:rsidR="002801CA" w:rsidRPr="00787209">
        <w:rPr>
          <w:bCs/>
        </w:rPr>
        <w:t xml:space="preserve"> learning and complementary fa</w:t>
      </w:r>
      <w:r w:rsidR="002801CA">
        <w:rPr>
          <w:bCs/>
        </w:rPr>
        <w:t>cilities in s</w:t>
      </w:r>
      <w:r w:rsidR="002801CA" w:rsidRPr="00787209">
        <w:rPr>
          <w:bCs/>
        </w:rPr>
        <w:t xml:space="preserve">elected </w:t>
      </w:r>
      <w:r w:rsidR="002801CA">
        <w:rPr>
          <w:bCs/>
        </w:rPr>
        <w:t>preschools</w:t>
      </w:r>
      <w:r w:rsidR="002801CA" w:rsidRPr="00787209">
        <w:rPr>
          <w:bCs/>
        </w:rPr>
        <w:t xml:space="preserve">, including, </w:t>
      </w:r>
      <w:r w:rsidR="002801CA" w:rsidRPr="00787209">
        <w:rPr>
          <w:bCs/>
          <w:i/>
        </w:rPr>
        <w:t>inter alia</w:t>
      </w:r>
      <w:r w:rsidR="002801CA" w:rsidRPr="00787209">
        <w:rPr>
          <w:bCs/>
        </w:rPr>
        <w:t>, the provisi</w:t>
      </w:r>
      <w:r w:rsidR="002801CA">
        <w:rPr>
          <w:bCs/>
        </w:rPr>
        <w:t xml:space="preserve">on of </w:t>
      </w:r>
      <w:r w:rsidR="002801CA" w:rsidRPr="00787209">
        <w:rPr>
          <w:bCs/>
        </w:rPr>
        <w:t>furniture and equipment</w:t>
      </w:r>
      <w:r w:rsidRPr="003E5A9D">
        <w:rPr>
          <w:bCs/>
        </w:rPr>
        <w:t>.</w:t>
      </w:r>
    </w:p>
    <w:p w:rsidR="00F75747" w:rsidRPr="00F75747" w:rsidRDefault="00F75747" w:rsidP="003474F5">
      <w:pPr>
        <w:tabs>
          <w:tab w:val="left" w:pos="540"/>
        </w:tabs>
        <w:jc w:val="both"/>
        <w:rPr>
          <w:bCs/>
        </w:rPr>
      </w:pPr>
    </w:p>
    <w:p w:rsidR="00F75747" w:rsidRPr="00F75747" w:rsidRDefault="00F75747" w:rsidP="005E2993">
      <w:pPr>
        <w:pStyle w:val="ListParagraph"/>
        <w:numPr>
          <w:ilvl w:val="0"/>
          <w:numId w:val="23"/>
        </w:numPr>
        <w:ind w:left="0" w:firstLine="0"/>
        <w:jc w:val="both"/>
        <w:rPr>
          <w:bCs/>
        </w:rPr>
      </w:pPr>
      <w:r w:rsidRPr="00F75747">
        <w:rPr>
          <w:bCs/>
        </w:rPr>
        <w:t xml:space="preserve">With the objective of increasing the gross enrollment rate and improving overall learning conditions of </w:t>
      </w:r>
      <w:r w:rsidRPr="006D5E48">
        <w:rPr>
          <w:bCs/>
        </w:rPr>
        <w:t>preschool e</w:t>
      </w:r>
      <w:r w:rsidR="006D5E48">
        <w:rPr>
          <w:bCs/>
        </w:rPr>
        <w:t xml:space="preserve">ducation (for </w:t>
      </w:r>
      <w:r w:rsidRPr="00F75747">
        <w:rPr>
          <w:bCs/>
        </w:rPr>
        <w:t>children</w:t>
      </w:r>
      <w:r w:rsidR="006D5E48">
        <w:rPr>
          <w:bCs/>
        </w:rPr>
        <w:t xml:space="preserve"> 3-5 years</w:t>
      </w:r>
      <w:r w:rsidRPr="00F75747">
        <w:rPr>
          <w:bCs/>
        </w:rPr>
        <w:t>), the Project would construct/rehabilitate and equip approximately 200 preschool</w:t>
      </w:r>
      <w:r w:rsidR="00F42C53">
        <w:rPr>
          <w:bCs/>
        </w:rPr>
        <w:t>s</w:t>
      </w:r>
      <w:r w:rsidRPr="00F75747">
        <w:rPr>
          <w:bCs/>
        </w:rPr>
        <w:t xml:space="preserve"> in the 43 municipalities targeted </w:t>
      </w:r>
      <w:r w:rsidRPr="00F75747">
        <w:rPr>
          <w:bCs/>
        </w:rPr>
        <w:lastRenderedPageBreak/>
        <w:t xml:space="preserve">by the Project.  In addition to </w:t>
      </w:r>
      <w:r w:rsidR="00F42C53">
        <w:rPr>
          <w:bCs/>
        </w:rPr>
        <w:t xml:space="preserve">construction and rehabilitation of </w:t>
      </w:r>
      <w:r w:rsidRPr="00F75747">
        <w:rPr>
          <w:bCs/>
        </w:rPr>
        <w:t xml:space="preserve">classrooms, </w:t>
      </w:r>
      <w:r w:rsidR="006D5E48">
        <w:rPr>
          <w:bCs/>
        </w:rPr>
        <w:t xml:space="preserve">the Project would finance </w:t>
      </w:r>
      <w:r w:rsidRPr="00F75747">
        <w:rPr>
          <w:bCs/>
        </w:rPr>
        <w:t>complementary facilities</w:t>
      </w:r>
      <w:r w:rsidR="006D5E48">
        <w:rPr>
          <w:bCs/>
        </w:rPr>
        <w:t xml:space="preserve"> that</w:t>
      </w:r>
      <w:r w:rsidRPr="00F75747">
        <w:rPr>
          <w:bCs/>
        </w:rPr>
        <w:t xml:space="preserve"> would include toilets for young boys and girls, size-appropriate chairs and desks, kitchen and pantry facilities, recreational areas and equipment, water/sanitation, and security measures (walls and fences).  As this infrast</w:t>
      </w:r>
      <w:r w:rsidR="00622542">
        <w:rPr>
          <w:bCs/>
        </w:rPr>
        <w:t xml:space="preserve">ructure is completed, MINED would redeploy or hire </w:t>
      </w:r>
      <w:r w:rsidRPr="00F75747">
        <w:rPr>
          <w:bCs/>
        </w:rPr>
        <w:t xml:space="preserve">preschool teachers to work in these classrooms, and carry out preschool </w:t>
      </w:r>
      <w:r w:rsidR="00622542">
        <w:rPr>
          <w:bCs/>
        </w:rPr>
        <w:t>awareness</w:t>
      </w:r>
      <w:r w:rsidRPr="00F75747">
        <w:rPr>
          <w:bCs/>
        </w:rPr>
        <w:t xml:space="preserve"> campaigns in collaboration with the Early Childhood Commission to enroll more children between 3-5 years into preschool education.</w:t>
      </w:r>
    </w:p>
    <w:p w:rsidR="00114C45" w:rsidRPr="00114C45" w:rsidRDefault="00114C45" w:rsidP="00114C45">
      <w:pPr>
        <w:pStyle w:val="ListParagraph"/>
        <w:rPr>
          <w:bCs/>
        </w:rPr>
      </w:pPr>
    </w:p>
    <w:p w:rsidR="0005032B" w:rsidRDefault="00C573D5" w:rsidP="005E2993">
      <w:pPr>
        <w:pStyle w:val="ListParagraph"/>
        <w:numPr>
          <w:ilvl w:val="0"/>
          <w:numId w:val="23"/>
        </w:numPr>
        <w:ind w:left="0" w:firstLine="0"/>
        <w:jc w:val="both"/>
        <w:rPr>
          <w:bCs/>
        </w:rPr>
      </w:pPr>
      <w:r w:rsidRPr="00C573D5">
        <w:rPr>
          <w:bCs/>
        </w:rPr>
        <w:t xml:space="preserve">The </w:t>
      </w:r>
      <w:r w:rsidR="003100B8" w:rsidRPr="002C4DDC">
        <w:rPr>
          <w:bCs/>
        </w:rPr>
        <w:t>General Directorate of School Infrastructure (</w:t>
      </w:r>
      <w:r w:rsidR="003100B8" w:rsidRPr="002C4DDC">
        <w:rPr>
          <w:bCs/>
          <w:i/>
        </w:rPr>
        <w:t>Dirección General de Infraestructuras Escolares</w:t>
      </w:r>
      <w:r w:rsidR="003100B8">
        <w:rPr>
          <w:bCs/>
        </w:rPr>
        <w:t xml:space="preserve">, </w:t>
      </w:r>
      <w:r w:rsidRPr="00C573D5">
        <w:rPr>
          <w:bCs/>
        </w:rPr>
        <w:t>GDSI</w:t>
      </w:r>
      <w:r w:rsidR="003100B8">
        <w:rPr>
          <w:bCs/>
        </w:rPr>
        <w:t>)</w:t>
      </w:r>
      <w:r w:rsidRPr="00C573D5">
        <w:rPr>
          <w:bCs/>
        </w:rPr>
        <w:t xml:space="preserve"> would be responsible for conducting the pre-feasibility studies </w:t>
      </w:r>
      <w:r>
        <w:rPr>
          <w:bCs/>
        </w:rPr>
        <w:t>for the preschool infrastructure</w:t>
      </w:r>
      <w:r w:rsidRPr="00C573D5">
        <w:rPr>
          <w:bCs/>
        </w:rPr>
        <w:t xml:space="preserve">, including the design, planning and architectural designs of both </w:t>
      </w:r>
      <w:r>
        <w:rPr>
          <w:bCs/>
        </w:rPr>
        <w:t xml:space="preserve">200 </w:t>
      </w:r>
      <w:r w:rsidRPr="00C573D5">
        <w:rPr>
          <w:bCs/>
        </w:rPr>
        <w:t>classrooms and complementary infrastructure</w:t>
      </w:r>
      <w:r>
        <w:rPr>
          <w:bCs/>
        </w:rPr>
        <w:t xml:space="preserve">.  </w:t>
      </w:r>
      <w:r w:rsidR="00F75747" w:rsidRPr="00F75747">
        <w:rPr>
          <w:bCs/>
        </w:rPr>
        <w:t xml:space="preserve">Standardized classrooms designs </w:t>
      </w:r>
      <w:r w:rsidR="00636C8C">
        <w:rPr>
          <w:bCs/>
        </w:rPr>
        <w:t>would</w:t>
      </w:r>
      <w:r w:rsidR="00F75747" w:rsidRPr="00F75747">
        <w:rPr>
          <w:bCs/>
        </w:rPr>
        <w:t xml:space="preserve"> be used, ensuring minimum space requirements to implement the preschool curriculum appropriately.  Designs </w:t>
      </w:r>
      <w:r w:rsidR="00636C8C">
        <w:rPr>
          <w:bCs/>
        </w:rPr>
        <w:t>would</w:t>
      </w:r>
      <w:r w:rsidR="00F75747" w:rsidRPr="00F75747">
        <w:rPr>
          <w:bCs/>
        </w:rPr>
        <w:t xml:space="preserve"> be adapted, where necessary, to </w:t>
      </w:r>
      <w:r w:rsidR="00F75747" w:rsidRPr="00622542">
        <w:rPr>
          <w:bCs/>
        </w:rPr>
        <w:t xml:space="preserve">conform </w:t>
      </w:r>
      <w:r w:rsidR="00F75747" w:rsidRPr="00F75747">
        <w:rPr>
          <w:bCs/>
        </w:rPr>
        <w:t xml:space="preserve">to regional architectural norms and materials.  The specific architectural plans for each school </w:t>
      </w:r>
      <w:r w:rsidR="00636C8C">
        <w:rPr>
          <w:bCs/>
        </w:rPr>
        <w:t>would</w:t>
      </w:r>
      <w:r w:rsidR="00F75747" w:rsidRPr="00F75747">
        <w:rPr>
          <w:bCs/>
        </w:rPr>
        <w:t xml:space="preserve"> vary according to its existing infrastructure and equipment, present and potential enrollment, location and other factors.  The average cost per school is estimated at US$35,000 with a range between US$25,000-50,000.</w:t>
      </w:r>
      <w:r w:rsidR="0005032B">
        <w:rPr>
          <w:bCs/>
        </w:rPr>
        <w:t xml:space="preserve">  When possible, pre-feasibility studies would be undertaken jointly with those planned for the upgrading and equipping of basic education facilities financed under sub-component 2.1 in order to reduce the costs and save time.  Moreover, the same school, including several education levels could be chosen for a double intervention under sub-components 1.1 and 2.1.</w:t>
      </w:r>
    </w:p>
    <w:p w:rsidR="0005032B" w:rsidRDefault="0005032B" w:rsidP="0005032B">
      <w:pPr>
        <w:pStyle w:val="ListParagraph"/>
        <w:ind w:left="0"/>
        <w:jc w:val="both"/>
        <w:rPr>
          <w:bCs/>
        </w:rPr>
      </w:pPr>
    </w:p>
    <w:p w:rsidR="0005032B" w:rsidRDefault="0005032B" w:rsidP="005E2993">
      <w:pPr>
        <w:pStyle w:val="ListParagraph"/>
        <w:numPr>
          <w:ilvl w:val="0"/>
          <w:numId w:val="23"/>
        </w:numPr>
        <w:ind w:left="0" w:firstLine="0"/>
        <w:jc w:val="both"/>
        <w:rPr>
          <w:bCs/>
        </w:rPr>
      </w:pPr>
      <w:r>
        <w:rPr>
          <w:bCs/>
        </w:rPr>
        <w:t>The first 25 intervention sites would be selected during Project preparation.  Pre-feasibility could start under the financing provided by PASEN II in the 25 municipalities shared between both Projects.  The program of interventions is presented in the table below.</w:t>
      </w:r>
    </w:p>
    <w:p w:rsidR="00114C45" w:rsidRDefault="00114C45" w:rsidP="00114C45">
      <w:pPr>
        <w:pStyle w:val="ListParagraph"/>
        <w:rPr>
          <w:bCs/>
        </w:rPr>
      </w:pPr>
    </w:p>
    <w:p w:rsidR="00114C45" w:rsidRPr="00114C45" w:rsidRDefault="00114C45" w:rsidP="00114C45">
      <w:pPr>
        <w:pStyle w:val="ListParagraph"/>
        <w:jc w:val="center"/>
        <w:rPr>
          <w:b/>
          <w:bCs/>
        </w:rPr>
      </w:pPr>
      <w:r w:rsidRPr="00114C45">
        <w:rPr>
          <w:b/>
          <w:bCs/>
        </w:rPr>
        <w:t xml:space="preserve">Table 2.3: Number of Preschools with Improved </w:t>
      </w:r>
    </w:p>
    <w:p w:rsidR="0005032B" w:rsidRPr="00114C45" w:rsidRDefault="00114C45" w:rsidP="00114C45">
      <w:pPr>
        <w:pStyle w:val="ListParagraph"/>
        <w:jc w:val="center"/>
        <w:rPr>
          <w:b/>
          <w:bCs/>
        </w:rPr>
      </w:pPr>
      <w:r w:rsidRPr="00114C45">
        <w:rPr>
          <w:b/>
          <w:bCs/>
        </w:rPr>
        <w:t>Infrastructure and Equipment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1820"/>
        <w:gridCol w:w="1710"/>
        <w:gridCol w:w="1723"/>
      </w:tblGrid>
      <w:tr w:rsidR="002B4FBA" w:rsidRPr="00F05EBC" w:rsidTr="00DE5D87">
        <w:tc>
          <w:tcPr>
            <w:tcW w:w="1150" w:type="dxa"/>
            <w:tcBorders>
              <w:top w:val="nil"/>
              <w:left w:val="nil"/>
              <w:bottom w:val="nil"/>
              <w:right w:val="single" w:sz="4" w:space="0" w:color="auto"/>
            </w:tcBorders>
          </w:tcPr>
          <w:p w:rsidR="002B4FBA" w:rsidRPr="002B4FBA" w:rsidRDefault="002B4FBA" w:rsidP="00684E61">
            <w:pPr>
              <w:pStyle w:val="ListParagraph"/>
              <w:ind w:left="0"/>
              <w:jc w:val="both"/>
            </w:pPr>
          </w:p>
        </w:tc>
        <w:tc>
          <w:tcPr>
            <w:tcW w:w="1820" w:type="dxa"/>
            <w:tcBorders>
              <w:left w:val="single" w:sz="4" w:space="0" w:color="auto"/>
            </w:tcBorders>
          </w:tcPr>
          <w:p w:rsidR="002B4FBA" w:rsidRPr="00F05EBC" w:rsidRDefault="002B4FBA" w:rsidP="00684E61">
            <w:pPr>
              <w:pStyle w:val="ListParagraph"/>
              <w:ind w:left="0"/>
              <w:jc w:val="center"/>
            </w:pPr>
            <w:r>
              <w:t>Year 1</w:t>
            </w:r>
          </w:p>
        </w:tc>
        <w:tc>
          <w:tcPr>
            <w:tcW w:w="1710" w:type="dxa"/>
          </w:tcPr>
          <w:p w:rsidR="002B4FBA" w:rsidRPr="00F05EBC" w:rsidRDefault="002B4FBA" w:rsidP="00684E61">
            <w:pPr>
              <w:pStyle w:val="ListParagraph"/>
              <w:ind w:left="0"/>
              <w:jc w:val="center"/>
            </w:pPr>
            <w:r>
              <w:t>Year 2</w:t>
            </w:r>
          </w:p>
        </w:tc>
        <w:tc>
          <w:tcPr>
            <w:tcW w:w="1723" w:type="dxa"/>
          </w:tcPr>
          <w:p w:rsidR="002B4FBA" w:rsidRPr="00F05EBC" w:rsidRDefault="002B4FBA" w:rsidP="00684E61">
            <w:pPr>
              <w:pStyle w:val="ListParagraph"/>
              <w:ind w:left="0"/>
              <w:jc w:val="center"/>
            </w:pPr>
            <w:r>
              <w:t>Year 3</w:t>
            </w:r>
          </w:p>
        </w:tc>
      </w:tr>
      <w:tr w:rsidR="002B4FBA" w:rsidRPr="00F05EBC" w:rsidTr="00DE5D87">
        <w:tc>
          <w:tcPr>
            <w:tcW w:w="1150" w:type="dxa"/>
            <w:tcBorders>
              <w:top w:val="nil"/>
              <w:left w:val="nil"/>
              <w:bottom w:val="single" w:sz="4" w:space="0" w:color="auto"/>
              <w:right w:val="single" w:sz="4" w:space="0" w:color="auto"/>
            </w:tcBorders>
            <w:shd w:val="clear" w:color="auto" w:fill="FFFFFF" w:themeFill="background1"/>
          </w:tcPr>
          <w:p w:rsidR="002B4FBA" w:rsidRPr="0002162D" w:rsidRDefault="002B4FBA" w:rsidP="00684E61">
            <w:pPr>
              <w:pStyle w:val="ListParagraph"/>
              <w:ind w:left="0"/>
              <w:jc w:val="both"/>
              <w:rPr>
                <w:b/>
              </w:rPr>
            </w:pPr>
          </w:p>
        </w:tc>
        <w:tc>
          <w:tcPr>
            <w:tcW w:w="1820" w:type="dxa"/>
            <w:tcBorders>
              <w:left w:val="single" w:sz="4" w:space="0" w:color="auto"/>
            </w:tcBorders>
            <w:shd w:val="clear" w:color="auto" w:fill="FFFFFF" w:themeFill="background1"/>
            <w:vAlign w:val="center"/>
          </w:tcPr>
          <w:p w:rsidR="002B4FBA" w:rsidRPr="00F05EBC" w:rsidRDefault="002B4FBA" w:rsidP="00684E61">
            <w:pPr>
              <w:pStyle w:val="ListParagraph"/>
              <w:ind w:left="0"/>
              <w:jc w:val="center"/>
            </w:pPr>
            <w:r w:rsidRPr="00F05EBC">
              <w:t>25</w:t>
            </w:r>
          </w:p>
        </w:tc>
        <w:tc>
          <w:tcPr>
            <w:tcW w:w="1710" w:type="dxa"/>
            <w:shd w:val="clear" w:color="auto" w:fill="FFFFFF" w:themeFill="background1"/>
            <w:vAlign w:val="center"/>
          </w:tcPr>
          <w:p w:rsidR="002B4FBA" w:rsidRPr="00F05EBC" w:rsidRDefault="00EC4B95" w:rsidP="00684E61">
            <w:pPr>
              <w:pStyle w:val="ListParagraph"/>
              <w:ind w:left="0"/>
              <w:jc w:val="center"/>
            </w:pPr>
            <w:r>
              <w:t>9</w:t>
            </w:r>
            <w:r w:rsidR="002B4FBA" w:rsidRPr="00F05EBC">
              <w:t>0</w:t>
            </w:r>
          </w:p>
        </w:tc>
        <w:tc>
          <w:tcPr>
            <w:tcW w:w="1723" w:type="dxa"/>
            <w:shd w:val="clear" w:color="auto" w:fill="FFFFFF" w:themeFill="background1"/>
            <w:vAlign w:val="center"/>
          </w:tcPr>
          <w:p w:rsidR="002B4FBA" w:rsidRPr="00F05EBC" w:rsidRDefault="002B4FBA" w:rsidP="00684E61">
            <w:pPr>
              <w:pStyle w:val="ListParagraph"/>
              <w:ind w:left="0"/>
              <w:jc w:val="center"/>
            </w:pPr>
            <w:r w:rsidRPr="00F05EBC">
              <w:t>75</w:t>
            </w:r>
          </w:p>
        </w:tc>
      </w:tr>
      <w:tr w:rsidR="002B4FBA" w:rsidRPr="00F05EBC" w:rsidTr="00DE5D87">
        <w:tc>
          <w:tcPr>
            <w:tcW w:w="1150" w:type="dxa"/>
            <w:tcBorders>
              <w:top w:val="single" w:sz="4" w:space="0" w:color="auto"/>
            </w:tcBorders>
            <w:shd w:val="clear" w:color="auto" w:fill="FFFFFF" w:themeFill="background1"/>
          </w:tcPr>
          <w:p w:rsidR="002B4FBA" w:rsidRPr="0002162D" w:rsidRDefault="002B4FBA" w:rsidP="002B4FBA">
            <w:pPr>
              <w:pStyle w:val="ListParagraph"/>
              <w:ind w:left="0"/>
              <w:jc w:val="center"/>
              <w:rPr>
                <w:b/>
              </w:rPr>
            </w:pPr>
            <w:r>
              <w:rPr>
                <w:b/>
              </w:rPr>
              <w:t>Total</w:t>
            </w:r>
          </w:p>
        </w:tc>
        <w:tc>
          <w:tcPr>
            <w:tcW w:w="1820" w:type="dxa"/>
            <w:shd w:val="clear" w:color="auto" w:fill="FFFFFF" w:themeFill="background1"/>
            <w:vAlign w:val="center"/>
          </w:tcPr>
          <w:p w:rsidR="002B4FBA" w:rsidRPr="009A64E4" w:rsidRDefault="002B4FBA" w:rsidP="00684E61">
            <w:pPr>
              <w:pStyle w:val="ListParagraph"/>
              <w:ind w:left="0"/>
              <w:jc w:val="center"/>
              <w:rPr>
                <w:b/>
              </w:rPr>
            </w:pPr>
            <w:r w:rsidRPr="009A64E4">
              <w:rPr>
                <w:b/>
              </w:rPr>
              <w:t>25</w:t>
            </w:r>
          </w:p>
        </w:tc>
        <w:tc>
          <w:tcPr>
            <w:tcW w:w="1710" w:type="dxa"/>
            <w:shd w:val="clear" w:color="auto" w:fill="FFFFFF" w:themeFill="background1"/>
            <w:vAlign w:val="center"/>
          </w:tcPr>
          <w:p w:rsidR="002B4FBA" w:rsidRPr="009A64E4" w:rsidRDefault="00EC4B95" w:rsidP="00684E61">
            <w:pPr>
              <w:pStyle w:val="ListParagraph"/>
              <w:ind w:left="0"/>
              <w:jc w:val="center"/>
              <w:rPr>
                <w:b/>
              </w:rPr>
            </w:pPr>
            <w:r>
              <w:rPr>
                <w:b/>
              </w:rPr>
              <w:t>11</w:t>
            </w:r>
            <w:r w:rsidR="002B4FBA" w:rsidRPr="009A64E4">
              <w:rPr>
                <w:b/>
              </w:rPr>
              <w:t>5</w:t>
            </w:r>
          </w:p>
        </w:tc>
        <w:tc>
          <w:tcPr>
            <w:tcW w:w="1723" w:type="dxa"/>
            <w:shd w:val="clear" w:color="auto" w:fill="FFFFFF" w:themeFill="background1"/>
            <w:vAlign w:val="center"/>
          </w:tcPr>
          <w:p w:rsidR="002B4FBA" w:rsidRPr="009A64E4" w:rsidRDefault="002B4FBA" w:rsidP="00684E61">
            <w:pPr>
              <w:pStyle w:val="ListParagraph"/>
              <w:ind w:left="0"/>
              <w:jc w:val="center"/>
              <w:rPr>
                <w:b/>
              </w:rPr>
            </w:pPr>
            <w:r w:rsidRPr="009A64E4">
              <w:rPr>
                <w:b/>
              </w:rPr>
              <w:t>200</w:t>
            </w:r>
          </w:p>
        </w:tc>
      </w:tr>
    </w:tbl>
    <w:p w:rsidR="00F75747" w:rsidRPr="00F75747" w:rsidRDefault="0005032B" w:rsidP="0005032B">
      <w:pPr>
        <w:pStyle w:val="ListParagraph"/>
        <w:ind w:left="0"/>
        <w:jc w:val="both"/>
        <w:rPr>
          <w:bCs/>
        </w:rPr>
      </w:pPr>
      <w:r>
        <w:rPr>
          <w:bCs/>
        </w:rPr>
        <w:t xml:space="preserve">   </w:t>
      </w:r>
    </w:p>
    <w:p w:rsidR="008B42B4" w:rsidRPr="008F3FE7" w:rsidRDefault="002D24A7" w:rsidP="008F3FE7">
      <w:pPr>
        <w:pStyle w:val="ListParagraph"/>
        <w:ind w:left="0" w:firstLine="720"/>
        <w:jc w:val="both"/>
        <w:rPr>
          <w:bCs/>
        </w:rPr>
      </w:pPr>
      <w:r>
        <w:rPr>
          <w:bCs/>
        </w:rPr>
        <w:t>1.2</w:t>
      </w:r>
      <w:r>
        <w:rPr>
          <w:bCs/>
        </w:rPr>
        <w:tab/>
      </w:r>
      <w:r w:rsidR="00656C4A" w:rsidRPr="008F3FE7">
        <w:rPr>
          <w:bCs/>
        </w:rPr>
        <w:t xml:space="preserve"> </w:t>
      </w:r>
      <w:r w:rsidR="008B42B4" w:rsidRPr="008F3FE7">
        <w:rPr>
          <w:bCs/>
        </w:rPr>
        <w:t xml:space="preserve">Development and Alignment </w:t>
      </w:r>
      <w:r w:rsidR="00F735FD" w:rsidRPr="008F3FE7">
        <w:rPr>
          <w:bCs/>
        </w:rPr>
        <w:t xml:space="preserve">of </w:t>
      </w:r>
      <w:r w:rsidR="00182557" w:rsidRPr="008F3FE7">
        <w:rPr>
          <w:bCs/>
        </w:rPr>
        <w:t>Curricular Instruments ($1.7</w:t>
      </w:r>
      <w:r w:rsidR="008B42B4" w:rsidRPr="008F3FE7">
        <w:rPr>
          <w:bCs/>
        </w:rPr>
        <w:t xml:space="preserve"> million</w:t>
      </w:r>
      <w:r w:rsidR="0066787C" w:rsidRPr="008F3FE7">
        <w:rPr>
          <w:bCs/>
        </w:rPr>
        <w:t xml:space="preserve"> - GPE</w:t>
      </w:r>
      <w:r w:rsidR="008B42B4" w:rsidRPr="008F3FE7">
        <w:rPr>
          <w:bCs/>
        </w:rPr>
        <w:t>)</w:t>
      </w:r>
    </w:p>
    <w:p w:rsidR="004065AE" w:rsidRDefault="004065AE" w:rsidP="004065AE">
      <w:pPr>
        <w:pStyle w:val="ListParagraph"/>
        <w:ind w:left="0"/>
        <w:rPr>
          <w:bCs/>
          <w:i/>
        </w:rPr>
      </w:pPr>
    </w:p>
    <w:p w:rsidR="00F7339D" w:rsidRPr="00D22B28" w:rsidRDefault="006F556E" w:rsidP="005E2993">
      <w:pPr>
        <w:pStyle w:val="ListParagraph"/>
        <w:numPr>
          <w:ilvl w:val="0"/>
          <w:numId w:val="23"/>
        </w:numPr>
        <w:ind w:left="0" w:firstLine="0"/>
        <w:jc w:val="both"/>
        <w:rPr>
          <w:bCs/>
        </w:rPr>
      </w:pPr>
      <w:r w:rsidRPr="00FE5ADA">
        <w:rPr>
          <w:bCs/>
        </w:rPr>
        <w:t>T</w:t>
      </w:r>
      <w:r w:rsidRPr="00C161C6">
        <w:rPr>
          <w:bCs/>
        </w:rPr>
        <w:t>h</w:t>
      </w:r>
      <w:r w:rsidR="00B33424">
        <w:rPr>
          <w:bCs/>
        </w:rPr>
        <w:t>is</w:t>
      </w:r>
      <w:r w:rsidRPr="00C161C6">
        <w:rPr>
          <w:bCs/>
        </w:rPr>
        <w:t xml:space="preserve"> sub-</w:t>
      </w:r>
      <w:r w:rsidR="00863819" w:rsidRPr="00C161C6">
        <w:rPr>
          <w:bCs/>
        </w:rPr>
        <w:t xml:space="preserve">component would support </w:t>
      </w:r>
      <w:r w:rsidR="00863819">
        <w:rPr>
          <w:bCs/>
        </w:rPr>
        <w:t>the d</w:t>
      </w:r>
      <w:r w:rsidR="00863819" w:rsidRPr="00141E9F">
        <w:rPr>
          <w:bCs/>
        </w:rPr>
        <w:t xml:space="preserve">evelopment and alignment of curricular instruments for preschool education, including, </w:t>
      </w:r>
      <w:r w:rsidR="00863819" w:rsidRPr="00141E9F">
        <w:rPr>
          <w:bCs/>
          <w:i/>
        </w:rPr>
        <w:t>inter alia</w:t>
      </w:r>
      <w:r w:rsidR="00863819" w:rsidRPr="00141E9F">
        <w:rPr>
          <w:bCs/>
        </w:rPr>
        <w:t>: (i) the development of a unified curriculum covering the three levels of preschool education; (ii) the alignment of preschool instructional materials with the unified curriculum; and (iii) the development of a preschool education training curriculum for teachers</w:t>
      </w:r>
      <w:r w:rsidR="00C161C6" w:rsidRPr="00D22B28">
        <w:rPr>
          <w:bCs/>
        </w:rPr>
        <w:t>.</w:t>
      </w:r>
      <w:r w:rsidR="004065AE" w:rsidRPr="00D22B28">
        <w:rPr>
          <w:bCs/>
        </w:rPr>
        <w:t xml:space="preserve"> </w:t>
      </w:r>
    </w:p>
    <w:p w:rsidR="00F7339D" w:rsidRDefault="00F7339D" w:rsidP="00F7339D">
      <w:pPr>
        <w:rPr>
          <w:bCs/>
          <w:u w:val="single"/>
        </w:rPr>
      </w:pPr>
    </w:p>
    <w:p w:rsidR="00F75747" w:rsidRPr="00F7339D" w:rsidRDefault="00F75747" w:rsidP="00F75747">
      <w:pPr>
        <w:rPr>
          <w:bCs/>
          <w:u w:val="single"/>
        </w:rPr>
      </w:pPr>
      <w:r w:rsidRPr="00F7339D">
        <w:rPr>
          <w:bCs/>
          <w:u w:val="single"/>
        </w:rPr>
        <w:t>D</w:t>
      </w:r>
      <w:r w:rsidRPr="004065AE">
        <w:rPr>
          <w:bCs/>
          <w:u w:val="single"/>
        </w:rPr>
        <w:t>evelopment of a unified curriculum</w:t>
      </w:r>
    </w:p>
    <w:p w:rsidR="00A82B80" w:rsidRPr="00BD61A2" w:rsidRDefault="00A82B80" w:rsidP="005E2993">
      <w:pPr>
        <w:pStyle w:val="ListParagraph"/>
        <w:numPr>
          <w:ilvl w:val="0"/>
          <w:numId w:val="23"/>
        </w:numPr>
        <w:ind w:left="0" w:firstLine="0"/>
        <w:jc w:val="both"/>
        <w:rPr>
          <w:bCs/>
          <w:u w:val="single"/>
        </w:rPr>
      </w:pPr>
      <w:r w:rsidRPr="00A75416">
        <w:rPr>
          <w:bCs/>
        </w:rPr>
        <w:t>The Project would aim to develop a unified cur</w:t>
      </w:r>
      <w:r>
        <w:rPr>
          <w:bCs/>
        </w:rPr>
        <w:t>riculum covering the three levels</w:t>
      </w:r>
      <w:r w:rsidRPr="00A75416">
        <w:rPr>
          <w:bCs/>
        </w:rPr>
        <w:t xml:space="preserve"> preschool</w:t>
      </w:r>
      <w:r>
        <w:rPr>
          <w:bCs/>
        </w:rPr>
        <w:t xml:space="preserve"> education</w:t>
      </w:r>
      <w:r w:rsidRPr="00A75416">
        <w:rPr>
          <w:bCs/>
        </w:rPr>
        <w:t xml:space="preserve">. </w:t>
      </w:r>
      <w:r>
        <w:rPr>
          <w:bCs/>
        </w:rPr>
        <w:t xml:space="preserve"> </w:t>
      </w:r>
      <w:r w:rsidRPr="00A75416">
        <w:rPr>
          <w:bCs/>
        </w:rPr>
        <w:t>Currently</w:t>
      </w:r>
      <w:r>
        <w:rPr>
          <w:bCs/>
        </w:rPr>
        <w:t>,</w:t>
      </w:r>
      <w:r w:rsidRPr="00A75416">
        <w:rPr>
          <w:bCs/>
        </w:rPr>
        <w:t xml:space="preserve"> </w:t>
      </w:r>
      <w:r>
        <w:rPr>
          <w:bCs/>
        </w:rPr>
        <w:t>MINED</w:t>
      </w:r>
      <w:r w:rsidRPr="00A75416">
        <w:rPr>
          <w:bCs/>
        </w:rPr>
        <w:t xml:space="preserve"> uses</w:t>
      </w:r>
      <w:r>
        <w:rPr>
          <w:bCs/>
        </w:rPr>
        <w:t xml:space="preserve"> an outdated curricular framework from 1999 </w:t>
      </w:r>
      <w:r w:rsidRPr="00A75416">
        <w:rPr>
          <w:bCs/>
        </w:rPr>
        <w:t>an</w:t>
      </w:r>
      <w:r>
        <w:rPr>
          <w:bCs/>
        </w:rPr>
        <w:t xml:space="preserve">d three preschool </w:t>
      </w:r>
      <w:r w:rsidRPr="00A75416">
        <w:rPr>
          <w:bCs/>
        </w:rPr>
        <w:t xml:space="preserve">classroom </w:t>
      </w:r>
      <w:r>
        <w:rPr>
          <w:bCs/>
        </w:rPr>
        <w:t>instruction guides</w:t>
      </w:r>
      <w:r w:rsidRPr="00A75416">
        <w:rPr>
          <w:bCs/>
        </w:rPr>
        <w:t xml:space="preserve">. </w:t>
      </w:r>
      <w:r>
        <w:rPr>
          <w:bCs/>
        </w:rPr>
        <w:t xml:space="preserve"> The curricular framework and the three</w:t>
      </w:r>
      <w:r w:rsidR="00BE5B05">
        <w:rPr>
          <w:bCs/>
        </w:rPr>
        <w:t xml:space="preserve"> classroom</w:t>
      </w:r>
      <w:r>
        <w:rPr>
          <w:bCs/>
        </w:rPr>
        <w:t xml:space="preserve"> instruction guides a</w:t>
      </w:r>
      <w:r w:rsidR="003100B8">
        <w:rPr>
          <w:bCs/>
        </w:rPr>
        <w:t>re not aligned among each other</w:t>
      </w:r>
      <w:r>
        <w:rPr>
          <w:bCs/>
        </w:rPr>
        <w:t xml:space="preserve"> and the </w:t>
      </w:r>
      <w:r w:rsidR="00BE5B05">
        <w:rPr>
          <w:bCs/>
        </w:rPr>
        <w:t xml:space="preserve">classroom </w:t>
      </w:r>
      <w:r>
        <w:rPr>
          <w:bCs/>
        </w:rPr>
        <w:t>instruction guides serve different purposes and publics.  The first</w:t>
      </w:r>
      <w:r w:rsidR="00BE5B05">
        <w:rPr>
          <w:bCs/>
        </w:rPr>
        <w:t xml:space="preserve"> classroom</w:t>
      </w:r>
      <w:r>
        <w:rPr>
          <w:bCs/>
        </w:rPr>
        <w:t xml:space="preserve"> instruction guide called</w:t>
      </w:r>
      <w:r w:rsidR="00BE5B05">
        <w:rPr>
          <w:bCs/>
        </w:rPr>
        <w:t xml:space="preserve"> “</w:t>
      </w:r>
      <w:r>
        <w:rPr>
          <w:bCs/>
        </w:rPr>
        <w:t>Tran</w:t>
      </w:r>
      <w:r w:rsidR="00BE5B05">
        <w:rPr>
          <w:bCs/>
        </w:rPr>
        <w:t>s</w:t>
      </w:r>
      <w:r>
        <w:rPr>
          <w:bCs/>
        </w:rPr>
        <w:t xml:space="preserve">formed </w:t>
      </w:r>
      <w:r>
        <w:rPr>
          <w:bCs/>
        </w:rPr>
        <w:lastRenderedPageBreak/>
        <w:t>Program</w:t>
      </w:r>
      <w:r w:rsidR="00BE5B05">
        <w:rPr>
          <w:bCs/>
        </w:rPr>
        <w:t>”</w:t>
      </w:r>
      <w:r>
        <w:rPr>
          <w:bCs/>
        </w:rPr>
        <w:t xml:space="preserve"> (</w:t>
      </w:r>
      <w:r w:rsidRPr="00A75416">
        <w:rPr>
          <w:bCs/>
          <w:i/>
        </w:rPr>
        <w:t xml:space="preserve">Programa </w:t>
      </w:r>
      <w:r>
        <w:rPr>
          <w:bCs/>
          <w:i/>
        </w:rPr>
        <w:t>T</w:t>
      </w:r>
      <w:r w:rsidRPr="00A75416">
        <w:rPr>
          <w:bCs/>
          <w:i/>
        </w:rPr>
        <w:t>ransformado</w:t>
      </w:r>
      <w:r>
        <w:rPr>
          <w:bCs/>
          <w:i/>
        </w:rPr>
        <w:t>)</w:t>
      </w:r>
      <w:r w:rsidRPr="008E60EC">
        <w:rPr>
          <w:bCs/>
          <w:i/>
        </w:rPr>
        <w:t xml:space="preserve"> </w:t>
      </w:r>
      <w:r w:rsidRPr="00A75416">
        <w:rPr>
          <w:bCs/>
        </w:rPr>
        <w:t xml:space="preserve">is only used by formal preschools and targets </w:t>
      </w:r>
      <w:r>
        <w:rPr>
          <w:bCs/>
        </w:rPr>
        <w:t xml:space="preserve">five </w:t>
      </w:r>
      <w:r w:rsidRPr="00A75416">
        <w:rPr>
          <w:bCs/>
        </w:rPr>
        <w:t xml:space="preserve">year old children </w:t>
      </w:r>
      <w:r>
        <w:rPr>
          <w:bCs/>
        </w:rPr>
        <w:t>(</w:t>
      </w:r>
      <w:r w:rsidRPr="00A75416">
        <w:rPr>
          <w:bCs/>
        </w:rPr>
        <w:t>3</w:t>
      </w:r>
      <w:r w:rsidRPr="00A75416">
        <w:rPr>
          <w:bCs/>
          <w:vertAlign w:val="superscript"/>
        </w:rPr>
        <w:t>rd</w:t>
      </w:r>
      <w:r w:rsidRPr="00A75416">
        <w:rPr>
          <w:bCs/>
        </w:rPr>
        <w:t xml:space="preserve"> level of preschool</w:t>
      </w:r>
      <w:r>
        <w:rPr>
          <w:bCs/>
        </w:rPr>
        <w:t>)</w:t>
      </w:r>
      <w:r w:rsidRPr="00A75416">
        <w:rPr>
          <w:bCs/>
        </w:rPr>
        <w:t>.</w:t>
      </w:r>
      <w:r>
        <w:rPr>
          <w:bCs/>
        </w:rPr>
        <w:t xml:space="preserve">  </w:t>
      </w:r>
      <w:r w:rsidRPr="00A75416">
        <w:rPr>
          <w:bCs/>
        </w:rPr>
        <w:t xml:space="preserve">The second </w:t>
      </w:r>
      <w:r w:rsidR="00BE5B05">
        <w:rPr>
          <w:bCs/>
        </w:rPr>
        <w:t>classroom instruction guide</w:t>
      </w:r>
      <w:r>
        <w:rPr>
          <w:bCs/>
        </w:rPr>
        <w:t xml:space="preserve"> called</w:t>
      </w:r>
      <w:r w:rsidR="00BE5B05">
        <w:rPr>
          <w:bCs/>
        </w:rPr>
        <w:t>: “</w:t>
      </w:r>
      <w:r>
        <w:rPr>
          <w:bCs/>
        </w:rPr>
        <w:t>Multilevel Guide</w:t>
      </w:r>
      <w:r w:rsidR="00BE5B05">
        <w:rPr>
          <w:bCs/>
        </w:rPr>
        <w:t>”</w:t>
      </w:r>
      <w:r>
        <w:rPr>
          <w:bCs/>
        </w:rPr>
        <w:t xml:space="preserve"> (</w:t>
      </w:r>
      <w:r w:rsidRPr="00A75416">
        <w:rPr>
          <w:bCs/>
          <w:i/>
        </w:rPr>
        <w:t>Guia Multinivel</w:t>
      </w:r>
      <w:r>
        <w:rPr>
          <w:bCs/>
        </w:rPr>
        <w:t xml:space="preserve">) </w:t>
      </w:r>
      <w:r w:rsidRPr="00A75416">
        <w:rPr>
          <w:bCs/>
        </w:rPr>
        <w:t>is widely used by community</w:t>
      </w:r>
      <w:r>
        <w:rPr>
          <w:bCs/>
        </w:rPr>
        <w:t xml:space="preserve">-based </w:t>
      </w:r>
      <w:r w:rsidRPr="00A75416">
        <w:rPr>
          <w:bCs/>
        </w:rPr>
        <w:t>preschools and targets 3-</w:t>
      </w:r>
      <w:r>
        <w:rPr>
          <w:bCs/>
        </w:rPr>
        <w:t>5</w:t>
      </w:r>
      <w:r w:rsidRPr="00A75416">
        <w:rPr>
          <w:bCs/>
        </w:rPr>
        <w:t xml:space="preserve"> year old</w:t>
      </w:r>
      <w:r w:rsidR="00BE5B05">
        <w:rPr>
          <w:bCs/>
        </w:rPr>
        <w:t>s</w:t>
      </w:r>
      <w:r w:rsidRPr="00A75416">
        <w:rPr>
          <w:bCs/>
        </w:rPr>
        <w:t>.</w:t>
      </w:r>
      <w:r>
        <w:rPr>
          <w:bCs/>
        </w:rPr>
        <w:t xml:space="preserve"> </w:t>
      </w:r>
      <w:r w:rsidRPr="00A75416">
        <w:rPr>
          <w:bCs/>
        </w:rPr>
        <w:t xml:space="preserve"> The third </w:t>
      </w:r>
      <w:r w:rsidR="00BE5B05">
        <w:rPr>
          <w:bCs/>
        </w:rPr>
        <w:t xml:space="preserve">classroom </w:t>
      </w:r>
      <w:r>
        <w:rPr>
          <w:bCs/>
        </w:rPr>
        <w:t xml:space="preserve">instruction guide </w:t>
      </w:r>
      <w:r w:rsidRPr="00A75416">
        <w:rPr>
          <w:bCs/>
        </w:rPr>
        <w:t>covers both formal and community</w:t>
      </w:r>
      <w:r>
        <w:rPr>
          <w:bCs/>
        </w:rPr>
        <w:t>-based</w:t>
      </w:r>
      <w:r w:rsidRPr="00A75416">
        <w:rPr>
          <w:bCs/>
        </w:rPr>
        <w:t xml:space="preserve"> </w:t>
      </w:r>
      <w:r>
        <w:rPr>
          <w:bCs/>
        </w:rPr>
        <w:t xml:space="preserve">non-formal </w:t>
      </w:r>
      <w:r w:rsidRPr="00A75416">
        <w:rPr>
          <w:bCs/>
        </w:rPr>
        <w:t xml:space="preserve">preschools in </w:t>
      </w:r>
      <w:r>
        <w:rPr>
          <w:bCs/>
        </w:rPr>
        <w:t xml:space="preserve">intercultural bilingual </w:t>
      </w:r>
      <w:r w:rsidRPr="00A75416">
        <w:rPr>
          <w:bCs/>
        </w:rPr>
        <w:t>areas</w:t>
      </w:r>
      <w:r>
        <w:rPr>
          <w:bCs/>
        </w:rPr>
        <w:t>.</w:t>
      </w:r>
      <w:r w:rsidR="00BE5B05">
        <w:rPr>
          <w:bCs/>
        </w:rPr>
        <w:t xml:space="preserve">  The new unified curriculum would replace the three preschool classroom instruction guides, which would become obsolete.</w:t>
      </w:r>
      <w:r w:rsidRPr="00A75416">
        <w:rPr>
          <w:bCs/>
        </w:rPr>
        <w:t xml:space="preserve"> </w:t>
      </w:r>
    </w:p>
    <w:p w:rsidR="00A82B80" w:rsidRPr="00BD61A2" w:rsidRDefault="00A82B80" w:rsidP="00A82B80">
      <w:pPr>
        <w:pStyle w:val="ListParagraph"/>
        <w:ind w:left="0"/>
        <w:jc w:val="both"/>
        <w:rPr>
          <w:bCs/>
          <w:u w:val="single"/>
        </w:rPr>
      </w:pPr>
      <w:r w:rsidRPr="00A75416">
        <w:rPr>
          <w:bCs/>
        </w:rPr>
        <w:t xml:space="preserve"> </w:t>
      </w:r>
      <w:r>
        <w:rPr>
          <w:bCs/>
        </w:rPr>
        <w:t xml:space="preserve"> </w:t>
      </w:r>
    </w:p>
    <w:p w:rsidR="00F75747" w:rsidRPr="00A75416" w:rsidRDefault="00A82B80" w:rsidP="005E2993">
      <w:pPr>
        <w:pStyle w:val="ListParagraph"/>
        <w:numPr>
          <w:ilvl w:val="0"/>
          <w:numId w:val="23"/>
        </w:numPr>
        <w:ind w:left="0" w:firstLine="0"/>
        <w:jc w:val="both"/>
        <w:rPr>
          <w:bCs/>
          <w:u w:val="single"/>
        </w:rPr>
      </w:pPr>
      <w:r>
        <w:rPr>
          <w:bCs/>
        </w:rPr>
        <w:t xml:space="preserve">The Project would finance a team of experts for the preparation of the new unified preschool curriculum.  The team would comprise: </w:t>
      </w:r>
      <w:r w:rsidR="00BE5B05">
        <w:rPr>
          <w:bCs/>
        </w:rPr>
        <w:t>(i) one national consultant; (ii)</w:t>
      </w:r>
      <w:r>
        <w:rPr>
          <w:bCs/>
        </w:rPr>
        <w:t xml:space="preserve"> one international consultant</w:t>
      </w:r>
      <w:r w:rsidR="00BE5B05">
        <w:rPr>
          <w:bCs/>
        </w:rPr>
        <w:t>;</w:t>
      </w:r>
      <w:r>
        <w:rPr>
          <w:bCs/>
        </w:rPr>
        <w:t xml:space="preserve"> and</w:t>
      </w:r>
      <w:r w:rsidR="00BE5B05">
        <w:rPr>
          <w:bCs/>
        </w:rPr>
        <w:t xml:space="preserve"> (iii)</w:t>
      </w:r>
      <w:r>
        <w:rPr>
          <w:bCs/>
        </w:rPr>
        <w:t xml:space="preserve"> an inter-directorate commission </w:t>
      </w:r>
      <w:r w:rsidR="00BE5B05">
        <w:rPr>
          <w:bCs/>
        </w:rPr>
        <w:t xml:space="preserve">(comprised of staff from the </w:t>
      </w:r>
      <w:r>
        <w:rPr>
          <w:bCs/>
        </w:rPr>
        <w:t>teacher training, primary school, preschool, and special education directorates</w:t>
      </w:r>
      <w:r w:rsidR="00BE5B05">
        <w:rPr>
          <w:bCs/>
        </w:rPr>
        <w:t xml:space="preserve"> of MINED</w:t>
      </w:r>
      <w:r>
        <w:rPr>
          <w:bCs/>
        </w:rPr>
        <w:t xml:space="preserve">). </w:t>
      </w:r>
      <w:r w:rsidR="00BE5B05">
        <w:rPr>
          <w:bCs/>
        </w:rPr>
        <w:t xml:space="preserve"> The team of experts</w:t>
      </w:r>
      <w:r>
        <w:rPr>
          <w:bCs/>
        </w:rPr>
        <w:t xml:space="preserve"> would also include some formal and community preschool teachers.  As an input to this work, the General Directorate of Preschool Education (GDPE) will use the findings of the qualitative evaluation conducted</w:t>
      </w:r>
      <w:r w:rsidR="00CC01F2">
        <w:rPr>
          <w:bCs/>
        </w:rPr>
        <w:t xml:space="preserve"> by MINED</w:t>
      </w:r>
      <w:r>
        <w:rPr>
          <w:bCs/>
        </w:rPr>
        <w:t xml:space="preserve"> in April-June 2012 on the use of the </w:t>
      </w:r>
      <w:r w:rsidR="00BE5B05">
        <w:rPr>
          <w:bCs/>
        </w:rPr>
        <w:t>“</w:t>
      </w:r>
      <w:r>
        <w:rPr>
          <w:bCs/>
        </w:rPr>
        <w:t>Transformed Program</w:t>
      </w:r>
      <w:r w:rsidR="00BE5B05">
        <w:rPr>
          <w:bCs/>
        </w:rPr>
        <w:t>”</w:t>
      </w:r>
      <w:r>
        <w:rPr>
          <w:bCs/>
        </w:rPr>
        <w:t xml:space="preserve"> and the </w:t>
      </w:r>
      <w:r w:rsidR="00BE5B05">
        <w:rPr>
          <w:bCs/>
        </w:rPr>
        <w:t>“</w:t>
      </w:r>
      <w:r>
        <w:rPr>
          <w:bCs/>
        </w:rPr>
        <w:t>Multilevel Guide</w:t>
      </w:r>
      <w:r w:rsidR="00BE5B05">
        <w:rPr>
          <w:bCs/>
        </w:rPr>
        <w:t>”</w:t>
      </w:r>
      <w:r>
        <w:rPr>
          <w:bCs/>
        </w:rPr>
        <w:t xml:space="preserve"> among preschool teachers.  The task force would meet at the beginning of the second semester of 2012.</w:t>
      </w:r>
      <w:r w:rsidR="00912042">
        <w:rPr>
          <w:bCs/>
        </w:rPr>
        <w:t xml:space="preserve">  Due to the time sensitivity of this activity, it is expected that UN</w:t>
      </w:r>
      <w:r w:rsidR="00C25990">
        <w:rPr>
          <w:bCs/>
        </w:rPr>
        <w:t>I</w:t>
      </w:r>
      <w:r w:rsidR="00912042">
        <w:rPr>
          <w:bCs/>
        </w:rPr>
        <w:t>CEF and MINED will pre-finance some of the costs related to</w:t>
      </w:r>
      <w:r w:rsidR="00BE5B05">
        <w:rPr>
          <w:bCs/>
        </w:rPr>
        <w:t xml:space="preserve"> the</w:t>
      </w:r>
      <w:r w:rsidR="00912042">
        <w:rPr>
          <w:bCs/>
        </w:rPr>
        <w:t xml:space="preserve"> work of the</w:t>
      </w:r>
      <w:r w:rsidR="00BE5B05">
        <w:rPr>
          <w:bCs/>
        </w:rPr>
        <w:t xml:space="preserve"> team of experts</w:t>
      </w:r>
      <w:r w:rsidR="00912042">
        <w:rPr>
          <w:bCs/>
        </w:rPr>
        <w:t xml:space="preserve"> until the Project is approved.</w:t>
      </w:r>
      <w:r>
        <w:rPr>
          <w:bCs/>
        </w:rPr>
        <w:t xml:space="preserve">  A first draft unified curriculum would be submitted for revision and approval to the GDPE by early September.  The final product would be validated a month later.  The new preschool unified curriculum would be used as an input for the alignment of the classroom learning instruments (next activity financed by this sub-component) and for designing training activities that would be financed under sub-component 1.3.</w:t>
      </w:r>
      <w:r w:rsidR="00B05210">
        <w:rPr>
          <w:bCs/>
        </w:rPr>
        <w:t xml:space="preserve">  The Project would also finance the reproduction of the unified curriculum and programs for 10</w:t>
      </w:r>
      <w:r w:rsidR="008E1614">
        <w:rPr>
          <w:bCs/>
        </w:rPr>
        <w:t>,500 preschool teachers in 2014 and the training of the 10,500 preschool teachers in the use of the curriculum.</w:t>
      </w:r>
      <w:r w:rsidR="00B05210">
        <w:rPr>
          <w:bCs/>
        </w:rPr>
        <w:t xml:space="preserve">  </w:t>
      </w:r>
    </w:p>
    <w:p w:rsidR="00F7339D" w:rsidRDefault="00F7339D" w:rsidP="00F7339D">
      <w:pPr>
        <w:rPr>
          <w:bCs/>
          <w:u w:val="single"/>
        </w:rPr>
      </w:pPr>
    </w:p>
    <w:p w:rsidR="002D24A7" w:rsidRPr="000172C6" w:rsidRDefault="00F7339D" w:rsidP="000172C6">
      <w:pPr>
        <w:rPr>
          <w:bCs/>
          <w:u w:val="single"/>
        </w:rPr>
      </w:pPr>
      <w:r w:rsidRPr="00F7339D">
        <w:rPr>
          <w:bCs/>
          <w:u w:val="single"/>
        </w:rPr>
        <w:t>A</w:t>
      </w:r>
      <w:r w:rsidR="004065AE" w:rsidRPr="004065AE">
        <w:rPr>
          <w:bCs/>
          <w:u w:val="single"/>
        </w:rPr>
        <w:t>lignment of classroom learning instruments</w:t>
      </w:r>
    </w:p>
    <w:p w:rsidR="00275746" w:rsidRPr="00FB4B7F" w:rsidRDefault="00275746" w:rsidP="005E2993">
      <w:pPr>
        <w:pStyle w:val="ListParagraph"/>
        <w:numPr>
          <w:ilvl w:val="0"/>
          <w:numId w:val="23"/>
        </w:numPr>
        <w:ind w:left="0" w:firstLine="0"/>
        <w:jc w:val="both"/>
        <w:rPr>
          <w:bCs/>
        </w:rPr>
      </w:pPr>
      <w:r w:rsidRPr="00030F0D">
        <w:t xml:space="preserve">The objective of this activity would </w:t>
      </w:r>
      <w:r>
        <w:t xml:space="preserve">be </w:t>
      </w:r>
      <w:r w:rsidRPr="00030F0D">
        <w:t xml:space="preserve">to align </w:t>
      </w:r>
      <w:r>
        <w:t xml:space="preserve">the existing preschool classroom learning instruments with the unified curriculum. </w:t>
      </w:r>
      <w:r w:rsidRPr="00030F0D">
        <w:t xml:space="preserve"> </w:t>
      </w:r>
      <w:r>
        <w:t xml:space="preserve">There are four </w:t>
      </w:r>
      <w:r w:rsidRPr="005962AC">
        <w:t>classroom</w:t>
      </w:r>
      <w:r>
        <w:t xml:space="preserve"> </w:t>
      </w:r>
      <w:r w:rsidRPr="00F7339D">
        <w:rPr>
          <w:bCs/>
        </w:rPr>
        <w:t>learning</w:t>
      </w:r>
      <w:r w:rsidRPr="005962AC">
        <w:t xml:space="preserve"> instruments </w:t>
      </w:r>
      <w:r>
        <w:t xml:space="preserve">that teachers and educators use </w:t>
      </w:r>
      <w:r>
        <w:rPr>
          <w:bCs/>
        </w:rPr>
        <w:t xml:space="preserve">in </w:t>
      </w:r>
      <w:r w:rsidRPr="00A75416">
        <w:rPr>
          <w:bCs/>
        </w:rPr>
        <w:t>both formal and community preschool</w:t>
      </w:r>
      <w:r>
        <w:rPr>
          <w:bCs/>
        </w:rPr>
        <w:t>s, namely</w:t>
      </w:r>
      <w:r>
        <w:t>: (i) the child workbook;</w:t>
      </w:r>
      <w:r w:rsidRPr="005962AC">
        <w:t xml:space="preserve"> </w:t>
      </w:r>
      <w:r>
        <w:t xml:space="preserve">(ii) the manual for lesson planning; (iii) the </w:t>
      </w:r>
      <w:r w:rsidRPr="005962AC">
        <w:t>individual registry</w:t>
      </w:r>
      <w:r>
        <w:t xml:space="preserve"> and learning assessment record;</w:t>
      </w:r>
      <w:r w:rsidRPr="005962AC">
        <w:t xml:space="preserve"> and</w:t>
      </w:r>
      <w:r>
        <w:t xml:space="preserve"> </w:t>
      </w:r>
      <w:proofErr w:type="gramStart"/>
      <w:r>
        <w:t xml:space="preserve">(iv) </w:t>
      </w:r>
      <w:r w:rsidRPr="005962AC">
        <w:t>a</w:t>
      </w:r>
      <w:proofErr w:type="gramEnd"/>
      <w:r w:rsidRPr="005962AC">
        <w:t xml:space="preserve"> planning instrum</w:t>
      </w:r>
      <w:r>
        <w:t>ent for teacher’s daily use.  These instruments are outdated and were based on the preschool curricular framework issued in 1999.</w:t>
      </w:r>
    </w:p>
    <w:p w:rsidR="00275746" w:rsidRPr="00934379" w:rsidRDefault="00275746" w:rsidP="00275746">
      <w:pPr>
        <w:pStyle w:val="ListParagraph"/>
        <w:ind w:left="0"/>
        <w:jc w:val="both"/>
        <w:rPr>
          <w:bCs/>
        </w:rPr>
      </w:pPr>
      <w:r>
        <w:t xml:space="preserve">  </w:t>
      </w:r>
    </w:p>
    <w:p w:rsidR="00F7339D" w:rsidRPr="003100B8" w:rsidRDefault="00275746" w:rsidP="005E2993">
      <w:pPr>
        <w:pStyle w:val="ListParagraph"/>
        <w:numPr>
          <w:ilvl w:val="0"/>
          <w:numId w:val="23"/>
        </w:numPr>
        <w:ind w:left="0" w:firstLine="0"/>
        <w:jc w:val="both"/>
        <w:rPr>
          <w:bCs/>
        </w:rPr>
      </w:pPr>
      <w:r>
        <w:t xml:space="preserve">The Project would finance a team of experts (the same team that would develop the unified preschool curriculum) to work with GDPE staff to review and update each of these instruments and to ensure that they are aligned </w:t>
      </w:r>
      <w:r w:rsidRPr="00030F0D">
        <w:t>with the</w:t>
      </w:r>
      <w:r>
        <w:t xml:space="preserve"> objective, </w:t>
      </w:r>
      <w:r w:rsidRPr="00030F0D">
        <w:t>scope</w:t>
      </w:r>
      <w:r>
        <w:t xml:space="preserve"> and requirements</w:t>
      </w:r>
      <w:r w:rsidRPr="00030F0D">
        <w:t xml:space="preserve"> of the unified </w:t>
      </w:r>
      <w:r>
        <w:t xml:space="preserve">preschool </w:t>
      </w:r>
      <w:r w:rsidRPr="00030F0D">
        <w:t>curriculum</w:t>
      </w:r>
      <w:r>
        <w:t xml:space="preserve">.  The work on the curriculum and </w:t>
      </w:r>
      <w:r w:rsidR="00443272">
        <w:t xml:space="preserve">classroom learning </w:t>
      </w:r>
      <w:r w:rsidR="00C25990">
        <w:t xml:space="preserve">instruments would </w:t>
      </w:r>
      <w:r>
        <w:t>happen at the same time to ensure maximum consistency and alignment.  The final version of the instruments would be approved by MINED during the fourth quarter of 2012.</w:t>
      </w:r>
      <w:r w:rsidR="00B05210">
        <w:t xml:space="preserve"> </w:t>
      </w:r>
      <w:r w:rsidR="00B05210" w:rsidRPr="00B05210">
        <w:rPr>
          <w:bCs/>
        </w:rPr>
        <w:t>The Project would also finance the reproduction of the</w:t>
      </w:r>
      <w:r w:rsidR="008E1614">
        <w:rPr>
          <w:bCs/>
        </w:rPr>
        <w:t xml:space="preserve"> learning instruments (Planning Notebook - </w:t>
      </w:r>
      <w:r w:rsidR="008E1614">
        <w:rPr>
          <w:bCs/>
          <w:i/>
        </w:rPr>
        <w:t xml:space="preserve">Cuaderno de Planeamiento </w:t>
      </w:r>
      <w:r w:rsidR="008E1614">
        <w:rPr>
          <w:bCs/>
        </w:rPr>
        <w:t xml:space="preserve">and Registering and Evaluation Notebook – </w:t>
      </w:r>
      <w:r w:rsidR="008E1614" w:rsidRPr="008E1614">
        <w:rPr>
          <w:bCs/>
          <w:i/>
        </w:rPr>
        <w:t xml:space="preserve">Cuaderno de Registro de Asistencia y Evaluación </w:t>
      </w:r>
      <w:proofErr w:type="gramStart"/>
      <w:r w:rsidR="008E1614" w:rsidRPr="008E1614">
        <w:rPr>
          <w:bCs/>
          <w:i/>
        </w:rPr>
        <w:t>del</w:t>
      </w:r>
      <w:proofErr w:type="gramEnd"/>
      <w:r w:rsidR="008E1614" w:rsidRPr="008E1614">
        <w:rPr>
          <w:bCs/>
          <w:i/>
        </w:rPr>
        <w:t xml:space="preserve"> Aprendizaje</w:t>
      </w:r>
      <w:r w:rsidR="008E1614">
        <w:rPr>
          <w:bCs/>
        </w:rPr>
        <w:t>) to be distributed in 2014 and 2015</w:t>
      </w:r>
      <w:r w:rsidR="00B05210" w:rsidRPr="00B05210">
        <w:rPr>
          <w:bCs/>
        </w:rPr>
        <w:t xml:space="preserve"> </w:t>
      </w:r>
      <w:r w:rsidR="008E1614">
        <w:rPr>
          <w:bCs/>
        </w:rPr>
        <w:t>to</w:t>
      </w:r>
      <w:r w:rsidR="00B05210" w:rsidRPr="00B05210">
        <w:rPr>
          <w:bCs/>
        </w:rPr>
        <w:t xml:space="preserve"> 10,500 preschool teachers.</w:t>
      </w:r>
      <w:r w:rsidR="008E1614">
        <w:rPr>
          <w:bCs/>
        </w:rPr>
        <w:t xml:space="preserve">  In addition, the Project would finance 150,000 Working Notebooks (</w:t>
      </w:r>
      <w:r w:rsidR="008E1614">
        <w:rPr>
          <w:bCs/>
          <w:i/>
        </w:rPr>
        <w:t>Cuarderno de Trabajo)</w:t>
      </w:r>
      <w:r w:rsidR="008E1614">
        <w:rPr>
          <w:bCs/>
        </w:rPr>
        <w:t xml:space="preserve"> for all the students enrolled in the third level of preschool in 2014 and 2015.</w:t>
      </w:r>
      <w:r w:rsidR="003C1ACC">
        <w:t xml:space="preserve">  </w:t>
      </w:r>
    </w:p>
    <w:p w:rsidR="00114C45" w:rsidRPr="00F7339D" w:rsidRDefault="00114C45" w:rsidP="00114C45">
      <w:pPr>
        <w:rPr>
          <w:bCs/>
          <w:u w:val="single"/>
        </w:rPr>
      </w:pPr>
      <w:r>
        <w:rPr>
          <w:bCs/>
          <w:u w:val="single"/>
        </w:rPr>
        <w:lastRenderedPageBreak/>
        <w:t>Preschool Teacher Training Curriculum</w:t>
      </w:r>
    </w:p>
    <w:p w:rsidR="00114C45" w:rsidRDefault="00114C45" w:rsidP="005E2993">
      <w:pPr>
        <w:pStyle w:val="ListParagraph"/>
        <w:numPr>
          <w:ilvl w:val="0"/>
          <w:numId w:val="23"/>
        </w:numPr>
        <w:ind w:left="0" w:firstLine="0"/>
        <w:jc w:val="both"/>
        <w:rPr>
          <w:bCs/>
        </w:rPr>
      </w:pPr>
      <w:r>
        <w:t xml:space="preserve">The Project would finance the development of a new teacher training </w:t>
      </w:r>
      <w:r w:rsidR="003100B8">
        <w:t>curriculum for preschool called</w:t>
      </w:r>
      <w:r>
        <w:t xml:space="preserve"> </w:t>
      </w:r>
      <w:r w:rsidRPr="00295C05">
        <w:t>“</w:t>
      </w:r>
      <w:r w:rsidRPr="008F3FE7">
        <w:t>Primary Education Teachers with Preschool Education Major</w:t>
      </w:r>
      <w:r w:rsidR="00EE2ABC">
        <w:t>.”</w:t>
      </w:r>
      <w:r w:rsidRPr="008F3FE7">
        <w:rPr>
          <w:i/>
        </w:rPr>
        <w:t xml:space="preserve">  </w:t>
      </w:r>
      <w:r>
        <w:t xml:space="preserve">This </w:t>
      </w:r>
      <w:r w:rsidR="00443272">
        <w:t xml:space="preserve">teacher </w:t>
      </w:r>
      <w:r>
        <w:t xml:space="preserve">training curriculum would be the basis for all new pre- and in-service training activities to be carried by MINED in the future.  The training curriculum would be aligned with the unified preschool curriculum and the new classroom instruments aforementioned. </w:t>
      </w:r>
      <w:r w:rsidR="00443272">
        <w:t xml:space="preserve"> </w:t>
      </w:r>
      <w:r>
        <w:t>There are currently eight preschool t</w:t>
      </w:r>
      <w:r w:rsidRPr="00E378C2">
        <w:t>eacher training</w:t>
      </w:r>
      <w:r>
        <w:t xml:space="preserve"> instruments available, all based on the 1999 preschool curricular framework and on existing classroom instruction guides.  These eight training instruments would be replaced by the new </w:t>
      </w:r>
      <w:r w:rsidR="00443272">
        <w:t xml:space="preserve">teacher </w:t>
      </w:r>
      <w:r>
        <w:t xml:space="preserve">training curriculum that would include four products, namely: (i) an overall training curriculum outline and plan, including certification guidelines; (ii) </w:t>
      </w:r>
      <w:r w:rsidR="00443272">
        <w:t xml:space="preserve">a series of </w:t>
      </w:r>
      <w:r>
        <w:t xml:space="preserve">training modules for trainers; (iii) study programs for trainees in each training subject matter; and finally </w:t>
      </w:r>
      <w:proofErr w:type="gramStart"/>
      <w:r>
        <w:t>(iv) reading</w:t>
      </w:r>
      <w:proofErr w:type="gramEnd"/>
      <w:r>
        <w:t xml:space="preserve"> booklets and other supporting instructional materials.</w:t>
      </w:r>
    </w:p>
    <w:p w:rsidR="00114C45" w:rsidRDefault="00114C45" w:rsidP="00114C45">
      <w:pPr>
        <w:pStyle w:val="ListParagraph"/>
        <w:ind w:left="0"/>
        <w:jc w:val="both"/>
        <w:rPr>
          <w:bCs/>
        </w:rPr>
      </w:pPr>
      <w:r>
        <w:rPr>
          <w:bCs/>
        </w:rPr>
        <w:t xml:space="preserve">  </w:t>
      </w:r>
    </w:p>
    <w:p w:rsidR="00F7339D" w:rsidRPr="003C1ACC" w:rsidRDefault="00443272" w:rsidP="005E2993">
      <w:pPr>
        <w:pStyle w:val="ListParagraph"/>
        <w:numPr>
          <w:ilvl w:val="0"/>
          <w:numId w:val="23"/>
        </w:numPr>
        <w:ind w:left="0" w:firstLine="0"/>
        <w:jc w:val="both"/>
        <w:rPr>
          <w:bCs/>
        </w:rPr>
      </w:pPr>
      <w:r>
        <w:rPr>
          <w:bCs/>
        </w:rPr>
        <w:t xml:space="preserve">In order to elaborate the new preschool teacher training curriculum </w:t>
      </w:r>
      <w:r w:rsidR="00114C45">
        <w:rPr>
          <w:bCs/>
        </w:rPr>
        <w:t>MINED would establish six curricular commissions at the start of the Project, based on the following themes:</w:t>
      </w:r>
      <w:r>
        <w:rPr>
          <w:bCs/>
        </w:rPr>
        <w:t xml:space="preserve"> (i)</w:t>
      </w:r>
      <w:r w:rsidR="00114C45">
        <w:rPr>
          <w:bCs/>
        </w:rPr>
        <w:t xml:space="preserve"> Mathematics; </w:t>
      </w:r>
      <w:r>
        <w:rPr>
          <w:bCs/>
        </w:rPr>
        <w:t xml:space="preserve">(ii) </w:t>
      </w:r>
      <w:r w:rsidR="00114C45">
        <w:rPr>
          <w:bCs/>
        </w:rPr>
        <w:t xml:space="preserve">Science; </w:t>
      </w:r>
      <w:r>
        <w:rPr>
          <w:bCs/>
        </w:rPr>
        <w:t xml:space="preserve">(iii) </w:t>
      </w:r>
      <w:r w:rsidR="00114C45">
        <w:rPr>
          <w:bCs/>
        </w:rPr>
        <w:t xml:space="preserve">Literature; </w:t>
      </w:r>
      <w:proofErr w:type="gramStart"/>
      <w:r>
        <w:rPr>
          <w:bCs/>
        </w:rPr>
        <w:t xml:space="preserve">(iv) </w:t>
      </w:r>
      <w:r w:rsidR="00114C45">
        <w:rPr>
          <w:bCs/>
        </w:rPr>
        <w:t>Art</w:t>
      </w:r>
      <w:r w:rsidR="00C8062B">
        <w:rPr>
          <w:bCs/>
        </w:rPr>
        <w:t>s</w:t>
      </w:r>
      <w:proofErr w:type="gramEnd"/>
      <w:r w:rsidR="00114C45">
        <w:rPr>
          <w:bCs/>
        </w:rPr>
        <w:t xml:space="preserve">; </w:t>
      </w:r>
      <w:r>
        <w:rPr>
          <w:bCs/>
        </w:rPr>
        <w:t xml:space="preserve">(v) </w:t>
      </w:r>
      <w:r w:rsidR="00114C45">
        <w:rPr>
          <w:bCs/>
        </w:rPr>
        <w:t xml:space="preserve">Psychomotor skills; and </w:t>
      </w:r>
      <w:r>
        <w:rPr>
          <w:bCs/>
        </w:rPr>
        <w:t xml:space="preserve">(vi) </w:t>
      </w:r>
      <w:r w:rsidR="00114C45">
        <w:rPr>
          <w:bCs/>
        </w:rPr>
        <w:t xml:space="preserve">Psycho-pedagogical skills.  </w:t>
      </w:r>
      <w:r w:rsidR="00114C45" w:rsidRPr="00D63456">
        <w:rPr>
          <w:bCs/>
        </w:rPr>
        <w:t>The commissions w</w:t>
      </w:r>
      <w:r w:rsidR="00114C45">
        <w:rPr>
          <w:bCs/>
        </w:rPr>
        <w:t>ould comprise</w:t>
      </w:r>
      <w:r w:rsidR="00114C45" w:rsidRPr="00D63456">
        <w:rPr>
          <w:bCs/>
        </w:rPr>
        <w:t xml:space="preserve">: </w:t>
      </w:r>
      <w:r w:rsidR="00C8062B" w:rsidRPr="00C8062B">
        <w:rPr>
          <w:bCs/>
        </w:rPr>
        <w:t xml:space="preserve">18 professors (three per commission) from </w:t>
      </w:r>
      <w:r w:rsidR="00C8062B">
        <w:rPr>
          <w:bCs/>
        </w:rPr>
        <w:t xml:space="preserve">the </w:t>
      </w:r>
      <w:r w:rsidR="00C8062B" w:rsidRPr="00C8062B">
        <w:rPr>
          <w:bCs/>
        </w:rPr>
        <w:t>Teacher Training Institutes (TTIs)</w:t>
      </w:r>
      <w:r w:rsidR="00114C45" w:rsidRPr="004D0F59">
        <w:rPr>
          <w:bCs/>
        </w:rPr>
        <w:t xml:space="preserve">, </w:t>
      </w:r>
      <w:r w:rsidR="00114C45">
        <w:rPr>
          <w:bCs/>
        </w:rPr>
        <w:t>two</w:t>
      </w:r>
      <w:r w:rsidR="00114C45" w:rsidRPr="004D0F59">
        <w:rPr>
          <w:bCs/>
        </w:rPr>
        <w:t xml:space="preserve"> </w:t>
      </w:r>
      <w:r w:rsidR="00114C45">
        <w:rPr>
          <w:bCs/>
        </w:rPr>
        <w:t>MINED staff and</w:t>
      </w:r>
      <w:r w:rsidR="00114C45" w:rsidRPr="004D0F59">
        <w:rPr>
          <w:bCs/>
        </w:rPr>
        <w:t xml:space="preserve"> </w:t>
      </w:r>
      <w:r w:rsidR="00114C45">
        <w:rPr>
          <w:bCs/>
        </w:rPr>
        <w:t>four</w:t>
      </w:r>
      <w:r w:rsidR="00114C45" w:rsidRPr="004D0F59">
        <w:rPr>
          <w:bCs/>
        </w:rPr>
        <w:t xml:space="preserve"> consult</w:t>
      </w:r>
      <w:r w:rsidR="00114C45">
        <w:rPr>
          <w:bCs/>
        </w:rPr>
        <w:t>ants</w:t>
      </w:r>
      <w:r w:rsidR="00114C45" w:rsidRPr="004D0F59">
        <w:rPr>
          <w:bCs/>
        </w:rPr>
        <w:t xml:space="preserve"> (3 </w:t>
      </w:r>
      <w:r w:rsidR="00114C45">
        <w:rPr>
          <w:bCs/>
        </w:rPr>
        <w:t xml:space="preserve">national </w:t>
      </w:r>
      <w:r w:rsidR="00114C45" w:rsidRPr="004D0F59">
        <w:rPr>
          <w:bCs/>
        </w:rPr>
        <w:t>experts</w:t>
      </w:r>
      <w:r w:rsidR="00114C45">
        <w:rPr>
          <w:bCs/>
        </w:rPr>
        <w:t xml:space="preserve"> and </w:t>
      </w:r>
      <w:r w:rsidR="00114C45" w:rsidRPr="004D0F59">
        <w:rPr>
          <w:bCs/>
        </w:rPr>
        <w:t>1</w:t>
      </w:r>
      <w:r w:rsidR="00114C45">
        <w:rPr>
          <w:bCs/>
        </w:rPr>
        <w:t xml:space="preserve"> internat</w:t>
      </w:r>
      <w:r w:rsidR="00114C45" w:rsidRPr="004D0F59">
        <w:rPr>
          <w:bCs/>
        </w:rPr>
        <w:t>ional</w:t>
      </w:r>
      <w:r w:rsidR="00114C45">
        <w:rPr>
          <w:bCs/>
        </w:rPr>
        <w:t xml:space="preserve"> expert</w:t>
      </w:r>
      <w:r w:rsidR="00114C45" w:rsidRPr="004D0F59">
        <w:rPr>
          <w:bCs/>
        </w:rPr>
        <w:t xml:space="preserve">). </w:t>
      </w:r>
      <w:r w:rsidR="00114C45">
        <w:rPr>
          <w:bCs/>
        </w:rPr>
        <w:t xml:space="preserve"> The GPDE would prepare </w:t>
      </w:r>
      <w:r w:rsidR="003100B8">
        <w:rPr>
          <w:bCs/>
        </w:rPr>
        <w:t>Terms of Reference (</w:t>
      </w:r>
      <w:r w:rsidR="00114C45">
        <w:rPr>
          <w:bCs/>
        </w:rPr>
        <w:t>TORs</w:t>
      </w:r>
      <w:r w:rsidR="003100B8">
        <w:rPr>
          <w:bCs/>
        </w:rPr>
        <w:t>)</w:t>
      </w:r>
      <w:r w:rsidR="00114C45">
        <w:rPr>
          <w:bCs/>
        </w:rPr>
        <w:t xml:space="preserve"> to define the work plan and results to be achieved by each commission.  The consultants would coordinate the work of the commissions. </w:t>
      </w:r>
      <w:r w:rsidR="00114C45" w:rsidRPr="004D0F59">
        <w:rPr>
          <w:bCs/>
        </w:rPr>
        <w:t xml:space="preserve"> </w:t>
      </w:r>
      <w:r>
        <w:rPr>
          <w:bCs/>
        </w:rPr>
        <w:t xml:space="preserve">Most of the work would be produced in the commissions to build capacity and sustainability.  </w:t>
      </w:r>
      <w:r w:rsidR="00114C45" w:rsidRPr="00EA7240">
        <w:rPr>
          <w:bCs/>
        </w:rPr>
        <w:t xml:space="preserve">The commissions </w:t>
      </w:r>
      <w:r w:rsidR="00114C45">
        <w:rPr>
          <w:bCs/>
        </w:rPr>
        <w:t xml:space="preserve">would </w:t>
      </w:r>
      <w:r w:rsidR="00114C45" w:rsidRPr="00EA7240">
        <w:rPr>
          <w:bCs/>
        </w:rPr>
        <w:t>operat</w:t>
      </w:r>
      <w:r w:rsidR="003100B8">
        <w:rPr>
          <w:bCs/>
        </w:rPr>
        <w:t>e for a total duration of six</w:t>
      </w:r>
      <w:r w:rsidR="00114C45">
        <w:rPr>
          <w:bCs/>
        </w:rPr>
        <w:t xml:space="preserve"> months.  The commissions would meet twice a month.  The GPDE would organize three workshops to review the work progress and outputs of each commission.  The first workshop would take place at the launch of this activity.  The second one at mid-point during the preparation of outputs and the final one at the end to validate the preschool teacher training curriculum.</w:t>
      </w:r>
      <w:r w:rsidR="00114C45" w:rsidRPr="00B634AE">
        <w:rPr>
          <w:bCs/>
        </w:rPr>
        <w:t xml:space="preserve"> </w:t>
      </w:r>
      <w:r w:rsidR="00114C45" w:rsidRPr="004D0F59">
        <w:rPr>
          <w:bCs/>
        </w:rPr>
        <w:t>The Project w</w:t>
      </w:r>
      <w:r w:rsidR="00114C45">
        <w:rPr>
          <w:bCs/>
        </w:rPr>
        <w:t>ould</w:t>
      </w:r>
      <w:r w:rsidR="00114C45" w:rsidRPr="004D0F59">
        <w:rPr>
          <w:bCs/>
        </w:rPr>
        <w:t xml:space="preserve"> finance all expenses </w:t>
      </w:r>
      <w:r w:rsidR="00114C45">
        <w:rPr>
          <w:bCs/>
        </w:rPr>
        <w:t>related to the work of the six commissions</w:t>
      </w:r>
      <w:r w:rsidR="003C1ACC" w:rsidRPr="00E378C2">
        <w:t xml:space="preserve">. </w:t>
      </w:r>
    </w:p>
    <w:p w:rsidR="00EB274D" w:rsidRDefault="00EB274D" w:rsidP="00EB274D">
      <w:pPr>
        <w:pStyle w:val="ListParagraph"/>
        <w:ind w:left="0"/>
        <w:jc w:val="both"/>
        <w:rPr>
          <w:bCs/>
        </w:rPr>
      </w:pPr>
    </w:p>
    <w:p w:rsidR="00114C45" w:rsidRPr="00114C45" w:rsidRDefault="00114C45" w:rsidP="00114C45">
      <w:pPr>
        <w:pStyle w:val="ListParagraph"/>
        <w:ind w:left="0"/>
        <w:jc w:val="center"/>
        <w:rPr>
          <w:b/>
          <w:bCs/>
        </w:rPr>
      </w:pPr>
      <w:r w:rsidRPr="00114C45">
        <w:rPr>
          <w:b/>
          <w:bCs/>
        </w:rPr>
        <w:t>Table</w:t>
      </w:r>
      <w:r>
        <w:rPr>
          <w:b/>
          <w:bCs/>
        </w:rPr>
        <w:t xml:space="preserve"> 2.4</w:t>
      </w:r>
      <w:r w:rsidRPr="00114C45">
        <w:rPr>
          <w:b/>
          <w:bCs/>
        </w:rPr>
        <w:t xml:space="preserve"> Time Table for the Development and Alignment of Curricular Instruments</w:t>
      </w:r>
    </w:p>
    <w:tbl>
      <w:tblPr>
        <w:tblStyle w:val="TableGrid"/>
        <w:tblW w:w="9664" w:type="dxa"/>
        <w:tblLayout w:type="fixed"/>
        <w:tblLook w:val="04A0" w:firstRow="1" w:lastRow="0" w:firstColumn="1" w:lastColumn="0" w:noHBand="0" w:noVBand="1"/>
      </w:tblPr>
      <w:tblGrid>
        <w:gridCol w:w="1278"/>
        <w:gridCol w:w="2340"/>
        <w:gridCol w:w="2356"/>
        <w:gridCol w:w="2700"/>
        <w:gridCol w:w="990"/>
      </w:tblGrid>
      <w:tr w:rsidR="00114C45" w:rsidRPr="00114C45" w:rsidTr="00022BAF">
        <w:tc>
          <w:tcPr>
            <w:tcW w:w="1278" w:type="dxa"/>
          </w:tcPr>
          <w:p w:rsidR="00114C45" w:rsidRPr="00114C45" w:rsidRDefault="00114C45" w:rsidP="006E7708">
            <w:pPr>
              <w:pStyle w:val="ListParagraph"/>
              <w:ind w:left="0"/>
              <w:jc w:val="both"/>
              <w:rPr>
                <w:bCs/>
                <w:lang w:val="es-ES"/>
              </w:rPr>
            </w:pPr>
            <w:r w:rsidRPr="00114C45">
              <w:rPr>
                <w:bCs/>
                <w:lang w:val="pt-BR"/>
              </w:rPr>
              <w:t>July</w:t>
            </w:r>
            <w:r w:rsidR="006E7708">
              <w:rPr>
                <w:bCs/>
                <w:lang w:val="pt-BR"/>
              </w:rPr>
              <w:t xml:space="preserve"> </w:t>
            </w:r>
            <w:r w:rsidRPr="00114C45">
              <w:rPr>
                <w:bCs/>
                <w:lang w:val="pt-BR"/>
              </w:rPr>
              <w:t xml:space="preserve">- </w:t>
            </w:r>
            <w:r w:rsidR="006E7708">
              <w:rPr>
                <w:bCs/>
                <w:lang w:val="pt-BR"/>
              </w:rPr>
              <w:t>October</w:t>
            </w:r>
            <w:r w:rsidRPr="00114C45">
              <w:rPr>
                <w:bCs/>
                <w:lang w:val="pt-BR"/>
              </w:rPr>
              <w:t xml:space="preserve"> 2012</w:t>
            </w:r>
          </w:p>
        </w:tc>
        <w:tc>
          <w:tcPr>
            <w:tcW w:w="2340" w:type="dxa"/>
          </w:tcPr>
          <w:p w:rsidR="00114C45" w:rsidRPr="00114C45" w:rsidRDefault="00114C45" w:rsidP="00114C45">
            <w:pPr>
              <w:pStyle w:val="ListParagraph"/>
              <w:ind w:left="358" w:hanging="360"/>
              <w:rPr>
                <w:bCs/>
                <w:lang w:val="es-ES"/>
              </w:rPr>
            </w:pPr>
            <w:r w:rsidRPr="00114C45">
              <w:rPr>
                <w:bCs/>
                <w:lang w:val="es-ES"/>
              </w:rPr>
              <w:t>1. Unified curriculum</w:t>
            </w:r>
          </w:p>
        </w:tc>
        <w:tc>
          <w:tcPr>
            <w:tcW w:w="2356" w:type="dxa"/>
            <w:vMerge w:val="restart"/>
          </w:tcPr>
          <w:p w:rsidR="00114C45" w:rsidRPr="00114C45" w:rsidRDefault="00114C45" w:rsidP="00114C45">
            <w:pPr>
              <w:pStyle w:val="ListParagraph"/>
              <w:ind w:left="0"/>
              <w:jc w:val="both"/>
              <w:rPr>
                <w:bCs/>
                <w:lang w:val="pt-BR"/>
              </w:rPr>
            </w:pPr>
          </w:p>
          <w:p w:rsidR="00114C45" w:rsidRPr="00114C45" w:rsidRDefault="00114C45" w:rsidP="00114C45">
            <w:pPr>
              <w:pStyle w:val="ListParagraph"/>
              <w:ind w:left="0"/>
              <w:jc w:val="both"/>
              <w:rPr>
                <w:bCs/>
                <w:lang w:val="pt-BR"/>
              </w:rPr>
            </w:pPr>
          </w:p>
          <w:p w:rsidR="00114C45" w:rsidRPr="00114C45" w:rsidRDefault="00114C45" w:rsidP="00114C45">
            <w:pPr>
              <w:pStyle w:val="ListParagraph"/>
              <w:ind w:left="0"/>
              <w:jc w:val="both"/>
              <w:rPr>
                <w:bCs/>
                <w:lang w:val="pt-BR"/>
              </w:rPr>
            </w:pPr>
          </w:p>
          <w:p w:rsidR="00114C45" w:rsidRPr="00114C45" w:rsidRDefault="00114C45" w:rsidP="00114C45">
            <w:pPr>
              <w:pStyle w:val="ListParagraph"/>
              <w:ind w:left="0"/>
              <w:jc w:val="both"/>
              <w:rPr>
                <w:bCs/>
                <w:lang w:val="es-ES"/>
              </w:rPr>
            </w:pPr>
            <w:r w:rsidRPr="00114C45">
              <w:rPr>
                <w:bCs/>
                <w:lang w:val="pt-BR"/>
              </w:rPr>
              <w:t>Team of Experts</w:t>
            </w:r>
          </w:p>
        </w:tc>
        <w:tc>
          <w:tcPr>
            <w:tcW w:w="2700" w:type="dxa"/>
          </w:tcPr>
          <w:p w:rsidR="00114C45" w:rsidRPr="00114C45" w:rsidRDefault="00114C45" w:rsidP="00114C45">
            <w:pPr>
              <w:pStyle w:val="ListParagraph"/>
              <w:ind w:left="-18"/>
              <w:jc w:val="both"/>
              <w:rPr>
                <w:bCs/>
                <w:lang w:val="pt-BR"/>
              </w:rPr>
            </w:pPr>
            <w:r w:rsidRPr="00114C45">
              <w:rPr>
                <w:bCs/>
                <w:lang w:val="pt-BR"/>
              </w:rPr>
              <w:t>International expert</w:t>
            </w:r>
          </w:p>
        </w:tc>
        <w:tc>
          <w:tcPr>
            <w:tcW w:w="990" w:type="dxa"/>
          </w:tcPr>
          <w:p w:rsidR="00114C45" w:rsidRPr="00114C45" w:rsidRDefault="00114C45" w:rsidP="00114C45">
            <w:pPr>
              <w:pStyle w:val="ListParagraph"/>
              <w:ind w:left="0" w:right="314"/>
              <w:jc w:val="right"/>
              <w:rPr>
                <w:bCs/>
                <w:u w:val="single"/>
                <w:lang w:val="pt-BR"/>
              </w:rPr>
            </w:pPr>
            <w:r w:rsidRPr="00114C45">
              <w:rPr>
                <w:bCs/>
                <w:lang w:val="es-ES"/>
              </w:rPr>
              <w:t>1</w:t>
            </w:r>
          </w:p>
        </w:tc>
      </w:tr>
      <w:tr w:rsidR="00114C45" w:rsidRPr="00114C45" w:rsidTr="00022BAF">
        <w:tc>
          <w:tcPr>
            <w:tcW w:w="1278" w:type="dxa"/>
          </w:tcPr>
          <w:p w:rsidR="00114C45" w:rsidRPr="00114C45" w:rsidRDefault="00114C45" w:rsidP="00114C45">
            <w:pPr>
              <w:pStyle w:val="ListParagraph"/>
              <w:ind w:left="0"/>
              <w:rPr>
                <w:bCs/>
                <w:lang w:val="pt-BR"/>
              </w:rPr>
            </w:pPr>
          </w:p>
        </w:tc>
        <w:tc>
          <w:tcPr>
            <w:tcW w:w="2340" w:type="dxa"/>
          </w:tcPr>
          <w:p w:rsidR="00114C45" w:rsidRPr="00114C45" w:rsidRDefault="00114C45" w:rsidP="005E2993">
            <w:pPr>
              <w:pStyle w:val="ListParagraph"/>
              <w:numPr>
                <w:ilvl w:val="0"/>
                <w:numId w:val="32"/>
              </w:numPr>
              <w:rPr>
                <w:bCs/>
                <w:lang w:val="pt-BR"/>
              </w:rPr>
            </w:pPr>
          </w:p>
        </w:tc>
        <w:tc>
          <w:tcPr>
            <w:tcW w:w="2356" w:type="dxa"/>
            <w:vMerge/>
          </w:tcPr>
          <w:p w:rsidR="00114C45" w:rsidRPr="00114C45" w:rsidRDefault="00114C45" w:rsidP="00114C45">
            <w:pPr>
              <w:pStyle w:val="ListParagraph"/>
              <w:ind w:left="0"/>
              <w:jc w:val="both"/>
              <w:rPr>
                <w:bCs/>
                <w:lang w:val="pt-BR"/>
              </w:rPr>
            </w:pPr>
          </w:p>
        </w:tc>
        <w:tc>
          <w:tcPr>
            <w:tcW w:w="2700" w:type="dxa"/>
          </w:tcPr>
          <w:p w:rsidR="00114C45" w:rsidRPr="00114C45" w:rsidRDefault="00114C45" w:rsidP="00114C45">
            <w:pPr>
              <w:pStyle w:val="ListParagraph"/>
              <w:ind w:left="-18"/>
              <w:jc w:val="both"/>
              <w:rPr>
                <w:bCs/>
                <w:lang w:val="pt-BR"/>
              </w:rPr>
            </w:pPr>
            <w:r w:rsidRPr="00114C45">
              <w:rPr>
                <w:bCs/>
                <w:lang w:val="es-ES"/>
              </w:rPr>
              <w:t>National consultant</w:t>
            </w:r>
          </w:p>
        </w:tc>
        <w:tc>
          <w:tcPr>
            <w:tcW w:w="990" w:type="dxa"/>
          </w:tcPr>
          <w:p w:rsidR="00114C45" w:rsidRPr="00114C45" w:rsidRDefault="00114C45" w:rsidP="00114C45">
            <w:pPr>
              <w:pStyle w:val="ListParagraph"/>
              <w:ind w:left="0" w:right="314"/>
              <w:jc w:val="right"/>
              <w:rPr>
                <w:bCs/>
                <w:u w:val="single"/>
                <w:lang w:val="pt-BR"/>
              </w:rPr>
            </w:pPr>
            <w:r w:rsidRPr="00114C45">
              <w:rPr>
                <w:bCs/>
                <w:lang w:val="pt-BR"/>
              </w:rPr>
              <w:t>1</w:t>
            </w:r>
          </w:p>
        </w:tc>
      </w:tr>
      <w:tr w:rsidR="00114C45" w:rsidRPr="00114C45" w:rsidTr="00022BAF">
        <w:tc>
          <w:tcPr>
            <w:tcW w:w="1278" w:type="dxa"/>
            <w:vMerge w:val="restart"/>
          </w:tcPr>
          <w:p w:rsidR="00114C45" w:rsidRPr="00114C45" w:rsidRDefault="00114C45" w:rsidP="00114C45">
            <w:pPr>
              <w:pStyle w:val="ListParagraph"/>
              <w:ind w:left="0"/>
              <w:jc w:val="both"/>
              <w:rPr>
                <w:bCs/>
                <w:lang w:val="pt-BR"/>
              </w:rPr>
            </w:pPr>
            <w:r w:rsidRPr="00114C45">
              <w:rPr>
                <w:bCs/>
                <w:lang w:val="es-ES"/>
              </w:rPr>
              <w:t>July- December 2012</w:t>
            </w:r>
          </w:p>
        </w:tc>
        <w:tc>
          <w:tcPr>
            <w:tcW w:w="2340" w:type="dxa"/>
            <w:vMerge w:val="restart"/>
          </w:tcPr>
          <w:p w:rsidR="00114C45" w:rsidRPr="00114C45" w:rsidRDefault="00114C45" w:rsidP="005E2993">
            <w:pPr>
              <w:pStyle w:val="ListParagraph"/>
              <w:numPr>
                <w:ilvl w:val="0"/>
                <w:numId w:val="26"/>
              </w:numPr>
              <w:rPr>
                <w:bCs/>
                <w:lang w:val="pt-BR"/>
              </w:rPr>
            </w:pPr>
            <w:r w:rsidRPr="00114C45">
              <w:rPr>
                <w:bCs/>
                <w:lang w:val="pt-BR"/>
              </w:rPr>
              <w:t>Classroom instruments</w:t>
            </w:r>
          </w:p>
        </w:tc>
        <w:tc>
          <w:tcPr>
            <w:tcW w:w="2356" w:type="dxa"/>
            <w:vMerge/>
          </w:tcPr>
          <w:p w:rsidR="00114C45" w:rsidRPr="00114C45" w:rsidRDefault="00114C45" w:rsidP="00114C45">
            <w:pPr>
              <w:pStyle w:val="ListParagraph"/>
              <w:ind w:left="0"/>
              <w:jc w:val="both"/>
              <w:rPr>
                <w:bCs/>
                <w:lang w:val="pt-BR"/>
              </w:rPr>
            </w:pPr>
          </w:p>
        </w:tc>
        <w:tc>
          <w:tcPr>
            <w:tcW w:w="2700" w:type="dxa"/>
          </w:tcPr>
          <w:p w:rsidR="00114C45" w:rsidRPr="00114C45" w:rsidRDefault="00114C45" w:rsidP="00114C45">
            <w:pPr>
              <w:pStyle w:val="ListParagraph"/>
              <w:ind w:left="-18"/>
              <w:jc w:val="both"/>
              <w:rPr>
                <w:bCs/>
                <w:lang w:val="es-EC"/>
              </w:rPr>
            </w:pPr>
            <w:r w:rsidRPr="00114C45">
              <w:rPr>
                <w:bCs/>
                <w:lang w:val="es-EC"/>
              </w:rPr>
              <w:t xml:space="preserve">MINED Inter-directorat commission  </w:t>
            </w:r>
          </w:p>
        </w:tc>
        <w:tc>
          <w:tcPr>
            <w:tcW w:w="990" w:type="dxa"/>
          </w:tcPr>
          <w:p w:rsidR="00114C45" w:rsidRPr="00114C45" w:rsidRDefault="00114C45" w:rsidP="00114C45">
            <w:pPr>
              <w:pStyle w:val="ListParagraph"/>
              <w:ind w:left="0" w:right="314"/>
              <w:jc w:val="right"/>
              <w:rPr>
                <w:bCs/>
                <w:lang w:val="es-EC"/>
              </w:rPr>
            </w:pPr>
            <w:r w:rsidRPr="00114C45">
              <w:rPr>
                <w:bCs/>
                <w:lang w:val="es-EC"/>
              </w:rPr>
              <w:t>4</w:t>
            </w:r>
          </w:p>
        </w:tc>
      </w:tr>
      <w:tr w:rsidR="00114C45" w:rsidRPr="00114C45" w:rsidTr="00022BAF">
        <w:tc>
          <w:tcPr>
            <w:tcW w:w="1278" w:type="dxa"/>
            <w:vMerge/>
          </w:tcPr>
          <w:p w:rsidR="00114C45" w:rsidRPr="00114C45" w:rsidRDefault="00114C45" w:rsidP="00114C45">
            <w:pPr>
              <w:pStyle w:val="ListParagraph"/>
              <w:ind w:left="0"/>
              <w:rPr>
                <w:bCs/>
                <w:lang w:val="es-EC"/>
              </w:rPr>
            </w:pPr>
          </w:p>
        </w:tc>
        <w:tc>
          <w:tcPr>
            <w:tcW w:w="2340" w:type="dxa"/>
            <w:vMerge/>
          </w:tcPr>
          <w:p w:rsidR="00114C45" w:rsidRPr="00114C45" w:rsidRDefault="00114C45" w:rsidP="00114C45">
            <w:pPr>
              <w:pStyle w:val="ListParagraph"/>
              <w:ind w:left="0"/>
              <w:rPr>
                <w:bCs/>
                <w:lang w:val="es-EC"/>
              </w:rPr>
            </w:pPr>
          </w:p>
        </w:tc>
        <w:tc>
          <w:tcPr>
            <w:tcW w:w="2356" w:type="dxa"/>
            <w:vMerge/>
          </w:tcPr>
          <w:p w:rsidR="00114C45" w:rsidRPr="00114C45" w:rsidRDefault="00114C45" w:rsidP="00114C45">
            <w:pPr>
              <w:pStyle w:val="ListParagraph"/>
              <w:ind w:left="0"/>
              <w:jc w:val="both"/>
              <w:rPr>
                <w:bCs/>
                <w:lang w:val="es-EC"/>
              </w:rPr>
            </w:pPr>
          </w:p>
        </w:tc>
        <w:tc>
          <w:tcPr>
            <w:tcW w:w="2700" w:type="dxa"/>
          </w:tcPr>
          <w:p w:rsidR="00114C45" w:rsidRPr="00114C45" w:rsidRDefault="00114C45" w:rsidP="00114C45">
            <w:pPr>
              <w:pStyle w:val="ListParagraph"/>
              <w:ind w:left="-18"/>
              <w:jc w:val="both"/>
              <w:rPr>
                <w:bCs/>
                <w:lang w:val="pt-BR"/>
              </w:rPr>
            </w:pPr>
            <w:r w:rsidRPr="00114C45">
              <w:rPr>
                <w:bCs/>
                <w:lang w:val="pt-BR"/>
              </w:rPr>
              <w:t>Preschool teachers</w:t>
            </w:r>
          </w:p>
        </w:tc>
        <w:tc>
          <w:tcPr>
            <w:tcW w:w="990" w:type="dxa"/>
          </w:tcPr>
          <w:p w:rsidR="00114C45" w:rsidRPr="00114C45" w:rsidRDefault="00114C45" w:rsidP="005E2993">
            <w:pPr>
              <w:pStyle w:val="ListParagraph"/>
              <w:numPr>
                <w:ilvl w:val="0"/>
                <w:numId w:val="33"/>
              </w:numPr>
              <w:ind w:left="0" w:right="314"/>
              <w:jc w:val="right"/>
              <w:rPr>
                <w:bCs/>
                <w:lang w:val="pt-BR"/>
              </w:rPr>
            </w:pPr>
            <w:r w:rsidRPr="00114C45">
              <w:rPr>
                <w:bCs/>
                <w:lang w:val="pt-BR"/>
              </w:rPr>
              <w:t>10</w:t>
            </w:r>
          </w:p>
        </w:tc>
      </w:tr>
      <w:tr w:rsidR="00114C45" w:rsidRPr="00114C45" w:rsidTr="00022BAF">
        <w:tc>
          <w:tcPr>
            <w:tcW w:w="1278" w:type="dxa"/>
            <w:vMerge/>
          </w:tcPr>
          <w:p w:rsidR="00114C45" w:rsidRPr="00114C45" w:rsidRDefault="00114C45" w:rsidP="005E2993">
            <w:pPr>
              <w:pStyle w:val="ListParagraph"/>
              <w:numPr>
                <w:ilvl w:val="0"/>
                <w:numId w:val="32"/>
              </w:numPr>
              <w:rPr>
                <w:bCs/>
                <w:lang w:val="pt-BR"/>
              </w:rPr>
            </w:pPr>
          </w:p>
        </w:tc>
        <w:tc>
          <w:tcPr>
            <w:tcW w:w="2340" w:type="dxa"/>
          </w:tcPr>
          <w:p w:rsidR="00114C45" w:rsidRPr="00114C45" w:rsidRDefault="00114C45" w:rsidP="005E2993">
            <w:pPr>
              <w:pStyle w:val="ListParagraph"/>
              <w:numPr>
                <w:ilvl w:val="0"/>
                <w:numId w:val="32"/>
              </w:numPr>
              <w:rPr>
                <w:bCs/>
                <w:lang w:val="pt-BR"/>
              </w:rPr>
            </w:pPr>
          </w:p>
        </w:tc>
        <w:tc>
          <w:tcPr>
            <w:tcW w:w="2356" w:type="dxa"/>
          </w:tcPr>
          <w:p w:rsidR="00114C45" w:rsidRPr="00114C45" w:rsidRDefault="00114C45" w:rsidP="00114C45">
            <w:pPr>
              <w:pStyle w:val="ListParagraph"/>
              <w:ind w:left="0"/>
              <w:jc w:val="both"/>
              <w:rPr>
                <w:bCs/>
                <w:lang w:val="pt-BR"/>
              </w:rPr>
            </w:pPr>
          </w:p>
        </w:tc>
        <w:tc>
          <w:tcPr>
            <w:tcW w:w="2700" w:type="dxa"/>
          </w:tcPr>
          <w:p w:rsidR="00114C45" w:rsidRPr="00114C45" w:rsidRDefault="00114C45" w:rsidP="00114C45">
            <w:pPr>
              <w:pStyle w:val="ListParagraph"/>
              <w:ind w:left="-18"/>
              <w:jc w:val="both"/>
              <w:rPr>
                <w:bCs/>
                <w:u w:val="single"/>
                <w:lang w:val="pt-BR"/>
              </w:rPr>
            </w:pPr>
          </w:p>
        </w:tc>
        <w:tc>
          <w:tcPr>
            <w:tcW w:w="990" w:type="dxa"/>
          </w:tcPr>
          <w:p w:rsidR="00114C45" w:rsidRPr="00114C45" w:rsidRDefault="00114C45" w:rsidP="00114C45">
            <w:pPr>
              <w:pStyle w:val="ListParagraph"/>
              <w:ind w:left="0" w:right="314"/>
              <w:jc w:val="right"/>
              <w:rPr>
                <w:bCs/>
                <w:u w:val="single"/>
                <w:lang w:val="pt-BR"/>
              </w:rPr>
            </w:pPr>
          </w:p>
        </w:tc>
      </w:tr>
      <w:tr w:rsidR="00114C45" w:rsidRPr="00114C45" w:rsidTr="00022BAF">
        <w:tc>
          <w:tcPr>
            <w:tcW w:w="1278" w:type="dxa"/>
            <w:vMerge/>
          </w:tcPr>
          <w:p w:rsidR="00114C45" w:rsidRPr="00114C45" w:rsidRDefault="00114C45" w:rsidP="00114C45">
            <w:pPr>
              <w:pStyle w:val="ListParagraph"/>
              <w:ind w:left="0"/>
              <w:jc w:val="both"/>
              <w:rPr>
                <w:bCs/>
                <w:lang w:val="es-ES"/>
              </w:rPr>
            </w:pPr>
          </w:p>
        </w:tc>
        <w:tc>
          <w:tcPr>
            <w:tcW w:w="2340" w:type="dxa"/>
            <w:vMerge w:val="restart"/>
          </w:tcPr>
          <w:p w:rsidR="00114C45" w:rsidRPr="00114C45" w:rsidRDefault="00F65BCC" w:rsidP="005E2993">
            <w:pPr>
              <w:pStyle w:val="ListParagraph"/>
              <w:numPr>
                <w:ilvl w:val="0"/>
                <w:numId w:val="26"/>
              </w:numPr>
              <w:jc w:val="both"/>
              <w:rPr>
                <w:bCs/>
                <w:lang w:val="es-ES"/>
              </w:rPr>
            </w:pPr>
            <w:r>
              <w:rPr>
                <w:bCs/>
                <w:lang w:val="es-ES"/>
              </w:rPr>
              <w:t>Preschool Teacher Training C</w:t>
            </w:r>
            <w:r w:rsidR="00114C45" w:rsidRPr="00114C45">
              <w:rPr>
                <w:bCs/>
                <w:lang w:val="es-ES"/>
              </w:rPr>
              <w:t>urriculum</w:t>
            </w:r>
          </w:p>
        </w:tc>
        <w:tc>
          <w:tcPr>
            <w:tcW w:w="2356" w:type="dxa"/>
            <w:vMerge w:val="restart"/>
          </w:tcPr>
          <w:p w:rsidR="00114C45" w:rsidRPr="00114C45" w:rsidRDefault="00114C45" w:rsidP="00022BAF">
            <w:pPr>
              <w:pStyle w:val="ListParagraph"/>
              <w:ind w:left="0"/>
              <w:rPr>
                <w:bCs/>
                <w:lang w:val="es-ES"/>
              </w:rPr>
            </w:pPr>
            <w:r w:rsidRPr="00114C45">
              <w:rPr>
                <w:bCs/>
              </w:rPr>
              <w:t>Six teacher curricular commissions</w:t>
            </w:r>
          </w:p>
        </w:tc>
        <w:tc>
          <w:tcPr>
            <w:tcW w:w="2700" w:type="dxa"/>
          </w:tcPr>
          <w:p w:rsidR="00114C45" w:rsidRPr="00114C45" w:rsidRDefault="00114C45" w:rsidP="00114C45">
            <w:pPr>
              <w:pStyle w:val="ListParagraph"/>
              <w:ind w:left="-18"/>
              <w:jc w:val="both"/>
              <w:rPr>
                <w:bCs/>
                <w:u w:val="single"/>
                <w:lang w:val="es-ES"/>
              </w:rPr>
            </w:pPr>
            <w:r w:rsidRPr="00114C45">
              <w:rPr>
                <w:bCs/>
                <w:lang w:val="es-ES"/>
              </w:rPr>
              <w:t>International expert</w:t>
            </w:r>
          </w:p>
        </w:tc>
        <w:tc>
          <w:tcPr>
            <w:tcW w:w="990" w:type="dxa"/>
          </w:tcPr>
          <w:p w:rsidR="00114C45" w:rsidRPr="00114C45" w:rsidRDefault="00114C45" w:rsidP="00114C45">
            <w:pPr>
              <w:pStyle w:val="ListParagraph"/>
              <w:ind w:left="0" w:right="314"/>
              <w:jc w:val="right"/>
              <w:rPr>
                <w:bCs/>
                <w:lang w:val="es-ES"/>
              </w:rPr>
            </w:pPr>
            <w:r w:rsidRPr="00114C45">
              <w:rPr>
                <w:bCs/>
                <w:lang w:val="es-ES"/>
              </w:rPr>
              <w:t>1</w:t>
            </w:r>
          </w:p>
        </w:tc>
      </w:tr>
      <w:tr w:rsidR="00114C45" w:rsidRPr="00114C45" w:rsidTr="00022BAF">
        <w:tc>
          <w:tcPr>
            <w:tcW w:w="1278" w:type="dxa"/>
            <w:vMerge/>
          </w:tcPr>
          <w:p w:rsidR="00114C45" w:rsidRPr="00114C45" w:rsidRDefault="00114C45" w:rsidP="00114C45">
            <w:pPr>
              <w:pStyle w:val="ListParagraph"/>
              <w:rPr>
                <w:bCs/>
                <w:lang w:val="es-ES"/>
              </w:rPr>
            </w:pPr>
          </w:p>
        </w:tc>
        <w:tc>
          <w:tcPr>
            <w:tcW w:w="2340" w:type="dxa"/>
            <w:vMerge/>
          </w:tcPr>
          <w:p w:rsidR="00114C45" w:rsidRPr="00114C45" w:rsidRDefault="00114C45" w:rsidP="00114C45">
            <w:pPr>
              <w:pStyle w:val="ListParagraph"/>
              <w:rPr>
                <w:bCs/>
                <w:lang w:val="es-ES"/>
              </w:rPr>
            </w:pPr>
          </w:p>
        </w:tc>
        <w:tc>
          <w:tcPr>
            <w:tcW w:w="2356" w:type="dxa"/>
            <w:vMerge/>
          </w:tcPr>
          <w:p w:rsidR="00114C45" w:rsidRPr="00114C45" w:rsidRDefault="00114C45" w:rsidP="00114C45">
            <w:pPr>
              <w:pStyle w:val="ListParagraph"/>
              <w:rPr>
                <w:bCs/>
                <w:lang w:val="es-ES"/>
              </w:rPr>
            </w:pPr>
          </w:p>
        </w:tc>
        <w:tc>
          <w:tcPr>
            <w:tcW w:w="2700" w:type="dxa"/>
          </w:tcPr>
          <w:p w:rsidR="00114C45" w:rsidRPr="00114C45" w:rsidRDefault="00114C45" w:rsidP="00114C45">
            <w:pPr>
              <w:pStyle w:val="ListParagraph"/>
              <w:ind w:left="-18"/>
              <w:jc w:val="both"/>
              <w:rPr>
                <w:bCs/>
                <w:lang w:val="es-ES"/>
              </w:rPr>
            </w:pPr>
            <w:r w:rsidRPr="00114C45">
              <w:rPr>
                <w:bCs/>
                <w:lang w:val="es-ES"/>
              </w:rPr>
              <w:t>National consultants</w:t>
            </w:r>
          </w:p>
        </w:tc>
        <w:tc>
          <w:tcPr>
            <w:tcW w:w="990" w:type="dxa"/>
          </w:tcPr>
          <w:p w:rsidR="00114C45" w:rsidRPr="00114C45" w:rsidRDefault="00114C45" w:rsidP="00114C45">
            <w:pPr>
              <w:pStyle w:val="ListParagraph"/>
              <w:ind w:left="0" w:right="314"/>
              <w:jc w:val="right"/>
              <w:rPr>
                <w:bCs/>
                <w:lang w:val="es-ES"/>
              </w:rPr>
            </w:pPr>
            <w:r w:rsidRPr="00114C45">
              <w:rPr>
                <w:bCs/>
                <w:lang w:val="es-ES"/>
              </w:rPr>
              <w:t>3</w:t>
            </w:r>
          </w:p>
        </w:tc>
      </w:tr>
      <w:tr w:rsidR="00114C45" w:rsidRPr="00114C45" w:rsidTr="00022BAF">
        <w:tc>
          <w:tcPr>
            <w:tcW w:w="1278" w:type="dxa"/>
            <w:vMerge/>
          </w:tcPr>
          <w:p w:rsidR="00114C45" w:rsidRPr="00114C45" w:rsidRDefault="00114C45" w:rsidP="00114C45">
            <w:pPr>
              <w:pStyle w:val="ListParagraph"/>
              <w:rPr>
                <w:bCs/>
                <w:lang w:val="es-ES"/>
              </w:rPr>
            </w:pPr>
          </w:p>
        </w:tc>
        <w:tc>
          <w:tcPr>
            <w:tcW w:w="2340" w:type="dxa"/>
            <w:vMerge/>
          </w:tcPr>
          <w:p w:rsidR="00114C45" w:rsidRPr="00114C45" w:rsidRDefault="00114C45" w:rsidP="00114C45">
            <w:pPr>
              <w:pStyle w:val="ListParagraph"/>
              <w:rPr>
                <w:bCs/>
                <w:lang w:val="es-ES"/>
              </w:rPr>
            </w:pPr>
          </w:p>
        </w:tc>
        <w:tc>
          <w:tcPr>
            <w:tcW w:w="2356" w:type="dxa"/>
            <w:vMerge/>
          </w:tcPr>
          <w:p w:rsidR="00114C45" w:rsidRPr="00114C45" w:rsidRDefault="00114C45" w:rsidP="00114C45">
            <w:pPr>
              <w:pStyle w:val="ListParagraph"/>
              <w:rPr>
                <w:bCs/>
                <w:lang w:val="es-ES"/>
              </w:rPr>
            </w:pPr>
          </w:p>
        </w:tc>
        <w:tc>
          <w:tcPr>
            <w:tcW w:w="2700" w:type="dxa"/>
          </w:tcPr>
          <w:p w:rsidR="00114C45" w:rsidRPr="00114C45" w:rsidRDefault="00114C45" w:rsidP="00114C45">
            <w:pPr>
              <w:pStyle w:val="ListParagraph"/>
              <w:ind w:left="-18"/>
              <w:jc w:val="both"/>
              <w:rPr>
                <w:bCs/>
                <w:u w:val="single"/>
                <w:lang w:val="es-ES"/>
              </w:rPr>
            </w:pPr>
            <w:r w:rsidRPr="00114C45">
              <w:rPr>
                <w:bCs/>
                <w:lang w:val="es-ES"/>
              </w:rPr>
              <w:t xml:space="preserve">MINED HQ reps. </w:t>
            </w:r>
          </w:p>
        </w:tc>
        <w:tc>
          <w:tcPr>
            <w:tcW w:w="990" w:type="dxa"/>
          </w:tcPr>
          <w:p w:rsidR="00114C45" w:rsidRPr="00114C45" w:rsidRDefault="00114C45" w:rsidP="00114C45">
            <w:pPr>
              <w:pStyle w:val="ListParagraph"/>
              <w:ind w:left="0" w:right="314"/>
              <w:jc w:val="right"/>
              <w:rPr>
                <w:bCs/>
                <w:lang w:val="es-ES"/>
              </w:rPr>
            </w:pPr>
            <w:r w:rsidRPr="00114C45">
              <w:rPr>
                <w:bCs/>
                <w:lang w:val="es-ES"/>
              </w:rPr>
              <w:t>2</w:t>
            </w:r>
          </w:p>
        </w:tc>
      </w:tr>
      <w:tr w:rsidR="00114C45" w:rsidRPr="00114C45" w:rsidTr="00022BAF">
        <w:tc>
          <w:tcPr>
            <w:tcW w:w="1278" w:type="dxa"/>
            <w:vMerge/>
          </w:tcPr>
          <w:p w:rsidR="00114C45" w:rsidRPr="00114C45" w:rsidRDefault="00114C45" w:rsidP="00114C45">
            <w:pPr>
              <w:pStyle w:val="ListParagraph"/>
              <w:rPr>
                <w:bCs/>
                <w:lang w:val="es-ES"/>
              </w:rPr>
            </w:pPr>
          </w:p>
        </w:tc>
        <w:tc>
          <w:tcPr>
            <w:tcW w:w="2340" w:type="dxa"/>
            <w:vMerge/>
          </w:tcPr>
          <w:p w:rsidR="00114C45" w:rsidRPr="00114C45" w:rsidRDefault="00114C45" w:rsidP="00114C45">
            <w:pPr>
              <w:pStyle w:val="ListParagraph"/>
              <w:rPr>
                <w:bCs/>
                <w:lang w:val="es-ES"/>
              </w:rPr>
            </w:pPr>
          </w:p>
        </w:tc>
        <w:tc>
          <w:tcPr>
            <w:tcW w:w="2356" w:type="dxa"/>
            <w:vMerge/>
          </w:tcPr>
          <w:p w:rsidR="00114C45" w:rsidRPr="00114C45" w:rsidRDefault="00114C45" w:rsidP="00114C45">
            <w:pPr>
              <w:pStyle w:val="ListParagraph"/>
              <w:rPr>
                <w:bCs/>
                <w:lang w:val="es-ES"/>
              </w:rPr>
            </w:pPr>
          </w:p>
        </w:tc>
        <w:tc>
          <w:tcPr>
            <w:tcW w:w="2700" w:type="dxa"/>
          </w:tcPr>
          <w:p w:rsidR="00114C45" w:rsidRPr="00114C45" w:rsidRDefault="00114C45" w:rsidP="00114C45">
            <w:pPr>
              <w:pStyle w:val="ListParagraph"/>
              <w:ind w:left="-18"/>
              <w:jc w:val="both"/>
              <w:rPr>
                <w:bCs/>
                <w:u w:val="single"/>
                <w:lang w:val="es-ES"/>
              </w:rPr>
            </w:pPr>
            <w:r w:rsidRPr="00114C45">
              <w:rPr>
                <w:bCs/>
                <w:lang w:val="es-ES"/>
              </w:rPr>
              <w:t>TTI teachers (3 per commission)</w:t>
            </w:r>
          </w:p>
        </w:tc>
        <w:tc>
          <w:tcPr>
            <w:tcW w:w="990" w:type="dxa"/>
          </w:tcPr>
          <w:p w:rsidR="00114C45" w:rsidRPr="00114C45" w:rsidRDefault="00114C45" w:rsidP="00114C45">
            <w:pPr>
              <w:pStyle w:val="ListParagraph"/>
              <w:ind w:left="0" w:right="314"/>
              <w:jc w:val="right"/>
              <w:rPr>
                <w:bCs/>
                <w:lang w:val="es-ES"/>
              </w:rPr>
            </w:pPr>
            <w:r w:rsidRPr="00114C45">
              <w:rPr>
                <w:bCs/>
                <w:lang w:val="es-ES"/>
              </w:rPr>
              <w:t>18</w:t>
            </w:r>
          </w:p>
        </w:tc>
      </w:tr>
    </w:tbl>
    <w:p w:rsidR="00114C45" w:rsidRPr="00114C45" w:rsidRDefault="00114C45" w:rsidP="00114C45">
      <w:pPr>
        <w:pStyle w:val="ListParagraph"/>
        <w:rPr>
          <w:bCs/>
          <w:lang w:val="es-NI"/>
        </w:rPr>
      </w:pPr>
    </w:p>
    <w:p w:rsidR="00A9553A" w:rsidRDefault="00A9553A" w:rsidP="008F3FE7">
      <w:pPr>
        <w:pStyle w:val="ListParagraph"/>
        <w:tabs>
          <w:tab w:val="left" w:pos="720"/>
        </w:tabs>
        <w:ind w:left="0"/>
        <w:jc w:val="both"/>
        <w:rPr>
          <w:bCs/>
        </w:rPr>
      </w:pPr>
    </w:p>
    <w:p w:rsidR="009B7EE3" w:rsidRDefault="009B7EE3" w:rsidP="008F3FE7">
      <w:pPr>
        <w:pStyle w:val="ListParagraph"/>
        <w:tabs>
          <w:tab w:val="left" w:pos="720"/>
        </w:tabs>
        <w:ind w:left="0"/>
        <w:jc w:val="both"/>
        <w:rPr>
          <w:bCs/>
        </w:rPr>
      </w:pPr>
    </w:p>
    <w:p w:rsidR="004020EA" w:rsidRDefault="004020EA" w:rsidP="008F3FE7">
      <w:pPr>
        <w:pStyle w:val="ListParagraph"/>
        <w:tabs>
          <w:tab w:val="left" w:pos="720"/>
        </w:tabs>
        <w:ind w:left="0"/>
        <w:jc w:val="both"/>
        <w:rPr>
          <w:bCs/>
        </w:rPr>
      </w:pPr>
    </w:p>
    <w:p w:rsidR="00EB274D" w:rsidRPr="008F3FE7" w:rsidRDefault="00295C05" w:rsidP="009B7EE3">
      <w:pPr>
        <w:pStyle w:val="ListParagraph"/>
        <w:ind w:left="0" w:firstLine="720"/>
        <w:jc w:val="both"/>
        <w:rPr>
          <w:bCs/>
        </w:rPr>
      </w:pPr>
      <w:r>
        <w:rPr>
          <w:bCs/>
        </w:rPr>
        <w:lastRenderedPageBreak/>
        <w:t xml:space="preserve">1.3 </w:t>
      </w:r>
      <w:r>
        <w:rPr>
          <w:bCs/>
        </w:rPr>
        <w:tab/>
      </w:r>
      <w:r w:rsidR="00EB274D" w:rsidRPr="008F3FE7">
        <w:rPr>
          <w:bCs/>
        </w:rPr>
        <w:t xml:space="preserve">Training of </w:t>
      </w:r>
      <w:r w:rsidR="00F75747" w:rsidRPr="008F3FE7">
        <w:rPr>
          <w:bCs/>
        </w:rPr>
        <w:t>Preschool</w:t>
      </w:r>
      <w:r w:rsidR="00182557" w:rsidRPr="008F3FE7">
        <w:rPr>
          <w:bCs/>
        </w:rPr>
        <w:t xml:space="preserve"> Teachers (US$3.7</w:t>
      </w:r>
      <w:r w:rsidR="00EB274D" w:rsidRPr="008F3FE7">
        <w:rPr>
          <w:bCs/>
        </w:rPr>
        <w:t xml:space="preserve"> million)</w:t>
      </w:r>
    </w:p>
    <w:p w:rsidR="003A1B4F" w:rsidRPr="00A85C2D" w:rsidRDefault="003A1B4F" w:rsidP="0040253F">
      <w:pPr>
        <w:jc w:val="both"/>
        <w:rPr>
          <w:bCs/>
        </w:rPr>
      </w:pPr>
    </w:p>
    <w:p w:rsidR="0091330F" w:rsidRDefault="0034028B" w:rsidP="005E2993">
      <w:pPr>
        <w:pStyle w:val="ListParagraph"/>
        <w:numPr>
          <w:ilvl w:val="0"/>
          <w:numId w:val="23"/>
        </w:numPr>
        <w:ind w:left="0" w:firstLine="0"/>
        <w:jc w:val="both"/>
      </w:pPr>
      <w:r w:rsidRPr="00982630">
        <w:rPr>
          <w:bCs/>
        </w:rPr>
        <w:t>This sub-component</w:t>
      </w:r>
      <w:r w:rsidR="004559D0" w:rsidRPr="004559D0">
        <w:rPr>
          <w:bCs/>
        </w:rPr>
        <w:t xml:space="preserve"> </w:t>
      </w:r>
      <w:r w:rsidR="004559D0" w:rsidRPr="00982630">
        <w:rPr>
          <w:bCs/>
        </w:rPr>
        <w:t xml:space="preserve">would support </w:t>
      </w:r>
      <w:r w:rsidR="004559D0">
        <w:rPr>
          <w:bCs/>
        </w:rPr>
        <w:t>c</w:t>
      </w:r>
      <w:r w:rsidR="004559D0" w:rsidRPr="00982630">
        <w:rPr>
          <w:bCs/>
        </w:rPr>
        <w:t xml:space="preserve">arrying out of training activities for </w:t>
      </w:r>
      <w:r w:rsidR="004559D0">
        <w:rPr>
          <w:bCs/>
        </w:rPr>
        <w:t>selected</w:t>
      </w:r>
      <w:r w:rsidR="004559D0" w:rsidRPr="00982630">
        <w:rPr>
          <w:bCs/>
        </w:rPr>
        <w:t xml:space="preserve"> </w:t>
      </w:r>
      <w:r w:rsidR="004559D0">
        <w:rPr>
          <w:bCs/>
        </w:rPr>
        <w:t>preschool education t</w:t>
      </w:r>
      <w:r w:rsidR="004559D0" w:rsidRPr="00982630">
        <w:rPr>
          <w:bCs/>
        </w:rPr>
        <w:t xml:space="preserve">eachers, including, </w:t>
      </w:r>
      <w:r w:rsidR="004559D0" w:rsidRPr="00982630">
        <w:rPr>
          <w:bCs/>
          <w:i/>
        </w:rPr>
        <w:t xml:space="preserve">inter alia:  </w:t>
      </w:r>
      <w:r w:rsidR="004559D0" w:rsidRPr="00982630">
        <w:rPr>
          <w:bCs/>
        </w:rPr>
        <w:t>(i)</w:t>
      </w:r>
      <w:r w:rsidR="004559D0" w:rsidRPr="00982630">
        <w:rPr>
          <w:bCs/>
          <w:i/>
        </w:rPr>
        <w:t xml:space="preserve"> </w:t>
      </w:r>
      <w:r w:rsidR="004559D0" w:rsidRPr="00982630">
        <w:rPr>
          <w:bCs/>
        </w:rPr>
        <w:t xml:space="preserve">certification-based training activities; (ii) </w:t>
      </w:r>
      <w:r w:rsidR="004559D0">
        <w:rPr>
          <w:bCs/>
        </w:rPr>
        <w:t xml:space="preserve">an </w:t>
      </w:r>
      <w:r w:rsidR="004559D0" w:rsidRPr="00982630">
        <w:rPr>
          <w:bCs/>
        </w:rPr>
        <w:t>in-service training program, including workshops, demonstr</w:t>
      </w:r>
      <w:r w:rsidR="004559D0">
        <w:rPr>
          <w:bCs/>
        </w:rPr>
        <w:t xml:space="preserve">ation classrooms and </w:t>
      </w:r>
      <w:r w:rsidR="004559D0" w:rsidRPr="00982630">
        <w:rPr>
          <w:bCs/>
        </w:rPr>
        <w:t>intra-school teacher exchanges (</w:t>
      </w:r>
      <w:r w:rsidR="004559D0" w:rsidRPr="00982630">
        <w:rPr>
          <w:bCs/>
          <w:i/>
        </w:rPr>
        <w:t>círculos pedagógicos</w:t>
      </w:r>
      <w:r w:rsidR="004559D0" w:rsidRPr="00982630">
        <w:rPr>
          <w:bCs/>
        </w:rPr>
        <w:t xml:space="preserve">); (iii) the provision </w:t>
      </w:r>
      <w:r w:rsidR="004559D0" w:rsidRPr="00982630">
        <w:rPr>
          <w:bCs/>
          <w:lang w:val="en-GB"/>
        </w:rPr>
        <w:t>of training materials and supplies to the Ministry of Education’s monthly teachers’ workshops or TEPCEs (</w:t>
      </w:r>
      <w:r w:rsidR="004559D0" w:rsidRPr="00982630">
        <w:rPr>
          <w:bCs/>
          <w:i/>
          <w:u w:val="single"/>
          <w:lang w:val="en-GB"/>
        </w:rPr>
        <w:t>talleres de evaluación, programación y capacitación educativa</w:t>
      </w:r>
      <w:r w:rsidR="004559D0">
        <w:rPr>
          <w:bCs/>
          <w:lang w:val="en-GB"/>
        </w:rPr>
        <w:t>)</w:t>
      </w:r>
      <w:r w:rsidR="0091330F">
        <w:rPr>
          <w:bCs/>
        </w:rPr>
        <w:t>.</w:t>
      </w:r>
    </w:p>
    <w:p w:rsidR="0091330F" w:rsidRDefault="0091330F" w:rsidP="0091330F">
      <w:pPr>
        <w:pStyle w:val="ListParagraph"/>
        <w:ind w:left="0"/>
        <w:jc w:val="both"/>
      </w:pPr>
    </w:p>
    <w:p w:rsidR="0091330F" w:rsidRPr="00725863" w:rsidRDefault="0091330F" w:rsidP="0091330F">
      <w:pPr>
        <w:pStyle w:val="ListParagraph"/>
        <w:ind w:left="0"/>
        <w:jc w:val="both"/>
        <w:rPr>
          <w:u w:val="single"/>
        </w:rPr>
      </w:pPr>
      <w:r>
        <w:rPr>
          <w:u w:val="single"/>
        </w:rPr>
        <w:t>Training of the Preschool National Training Team</w:t>
      </w:r>
      <w:r w:rsidRPr="00D90131">
        <w:rPr>
          <w:u w:val="single"/>
        </w:rPr>
        <w:t xml:space="preserve"> </w:t>
      </w:r>
    </w:p>
    <w:p w:rsidR="004111A5" w:rsidRPr="004111A5" w:rsidRDefault="0091330F" w:rsidP="005E2993">
      <w:pPr>
        <w:pStyle w:val="ListParagraph"/>
        <w:numPr>
          <w:ilvl w:val="0"/>
          <w:numId w:val="23"/>
        </w:numPr>
        <w:ind w:left="0" w:firstLine="0"/>
        <w:jc w:val="both"/>
      </w:pPr>
      <w:r w:rsidRPr="000A5AE1">
        <w:rPr>
          <w:bCs/>
        </w:rPr>
        <w:t xml:space="preserve">To </w:t>
      </w:r>
      <w:r>
        <w:rPr>
          <w:bCs/>
        </w:rPr>
        <w:t xml:space="preserve">carry out the preschool teacher professional development activities to be financed by the Project, the General Directorate of Teacher Training (GDTT) and the GDPE </w:t>
      </w:r>
      <w:r w:rsidRPr="000A5AE1">
        <w:rPr>
          <w:bCs/>
        </w:rPr>
        <w:t>would</w:t>
      </w:r>
      <w:r>
        <w:rPr>
          <w:bCs/>
        </w:rPr>
        <w:t xml:space="preserve"> set up a Preschool National Training Team comprised of 456 trainers.  The GDTT and the GDPE would prepare and implement the training program for the Preschool National Training Team.  This activity will be implemented in two phases during the first eight months of the Project</w:t>
      </w:r>
      <w:r w:rsidR="00E11871">
        <w:rPr>
          <w:bCs/>
        </w:rPr>
        <w:t xml:space="preserve"> (2013)</w:t>
      </w:r>
      <w:r>
        <w:rPr>
          <w:bCs/>
        </w:rPr>
        <w:t>.</w:t>
      </w:r>
    </w:p>
    <w:p w:rsidR="00C25990" w:rsidRDefault="00C25990" w:rsidP="004111A5">
      <w:pPr>
        <w:pStyle w:val="ListParagraph"/>
        <w:ind w:left="0"/>
        <w:jc w:val="both"/>
        <w:rPr>
          <w:bCs/>
        </w:rPr>
      </w:pPr>
    </w:p>
    <w:p w:rsidR="00C25990" w:rsidRPr="0091330F" w:rsidRDefault="00C25990" w:rsidP="00C25990">
      <w:pPr>
        <w:pStyle w:val="ListParagraph"/>
        <w:ind w:left="0"/>
        <w:jc w:val="center"/>
        <w:rPr>
          <w:b/>
          <w:bCs/>
        </w:rPr>
      </w:pPr>
      <w:r w:rsidRPr="0091330F">
        <w:rPr>
          <w:b/>
          <w:bCs/>
        </w:rPr>
        <w:t>Table 2.</w:t>
      </w:r>
      <w:r>
        <w:rPr>
          <w:b/>
          <w:bCs/>
        </w:rPr>
        <w:t>5</w:t>
      </w:r>
      <w:r w:rsidRPr="0091330F">
        <w:rPr>
          <w:b/>
          <w:bCs/>
        </w:rPr>
        <w:t xml:space="preserve"> Preschool National Training Team</w:t>
      </w:r>
    </w:p>
    <w:tbl>
      <w:tblPr>
        <w:tblStyle w:val="TableGrid"/>
        <w:tblW w:w="0" w:type="auto"/>
        <w:jc w:val="center"/>
        <w:tblLook w:val="04A0" w:firstRow="1" w:lastRow="0" w:firstColumn="1" w:lastColumn="0" w:noHBand="0" w:noVBand="1"/>
      </w:tblPr>
      <w:tblGrid>
        <w:gridCol w:w="1043"/>
        <w:gridCol w:w="1005"/>
        <w:gridCol w:w="4440"/>
      </w:tblGrid>
      <w:tr w:rsidR="00C25990" w:rsidRPr="0091330F" w:rsidTr="00043B9C">
        <w:trPr>
          <w:jc w:val="center"/>
        </w:trPr>
        <w:tc>
          <w:tcPr>
            <w:tcW w:w="1043" w:type="dxa"/>
            <w:vMerge w:val="restart"/>
            <w:shd w:val="clear" w:color="auto" w:fill="D9D9D9" w:themeFill="background1" w:themeFillShade="D9"/>
          </w:tcPr>
          <w:p w:rsidR="00C25990" w:rsidRPr="00492C73" w:rsidRDefault="00C25990" w:rsidP="00043B9C">
            <w:pPr>
              <w:jc w:val="both"/>
              <w:rPr>
                <w:b/>
                <w:lang w:val="es-ES"/>
              </w:rPr>
            </w:pPr>
            <w:r w:rsidRPr="00492C73">
              <w:rPr>
                <w:b/>
                <w:lang w:val="es-ES"/>
              </w:rPr>
              <w:t>1st Phase</w:t>
            </w:r>
          </w:p>
          <w:p w:rsidR="00C25990" w:rsidRPr="00492C73" w:rsidRDefault="00C25990" w:rsidP="00043B9C">
            <w:pPr>
              <w:jc w:val="both"/>
              <w:rPr>
                <w:lang w:val="es-ES"/>
              </w:rPr>
            </w:pPr>
          </w:p>
          <w:p w:rsidR="00C25990" w:rsidRPr="00492C73" w:rsidRDefault="00C25990" w:rsidP="00043B9C">
            <w:pPr>
              <w:jc w:val="both"/>
              <w:rPr>
                <w:lang w:val="es-ES"/>
              </w:rPr>
            </w:pPr>
            <w:r w:rsidRPr="00492C73">
              <w:rPr>
                <w:lang w:val="es-ES"/>
              </w:rPr>
              <w:t>January-April</w:t>
            </w:r>
          </w:p>
          <w:p w:rsidR="00C25990" w:rsidRPr="00492C73" w:rsidRDefault="00C25990" w:rsidP="00043B9C">
            <w:pPr>
              <w:jc w:val="both"/>
              <w:rPr>
                <w:lang w:val="es-ES"/>
              </w:rPr>
            </w:pPr>
            <w:r w:rsidRPr="00492C73">
              <w:rPr>
                <w:lang w:val="es-ES"/>
              </w:rPr>
              <w:t>2013</w:t>
            </w:r>
          </w:p>
        </w:tc>
        <w:tc>
          <w:tcPr>
            <w:tcW w:w="1005" w:type="dxa"/>
            <w:tcBorders>
              <w:bottom w:val="single" w:sz="4" w:space="0" w:color="000000"/>
            </w:tcBorders>
            <w:shd w:val="clear" w:color="auto" w:fill="FABF8F" w:themeFill="accent6" w:themeFillTint="99"/>
          </w:tcPr>
          <w:p w:rsidR="00C25990" w:rsidRPr="00492C73" w:rsidRDefault="00C25990" w:rsidP="00043B9C">
            <w:pPr>
              <w:jc w:val="right"/>
              <w:rPr>
                <w:b/>
                <w:bCs/>
                <w:lang w:val="es-EC"/>
              </w:rPr>
            </w:pPr>
            <w:r w:rsidRPr="00492C73">
              <w:rPr>
                <w:lang w:val="es-ES"/>
              </w:rPr>
              <w:t>6</w:t>
            </w:r>
          </w:p>
        </w:tc>
        <w:tc>
          <w:tcPr>
            <w:tcW w:w="4440" w:type="dxa"/>
            <w:tcBorders>
              <w:bottom w:val="single" w:sz="4" w:space="0" w:color="000000"/>
            </w:tcBorders>
            <w:shd w:val="clear" w:color="auto" w:fill="FABF8F" w:themeFill="accent6" w:themeFillTint="99"/>
          </w:tcPr>
          <w:p w:rsidR="00C25990" w:rsidRPr="00492C73" w:rsidRDefault="00C25990" w:rsidP="00043B9C">
            <w:pPr>
              <w:jc w:val="both"/>
              <w:rPr>
                <w:b/>
                <w:bCs/>
                <w:lang w:val="es-EC"/>
              </w:rPr>
            </w:pPr>
            <w:r w:rsidRPr="00492C73">
              <w:rPr>
                <w:lang w:val="es-ES"/>
              </w:rPr>
              <w:t>International Experts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lang w:val="es-ES"/>
              </w:rPr>
            </w:pPr>
          </w:p>
        </w:tc>
        <w:tc>
          <w:tcPr>
            <w:tcW w:w="1005" w:type="dxa"/>
            <w:tcBorders>
              <w:bottom w:val="single" w:sz="4" w:space="0" w:color="000000"/>
            </w:tcBorders>
            <w:shd w:val="clear" w:color="auto" w:fill="B6DDE8" w:themeFill="accent5" w:themeFillTint="66"/>
          </w:tcPr>
          <w:p w:rsidR="00C25990" w:rsidRPr="00492C73" w:rsidRDefault="00C25990" w:rsidP="00043B9C">
            <w:pPr>
              <w:jc w:val="right"/>
              <w:rPr>
                <w:bCs/>
                <w:lang w:val="es-EC"/>
              </w:rPr>
            </w:pPr>
            <w:r w:rsidRPr="00492C73">
              <w:rPr>
                <w:bCs/>
                <w:lang w:val="es-EC"/>
              </w:rPr>
              <w:t>3</w:t>
            </w:r>
          </w:p>
        </w:tc>
        <w:tc>
          <w:tcPr>
            <w:tcW w:w="4440" w:type="dxa"/>
            <w:tcBorders>
              <w:bottom w:val="single" w:sz="4" w:space="0" w:color="000000"/>
            </w:tcBorders>
            <w:shd w:val="clear" w:color="auto" w:fill="B6DDE8" w:themeFill="accent5" w:themeFillTint="66"/>
          </w:tcPr>
          <w:p w:rsidR="00C25990" w:rsidRPr="00492C73" w:rsidRDefault="00C25990" w:rsidP="00043B9C">
            <w:pPr>
              <w:jc w:val="both"/>
              <w:rPr>
                <w:b/>
                <w:bCs/>
                <w:lang w:val="es-EC"/>
              </w:rPr>
            </w:pPr>
            <w:r w:rsidRPr="00492C73">
              <w:rPr>
                <w:bCs/>
                <w:lang w:val="es-EC"/>
              </w:rPr>
              <w:t>National Consultants</w:t>
            </w:r>
          </w:p>
        </w:tc>
      </w:tr>
      <w:tr w:rsidR="00C25990" w:rsidRPr="0091330F" w:rsidTr="00043B9C">
        <w:trPr>
          <w:trHeight w:val="305"/>
          <w:jc w:val="center"/>
        </w:trPr>
        <w:tc>
          <w:tcPr>
            <w:tcW w:w="1043" w:type="dxa"/>
            <w:vMerge/>
            <w:shd w:val="clear" w:color="auto" w:fill="D9D9D9" w:themeFill="background1" w:themeFillShade="D9"/>
          </w:tcPr>
          <w:p w:rsidR="00C25990" w:rsidRPr="00492C73" w:rsidRDefault="00C25990" w:rsidP="00043B9C">
            <w:pPr>
              <w:jc w:val="both"/>
              <w:rPr>
                <w:lang w:val="es-ES"/>
              </w:rPr>
            </w:pPr>
          </w:p>
        </w:tc>
        <w:tc>
          <w:tcPr>
            <w:tcW w:w="1005" w:type="dxa"/>
            <w:tcBorders>
              <w:bottom w:val="single" w:sz="4" w:space="0" w:color="auto"/>
            </w:tcBorders>
            <w:shd w:val="clear" w:color="auto" w:fill="FFFFFF" w:themeFill="background1"/>
          </w:tcPr>
          <w:p w:rsidR="00C25990" w:rsidRPr="00492C73" w:rsidRDefault="00C25990" w:rsidP="00043B9C">
            <w:pPr>
              <w:jc w:val="right"/>
              <w:rPr>
                <w:b/>
                <w:bCs/>
                <w:lang w:val="es-EC"/>
              </w:rPr>
            </w:pPr>
          </w:p>
        </w:tc>
        <w:tc>
          <w:tcPr>
            <w:tcW w:w="4440" w:type="dxa"/>
            <w:shd w:val="clear" w:color="auto" w:fill="FFFFFF" w:themeFill="background1"/>
          </w:tcPr>
          <w:p w:rsidR="00C25990" w:rsidRPr="00492C73" w:rsidRDefault="00C25990" w:rsidP="00043B9C">
            <w:pPr>
              <w:jc w:val="both"/>
              <w:rPr>
                <w:b/>
                <w:bCs/>
                <w:lang w:val="es-EC"/>
              </w:rPr>
            </w:pP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lang w:val="es-EC"/>
              </w:rPr>
            </w:pPr>
          </w:p>
        </w:tc>
        <w:tc>
          <w:tcPr>
            <w:tcW w:w="1005" w:type="dxa"/>
            <w:tcBorders>
              <w:top w:val="single" w:sz="4" w:space="0" w:color="auto"/>
              <w:bottom w:val="single" w:sz="4" w:space="0" w:color="auto"/>
            </w:tcBorders>
            <w:shd w:val="clear" w:color="auto" w:fill="D6E3BC" w:themeFill="accent3" w:themeFillTint="66"/>
          </w:tcPr>
          <w:p w:rsidR="00C25990" w:rsidRPr="00492C73" w:rsidRDefault="00C25990" w:rsidP="00043B9C">
            <w:pPr>
              <w:jc w:val="right"/>
              <w:rPr>
                <w:b/>
                <w:bCs/>
                <w:lang w:val="es-EC"/>
              </w:rPr>
            </w:pPr>
            <w:r w:rsidRPr="00492C73">
              <w:rPr>
                <w:lang w:val="es-ES"/>
              </w:rPr>
              <w:t>48</w:t>
            </w:r>
          </w:p>
        </w:tc>
        <w:tc>
          <w:tcPr>
            <w:tcW w:w="4440" w:type="dxa"/>
            <w:shd w:val="clear" w:color="auto" w:fill="D6E3BC" w:themeFill="accent3" w:themeFillTint="66"/>
          </w:tcPr>
          <w:p w:rsidR="00C25990" w:rsidRPr="00492C73" w:rsidRDefault="00C25990" w:rsidP="00043B9C">
            <w:pPr>
              <w:jc w:val="both"/>
              <w:rPr>
                <w:b/>
                <w:bCs/>
                <w:lang w:val="es-EC"/>
              </w:rPr>
            </w:pPr>
            <w:r w:rsidRPr="00492C73">
              <w:rPr>
                <w:lang w:val="es-EC"/>
              </w:rPr>
              <w:t>TTI Professors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tcBorders>
              <w:top w:val="single" w:sz="4" w:space="0" w:color="auto"/>
            </w:tcBorders>
            <w:shd w:val="clear" w:color="auto" w:fill="D6E3BC" w:themeFill="accent3" w:themeFillTint="66"/>
          </w:tcPr>
          <w:p w:rsidR="00C25990" w:rsidRPr="00492C73" w:rsidRDefault="00C25990" w:rsidP="00043B9C">
            <w:pPr>
              <w:jc w:val="right"/>
              <w:rPr>
                <w:b/>
                <w:bCs/>
                <w:lang w:val="es-EC"/>
              </w:rPr>
            </w:pPr>
            <w:r w:rsidRPr="00492C73">
              <w:rPr>
                <w:lang w:val="es-ES"/>
              </w:rPr>
              <w:t>9</w:t>
            </w:r>
          </w:p>
        </w:tc>
        <w:tc>
          <w:tcPr>
            <w:tcW w:w="4440" w:type="dxa"/>
            <w:shd w:val="clear" w:color="auto" w:fill="D6E3BC" w:themeFill="accent3" w:themeFillTint="66"/>
          </w:tcPr>
          <w:p w:rsidR="00C25990" w:rsidRPr="00492C73" w:rsidRDefault="00C25990" w:rsidP="00043B9C">
            <w:pPr>
              <w:jc w:val="both"/>
              <w:rPr>
                <w:b/>
                <w:bCs/>
                <w:lang w:val="es-EC"/>
              </w:rPr>
            </w:pPr>
            <w:r w:rsidRPr="00492C73">
              <w:rPr>
                <w:lang w:val="es-ES"/>
              </w:rPr>
              <w:t>Departmental Pedagogical Advisors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tcBorders>
              <w:bottom w:val="single" w:sz="4" w:space="0" w:color="auto"/>
            </w:tcBorders>
            <w:shd w:val="clear" w:color="auto" w:fill="D6E3BC" w:themeFill="accent3" w:themeFillTint="66"/>
          </w:tcPr>
          <w:p w:rsidR="00C25990" w:rsidRPr="00492C73" w:rsidRDefault="00C25990" w:rsidP="00043B9C">
            <w:pPr>
              <w:jc w:val="right"/>
              <w:rPr>
                <w:b/>
                <w:bCs/>
                <w:lang w:val="es-EC"/>
              </w:rPr>
            </w:pPr>
            <w:r w:rsidRPr="00492C73">
              <w:rPr>
                <w:lang w:val="es-ES"/>
              </w:rPr>
              <w:t>9</w:t>
            </w:r>
          </w:p>
        </w:tc>
        <w:tc>
          <w:tcPr>
            <w:tcW w:w="4440" w:type="dxa"/>
            <w:shd w:val="clear" w:color="auto" w:fill="D6E3BC" w:themeFill="accent3" w:themeFillTint="66"/>
          </w:tcPr>
          <w:p w:rsidR="00C25990" w:rsidRPr="00492C73" w:rsidRDefault="00C25990" w:rsidP="00043B9C">
            <w:pPr>
              <w:jc w:val="both"/>
              <w:rPr>
                <w:b/>
                <w:bCs/>
                <w:lang w:val="es-EC"/>
              </w:rPr>
            </w:pPr>
            <w:r w:rsidRPr="00492C73">
              <w:rPr>
                <w:lang w:val="es-ES"/>
              </w:rPr>
              <w:t>Municipal Pedagogical Advisors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tcBorders>
              <w:top w:val="single" w:sz="4" w:space="0" w:color="auto"/>
              <w:bottom w:val="single" w:sz="4" w:space="0" w:color="000000"/>
            </w:tcBorders>
            <w:shd w:val="clear" w:color="auto" w:fill="D6E3BC" w:themeFill="accent3" w:themeFillTint="66"/>
          </w:tcPr>
          <w:p w:rsidR="00C25990" w:rsidRPr="00492C73" w:rsidRDefault="00C25990" w:rsidP="00043B9C">
            <w:pPr>
              <w:jc w:val="right"/>
              <w:rPr>
                <w:b/>
                <w:bCs/>
                <w:lang w:val="es-EC"/>
              </w:rPr>
            </w:pPr>
            <w:r w:rsidRPr="00492C73">
              <w:rPr>
                <w:lang w:val="es-ES"/>
              </w:rPr>
              <w:t>9</w:t>
            </w:r>
          </w:p>
        </w:tc>
        <w:tc>
          <w:tcPr>
            <w:tcW w:w="4440" w:type="dxa"/>
            <w:tcBorders>
              <w:bottom w:val="single" w:sz="4" w:space="0" w:color="000000"/>
            </w:tcBorders>
            <w:shd w:val="clear" w:color="auto" w:fill="D6E3BC" w:themeFill="accent3" w:themeFillTint="66"/>
          </w:tcPr>
          <w:p w:rsidR="00C25990" w:rsidRPr="00492C73" w:rsidRDefault="00C25990" w:rsidP="00043B9C">
            <w:pPr>
              <w:jc w:val="both"/>
              <w:rPr>
                <w:b/>
                <w:bCs/>
                <w:lang w:val="es-EC"/>
              </w:rPr>
            </w:pPr>
            <w:r w:rsidRPr="00492C73">
              <w:rPr>
                <w:lang w:val="es-ES"/>
              </w:rPr>
              <w:t>Itinerant Trainers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tcBorders>
              <w:top w:val="single" w:sz="4" w:space="0" w:color="auto"/>
              <w:bottom w:val="single" w:sz="4" w:space="0" w:color="000000"/>
            </w:tcBorders>
            <w:shd w:val="clear" w:color="auto" w:fill="D6E3BC" w:themeFill="accent3" w:themeFillTint="66"/>
          </w:tcPr>
          <w:p w:rsidR="00C25990" w:rsidRPr="00492C73" w:rsidRDefault="00C25990" w:rsidP="00043B9C">
            <w:pPr>
              <w:jc w:val="right"/>
              <w:rPr>
                <w:b/>
                <w:bCs/>
                <w:lang w:val="es-EC"/>
              </w:rPr>
            </w:pPr>
            <w:r w:rsidRPr="00492C73">
              <w:rPr>
                <w:b/>
                <w:bCs/>
                <w:lang w:val="es-EC"/>
              </w:rPr>
              <w:t>75</w:t>
            </w:r>
          </w:p>
        </w:tc>
        <w:tc>
          <w:tcPr>
            <w:tcW w:w="4440" w:type="dxa"/>
            <w:tcBorders>
              <w:bottom w:val="single" w:sz="4" w:space="0" w:color="000000"/>
            </w:tcBorders>
            <w:shd w:val="clear" w:color="auto" w:fill="D6E3BC" w:themeFill="accent3" w:themeFillTint="66"/>
          </w:tcPr>
          <w:p w:rsidR="00C25990" w:rsidRPr="00492C73" w:rsidRDefault="00C25990" w:rsidP="00043B9C">
            <w:pPr>
              <w:jc w:val="both"/>
              <w:rPr>
                <w:b/>
                <w:bCs/>
                <w:lang w:val="es-EC"/>
              </w:rPr>
            </w:pPr>
            <w:r w:rsidRPr="00492C73">
              <w:rPr>
                <w:b/>
                <w:bCs/>
                <w:lang w:val="es-EC"/>
              </w:rPr>
              <w:t>Total</w:t>
            </w:r>
          </w:p>
        </w:tc>
      </w:tr>
      <w:tr w:rsidR="00C25990" w:rsidRPr="0091330F" w:rsidTr="00043B9C">
        <w:trPr>
          <w:jc w:val="center"/>
        </w:trPr>
        <w:tc>
          <w:tcPr>
            <w:tcW w:w="1043" w:type="dxa"/>
            <w:tcBorders>
              <w:top w:val="single" w:sz="4" w:space="0" w:color="auto"/>
              <w:bottom w:val="single" w:sz="4" w:space="0" w:color="000000"/>
            </w:tcBorders>
          </w:tcPr>
          <w:p w:rsidR="00C25990" w:rsidRPr="00492C73" w:rsidRDefault="00C25990" w:rsidP="00043B9C">
            <w:pPr>
              <w:jc w:val="both"/>
              <w:rPr>
                <w:b/>
                <w:bCs/>
                <w:lang w:val="es-EC"/>
              </w:rPr>
            </w:pPr>
          </w:p>
        </w:tc>
        <w:tc>
          <w:tcPr>
            <w:tcW w:w="1005" w:type="dxa"/>
            <w:tcBorders>
              <w:top w:val="single" w:sz="4" w:space="0" w:color="auto"/>
              <w:bottom w:val="single" w:sz="4" w:space="0" w:color="000000"/>
            </w:tcBorders>
          </w:tcPr>
          <w:p w:rsidR="00C25990" w:rsidRPr="00492C73" w:rsidRDefault="00C25990" w:rsidP="00043B9C">
            <w:pPr>
              <w:jc w:val="right"/>
              <w:rPr>
                <w:b/>
                <w:bCs/>
                <w:lang w:val="es-EC"/>
              </w:rPr>
            </w:pPr>
          </w:p>
        </w:tc>
        <w:tc>
          <w:tcPr>
            <w:tcW w:w="4440" w:type="dxa"/>
            <w:tcBorders>
              <w:bottom w:val="single" w:sz="4" w:space="0" w:color="000000"/>
            </w:tcBorders>
          </w:tcPr>
          <w:p w:rsidR="00C25990" w:rsidRPr="00492C73" w:rsidRDefault="00C25990" w:rsidP="00043B9C">
            <w:pPr>
              <w:jc w:val="both"/>
              <w:rPr>
                <w:b/>
                <w:bCs/>
                <w:lang w:val="es-EC"/>
              </w:rPr>
            </w:pPr>
          </w:p>
        </w:tc>
      </w:tr>
      <w:tr w:rsidR="00C25990" w:rsidRPr="0091330F" w:rsidTr="00043B9C">
        <w:trPr>
          <w:jc w:val="center"/>
        </w:trPr>
        <w:tc>
          <w:tcPr>
            <w:tcW w:w="1043" w:type="dxa"/>
            <w:vMerge w:val="restart"/>
            <w:shd w:val="clear" w:color="auto" w:fill="D9D9D9" w:themeFill="background1" w:themeFillShade="D9"/>
          </w:tcPr>
          <w:p w:rsidR="00C25990" w:rsidRPr="00492C73" w:rsidRDefault="00C25990" w:rsidP="00043B9C">
            <w:pPr>
              <w:jc w:val="both"/>
              <w:rPr>
                <w:b/>
                <w:bCs/>
                <w:lang w:val="es-EC"/>
              </w:rPr>
            </w:pPr>
            <w:r w:rsidRPr="00492C73">
              <w:rPr>
                <w:b/>
                <w:bCs/>
                <w:lang w:val="es-EC"/>
              </w:rPr>
              <w:t>2nd Phase</w:t>
            </w:r>
          </w:p>
          <w:p w:rsidR="00C25990" w:rsidRPr="00492C73" w:rsidRDefault="00C25990" w:rsidP="00043B9C">
            <w:pPr>
              <w:jc w:val="both"/>
              <w:rPr>
                <w:bCs/>
                <w:lang w:val="es-EC"/>
              </w:rPr>
            </w:pPr>
          </w:p>
          <w:p w:rsidR="00C25990" w:rsidRPr="00492C73" w:rsidRDefault="00C25990" w:rsidP="00043B9C">
            <w:pPr>
              <w:jc w:val="both"/>
              <w:rPr>
                <w:bCs/>
                <w:lang w:val="es-EC"/>
              </w:rPr>
            </w:pPr>
            <w:r w:rsidRPr="00492C73">
              <w:rPr>
                <w:bCs/>
                <w:lang w:val="es-EC"/>
              </w:rPr>
              <w:t>May- August</w:t>
            </w:r>
          </w:p>
          <w:p w:rsidR="00C25990" w:rsidRPr="00492C73" w:rsidRDefault="00C25990" w:rsidP="00043B9C">
            <w:pPr>
              <w:jc w:val="both"/>
              <w:rPr>
                <w:bCs/>
                <w:lang w:val="es-EC"/>
              </w:rPr>
            </w:pPr>
            <w:r w:rsidRPr="00492C73">
              <w:rPr>
                <w:bCs/>
                <w:lang w:val="es-EC"/>
              </w:rPr>
              <w:t>2013</w:t>
            </w:r>
          </w:p>
        </w:tc>
        <w:tc>
          <w:tcPr>
            <w:tcW w:w="1005" w:type="dxa"/>
            <w:tcBorders>
              <w:bottom w:val="single" w:sz="4" w:space="0" w:color="000000"/>
            </w:tcBorders>
            <w:shd w:val="clear" w:color="auto" w:fill="D6E3BC" w:themeFill="accent3" w:themeFillTint="66"/>
          </w:tcPr>
          <w:p w:rsidR="00C25990" w:rsidRPr="00492C73" w:rsidRDefault="00C25990" w:rsidP="00043B9C">
            <w:pPr>
              <w:jc w:val="right"/>
              <w:rPr>
                <w:bCs/>
                <w:lang w:val="es-EC"/>
              </w:rPr>
            </w:pPr>
            <w:r w:rsidRPr="00492C73">
              <w:rPr>
                <w:bCs/>
                <w:lang w:val="es-EC"/>
              </w:rPr>
              <w:t>75</w:t>
            </w:r>
          </w:p>
        </w:tc>
        <w:tc>
          <w:tcPr>
            <w:tcW w:w="4440" w:type="dxa"/>
            <w:tcBorders>
              <w:bottom w:val="single" w:sz="4" w:space="0" w:color="000000"/>
            </w:tcBorders>
            <w:shd w:val="clear" w:color="auto" w:fill="D6E3BC" w:themeFill="accent3" w:themeFillTint="66"/>
          </w:tcPr>
          <w:p w:rsidR="00C25990" w:rsidRPr="00492C73" w:rsidRDefault="00C25990" w:rsidP="00043B9C">
            <w:pPr>
              <w:jc w:val="both"/>
              <w:rPr>
                <w:bCs/>
                <w:lang w:val="es-EC"/>
              </w:rPr>
            </w:pPr>
            <w:r w:rsidRPr="00492C73">
              <w:rPr>
                <w:bCs/>
                <w:lang w:val="es-EC"/>
              </w:rPr>
              <w:t>Trainers 1st phase</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tcBorders>
              <w:bottom w:val="single" w:sz="4" w:space="0" w:color="000000"/>
            </w:tcBorders>
            <w:shd w:val="clear" w:color="auto" w:fill="B6DDE8" w:themeFill="accent5" w:themeFillTint="66"/>
          </w:tcPr>
          <w:p w:rsidR="00C25990" w:rsidRPr="00492C73" w:rsidRDefault="00C25990" w:rsidP="00043B9C">
            <w:pPr>
              <w:jc w:val="right"/>
              <w:rPr>
                <w:bCs/>
                <w:lang w:val="es-EC"/>
              </w:rPr>
            </w:pPr>
            <w:r w:rsidRPr="00492C73">
              <w:rPr>
                <w:bCs/>
                <w:lang w:val="es-EC"/>
              </w:rPr>
              <w:t>3</w:t>
            </w:r>
          </w:p>
        </w:tc>
        <w:tc>
          <w:tcPr>
            <w:tcW w:w="4440" w:type="dxa"/>
            <w:tcBorders>
              <w:bottom w:val="single" w:sz="4" w:space="0" w:color="000000"/>
            </w:tcBorders>
            <w:shd w:val="clear" w:color="auto" w:fill="B6DDE8" w:themeFill="accent5" w:themeFillTint="66"/>
          </w:tcPr>
          <w:p w:rsidR="00C25990" w:rsidRPr="00492C73" w:rsidRDefault="00C25990" w:rsidP="00043B9C">
            <w:pPr>
              <w:jc w:val="both"/>
              <w:rPr>
                <w:b/>
                <w:bCs/>
                <w:lang w:val="es-EC"/>
              </w:rPr>
            </w:pPr>
            <w:r w:rsidRPr="00492C73">
              <w:rPr>
                <w:bCs/>
                <w:lang w:val="es-EC"/>
              </w:rPr>
              <w:t>National Consultants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shd w:val="clear" w:color="auto" w:fill="FFFFFF" w:themeFill="background1"/>
          </w:tcPr>
          <w:p w:rsidR="00C25990" w:rsidRPr="00492C73" w:rsidRDefault="00C25990" w:rsidP="00043B9C">
            <w:pPr>
              <w:jc w:val="right"/>
              <w:rPr>
                <w:b/>
                <w:bCs/>
                <w:lang w:val="es-EC"/>
              </w:rPr>
            </w:pPr>
          </w:p>
        </w:tc>
        <w:tc>
          <w:tcPr>
            <w:tcW w:w="4440" w:type="dxa"/>
            <w:shd w:val="clear" w:color="auto" w:fill="FFFFFF" w:themeFill="background1"/>
          </w:tcPr>
          <w:p w:rsidR="00C25990" w:rsidRPr="00492C73" w:rsidRDefault="00C25990" w:rsidP="00043B9C">
            <w:pPr>
              <w:jc w:val="both"/>
              <w:rPr>
                <w:b/>
                <w:bCs/>
                <w:lang w:val="es-EC"/>
              </w:rPr>
            </w:pP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shd w:val="clear" w:color="auto" w:fill="CCC0D9" w:themeFill="accent4" w:themeFillTint="66"/>
          </w:tcPr>
          <w:p w:rsidR="00C25990" w:rsidRPr="00492C73" w:rsidRDefault="00C25990" w:rsidP="00043B9C">
            <w:pPr>
              <w:jc w:val="right"/>
              <w:rPr>
                <w:bCs/>
                <w:lang w:val="es-EC"/>
              </w:rPr>
            </w:pPr>
            <w:r w:rsidRPr="00492C73">
              <w:rPr>
                <w:bCs/>
                <w:lang w:val="es-EC"/>
              </w:rPr>
              <w:t>127</w:t>
            </w:r>
          </w:p>
        </w:tc>
        <w:tc>
          <w:tcPr>
            <w:tcW w:w="4440" w:type="dxa"/>
            <w:shd w:val="clear" w:color="auto" w:fill="CCC0D9" w:themeFill="accent4" w:themeFillTint="66"/>
          </w:tcPr>
          <w:p w:rsidR="00C25990" w:rsidRPr="00492C73" w:rsidRDefault="00C25990" w:rsidP="00043B9C">
            <w:pPr>
              <w:jc w:val="both"/>
              <w:rPr>
                <w:b/>
                <w:bCs/>
                <w:lang w:val="es-EC"/>
              </w:rPr>
            </w:pPr>
            <w:r w:rsidRPr="00492C73">
              <w:rPr>
                <w:lang w:val="es-ES"/>
              </w:rPr>
              <w:t>Departmental Pedagogical Advisors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shd w:val="clear" w:color="auto" w:fill="CCC0D9" w:themeFill="accent4" w:themeFillTint="66"/>
          </w:tcPr>
          <w:p w:rsidR="00C25990" w:rsidRPr="00492C73" w:rsidRDefault="00C25990" w:rsidP="00043B9C">
            <w:pPr>
              <w:jc w:val="right"/>
              <w:rPr>
                <w:bCs/>
                <w:lang w:val="es-EC"/>
              </w:rPr>
            </w:pPr>
            <w:r w:rsidRPr="00492C73">
              <w:rPr>
                <w:bCs/>
                <w:lang w:val="es-EC"/>
              </w:rPr>
              <w:t>127</w:t>
            </w:r>
          </w:p>
        </w:tc>
        <w:tc>
          <w:tcPr>
            <w:tcW w:w="4440" w:type="dxa"/>
            <w:shd w:val="clear" w:color="auto" w:fill="CCC0D9" w:themeFill="accent4" w:themeFillTint="66"/>
          </w:tcPr>
          <w:p w:rsidR="00C25990" w:rsidRPr="00492C73" w:rsidRDefault="00C25990" w:rsidP="00043B9C">
            <w:pPr>
              <w:jc w:val="both"/>
              <w:rPr>
                <w:b/>
                <w:bCs/>
                <w:lang w:val="es-EC"/>
              </w:rPr>
            </w:pPr>
            <w:r w:rsidRPr="00492C73">
              <w:rPr>
                <w:lang w:val="es-ES"/>
              </w:rPr>
              <w:t>Municipal Pedagogical Advisors</w:t>
            </w:r>
          </w:p>
        </w:tc>
      </w:tr>
      <w:tr w:rsidR="00C25990" w:rsidRPr="0091330F" w:rsidTr="00043B9C">
        <w:trPr>
          <w:jc w:val="center"/>
        </w:trPr>
        <w:tc>
          <w:tcPr>
            <w:tcW w:w="1043" w:type="dxa"/>
            <w:vMerge/>
            <w:shd w:val="clear" w:color="auto" w:fill="D9D9D9" w:themeFill="background1" w:themeFillShade="D9"/>
          </w:tcPr>
          <w:p w:rsidR="00C25990" w:rsidRPr="00492C73" w:rsidRDefault="00C25990" w:rsidP="00043B9C">
            <w:pPr>
              <w:jc w:val="both"/>
              <w:rPr>
                <w:b/>
                <w:bCs/>
                <w:lang w:val="es-EC"/>
              </w:rPr>
            </w:pPr>
          </w:p>
        </w:tc>
        <w:tc>
          <w:tcPr>
            <w:tcW w:w="1005" w:type="dxa"/>
            <w:shd w:val="clear" w:color="auto" w:fill="CCC0D9" w:themeFill="accent4" w:themeFillTint="66"/>
          </w:tcPr>
          <w:p w:rsidR="00C25990" w:rsidRPr="00492C73" w:rsidRDefault="00C25990" w:rsidP="00043B9C">
            <w:pPr>
              <w:jc w:val="right"/>
              <w:rPr>
                <w:bCs/>
                <w:lang w:val="es-EC"/>
              </w:rPr>
            </w:pPr>
            <w:r w:rsidRPr="00492C73">
              <w:rPr>
                <w:bCs/>
                <w:lang w:val="es-EC"/>
              </w:rPr>
              <w:t>127</w:t>
            </w:r>
          </w:p>
        </w:tc>
        <w:tc>
          <w:tcPr>
            <w:tcW w:w="4440" w:type="dxa"/>
            <w:shd w:val="clear" w:color="auto" w:fill="CCC0D9" w:themeFill="accent4" w:themeFillTint="66"/>
          </w:tcPr>
          <w:p w:rsidR="00C25990" w:rsidRPr="00492C73" w:rsidRDefault="00C25990" w:rsidP="00043B9C">
            <w:pPr>
              <w:jc w:val="both"/>
              <w:rPr>
                <w:b/>
                <w:bCs/>
                <w:lang w:val="es-EC"/>
              </w:rPr>
            </w:pPr>
            <w:r w:rsidRPr="00492C73">
              <w:rPr>
                <w:lang w:val="es-ES"/>
              </w:rPr>
              <w:t>Itinerant Trainers</w:t>
            </w:r>
          </w:p>
        </w:tc>
      </w:tr>
      <w:tr w:rsidR="00C25990" w:rsidRPr="0091330F" w:rsidTr="00043B9C">
        <w:trPr>
          <w:jc w:val="center"/>
        </w:trPr>
        <w:tc>
          <w:tcPr>
            <w:tcW w:w="1043" w:type="dxa"/>
            <w:vMerge/>
            <w:tcBorders>
              <w:bottom w:val="single" w:sz="4" w:space="0" w:color="000000"/>
            </w:tcBorders>
            <w:shd w:val="clear" w:color="auto" w:fill="D9D9D9" w:themeFill="background1" w:themeFillShade="D9"/>
          </w:tcPr>
          <w:p w:rsidR="00C25990" w:rsidRPr="00492C73" w:rsidRDefault="00C25990" w:rsidP="00043B9C">
            <w:pPr>
              <w:jc w:val="both"/>
              <w:rPr>
                <w:b/>
                <w:bCs/>
                <w:lang w:val="es-EC"/>
              </w:rPr>
            </w:pPr>
          </w:p>
        </w:tc>
        <w:tc>
          <w:tcPr>
            <w:tcW w:w="1005" w:type="dxa"/>
            <w:tcBorders>
              <w:bottom w:val="single" w:sz="4" w:space="0" w:color="000000"/>
            </w:tcBorders>
            <w:shd w:val="clear" w:color="auto" w:fill="CCC0D9" w:themeFill="accent4" w:themeFillTint="66"/>
          </w:tcPr>
          <w:p w:rsidR="00C25990" w:rsidRPr="00492C73" w:rsidRDefault="00C25990" w:rsidP="00043B9C">
            <w:pPr>
              <w:jc w:val="right"/>
              <w:rPr>
                <w:b/>
                <w:bCs/>
                <w:lang w:val="es-EC"/>
              </w:rPr>
            </w:pPr>
            <w:r w:rsidRPr="00492C73">
              <w:rPr>
                <w:b/>
                <w:bCs/>
                <w:lang w:val="es-EC"/>
              </w:rPr>
              <w:t>381</w:t>
            </w:r>
          </w:p>
        </w:tc>
        <w:tc>
          <w:tcPr>
            <w:tcW w:w="4440" w:type="dxa"/>
            <w:tcBorders>
              <w:bottom w:val="single" w:sz="4" w:space="0" w:color="000000"/>
            </w:tcBorders>
            <w:shd w:val="clear" w:color="auto" w:fill="CCC0D9" w:themeFill="accent4" w:themeFillTint="66"/>
          </w:tcPr>
          <w:p w:rsidR="00C25990" w:rsidRPr="00492C73" w:rsidRDefault="00C25990" w:rsidP="00043B9C">
            <w:pPr>
              <w:jc w:val="both"/>
              <w:rPr>
                <w:b/>
                <w:lang w:val="es-ES"/>
              </w:rPr>
            </w:pPr>
            <w:r w:rsidRPr="00492C73">
              <w:rPr>
                <w:b/>
                <w:lang w:val="es-ES"/>
              </w:rPr>
              <w:t>Total</w:t>
            </w:r>
          </w:p>
        </w:tc>
      </w:tr>
      <w:tr w:rsidR="00C25990" w:rsidRPr="0091330F" w:rsidTr="00043B9C">
        <w:trPr>
          <w:jc w:val="center"/>
        </w:trPr>
        <w:tc>
          <w:tcPr>
            <w:tcW w:w="1043" w:type="dxa"/>
            <w:shd w:val="clear" w:color="auto" w:fill="FFFFFF" w:themeFill="background1"/>
          </w:tcPr>
          <w:p w:rsidR="00C25990" w:rsidRPr="00492C73" w:rsidRDefault="00C25990" w:rsidP="00043B9C">
            <w:pPr>
              <w:jc w:val="both"/>
              <w:rPr>
                <w:b/>
                <w:bCs/>
                <w:lang w:val="es-EC"/>
              </w:rPr>
            </w:pPr>
          </w:p>
        </w:tc>
        <w:tc>
          <w:tcPr>
            <w:tcW w:w="1005" w:type="dxa"/>
            <w:shd w:val="clear" w:color="auto" w:fill="FFFFFF" w:themeFill="background1"/>
          </w:tcPr>
          <w:p w:rsidR="00C25990" w:rsidRPr="00492C73" w:rsidRDefault="00C25990" w:rsidP="00043B9C">
            <w:pPr>
              <w:jc w:val="right"/>
              <w:rPr>
                <w:b/>
                <w:bCs/>
                <w:lang w:val="es-EC"/>
              </w:rPr>
            </w:pPr>
          </w:p>
        </w:tc>
        <w:tc>
          <w:tcPr>
            <w:tcW w:w="4440" w:type="dxa"/>
            <w:shd w:val="clear" w:color="auto" w:fill="FFFFFF" w:themeFill="background1"/>
          </w:tcPr>
          <w:p w:rsidR="00C25990" w:rsidRPr="00492C73" w:rsidRDefault="00C25990" w:rsidP="00043B9C">
            <w:pPr>
              <w:jc w:val="both"/>
              <w:rPr>
                <w:lang w:val="es-ES"/>
              </w:rPr>
            </w:pPr>
          </w:p>
        </w:tc>
      </w:tr>
      <w:tr w:rsidR="00C25990" w:rsidRPr="0091330F" w:rsidTr="00043B9C">
        <w:trPr>
          <w:jc w:val="center"/>
        </w:trPr>
        <w:tc>
          <w:tcPr>
            <w:tcW w:w="1043" w:type="dxa"/>
            <w:shd w:val="clear" w:color="auto" w:fill="FFFFFF" w:themeFill="background1"/>
          </w:tcPr>
          <w:p w:rsidR="00C25990" w:rsidRPr="00492C73" w:rsidRDefault="00C25990" w:rsidP="00043B9C">
            <w:pPr>
              <w:jc w:val="both"/>
              <w:rPr>
                <w:b/>
                <w:bCs/>
                <w:lang w:val="es-EC"/>
              </w:rPr>
            </w:pPr>
          </w:p>
        </w:tc>
        <w:tc>
          <w:tcPr>
            <w:tcW w:w="1005" w:type="dxa"/>
            <w:shd w:val="clear" w:color="auto" w:fill="FFFFFF" w:themeFill="background1"/>
          </w:tcPr>
          <w:p w:rsidR="00C25990" w:rsidRPr="00492C73" w:rsidRDefault="00C25990" w:rsidP="00043B9C">
            <w:pPr>
              <w:jc w:val="right"/>
              <w:rPr>
                <w:b/>
                <w:bCs/>
                <w:lang w:val="es-EC"/>
              </w:rPr>
            </w:pPr>
            <w:r w:rsidRPr="00492C73">
              <w:rPr>
                <w:b/>
                <w:bCs/>
                <w:lang w:val="es-EC"/>
              </w:rPr>
              <w:t>456</w:t>
            </w:r>
          </w:p>
        </w:tc>
        <w:tc>
          <w:tcPr>
            <w:tcW w:w="4440" w:type="dxa"/>
            <w:shd w:val="clear" w:color="auto" w:fill="FFFFFF" w:themeFill="background1"/>
          </w:tcPr>
          <w:p w:rsidR="00C25990" w:rsidRPr="00492C73" w:rsidRDefault="00C25990" w:rsidP="00043B9C">
            <w:pPr>
              <w:jc w:val="both"/>
              <w:rPr>
                <w:lang w:val="es-ES"/>
              </w:rPr>
            </w:pPr>
            <w:r w:rsidRPr="00492C73">
              <w:rPr>
                <w:lang w:val="es-ES"/>
              </w:rPr>
              <w:t>Total National Training Team</w:t>
            </w:r>
          </w:p>
        </w:tc>
      </w:tr>
    </w:tbl>
    <w:p w:rsidR="0091330F" w:rsidRDefault="0091330F" w:rsidP="004111A5">
      <w:pPr>
        <w:pStyle w:val="ListParagraph"/>
        <w:ind w:left="0"/>
        <w:jc w:val="both"/>
      </w:pPr>
      <w:r>
        <w:rPr>
          <w:bCs/>
        </w:rPr>
        <w:t xml:space="preserve"> </w:t>
      </w:r>
    </w:p>
    <w:p w:rsidR="007E7EE7" w:rsidRPr="0091330F" w:rsidRDefault="0091330F" w:rsidP="005E2993">
      <w:pPr>
        <w:pStyle w:val="ListParagraph"/>
        <w:numPr>
          <w:ilvl w:val="0"/>
          <w:numId w:val="23"/>
        </w:numPr>
        <w:ind w:left="0" w:firstLine="0"/>
        <w:jc w:val="both"/>
      </w:pPr>
      <w:r>
        <w:rPr>
          <w:bCs/>
        </w:rPr>
        <w:t>The training of trainers of the Preschool National Training Team would take place in two phases.  During the first phase, six international experts, each one with their own expertise, would train a total of 75 trainers including: (i) 48 professors from the TTIs</w:t>
      </w:r>
      <w:r>
        <w:rPr>
          <w:bCs/>
          <w:i/>
        </w:rPr>
        <w:t xml:space="preserve"> </w:t>
      </w:r>
      <w:r>
        <w:rPr>
          <w:bCs/>
        </w:rPr>
        <w:t>with pres</w:t>
      </w:r>
      <w:r w:rsidR="00C25990">
        <w:rPr>
          <w:bCs/>
        </w:rPr>
        <w:t>chool education training; (ii) nine</w:t>
      </w:r>
      <w:r>
        <w:rPr>
          <w:bCs/>
        </w:rPr>
        <w:t xml:space="preserve"> department</w:t>
      </w:r>
      <w:r w:rsidR="00C25990">
        <w:rPr>
          <w:bCs/>
        </w:rPr>
        <w:t>al pedagogical advisors; (iii) nine</w:t>
      </w:r>
      <w:r>
        <w:rPr>
          <w:bCs/>
        </w:rPr>
        <w:t xml:space="preserve"> municipal pedagogical advisors; and</w:t>
      </w:r>
      <w:r w:rsidR="00C25990">
        <w:rPr>
          <w:bCs/>
        </w:rPr>
        <w:t xml:space="preserve"> </w:t>
      </w:r>
      <w:proofErr w:type="gramStart"/>
      <w:r w:rsidR="00C25990">
        <w:rPr>
          <w:bCs/>
        </w:rPr>
        <w:t>(iv) nine</w:t>
      </w:r>
      <w:proofErr w:type="gramEnd"/>
      <w:r>
        <w:rPr>
          <w:bCs/>
        </w:rPr>
        <w:t xml:space="preserve"> itinerant trainers. </w:t>
      </w:r>
      <w:r w:rsidR="00E11871">
        <w:rPr>
          <w:bCs/>
        </w:rPr>
        <w:t xml:space="preserve"> </w:t>
      </w:r>
      <w:r>
        <w:rPr>
          <w:bCs/>
        </w:rPr>
        <w:t>In addition, three national consultants would participate in this activity to monitor and support the knowledge transfer process.  Training activities for this first phase would last 24 days in six four-day sessions (one session per internat</w:t>
      </w:r>
      <w:r w:rsidR="00C25990">
        <w:rPr>
          <w:bCs/>
        </w:rPr>
        <w:t>ional expert) during the first four</w:t>
      </w:r>
      <w:r w:rsidR="00B31B3C">
        <w:rPr>
          <w:bCs/>
        </w:rPr>
        <w:t xml:space="preserve"> months of the P</w:t>
      </w:r>
      <w:r>
        <w:rPr>
          <w:bCs/>
        </w:rPr>
        <w:t xml:space="preserve">roject.  The expert and content selection for the six sessions would be based on the preschool teacher training curriculum (prepared under sub-component </w:t>
      </w:r>
      <w:r>
        <w:rPr>
          <w:bCs/>
        </w:rPr>
        <w:lastRenderedPageBreak/>
        <w:t>1.2) and the themes that the six curricular commissions would have identified.  The Project would also finance the reproduction of 468 teacher training modules (6 modules x 75 trainers).</w:t>
      </w:r>
    </w:p>
    <w:p w:rsidR="0091330F" w:rsidRDefault="0091330F" w:rsidP="0091330F">
      <w:pPr>
        <w:pStyle w:val="ListParagraph"/>
      </w:pPr>
    </w:p>
    <w:p w:rsidR="0091330F" w:rsidRPr="0091330F" w:rsidRDefault="0091330F" w:rsidP="005E2993">
      <w:pPr>
        <w:pStyle w:val="ListParagraph"/>
        <w:numPr>
          <w:ilvl w:val="0"/>
          <w:numId w:val="23"/>
        </w:numPr>
        <w:ind w:left="0" w:firstLine="0"/>
        <w:jc w:val="both"/>
        <w:rPr>
          <w:bCs/>
        </w:rPr>
      </w:pPr>
      <w:r w:rsidRPr="0091330F">
        <w:rPr>
          <w:bCs/>
        </w:rPr>
        <w:t>During the second phase, the 75 trainers will train the 381 remaining trainers that include 254 pedagogical advisors (127 departmental and 127 municipal) and 127 itinerant trainers.  Three national consultants would participate in this activity to monitor and support the knowledge transfer process.  The training content will be developed using the modules that the experts used during the first phase.  Training would take place in each of the eight</w:t>
      </w:r>
      <w:r w:rsidR="00492C73">
        <w:rPr>
          <w:bCs/>
        </w:rPr>
        <w:t xml:space="preserve"> </w:t>
      </w:r>
      <w:r w:rsidRPr="0091330F">
        <w:rPr>
          <w:bCs/>
        </w:rPr>
        <w:t xml:space="preserve">TTIs via face-to-face learning.  Each TTI would have approximately nine trainers from the first </w:t>
      </w:r>
      <w:r w:rsidR="00492C73" w:rsidRPr="0091330F">
        <w:rPr>
          <w:bCs/>
        </w:rPr>
        <w:t>phase who</w:t>
      </w:r>
      <w:r w:rsidRPr="0091330F">
        <w:rPr>
          <w:bCs/>
        </w:rPr>
        <w:t xml:space="preserve"> will take turns to train </w:t>
      </w:r>
      <w:r w:rsidR="00492C73" w:rsidRPr="0091330F">
        <w:rPr>
          <w:bCs/>
        </w:rPr>
        <w:t>about 49</w:t>
      </w:r>
      <w:r w:rsidRPr="0091330F">
        <w:rPr>
          <w:bCs/>
        </w:rPr>
        <w:t xml:space="preserve"> trainers.  The training would last 24 days</w:t>
      </w:r>
      <w:r w:rsidR="00492C73">
        <w:rPr>
          <w:bCs/>
        </w:rPr>
        <w:t>,</w:t>
      </w:r>
      <w:r w:rsidRPr="0091330F">
        <w:rPr>
          <w:bCs/>
        </w:rPr>
        <w:t xml:space="preserve"> divided in six sessions during the second four months of the Project.  The Project would finance the printing cost 2,286 modules (6 modules x 381 trainers).  </w:t>
      </w:r>
    </w:p>
    <w:p w:rsidR="00A779F8" w:rsidRDefault="00A779F8" w:rsidP="000A5AE1">
      <w:pPr>
        <w:jc w:val="both"/>
        <w:rPr>
          <w:bCs/>
          <w:u w:val="single"/>
        </w:rPr>
      </w:pPr>
    </w:p>
    <w:p w:rsidR="00480DDC" w:rsidRPr="00480DDC" w:rsidRDefault="004065AE" w:rsidP="000A5AE1">
      <w:pPr>
        <w:jc w:val="both"/>
        <w:rPr>
          <w:bCs/>
          <w:u w:val="single"/>
        </w:rPr>
      </w:pPr>
      <w:r w:rsidRPr="004065AE">
        <w:rPr>
          <w:bCs/>
          <w:u w:val="single"/>
        </w:rPr>
        <w:t>Teacher Certification Program</w:t>
      </w:r>
      <w:r w:rsidR="004111A5">
        <w:rPr>
          <w:bCs/>
          <w:u w:val="single"/>
        </w:rPr>
        <w:t xml:space="preserve"> (pre-service training)</w:t>
      </w:r>
    </w:p>
    <w:p w:rsidR="00EC4B95" w:rsidRDefault="00F65BCC" w:rsidP="005E2993">
      <w:pPr>
        <w:pStyle w:val="ListParagraph"/>
        <w:numPr>
          <w:ilvl w:val="0"/>
          <w:numId w:val="23"/>
        </w:numPr>
        <w:ind w:left="0" w:firstLine="0"/>
        <w:jc w:val="both"/>
        <w:rPr>
          <w:bCs/>
        </w:rPr>
      </w:pPr>
      <w:r w:rsidRPr="00F65BCC">
        <w:rPr>
          <w:bCs/>
        </w:rPr>
        <w:t xml:space="preserve">Trainers of the Preschool National Training Team members </w:t>
      </w:r>
      <w:r>
        <w:rPr>
          <w:bCs/>
        </w:rPr>
        <w:t>would</w:t>
      </w:r>
      <w:r w:rsidRPr="00F65BCC">
        <w:rPr>
          <w:bCs/>
        </w:rPr>
        <w:t xml:space="preserve"> deliver the teacher certification program for the “Primary Education Teachers with Preschool Education Major</w:t>
      </w:r>
      <w:r w:rsidR="00EE2ABC">
        <w:rPr>
          <w:bCs/>
        </w:rPr>
        <w:t>.”</w:t>
      </w:r>
      <w:r w:rsidRPr="00F65BCC">
        <w:rPr>
          <w:bCs/>
        </w:rPr>
        <w:t xml:space="preserve">  The program will take place in the eight TTIs and/or professional development nucleus to approximately 2,000 preschool teachers</w:t>
      </w:r>
      <w:r>
        <w:rPr>
          <w:bCs/>
        </w:rPr>
        <w:t xml:space="preserve">.  </w:t>
      </w:r>
      <w:r w:rsidRPr="00F65BCC">
        <w:rPr>
          <w:bCs/>
        </w:rPr>
        <w:t>Only those wi</w:t>
      </w:r>
      <w:r w:rsidR="00173BA7">
        <w:rPr>
          <w:bCs/>
        </w:rPr>
        <w:t>th at least a g</w:t>
      </w:r>
      <w:r w:rsidRPr="00F65BCC">
        <w:rPr>
          <w:bCs/>
        </w:rPr>
        <w:t>rade 11 education (</w:t>
      </w:r>
      <w:r w:rsidRPr="00F65BCC">
        <w:rPr>
          <w:bCs/>
          <w:i/>
        </w:rPr>
        <w:t>bachillerato</w:t>
      </w:r>
      <w:r w:rsidRPr="00F65BCC">
        <w:rPr>
          <w:bCs/>
        </w:rPr>
        <w:t xml:space="preserve">) would be selected (those who have not completed secondary education would have the opportunity to do so under a different program).  </w:t>
      </w:r>
      <w:r w:rsidRPr="00D90131">
        <w:rPr>
          <w:bCs/>
        </w:rPr>
        <w:t>The TTIs would also receive the same package of pedagogical materials that preschools would receive through</w:t>
      </w:r>
      <w:r>
        <w:rPr>
          <w:bCs/>
        </w:rPr>
        <w:t xml:space="preserve"> the </w:t>
      </w:r>
      <w:r w:rsidRPr="00D90131">
        <w:rPr>
          <w:bCs/>
        </w:rPr>
        <w:t>Pro</w:t>
      </w:r>
      <w:r>
        <w:rPr>
          <w:bCs/>
        </w:rPr>
        <w:t>j</w:t>
      </w:r>
      <w:r w:rsidRPr="00D90131">
        <w:rPr>
          <w:bCs/>
        </w:rPr>
        <w:t>ec</w:t>
      </w:r>
      <w:r>
        <w:rPr>
          <w:bCs/>
        </w:rPr>
        <w:t>t</w:t>
      </w:r>
      <w:r w:rsidRPr="00D90131">
        <w:rPr>
          <w:bCs/>
        </w:rPr>
        <w:t>,</w:t>
      </w:r>
      <w:r>
        <w:rPr>
          <w:bCs/>
        </w:rPr>
        <w:t xml:space="preserve"> to support trainer’s methodologies</w:t>
      </w:r>
      <w:r w:rsidRPr="00D90131">
        <w:rPr>
          <w:bCs/>
        </w:rPr>
        <w:t xml:space="preserve">. </w:t>
      </w:r>
      <w:r>
        <w:rPr>
          <w:bCs/>
        </w:rPr>
        <w:t xml:space="preserve"> </w:t>
      </w:r>
      <w:r w:rsidR="00625E1A">
        <w:rPr>
          <w:bCs/>
        </w:rPr>
        <w:t>The 48 Preschool Trainers of the TTIs</w:t>
      </w:r>
      <w:r w:rsidR="00182557">
        <w:rPr>
          <w:bCs/>
        </w:rPr>
        <w:t xml:space="preserve"> and the 19 Departmental Pedagogic Advisors </w:t>
      </w:r>
      <w:r w:rsidR="00625E1A">
        <w:rPr>
          <w:bCs/>
        </w:rPr>
        <w:t xml:space="preserve">would be trained for 15 days in the use of the new curriculum.  </w:t>
      </w:r>
      <w:r w:rsidRPr="00F65BCC">
        <w:rPr>
          <w:bCs/>
        </w:rPr>
        <w:t>Trainees would attend face-to-face training on Saturdays and during school vacations, but would also be given self-directed learning materials for home-based study</w:t>
      </w:r>
      <w:r>
        <w:rPr>
          <w:bCs/>
        </w:rPr>
        <w:t>.</w:t>
      </w:r>
      <w:r w:rsidRPr="00F65BCC">
        <w:rPr>
          <w:bCs/>
        </w:rPr>
        <w:t xml:space="preserve"> </w:t>
      </w:r>
      <w:r>
        <w:rPr>
          <w:bCs/>
        </w:rPr>
        <w:t xml:space="preserve"> The training content would use </w:t>
      </w:r>
      <w:r w:rsidRPr="00F65BCC">
        <w:rPr>
          <w:bCs/>
        </w:rPr>
        <w:t xml:space="preserve">the Preschool Teacher Training Curriculum.  The </w:t>
      </w:r>
      <w:r>
        <w:rPr>
          <w:bCs/>
        </w:rPr>
        <w:t xml:space="preserve">teacher certification </w:t>
      </w:r>
      <w:r w:rsidRPr="00F65BCC">
        <w:rPr>
          <w:bCs/>
        </w:rPr>
        <w:t>program would last a total of 110 days for a total of two</w:t>
      </w:r>
      <w:r w:rsidR="004111A5">
        <w:rPr>
          <w:bCs/>
        </w:rPr>
        <w:t xml:space="preserve"> and half years</w:t>
      </w:r>
      <w:r w:rsidRPr="00F65BCC">
        <w:rPr>
          <w:bCs/>
        </w:rPr>
        <w:t xml:space="preserve"> between </w:t>
      </w:r>
      <w:r w:rsidR="008F678C">
        <w:rPr>
          <w:bCs/>
        </w:rPr>
        <w:t>July 2013</w:t>
      </w:r>
      <w:r w:rsidRPr="00F65BCC">
        <w:rPr>
          <w:bCs/>
        </w:rPr>
        <w:t xml:space="preserve"> and 2015.</w:t>
      </w:r>
      <w:r>
        <w:rPr>
          <w:bCs/>
        </w:rPr>
        <w:t xml:space="preserve">  </w:t>
      </w:r>
      <w:r w:rsidRPr="00F65BCC">
        <w:rPr>
          <w:bCs/>
        </w:rPr>
        <w:t>Teachers that complete the certification program would receive a small salary increase</w:t>
      </w:r>
      <w:r w:rsidR="005932EF">
        <w:rPr>
          <w:bCs/>
        </w:rPr>
        <w:t xml:space="preserve"> </w:t>
      </w:r>
      <w:r w:rsidR="005932EF" w:rsidRPr="005932EF">
        <w:rPr>
          <w:bCs/>
        </w:rPr>
        <w:t>with this certification as an incentive (US$40/year)</w:t>
      </w:r>
      <w:r w:rsidRPr="00F65BCC">
        <w:rPr>
          <w:bCs/>
        </w:rPr>
        <w:t>. The Project would finance educational materials, training, transportation and per diem (for trainers and trainees), and all operational costs related to this activity.</w:t>
      </w:r>
      <w:r w:rsidR="005932EF">
        <w:rPr>
          <w:bCs/>
        </w:rPr>
        <w:t xml:space="preserve"> </w:t>
      </w:r>
      <w:r w:rsidRPr="00F65BCC">
        <w:rPr>
          <w:bCs/>
        </w:rPr>
        <w:t xml:space="preserve"> The GoN will finance the salary increase for the new certified teachers.</w:t>
      </w:r>
    </w:p>
    <w:p w:rsidR="00EC4B95" w:rsidRDefault="00EC4B95" w:rsidP="00EC4B95">
      <w:pPr>
        <w:pStyle w:val="ListParagraph"/>
        <w:ind w:left="0"/>
        <w:jc w:val="both"/>
        <w:rPr>
          <w:bCs/>
        </w:rPr>
      </w:pPr>
    </w:p>
    <w:p w:rsidR="00EC4B95" w:rsidRPr="00F33478" w:rsidRDefault="00EC4B95" w:rsidP="00EC4B95">
      <w:pPr>
        <w:pStyle w:val="ListParagraph"/>
        <w:jc w:val="center"/>
        <w:rPr>
          <w:b/>
          <w:bCs/>
        </w:rPr>
      </w:pPr>
      <w:r w:rsidRPr="00F33478">
        <w:rPr>
          <w:b/>
          <w:bCs/>
        </w:rPr>
        <w:t xml:space="preserve">Table 2.6 </w:t>
      </w:r>
      <w:r w:rsidR="00952CF7">
        <w:rPr>
          <w:b/>
          <w:bCs/>
        </w:rPr>
        <w:t>Certification Program for Preschool Teachers</w:t>
      </w:r>
    </w:p>
    <w:tbl>
      <w:tblPr>
        <w:tblStyle w:val="TableGrid"/>
        <w:tblW w:w="0" w:type="auto"/>
        <w:jc w:val="center"/>
        <w:tblInd w:w="-436" w:type="dxa"/>
        <w:tblLook w:val="04A0" w:firstRow="1" w:lastRow="0" w:firstColumn="1" w:lastColumn="0" w:noHBand="0" w:noVBand="1"/>
      </w:tblPr>
      <w:tblGrid>
        <w:gridCol w:w="1152"/>
        <w:gridCol w:w="1160"/>
        <w:gridCol w:w="1154"/>
        <w:gridCol w:w="18"/>
        <w:gridCol w:w="1173"/>
        <w:gridCol w:w="1154"/>
        <w:gridCol w:w="1154"/>
        <w:gridCol w:w="1154"/>
        <w:gridCol w:w="1154"/>
      </w:tblGrid>
      <w:tr w:rsidR="006965C1" w:rsidRPr="00F33478" w:rsidTr="00956664">
        <w:trPr>
          <w:jc w:val="center"/>
        </w:trPr>
        <w:tc>
          <w:tcPr>
            <w:tcW w:w="1152" w:type="dxa"/>
          </w:tcPr>
          <w:p w:rsidR="006965C1" w:rsidRPr="00185F6A" w:rsidRDefault="006965C1" w:rsidP="00952CF7">
            <w:pPr>
              <w:pStyle w:val="ListParagraph"/>
              <w:jc w:val="both"/>
              <w:rPr>
                <w:bCs/>
                <w:i/>
              </w:rPr>
            </w:pPr>
          </w:p>
        </w:tc>
        <w:tc>
          <w:tcPr>
            <w:tcW w:w="2113" w:type="dxa"/>
            <w:gridSpan w:val="3"/>
          </w:tcPr>
          <w:p w:rsidR="006965C1" w:rsidRPr="00185F6A" w:rsidRDefault="006965C1" w:rsidP="00952CF7">
            <w:pPr>
              <w:pStyle w:val="ListParagraph"/>
              <w:ind w:left="58"/>
              <w:jc w:val="center"/>
              <w:rPr>
                <w:b/>
                <w:bCs/>
                <w:lang w:val="pt-BR"/>
              </w:rPr>
            </w:pPr>
            <w:r w:rsidRPr="00185F6A">
              <w:rPr>
                <w:b/>
                <w:bCs/>
                <w:lang w:val="pt-BR"/>
              </w:rPr>
              <w:t>2013</w:t>
            </w:r>
          </w:p>
        </w:tc>
        <w:tc>
          <w:tcPr>
            <w:tcW w:w="2108" w:type="dxa"/>
            <w:gridSpan w:val="2"/>
          </w:tcPr>
          <w:p w:rsidR="006965C1" w:rsidRPr="00185F6A" w:rsidRDefault="006965C1" w:rsidP="00952CF7">
            <w:pPr>
              <w:pStyle w:val="ListParagraph"/>
              <w:ind w:left="58"/>
              <w:jc w:val="center"/>
              <w:rPr>
                <w:b/>
                <w:bCs/>
                <w:lang w:val="pt-BR"/>
              </w:rPr>
            </w:pPr>
            <w:r w:rsidRPr="00185F6A">
              <w:rPr>
                <w:b/>
                <w:bCs/>
                <w:lang w:val="pt-BR"/>
              </w:rPr>
              <w:t>2014</w:t>
            </w:r>
          </w:p>
        </w:tc>
        <w:tc>
          <w:tcPr>
            <w:tcW w:w="2143" w:type="dxa"/>
            <w:gridSpan w:val="2"/>
          </w:tcPr>
          <w:p w:rsidR="006965C1" w:rsidRPr="00185F6A" w:rsidRDefault="006965C1" w:rsidP="00952CF7">
            <w:pPr>
              <w:pStyle w:val="ListParagraph"/>
              <w:ind w:left="58"/>
              <w:jc w:val="center"/>
              <w:rPr>
                <w:b/>
                <w:bCs/>
                <w:lang w:val="pt-BR"/>
              </w:rPr>
            </w:pPr>
            <w:r w:rsidRPr="00185F6A">
              <w:rPr>
                <w:b/>
                <w:bCs/>
                <w:lang w:val="pt-BR"/>
              </w:rPr>
              <w:t>2015</w:t>
            </w:r>
          </w:p>
        </w:tc>
        <w:tc>
          <w:tcPr>
            <w:tcW w:w="1070" w:type="dxa"/>
          </w:tcPr>
          <w:p w:rsidR="006965C1" w:rsidRPr="00185F6A" w:rsidRDefault="006965C1" w:rsidP="00952CF7">
            <w:pPr>
              <w:pStyle w:val="ListParagraph"/>
              <w:ind w:left="58"/>
              <w:jc w:val="center"/>
              <w:rPr>
                <w:b/>
                <w:bCs/>
                <w:lang w:val="pt-BR"/>
              </w:rPr>
            </w:pPr>
            <w:r w:rsidRPr="00185F6A">
              <w:rPr>
                <w:b/>
                <w:bCs/>
                <w:lang w:val="pt-BR"/>
              </w:rPr>
              <w:t>2016</w:t>
            </w:r>
          </w:p>
        </w:tc>
      </w:tr>
      <w:tr w:rsidR="006965C1" w:rsidRPr="00F33478" w:rsidTr="00956664">
        <w:trPr>
          <w:jc w:val="center"/>
        </w:trPr>
        <w:tc>
          <w:tcPr>
            <w:tcW w:w="1152" w:type="dxa"/>
          </w:tcPr>
          <w:p w:rsidR="006965C1" w:rsidRPr="00185F6A" w:rsidRDefault="006965C1" w:rsidP="00952CF7">
            <w:pPr>
              <w:pStyle w:val="ListParagraph"/>
              <w:ind w:left="0"/>
              <w:rPr>
                <w:bCs/>
                <w:lang w:val="pt-BR"/>
              </w:rPr>
            </w:pPr>
          </w:p>
        </w:tc>
        <w:tc>
          <w:tcPr>
            <w:tcW w:w="1051" w:type="dxa"/>
            <w:tcBorders>
              <w:right w:val="single" w:sz="4" w:space="0" w:color="auto"/>
            </w:tcBorders>
          </w:tcPr>
          <w:p w:rsidR="006965C1" w:rsidRPr="00185F6A" w:rsidRDefault="006965C1" w:rsidP="006965C1">
            <w:pPr>
              <w:pStyle w:val="ListParagraph"/>
              <w:ind w:left="58" w:right="6"/>
              <w:jc w:val="center"/>
              <w:rPr>
                <w:bCs/>
                <w:lang w:val="es-EC"/>
              </w:rPr>
            </w:pPr>
            <w:r w:rsidRPr="00185F6A">
              <w:rPr>
                <w:bCs/>
                <w:lang w:val="es-EC"/>
              </w:rPr>
              <w:t>1st Semestre</w:t>
            </w:r>
          </w:p>
        </w:tc>
        <w:tc>
          <w:tcPr>
            <w:tcW w:w="1051" w:type="dxa"/>
            <w:tcBorders>
              <w:left w:val="single" w:sz="4" w:space="0" w:color="auto"/>
            </w:tcBorders>
          </w:tcPr>
          <w:p w:rsidR="006965C1" w:rsidRPr="00185F6A" w:rsidRDefault="006965C1" w:rsidP="00952CF7">
            <w:pPr>
              <w:pStyle w:val="ListParagraph"/>
              <w:ind w:left="58"/>
              <w:jc w:val="center"/>
              <w:rPr>
                <w:bCs/>
                <w:lang w:val="es-EC"/>
              </w:rPr>
            </w:pPr>
            <w:r w:rsidRPr="00185F6A">
              <w:rPr>
                <w:bCs/>
                <w:lang w:val="es-EC"/>
              </w:rPr>
              <w:t>2nd Semestre</w:t>
            </w:r>
          </w:p>
        </w:tc>
        <w:tc>
          <w:tcPr>
            <w:tcW w:w="1051" w:type="dxa"/>
            <w:gridSpan w:val="2"/>
          </w:tcPr>
          <w:p w:rsidR="006965C1" w:rsidRPr="00185F6A" w:rsidRDefault="006965C1" w:rsidP="00952CF7">
            <w:pPr>
              <w:pStyle w:val="ListParagraph"/>
              <w:ind w:left="58" w:right="37"/>
              <w:jc w:val="center"/>
              <w:rPr>
                <w:bCs/>
                <w:lang w:val="es-EC"/>
              </w:rPr>
            </w:pPr>
            <w:r w:rsidRPr="00185F6A">
              <w:rPr>
                <w:bCs/>
                <w:lang w:val="es-EC"/>
              </w:rPr>
              <w:t>1st Semestre</w:t>
            </w:r>
          </w:p>
        </w:tc>
        <w:tc>
          <w:tcPr>
            <w:tcW w:w="1068" w:type="dxa"/>
          </w:tcPr>
          <w:p w:rsidR="006965C1" w:rsidRPr="00185F6A" w:rsidRDefault="006965C1" w:rsidP="006965C1">
            <w:pPr>
              <w:pStyle w:val="ListParagraph"/>
              <w:ind w:left="58"/>
              <w:jc w:val="center"/>
              <w:rPr>
                <w:bCs/>
                <w:lang w:val="es-EC"/>
              </w:rPr>
            </w:pPr>
            <w:r w:rsidRPr="00185F6A">
              <w:rPr>
                <w:bCs/>
                <w:lang w:val="es-EC"/>
              </w:rPr>
              <w:t>2nd Semestre</w:t>
            </w:r>
          </w:p>
        </w:tc>
        <w:tc>
          <w:tcPr>
            <w:tcW w:w="1034" w:type="dxa"/>
          </w:tcPr>
          <w:p w:rsidR="006965C1" w:rsidRPr="00185F6A" w:rsidRDefault="006965C1" w:rsidP="006965C1">
            <w:pPr>
              <w:pStyle w:val="ListParagraph"/>
              <w:ind w:left="58"/>
              <w:jc w:val="center"/>
              <w:rPr>
                <w:bCs/>
                <w:lang w:val="es-EC"/>
              </w:rPr>
            </w:pPr>
            <w:r w:rsidRPr="00185F6A">
              <w:rPr>
                <w:bCs/>
                <w:lang w:val="es-EC"/>
              </w:rPr>
              <w:t>1st Semestre</w:t>
            </w:r>
          </w:p>
        </w:tc>
        <w:tc>
          <w:tcPr>
            <w:tcW w:w="1109" w:type="dxa"/>
          </w:tcPr>
          <w:p w:rsidR="006965C1" w:rsidRPr="00185F6A" w:rsidRDefault="006965C1" w:rsidP="006965C1">
            <w:pPr>
              <w:pStyle w:val="ListParagraph"/>
              <w:ind w:left="58"/>
              <w:jc w:val="center"/>
              <w:rPr>
                <w:bCs/>
                <w:lang w:val="es-EC"/>
              </w:rPr>
            </w:pPr>
            <w:r w:rsidRPr="00185F6A">
              <w:rPr>
                <w:bCs/>
                <w:lang w:val="es-EC"/>
              </w:rPr>
              <w:t>2nd Semestre</w:t>
            </w:r>
          </w:p>
        </w:tc>
        <w:tc>
          <w:tcPr>
            <w:tcW w:w="1070" w:type="dxa"/>
          </w:tcPr>
          <w:p w:rsidR="006965C1" w:rsidRPr="00185F6A" w:rsidRDefault="006965C1" w:rsidP="006965C1">
            <w:pPr>
              <w:pStyle w:val="ListParagraph"/>
              <w:ind w:left="58"/>
              <w:jc w:val="center"/>
              <w:rPr>
                <w:bCs/>
                <w:lang w:val="es-EC"/>
              </w:rPr>
            </w:pPr>
            <w:r w:rsidRPr="00185F6A">
              <w:rPr>
                <w:bCs/>
                <w:lang w:val="es-EC"/>
              </w:rPr>
              <w:t>1st Semestre</w:t>
            </w:r>
          </w:p>
        </w:tc>
      </w:tr>
      <w:tr w:rsidR="006965C1" w:rsidRPr="00F33478" w:rsidTr="00956664">
        <w:trPr>
          <w:jc w:val="center"/>
        </w:trPr>
        <w:tc>
          <w:tcPr>
            <w:tcW w:w="1152" w:type="dxa"/>
          </w:tcPr>
          <w:p w:rsidR="006965C1" w:rsidRPr="00185F6A" w:rsidRDefault="006965C1" w:rsidP="00C42C57">
            <w:pPr>
              <w:pStyle w:val="ListParagraph"/>
              <w:ind w:left="0"/>
              <w:rPr>
                <w:bCs/>
                <w:lang w:val="pt-BR"/>
              </w:rPr>
            </w:pPr>
            <w:r w:rsidRPr="00185F6A">
              <w:rPr>
                <w:bCs/>
                <w:lang w:val="es-EC"/>
              </w:rPr>
              <w:t>1st Cohort</w:t>
            </w:r>
          </w:p>
        </w:tc>
        <w:tc>
          <w:tcPr>
            <w:tcW w:w="1051" w:type="dxa"/>
          </w:tcPr>
          <w:p w:rsidR="006965C1" w:rsidRPr="00185F6A" w:rsidRDefault="006965C1" w:rsidP="00952CF7">
            <w:pPr>
              <w:pStyle w:val="ListParagraph"/>
              <w:ind w:left="58" w:right="294"/>
              <w:jc w:val="right"/>
              <w:rPr>
                <w:bCs/>
                <w:lang w:val="es-EC"/>
              </w:rPr>
            </w:pPr>
          </w:p>
        </w:tc>
        <w:tc>
          <w:tcPr>
            <w:tcW w:w="1051" w:type="dxa"/>
          </w:tcPr>
          <w:p w:rsidR="006965C1" w:rsidRPr="00185F6A" w:rsidRDefault="00185F6A" w:rsidP="00952CF7">
            <w:pPr>
              <w:pStyle w:val="ListParagraph"/>
              <w:ind w:left="58" w:right="294"/>
              <w:jc w:val="right"/>
              <w:rPr>
                <w:bCs/>
                <w:lang w:val="es-EC"/>
              </w:rPr>
            </w:pPr>
            <w:r w:rsidRPr="00185F6A">
              <w:rPr>
                <w:bCs/>
                <w:noProof/>
              </w:rPr>
              <mc:AlternateContent>
                <mc:Choice Requires="wps">
                  <w:drawing>
                    <wp:anchor distT="0" distB="0" distL="114300" distR="114300" simplePos="0" relativeHeight="251659264" behindDoc="0" locked="0" layoutInCell="1" allowOverlap="1" wp14:anchorId="32D229E0" wp14:editId="439D5157">
                      <wp:simplePos x="0" y="0"/>
                      <wp:positionH relativeFrom="column">
                        <wp:posOffset>521970</wp:posOffset>
                      </wp:positionH>
                      <wp:positionV relativeFrom="paragraph">
                        <wp:posOffset>63500</wp:posOffset>
                      </wp:positionV>
                      <wp:extent cx="2628265" cy="7620"/>
                      <wp:effectExtent l="0" t="76200" r="19685" b="106680"/>
                      <wp:wrapNone/>
                      <wp:docPr id="2" name="Straight Arrow Connector 2"/>
                      <wp:cNvGraphicFramePr/>
                      <a:graphic xmlns:a="http://schemas.openxmlformats.org/drawingml/2006/main">
                        <a:graphicData uri="http://schemas.microsoft.com/office/word/2010/wordprocessingShape">
                          <wps:wsp>
                            <wps:cNvCnPr/>
                            <wps:spPr>
                              <a:xfrm flipV="1">
                                <a:off x="0" y="0"/>
                                <a:ext cx="2628265" cy="7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1.1pt;margin-top:5pt;width:206.95pt;height:.6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" strokecolor="black [3040]">
                      <v:stroke endarrow="open"/>
                    </v:shape>
                  </w:pict>
                </mc:Fallback>
              </mc:AlternateContent>
            </w:r>
            <w:r w:rsidR="006965C1" w:rsidRPr="00185F6A">
              <w:rPr>
                <w:bCs/>
                <w:lang w:val="es-EC"/>
              </w:rPr>
              <w:t>1300</w:t>
            </w:r>
          </w:p>
        </w:tc>
        <w:tc>
          <w:tcPr>
            <w:tcW w:w="1051" w:type="dxa"/>
            <w:gridSpan w:val="2"/>
          </w:tcPr>
          <w:p w:rsidR="006965C1" w:rsidRPr="00185F6A" w:rsidRDefault="006965C1" w:rsidP="00952CF7">
            <w:pPr>
              <w:pStyle w:val="ListParagraph"/>
              <w:ind w:left="58" w:right="177"/>
              <w:jc w:val="right"/>
              <w:rPr>
                <w:bCs/>
                <w:lang w:val="es-EC"/>
              </w:rPr>
            </w:pPr>
          </w:p>
        </w:tc>
        <w:tc>
          <w:tcPr>
            <w:tcW w:w="1068" w:type="dxa"/>
          </w:tcPr>
          <w:p w:rsidR="006965C1" w:rsidRPr="00185F6A" w:rsidRDefault="006965C1" w:rsidP="00952CF7">
            <w:pPr>
              <w:pStyle w:val="ListParagraph"/>
              <w:ind w:left="58"/>
              <w:jc w:val="right"/>
              <w:rPr>
                <w:bCs/>
                <w:lang w:val="es-EC"/>
              </w:rPr>
            </w:pPr>
          </w:p>
        </w:tc>
        <w:tc>
          <w:tcPr>
            <w:tcW w:w="1034" w:type="dxa"/>
          </w:tcPr>
          <w:p w:rsidR="006965C1" w:rsidRPr="00185F6A" w:rsidRDefault="006965C1" w:rsidP="00952CF7">
            <w:pPr>
              <w:pStyle w:val="ListParagraph"/>
              <w:ind w:left="58" w:right="-7"/>
              <w:jc w:val="right"/>
              <w:rPr>
                <w:bCs/>
                <w:lang w:val="es-EC"/>
              </w:rPr>
            </w:pPr>
          </w:p>
        </w:tc>
        <w:tc>
          <w:tcPr>
            <w:tcW w:w="1109" w:type="dxa"/>
          </w:tcPr>
          <w:p w:rsidR="006965C1" w:rsidRPr="00185F6A" w:rsidRDefault="006965C1" w:rsidP="006965C1">
            <w:pPr>
              <w:pStyle w:val="ListParagraph"/>
              <w:ind w:left="58" w:right="35"/>
              <w:jc w:val="right"/>
              <w:rPr>
                <w:bCs/>
                <w:lang w:val="es-EC"/>
              </w:rPr>
            </w:pPr>
            <w:r w:rsidRPr="00185F6A">
              <w:rPr>
                <w:bCs/>
                <w:lang w:val="es-EC"/>
              </w:rPr>
              <w:t>1300</w:t>
            </w:r>
          </w:p>
        </w:tc>
        <w:tc>
          <w:tcPr>
            <w:tcW w:w="1070" w:type="dxa"/>
          </w:tcPr>
          <w:p w:rsidR="006965C1" w:rsidRPr="00185F6A" w:rsidRDefault="006965C1" w:rsidP="00952CF7">
            <w:pPr>
              <w:pStyle w:val="ListParagraph"/>
              <w:ind w:left="58" w:right="177"/>
              <w:jc w:val="right"/>
              <w:rPr>
                <w:bCs/>
                <w:lang w:val="es-EC"/>
              </w:rPr>
            </w:pPr>
          </w:p>
        </w:tc>
      </w:tr>
      <w:tr w:rsidR="006965C1" w:rsidRPr="00F33478" w:rsidTr="00956664">
        <w:trPr>
          <w:jc w:val="center"/>
        </w:trPr>
        <w:tc>
          <w:tcPr>
            <w:tcW w:w="1152" w:type="dxa"/>
          </w:tcPr>
          <w:p w:rsidR="006965C1" w:rsidRPr="00185F6A" w:rsidRDefault="006965C1" w:rsidP="00C42C57">
            <w:pPr>
              <w:pStyle w:val="ListParagraph"/>
              <w:ind w:left="0"/>
              <w:rPr>
                <w:bCs/>
                <w:lang w:val="es-EC"/>
              </w:rPr>
            </w:pPr>
            <w:r w:rsidRPr="00185F6A">
              <w:rPr>
                <w:bCs/>
                <w:lang w:val="es-EC"/>
              </w:rPr>
              <w:t>2nd Cohort</w:t>
            </w:r>
          </w:p>
        </w:tc>
        <w:tc>
          <w:tcPr>
            <w:tcW w:w="1051" w:type="dxa"/>
          </w:tcPr>
          <w:p w:rsidR="006965C1" w:rsidRPr="00185F6A" w:rsidRDefault="006965C1" w:rsidP="00952CF7">
            <w:pPr>
              <w:pStyle w:val="ListParagraph"/>
              <w:ind w:left="58" w:right="294"/>
              <w:jc w:val="right"/>
              <w:rPr>
                <w:bCs/>
                <w:lang w:val="es-EC"/>
              </w:rPr>
            </w:pPr>
          </w:p>
        </w:tc>
        <w:tc>
          <w:tcPr>
            <w:tcW w:w="1051" w:type="dxa"/>
          </w:tcPr>
          <w:p w:rsidR="006965C1" w:rsidRPr="00185F6A" w:rsidRDefault="006965C1" w:rsidP="00952CF7">
            <w:pPr>
              <w:pStyle w:val="ListParagraph"/>
              <w:ind w:left="58" w:right="294"/>
              <w:jc w:val="right"/>
              <w:rPr>
                <w:bCs/>
                <w:lang w:val="es-EC"/>
              </w:rPr>
            </w:pPr>
          </w:p>
        </w:tc>
        <w:tc>
          <w:tcPr>
            <w:tcW w:w="1051" w:type="dxa"/>
            <w:gridSpan w:val="2"/>
          </w:tcPr>
          <w:p w:rsidR="006965C1" w:rsidRPr="00185F6A" w:rsidRDefault="00185F6A" w:rsidP="00952CF7">
            <w:pPr>
              <w:pStyle w:val="ListParagraph"/>
              <w:ind w:left="58" w:right="177"/>
              <w:jc w:val="right"/>
              <w:rPr>
                <w:bCs/>
                <w:lang w:val="es-EC"/>
              </w:rPr>
            </w:pPr>
            <w:r w:rsidRPr="00185F6A">
              <w:rPr>
                <w:bCs/>
                <w:noProof/>
              </w:rPr>
              <mc:AlternateContent>
                <mc:Choice Requires="wps">
                  <w:drawing>
                    <wp:anchor distT="0" distB="0" distL="114300" distR="114300" simplePos="0" relativeHeight="251660288" behindDoc="0" locked="0" layoutInCell="1" allowOverlap="1" wp14:anchorId="05463DB7" wp14:editId="72BA576A">
                      <wp:simplePos x="0" y="0"/>
                      <wp:positionH relativeFrom="column">
                        <wp:posOffset>627380</wp:posOffset>
                      </wp:positionH>
                      <wp:positionV relativeFrom="paragraph">
                        <wp:posOffset>49530</wp:posOffset>
                      </wp:positionV>
                      <wp:extent cx="2492375" cy="15240"/>
                      <wp:effectExtent l="0" t="76200" r="22225" b="99060"/>
                      <wp:wrapNone/>
                      <wp:docPr id="3" name="Straight Arrow Connector 3"/>
                      <wp:cNvGraphicFramePr/>
                      <a:graphic xmlns:a="http://schemas.openxmlformats.org/drawingml/2006/main">
                        <a:graphicData uri="http://schemas.microsoft.com/office/word/2010/wordprocessingShape">
                          <wps:wsp>
                            <wps:cNvCnPr/>
                            <wps:spPr>
                              <a:xfrm flipV="1">
                                <a:off x="0" y="0"/>
                                <a:ext cx="2492375" cy="15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49.4pt;margin-top:3.9pt;width:196.25pt;height:1.2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" strokecolor="black [3040]">
                      <v:stroke endarrow="open"/>
                    </v:shape>
                  </w:pict>
                </mc:Fallback>
              </mc:AlternateContent>
            </w:r>
            <w:r w:rsidR="006965C1" w:rsidRPr="00185F6A">
              <w:rPr>
                <w:bCs/>
                <w:lang w:val="es-EC"/>
              </w:rPr>
              <w:t>1400</w:t>
            </w:r>
          </w:p>
        </w:tc>
        <w:tc>
          <w:tcPr>
            <w:tcW w:w="1068" w:type="dxa"/>
          </w:tcPr>
          <w:p w:rsidR="006965C1" w:rsidRPr="00185F6A" w:rsidRDefault="006965C1" w:rsidP="00952CF7">
            <w:pPr>
              <w:pStyle w:val="ListParagraph"/>
              <w:ind w:left="58"/>
              <w:jc w:val="right"/>
              <w:rPr>
                <w:bCs/>
                <w:lang w:val="es-EC"/>
              </w:rPr>
            </w:pPr>
          </w:p>
        </w:tc>
        <w:tc>
          <w:tcPr>
            <w:tcW w:w="1034" w:type="dxa"/>
          </w:tcPr>
          <w:p w:rsidR="006965C1" w:rsidRPr="00185F6A" w:rsidRDefault="006965C1" w:rsidP="00952CF7">
            <w:pPr>
              <w:pStyle w:val="ListParagraph"/>
              <w:ind w:left="58" w:right="-7"/>
              <w:jc w:val="right"/>
              <w:rPr>
                <w:bCs/>
                <w:lang w:val="es-EC"/>
              </w:rPr>
            </w:pPr>
          </w:p>
        </w:tc>
        <w:tc>
          <w:tcPr>
            <w:tcW w:w="1109" w:type="dxa"/>
          </w:tcPr>
          <w:p w:rsidR="006965C1" w:rsidRPr="00185F6A" w:rsidRDefault="006965C1" w:rsidP="006965C1">
            <w:pPr>
              <w:pStyle w:val="ListParagraph"/>
              <w:ind w:left="58" w:right="35"/>
              <w:jc w:val="right"/>
              <w:rPr>
                <w:bCs/>
                <w:lang w:val="es-EC"/>
              </w:rPr>
            </w:pPr>
          </w:p>
        </w:tc>
        <w:tc>
          <w:tcPr>
            <w:tcW w:w="1070" w:type="dxa"/>
          </w:tcPr>
          <w:p w:rsidR="006965C1" w:rsidRPr="00185F6A" w:rsidRDefault="006965C1" w:rsidP="00952CF7">
            <w:pPr>
              <w:pStyle w:val="ListParagraph"/>
              <w:ind w:left="58" w:right="177"/>
              <w:jc w:val="right"/>
              <w:rPr>
                <w:bCs/>
                <w:lang w:val="es-EC"/>
              </w:rPr>
            </w:pPr>
            <w:r w:rsidRPr="00185F6A">
              <w:rPr>
                <w:bCs/>
                <w:lang w:val="es-EC"/>
              </w:rPr>
              <w:t>1400</w:t>
            </w:r>
          </w:p>
        </w:tc>
      </w:tr>
    </w:tbl>
    <w:p w:rsidR="00F65BCC" w:rsidRDefault="00F65BCC" w:rsidP="007902DD">
      <w:pPr>
        <w:jc w:val="both"/>
        <w:rPr>
          <w:bCs/>
        </w:rPr>
      </w:pPr>
    </w:p>
    <w:p w:rsidR="005B6AFD" w:rsidRPr="005B6AFD" w:rsidRDefault="004065AE" w:rsidP="000A5AE1">
      <w:pPr>
        <w:jc w:val="both"/>
        <w:rPr>
          <w:bCs/>
          <w:u w:val="single"/>
        </w:rPr>
      </w:pPr>
      <w:r w:rsidRPr="004065AE">
        <w:rPr>
          <w:bCs/>
          <w:u w:val="single"/>
        </w:rPr>
        <w:t>In-service Training Program</w:t>
      </w:r>
    </w:p>
    <w:p w:rsidR="00185F6A" w:rsidRDefault="00E70DFD" w:rsidP="005E2993">
      <w:pPr>
        <w:pStyle w:val="ListParagraph"/>
        <w:numPr>
          <w:ilvl w:val="0"/>
          <w:numId w:val="23"/>
        </w:numPr>
        <w:ind w:left="0" w:firstLine="0"/>
        <w:jc w:val="both"/>
        <w:rPr>
          <w:bCs/>
        </w:rPr>
      </w:pPr>
      <w:r w:rsidRPr="000A5AE1">
        <w:rPr>
          <w:bCs/>
        </w:rPr>
        <w:t xml:space="preserve">The </w:t>
      </w:r>
      <w:r>
        <w:rPr>
          <w:bCs/>
        </w:rPr>
        <w:t>i</w:t>
      </w:r>
      <w:r w:rsidRPr="000A5AE1">
        <w:rPr>
          <w:bCs/>
        </w:rPr>
        <w:t xml:space="preserve">n-service </w:t>
      </w:r>
      <w:r>
        <w:rPr>
          <w:bCs/>
        </w:rPr>
        <w:t xml:space="preserve">preschool education </w:t>
      </w:r>
      <w:r w:rsidRPr="000A5AE1">
        <w:rPr>
          <w:bCs/>
        </w:rPr>
        <w:t xml:space="preserve">training program would </w:t>
      </w:r>
      <w:r w:rsidR="008F678C">
        <w:rPr>
          <w:bCs/>
        </w:rPr>
        <w:t>benefit</w:t>
      </w:r>
      <w:r w:rsidR="009E11D8">
        <w:rPr>
          <w:bCs/>
        </w:rPr>
        <w:t xml:space="preserve"> </w:t>
      </w:r>
      <w:r w:rsidR="008F678C">
        <w:rPr>
          <w:bCs/>
        </w:rPr>
        <w:t xml:space="preserve">2,000 </w:t>
      </w:r>
      <w:r w:rsidR="009E11D8">
        <w:rPr>
          <w:bCs/>
        </w:rPr>
        <w:t>preschool teachers</w:t>
      </w:r>
      <w:r w:rsidR="008F678C">
        <w:rPr>
          <w:bCs/>
        </w:rPr>
        <w:t xml:space="preserve"> nationwide and 6</w:t>
      </w:r>
      <w:r w:rsidR="00F33478">
        <w:rPr>
          <w:bCs/>
        </w:rPr>
        <w:t>00 first grade primary school teachers.  MINED through the GDPE and the National Team of Preschool Trainers</w:t>
      </w:r>
      <w:r w:rsidR="00E11871">
        <w:rPr>
          <w:bCs/>
        </w:rPr>
        <w:t xml:space="preserve"> trained in 2013</w:t>
      </w:r>
      <w:r w:rsidR="00F33478">
        <w:rPr>
          <w:bCs/>
        </w:rPr>
        <w:t>, would deliver during the three years of the Project four modalities of in-service training including: (i) the six-module workshop; (ii)</w:t>
      </w:r>
      <w:r w:rsidR="00F33478" w:rsidRPr="000A5AE1">
        <w:rPr>
          <w:bCs/>
        </w:rPr>
        <w:t xml:space="preserve"> the </w:t>
      </w:r>
      <w:r w:rsidR="00F33478" w:rsidRPr="000A5AE1">
        <w:rPr>
          <w:bCs/>
        </w:rPr>
        <w:lastRenderedPageBreak/>
        <w:t>establishment of “</w:t>
      </w:r>
      <w:r w:rsidR="00F33478">
        <w:rPr>
          <w:bCs/>
        </w:rPr>
        <w:t>Reference/</w:t>
      </w:r>
      <w:r w:rsidR="00F33478" w:rsidRPr="000A5AE1">
        <w:rPr>
          <w:bCs/>
        </w:rPr>
        <w:t>demonstration classrooms”</w:t>
      </w:r>
      <w:r w:rsidR="00F33478">
        <w:rPr>
          <w:bCs/>
        </w:rPr>
        <w:t>; (iii) the</w:t>
      </w:r>
      <w:r w:rsidR="00F33478" w:rsidRPr="000A5AE1">
        <w:rPr>
          <w:bCs/>
        </w:rPr>
        <w:t xml:space="preserve"> intra-school teacher exchanges (</w:t>
      </w:r>
      <w:r w:rsidR="00F33478" w:rsidRPr="004065AE">
        <w:rPr>
          <w:bCs/>
          <w:i/>
        </w:rPr>
        <w:t>Círculos Pedagógicos</w:t>
      </w:r>
      <w:r w:rsidR="00F33478" w:rsidRPr="000A5AE1">
        <w:rPr>
          <w:bCs/>
        </w:rPr>
        <w:t>)</w:t>
      </w:r>
      <w:r w:rsidR="00F33478">
        <w:rPr>
          <w:bCs/>
        </w:rPr>
        <w:t>;</w:t>
      </w:r>
      <w:r w:rsidR="00F33478" w:rsidRPr="000A5AE1">
        <w:rPr>
          <w:bCs/>
        </w:rPr>
        <w:t xml:space="preserve"> and</w:t>
      </w:r>
      <w:r w:rsidR="00F33478">
        <w:rPr>
          <w:bCs/>
        </w:rPr>
        <w:t xml:space="preserve"> (iv)</w:t>
      </w:r>
      <w:r w:rsidR="00F33478" w:rsidRPr="000A5AE1">
        <w:rPr>
          <w:bCs/>
        </w:rPr>
        <w:t xml:space="preserve"> </w:t>
      </w:r>
      <w:r w:rsidR="00F33478">
        <w:rPr>
          <w:bCs/>
        </w:rPr>
        <w:t xml:space="preserve">the </w:t>
      </w:r>
      <w:r w:rsidR="00F33478" w:rsidRPr="000A5AE1">
        <w:rPr>
          <w:bCs/>
        </w:rPr>
        <w:t>inter-school teacher exchanges.</w:t>
      </w:r>
      <w:r w:rsidR="007B0AAE">
        <w:rPr>
          <w:bCs/>
        </w:rPr>
        <w:t xml:space="preserve">  Not all the preschool teachers would participate in each modality.</w:t>
      </w:r>
    </w:p>
    <w:p w:rsidR="00E70DFD" w:rsidRDefault="00E70DFD" w:rsidP="00185F6A">
      <w:pPr>
        <w:pStyle w:val="ListParagraph"/>
        <w:ind w:left="0"/>
        <w:jc w:val="both"/>
        <w:rPr>
          <w:bCs/>
        </w:rPr>
      </w:pPr>
      <w:r w:rsidRPr="000A5AE1">
        <w:rPr>
          <w:bCs/>
        </w:rPr>
        <w:t xml:space="preserve"> </w:t>
      </w:r>
    </w:p>
    <w:p w:rsidR="005C4590" w:rsidRPr="005C4590" w:rsidRDefault="00F33478" w:rsidP="005E2993">
      <w:pPr>
        <w:pStyle w:val="ListParagraph"/>
        <w:numPr>
          <w:ilvl w:val="0"/>
          <w:numId w:val="23"/>
        </w:numPr>
        <w:ind w:left="0" w:firstLine="0"/>
        <w:jc w:val="both"/>
        <w:rPr>
          <w:bCs/>
        </w:rPr>
      </w:pPr>
      <w:r>
        <w:rPr>
          <w:b/>
          <w:bCs/>
        </w:rPr>
        <w:t>Six-</w:t>
      </w:r>
      <w:r w:rsidR="005C4590" w:rsidRPr="005C4590">
        <w:rPr>
          <w:b/>
          <w:bCs/>
        </w:rPr>
        <w:t>module workshops</w:t>
      </w:r>
      <w:r w:rsidR="005C4590" w:rsidRPr="005C4590">
        <w:rPr>
          <w:bCs/>
        </w:rPr>
        <w:t>:</w:t>
      </w:r>
      <w:r w:rsidR="008F678C">
        <w:rPr>
          <w:bCs/>
        </w:rPr>
        <w:t xml:space="preserve">  Approximately 1,</w:t>
      </w:r>
      <w:r>
        <w:rPr>
          <w:bCs/>
        </w:rPr>
        <w:t>3</w:t>
      </w:r>
      <w:r w:rsidR="008F678C">
        <w:rPr>
          <w:bCs/>
        </w:rPr>
        <w:t>00</w:t>
      </w:r>
      <w:r>
        <w:rPr>
          <w:bCs/>
        </w:rPr>
        <w:t xml:space="preserve"> preschool and first grade teach</w:t>
      </w:r>
      <w:r w:rsidR="0057074E">
        <w:rPr>
          <w:bCs/>
        </w:rPr>
        <w:t>ers would be trained during two consecutive academic years</w:t>
      </w:r>
      <w:r w:rsidR="007B0AAE">
        <w:rPr>
          <w:bCs/>
        </w:rPr>
        <w:t xml:space="preserve"> </w:t>
      </w:r>
      <w:r w:rsidR="00185F6A">
        <w:rPr>
          <w:bCs/>
        </w:rPr>
        <w:t>(see Table 2.7</w:t>
      </w:r>
      <w:r>
        <w:rPr>
          <w:bCs/>
        </w:rPr>
        <w:t>)</w:t>
      </w:r>
      <w:r w:rsidR="007B0AAE">
        <w:rPr>
          <w:bCs/>
        </w:rPr>
        <w:t>.</w:t>
      </w:r>
      <w:r w:rsidR="005C4590" w:rsidRPr="005C4590">
        <w:rPr>
          <w:bCs/>
        </w:rPr>
        <w:t xml:space="preserve"> </w:t>
      </w:r>
      <w:r>
        <w:rPr>
          <w:bCs/>
        </w:rPr>
        <w:t xml:space="preserve"> </w:t>
      </w:r>
      <w:r w:rsidR="005C4590" w:rsidRPr="005C4590">
        <w:rPr>
          <w:bCs/>
        </w:rPr>
        <w:t xml:space="preserve">The Preschool </w:t>
      </w:r>
      <w:r>
        <w:rPr>
          <w:bCs/>
        </w:rPr>
        <w:t>National Training Team would</w:t>
      </w:r>
      <w:r w:rsidR="005C4590" w:rsidRPr="005C4590">
        <w:rPr>
          <w:bCs/>
        </w:rPr>
        <w:t xml:space="preserve"> deliver</w:t>
      </w:r>
      <w:r>
        <w:rPr>
          <w:bCs/>
        </w:rPr>
        <w:t xml:space="preserve"> the six-</w:t>
      </w:r>
      <w:r w:rsidR="005C4590" w:rsidRPr="005C4590">
        <w:rPr>
          <w:bCs/>
        </w:rPr>
        <w:t>module workshops of four non-consecutive days each.  Each module would last a month and training sessions would take place during Fridays and Saturdays every fifteen days.  A total of 24 days per year would be needed to conclude the training.  The training will begin once the preschool training curriculum is developed and the Preschool National Training Team concludes their training.  Training would take place in a variety of places including the TTIs, the “nucleus” schools, municipal and departmental facilities, etc</w:t>
      </w:r>
      <w:r w:rsidR="003629DC">
        <w:rPr>
          <w:bCs/>
        </w:rPr>
        <w:t>.</w:t>
      </w:r>
      <w:r w:rsidR="005C4590" w:rsidRPr="005C4590">
        <w:rPr>
          <w:bCs/>
        </w:rPr>
        <w:t xml:space="preserve"> </w:t>
      </w:r>
      <w:r w:rsidR="003629DC">
        <w:rPr>
          <w:bCs/>
        </w:rPr>
        <w:t xml:space="preserve"> </w:t>
      </w:r>
      <w:r w:rsidR="005C4590" w:rsidRPr="005C4590">
        <w:rPr>
          <w:bCs/>
        </w:rPr>
        <w:t>The Project would finance educational material for trainees, transportation, per diem, and operational costs related to this activity.</w:t>
      </w:r>
    </w:p>
    <w:p w:rsidR="00E11871" w:rsidRDefault="00E11871" w:rsidP="0040253F">
      <w:pPr>
        <w:pStyle w:val="ListParagraph"/>
        <w:ind w:left="0"/>
        <w:jc w:val="both"/>
        <w:rPr>
          <w:bCs/>
        </w:rPr>
      </w:pPr>
    </w:p>
    <w:p w:rsidR="00F33478" w:rsidRPr="00F33478" w:rsidRDefault="00EC4B95" w:rsidP="007B0AAE">
      <w:pPr>
        <w:pStyle w:val="ListParagraph"/>
        <w:jc w:val="center"/>
        <w:rPr>
          <w:b/>
          <w:bCs/>
        </w:rPr>
      </w:pPr>
      <w:r>
        <w:rPr>
          <w:b/>
          <w:bCs/>
        </w:rPr>
        <w:t>Table 2.7</w:t>
      </w:r>
      <w:r w:rsidR="00F33478" w:rsidRPr="00F33478">
        <w:rPr>
          <w:b/>
          <w:bCs/>
        </w:rPr>
        <w:t xml:space="preserve"> Preschool Six-module Workshop In-service Training</w:t>
      </w:r>
    </w:p>
    <w:tbl>
      <w:tblPr>
        <w:tblStyle w:val="TableGrid"/>
        <w:tblW w:w="0" w:type="auto"/>
        <w:jc w:val="center"/>
        <w:tblInd w:w="-436" w:type="dxa"/>
        <w:tblLook w:val="04A0" w:firstRow="1" w:lastRow="0" w:firstColumn="1" w:lastColumn="0" w:noHBand="0" w:noVBand="1"/>
      </w:tblPr>
      <w:tblGrid>
        <w:gridCol w:w="2396"/>
        <w:gridCol w:w="1472"/>
        <w:gridCol w:w="1440"/>
        <w:gridCol w:w="1440"/>
      </w:tblGrid>
      <w:tr w:rsidR="0057074E" w:rsidRPr="00F33478" w:rsidTr="00022BAF">
        <w:trPr>
          <w:jc w:val="center"/>
        </w:trPr>
        <w:tc>
          <w:tcPr>
            <w:tcW w:w="2396" w:type="dxa"/>
          </w:tcPr>
          <w:p w:rsidR="0057074E" w:rsidRPr="00F33478" w:rsidRDefault="0057074E" w:rsidP="00F33478">
            <w:pPr>
              <w:pStyle w:val="ListParagraph"/>
              <w:jc w:val="both"/>
              <w:rPr>
                <w:bCs/>
                <w:i/>
              </w:rPr>
            </w:pPr>
          </w:p>
        </w:tc>
        <w:tc>
          <w:tcPr>
            <w:tcW w:w="1472" w:type="dxa"/>
            <w:tcBorders>
              <w:right w:val="single" w:sz="4" w:space="0" w:color="auto"/>
            </w:tcBorders>
          </w:tcPr>
          <w:p w:rsidR="0057074E" w:rsidRPr="00F33478" w:rsidRDefault="0057074E" w:rsidP="00F33478">
            <w:pPr>
              <w:pStyle w:val="ListParagraph"/>
              <w:ind w:left="58"/>
              <w:jc w:val="center"/>
              <w:rPr>
                <w:b/>
                <w:bCs/>
                <w:lang w:val="pt-BR"/>
              </w:rPr>
            </w:pPr>
            <w:r>
              <w:rPr>
                <w:b/>
                <w:bCs/>
                <w:lang w:val="pt-BR"/>
              </w:rPr>
              <w:t>2014</w:t>
            </w:r>
          </w:p>
        </w:tc>
        <w:tc>
          <w:tcPr>
            <w:tcW w:w="1440" w:type="dxa"/>
            <w:tcBorders>
              <w:left w:val="single" w:sz="4" w:space="0" w:color="auto"/>
            </w:tcBorders>
          </w:tcPr>
          <w:p w:rsidR="0057074E" w:rsidRPr="00F33478" w:rsidRDefault="0057074E" w:rsidP="00F33478">
            <w:pPr>
              <w:pStyle w:val="ListParagraph"/>
              <w:ind w:left="58"/>
              <w:jc w:val="center"/>
              <w:rPr>
                <w:b/>
                <w:bCs/>
                <w:lang w:val="pt-BR"/>
              </w:rPr>
            </w:pPr>
            <w:r>
              <w:rPr>
                <w:b/>
                <w:bCs/>
                <w:lang w:val="pt-BR"/>
              </w:rPr>
              <w:t>2015</w:t>
            </w:r>
          </w:p>
        </w:tc>
        <w:tc>
          <w:tcPr>
            <w:tcW w:w="1440" w:type="dxa"/>
          </w:tcPr>
          <w:p w:rsidR="0057074E" w:rsidRPr="00F33478" w:rsidRDefault="0057074E" w:rsidP="00F33478">
            <w:pPr>
              <w:pStyle w:val="ListParagraph"/>
              <w:ind w:left="58"/>
              <w:jc w:val="center"/>
              <w:rPr>
                <w:b/>
                <w:bCs/>
                <w:lang w:val="pt-BR"/>
              </w:rPr>
            </w:pPr>
            <w:r w:rsidRPr="00F33478">
              <w:rPr>
                <w:b/>
                <w:bCs/>
                <w:lang w:val="pt-BR"/>
              </w:rPr>
              <w:t>Total</w:t>
            </w:r>
          </w:p>
        </w:tc>
      </w:tr>
      <w:tr w:rsidR="0057074E" w:rsidRPr="00F33478" w:rsidTr="00022BAF">
        <w:trPr>
          <w:jc w:val="center"/>
        </w:trPr>
        <w:tc>
          <w:tcPr>
            <w:tcW w:w="2396" w:type="dxa"/>
          </w:tcPr>
          <w:p w:rsidR="0057074E" w:rsidRPr="00F33478" w:rsidRDefault="0057074E" w:rsidP="00F33478">
            <w:pPr>
              <w:pStyle w:val="ListParagraph"/>
              <w:ind w:left="0"/>
              <w:rPr>
                <w:bCs/>
                <w:lang w:val="pt-BR"/>
              </w:rPr>
            </w:pPr>
            <w:r>
              <w:rPr>
                <w:bCs/>
                <w:lang w:val="es-EC"/>
              </w:rPr>
              <w:t xml:space="preserve">Preschool </w:t>
            </w:r>
            <w:r w:rsidRPr="00F33478">
              <w:rPr>
                <w:bCs/>
                <w:lang w:val="es-EC"/>
              </w:rPr>
              <w:t>Teachers</w:t>
            </w:r>
          </w:p>
        </w:tc>
        <w:tc>
          <w:tcPr>
            <w:tcW w:w="1472" w:type="dxa"/>
            <w:tcBorders>
              <w:right w:val="single" w:sz="4" w:space="0" w:color="auto"/>
            </w:tcBorders>
          </w:tcPr>
          <w:p w:rsidR="0057074E" w:rsidRPr="00F33478" w:rsidRDefault="0057074E" w:rsidP="00F33478">
            <w:pPr>
              <w:pStyle w:val="ListParagraph"/>
              <w:ind w:left="58" w:right="294"/>
              <w:jc w:val="right"/>
              <w:rPr>
                <w:bCs/>
                <w:lang w:val="es-EC"/>
              </w:rPr>
            </w:pPr>
            <w:r>
              <w:rPr>
                <w:bCs/>
                <w:lang w:val="es-EC"/>
              </w:rPr>
              <w:t>1,000</w:t>
            </w:r>
          </w:p>
        </w:tc>
        <w:tc>
          <w:tcPr>
            <w:tcW w:w="1440" w:type="dxa"/>
            <w:tcBorders>
              <w:left w:val="single" w:sz="4" w:space="0" w:color="auto"/>
            </w:tcBorders>
          </w:tcPr>
          <w:p w:rsidR="0057074E" w:rsidRPr="00F33478" w:rsidRDefault="0057074E" w:rsidP="00B05210">
            <w:pPr>
              <w:pStyle w:val="ListParagraph"/>
              <w:ind w:left="58" w:right="294"/>
              <w:jc w:val="right"/>
              <w:rPr>
                <w:bCs/>
                <w:lang w:val="es-EC"/>
              </w:rPr>
            </w:pPr>
            <w:r>
              <w:rPr>
                <w:bCs/>
                <w:lang w:val="es-EC"/>
              </w:rPr>
              <w:t>1,000</w:t>
            </w:r>
          </w:p>
        </w:tc>
        <w:tc>
          <w:tcPr>
            <w:tcW w:w="1440" w:type="dxa"/>
          </w:tcPr>
          <w:p w:rsidR="0057074E" w:rsidRPr="00F33478" w:rsidRDefault="0057074E" w:rsidP="00F33478">
            <w:pPr>
              <w:pStyle w:val="ListParagraph"/>
              <w:ind w:left="58" w:right="177"/>
              <w:jc w:val="right"/>
              <w:rPr>
                <w:bCs/>
                <w:lang w:val="es-EC"/>
              </w:rPr>
            </w:pPr>
            <w:r>
              <w:rPr>
                <w:bCs/>
                <w:lang w:val="es-EC"/>
              </w:rPr>
              <w:t>2,0</w:t>
            </w:r>
            <w:r w:rsidRPr="00F33478">
              <w:rPr>
                <w:bCs/>
                <w:lang w:val="es-EC"/>
              </w:rPr>
              <w:t>00</w:t>
            </w:r>
          </w:p>
        </w:tc>
      </w:tr>
      <w:tr w:rsidR="0057074E" w:rsidRPr="00F33478" w:rsidTr="00022BAF">
        <w:trPr>
          <w:jc w:val="center"/>
        </w:trPr>
        <w:tc>
          <w:tcPr>
            <w:tcW w:w="2396" w:type="dxa"/>
          </w:tcPr>
          <w:p w:rsidR="0057074E" w:rsidRPr="00F33478" w:rsidRDefault="00173BA7" w:rsidP="00F33478">
            <w:pPr>
              <w:pStyle w:val="ListParagraph"/>
              <w:ind w:left="0"/>
              <w:rPr>
                <w:bCs/>
                <w:lang w:val="es-EC"/>
              </w:rPr>
            </w:pPr>
            <w:r>
              <w:rPr>
                <w:bCs/>
                <w:lang w:val="es-EC"/>
              </w:rPr>
              <w:t>G</w:t>
            </w:r>
            <w:r w:rsidR="0057074E">
              <w:rPr>
                <w:bCs/>
                <w:lang w:val="es-EC"/>
              </w:rPr>
              <w:t>rade</w:t>
            </w:r>
            <w:r>
              <w:rPr>
                <w:bCs/>
                <w:lang w:val="es-EC"/>
              </w:rPr>
              <w:t xml:space="preserve"> 1</w:t>
            </w:r>
            <w:r w:rsidR="0057074E">
              <w:rPr>
                <w:bCs/>
                <w:lang w:val="es-EC"/>
              </w:rPr>
              <w:t xml:space="preserve"> </w:t>
            </w:r>
            <w:r w:rsidR="0057074E" w:rsidRPr="00F33478">
              <w:rPr>
                <w:bCs/>
                <w:lang w:val="es-EC"/>
              </w:rPr>
              <w:t>Teachers</w:t>
            </w:r>
          </w:p>
        </w:tc>
        <w:tc>
          <w:tcPr>
            <w:tcW w:w="1472" w:type="dxa"/>
          </w:tcPr>
          <w:p w:rsidR="0057074E" w:rsidRPr="00F33478" w:rsidRDefault="0057074E" w:rsidP="00F33478">
            <w:pPr>
              <w:pStyle w:val="ListParagraph"/>
              <w:ind w:left="58" w:right="294"/>
              <w:jc w:val="right"/>
              <w:rPr>
                <w:bCs/>
                <w:lang w:val="es-EC"/>
              </w:rPr>
            </w:pPr>
            <w:r w:rsidRPr="00F33478">
              <w:rPr>
                <w:bCs/>
                <w:lang w:val="es-EC"/>
              </w:rPr>
              <w:t>300</w:t>
            </w:r>
          </w:p>
        </w:tc>
        <w:tc>
          <w:tcPr>
            <w:tcW w:w="1440" w:type="dxa"/>
          </w:tcPr>
          <w:p w:rsidR="0057074E" w:rsidRPr="00F33478" w:rsidRDefault="0057074E" w:rsidP="00B05210">
            <w:pPr>
              <w:pStyle w:val="ListParagraph"/>
              <w:ind w:left="58" w:right="294"/>
              <w:jc w:val="right"/>
              <w:rPr>
                <w:bCs/>
                <w:lang w:val="es-EC"/>
              </w:rPr>
            </w:pPr>
            <w:r w:rsidRPr="00F33478">
              <w:rPr>
                <w:bCs/>
                <w:lang w:val="es-EC"/>
              </w:rPr>
              <w:t>300</w:t>
            </w:r>
          </w:p>
        </w:tc>
        <w:tc>
          <w:tcPr>
            <w:tcW w:w="1440" w:type="dxa"/>
          </w:tcPr>
          <w:p w:rsidR="0057074E" w:rsidRPr="00F33478" w:rsidRDefault="0057074E" w:rsidP="00F33478">
            <w:pPr>
              <w:pStyle w:val="ListParagraph"/>
              <w:ind w:left="58" w:right="177"/>
              <w:jc w:val="right"/>
              <w:rPr>
                <w:bCs/>
                <w:lang w:val="es-EC"/>
              </w:rPr>
            </w:pPr>
            <w:r>
              <w:rPr>
                <w:bCs/>
                <w:lang w:val="es-EC"/>
              </w:rPr>
              <w:t>6</w:t>
            </w:r>
            <w:r w:rsidRPr="00F33478">
              <w:rPr>
                <w:bCs/>
                <w:lang w:val="es-EC"/>
              </w:rPr>
              <w:t>00</w:t>
            </w:r>
          </w:p>
        </w:tc>
      </w:tr>
      <w:tr w:rsidR="0057074E" w:rsidRPr="00F33478" w:rsidTr="00022BAF">
        <w:trPr>
          <w:jc w:val="center"/>
        </w:trPr>
        <w:tc>
          <w:tcPr>
            <w:tcW w:w="2396" w:type="dxa"/>
          </w:tcPr>
          <w:p w:rsidR="0057074E" w:rsidRPr="00F33478" w:rsidRDefault="0057074E" w:rsidP="00F33478">
            <w:pPr>
              <w:pStyle w:val="ListParagraph"/>
              <w:ind w:left="0"/>
              <w:rPr>
                <w:bCs/>
                <w:i/>
                <w:lang w:val="es-EC"/>
              </w:rPr>
            </w:pPr>
            <w:r w:rsidRPr="00F33478">
              <w:rPr>
                <w:bCs/>
                <w:i/>
                <w:lang w:val="es-EC"/>
              </w:rPr>
              <w:t>Total</w:t>
            </w:r>
          </w:p>
        </w:tc>
        <w:tc>
          <w:tcPr>
            <w:tcW w:w="1472" w:type="dxa"/>
          </w:tcPr>
          <w:p w:rsidR="0057074E" w:rsidRPr="00F33478" w:rsidRDefault="0057074E" w:rsidP="00F33478">
            <w:pPr>
              <w:pStyle w:val="ListParagraph"/>
              <w:ind w:left="58" w:right="294"/>
              <w:jc w:val="right"/>
              <w:rPr>
                <w:bCs/>
                <w:i/>
                <w:lang w:val="es-EC"/>
              </w:rPr>
            </w:pPr>
            <w:r w:rsidRPr="00F33478">
              <w:rPr>
                <w:bCs/>
                <w:i/>
                <w:lang w:val="es-EC"/>
              </w:rPr>
              <w:t>1,</w:t>
            </w:r>
            <w:r>
              <w:rPr>
                <w:bCs/>
                <w:i/>
                <w:lang w:val="es-EC"/>
              </w:rPr>
              <w:t>300</w:t>
            </w:r>
          </w:p>
        </w:tc>
        <w:tc>
          <w:tcPr>
            <w:tcW w:w="1440" w:type="dxa"/>
          </w:tcPr>
          <w:p w:rsidR="0057074E" w:rsidRPr="00F33478" w:rsidRDefault="0057074E" w:rsidP="00B05210">
            <w:pPr>
              <w:pStyle w:val="ListParagraph"/>
              <w:ind w:left="58" w:right="294"/>
              <w:jc w:val="right"/>
              <w:rPr>
                <w:bCs/>
                <w:i/>
                <w:lang w:val="es-EC"/>
              </w:rPr>
            </w:pPr>
            <w:r w:rsidRPr="00F33478">
              <w:rPr>
                <w:bCs/>
                <w:i/>
                <w:lang w:val="es-EC"/>
              </w:rPr>
              <w:t>1,</w:t>
            </w:r>
            <w:r>
              <w:rPr>
                <w:bCs/>
                <w:i/>
                <w:lang w:val="es-EC"/>
              </w:rPr>
              <w:t>300</w:t>
            </w:r>
          </w:p>
        </w:tc>
        <w:tc>
          <w:tcPr>
            <w:tcW w:w="1440" w:type="dxa"/>
          </w:tcPr>
          <w:p w:rsidR="0057074E" w:rsidRPr="00F33478" w:rsidRDefault="0057074E" w:rsidP="00F33478">
            <w:pPr>
              <w:pStyle w:val="ListParagraph"/>
              <w:ind w:left="58" w:right="177"/>
              <w:jc w:val="right"/>
              <w:rPr>
                <w:bCs/>
                <w:i/>
                <w:lang w:val="es-EC"/>
              </w:rPr>
            </w:pPr>
            <w:r>
              <w:rPr>
                <w:bCs/>
                <w:i/>
                <w:lang w:val="es-EC"/>
              </w:rPr>
              <w:t>2,6</w:t>
            </w:r>
            <w:r w:rsidRPr="00F33478">
              <w:rPr>
                <w:bCs/>
                <w:i/>
                <w:lang w:val="es-EC"/>
              </w:rPr>
              <w:t>00</w:t>
            </w:r>
          </w:p>
        </w:tc>
      </w:tr>
    </w:tbl>
    <w:p w:rsidR="00F33478" w:rsidRDefault="00F33478" w:rsidP="0040253F">
      <w:pPr>
        <w:pStyle w:val="ListParagraph"/>
        <w:ind w:left="0"/>
        <w:jc w:val="both"/>
        <w:rPr>
          <w:bCs/>
        </w:rPr>
      </w:pPr>
    </w:p>
    <w:p w:rsidR="004065AE" w:rsidRPr="00785691" w:rsidRDefault="004065AE" w:rsidP="005E2993">
      <w:pPr>
        <w:pStyle w:val="ListParagraph"/>
        <w:numPr>
          <w:ilvl w:val="0"/>
          <w:numId w:val="23"/>
        </w:numPr>
        <w:ind w:left="0" w:firstLine="0"/>
        <w:jc w:val="both"/>
        <w:rPr>
          <w:bCs/>
        </w:rPr>
      </w:pPr>
      <w:r w:rsidRPr="004065AE">
        <w:rPr>
          <w:b/>
          <w:bCs/>
        </w:rPr>
        <w:t>Demonstration classrooms</w:t>
      </w:r>
      <w:r w:rsidR="003A1B4F" w:rsidRPr="000A5AE1">
        <w:rPr>
          <w:bCs/>
        </w:rPr>
        <w:t>:</w:t>
      </w:r>
      <w:r w:rsidR="00785691">
        <w:rPr>
          <w:bCs/>
        </w:rPr>
        <w:t xml:space="preserve"> 120 preschool teachers from the 43 targeted municipalities would participate in the Demonstration Classroom training modality.  </w:t>
      </w:r>
      <w:r w:rsidR="00785691" w:rsidRPr="00785691">
        <w:rPr>
          <w:bCs/>
        </w:rPr>
        <w:t>Thirty demonstration classrooms would be identified</w:t>
      </w:r>
      <w:r w:rsidR="00785691">
        <w:rPr>
          <w:bCs/>
        </w:rPr>
        <w:t>.</w:t>
      </w:r>
      <w:r w:rsidR="00785691" w:rsidRPr="00785691">
        <w:rPr>
          <w:bCs/>
        </w:rPr>
        <w:t xml:space="preserve"> </w:t>
      </w:r>
      <w:r w:rsidR="00785691">
        <w:rPr>
          <w:bCs/>
        </w:rPr>
        <w:t xml:space="preserve"> E</w:t>
      </w:r>
      <w:r w:rsidR="00043B9C">
        <w:rPr>
          <w:bCs/>
        </w:rPr>
        <w:t>ach of the 120 trainees would undertake</w:t>
      </w:r>
      <w:r w:rsidR="00785691">
        <w:rPr>
          <w:bCs/>
        </w:rPr>
        <w:t xml:space="preserve"> </w:t>
      </w:r>
      <w:r w:rsidR="00785691" w:rsidRPr="00785691">
        <w:rPr>
          <w:bCs/>
        </w:rPr>
        <w:t>two visits to a classroom during school hours to see first-hand how certain teachers apply all the Project inputs. Each observation visit would culminate with a meeting between the demonstration classroom teacher and the observing teachers to share and reflect on what was observed. The criteria used to label a classroom as “reference or demonstration” are: (i) accessibility; (ii) renovated or new infrastructure; (iii) pedagogical environment that meets the quality standards; (iv) a teacher with willingness to teach and interact with children, creativity, affection; (v) adequate use of time; (vi) use and command of teaching methods; and</w:t>
      </w:r>
      <w:r w:rsidR="00043B9C">
        <w:rPr>
          <w:bCs/>
        </w:rPr>
        <w:t xml:space="preserve"> </w:t>
      </w:r>
      <w:r w:rsidR="00785691" w:rsidRPr="00785691">
        <w:rPr>
          <w:bCs/>
        </w:rPr>
        <w:t>(vii) use and command of curricular documents.  The team of pedagogical advisors and itinerant trainers (REDCAP) would provide suggestions to school directors and their teams to nominate demonstration classrooms, based on the criteria aforementioned.  It is estimated that a maximum of four preschool teachers would participate per classroom per visit, to be as minimally disruptive to children as possible.  The Project would support the development and provision of an observation protocol, registration instrument, and some learning materials, if required.</w:t>
      </w:r>
    </w:p>
    <w:p w:rsidR="003A1B4F" w:rsidRDefault="003A1B4F" w:rsidP="0040253F">
      <w:pPr>
        <w:jc w:val="both"/>
        <w:rPr>
          <w:bCs/>
        </w:rPr>
      </w:pPr>
    </w:p>
    <w:p w:rsidR="004D7CF4" w:rsidRDefault="004D7CF4" w:rsidP="005E2993">
      <w:pPr>
        <w:pStyle w:val="ListParagraph"/>
        <w:numPr>
          <w:ilvl w:val="0"/>
          <w:numId w:val="23"/>
        </w:numPr>
        <w:ind w:left="0" w:firstLine="0"/>
        <w:jc w:val="both"/>
        <w:rPr>
          <w:bCs/>
        </w:rPr>
      </w:pPr>
      <w:r>
        <w:rPr>
          <w:b/>
          <w:bCs/>
        </w:rPr>
        <w:t xml:space="preserve">Intra-school Teacher Exchanges </w:t>
      </w:r>
      <w:r w:rsidRPr="004065AE">
        <w:rPr>
          <w:bCs/>
        </w:rPr>
        <w:t>(</w:t>
      </w:r>
      <w:r w:rsidRPr="00043B9C">
        <w:rPr>
          <w:bCs/>
          <w:i/>
        </w:rPr>
        <w:t>Círculos Pedagógicos</w:t>
      </w:r>
      <w:r>
        <w:rPr>
          <w:bCs/>
        </w:rPr>
        <w:t>)</w:t>
      </w:r>
      <w:r w:rsidRPr="005B6AFD">
        <w:rPr>
          <w:bCs/>
        </w:rPr>
        <w:t>:</w:t>
      </w:r>
      <w:r w:rsidRPr="000A5AE1">
        <w:rPr>
          <w:bCs/>
        </w:rPr>
        <w:t xml:space="preserve"> To facilitate children’s transition from preschool to primary school, the </w:t>
      </w:r>
      <w:r>
        <w:rPr>
          <w:bCs/>
        </w:rPr>
        <w:t>Project</w:t>
      </w:r>
      <w:r w:rsidRPr="000A5AE1">
        <w:rPr>
          <w:bCs/>
        </w:rPr>
        <w:t xml:space="preserve"> would also support intra-school teacher exchanges between 900 first grade teachers and their corresponding 3</w:t>
      </w:r>
      <w:r>
        <w:rPr>
          <w:bCs/>
        </w:rPr>
        <w:t>rd level preschool teachers</w:t>
      </w:r>
      <w:r w:rsidRPr="000A5AE1">
        <w:rPr>
          <w:bCs/>
        </w:rPr>
        <w:t>.</w:t>
      </w:r>
      <w:r>
        <w:rPr>
          <w:bCs/>
        </w:rPr>
        <w:t xml:space="preserve"> </w:t>
      </w:r>
      <w:r w:rsidRPr="000A5AE1">
        <w:rPr>
          <w:bCs/>
        </w:rPr>
        <w:t xml:space="preserve"> At least four exchanges per school and per year are envisioned. </w:t>
      </w:r>
      <w:r>
        <w:rPr>
          <w:bCs/>
        </w:rPr>
        <w:t xml:space="preserve"> </w:t>
      </w:r>
      <w:r w:rsidRPr="000A5AE1">
        <w:rPr>
          <w:bCs/>
        </w:rPr>
        <w:t xml:space="preserve">This would take place </w:t>
      </w:r>
      <w:r w:rsidRPr="00F946F5">
        <w:t>during</w:t>
      </w:r>
      <w:r w:rsidRPr="000A5AE1">
        <w:rPr>
          <w:bCs/>
        </w:rPr>
        <w:t xml:space="preserve"> the last five months of the school year. </w:t>
      </w:r>
      <w:r>
        <w:rPr>
          <w:bCs/>
        </w:rPr>
        <w:t xml:space="preserve"> </w:t>
      </w:r>
      <w:r w:rsidRPr="000A5AE1">
        <w:rPr>
          <w:bCs/>
        </w:rPr>
        <w:t xml:space="preserve">The </w:t>
      </w:r>
      <w:r>
        <w:rPr>
          <w:bCs/>
        </w:rPr>
        <w:t>Project</w:t>
      </w:r>
      <w:r w:rsidRPr="000A5AE1">
        <w:rPr>
          <w:bCs/>
        </w:rPr>
        <w:t xml:space="preserve"> w</w:t>
      </w:r>
      <w:r>
        <w:rPr>
          <w:bCs/>
        </w:rPr>
        <w:t>ould</w:t>
      </w:r>
      <w:r w:rsidRPr="000A5AE1">
        <w:rPr>
          <w:bCs/>
        </w:rPr>
        <w:t xml:space="preserve"> support the development and provision of a transition guide, registration instrument, and </w:t>
      </w:r>
      <w:r>
        <w:rPr>
          <w:bCs/>
        </w:rPr>
        <w:t>training</w:t>
      </w:r>
      <w:r w:rsidRPr="000A5AE1">
        <w:rPr>
          <w:bCs/>
        </w:rPr>
        <w:t xml:space="preserve"> material</w:t>
      </w:r>
      <w:r>
        <w:rPr>
          <w:bCs/>
        </w:rPr>
        <w:t>s</w:t>
      </w:r>
      <w:r w:rsidRPr="000A5AE1">
        <w:rPr>
          <w:bCs/>
        </w:rPr>
        <w:t>.</w:t>
      </w:r>
      <w:r>
        <w:rPr>
          <w:bCs/>
        </w:rPr>
        <w:t xml:space="preserve">  </w:t>
      </w:r>
    </w:p>
    <w:p w:rsidR="004D7CF4" w:rsidRPr="005F31E9" w:rsidRDefault="004D7CF4" w:rsidP="004D7CF4">
      <w:pPr>
        <w:jc w:val="both"/>
        <w:rPr>
          <w:bCs/>
        </w:rPr>
      </w:pPr>
    </w:p>
    <w:p w:rsidR="004065AE" w:rsidRDefault="004D7CF4" w:rsidP="005E2993">
      <w:pPr>
        <w:pStyle w:val="ListParagraph"/>
        <w:numPr>
          <w:ilvl w:val="0"/>
          <w:numId w:val="23"/>
        </w:numPr>
        <w:ind w:left="0" w:firstLine="0"/>
        <w:jc w:val="both"/>
        <w:rPr>
          <w:bCs/>
        </w:rPr>
      </w:pPr>
      <w:r w:rsidRPr="004065AE">
        <w:rPr>
          <w:b/>
        </w:rPr>
        <w:lastRenderedPageBreak/>
        <w:t>TEPCES</w:t>
      </w:r>
      <w:r>
        <w:t xml:space="preserve">: Finally, the Project would provide training materials for the </w:t>
      </w:r>
      <w:r w:rsidRPr="00E2679E">
        <w:t>TEPCE</w:t>
      </w:r>
      <w:r>
        <w:t xml:space="preserve"> inter-school teacher exchanges. Three out of 11 meetings per year would be dedicated to preschool education.</w:t>
      </w:r>
      <w:r w:rsidR="003A1B4F">
        <w:t xml:space="preserve"> </w:t>
      </w:r>
    </w:p>
    <w:p w:rsidR="004A4B60" w:rsidRDefault="004A4B60" w:rsidP="000A5AE1">
      <w:pPr>
        <w:jc w:val="both"/>
        <w:rPr>
          <w:bCs/>
        </w:rPr>
      </w:pPr>
    </w:p>
    <w:p w:rsidR="004065AE" w:rsidRDefault="00295C05" w:rsidP="008F3FE7">
      <w:pPr>
        <w:pStyle w:val="ListParagraph"/>
        <w:ind w:left="0" w:firstLine="360"/>
        <w:jc w:val="both"/>
        <w:rPr>
          <w:bCs/>
        </w:rPr>
      </w:pPr>
      <w:r>
        <w:rPr>
          <w:bCs/>
        </w:rPr>
        <w:t>1.4</w:t>
      </w:r>
      <w:r>
        <w:rPr>
          <w:bCs/>
        </w:rPr>
        <w:tab/>
      </w:r>
      <w:r>
        <w:rPr>
          <w:bCs/>
        </w:rPr>
        <w:tab/>
      </w:r>
      <w:r w:rsidR="003A1B4F" w:rsidRPr="008F3FE7">
        <w:rPr>
          <w:bCs/>
        </w:rPr>
        <w:t>Improv</w:t>
      </w:r>
      <w:r w:rsidR="00597FE6">
        <w:rPr>
          <w:bCs/>
        </w:rPr>
        <w:t>ing</w:t>
      </w:r>
      <w:r w:rsidR="003A1B4F" w:rsidRPr="008F3FE7">
        <w:rPr>
          <w:bCs/>
        </w:rPr>
        <w:t xml:space="preserve"> Supp</w:t>
      </w:r>
      <w:r w:rsidR="00182557" w:rsidRPr="008F3FE7">
        <w:rPr>
          <w:bCs/>
        </w:rPr>
        <w:t>ly of Learning Materials (US$2.9</w:t>
      </w:r>
      <w:r w:rsidR="003A1B4F" w:rsidRPr="008F3FE7">
        <w:rPr>
          <w:bCs/>
        </w:rPr>
        <w:t xml:space="preserve"> million)</w:t>
      </w:r>
    </w:p>
    <w:p w:rsidR="000F404E" w:rsidRPr="008F3FE7" w:rsidRDefault="000F404E" w:rsidP="008F3FE7">
      <w:pPr>
        <w:pStyle w:val="ListParagraph"/>
        <w:ind w:left="0" w:firstLine="360"/>
        <w:jc w:val="both"/>
        <w:rPr>
          <w:bCs/>
        </w:rPr>
      </w:pPr>
    </w:p>
    <w:p w:rsidR="004133E9" w:rsidRPr="004D1C19" w:rsidRDefault="008C126D" w:rsidP="00A9553A">
      <w:pPr>
        <w:pStyle w:val="ListParagraph"/>
        <w:numPr>
          <w:ilvl w:val="0"/>
          <w:numId w:val="23"/>
        </w:numPr>
        <w:ind w:left="0" w:firstLine="0"/>
        <w:jc w:val="both"/>
        <w:rPr>
          <w:bCs/>
        </w:rPr>
      </w:pPr>
      <w:r w:rsidRPr="00A757B9">
        <w:rPr>
          <w:bCs/>
        </w:rPr>
        <w:t>This sub-component</w:t>
      </w:r>
      <w:r w:rsidR="00D00694" w:rsidRPr="00A757B9">
        <w:rPr>
          <w:bCs/>
        </w:rPr>
        <w:t xml:space="preserve"> </w:t>
      </w:r>
      <w:r w:rsidR="00D00694">
        <w:rPr>
          <w:bCs/>
        </w:rPr>
        <w:t>would support</w:t>
      </w:r>
      <w:r w:rsidR="00D00694" w:rsidRPr="00A757B9">
        <w:rPr>
          <w:bCs/>
        </w:rPr>
        <w:t xml:space="preserve"> the </w:t>
      </w:r>
      <w:r w:rsidR="00D00694">
        <w:rPr>
          <w:bCs/>
        </w:rPr>
        <w:t>provision</w:t>
      </w:r>
      <w:r w:rsidR="00D00694" w:rsidRPr="00A757B9">
        <w:rPr>
          <w:bCs/>
        </w:rPr>
        <w:t xml:space="preserve"> and distribution of </w:t>
      </w:r>
      <w:r w:rsidR="00D00694">
        <w:rPr>
          <w:bCs/>
        </w:rPr>
        <w:t xml:space="preserve">learning materials </w:t>
      </w:r>
      <w:r w:rsidR="00D00694" w:rsidRPr="0051408A">
        <w:rPr>
          <w:bCs/>
        </w:rPr>
        <w:t xml:space="preserve">to </w:t>
      </w:r>
      <w:r w:rsidR="00D00694">
        <w:rPr>
          <w:bCs/>
        </w:rPr>
        <w:t>selected p</w:t>
      </w:r>
      <w:r w:rsidR="00D00694" w:rsidRPr="00103FF5">
        <w:rPr>
          <w:bCs/>
        </w:rPr>
        <w:t xml:space="preserve">reschool </w:t>
      </w:r>
      <w:r w:rsidR="00D00694">
        <w:rPr>
          <w:bCs/>
        </w:rPr>
        <w:t>s</w:t>
      </w:r>
      <w:r w:rsidR="00D00694" w:rsidRPr="00103FF5">
        <w:rPr>
          <w:bCs/>
        </w:rPr>
        <w:t>tudents</w:t>
      </w:r>
      <w:r w:rsidR="004133E9" w:rsidRPr="008F3FE7">
        <w:rPr>
          <w:bCs/>
        </w:rPr>
        <w:t>.</w:t>
      </w:r>
    </w:p>
    <w:p w:rsidR="004D7CF4" w:rsidRPr="00834E38" w:rsidRDefault="004D7CF4" w:rsidP="004D7CF4">
      <w:pPr>
        <w:jc w:val="both"/>
        <w:rPr>
          <w:bCs/>
        </w:rPr>
      </w:pPr>
    </w:p>
    <w:p w:rsidR="004D7CF4" w:rsidRDefault="004D7CF4" w:rsidP="005E2993">
      <w:pPr>
        <w:pStyle w:val="ListParagraph"/>
        <w:numPr>
          <w:ilvl w:val="0"/>
          <w:numId w:val="23"/>
        </w:numPr>
        <w:ind w:left="0" w:firstLine="0"/>
        <w:jc w:val="both"/>
        <w:rPr>
          <w:bCs/>
        </w:rPr>
      </w:pPr>
      <w:r w:rsidRPr="000A5AE1">
        <w:rPr>
          <w:bCs/>
        </w:rPr>
        <w:t xml:space="preserve">All </w:t>
      </w:r>
      <w:r>
        <w:rPr>
          <w:bCs/>
        </w:rPr>
        <w:t>preschool</w:t>
      </w:r>
      <w:r w:rsidRPr="000A5AE1">
        <w:rPr>
          <w:bCs/>
        </w:rPr>
        <w:t xml:space="preserve"> educators and teachers nationwide would receive educational materials for use in </w:t>
      </w:r>
      <w:r w:rsidRPr="00F946F5">
        <w:t>preschool</w:t>
      </w:r>
      <w:r w:rsidRPr="000A5AE1">
        <w:rPr>
          <w:bCs/>
        </w:rPr>
        <w:t xml:space="preserve"> classrooms, with the objective of ensuring that approximately </w:t>
      </w:r>
      <w:r w:rsidRPr="00D90131">
        <w:t xml:space="preserve">243,068 </w:t>
      </w:r>
      <w:r>
        <w:rPr>
          <w:bCs/>
        </w:rPr>
        <w:t>preschool</w:t>
      </w:r>
      <w:r w:rsidRPr="000A5AE1">
        <w:rPr>
          <w:bCs/>
        </w:rPr>
        <w:t xml:space="preserve"> students</w:t>
      </w:r>
      <w:r>
        <w:rPr>
          <w:bCs/>
        </w:rPr>
        <w:t xml:space="preserve"> in </w:t>
      </w:r>
      <w:r w:rsidRPr="00D90131">
        <w:t xml:space="preserve">9,496 </w:t>
      </w:r>
      <w:r>
        <w:rPr>
          <w:bCs/>
        </w:rPr>
        <w:t>preschools</w:t>
      </w:r>
      <w:r w:rsidRPr="000A5AE1">
        <w:rPr>
          <w:bCs/>
        </w:rPr>
        <w:t xml:space="preserve"> are using these materials by the end of the Project. </w:t>
      </w:r>
      <w:r>
        <w:rPr>
          <w:bCs/>
        </w:rPr>
        <w:t xml:space="preserve"> </w:t>
      </w:r>
      <w:r w:rsidRPr="000A5AE1">
        <w:rPr>
          <w:bCs/>
        </w:rPr>
        <w:t>Basic materials</w:t>
      </w:r>
      <w:r>
        <w:rPr>
          <w:bCs/>
        </w:rPr>
        <w:t xml:space="preserve"> would</w:t>
      </w:r>
      <w:r w:rsidRPr="000A5AE1">
        <w:rPr>
          <w:bCs/>
        </w:rPr>
        <w:t xml:space="preserve"> include: crayons, water color paints, scissors, pencils, erasers, markers, glue, clothes pins, rulers, adhesive tape, pens, cardboard, colored paper, notebooks, etc.  Educational materials include: abacus; geometric shapes; plastic-coated posters of plants, the human body, jump ropes, the alphabet, numbers; dominos, puzzles, plastic balls, cloth dolls, storybooks, musical instruments, etc.  Three different</w:t>
      </w:r>
      <w:r>
        <w:rPr>
          <w:bCs/>
        </w:rPr>
        <w:t xml:space="preserve"> types of</w:t>
      </w:r>
      <w:r w:rsidRPr="000A5AE1">
        <w:rPr>
          <w:bCs/>
        </w:rPr>
        <w:t xml:space="preserve"> </w:t>
      </w:r>
      <w:r>
        <w:rPr>
          <w:bCs/>
        </w:rPr>
        <w:t xml:space="preserve">material </w:t>
      </w:r>
      <w:r w:rsidRPr="000A5AE1">
        <w:rPr>
          <w:bCs/>
        </w:rPr>
        <w:t xml:space="preserve">packages would be prepared, depending on the size of </w:t>
      </w:r>
      <w:r>
        <w:rPr>
          <w:bCs/>
        </w:rPr>
        <w:t>preschool</w:t>
      </w:r>
      <w:r w:rsidRPr="000A5AE1">
        <w:rPr>
          <w:bCs/>
        </w:rPr>
        <w:t xml:space="preserve"> enrollment (e.g. 8-19, 20-30, and 30-40 children, as presented in Table 2</w:t>
      </w:r>
      <w:r w:rsidR="00185F6A">
        <w:rPr>
          <w:bCs/>
        </w:rPr>
        <w:t>.8</w:t>
      </w:r>
      <w:r w:rsidRPr="000A5AE1">
        <w:rPr>
          <w:bCs/>
        </w:rPr>
        <w:t xml:space="preserve">).  </w:t>
      </w:r>
    </w:p>
    <w:p w:rsidR="004D7CF4" w:rsidRDefault="004D7CF4" w:rsidP="004D7CF4">
      <w:pPr>
        <w:jc w:val="both"/>
        <w:rPr>
          <w:bCs/>
        </w:rPr>
      </w:pPr>
    </w:p>
    <w:p w:rsidR="004D7CF4" w:rsidRDefault="004D7CF4" w:rsidP="004D7CF4">
      <w:pPr>
        <w:jc w:val="center"/>
        <w:rPr>
          <w:b/>
          <w:bCs/>
        </w:rPr>
      </w:pPr>
      <w:r w:rsidRPr="00915197">
        <w:rPr>
          <w:b/>
          <w:bCs/>
        </w:rPr>
        <w:t>Table 2.</w:t>
      </w:r>
      <w:r w:rsidR="00EC4B95">
        <w:rPr>
          <w:b/>
          <w:bCs/>
        </w:rPr>
        <w:t>8</w:t>
      </w:r>
      <w:r w:rsidRPr="00915197">
        <w:rPr>
          <w:b/>
          <w:bCs/>
        </w:rPr>
        <w:t xml:space="preserve"> Preschool </w:t>
      </w:r>
      <w:r w:rsidR="00A158E5">
        <w:rPr>
          <w:b/>
          <w:bCs/>
        </w:rPr>
        <w:t xml:space="preserve">Educational </w:t>
      </w:r>
      <w:r w:rsidR="006C2467">
        <w:rPr>
          <w:b/>
          <w:bCs/>
        </w:rPr>
        <w:t>Material and Basic Material</w:t>
      </w:r>
    </w:p>
    <w:tbl>
      <w:tblPr>
        <w:tblW w:w="9480" w:type="dxa"/>
        <w:tblInd w:w="96" w:type="dxa"/>
        <w:tblLook w:val="04A0" w:firstRow="1" w:lastRow="0" w:firstColumn="1" w:lastColumn="0" w:noHBand="0" w:noVBand="1"/>
      </w:tblPr>
      <w:tblGrid>
        <w:gridCol w:w="2045"/>
        <w:gridCol w:w="1837"/>
        <w:gridCol w:w="1710"/>
        <w:gridCol w:w="1710"/>
        <w:gridCol w:w="2178"/>
      </w:tblGrid>
      <w:tr w:rsidR="008F4D07" w:rsidRPr="004D7CF4" w:rsidTr="00022BAF">
        <w:trPr>
          <w:gridAfter w:val="2"/>
          <w:wAfter w:w="3888" w:type="dxa"/>
          <w:trHeight w:val="510"/>
        </w:trPr>
        <w:tc>
          <w:tcPr>
            <w:tcW w:w="2045" w:type="dxa"/>
            <w:tcBorders>
              <w:top w:val="single" w:sz="4" w:space="0" w:color="auto"/>
              <w:left w:val="single" w:sz="4" w:space="0" w:color="auto"/>
              <w:bottom w:val="single" w:sz="4" w:space="0" w:color="auto"/>
              <w:right w:val="single" w:sz="4" w:space="0" w:color="auto"/>
            </w:tcBorders>
            <w:shd w:val="clear" w:color="000000" w:fill="99CC00"/>
            <w:noWrap/>
            <w:vAlign w:val="center"/>
          </w:tcPr>
          <w:p w:rsidR="008F4D07" w:rsidRPr="004D7CF4" w:rsidRDefault="008F4D07" w:rsidP="004D7CF4">
            <w:pPr>
              <w:jc w:val="center"/>
              <w:rPr>
                <w:b/>
                <w:bCs/>
              </w:rPr>
            </w:pPr>
            <w:r w:rsidRPr="004D7CF4">
              <w:rPr>
                <w:b/>
                <w:bCs/>
              </w:rPr>
              <w:t>Classification</w:t>
            </w:r>
            <w:r>
              <w:rPr>
                <w:b/>
                <w:bCs/>
              </w:rPr>
              <w:t xml:space="preserve"> for Educational Material</w:t>
            </w:r>
          </w:p>
        </w:tc>
        <w:tc>
          <w:tcPr>
            <w:tcW w:w="1837" w:type="dxa"/>
            <w:tcBorders>
              <w:top w:val="single" w:sz="4" w:space="0" w:color="auto"/>
              <w:left w:val="nil"/>
              <w:bottom w:val="single" w:sz="4" w:space="0" w:color="auto"/>
              <w:right w:val="single" w:sz="4" w:space="0" w:color="auto"/>
            </w:tcBorders>
            <w:shd w:val="clear" w:color="000000" w:fill="99CC00"/>
            <w:noWrap/>
            <w:vAlign w:val="center"/>
          </w:tcPr>
          <w:p w:rsidR="008F4D07" w:rsidRPr="004D7CF4" w:rsidRDefault="008F4D07" w:rsidP="004D7CF4">
            <w:pPr>
              <w:jc w:val="center"/>
              <w:rPr>
                <w:b/>
                <w:bCs/>
              </w:rPr>
            </w:pPr>
            <w:r w:rsidRPr="004D7CF4">
              <w:rPr>
                <w:b/>
                <w:bCs/>
              </w:rPr>
              <w:t>No. children per classroom</w:t>
            </w:r>
          </w:p>
        </w:tc>
        <w:tc>
          <w:tcPr>
            <w:tcW w:w="1710" w:type="dxa"/>
            <w:tcBorders>
              <w:top w:val="single" w:sz="4" w:space="0" w:color="auto"/>
              <w:left w:val="nil"/>
              <w:bottom w:val="single" w:sz="4" w:space="0" w:color="auto"/>
              <w:right w:val="single" w:sz="4" w:space="0" w:color="auto"/>
            </w:tcBorders>
            <w:shd w:val="clear" w:color="000000" w:fill="99CC00"/>
            <w:noWrap/>
            <w:vAlign w:val="center"/>
          </w:tcPr>
          <w:p w:rsidR="008F4D07" w:rsidRPr="004D7CF4" w:rsidRDefault="008F4D07" w:rsidP="004D7CF4">
            <w:pPr>
              <w:jc w:val="center"/>
              <w:rPr>
                <w:b/>
                <w:bCs/>
              </w:rPr>
            </w:pPr>
            <w:r w:rsidRPr="004D7CF4">
              <w:rPr>
                <w:b/>
                <w:bCs/>
              </w:rPr>
              <w:t>No. classrooms</w:t>
            </w:r>
          </w:p>
        </w:tc>
      </w:tr>
      <w:tr w:rsidR="008F4D07" w:rsidRPr="004D7CF4" w:rsidTr="00022BAF">
        <w:trPr>
          <w:gridAfter w:val="2"/>
          <w:wAfter w:w="3888" w:type="dxa"/>
          <w:trHeight w:val="315"/>
        </w:trPr>
        <w:tc>
          <w:tcPr>
            <w:tcW w:w="2045" w:type="dxa"/>
            <w:tcBorders>
              <w:top w:val="nil"/>
              <w:left w:val="single" w:sz="4" w:space="0" w:color="auto"/>
              <w:bottom w:val="single" w:sz="4" w:space="0" w:color="auto"/>
              <w:right w:val="single" w:sz="4" w:space="0" w:color="auto"/>
            </w:tcBorders>
            <w:shd w:val="clear" w:color="auto" w:fill="auto"/>
            <w:noWrap/>
            <w:vAlign w:val="center"/>
          </w:tcPr>
          <w:p w:rsidR="008F4D07" w:rsidRPr="004D7CF4" w:rsidRDefault="008F4D07" w:rsidP="004D7CF4">
            <w:pPr>
              <w:jc w:val="center"/>
              <w:rPr>
                <w:bCs/>
              </w:rPr>
            </w:pPr>
            <w:r w:rsidRPr="004D7CF4">
              <w:rPr>
                <w:bCs/>
              </w:rPr>
              <w:t>Group A</w:t>
            </w:r>
          </w:p>
        </w:tc>
        <w:tc>
          <w:tcPr>
            <w:tcW w:w="1837" w:type="dxa"/>
            <w:tcBorders>
              <w:top w:val="nil"/>
              <w:left w:val="nil"/>
              <w:bottom w:val="single" w:sz="4" w:space="0" w:color="auto"/>
              <w:right w:val="single" w:sz="4" w:space="0" w:color="auto"/>
            </w:tcBorders>
            <w:shd w:val="clear" w:color="auto" w:fill="auto"/>
            <w:noWrap/>
            <w:vAlign w:val="center"/>
          </w:tcPr>
          <w:p w:rsidR="008F4D07" w:rsidRPr="004D7CF4" w:rsidRDefault="008F4D07" w:rsidP="004D7CF4">
            <w:pPr>
              <w:jc w:val="center"/>
              <w:rPr>
                <w:bCs/>
              </w:rPr>
            </w:pPr>
            <w:r w:rsidRPr="004D7CF4">
              <w:rPr>
                <w:bCs/>
              </w:rPr>
              <w:t>8--19</w:t>
            </w:r>
          </w:p>
        </w:tc>
        <w:tc>
          <w:tcPr>
            <w:tcW w:w="1710" w:type="dxa"/>
            <w:tcBorders>
              <w:top w:val="nil"/>
              <w:left w:val="nil"/>
              <w:bottom w:val="single" w:sz="4" w:space="0" w:color="auto"/>
              <w:right w:val="single" w:sz="4" w:space="0" w:color="auto"/>
            </w:tcBorders>
            <w:shd w:val="clear" w:color="auto" w:fill="auto"/>
            <w:noWrap/>
            <w:vAlign w:val="center"/>
          </w:tcPr>
          <w:p w:rsidR="008F4D07" w:rsidRPr="004D7CF4" w:rsidRDefault="008F4D07" w:rsidP="004D7CF4">
            <w:pPr>
              <w:jc w:val="center"/>
              <w:rPr>
                <w:bCs/>
              </w:rPr>
            </w:pPr>
            <w:r>
              <w:rPr>
                <w:bCs/>
              </w:rPr>
              <w:t>6,7</w:t>
            </w:r>
            <w:r w:rsidRPr="004D7CF4">
              <w:rPr>
                <w:bCs/>
              </w:rPr>
              <w:t>64</w:t>
            </w:r>
          </w:p>
        </w:tc>
      </w:tr>
      <w:tr w:rsidR="008F4D07" w:rsidRPr="004D7CF4" w:rsidTr="00022BAF">
        <w:trPr>
          <w:gridAfter w:val="2"/>
          <w:wAfter w:w="3888" w:type="dxa"/>
          <w:trHeight w:val="315"/>
        </w:trPr>
        <w:tc>
          <w:tcPr>
            <w:tcW w:w="2045" w:type="dxa"/>
            <w:tcBorders>
              <w:top w:val="nil"/>
              <w:left w:val="single" w:sz="4" w:space="0" w:color="auto"/>
              <w:bottom w:val="single" w:sz="4" w:space="0" w:color="auto"/>
              <w:right w:val="single" w:sz="4" w:space="0" w:color="auto"/>
            </w:tcBorders>
            <w:shd w:val="clear" w:color="auto" w:fill="auto"/>
            <w:noWrap/>
            <w:vAlign w:val="center"/>
          </w:tcPr>
          <w:p w:rsidR="008F4D07" w:rsidRPr="004D7CF4" w:rsidRDefault="008F4D07" w:rsidP="004D7CF4">
            <w:pPr>
              <w:jc w:val="center"/>
              <w:rPr>
                <w:bCs/>
              </w:rPr>
            </w:pPr>
            <w:r w:rsidRPr="004D7CF4">
              <w:rPr>
                <w:bCs/>
              </w:rPr>
              <w:t>Group B</w:t>
            </w:r>
          </w:p>
        </w:tc>
        <w:tc>
          <w:tcPr>
            <w:tcW w:w="1837" w:type="dxa"/>
            <w:tcBorders>
              <w:top w:val="nil"/>
              <w:left w:val="nil"/>
              <w:bottom w:val="single" w:sz="4" w:space="0" w:color="auto"/>
              <w:right w:val="single" w:sz="4" w:space="0" w:color="auto"/>
            </w:tcBorders>
            <w:shd w:val="clear" w:color="auto" w:fill="auto"/>
            <w:noWrap/>
            <w:vAlign w:val="center"/>
          </w:tcPr>
          <w:p w:rsidR="008F4D07" w:rsidRPr="004D7CF4" w:rsidRDefault="008F4D07" w:rsidP="004D7CF4">
            <w:pPr>
              <w:jc w:val="center"/>
              <w:rPr>
                <w:bCs/>
              </w:rPr>
            </w:pPr>
            <w:r>
              <w:rPr>
                <w:bCs/>
              </w:rPr>
              <w:t>20--4</w:t>
            </w:r>
            <w:r w:rsidRPr="004D7CF4">
              <w:rPr>
                <w:bCs/>
              </w:rPr>
              <w:t>0</w:t>
            </w:r>
          </w:p>
        </w:tc>
        <w:tc>
          <w:tcPr>
            <w:tcW w:w="1710" w:type="dxa"/>
            <w:tcBorders>
              <w:top w:val="nil"/>
              <w:left w:val="nil"/>
              <w:bottom w:val="single" w:sz="4" w:space="0" w:color="auto"/>
              <w:right w:val="single" w:sz="4" w:space="0" w:color="auto"/>
            </w:tcBorders>
            <w:shd w:val="clear" w:color="auto" w:fill="auto"/>
            <w:noWrap/>
            <w:vAlign w:val="center"/>
          </w:tcPr>
          <w:p w:rsidR="008F4D07" w:rsidRPr="004D7CF4" w:rsidRDefault="008F4D07" w:rsidP="004D7CF4">
            <w:pPr>
              <w:jc w:val="center"/>
              <w:rPr>
                <w:bCs/>
              </w:rPr>
            </w:pPr>
            <w:r>
              <w:rPr>
                <w:bCs/>
              </w:rPr>
              <w:t>3,332</w:t>
            </w:r>
          </w:p>
        </w:tc>
      </w:tr>
      <w:tr w:rsidR="008F4D07" w:rsidRPr="004D7CF4" w:rsidTr="00022BAF">
        <w:trPr>
          <w:gridAfter w:val="2"/>
          <w:wAfter w:w="3888" w:type="dxa"/>
          <w:trHeight w:val="269"/>
        </w:trPr>
        <w:tc>
          <w:tcPr>
            <w:tcW w:w="2045" w:type="dxa"/>
            <w:tcBorders>
              <w:top w:val="nil"/>
              <w:left w:val="single" w:sz="4" w:space="0" w:color="auto"/>
              <w:bottom w:val="single" w:sz="4" w:space="0" w:color="auto"/>
              <w:right w:val="single" w:sz="4" w:space="0" w:color="auto"/>
            </w:tcBorders>
            <w:shd w:val="clear" w:color="000000" w:fill="D9D9D9"/>
            <w:noWrap/>
            <w:vAlign w:val="center"/>
          </w:tcPr>
          <w:p w:rsidR="008F4D07" w:rsidRPr="004D7CF4" w:rsidRDefault="008F4D07" w:rsidP="004D7CF4">
            <w:pPr>
              <w:jc w:val="center"/>
              <w:rPr>
                <w:b/>
                <w:bCs/>
              </w:rPr>
            </w:pPr>
            <w:r w:rsidRPr="004D7CF4">
              <w:rPr>
                <w:b/>
                <w:bCs/>
              </w:rPr>
              <w:t>Total</w:t>
            </w:r>
          </w:p>
        </w:tc>
        <w:tc>
          <w:tcPr>
            <w:tcW w:w="1837" w:type="dxa"/>
            <w:tcBorders>
              <w:top w:val="nil"/>
              <w:left w:val="nil"/>
              <w:bottom w:val="single" w:sz="4" w:space="0" w:color="auto"/>
              <w:right w:val="single" w:sz="4" w:space="0" w:color="auto"/>
            </w:tcBorders>
            <w:shd w:val="clear" w:color="000000" w:fill="D9D9D9"/>
            <w:noWrap/>
            <w:vAlign w:val="center"/>
          </w:tcPr>
          <w:p w:rsidR="008F4D07" w:rsidRPr="004D7CF4" w:rsidRDefault="008F4D07" w:rsidP="004D7CF4">
            <w:pPr>
              <w:jc w:val="center"/>
              <w:rPr>
                <w:b/>
                <w:bCs/>
              </w:rPr>
            </w:pPr>
          </w:p>
        </w:tc>
        <w:tc>
          <w:tcPr>
            <w:tcW w:w="1710" w:type="dxa"/>
            <w:tcBorders>
              <w:top w:val="nil"/>
              <w:left w:val="nil"/>
              <w:bottom w:val="single" w:sz="4" w:space="0" w:color="auto"/>
              <w:right w:val="single" w:sz="4" w:space="0" w:color="auto"/>
            </w:tcBorders>
            <w:shd w:val="clear" w:color="000000" w:fill="D9D9D9"/>
            <w:noWrap/>
            <w:vAlign w:val="center"/>
          </w:tcPr>
          <w:p w:rsidR="008F4D07" w:rsidRPr="004D7CF4" w:rsidRDefault="008F4D07" w:rsidP="004D7CF4">
            <w:pPr>
              <w:jc w:val="center"/>
              <w:rPr>
                <w:b/>
                <w:bCs/>
              </w:rPr>
            </w:pPr>
            <w:r>
              <w:rPr>
                <w:b/>
                <w:bCs/>
              </w:rPr>
              <w:t>10,096</w:t>
            </w:r>
          </w:p>
        </w:tc>
      </w:tr>
      <w:tr w:rsidR="006C2467" w:rsidRPr="004D7CF4" w:rsidTr="00022BAF">
        <w:trPr>
          <w:trHeight w:val="510"/>
        </w:trPr>
        <w:tc>
          <w:tcPr>
            <w:tcW w:w="2045" w:type="dxa"/>
            <w:tcBorders>
              <w:top w:val="single" w:sz="4" w:space="0" w:color="auto"/>
              <w:left w:val="single" w:sz="4" w:space="0" w:color="auto"/>
              <w:bottom w:val="single" w:sz="4" w:space="0" w:color="auto"/>
              <w:right w:val="single" w:sz="4" w:space="0" w:color="auto"/>
            </w:tcBorders>
            <w:shd w:val="clear" w:color="000000" w:fill="99CC00"/>
            <w:noWrap/>
            <w:vAlign w:val="center"/>
          </w:tcPr>
          <w:p w:rsidR="006C2467" w:rsidRPr="004D7CF4" w:rsidRDefault="006C2467" w:rsidP="00532079">
            <w:pPr>
              <w:jc w:val="center"/>
              <w:rPr>
                <w:b/>
                <w:bCs/>
              </w:rPr>
            </w:pPr>
            <w:r w:rsidRPr="004D7CF4">
              <w:rPr>
                <w:b/>
                <w:bCs/>
              </w:rPr>
              <w:t>Classification</w:t>
            </w:r>
            <w:r>
              <w:rPr>
                <w:b/>
                <w:bCs/>
              </w:rPr>
              <w:t xml:space="preserve"> for Basic Material</w:t>
            </w:r>
          </w:p>
        </w:tc>
        <w:tc>
          <w:tcPr>
            <w:tcW w:w="1837" w:type="dxa"/>
            <w:tcBorders>
              <w:top w:val="single" w:sz="4" w:space="0" w:color="auto"/>
              <w:left w:val="nil"/>
              <w:bottom w:val="single" w:sz="4" w:space="0" w:color="auto"/>
              <w:right w:val="single" w:sz="4" w:space="0" w:color="auto"/>
            </w:tcBorders>
            <w:shd w:val="clear" w:color="000000" w:fill="99CC00"/>
            <w:noWrap/>
            <w:vAlign w:val="center"/>
          </w:tcPr>
          <w:p w:rsidR="006C2467" w:rsidRPr="004D7CF4" w:rsidRDefault="006C2467" w:rsidP="00532079">
            <w:pPr>
              <w:jc w:val="center"/>
              <w:rPr>
                <w:b/>
                <w:bCs/>
              </w:rPr>
            </w:pPr>
            <w:r w:rsidRPr="004D7CF4">
              <w:rPr>
                <w:b/>
                <w:bCs/>
              </w:rPr>
              <w:t>No. children per classroom</w:t>
            </w:r>
          </w:p>
        </w:tc>
        <w:tc>
          <w:tcPr>
            <w:tcW w:w="1710" w:type="dxa"/>
            <w:tcBorders>
              <w:top w:val="single" w:sz="4" w:space="0" w:color="auto"/>
              <w:left w:val="nil"/>
              <w:bottom w:val="single" w:sz="4" w:space="0" w:color="auto"/>
              <w:right w:val="single" w:sz="4" w:space="0" w:color="auto"/>
            </w:tcBorders>
            <w:shd w:val="clear" w:color="000000" w:fill="99CC00"/>
            <w:noWrap/>
            <w:vAlign w:val="center"/>
          </w:tcPr>
          <w:p w:rsidR="006C2467" w:rsidRPr="004D7CF4" w:rsidRDefault="006C2467" w:rsidP="00532079">
            <w:pPr>
              <w:jc w:val="center"/>
              <w:rPr>
                <w:b/>
                <w:bCs/>
              </w:rPr>
            </w:pPr>
            <w:r w:rsidRPr="004D7CF4">
              <w:rPr>
                <w:b/>
                <w:bCs/>
              </w:rPr>
              <w:t>No. classrooms</w:t>
            </w:r>
          </w:p>
        </w:tc>
        <w:tc>
          <w:tcPr>
            <w:tcW w:w="1710" w:type="dxa"/>
            <w:tcBorders>
              <w:top w:val="single" w:sz="4" w:space="0" w:color="auto"/>
              <w:left w:val="nil"/>
              <w:bottom w:val="single" w:sz="4" w:space="0" w:color="auto"/>
              <w:right w:val="single" w:sz="4" w:space="0" w:color="auto"/>
            </w:tcBorders>
            <w:shd w:val="clear" w:color="000000" w:fill="99CC00"/>
            <w:noWrap/>
            <w:vAlign w:val="center"/>
          </w:tcPr>
          <w:p w:rsidR="006C2467" w:rsidRPr="004D7CF4" w:rsidRDefault="006C2467" w:rsidP="00532079">
            <w:pPr>
              <w:jc w:val="center"/>
              <w:rPr>
                <w:b/>
                <w:bCs/>
              </w:rPr>
            </w:pPr>
            <w:r w:rsidRPr="004D7CF4">
              <w:rPr>
                <w:b/>
                <w:bCs/>
              </w:rPr>
              <w:t>No. packages per classroom</w:t>
            </w:r>
          </w:p>
        </w:tc>
        <w:tc>
          <w:tcPr>
            <w:tcW w:w="2178" w:type="dxa"/>
            <w:tcBorders>
              <w:top w:val="single" w:sz="4" w:space="0" w:color="auto"/>
              <w:left w:val="nil"/>
              <w:bottom w:val="single" w:sz="4" w:space="0" w:color="auto"/>
              <w:right w:val="single" w:sz="4" w:space="0" w:color="auto"/>
            </w:tcBorders>
            <w:shd w:val="clear" w:color="000000" w:fill="99CC00"/>
            <w:noWrap/>
            <w:vAlign w:val="center"/>
          </w:tcPr>
          <w:p w:rsidR="006C2467" w:rsidRPr="004D7CF4" w:rsidRDefault="006C2467" w:rsidP="00532079">
            <w:pPr>
              <w:jc w:val="center"/>
              <w:rPr>
                <w:b/>
                <w:bCs/>
              </w:rPr>
            </w:pPr>
            <w:r w:rsidRPr="004D7CF4">
              <w:rPr>
                <w:b/>
                <w:bCs/>
              </w:rPr>
              <w:t>Total No. of packages</w:t>
            </w:r>
          </w:p>
        </w:tc>
      </w:tr>
      <w:tr w:rsidR="006C2467" w:rsidRPr="004D7CF4" w:rsidTr="00022BAF">
        <w:trPr>
          <w:trHeight w:val="269"/>
        </w:trPr>
        <w:tc>
          <w:tcPr>
            <w:tcW w:w="2045" w:type="dxa"/>
            <w:tcBorders>
              <w:top w:val="nil"/>
              <w:left w:val="single" w:sz="4" w:space="0" w:color="auto"/>
              <w:bottom w:val="single" w:sz="4" w:space="0" w:color="auto"/>
              <w:right w:val="single" w:sz="4" w:space="0" w:color="auto"/>
            </w:tcBorders>
            <w:shd w:val="clear" w:color="auto" w:fill="FFFFFF" w:themeFill="background1"/>
            <w:noWrap/>
            <w:vAlign w:val="center"/>
          </w:tcPr>
          <w:p w:rsidR="006C2467" w:rsidRPr="004D7CF4" w:rsidRDefault="006C2467" w:rsidP="00532079">
            <w:pPr>
              <w:jc w:val="center"/>
              <w:rPr>
                <w:bCs/>
              </w:rPr>
            </w:pPr>
            <w:r w:rsidRPr="004D7CF4">
              <w:rPr>
                <w:bCs/>
              </w:rPr>
              <w:t>Group A</w:t>
            </w:r>
          </w:p>
        </w:tc>
        <w:tc>
          <w:tcPr>
            <w:tcW w:w="1837" w:type="dxa"/>
            <w:tcBorders>
              <w:top w:val="nil"/>
              <w:left w:val="nil"/>
              <w:bottom w:val="single" w:sz="4" w:space="0" w:color="auto"/>
              <w:right w:val="single" w:sz="4" w:space="0" w:color="auto"/>
            </w:tcBorders>
            <w:shd w:val="clear" w:color="auto" w:fill="FFFFFF" w:themeFill="background1"/>
            <w:noWrap/>
            <w:vAlign w:val="center"/>
          </w:tcPr>
          <w:p w:rsidR="006C2467" w:rsidRPr="004D7CF4" w:rsidRDefault="006C2467" w:rsidP="00532079">
            <w:pPr>
              <w:jc w:val="center"/>
              <w:rPr>
                <w:bCs/>
              </w:rPr>
            </w:pPr>
            <w:r w:rsidRPr="004D7CF4">
              <w:rPr>
                <w:bCs/>
              </w:rPr>
              <w:t>8--19</w:t>
            </w:r>
          </w:p>
        </w:tc>
        <w:tc>
          <w:tcPr>
            <w:tcW w:w="1710" w:type="dxa"/>
            <w:tcBorders>
              <w:top w:val="nil"/>
              <w:left w:val="nil"/>
              <w:bottom w:val="single" w:sz="4" w:space="0" w:color="auto"/>
              <w:right w:val="single" w:sz="4" w:space="0" w:color="auto"/>
            </w:tcBorders>
            <w:shd w:val="clear" w:color="auto" w:fill="FFFFFF" w:themeFill="background1"/>
            <w:noWrap/>
            <w:vAlign w:val="center"/>
          </w:tcPr>
          <w:p w:rsidR="006C2467" w:rsidRPr="004D7CF4" w:rsidRDefault="008F4D07" w:rsidP="00532079">
            <w:pPr>
              <w:jc w:val="center"/>
              <w:rPr>
                <w:bCs/>
              </w:rPr>
            </w:pPr>
            <w:r>
              <w:rPr>
                <w:bCs/>
              </w:rPr>
              <w:t>6</w:t>
            </w:r>
            <w:r w:rsidR="006C2467">
              <w:rPr>
                <w:bCs/>
              </w:rPr>
              <w:t>,</w:t>
            </w:r>
            <w:r>
              <w:rPr>
                <w:bCs/>
              </w:rPr>
              <w:t>7</w:t>
            </w:r>
            <w:r w:rsidR="006C2467" w:rsidRPr="004D7CF4">
              <w:rPr>
                <w:bCs/>
              </w:rPr>
              <w:t>64</w:t>
            </w:r>
          </w:p>
        </w:tc>
        <w:tc>
          <w:tcPr>
            <w:tcW w:w="1710" w:type="dxa"/>
            <w:tcBorders>
              <w:top w:val="nil"/>
              <w:left w:val="nil"/>
              <w:bottom w:val="single" w:sz="4" w:space="0" w:color="auto"/>
              <w:right w:val="single" w:sz="4" w:space="0" w:color="auto"/>
            </w:tcBorders>
            <w:shd w:val="clear" w:color="auto" w:fill="FFFFFF" w:themeFill="background1"/>
            <w:noWrap/>
            <w:vAlign w:val="center"/>
          </w:tcPr>
          <w:p w:rsidR="006C2467" w:rsidRPr="004D7CF4" w:rsidRDefault="006C2467" w:rsidP="00532079">
            <w:pPr>
              <w:jc w:val="center"/>
              <w:rPr>
                <w:bCs/>
              </w:rPr>
            </w:pPr>
            <w:r w:rsidRPr="004D7CF4">
              <w:rPr>
                <w:bCs/>
              </w:rPr>
              <w:t>1</w:t>
            </w:r>
          </w:p>
        </w:tc>
        <w:tc>
          <w:tcPr>
            <w:tcW w:w="2178" w:type="dxa"/>
            <w:tcBorders>
              <w:top w:val="nil"/>
              <w:left w:val="nil"/>
              <w:bottom w:val="single" w:sz="4" w:space="0" w:color="auto"/>
              <w:right w:val="single" w:sz="4" w:space="0" w:color="auto"/>
            </w:tcBorders>
            <w:shd w:val="clear" w:color="auto" w:fill="FFFFFF" w:themeFill="background1"/>
            <w:noWrap/>
            <w:vAlign w:val="center"/>
          </w:tcPr>
          <w:p w:rsidR="006C2467" w:rsidRPr="004D7CF4" w:rsidRDefault="008F4D07" w:rsidP="00532079">
            <w:pPr>
              <w:jc w:val="center"/>
              <w:rPr>
                <w:bCs/>
              </w:rPr>
            </w:pPr>
            <w:r>
              <w:rPr>
                <w:bCs/>
              </w:rPr>
              <w:t>6</w:t>
            </w:r>
            <w:r w:rsidR="006C2467">
              <w:rPr>
                <w:bCs/>
              </w:rPr>
              <w:t>,</w:t>
            </w:r>
            <w:r>
              <w:rPr>
                <w:bCs/>
              </w:rPr>
              <w:t>7</w:t>
            </w:r>
            <w:r w:rsidR="006C2467" w:rsidRPr="004D7CF4">
              <w:rPr>
                <w:bCs/>
              </w:rPr>
              <w:t>64</w:t>
            </w:r>
          </w:p>
        </w:tc>
      </w:tr>
      <w:tr w:rsidR="00D00B56" w:rsidRPr="004D7CF4" w:rsidTr="00022BAF">
        <w:trPr>
          <w:trHeight w:val="269"/>
        </w:trPr>
        <w:tc>
          <w:tcPr>
            <w:tcW w:w="2045" w:type="dxa"/>
            <w:tcBorders>
              <w:top w:val="nil"/>
              <w:left w:val="single" w:sz="4" w:space="0" w:color="auto"/>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sidRPr="004D7CF4">
              <w:rPr>
                <w:bCs/>
              </w:rPr>
              <w:t>Group B</w:t>
            </w:r>
          </w:p>
        </w:tc>
        <w:tc>
          <w:tcPr>
            <w:tcW w:w="1837"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Pr>
                <w:bCs/>
              </w:rPr>
              <w:t>20--3</w:t>
            </w:r>
            <w:r w:rsidRPr="004D7CF4">
              <w:rPr>
                <w:bCs/>
              </w:rPr>
              <w:t>0</w:t>
            </w:r>
          </w:p>
        </w:tc>
        <w:tc>
          <w:tcPr>
            <w:tcW w:w="1710"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8F4D07" w:rsidP="00532079">
            <w:pPr>
              <w:jc w:val="center"/>
              <w:rPr>
                <w:bCs/>
              </w:rPr>
            </w:pPr>
            <w:r>
              <w:rPr>
                <w:bCs/>
              </w:rPr>
              <w:t>2,132</w:t>
            </w:r>
          </w:p>
        </w:tc>
        <w:tc>
          <w:tcPr>
            <w:tcW w:w="1710"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sidRPr="004D7CF4">
              <w:rPr>
                <w:bCs/>
              </w:rPr>
              <w:t>2</w:t>
            </w:r>
          </w:p>
        </w:tc>
        <w:tc>
          <w:tcPr>
            <w:tcW w:w="2178"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8F4D07" w:rsidP="00532079">
            <w:pPr>
              <w:jc w:val="center"/>
              <w:rPr>
                <w:bCs/>
              </w:rPr>
            </w:pPr>
            <w:r>
              <w:rPr>
                <w:bCs/>
              </w:rPr>
              <w:t>4,264</w:t>
            </w:r>
          </w:p>
        </w:tc>
      </w:tr>
      <w:tr w:rsidR="00D00B56" w:rsidRPr="004D7CF4" w:rsidTr="009B7EE3">
        <w:trPr>
          <w:trHeight w:val="269"/>
        </w:trPr>
        <w:tc>
          <w:tcPr>
            <w:tcW w:w="2045" w:type="dxa"/>
            <w:tcBorders>
              <w:top w:val="nil"/>
              <w:left w:val="single" w:sz="4" w:space="0" w:color="auto"/>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sidRPr="004D7CF4">
              <w:rPr>
                <w:bCs/>
              </w:rPr>
              <w:t>Group</w:t>
            </w:r>
            <w:r>
              <w:rPr>
                <w:bCs/>
              </w:rPr>
              <w:t xml:space="preserve"> C</w:t>
            </w:r>
          </w:p>
        </w:tc>
        <w:tc>
          <w:tcPr>
            <w:tcW w:w="1837"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Pr>
                <w:bCs/>
              </w:rPr>
              <w:t>30--4</w:t>
            </w:r>
            <w:r w:rsidRPr="004D7CF4">
              <w:rPr>
                <w:bCs/>
              </w:rPr>
              <w:t>0</w:t>
            </w:r>
          </w:p>
        </w:tc>
        <w:tc>
          <w:tcPr>
            <w:tcW w:w="1710"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sidRPr="004D7CF4">
              <w:rPr>
                <w:bCs/>
              </w:rPr>
              <w:t>1</w:t>
            </w:r>
            <w:r>
              <w:rPr>
                <w:bCs/>
              </w:rPr>
              <w:t>,</w:t>
            </w:r>
            <w:r w:rsidR="008F4D07">
              <w:rPr>
                <w:bCs/>
              </w:rPr>
              <w:t>200</w:t>
            </w:r>
          </w:p>
        </w:tc>
        <w:tc>
          <w:tcPr>
            <w:tcW w:w="1710"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sidRPr="004D7CF4">
              <w:rPr>
                <w:bCs/>
              </w:rPr>
              <w:t>3</w:t>
            </w:r>
          </w:p>
        </w:tc>
        <w:tc>
          <w:tcPr>
            <w:tcW w:w="2178" w:type="dxa"/>
            <w:tcBorders>
              <w:top w:val="nil"/>
              <w:left w:val="nil"/>
              <w:bottom w:val="single" w:sz="4" w:space="0" w:color="auto"/>
              <w:right w:val="single" w:sz="4" w:space="0" w:color="auto"/>
            </w:tcBorders>
            <w:shd w:val="clear" w:color="auto" w:fill="FFFFFF" w:themeFill="background1"/>
            <w:noWrap/>
            <w:vAlign w:val="center"/>
          </w:tcPr>
          <w:p w:rsidR="00D00B56" w:rsidRPr="004D7CF4" w:rsidRDefault="00D00B56" w:rsidP="00532079">
            <w:pPr>
              <w:jc w:val="center"/>
              <w:rPr>
                <w:bCs/>
              </w:rPr>
            </w:pPr>
            <w:r w:rsidRPr="004D7CF4">
              <w:rPr>
                <w:bCs/>
              </w:rPr>
              <w:t>3</w:t>
            </w:r>
            <w:r>
              <w:rPr>
                <w:bCs/>
              </w:rPr>
              <w:t>,</w:t>
            </w:r>
            <w:r w:rsidR="008F4D07">
              <w:rPr>
                <w:bCs/>
              </w:rPr>
              <w:t>600</w:t>
            </w:r>
          </w:p>
        </w:tc>
      </w:tr>
      <w:tr w:rsidR="00D00B56" w:rsidRPr="004D7CF4" w:rsidTr="009B7EE3">
        <w:trPr>
          <w:trHeight w:val="269"/>
        </w:trPr>
        <w:tc>
          <w:tcPr>
            <w:tcW w:w="2045" w:type="dxa"/>
            <w:tcBorders>
              <w:top w:val="nil"/>
              <w:left w:val="single" w:sz="4" w:space="0" w:color="auto"/>
              <w:bottom w:val="single" w:sz="4" w:space="0" w:color="auto"/>
              <w:right w:val="single" w:sz="4" w:space="0" w:color="auto"/>
            </w:tcBorders>
            <w:shd w:val="clear" w:color="000000" w:fill="D9D9D9"/>
            <w:noWrap/>
            <w:vAlign w:val="center"/>
          </w:tcPr>
          <w:p w:rsidR="00D00B56" w:rsidRPr="004D7CF4" w:rsidRDefault="00D00B56" w:rsidP="00532079">
            <w:pPr>
              <w:jc w:val="center"/>
              <w:rPr>
                <w:b/>
                <w:bCs/>
              </w:rPr>
            </w:pPr>
            <w:r w:rsidRPr="004D7CF4">
              <w:rPr>
                <w:b/>
                <w:bCs/>
              </w:rPr>
              <w:t>Total</w:t>
            </w:r>
          </w:p>
        </w:tc>
        <w:tc>
          <w:tcPr>
            <w:tcW w:w="1837" w:type="dxa"/>
            <w:tcBorders>
              <w:top w:val="nil"/>
              <w:left w:val="nil"/>
              <w:bottom w:val="single" w:sz="4" w:space="0" w:color="auto"/>
              <w:right w:val="single" w:sz="4" w:space="0" w:color="auto"/>
            </w:tcBorders>
            <w:shd w:val="clear" w:color="000000" w:fill="D9D9D9"/>
            <w:noWrap/>
            <w:vAlign w:val="center"/>
          </w:tcPr>
          <w:p w:rsidR="00D00B56" w:rsidRPr="004D7CF4" w:rsidRDefault="00D00B56" w:rsidP="00532079">
            <w:pPr>
              <w:jc w:val="center"/>
              <w:rPr>
                <w:b/>
                <w:bCs/>
              </w:rPr>
            </w:pPr>
          </w:p>
        </w:tc>
        <w:tc>
          <w:tcPr>
            <w:tcW w:w="1710" w:type="dxa"/>
            <w:tcBorders>
              <w:top w:val="nil"/>
              <w:left w:val="nil"/>
              <w:bottom w:val="single" w:sz="4" w:space="0" w:color="auto"/>
              <w:right w:val="single" w:sz="4" w:space="0" w:color="auto"/>
            </w:tcBorders>
            <w:shd w:val="clear" w:color="000000" w:fill="D9D9D9"/>
            <w:noWrap/>
            <w:vAlign w:val="center"/>
          </w:tcPr>
          <w:p w:rsidR="00D00B56" w:rsidRPr="004D7CF4" w:rsidRDefault="008F4D07" w:rsidP="00532079">
            <w:pPr>
              <w:jc w:val="center"/>
              <w:rPr>
                <w:b/>
                <w:bCs/>
              </w:rPr>
            </w:pPr>
            <w:r>
              <w:rPr>
                <w:b/>
                <w:bCs/>
              </w:rPr>
              <w:t>10,096</w:t>
            </w:r>
          </w:p>
        </w:tc>
        <w:tc>
          <w:tcPr>
            <w:tcW w:w="1710" w:type="dxa"/>
            <w:tcBorders>
              <w:top w:val="single" w:sz="4" w:space="0" w:color="auto"/>
              <w:left w:val="nil"/>
              <w:bottom w:val="single" w:sz="4" w:space="0" w:color="auto"/>
              <w:right w:val="single" w:sz="4" w:space="0" w:color="auto"/>
            </w:tcBorders>
            <w:shd w:val="clear" w:color="000000" w:fill="D9D9D9"/>
            <w:noWrap/>
            <w:vAlign w:val="center"/>
          </w:tcPr>
          <w:p w:rsidR="00D00B56" w:rsidRPr="004D7CF4" w:rsidRDefault="00D00B56" w:rsidP="00532079">
            <w:pPr>
              <w:jc w:val="center"/>
              <w:rPr>
                <w:b/>
                <w:bCs/>
              </w:rPr>
            </w:pPr>
          </w:p>
        </w:tc>
        <w:tc>
          <w:tcPr>
            <w:tcW w:w="2178" w:type="dxa"/>
            <w:tcBorders>
              <w:top w:val="single" w:sz="4" w:space="0" w:color="auto"/>
              <w:left w:val="nil"/>
              <w:bottom w:val="single" w:sz="4" w:space="0" w:color="auto"/>
              <w:right w:val="single" w:sz="4" w:space="0" w:color="auto"/>
            </w:tcBorders>
            <w:shd w:val="clear" w:color="000000" w:fill="D9D9D9"/>
            <w:noWrap/>
            <w:vAlign w:val="center"/>
          </w:tcPr>
          <w:p w:rsidR="00D00B56" w:rsidRPr="004D7CF4" w:rsidRDefault="008F4D07" w:rsidP="00532079">
            <w:pPr>
              <w:jc w:val="center"/>
              <w:rPr>
                <w:b/>
                <w:bCs/>
              </w:rPr>
            </w:pPr>
            <w:r>
              <w:rPr>
                <w:b/>
                <w:bCs/>
              </w:rPr>
              <w:t>1</w:t>
            </w:r>
            <w:r w:rsidR="00FA7BC8">
              <w:rPr>
                <w:b/>
                <w:bCs/>
              </w:rPr>
              <w:t>4,6</w:t>
            </w:r>
            <w:r w:rsidR="00D00B56">
              <w:rPr>
                <w:b/>
                <w:bCs/>
              </w:rPr>
              <w:t>28</w:t>
            </w:r>
          </w:p>
        </w:tc>
      </w:tr>
      <w:tr w:rsidR="00D00B56" w:rsidRPr="004D7CF4" w:rsidTr="009B7EE3">
        <w:trPr>
          <w:trHeight w:val="315"/>
        </w:trPr>
        <w:tc>
          <w:tcPr>
            <w:tcW w:w="2045" w:type="dxa"/>
            <w:tcBorders>
              <w:top w:val="nil"/>
              <w:left w:val="nil"/>
              <w:bottom w:val="nil"/>
              <w:right w:val="nil"/>
            </w:tcBorders>
            <w:shd w:val="clear" w:color="000000" w:fill="FFFFFF"/>
            <w:noWrap/>
            <w:vAlign w:val="bottom"/>
          </w:tcPr>
          <w:p w:rsidR="00D00B56" w:rsidRDefault="00D00B56"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Default="00185F6A" w:rsidP="004D7CF4">
            <w:pPr>
              <w:jc w:val="both"/>
              <w:rPr>
                <w:bCs/>
              </w:rPr>
            </w:pPr>
          </w:p>
          <w:p w:rsidR="00185F6A" w:rsidRPr="004D7CF4" w:rsidRDefault="00185F6A" w:rsidP="004D7CF4">
            <w:pPr>
              <w:jc w:val="both"/>
              <w:rPr>
                <w:bCs/>
              </w:rPr>
            </w:pPr>
          </w:p>
        </w:tc>
        <w:tc>
          <w:tcPr>
            <w:tcW w:w="1837" w:type="dxa"/>
            <w:tcBorders>
              <w:top w:val="nil"/>
              <w:left w:val="nil"/>
              <w:bottom w:val="nil"/>
              <w:right w:val="nil"/>
            </w:tcBorders>
            <w:shd w:val="clear" w:color="000000" w:fill="FFFFFF"/>
            <w:noWrap/>
            <w:vAlign w:val="bottom"/>
          </w:tcPr>
          <w:p w:rsidR="00D00B56" w:rsidRPr="004D7CF4" w:rsidRDefault="00D00B56" w:rsidP="004D7CF4">
            <w:pPr>
              <w:jc w:val="both"/>
              <w:rPr>
                <w:bCs/>
              </w:rPr>
            </w:pPr>
            <w:r w:rsidRPr="004D7CF4">
              <w:rPr>
                <w:bCs/>
              </w:rPr>
              <w:t> </w:t>
            </w:r>
          </w:p>
        </w:tc>
        <w:tc>
          <w:tcPr>
            <w:tcW w:w="1710" w:type="dxa"/>
            <w:tcBorders>
              <w:top w:val="nil"/>
              <w:left w:val="nil"/>
              <w:bottom w:val="nil"/>
              <w:right w:val="nil"/>
            </w:tcBorders>
            <w:shd w:val="clear" w:color="000000" w:fill="FFFFFF"/>
            <w:noWrap/>
            <w:vAlign w:val="bottom"/>
          </w:tcPr>
          <w:p w:rsidR="00D00B56" w:rsidRPr="004D7CF4" w:rsidRDefault="00D00B56" w:rsidP="004D7CF4">
            <w:pPr>
              <w:jc w:val="both"/>
              <w:rPr>
                <w:bCs/>
              </w:rPr>
            </w:pPr>
            <w:r w:rsidRPr="004D7CF4">
              <w:rPr>
                <w:bCs/>
              </w:rPr>
              <w:t> </w:t>
            </w:r>
          </w:p>
        </w:tc>
        <w:tc>
          <w:tcPr>
            <w:tcW w:w="3888" w:type="dxa"/>
            <w:gridSpan w:val="2"/>
            <w:tcBorders>
              <w:top w:val="single" w:sz="4" w:space="0" w:color="auto"/>
              <w:left w:val="nil"/>
              <w:right w:val="nil"/>
            </w:tcBorders>
            <w:shd w:val="clear" w:color="000000" w:fill="FFFFFF"/>
            <w:noWrap/>
            <w:vAlign w:val="bottom"/>
          </w:tcPr>
          <w:p w:rsidR="009B7EE3" w:rsidRPr="004D7CF4" w:rsidRDefault="009B7EE3" w:rsidP="004D7CF4">
            <w:pPr>
              <w:jc w:val="both"/>
              <w:rPr>
                <w:bCs/>
              </w:rPr>
            </w:pPr>
          </w:p>
        </w:tc>
      </w:tr>
      <w:tr w:rsidR="00D00B56" w:rsidRPr="004D7CF4" w:rsidTr="009B7EE3">
        <w:trPr>
          <w:trHeight w:val="315"/>
        </w:trPr>
        <w:tc>
          <w:tcPr>
            <w:tcW w:w="3882" w:type="dxa"/>
            <w:gridSpan w:val="2"/>
            <w:tcBorders>
              <w:top w:val="single" w:sz="4" w:space="0" w:color="auto"/>
              <w:left w:val="single" w:sz="4" w:space="0" w:color="auto"/>
              <w:bottom w:val="single" w:sz="4" w:space="0" w:color="auto"/>
              <w:right w:val="single" w:sz="4" w:space="0" w:color="000000"/>
            </w:tcBorders>
            <w:shd w:val="clear" w:color="000000" w:fill="F79646"/>
            <w:noWrap/>
            <w:vAlign w:val="bottom"/>
          </w:tcPr>
          <w:p w:rsidR="00D00B56" w:rsidRPr="004D7CF4" w:rsidRDefault="00D00B56" w:rsidP="004D7CF4">
            <w:pPr>
              <w:jc w:val="both"/>
              <w:rPr>
                <w:bCs/>
              </w:rPr>
            </w:pPr>
            <w:r w:rsidRPr="004D7CF4">
              <w:rPr>
                <w:bCs/>
              </w:rPr>
              <w:lastRenderedPageBreak/>
              <w:t>Educational Material</w:t>
            </w:r>
          </w:p>
        </w:tc>
        <w:tc>
          <w:tcPr>
            <w:tcW w:w="1710" w:type="dxa"/>
            <w:tcBorders>
              <w:top w:val="single" w:sz="4" w:space="0" w:color="FFFFFF"/>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3888" w:type="dxa"/>
            <w:gridSpan w:val="2"/>
            <w:tcBorders>
              <w:left w:val="nil"/>
              <w:bottom w:val="single" w:sz="4" w:space="0" w:color="auto"/>
              <w:right w:val="single" w:sz="4" w:space="0" w:color="auto"/>
            </w:tcBorders>
            <w:shd w:val="clear" w:color="000000" w:fill="4BACC6"/>
            <w:noWrap/>
            <w:vAlign w:val="bottom"/>
          </w:tcPr>
          <w:p w:rsidR="00D00B56" w:rsidRPr="004D7CF4" w:rsidRDefault="00D00B56" w:rsidP="004D7CF4">
            <w:pPr>
              <w:jc w:val="both"/>
              <w:rPr>
                <w:bCs/>
              </w:rPr>
            </w:pPr>
            <w:r w:rsidRPr="004D7CF4">
              <w:rPr>
                <w:bCs/>
              </w:rPr>
              <w:t>Basic Material</w:t>
            </w:r>
          </w:p>
        </w:tc>
      </w:tr>
      <w:tr w:rsidR="00D00B56" w:rsidRPr="004D7CF4" w:rsidTr="009B7EE3">
        <w:trPr>
          <w:trHeight w:val="315"/>
        </w:trPr>
        <w:tc>
          <w:tcPr>
            <w:tcW w:w="2045" w:type="dxa"/>
            <w:tcBorders>
              <w:top w:val="nil"/>
              <w:left w:val="single" w:sz="4" w:space="0" w:color="auto"/>
              <w:bottom w:val="single" w:sz="4" w:space="0" w:color="auto"/>
              <w:right w:val="single" w:sz="4" w:space="0" w:color="auto"/>
            </w:tcBorders>
            <w:shd w:val="clear" w:color="000000" w:fill="D9D9D9"/>
          </w:tcPr>
          <w:p w:rsidR="00D00B56" w:rsidRPr="004D7CF4" w:rsidRDefault="00D00B56" w:rsidP="004D7CF4">
            <w:pPr>
              <w:jc w:val="both"/>
              <w:rPr>
                <w:b/>
                <w:bCs/>
              </w:rPr>
            </w:pPr>
            <w:r w:rsidRPr="004D7CF4">
              <w:rPr>
                <w:b/>
                <w:bCs/>
              </w:rPr>
              <w:t>Theme</w:t>
            </w:r>
          </w:p>
        </w:tc>
        <w:tc>
          <w:tcPr>
            <w:tcW w:w="1837" w:type="dxa"/>
            <w:tcBorders>
              <w:top w:val="nil"/>
              <w:left w:val="nil"/>
              <w:bottom w:val="single" w:sz="4" w:space="0" w:color="auto"/>
              <w:right w:val="single" w:sz="4" w:space="0" w:color="auto"/>
            </w:tcBorders>
            <w:shd w:val="clear" w:color="000000" w:fill="D9D9D9"/>
          </w:tcPr>
          <w:p w:rsidR="00D00B56" w:rsidRPr="004D7CF4" w:rsidRDefault="00D00B56" w:rsidP="004D7CF4">
            <w:pPr>
              <w:jc w:val="both"/>
              <w:rPr>
                <w:b/>
                <w:bCs/>
              </w:rPr>
            </w:pPr>
            <w:r w:rsidRPr="004D7CF4">
              <w:rPr>
                <w:b/>
                <w:bCs/>
              </w:rPr>
              <w:t>Item</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tcBorders>
              <w:top w:val="nil"/>
              <w:left w:val="nil"/>
              <w:bottom w:val="single" w:sz="4" w:space="0" w:color="auto"/>
              <w:right w:val="single" w:sz="4" w:space="0" w:color="auto"/>
            </w:tcBorders>
            <w:shd w:val="clear" w:color="000000" w:fill="D9D9D9"/>
          </w:tcPr>
          <w:p w:rsidR="00D00B56" w:rsidRPr="004D7CF4" w:rsidRDefault="00D00B56" w:rsidP="004D7CF4">
            <w:pPr>
              <w:jc w:val="both"/>
              <w:rPr>
                <w:b/>
                <w:bCs/>
              </w:rPr>
            </w:pPr>
            <w:r w:rsidRPr="004D7CF4">
              <w:rPr>
                <w:b/>
                <w:bCs/>
              </w:rPr>
              <w:t>Theme</w:t>
            </w:r>
          </w:p>
        </w:tc>
        <w:tc>
          <w:tcPr>
            <w:tcW w:w="2178" w:type="dxa"/>
            <w:tcBorders>
              <w:top w:val="nil"/>
              <w:left w:val="nil"/>
              <w:bottom w:val="single" w:sz="4" w:space="0" w:color="auto"/>
              <w:right w:val="single" w:sz="4" w:space="0" w:color="auto"/>
            </w:tcBorders>
            <w:shd w:val="clear" w:color="000000" w:fill="D9D9D9"/>
          </w:tcPr>
          <w:p w:rsidR="00D00B56" w:rsidRPr="004D7CF4" w:rsidRDefault="00D00B56" w:rsidP="004D7CF4">
            <w:pPr>
              <w:jc w:val="both"/>
              <w:rPr>
                <w:b/>
                <w:bCs/>
              </w:rPr>
            </w:pPr>
            <w:r w:rsidRPr="004D7CF4">
              <w:rPr>
                <w:b/>
                <w:bCs/>
              </w:rPr>
              <w:t>Item</w:t>
            </w:r>
          </w:p>
        </w:tc>
      </w:tr>
      <w:tr w:rsidR="00D00B56" w:rsidRPr="004D7CF4" w:rsidTr="009B7EE3">
        <w:trPr>
          <w:trHeight w:val="315"/>
        </w:trPr>
        <w:tc>
          <w:tcPr>
            <w:tcW w:w="2045" w:type="dxa"/>
            <w:tcBorders>
              <w:top w:val="nil"/>
              <w:left w:val="single" w:sz="4" w:space="0" w:color="auto"/>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Science</w:t>
            </w: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Magnifying glass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For children</w:t>
            </w: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Crayons</w:t>
            </w:r>
          </w:p>
        </w:tc>
      </w:tr>
      <w:tr w:rsidR="00D00B56" w:rsidRPr="004D7CF4" w:rsidTr="009B7EE3">
        <w:trPr>
          <w:trHeight w:val="315"/>
        </w:trPr>
        <w:tc>
          <w:tcPr>
            <w:tcW w:w="2045" w:type="dxa"/>
            <w:vMerge w:val="restart"/>
            <w:tcBorders>
              <w:top w:val="nil"/>
              <w:left w:val="single" w:sz="4" w:space="0" w:color="auto"/>
              <w:bottom w:val="single" w:sz="4" w:space="0" w:color="000000"/>
              <w:right w:val="single" w:sz="4" w:space="0" w:color="auto"/>
            </w:tcBorders>
            <w:shd w:val="clear" w:color="auto" w:fill="auto"/>
            <w:vAlign w:val="center"/>
          </w:tcPr>
          <w:p w:rsidR="00D00B56" w:rsidRPr="004D7CF4" w:rsidRDefault="00D00B56" w:rsidP="004D7CF4">
            <w:pPr>
              <w:rPr>
                <w:bCs/>
              </w:rPr>
            </w:pPr>
            <w:r w:rsidRPr="004D7CF4">
              <w:rPr>
                <w:bCs/>
              </w:rPr>
              <w:t>Emotional Development</w:t>
            </w: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Cloth dolls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Water color paint</w:t>
            </w:r>
          </w:p>
        </w:tc>
      </w:tr>
      <w:tr w:rsidR="00D00B56" w:rsidRPr="004D7CF4" w:rsidTr="009B7EE3">
        <w:trPr>
          <w:trHeight w:val="55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 xml:space="preserve">Toys- cars and animals </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Safety scissors</w:t>
            </w:r>
          </w:p>
        </w:tc>
      </w:tr>
      <w:tr w:rsidR="00D00B56" w:rsidRPr="004D7CF4" w:rsidTr="009B7EE3">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Toys- kitchen and home</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Play dough</w:t>
            </w:r>
          </w:p>
        </w:tc>
      </w:tr>
      <w:tr w:rsidR="00D00B56" w:rsidRPr="004D7CF4" w:rsidTr="009B7EE3">
        <w:trPr>
          <w:trHeight w:val="315"/>
        </w:trPr>
        <w:tc>
          <w:tcPr>
            <w:tcW w:w="2045" w:type="dxa"/>
            <w:vMerge w:val="restart"/>
            <w:tcBorders>
              <w:top w:val="nil"/>
              <w:left w:val="single" w:sz="4" w:space="0" w:color="auto"/>
              <w:bottom w:val="single" w:sz="4" w:space="0" w:color="000000"/>
              <w:right w:val="single" w:sz="4" w:space="0" w:color="auto"/>
            </w:tcBorders>
            <w:shd w:val="clear" w:color="auto" w:fill="auto"/>
            <w:vAlign w:val="center"/>
          </w:tcPr>
          <w:p w:rsidR="00D00B56" w:rsidRPr="004D7CF4" w:rsidRDefault="00D00B56" w:rsidP="004D7CF4">
            <w:pPr>
              <w:rPr>
                <w:bCs/>
              </w:rPr>
            </w:pPr>
            <w:r w:rsidRPr="004D7CF4">
              <w:rPr>
                <w:bCs/>
              </w:rPr>
              <w:t>Reading/  Writing</w:t>
            </w: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Alphabets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Pencils</w:t>
            </w:r>
          </w:p>
        </w:tc>
      </w:tr>
      <w:tr w:rsidR="00D00B56" w:rsidRPr="004D7CF4" w:rsidTr="009B7EE3">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Storybooks</w:t>
            </w:r>
          </w:p>
        </w:tc>
        <w:tc>
          <w:tcPr>
            <w:tcW w:w="1710" w:type="dxa"/>
            <w:tcBorders>
              <w:top w:val="nil"/>
              <w:left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Erasers</w:t>
            </w:r>
          </w:p>
        </w:tc>
      </w:tr>
      <w:tr w:rsidR="00D00B56" w:rsidRPr="004D7CF4" w:rsidTr="009B7EE3">
        <w:trPr>
          <w:trHeight w:val="315"/>
        </w:trPr>
        <w:tc>
          <w:tcPr>
            <w:tcW w:w="2045" w:type="dxa"/>
            <w:tcBorders>
              <w:top w:val="nil"/>
              <w:left w:val="single" w:sz="4" w:space="0" w:color="auto"/>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Language</w:t>
            </w:r>
          </w:p>
        </w:tc>
        <w:tc>
          <w:tcPr>
            <w:tcW w:w="1837" w:type="dxa"/>
            <w:tcBorders>
              <w:top w:val="single" w:sz="4" w:space="0" w:color="auto"/>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Plastic-coated posters of plants and the human body</w:t>
            </w:r>
          </w:p>
        </w:tc>
        <w:tc>
          <w:tcPr>
            <w:tcW w:w="1710" w:type="dxa"/>
            <w:tcBorders>
              <w:top w:val="nil"/>
              <w:left w:val="single" w:sz="4" w:space="0" w:color="auto"/>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Markers</w:t>
            </w:r>
          </w:p>
        </w:tc>
      </w:tr>
      <w:tr w:rsidR="00D00B56" w:rsidRPr="004D7CF4" w:rsidTr="009B7EE3">
        <w:trPr>
          <w:trHeight w:val="315"/>
        </w:trPr>
        <w:tc>
          <w:tcPr>
            <w:tcW w:w="20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0B56" w:rsidRPr="004D7CF4" w:rsidRDefault="00D00B56" w:rsidP="004D7CF4">
            <w:pPr>
              <w:rPr>
                <w:bCs/>
              </w:rPr>
            </w:pPr>
            <w:r w:rsidRPr="004D7CF4">
              <w:rPr>
                <w:bCs/>
              </w:rPr>
              <w:t>Mathematics</w:t>
            </w:r>
          </w:p>
        </w:tc>
        <w:tc>
          <w:tcPr>
            <w:tcW w:w="1837" w:type="dxa"/>
            <w:tcBorders>
              <w:top w:val="single" w:sz="4" w:space="0" w:color="auto"/>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Geometric shapes</w:t>
            </w:r>
          </w:p>
        </w:tc>
        <w:tc>
          <w:tcPr>
            <w:tcW w:w="1710" w:type="dxa"/>
            <w:tcBorders>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single" w:sz="4" w:space="0" w:color="auto"/>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Glue</w:t>
            </w:r>
          </w:p>
        </w:tc>
      </w:tr>
      <w:tr w:rsidR="00D00B56" w:rsidRPr="004D7CF4" w:rsidTr="009B7EE3">
        <w:trPr>
          <w:trHeight w:val="557"/>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Numbers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Nylon rope</w:t>
            </w:r>
          </w:p>
        </w:tc>
      </w:tr>
      <w:tr w:rsidR="00D00B56" w:rsidRPr="004D7CF4" w:rsidTr="009B7EE3">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Domino game</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Clothes pins</w:t>
            </w:r>
          </w:p>
        </w:tc>
      </w:tr>
      <w:tr w:rsidR="00D00B56" w:rsidRPr="004D7CF4" w:rsidTr="009B7EE3">
        <w:trPr>
          <w:trHeight w:val="510"/>
        </w:trPr>
        <w:tc>
          <w:tcPr>
            <w:tcW w:w="2045" w:type="dxa"/>
            <w:vMerge w:val="restart"/>
            <w:tcBorders>
              <w:top w:val="nil"/>
              <w:left w:val="single" w:sz="4" w:space="0" w:color="auto"/>
              <w:bottom w:val="single" w:sz="4" w:space="0" w:color="000000"/>
              <w:right w:val="single" w:sz="4" w:space="0" w:color="auto"/>
            </w:tcBorders>
            <w:shd w:val="clear" w:color="auto" w:fill="auto"/>
            <w:vAlign w:val="center"/>
          </w:tcPr>
          <w:p w:rsidR="00D00B56" w:rsidRPr="004D7CF4" w:rsidRDefault="00D00B56" w:rsidP="004D7CF4">
            <w:pPr>
              <w:rPr>
                <w:bCs/>
              </w:rPr>
            </w:pPr>
            <w:r w:rsidRPr="004D7CF4">
              <w:rPr>
                <w:bCs/>
              </w:rPr>
              <w:t>Motor skills</w:t>
            </w: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Plastic balls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Rule</w:t>
            </w:r>
          </w:p>
        </w:tc>
      </w:tr>
      <w:tr w:rsidR="00D00B56" w:rsidRPr="004D7CF4" w:rsidTr="009B7EE3">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Wood horse</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single" w:sz="4" w:space="0" w:color="auto"/>
              <w:left w:val="single" w:sz="4" w:space="0" w:color="auto"/>
              <w:bottom w:val="single" w:sz="4" w:space="0" w:color="auto"/>
              <w:right w:val="single" w:sz="4" w:space="0" w:color="auto"/>
            </w:tcBorders>
            <w:vAlign w:val="center"/>
          </w:tcPr>
          <w:p w:rsidR="00D00B56" w:rsidRPr="004D7CF4" w:rsidRDefault="00D00B56" w:rsidP="004D7CF4">
            <w:pPr>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Adhesive tape</w:t>
            </w:r>
          </w:p>
        </w:tc>
      </w:tr>
      <w:tr w:rsidR="00D00B56" w:rsidRPr="004D7CF4" w:rsidTr="00956664">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Wood blocks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For teachers</w:t>
            </w: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Scissors</w:t>
            </w:r>
          </w:p>
        </w:tc>
      </w:tr>
      <w:tr w:rsidR="00D00B56" w:rsidRPr="004D7CF4" w:rsidTr="00956664">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Jumping rope</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Pens</w:t>
            </w:r>
          </w:p>
        </w:tc>
      </w:tr>
      <w:tr w:rsidR="00D00B56" w:rsidRPr="004D7CF4" w:rsidTr="00956664">
        <w:trPr>
          <w:trHeight w:val="315"/>
        </w:trPr>
        <w:tc>
          <w:tcPr>
            <w:tcW w:w="2045" w:type="dxa"/>
            <w:vMerge w:val="restart"/>
            <w:tcBorders>
              <w:top w:val="nil"/>
              <w:left w:val="single" w:sz="4" w:space="0" w:color="auto"/>
              <w:bottom w:val="single" w:sz="4" w:space="0" w:color="000000"/>
              <w:right w:val="single" w:sz="4" w:space="0" w:color="auto"/>
            </w:tcBorders>
            <w:shd w:val="clear" w:color="auto" w:fill="auto"/>
            <w:vAlign w:val="center"/>
          </w:tcPr>
          <w:p w:rsidR="00D00B56" w:rsidRPr="004D7CF4" w:rsidRDefault="00D00B56" w:rsidP="004D7CF4">
            <w:pPr>
              <w:rPr>
                <w:bCs/>
              </w:rPr>
            </w:pPr>
            <w:r w:rsidRPr="004D7CF4">
              <w:rPr>
                <w:bCs/>
              </w:rPr>
              <w:t>Music</w:t>
            </w: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Pr>
                <w:bCs/>
              </w:rPr>
              <w:t>Drum</w:t>
            </w:r>
            <w:r w:rsidRPr="004D7CF4">
              <w:rPr>
                <w:bCs/>
              </w:rPr>
              <w:t>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Cardboard</w:t>
            </w:r>
          </w:p>
        </w:tc>
      </w:tr>
      <w:tr w:rsidR="00D00B56" w:rsidRPr="004D7CF4" w:rsidTr="00956664">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Tambourines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Colored paper</w:t>
            </w:r>
          </w:p>
        </w:tc>
      </w:tr>
      <w:tr w:rsidR="00D00B56" w:rsidRPr="004D7CF4" w:rsidTr="00956664">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Maracas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Notebooks</w:t>
            </w:r>
          </w:p>
        </w:tc>
      </w:tr>
      <w:tr w:rsidR="00D00B56" w:rsidRPr="004D7CF4" w:rsidTr="00956664">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Marimbas</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Bond paper A</w:t>
            </w:r>
          </w:p>
        </w:tc>
      </w:tr>
      <w:tr w:rsidR="00D00B56" w:rsidRPr="004D7CF4" w:rsidTr="00956664">
        <w:trPr>
          <w:trHeight w:val="315"/>
        </w:trPr>
        <w:tc>
          <w:tcPr>
            <w:tcW w:w="2045" w:type="dxa"/>
            <w:vMerge/>
            <w:tcBorders>
              <w:top w:val="nil"/>
              <w:left w:val="single" w:sz="4" w:space="0" w:color="auto"/>
              <w:bottom w:val="single" w:sz="4" w:space="0" w:color="000000"/>
              <w:right w:val="single" w:sz="4" w:space="0" w:color="auto"/>
            </w:tcBorders>
            <w:vAlign w:val="center"/>
          </w:tcPr>
          <w:p w:rsidR="00D00B56" w:rsidRPr="004D7CF4" w:rsidRDefault="00D00B56" w:rsidP="004D7CF4">
            <w:pPr>
              <w:rPr>
                <w:bCs/>
              </w:rPr>
            </w:pP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Pr>
                <w:bCs/>
              </w:rPr>
              <w:t>Guit</w:t>
            </w:r>
            <w:r w:rsidRPr="004D7CF4">
              <w:rPr>
                <w:bCs/>
              </w:rPr>
              <w:t xml:space="preserve">ars </w:t>
            </w:r>
          </w:p>
        </w:tc>
        <w:tc>
          <w:tcPr>
            <w:tcW w:w="1710" w:type="dxa"/>
            <w:tcBorders>
              <w:top w:val="nil"/>
              <w:left w:val="nil"/>
              <w:bottom w:val="nil"/>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Bond paper B</w:t>
            </w:r>
          </w:p>
        </w:tc>
      </w:tr>
      <w:tr w:rsidR="00D00B56" w:rsidRPr="004D7CF4" w:rsidTr="00956664">
        <w:trPr>
          <w:trHeight w:val="315"/>
        </w:trPr>
        <w:tc>
          <w:tcPr>
            <w:tcW w:w="2045" w:type="dxa"/>
            <w:tcBorders>
              <w:top w:val="nil"/>
              <w:left w:val="single" w:sz="4" w:space="0" w:color="auto"/>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Thought</w:t>
            </w:r>
          </w:p>
        </w:tc>
        <w:tc>
          <w:tcPr>
            <w:tcW w:w="1837"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Puzzles</w:t>
            </w:r>
          </w:p>
        </w:tc>
        <w:tc>
          <w:tcPr>
            <w:tcW w:w="1710" w:type="dxa"/>
            <w:tcBorders>
              <w:top w:val="nil"/>
              <w:left w:val="nil"/>
              <w:bottom w:val="single" w:sz="4" w:space="0" w:color="FFFFFF"/>
              <w:right w:val="single" w:sz="4" w:space="0" w:color="auto"/>
            </w:tcBorders>
            <w:shd w:val="clear" w:color="000000" w:fill="FFFFFF"/>
            <w:noWrap/>
            <w:vAlign w:val="bottom"/>
          </w:tcPr>
          <w:p w:rsidR="00D00B56" w:rsidRPr="004D7CF4" w:rsidRDefault="00D00B56" w:rsidP="004D7CF4">
            <w:pPr>
              <w:jc w:val="both"/>
              <w:rPr>
                <w:bCs/>
              </w:rPr>
            </w:pPr>
            <w:r w:rsidRPr="004D7CF4">
              <w:rPr>
                <w:bCs/>
              </w:rPr>
              <w:t> </w:t>
            </w:r>
          </w:p>
        </w:tc>
        <w:tc>
          <w:tcPr>
            <w:tcW w:w="1710" w:type="dxa"/>
            <w:vMerge/>
            <w:tcBorders>
              <w:top w:val="nil"/>
              <w:left w:val="single" w:sz="4" w:space="0" w:color="auto"/>
              <w:bottom w:val="single" w:sz="4" w:space="0" w:color="auto"/>
              <w:right w:val="single" w:sz="4" w:space="0" w:color="auto"/>
            </w:tcBorders>
            <w:vAlign w:val="center"/>
          </w:tcPr>
          <w:p w:rsidR="00D00B56" w:rsidRPr="004D7CF4" w:rsidRDefault="00D00B56" w:rsidP="004D7CF4">
            <w:pPr>
              <w:jc w:val="both"/>
              <w:rPr>
                <w:bCs/>
              </w:rPr>
            </w:pPr>
          </w:p>
        </w:tc>
        <w:tc>
          <w:tcPr>
            <w:tcW w:w="2178" w:type="dxa"/>
            <w:tcBorders>
              <w:top w:val="nil"/>
              <w:left w:val="nil"/>
              <w:bottom w:val="single" w:sz="4" w:space="0" w:color="auto"/>
              <w:right w:val="single" w:sz="4" w:space="0" w:color="auto"/>
            </w:tcBorders>
            <w:shd w:val="clear" w:color="auto" w:fill="auto"/>
            <w:vAlign w:val="center"/>
          </w:tcPr>
          <w:p w:rsidR="00D00B56" w:rsidRPr="004D7CF4" w:rsidRDefault="00D00B56" w:rsidP="004D7CF4">
            <w:pPr>
              <w:rPr>
                <w:bCs/>
              </w:rPr>
            </w:pPr>
            <w:r w:rsidRPr="004D7CF4">
              <w:rPr>
                <w:bCs/>
              </w:rPr>
              <w:t> </w:t>
            </w:r>
          </w:p>
        </w:tc>
      </w:tr>
    </w:tbl>
    <w:p w:rsidR="003A1B4F" w:rsidRDefault="003A1B4F" w:rsidP="000A5AE1">
      <w:pPr>
        <w:jc w:val="both"/>
        <w:rPr>
          <w:bCs/>
        </w:rPr>
      </w:pPr>
    </w:p>
    <w:p w:rsidR="00E0336F" w:rsidRPr="008F3FE7" w:rsidRDefault="00295C05" w:rsidP="00E0336F">
      <w:pPr>
        <w:tabs>
          <w:tab w:val="left" w:pos="540"/>
        </w:tabs>
        <w:jc w:val="both"/>
        <w:rPr>
          <w:bCs/>
        </w:rPr>
      </w:pPr>
      <w:r>
        <w:rPr>
          <w:bCs/>
        </w:rPr>
        <w:tab/>
      </w:r>
      <w:r w:rsidR="00E0336F" w:rsidRPr="008F3FE7">
        <w:rPr>
          <w:bCs/>
        </w:rPr>
        <w:t>1.5</w:t>
      </w:r>
      <w:r w:rsidR="00411DD5">
        <w:rPr>
          <w:bCs/>
        </w:rPr>
        <w:tab/>
        <w:t xml:space="preserve">Developing an </w:t>
      </w:r>
      <w:r w:rsidR="00E0336F" w:rsidRPr="008F3FE7">
        <w:rPr>
          <w:bCs/>
        </w:rPr>
        <w:t>Integrated Early Childhood Development Monitoring and Evaluation system</w:t>
      </w:r>
      <w:r w:rsidR="00E0336F" w:rsidRPr="008F3FE7" w:rsidDel="00E15F07">
        <w:rPr>
          <w:bCs/>
        </w:rPr>
        <w:t xml:space="preserve"> </w:t>
      </w:r>
      <w:r w:rsidR="00E0336F" w:rsidRPr="008F3FE7">
        <w:rPr>
          <w:bCs/>
        </w:rPr>
        <w:t>(US$0.6 million)</w:t>
      </w:r>
    </w:p>
    <w:p w:rsidR="00E0336F" w:rsidRDefault="00E0336F" w:rsidP="00E0336F">
      <w:pPr>
        <w:pStyle w:val="ListParagraph"/>
        <w:rPr>
          <w:bCs/>
        </w:rPr>
      </w:pPr>
    </w:p>
    <w:p w:rsidR="00605E5A" w:rsidRPr="00A00D31" w:rsidRDefault="00411DD5" w:rsidP="00664FCA">
      <w:pPr>
        <w:pStyle w:val="ListParagraph"/>
        <w:numPr>
          <w:ilvl w:val="0"/>
          <w:numId w:val="23"/>
        </w:numPr>
        <w:ind w:left="0" w:firstLine="0"/>
        <w:jc w:val="both"/>
        <w:rPr>
          <w:bCs/>
        </w:rPr>
      </w:pPr>
      <w:r>
        <w:rPr>
          <w:bCs/>
        </w:rPr>
        <w:t>This sub-component</w:t>
      </w:r>
      <w:r w:rsidR="00D00694">
        <w:rPr>
          <w:bCs/>
        </w:rPr>
        <w:t xml:space="preserve"> would support </w:t>
      </w:r>
      <w:r w:rsidR="00D00694" w:rsidRPr="001B45F8">
        <w:rPr>
          <w:bCs/>
        </w:rPr>
        <w:t xml:space="preserve">the </w:t>
      </w:r>
      <w:r w:rsidR="00D00694">
        <w:rPr>
          <w:bCs/>
        </w:rPr>
        <w:t>development</w:t>
      </w:r>
      <w:r w:rsidR="00D00694" w:rsidRPr="001B45F8">
        <w:rPr>
          <w:bCs/>
        </w:rPr>
        <w:t xml:space="preserve"> and </w:t>
      </w:r>
      <w:r w:rsidR="00D00694">
        <w:rPr>
          <w:bCs/>
        </w:rPr>
        <w:t xml:space="preserve">piloting </w:t>
      </w:r>
      <w:r w:rsidR="00D00694" w:rsidRPr="001B45F8">
        <w:rPr>
          <w:bCs/>
        </w:rPr>
        <w:t xml:space="preserve">of </w:t>
      </w:r>
      <w:r w:rsidR="00D00694" w:rsidRPr="00101146">
        <w:rPr>
          <w:bCs/>
        </w:rPr>
        <w:t xml:space="preserve">an </w:t>
      </w:r>
      <w:r w:rsidR="00D00694">
        <w:rPr>
          <w:bCs/>
        </w:rPr>
        <w:t xml:space="preserve">integrated early childhood development monitoring and evaluation system (SEIDI) and </w:t>
      </w:r>
      <w:r w:rsidR="00D00694" w:rsidRPr="00411DD5">
        <w:rPr>
          <w:rFonts w:eastAsia="Calibri"/>
        </w:rPr>
        <w:t xml:space="preserve">implementation </w:t>
      </w:r>
      <w:r w:rsidR="00D00694">
        <w:rPr>
          <w:rFonts w:eastAsia="Calibri"/>
        </w:rPr>
        <w:t>of said system in selected m</w:t>
      </w:r>
      <w:r w:rsidR="00D00694" w:rsidRPr="00411DD5">
        <w:rPr>
          <w:rFonts w:eastAsia="Calibri"/>
        </w:rPr>
        <w:t>unicipalities</w:t>
      </w:r>
      <w:r w:rsidR="00605E5A" w:rsidRPr="006D6D68">
        <w:rPr>
          <w:bCs/>
        </w:rPr>
        <w:t>.</w:t>
      </w:r>
    </w:p>
    <w:p w:rsidR="00605E5A" w:rsidRDefault="00605E5A" w:rsidP="00605E5A">
      <w:pPr>
        <w:pStyle w:val="ListParagraph"/>
        <w:ind w:left="0"/>
        <w:jc w:val="both"/>
        <w:rPr>
          <w:bCs/>
        </w:rPr>
      </w:pPr>
    </w:p>
    <w:p w:rsidR="00605E5A" w:rsidRDefault="00A01320" w:rsidP="00605E5A">
      <w:pPr>
        <w:pStyle w:val="ListParagraph"/>
        <w:numPr>
          <w:ilvl w:val="0"/>
          <w:numId w:val="23"/>
        </w:numPr>
        <w:ind w:left="0" w:firstLine="0"/>
        <w:jc w:val="both"/>
        <w:rPr>
          <w:bCs/>
        </w:rPr>
      </w:pPr>
      <w:r w:rsidRPr="00605E5A">
        <w:rPr>
          <w:bCs/>
        </w:rPr>
        <w:t xml:space="preserve">The Early Childhood </w:t>
      </w:r>
      <w:r w:rsidR="00E0336F" w:rsidRPr="00605E5A">
        <w:rPr>
          <w:bCs/>
        </w:rPr>
        <w:t>Commission</w:t>
      </w:r>
      <w:r w:rsidRPr="00605E5A">
        <w:rPr>
          <w:bCs/>
        </w:rPr>
        <w:t xml:space="preserve"> integrates and coordinates ECD interventions among the Education, Health and Family line ministries as well as the </w:t>
      </w:r>
      <w:r w:rsidR="00043B9C">
        <w:rPr>
          <w:bCs/>
        </w:rPr>
        <w:t>INSS</w:t>
      </w:r>
      <w:r w:rsidRPr="00605E5A">
        <w:rPr>
          <w:bCs/>
        </w:rPr>
        <w:t xml:space="preserve">, and the </w:t>
      </w:r>
      <w:r w:rsidRPr="00605E5A">
        <w:rPr>
          <w:bCs/>
          <w:i/>
        </w:rPr>
        <w:t>Promotoria Solidaria</w:t>
      </w:r>
      <w:r w:rsidRPr="00605E5A">
        <w:rPr>
          <w:bCs/>
        </w:rPr>
        <w:t xml:space="preserve"> supported by the President’s office. At the departmental and municipal level, the commission is represented by the</w:t>
      </w:r>
      <w:r w:rsidR="00043B9C">
        <w:rPr>
          <w:bCs/>
          <w:i/>
        </w:rPr>
        <w:t xml:space="preserve"> </w:t>
      </w:r>
      <w:r w:rsidR="00043B9C">
        <w:rPr>
          <w:bCs/>
        </w:rPr>
        <w:t>PAMOR</w:t>
      </w:r>
      <w:r w:rsidRPr="00605E5A">
        <w:rPr>
          <w:bCs/>
        </w:rPr>
        <w:t xml:space="preserve"> commissions.</w:t>
      </w:r>
    </w:p>
    <w:p w:rsidR="00605E5A" w:rsidRPr="00605E5A" w:rsidRDefault="00605E5A" w:rsidP="00605E5A">
      <w:pPr>
        <w:pStyle w:val="ListParagraph"/>
        <w:rPr>
          <w:bCs/>
        </w:rPr>
      </w:pPr>
    </w:p>
    <w:p w:rsidR="00A127DB" w:rsidRDefault="00A01320" w:rsidP="008F3FE7">
      <w:pPr>
        <w:pStyle w:val="ListParagraph"/>
        <w:numPr>
          <w:ilvl w:val="0"/>
          <w:numId w:val="23"/>
        </w:numPr>
        <w:autoSpaceDE w:val="0"/>
        <w:autoSpaceDN w:val="0"/>
        <w:adjustRightInd w:val="0"/>
        <w:ind w:left="0" w:firstLine="0"/>
        <w:jc w:val="both"/>
        <w:rPr>
          <w:bCs/>
        </w:rPr>
      </w:pPr>
      <w:r w:rsidRPr="00A00D31">
        <w:rPr>
          <w:bCs/>
        </w:rPr>
        <w:lastRenderedPageBreak/>
        <w:t xml:space="preserve">To ensure each ministry and entity carries out specific activities to effectively implement the SEIDI, the </w:t>
      </w:r>
      <w:r w:rsidR="00043B9C">
        <w:rPr>
          <w:bCs/>
        </w:rPr>
        <w:t>technical arm of the Early Childhood Commission</w:t>
      </w:r>
      <w:r w:rsidRPr="00A00D31">
        <w:rPr>
          <w:bCs/>
        </w:rPr>
        <w:t xml:space="preserve"> will support: </w:t>
      </w:r>
    </w:p>
    <w:p w:rsidR="008F3FE7" w:rsidRPr="005F54EB" w:rsidRDefault="008F3FE7" w:rsidP="008F3FE7">
      <w:pPr>
        <w:pStyle w:val="ListParagraph"/>
        <w:autoSpaceDE w:val="0"/>
        <w:autoSpaceDN w:val="0"/>
        <w:adjustRightInd w:val="0"/>
        <w:ind w:left="0"/>
        <w:jc w:val="both"/>
        <w:rPr>
          <w:bCs/>
        </w:rPr>
      </w:pPr>
    </w:p>
    <w:p w:rsidR="00A127DB" w:rsidRPr="008F3FE7" w:rsidRDefault="00A01320" w:rsidP="008F3FE7">
      <w:pPr>
        <w:pStyle w:val="ListParagraph"/>
        <w:numPr>
          <w:ilvl w:val="0"/>
          <w:numId w:val="25"/>
        </w:numPr>
        <w:autoSpaceDE w:val="0"/>
        <w:autoSpaceDN w:val="0"/>
        <w:adjustRightInd w:val="0"/>
        <w:jc w:val="both"/>
        <w:rPr>
          <w:bCs/>
        </w:rPr>
      </w:pPr>
      <w:r w:rsidRPr="008F3FE7">
        <w:rPr>
          <w:bCs/>
        </w:rPr>
        <w:t>The Ministry of Health in carrying out</w:t>
      </w:r>
      <w:r w:rsidR="009B7AB7" w:rsidRPr="008F3FE7">
        <w:rPr>
          <w:bCs/>
        </w:rPr>
        <w:t xml:space="preserve"> M&amp;E activities using key </w:t>
      </w:r>
      <w:r w:rsidR="00A127DB" w:rsidRPr="008F3FE7">
        <w:rPr>
          <w:bCs/>
        </w:rPr>
        <w:t xml:space="preserve">health and nutrition </w:t>
      </w:r>
      <w:r w:rsidR="00043B9C">
        <w:rPr>
          <w:bCs/>
        </w:rPr>
        <w:t>indicators to measure</w:t>
      </w:r>
      <w:r w:rsidR="009B7AB7" w:rsidRPr="008F3FE7">
        <w:rPr>
          <w:bCs/>
        </w:rPr>
        <w:t xml:space="preserve"> maternal health outcomes, child nutrition and micronutrient intake, child health promotion interventions, and rates and prevention infectious diseases</w:t>
      </w:r>
      <w:r w:rsidRPr="008F3FE7">
        <w:rPr>
          <w:bCs/>
        </w:rPr>
        <w:t>;</w:t>
      </w:r>
    </w:p>
    <w:p w:rsidR="00A127DB" w:rsidRPr="008F3FE7" w:rsidRDefault="00A01320" w:rsidP="008F3FE7">
      <w:pPr>
        <w:pStyle w:val="ListParagraph"/>
        <w:numPr>
          <w:ilvl w:val="0"/>
          <w:numId w:val="25"/>
        </w:numPr>
        <w:autoSpaceDE w:val="0"/>
        <w:autoSpaceDN w:val="0"/>
        <w:adjustRightInd w:val="0"/>
        <w:jc w:val="both"/>
        <w:rPr>
          <w:bCs/>
        </w:rPr>
      </w:pPr>
      <w:r w:rsidRPr="008F3FE7">
        <w:rPr>
          <w:bCs/>
        </w:rPr>
        <w:t>The Ministry of Family in carrying out</w:t>
      </w:r>
      <w:r w:rsidR="009B7AB7" w:rsidRPr="008F3FE7">
        <w:rPr>
          <w:bCs/>
        </w:rPr>
        <w:t xml:space="preserve"> M&amp;E activities using key indicators to measure: psychosocial risk factors and parenting factors </w:t>
      </w:r>
      <w:r w:rsidR="00A127DB" w:rsidRPr="008F3FE7">
        <w:rPr>
          <w:bCs/>
        </w:rPr>
        <w:t>related to young children</w:t>
      </w:r>
      <w:r w:rsidR="00A127DB" w:rsidRPr="008F3FE7">
        <w:rPr>
          <w:rFonts w:hint="eastAsia"/>
          <w:bCs/>
        </w:rPr>
        <w:t>’</w:t>
      </w:r>
      <w:r w:rsidR="00A127DB" w:rsidRPr="008F3FE7">
        <w:rPr>
          <w:bCs/>
        </w:rPr>
        <w:t>s cognitive and soci</w:t>
      </w:r>
      <w:r w:rsidR="00043B9C">
        <w:rPr>
          <w:bCs/>
        </w:rPr>
        <w:t>al-emotional competence such as,</w:t>
      </w:r>
      <w:r w:rsidR="00A127DB" w:rsidRPr="008F3FE7">
        <w:rPr>
          <w:bCs/>
        </w:rPr>
        <w:t xml:space="preserve"> cognitive stimulation, caregiver sensitivity and responsiveness to the child, and caregiver affect (emotional warmth or rejection of child), and contextual risk factors such as exposure to violence; </w:t>
      </w:r>
      <w:r w:rsidRPr="008F3FE7">
        <w:rPr>
          <w:bCs/>
        </w:rPr>
        <w:t>and</w:t>
      </w:r>
    </w:p>
    <w:p w:rsidR="00E0336F" w:rsidRPr="008F3FE7" w:rsidRDefault="00A01320" w:rsidP="008F3FE7">
      <w:pPr>
        <w:pStyle w:val="ListParagraph"/>
        <w:numPr>
          <w:ilvl w:val="0"/>
          <w:numId w:val="25"/>
        </w:numPr>
        <w:autoSpaceDE w:val="0"/>
        <w:autoSpaceDN w:val="0"/>
        <w:adjustRightInd w:val="0"/>
        <w:jc w:val="both"/>
        <w:rPr>
          <w:bCs/>
        </w:rPr>
      </w:pPr>
      <w:r w:rsidRPr="008F3FE7">
        <w:rPr>
          <w:bCs/>
        </w:rPr>
        <w:t xml:space="preserve">The Ministry of Education in carrying out all monitoring and evaluation activities using key preschool </w:t>
      </w:r>
      <w:r w:rsidR="003100B8">
        <w:rPr>
          <w:bCs/>
        </w:rPr>
        <w:t>education indicators to measure</w:t>
      </w:r>
      <w:r w:rsidRPr="008F3FE7">
        <w:rPr>
          <w:bCs/>
        </w:rPr>
        <w:t xml:space="preserve"> access, participation, and progression; learning environment and preschool organization; financial and human resources invested; and impact on learning.</w:t>
      </w:r>
    </w:p>
    <w:p w:rsidR="00E0336F" w:rsidRPr="00A127DB" w:rsidRDefault="00E0336F" w:rsidP="008F3FE7">
      <w:pPr>
        <w:pStyle w:val="ListParagraph"/>
        <w:rPr>
          <w:bCs/>
        </w:rPr>
      </w:pPr>
    </w:p>
    <w:p w:rsidR="00E0336F" w:rsidRDefault="00E0336F" w:rsidP="008F3FE7">
      <w:pPr>
        <w:pStyle w:val="ListParagraph"/>
        <w:numPr>
          <w:ilvl w:val="0"/>
          <w:numId w:val="23"/>
        </w:numPr>
        <w:ind w:left="0" w:firstLine="0"/>
        <w:jc w:val="both"/>
        <w:rPr>
          <w:bCs/>
        </w:rPr>
      </w:pPr>
      <w:r w:rsidRPr="003E5A9D">
        <w:rPr>
          <w:bCs/>
        </w:rPr>
        <w:t xml:space="preserve">The Project would finance technical assistance and training activities associated with the </w:t>
      </w:r>
      <w:r>
        <w:rPr>
          <w:bCs/>
        </w:rPr>
        <w:t xml:space="preserve">design, </w:t>
      </w:r>
      <w:r w:rsidRPr="003E5A9D">
        <w:rPr>
          <w:bCs/>
        </w:rPr>
        <w:t xml:space="preserve">development </w:t>
      </w:r>
      <w:r>
        <w:rPr>
          <w:bCs/>
        </w:rPr>
        <w:t xml:space="preserve">and piloting of the SEIDI. These activities will follow a plan of action that </w:t>
      </w:r>
      <w:r w:rsidRPr="00F50C2D">
        <w:rPr>
          <w:bCs/>
        </w:rPr>
        <w:t xml:space="preserve">the </w:t>
      </w:r>
      <w:r w:rsidR="008F3FE7">
        <w:rPr>
          <w:bCs/>
        </w:rPr>
        <w:t>GDPE</w:t>
      </w:r>
      <w:r w:rsidRPr="00F50C2D">
        <w:rPr>
          <w:bCs/>
        </w:rPr>
        <w:t xml:space="preserve"> and the Office of Learning Evaluation of</w:t>
      </w:r>
      <w:r>
        <w:rPr>
          <w:bCs/>
        </w:rPr>
        <w:t xml:space="preserve"> the Ministry of Education, in coordination with </w:t>
      </w:r>
      <w:r w:rsidRPr="00605E5A">
        <w:rPr>
          <w:bCs/>
        </w:rPr>
        <w:t xml:space="preserve">the technical arm of the </w:t>
      </w:r>
      <w:r w:rsidR="003100B8">
        <w:rPr>
          <w:bCs/>
        </w:rPr>
        <w:t>CTEC</w:t>
      </w:r>
      <w:r w:rsidRPr="00605E5A">
        <w:rPr>
          <w:bCs/>
        </w:rPr>
        <w:t xml:space="preserve"> </w:t>
      </w:r>
      <w:r>
        <w:rPr>
          <w:bCs/>
        </w:rPr>
        <w:t xml:space="preserve">will develop. </w:t>
      </w:r>
      <w:r w:rsidR="003100B8">
        <w:rPr>
          <w:bCs/>
        </w:rPr>
        <w:t>S</w:t>
      </w:r>
      <w:r w:rsidRPr="006A10A0">
        <w:rPr>
          <w:bCs/>
        </w:rPr>
        <w:t>pecifically</w:t>
      </w:r>
      <w:r w:rsidR="003100B8">
        <w:rPr>
          <w:bCs/>
        </w:rPr>
        <w:t>, this Project would</w:t>
      </w:r>
      <w:r w:rsidRPr="006A10A0">
        <w:rPr>
          <w:bCs/>
        </w:rPr>
        <w:t xml:space="preserve"> finance: (i) the develop</w:t>
      </w:r>
      <w:r>
        <w:rPr>
          <w:bCs/>
        </w:rPr>
        <w:t>ment of the SEIDI’s conceptual and methodological framework during 2013</w:t>
      </w:r>
      <w:r w:rsidRPr="003E5A9D">
        <w:rPr>
          <w:bCs/>
        </w:rPr>
        <w:t xml:space="preserve">; (ii) </w:t>
      </w:r>
      <w:r>
        <w:rPr>
          <w:bCs/>
        </w:rPr>
        <w:t xml:space="preserve">the development of </w:t>
      </w:r>
      <w:r w:rsidRPr="002D20DB">
        <w:rPr>
          <w:bCs/>
        </w:rPr>
        <w:t>tools to measure and evaluate child development outcomes</w:t>
      </w:r>
      <w:r>
        <w:rPr>
          <w:bCs/>
        </w:rPr>
        <w:t xml:space="preserve"> during 2014, and (iii) </w:t>
      </w:r>
      <w:r w:rsidRPr="003E5A9D">
        <w:rPr>
          <w:bCs/>
        </w:rPr>
        <w:t xml:space="preserve">the initial </w:t>
      </w:r>
      <w:r>
        <w:rPr>
          <w:bCs/>
        </w:rPr>
        <w:t>validation</w:t>
      </w:r>
      <w:r w:rsidRPr="003E5A9D">
        <w:rPr>
          <w:bCs/>
        </w:rPr>
        <w:t xml:space="preserve"> of the </w:t>
      </w:r>
      <w:r>
        <w:rPr>
          <w:bCs/>
        </w:rPr>
        <w:t>tools</w:t>
      </w:r>
      <w:r w:rsidRPr="003E5A9D">
        <w:rPr>
          <w:bCs/>
        </w:rPr>
        <w:t xml:space="preserve"> on a </w:t>
      </w:r>
      <w:r>
        <w:rPr>
          <w:bCs/>
        </w:rPr>
        <w:t>g</w:t>
      </w:r>
      <w:r w:rsidRPr="003E5A9D">
        <w:rPr>
          <w:bCs/>
        </w:rPr>
        <w:t xml:space="preserve">eographically and demographically representative sample of </w:t>
      </w:r>
      <w:r w:rsidRPr="00F50C2D">
        <w:rPr>
          <w:bCs/>
        </w:rPr>
        <w:t>preschool-aged children</w:t>
      </w:r>
      <w:r>
        <w:rPr>
          <w:bCs/>
        </w:rPr>
        <w:t xml:space="preserve"> living in the </w:t>
      </w:r>
      <w:r w:rsidRPr="006A10A0">
        <w:rPr>
          <w:bCs/>
        </w:rPr>
        <w:t>prio</w:t>
      </w:r>
      <w:r w:rsidR="00B31B3C">
        <w:rPr>
          <w:bCs/>
        </w:rPr>
        <w:t>ritized municipalities of this P</w:t>
      </w:r>
      <w:r w:rsidRPr="006A10A0">
        <w:rPr>
          <w:bCs/>
        </w:rPr>
        <w:t>roject</w:t>
      </w:r>
      <w:r>
        <w:rPr>
          <w:bCs/>
        </w:rPr>
        <w:t xml:space="preserve">, starting with a </w:t>
      </w:r>
      <w:r w:rsidRPr="003E5A9D">
        <w:rPr>
          <w:bCs/>
        </w:rPr>
        <w:t>baseline</w:t>
      </w:r>
      <w:r>
        <w:rPr>
          <w:bCs/>
        </w:rPr>
        <w:t xml:space="preserve"> in 2015.</w:t>
      </w:r>
    </w:p>
    <w:p w:rsidR="00605E5A" w:rsidRPr="00605E5A" w:rsidRDefault="00605E5A" w:rsidP="00605E5A">
      <w:pPr>
        <w:pStyle w:val="ListParagraph"/>
        <w:rPr>
          <w:b/>
          <w:bCs/>
        </w:rPr>
      </w:pPr>
    </w:p>
    <w:p w:rsidR="00605E5A" w:rsidRPr="008F3FE7" w:rsidRDefault="00605E5A" w:rsidP="00605E5A">
      <w:pPr>
        <w:pStyle w:val="ListParagraph"/>
        <w:numPr>
          <w:ilvl w:val="0"/>
          <w:numId w:val="23"/>
        </w:numPr>
        <w:ind w:left="0" w:firstLine="0"/>
        <w:jc w:val="both"/>
        <w:rPr>
          <w:bCs/>
        </w:rPr>
      </w:pPr>
      <w:r w:rsidRPr="00605E5A">
        <w:rPr>
          <w:b/>
          <w:bCs/>
        </w:rPr>
        <w:t xml:space="preserve">The development of the SEIDI’s conceptual and methodological framework. </w:t>
      </w:r>
      <w:r w:rsidRPr="00605E5A">
        <w:rPr>
          <w:bCs/>
        </w:rPr>
        <w:t xml:space="preserve"> During 2013</w:t>
      </w:r>
      <w:r w:rsidR="003100B8">
        <w:rPr>
          <w:bCs/>
        </w:rPr>
        <w:t>,</w:t>
      </w:r>
      <w:r w:rsidRPr="00605E5A">
        <w:rPr>
          <w:bCs/>
        </w:rPr>
        <w:t xml:space="preserve"> CTEC will develop a diagnostic tool and carry out a national assessment to understand the current health, education and well</w:t>
      </w:r>
      <w:r w:rsidR="008F3FE7">
        <w:rPr>
          <w:bCs/>
        </w:rPr>
        <w:t>-</w:t>
      </w:r>
      <w:r w:rsidRPr="00605E5A">
        <w:rPr>
          <w:bCs/>
        </w:rPr>
        <w:t xml:space="preserve">being and family situation of young children in Nicaragua. This information will be the basis to develop the system’s conceptual and methodological </w:t>
      </w:r>
      <w:r w:rsidRPr="008F3FE7">
        <w:rPr>
          <w:bCs/>
        </w:rPr>
        <w:t xml:space="preserve">framework. The CTEC will also establish a technical task force with national and international experts to define concepts and methodologies, identify key indicators to measure the different dimensions of child development, and assess the capacity of the ministries to ensure the effective operation of the SEIDI. Once developed, the proposed frameworks will go through a national consultation process to be finalized. </w:t>
      </w:r>
    </w:p>
    <w:p w:rsidR="00605E5A" w:rsidRPr="008F3FE7" w:rsidRDefault="00605E5A" w:rsidP="00605E5A">
      <w:pPr>
        <w:pStyle w:val="ListParagraph"/>
        <w:rPr>
          <w:b/>
          <w:bCs/>
        </w:rPr>
      </w:pPr>
    </w:p>
    <w:p w:rsidR="00605E5A" w:rsidRPr="008F3FE7" w:rsidRDefault="00605E5A" w:rsidP="00605E5A">
      <w:pPr>
        <w:pStyle w:val="ListParagraph"/>
        <w:numPr>
          <w:ilvl w:val="0"/>
          <w:numId w:val="23"/>
        </w:numPr>
        <w:ind w:left="0" w:firstLine="0"/>
        <w:jc w:val="both"/>
        <w:rPr>
          <w:bCs/>
        </w:rPr>
      </w:pPr>
      <w:r w:rsidRPr="008F3FE7">
        <w:rPr>
          <w:b/>
          <w:bCs/>
        </w:rPr>
        <w:t>The development of tools to measure and evaluate child development outcomes.</w:t>
      </w:r>
      <w:r w:rsidRPr="008F3FE7">
        <w:rPr>
          <w:bCs/>
        </w:rPr>
        <w:t xml:space="preserve"> During 2014</w:t>
      </w:r>
      <w:r w:rsidR="003100B8">
        <w:rPr>
          <w:bCs/>
        </w:rPr>
        <w:t>,</w:t>
      </w:r>
      <w:r w:rsidRPr="008F3FE7">
        <w:rPr>
          <w:bCs/>
        </w:rPr>
        <w:t xml:space="preserve"> the CTEC in coordination with the different ministries and the established technical task force will: (i) </w:t>
      </w:r>
      <w:r w:rsidR="00E0336F" w:rsidRPr="008F3FE7">
        <w:rPr>
          <w:bCs/>
        </w:rPr>
        <w:t>prepare</w:t>
      </w:r>
      <w:r w:rsidRPr="008F3FE7">
        <w:rPr>
          <w:bCs/>
        </w:rPr>
        <w:t xml:space="preserve"> an inventory of existin</w:t>
      </w:r>
      <w:r w:rsidR="003100B8">
        <w:rPr>
          <w:bCs/>
        </w:rPr>
        <w:t>g ECD M&amp;E tools that have been or can be</w:t>
      </w:r>
      <w:r w:rsidRPr="008F3FE7">
        <w:rPr>
          <w:bCs/>
        </w:rPr>
        <w:t xml:space="preserve"> applied to the Nicaraguan context; and (ii) develop tools to track the indicators and measure the child development outcomes identified in the conceptual and methodological frameworks. </w:t>
      </w:r>
    </w:p>
    <w:p w:rsidR="00605E5A" w:rsidRPr="008F3FE7" w:rsidRDefault="00605E5A" w:rsidP="00605E5A">
      <w:pPr>
        <w:jc w:val="both"/>
        <w:rPr>
          <w:bCs/>
        </w:rPr>
      </w:pPr>
    </w:p>
    <w:p w:rsidR="00605E5A" w:rsidRDefault="00605E5A" w:rsidP="00605E5A">
      <w:pPr>
        <w:pStyle w:val="ListParagraph"/>
        <w:numPr>
          <w:ilvl w:val="0"/>
          <w:numId w:val="23"/>
        </w:numPr>
        <w:ind w:left="0" w:firstLine="0"/>
        <w:jc w:val="both"/>
        <w:rPr>
          <w:bCs/>
        </w:rPr>
      </w:pPr>
      <w:r w:rsidRPr="008F3FE7">
        <w:rPr>
          <w:b/>
          <w:bCs/>
        </w:rPr>
        <w:t>The initial validation of the tools on a geographically and demographically representative sample of preschool-aged</w:t>
      </w:r>
      <w:r w:rsidRPr="00605E5A">
        <w:rPr>
          <w:b/>
          <w:bCs/>
        </w:rPr>
        <w:t xml:space="preserve"> children </w:t>
      </w:r>
      <w:r w:rsidRPr="00605E5A">
        <w:rPr>
          <w:bCs/>
        </w:rPr>
        <w:t>living in the prio</w:t>
      </w:r>
      <w:r w:rsidR="00B31B3C">
        <w:rPr>
          <w:bCs/>
        </w:rPr>
        <w:t>ritized municipalities of this P</w:t>
      </w:r>
      <w:r w:rsidRPr="00605E5A">
        <w:rPr>
          <w:bCs/>
        </w:rPr>
        <w:t>roject. During 2015</w:t>
      </w:r>
      <w:r w:rsidR="00395884">
        <w:rPr>
          <w:bCs/>
        </w:rPr>
        <w:t>,</w:t>
      </w:r>
      <w:r w:rsidRPr="00605E5A">
        <w:rPr>
          <w:bCs/>
        </w:rPr>
        <w:t xml:space="preserve"> the CTEC and t</w:t>
      </w:r>
      <w:r w:rsidR="00D468FC">
        <w:rPr>
          <w:bCs/>
        </w:rPr>
        <w:t xml:space="preserve">he technical task force will </w:t>
      </w:r>
      <w:r w:rsidRPr="00605E5A">
        <w:rPr>
          <w:bCs/>
        </w:rPr>
        <w:t>provide tra</w:t>
      </w:r>
      <w:r w:rsidR="00D468FC">
        <w:rPr>
          <w:bCs/>
        </w:rPr>
        <w:t xml:space="preserve">ining on the </w:t>
      </w:r>
      <w:r w:rsidR="00D468FC">
        <w:rPr>
          <w:bCs/>
        </w:rPr>
        <w:lastRenderedPageBreak/>
        <w:t>operation of the S</w:t>
      </w:r>
      <w:r w:rsidRPr="00605E5A">
        <w:rPr>
          <w:bCs/>
        </w:rPr>
        <w:t>E</w:t>
      </w:r>
      <w:r w:rsidR="00D468FC">
        <w:rPr>
          <w:bCs/>
        </w:rPr>
        <w:t>I</w:t>
      </w:r>
      <w:r w:rsidRPr="00605E5A">
        <w:rPr>
          <w:bCs/>
        </w:rPr>
        <w:t>DI</w:t>
      </w:r>
      <w:r w:rsidR="000B035B">
        <w:rPr>
          <w:bCs/>
        </w:rPr>
        <w:t>,</w:t>
      </w:r>
      <w:r w:rsidRPr="00605E5A">
        <w:rPr>
          <w:bCs/>
        </w:rPr>
        <w:t xml:space="preserve"> and the rationale and use of the different measuring tools to selected staff from the line ministries as well as the service providers. This group will then validate the tools piloting them with the children living in the prioritized municipalities, and establish a baseline. The group will also continue to train other human resources on the use of the tools. </w:t>
      </w:r>
    </w:p>
    <w:p w:rsidR="00605E5A" w:rsidRDefault="00605E5A" w:rsidP="00664FCA">
      <w:pPr>
        <w:pStyle w:val="ListParagraph"/>
        <w:ind w:left="0"/>
        <w:jc w:val="both"/>
        <w:rPr>
          <w:bCs/>
        </w:rPr>
      </w:pPr>
    </w:p>
    <w:p w:rsidR="00975E89" w:rsidRPr="00826FBF" w:rsidRDefault="00975E89" w:rsidP="00975E89">
      <w:pPr>
        <w:widowControl w:val="0"/>
        <w:autoSpaceDE w:val="0"/>
        <w:autoSpaceDN w:val="0"/>
        <w:adjustRightInd w:val="0"/>
        <w:jc w:val="both"/>
        <w:rPr>
          <w:b/>
          <w:bCs/>
        </w:rPr>
      </w:pPr>
      <w:r>
        <w:rPr>
          <w:b/>
          <w:bCs/>
        </w:rPr>
        <w:t>Component 2</w:t>
      </w:r>
      <w:r w:rsidRPr="00826FBF">
        <w:rPr>
          <w:b/>
          <w:bCs/>
        </w:rPr>
        <w:t xml:space="preserve">: </w:t>
      </w:r>
      <w:r w:rsidR="004020EA">
        <w:rPr>
          <w:b/>
          <w:bCs/>
        </w:rPr>
        <w:t>Inprov</w:t>
      </w:r>
      <w:r w:rsidR="00D47E66">
        <w:rPr>
          <w:b/>
          <w:bCs/>
        </w:rPr>
        <w:t>ing Access</w:t>
      </w:r>
      <w:r>
        <w:rPr>
          <w:b/>
          <w:bCs/>
        </w:rPr>
        <w:t>, Quality and Completion</w:t>
      </w:r>
      <w:r w:rsidRPr="00826FBF">
        <w:rPr>
          <w:b/>
          <w:bCs/>
        </w:rPr>
        <w:t xml:space="preserve"> of </w:t>
      </w:r>
      <w:r>
        <w:rPr>
          <w:b/>
          <w:bCs/>
        </w:rPr>
        <w:t>Lower Secondary</w:t>
      </w:r>
      <w:r w:rsidRPr="00826FBF">
        <w:rPr>
          <w:b/>
          <w:bCs/>
        </w:rPr>
        <w:t xml:space="preserve"> Education (US</w:t>
      </w:r>
      <w:r>
        <w:rPr>
          <w:b/>
          <w:bCs/>
        </w:rPr>
        <w:t>$3</w:t>
      </w:r>
      <w:r w:rsidR="00FA086F">
        <w:rPr>
          <w:b/>
          <w:bCs/>
        </w:rPr>
        <w:t>3</w:t>
      </w:r>
      <w:r>
        <w:rPr>
          <w:b/>
          <w:bCs/>
        </w:rPr>
        <w:t>.</w:t>
      </w:r>
      <w:r w:rsidR="00DB09A9">
        <w:rPr>
          <w:b/>
          <w:bCs/>
        </w:rPr>
        <w:t>5</w:t>
      </w:r>
      <w:r w:rsidRPr="00826FBF">
        <w:rPr>
          <w:b/>
          <w:bCs/>
        </w:rPr>
        <w:t xml:space="preserve"> million</w:t>
      </w:r>
      <w:r w:rsidR="0066787C">
        <w:rPr>
          <w:b/>
          <w:bCs/>
        </w:rPr>
        <w:t xml:space="preserve"> - EU</w:t>
      </w:r>
      <w:r w:rsidRPr="00826FBF">
        <w:rPr>
          <w:b/>
          <w:bCs/>
        </w:rPr>
        <w:t>)</w:t>
      </w:r>
      <w:r w:rsidRPr="00826FBF">
        <w:rPr>
          <w:bCs/>
          <w:vertAlign w:val="superscript"/>
        </w:rPr>
        <w:t xml:space="preserve"> </w:t>
      </w:r>
      <w:r w:rsidRPr="00826FBF">
        <w:rPr>
          <w:b/>
          <w:bCs/>
          <w:vertAlign w:val="superscript"/>
        </w:rPr>
        <w:footnoteReference w:id="17"/>
      </w:r>
    </w:p>
    <w:p w:rsidR="00975E89" w:rsidRDefault="00975E89" w:rsidP="00975E89">
      <w:pPr>
        <w:widowControl w:val="0"/>
        <w:autoSpaceDE w:val="0"/>
        <w:autoSpaceDN w:val="0"/>
        <w:adjustRightInd w:val="0"/>
        <w:jc w:val="both"/>
        <w:rPr>
          <w:bCs/>
          <w:u w:val="single"/>
        </w:rPr>
      </w:pPr>
    </w:p>
    <w:p w:rsidR="00EF066A" w:rsidRPr="00D468FC" w:rsidRDefault="00EF066A" w:rsidP="00164B1B">
      <w:pPr>
        <w:pStyle w:val="ListParagraph"/>
        <w:numPr>
          <w:ilvl w:val="0"/>
          <w:numId w:val="23"/>
        </w:numPr>
        <w:ind w:left="0" w:firstLine="0"/>
        <w:jc w:val="both"/>
        <w:rPr>
          <w:bCs/>
        </w:rPr>
      </w:pPr>
      <w:r w:rsidRPr="00D468FC">
        <w:rPr>
          <w:bCs/>
        </w:rPr>
        <w:t xml:space="preserve">Component 2 would contribute to increasing access to lower-secondary education in </w:t>
      </w:r>
      <w:r w:rsidR="00FF79AE" w:rsidRPr="00D468FC">
        <w:rPr>
          <w:bCs/>
        </w:rPr>
        <w:t xml:space="preserve">the </w:t>
      </w:r>
      <w:r w:rsidRPr="00D468FC">
        <w:rPr>
          <w:bCs/>
        </w:rPr>
        <w:t xml:space="preserve">43 </w:t>
      </w:r>
      <w:r w:rsidR="00636799" w:rsidRPr="00D468FC">
        <w:rPr>
          <w:bCs/>
        </w:rPr>
        <w:t xml:space="preserve">selected </w:t>
      </w:r>
      <w:r w:rsidRPr="00D468FC">
        <w:rPr>
          <w:bCs/>
        </w:rPr>
        <w:t xml:space="preserve">municipalities and improving </w:t>
      </w:r>
      <w:r w:rsidR="00FF79AE" w:rsidRPr="00D468FC">
        <w:rPr>
          <w:bCs/>
        </w:rPr>
        <w:t xml:space="preserve">quality and completion of lower </w:t>
      </w:r>
      <w:r w:rsidRPr="00D468FC">
        <w:rPr>
          <w:bCs/>
        </w:rPr>
        <w:t xml:space="preserve">secondary </w:t>
      </w:r>
      <w:r w:rsidRPr="00D77DC7">
        <w:rPr>
          <w:bCs/>
        </w:rPr>
        <w:t>education</w:t>
      </w:r>
      <w:r w:rsidRPr="00D468FC">
        <w:rPr>
          <w:bCs/>
        </w:rPr>
        <w:t xml:space="preserve">.  This </w:t>
      </w:r>
      <w:r w:rsidR="00C25990">
        <w:rPr>
          <w:bCs/>
        </w:rPr>
        <w:t>Component</w:t>
      </w:r>
      <w:r w:rsidRPr="00D468FC">
        <w:rPr>
          <w:bCs/>
        </w:rPr>
        <w:t xml:space="preserve"> has three sub-components.</w:t>
      </w:r>
    </w:p>
    <w:p w:rsidR="00A10D18" w:rsidRPr="00295C05" w:rsidRDefault="00A10D18" w:rsidP="00975E89">
      <w:pPr>
        <w:pStyle w:val="ListParagraph"/>
        <w:ind w:left="0"/>
        <w:jc w:val="both"/>
        <w:rPr>
          <w:bCs/>
        </w:rPr>
      </w:pPr>
    </w:p>
    <w:p w:rsidR="00975E89" w:rsidRDefault="00295C05" w:rsidP="00975E89">
      <w:pPr>
        <w:widowControl w:val="0"/>
        <w:tabs>
          <w:tab w:val="left" w:pos="540"/>
        </w:tabs>
        <w:autoSpaceDE w:val="0"/>
        <w:autoSpaceDN w:val="0"/>
        <w:adjustRightInd w:val="0"/>
        <w:jc w:val="both"/>
        <w:rPr>
          <w:bCs/>
          <w:i/>
        </w:rPr>
      </w:pPr>
      <w:r>
        <w:rPr>
          <w:bCs/>
        </w:rPr>
        <w:tab/>
      </w:r>
      <w:r w:rsidR="00975E89" w:rsidRPr="00D468FC">
        <w:rPr>
          <w:bCs/>
        </w:rPr>
        <w:t>2.1</w:t>
      </w:r>
      <w:r w:rsidR="00975E89" w:rsidRPr="00D468FC">
        <w:rPr>
          <w:bCs/>
        </w:rPr>
        <w:tab/>
        <w:t>Improv</w:t>
      </w:r>
      <w:r w:rsidR="00AD576B">
        <w:rPr>
          <w:bCs/>
        </w:rPr>
        <w:t xml:space="preserve">ing and/or </w:t>
      </w:r>
      <w:r w:rsidR="00975E89" w:rsidRPr="00D468FC">
        <w:rPr>
          <w:bCs/>
        </w:rPr>
        <w:t>expand</w:t>
      </w:r>
      <w:r w:rsidR="00AD576B">
        <w:rPr>
          <w:bCs/>
        </w:rPr>
        <w:t>ing</w:t>
      </w:r>
      <w:r w:rsidR="00975E89" w:rsidRPr="00D468FC">
        <w:rPr>
          <w:bCs/>
        </w:rPr>
        <w:t xml:space="preserve"> Lower Secondary Education Infrastructure (US$</w:t>
      </w:r>
      <w:r w:rsidR="00DB09A9" w:rsidRPr="00D468FC">
        <w:rPr>
          <w:bCs/>
        </w:rPr>
        <w:t>26.5</w:t>
      </w:r>
      <w:r w:rsidR="00975E89" w:rsidRPr="00D468FC">
        <w:rPr>
          <w:bCs/>
        </w:rPr>
        <w:t xml:space="preserve"> million</w:t>
      </w:r>
      <w:r w:rsidR="00975E89" w:rsidRPr="00185F6A">
        <w:rPr>
          <w:bCs/>
        </w:rPr>
        <w:t>)</w:t>
      </w:r>
    </w:p>
    <w:p w:rsidR="00975E89" w:rsidRDefault="00975E89" w:rsidP="00975E89">
      <w:pPr>
        <w:widowControl w:val="0"/>
        <w:autoSpaceDE w:val="0"/>
        <w:autoSpaceDN w:val="0"/>
        <w:adjustRightInd w:val="0"/>
        <w:jc w:val="both"/>
        <w:rPr>
          <w:bCs/>
          <w:u w:val="single"/>
        </w:rPr>
      </w:pPr>
    </w:p>
    <w:p w:rsidR="00014AF4" w:rsidRPr="00014AF4" w:rsidRDefault="005C3CA9" w:rsidP="00014AF4">
      <w:pPr>
        <w:pStyle w:val="ListParagraph"/>
        <w:numPr>
          <w:ilvl w:val="0"/>
          <w:numId w:val="23"/>
        </w:numPr>
        <w:ind w:left="0" w:firstLine="0"/>
        <w:jc w:val="both"/>
        <w:rPr>
          <w:bCs/>
        </w:rPr>
      </w:pPr>
      <w:r w:rsidRPr="00CF63AB">
        <w:rPr>
          <w:bCs/>
          <w:lang w:val="en-GB"/>
        </w:rPr>
        <w:t>This sub-component</w:t>
      </w:r>
      <w:r w:rsidR="008E042B" w:rsidRPr="00CF63AB">
        <w:rPr>
          <w:bCs/>
          <w:lang w:val="en-GB"/>
        </w:rPr>
        <w:t xml:space="preserve"> would support </w:t>
      </w:r>
      <w:r w:rsidR="008E042B">
        <w:rPr>
          <w:bCs/>
          <w:lang w:val="en-GB"/>
        </w:rPr>
        <w:t xml:space="preserve">the </w:t>
      </w:r>
      <w:r w:rsidR="008E042B" w:rsidRPr="00CF63AB">
        <w:rPr>
          <w:bCs/>
          <w:lang w:val="en-GB"/>
        </w:rPr>
        <w:t>improvement and/or expanding of lower secondary education infrastructure, through: (i) the construction and/or rehabilitation of classroom, learning a</w:t>
      </w:r>
      <w:r w:rsidR="008E042B">
        <w:rPr>
          <w:bCs/>
          <w:lang w:val="en-GB"/>
        </w:rPr>
        <w:t>nd complementary facilities in s</w:t>
      </w:r>
      <w:r w:rsidR="008E042B" w:rsidRPr="00CF63AB">
        <w:rPr>
          <w:bCs/>
          <w:lang w:val="en-GB"/>
        </w:rPr>
        <w:t xml:space="preserve">elected </w:t>
      </w:r>
      <w:r w:rsidR="008E042B">
        <w:rPr>
          <w:bCs/>
          <w:lang w:val="en-GB"/>
        </w:rPr>
        <w:t>lower secondary</w:t>
      </w:r>
      <w:r w:rsidR="00B33424">
        <w:rPr>
          <w:bCs/>
          <w:lang w:val="en-GB"/>
        </w:rPr>
        <w:t xml:space="preserve"> education</w:t>
      </w:r>
      <w:r w:rsidR="008E042B">
        <w:rPr>
          <w:bCs/>
          <w:lang w:val="en-GB"/>
        </w:rPr>
        <w:t xml:space="preserve"> s</w:t>
      </w:r>
      <w:r w:rsidR="008E042B" w:rsidRPr="00CF63AB">
        <w:rPr>
          <w:bCs/>
          <w:lang w:val="en-GB"/>
        </w:rPr>
        <w:t xml:space="preserve">chools; (ii) the provision of </w:t>
      </w:r>
      <w:r w:rsidR="008E042B">
        <w:rPr>
          <w:bCs/>
          <w:lang w:val="en-GB"/>
        </w:rPr>
        <w:t>furniture and equipment to the s</w:t>
      </w:r>
      <w:r w:rsidR="008E042B" w:rsidRPr="00CF63AB">
        <w:rPr>
          <w:bCs/>
          <w:lang w:val="en-GB"/>
        </w:rPr>
        <w:t xml:space="preserve">elected </w:t>
      </w:r>
      <w:r w:rsidR="008E042B">
        <w:rPr>
          <w:bCs/>
          <w:lang w:val="en-GB"/>
        </w:rPr>
        <w:t xml:space="preserve">lower secondary </w:t>
      </w:r>
      <w:r w:rsidR="00B33424">
        <w:rPr>
          <w:bCs/>
          <w:lang w:val="en-GB"/>
        </w:rPr>
        <w:t xml:space="preserve">education </w:t>
      </w:r>
      <w:r w:rsidR="008E042B">
        <w:rPr>
          <w:bCs/>
          <w:lang w:val="en-GB"/>
        </w:rPr>
        <w:t>s</w:t>
      </w:r>
      <w:r w:rsidR="008E042B" w:rsidRPr="00CF63AB">
        <w:rPr>
          <w:bCs/>
          <w:lang w:val="en-GB"/>
        </w:rPr>
        <w:t>chools and (iii</w:t>
      </w:r>
      <w:r w:rsidR="008E042B" w:rsidRPr="00CF63AB">
        <w:t>) the preparation of infrastruc</w:t>
      </w:r>
      <w:r w:rsidR="008E042B">
        <w:t>ture maintenance plans for the s</w:t>
      </w:r>
      <w:r w:rsidR="008E042B" w:rsidRPr="00CF63AB">
        <w:t>elected</w:t>
      </w:r>
      <w:r w:rsidR="008E042B">
        <w:t xml:space="preserve"> </w:t>
      </w:r>
      <w:r w:rsidR="008E042B">
        <w:rPr>
          <w:bCs/>
          <w:lang w:val="en-GB"/>
        </w:rPr>
        <w:t xml:space="preserve">lower secondary </w:t>
      </w:r>
      <w:r w:rsidR="00B33424">
        <w:rPr>
          <w:bCs/>
          <w:lang w:val="en-GB"/>
        </w:rPr>
        <w:t xml:space="preserve">education </w:t>
      </w:r>
      <w:r w:rsidR="008E042B">
        <w:rPr>
          <w:bCs/>
          <w:lang w:val="en-GB"/>
        </w:rPr>
        <w:t>s</w:t>
      </w:r>
      <w:r w:rsidR="008E042B" w:rsidRPr="00CF63AB">
        <w:rPr>
          <w:bCs/>
          <w:lang w:val="en-GB"/>
        </w:rPr>
        <w:t>chools</w:t>
      </w:r>
      <w:r w:rsidR="008E042B" w:rsidRPr="00CF63AB">
        <w:t>, including the provision of technical assistance to local school-based communities for the implementation of said plans</w:t>
      </w:r>
      <w:r>
        <w:t>.</w:t>
      </w:r>
      <w:r w:rsidR="00014AF4" w:rsidRPr="00014AF4">
        <w:rPr>
          <w:sz w:val="22"/>
          <w:szCs w:val="22"/>
        </w:rPr>
        <w:t xml:space="preserve"> </w:t>
      </w:r>
    </w:p>
    <w:p w:rsidR="004452BB" w:rsidRDefault="004452BB" w:rsidP="004452BB">
      <w:pPr>
        <w:pStyle w:val="ListParagraph"/>
        <w:spacing w:before="60" w:after="60"/>
        <w:ind w:left="0"/>
        <w:jc w:val="both"/>
        <w:rPr>
          <w:bCs/>
          <w:i/>
        </w:rPr>
      </w:pPr>
    </w:p>
    <w:p w:rsidR="00605E5A" w:rsidRDefault="004B0AD9" w:rsidP="00605E5A">
      <w:pPr>
        <w:pStyle w:val="ListParagraph"/>
        <w:numPr>
          <w:ilvl w:val="0"/>
          <w:numId w:val="23"/>
        </w:numPr>
        <w:ind w:left="0" w:firstLine="0"/>
        <w:jc w:val="both"/>
        <w:rPr>
          <w:bCs/>
        </w:rPr>
      </w:pPr>
      <w:r>
        <w:rPr>
          <w:szCs w:val="22"/>
        </w:rPr>
        <w:t>Central to this sub-component is the concept of “</w:t>
      </w:r>
      <w:r w:rsidR="004065AE" w:rsidRPr="004065AE">
        <w:rPr>
          <w:bCs/>
          <w:i/>
        </w:rPr>
        <w:t>núcleos</w:t>
      </w:r>
      <w:r w:rsidRPr="004B0AD9">
        <w:rPr>
          <w:i/>
          <w:szCs w:val="22"/>
        </w:rPr>
        <w:t xml:space="preserve"> educativos</w:t>
      </w:r>
      <w:r>
        <w:rPr>
          <w:szCs w:val="22"/>
        </w:rPr>
        <w:t>”</w:t>
      </w:r>
      <w:r w:rsidR="006D0E05">
        <w:rPr>
          <w:bCs/>
        </w:rPr>
        <w:t xml:space="preserve"> </w:t>
      </w:r>
      <w:r>
        <w:rPr>
          <w:bCs/>
        </w:rPr>
        <w:t>(</w:t>
      </w:r>
      <w:r w:rsidR="004841EF">
        <w:rPr>
          <w:bCs/>
        </w:rPr>
        <w:t>education clusters</w:t>
      </w:r>
      <w:r w:rsidR="00224E5D">
        <w:rPr>
          <w:bCs/>
        </w:rPr>
        <w:t xml:space="preserve">), which group 6-10 </w:t>
      </w:r>
      <w:r w:rsidR="00A74DCE">
        <w:rPr>
          <w:bCs/>
        </w:rPr>
        <w:t xml:space="preserve">“satellite” </w:t>
      </w:r>
      <w:r w:rsidR="00224E5D">
        <w:rPr>
          <w:bCs/>
        </w:rPr>
        <w:t>primary schools offering grades K-6 with one basic education school offering K-</w:t>
      </w:r>
      <w:r w:rsidR="00FF79AE">
        <w:rPr>
          <w:bCs/>
        </w:rPr>
        <w:t xml:space="preserve">9.  </w:t>
      </w:r>
      <w:r w:rsidR="00224E5D">
        <w:rPr>
          <w:bCs/>
        </w:rPr>
        <w:t>Students completing 6</w:t>
      </w:r>
      <w:r w:rsidR="00224E5D" w:rsidRPr="00224E5D">
        <w:rPr>
          <w:bCs/>
          <w:vertAlign w:val="superscript"/>
        </w:rPr>
        <w:t>th</w:t>
      </w:r>
      <w:r w:rsidR="00224E5D">
        <w:rPr>
          <w:bCs/>
        </w:rPr>
        <w:t xml:space="preserve"> grade feed into the basic education school for lower secondary education.  Currently, the </w:t>
      </w:r>
      <w:r w:rsidR="00A74DCE">
        <w:rPr>
          <w:bCs/>
        </w:rPr>
        <w:t xml:space="preserve">basic </w:t>
      </w:r>
      <w:r w:rsidR="00224E5D">
        <w:rPr>
          <w:bCs/>
        </w:rPr>
        <w:t>education system is organized into approximately 1,150 “</w:t>
      </w:r>
      <w:r w:rsidR="004065AE" w:rsidRPr="004065AE">
        <w:rPr>
          <w:bCs/>
          <w:i/>
        </w:rPr>
        <w:t>núcleos</w:t>
      </w:r>
      <w:r w:rsidR="00224E5D" w:rsidRPr="00224E5D">
        <w:rPr>
          <w:bCs/>
          <w:i/>
        </w:rPr>
        <w:t xml:space="preserve"> educativos</w:t>
      </w:r>
      <w:r w:rsidR="00EE2ABC">
        <w:rPr>
          <w:bCs/>
        </w:rPr>
        <w:t>,”</w:t>
      </w:r>
      <w:r w:rsidR="00224E5D">
        <w:rPr>
          <w:bCs/>
        </w:rPr>
        <w:t xml:space="preserve"> although MINED has indicated its intention to re-organize the system into smaller and more numerous “</w:t>
      </w:r>
      <w:r w:rsidR="004065AE" w:rsidRPr="004065AE">
        <w:rPr>
          <w:bCs/>
          <w:i/>
        </w:rPr>
        <w:t>núcleos</w:t>
      </w:r>
      <w:r w:rsidR="00224E5D" w:rsidRPr="00224E5D">
        <w:rPr>
          <w:bCs/>
          <w:i/>
        </w:rPr>
        <w:t xml:space="preserve"> educativos</w:t>
      </w:r>
      <w:r w:rsidR="00224E5D">
        <w:rPr>
          <w:bCs/>
        </w:rPr>
        <w:t xml:space="preserve">” for greater functionality.  </w:t>
      </w:r>
      <w:r w:rsidR="00042B46">
        <w:rPr>
          <w:bCs/>
        </w:rPr>
        <w:t xml:space="preserve">The sub-component would </w:t>
      </w:r>
      <w:r w:rsidR="00D91429">
        <w:rPr>
          <w:bCs/>
        </w:rPr>
        <w:t xml:space="preserve">aim to </w:t>
      </w:r>
      <w:r w:rsidR="00042B46">
        <w:rPr>
          <w:bCs/>
        </w:rPr>
        <w:t xml:space="preserve">ensure that at least 250 basic education schools (which form the core of the </w:t>
      </w:r>
      <w:r w:rsidR="004065AE" w:rsidRPr="004065AE">
        <w:rPr>
          <w:bCs/>
          <w:i/>
        </w:rPr>
        <w:t>núcleos</w:t>
      </w:r>
      <w:r w:rsidR="00042B46" w:rsidRPr="00042B46">
        <w:rPr>
          <w:bCs/>
          <w:i/>
        </w:rPr>
        <w:t xml:space="preserve"> educativos</w:t>
      </w:r>
      <w:r w:rsidR="00042B46">
        <w:rPr>
          <w:bCs/>
          <w:i/>
        </w:rPr>
        <w:t>)</w:t>
      </w:r>
      <w:r w:rsidR="004A114C">
        <w:rPr>
          <w:bCs/>
          <w:i/>
        </w:rPr>
        <w:t xml:space="preserve">, </w:t>
      </w:r>
      <w:r w:rsidR="00A74DCE">
        <w:rPr>
          <w:bCs/>
        </w:rPr>
        <w:t xml:space="preserve">located in rural and/or </w:t>
      </w:r>
      <w:r w:rsidR="004A114C" w:rsidRPr="004A114C">
        <w:rPr>
          <w:bCs/>
        </w:rPr>
        <w:t>disadvantaged areas</w:t>
      </w:r>
      <w:r w:rsidR="004A114C">
        <w:rPr>
          <w:bCs/>
          <w:i/>
        </w:rPr>
        <w:t>,</w:t>
      </w:r>
      <w:r w:rsidR="00042B46">
        <w:rPr>
          <w:bCs/>
          <w:i/>
        </w:rPr>
        <w:t xml:space="preserve"> </w:t>
      </w:r>
      <w:r w:rsidR="00042B46" w:rsidRPr="00042B46">
        <w:rPr>
          <w:bCs/>
        </w:rPr>
        <w:t>are fully functional</w:t>
      </w:r>
      <w:r w:rsidR="00042B46">
        <w:rPr>
          <w:bCs/>
        </w:rPr>
        <w:t>.</w:t>
      </w:r>
    </w:p>
    <w:p w:rsidR="004849AD" w:rsidRPr="004849AD" w:rsidRDefault="004849AD" w:rsidP="004849AD">
      <w:pPr>
        <w:jc w:val="both"/>
        <w:rPr>
          <w:bCs/>
        </w:rPr>
      </w:pPr>
    </w:p>
    <w:p w:rsidR="00EE5F6A" w:rsidRDefault="004849AD" w:rsidP="005E2993">
      <w:pPr>
        <w:pStyle w:val="ListParagraph"/>
        <w:numPr>
          <w:ilvl w:val="0"/>
          <w:numId w:val="23"/>
        </w:numPr>
        <w:ind w:left="0" w:firstLine="0"/>
        <w:jc w:val="both"/>
        <w:rPr>
          <w:bCs/>
        </w:rPr>
      </w:pPr>
      <w:r>
        <w:rPr>
          <w:bCs/>
        </w:rPr>
        <w:t>“Fully functional” means basic schools offer</w:t>
      </w:r>
      <w:r w:rsidR="00042B46">
        <w:rPr>
          <w:bCs/>
        </w:rPr>
        <w:t xml:space="preserve"> adequate space </w:t>
      </w:r>
      <w:r>
        <w:rPr>
          <w:bCs/>
        </w:rPr>
        <w:t xml:space="preserve">and learning opportunities </w:t>
      </w:r>
      <w:r w:rsidR="00042B46">
        <w:rPr>
          <w:bCs/>
        </w:rPr>
        <w:t>for all 6</w:t>
      </w:r>
      <w:r w:rsidR="00042B46" w:rsidRPr="00042B46">
        <w:rPr>
          <w:bCs/>
          <w:vertAlign w:val="superscript"/>
        </w:rPr>
        <w:t>th</w:t>
      </w:r>
      <w:r w:rsidR="00042B46">
        <w:rPr>
          <w:bCs/>
        </w:rPr>
        <w:t xml:space="preserve"> grade graduates of the “</w:t>
      </w:r>
      <w:r w:rsidR="004065AE" w:rsidRPr="004065AE">
        <w:rPr>
          <w:bCs/>
          <w:i/>
        </w:rPr>
        <w:t>núcleo</w:t>
      </w:r>
      <w:r w:rsidR="00A74DCE" w:rsidRPr="00A74DCE">
        <w:rPr>
          <w:bCs/>
          <w:i/>
        </w:rPr>
        <w:t xml:space="preserve"> educativo</w:t>
      </w:r>
      <w:r w:rsidR="00EE2ABC">
        <w:rPr>
          <w:bCs/>
        </w:rPr>
        <w:t>,”</w:t>
      </w:r>
      <w:r w:rsidR="00A74DCE">
        <w:rPr>
          <w:bCs/>
        </w:rPr>
        <w:t xml:space="preserve"> which would</w:t>
      </w:r>
      <w:r w:rsidR="00042B46">
        <w:rPr>
          <w:bCs/>
        </w:rPr>
        <w:t xml:space="preserve"> require</w:t>
      </w:r>
      <w:r w:rsidR="0066400F">
        <w:rPr>
          <w:bCs/>
        </w:rPr>
        <w:t>:</w:t>
      </w:r>
      <w:r w:rsidR="00042B46">
        <w:rPr>
          <w:bCs/>
        </w:rPr>
        <w:t xml:space="preserve"> </w:t>
      </w:r>
      <w:r w:rsidR="00FF79AE">
        <w:rPr>
          <w:bCs/>
        </w:rPr>
        <w:t>(i</w:t>
      </w:r>
      <w:r w:rsidR="0066400F">
        <w:rPr>
          <w:bCs/>
        </w:rPr>
        <w:t xml:space="preserve">) </w:t>
      </w:r>
      <w:r w:rsidR="00DA382B">
        <w:rPr>
          <w:bCs/>
        </w:rPr>
        <w:t xml:space="preserve">2 </w:t>
      </w:r>
      <w:r w:rsidR="00042B46">
        <w:rPr>
          <w:bCs/>
        </w:rPr>
        <w:t xml:space="preserve">new </w:t>
      </w:r>
      <w:r w:rsidR="0066400F">
        <w:rPr>
          <w:bCs/>
        </w:rPr>
        <w:t>and/or rehabilitated classrooms;</w:t>
      </w:r>
      <w:r w:rsidR="00042B46">
        <w:rPr>
          <w:bCs/>
        </w:rPr>
        <w:t xml:space="preserve"> </w:t>
      </w:r>
      <w:r w:rsidR="00FF79AE">
        <w:rPr>
          <w:bCs/>
        </w:rPr>
        <w:t>(ii</w:t>
      </w:r>
      <w:r w:rsidR="0066400F">
        <w:rPr>
          <w:bCs/>
        </w:rPr>
        <w:t xml:space="preserve">) </w:t>
      </w:r>
      <w:r>
        <w:rPr>
          <w:bCs/>
        </w:rPr>
        <w:t>improved</w:t>
      </w:r>
      <w:r w:rsidR="00042B46">
        <w:rPr>
          <w:bCs/>
        </w:rPr>
        <w:t xml:space="preserve"> learning facilities</w:t>
      </w:r>
      <w:r w:rsidR="0066400F">
        <w:rPr>
          <w:bCs/>
        </w:rPr>
        <w:t xml:space="preserve">, including </w:t>
      </w:r>
      <w:r w:rsidR="00042B46">
        <w:rPr>
          <w:bCs/>
        </w:rPr>
        <w:t xml:space="preserve">ICT laboratories </w:t>
      </w:r>
      <w:r w:rsidR="0066400F">
        <w:rPr>
          <w:bCs/>
        </w:rPr>
        <w:t>(or classroom-based ICTs), libraries/resource centers, vocational</w:t>
      </w:r>
      <w:r w:rsidR="005F4DA4">
        <w:rPr>
          <w:bCs/>
        </w:rPr>
        <w:t xml:space="preserve"> workshops and school gardens; </w:t>
      </w:r>
      <w:r w:rsidR="00FF79AE">
        <w:rPr>
          <w:bCs/>
        </w:rPr>
        <w:t>(iii</w:t>
      </w:r>
      <w:r w:rsidR="00A74DCE">
        <w:rPr>
          <w:bCs/>
        </w:rPr>
        <w:t xml:space="preserve">) classroom furniture and blackboards; </w:t>
      </w:r>
      <w:r w:rsidR="0066400F">
        <w:rPr>
          <w:bCs/>
        </w:rPr>
        <w:t>and (</w:t>
      </w:r>
      <w:r w:rsidR="00FF79AE">
        <w:rPr>
          <w:bCs/>
        </w:rPr>
        <w:t>iv</w:t>
      </w:r>
      <w:r w:rsidR="0066400F">
        <w:rPr>
          <w:bCs/>
        </w:rPr>
        <w:t>) complementary facilities, such as improved sanitation (separate toilets for boys and girls), potable water supply, recreational spaces, perimeter walls for security</w:t>
      </w:r>
      <w:r>
        <w:rPr>
          <w:bCs/>
        </w:rPr>
        <w:t>, offices for administrators/lesson planning/general services, etc.  All infrastructure would ensure access for the disabled, r</w:t>
      </w:r>
      <w:r w:rsidR="00BC286E">
        <w:rPr>
          <w:bCs/>
        </w:rPr>
        <w:t>esp</w:t>
      </w:r>
      <w:r>
        <w:rPr>
          <w:bCs/>
        </w:rPr>
        <w:t>ond to environmental concerns (e.g. protection against natural disasters</w:t>
      </w:r>
      <w:r w:rsidR="00B03DB7">
        <w:rPr>
          <w:bCs/>
        </w:rPr>
        <w:t xml:space="preserve"> and environmental impact mitigation</w:t>
      </w:r>
      <w:r>
        <w:rPr>
          <w:bCs/>
        </w:rPr>
        <w:t>)</w:t>
      </w:r>
      <w:r w:rsidR="00B03DB7">
        <w:rPr>
          <w:bCs/>
        </w:rPr>
        <w:t>, and strive for cul</w:t>
      </w:r>
      <w:r w:rsidR="00A74DCE">
        <w:rPr>
          <w:bCs/>
        </w:rPr>
        <w:t>turally appropriate architectural design</w:t>
      </w:r>
      <w:r w:rsidR="00B03DB7">
        <w:rPr>
          <w:bCs/>
        </w:rPr>
        <w:t>.</w:t>
      </w:r>
    </w:p>
    <w:p w:rsidR="00CE16DD" w:rsidRDefault="00CE16DD" w:rsidP="0040253F">
      <w:pPr>
        <w:pStyle w:val="ListParagraph"/>
        <w:rPr>
          <w:bCs/>
        </w:rPr>
      </w:pPr>
    </w:p>
    <w:p w:rsidR="00775015" w:rsidRPr="00CE16DD" w:rsidRDefault="00775015" w:rsidP="0040253F">
      <w:pPr>
        <w:pStyle w:val="ListParagraph"/>
        <w:rPr>
          <w:bCs/>
        </w:rPr>
      </w:pPr>
    </w:p>
    <w:p w:rsidR="00CE16DD" w:rsidRPr="00A15F4C" w:rsidRDefault="00EC4B95" w:rsidP="00A15F4C">
      <w:pPr>
        <w:pStyle w:val="ListParagraph"/>
        <w:jc w:val="center"/>
        <w:rPr>
          <w:b/>
          <w:bCs/>
        </w:rPr>
      </w:pPr>
      <w:r>
        <w:rPr>
          <w:b/>
          <w:bCs/>
        </w:rPr>
        <w:lastRenderedPageBreak/>
        <w:t>Table 2.9</w:t>
      </w:r>
      <w:r w:rsidR="00A15F4C" w:rsidRPr="00A15F4C">
        <w:rPr>
          <w:b/>
          <w:bCs/>
        </w:rPr>
        <w:t>: Implementation Schedule for Core School Civil Works Program</w:t>
      </w:r>
    </w:p>
    <w:tbl>
      <w:tblPr>
        <w:tblStyle w:val="TableGrid"/>
        <w:tblW w:w="0" w:type="auto"/>
        <w:jc w:val="center"/>
        <w:tblInd w:w="-211" w:type="dxa"/>
        <w:tblLook w:val="04A0" w:firstRow="1" w:lastRow="0" w:firstColumn="1" w:lastColumn="0" w:noHBand="0" w:noVBand="1"/>
      </w:tblPr>
      <w:tblGrid>
        <w:gridCol w:w="2162"/>
        <w:gridCol w:w="1267"/>
        <w:gridCol w:w="1267"/>
        <w:gridCol w:w="1267"/>
        <w:gridCol w:w="1267"/>
        <w:gridCol w:w="1267"/>
      </w:tblGrid>
      <w:tr w:rsidR="00CE16DD" w:rsidTr="00956664">
        <w:trPr>
          <w:jc w:val="center"/>
        </w:trPr>
        <w:tc>
          <w:tcPr>
            <w:tcW w:w="2162" w:type="dxa"/>
          </w:tcPr>
          <w:p w:rsidR="00CE16DD" w:rsidRDefault="00CE16DD" w:rsidP="00226270">
            <w:pPr>
              <w:pStyle w:val="ListParagraph"/>
              <w:ind w:left="0"/>
              <w:jc w:val="both"/>
              <w:rPr>
                <w:bCs/>
              </w:rPr>
            </w:pPr>
          </w:p>
        </w:tc>
        <w:tc>
          <w:tcPr>
            <w:tcW w:w="1267" w:type="dxa"/>
          </w:tcPr>
          <w:p w:rsidR="00CE16DD" w:rsidRPr="00485A4B" w:rsidRDefault="00CE16DD" w:rsidP="0040253F">
            <w:pPr>
              <w:pStyle w:val="ListParagraph"/>
              <w:ind w:left="0"/>
              <w:jc w:val="center"/>
              <w:rPr>
                <w:b/>
                <w:bCs/>
              </w:rPr>
            </w:pPr>
            <w:r w:rsidRPr="00485A4B">
              <w:rPr>
                <w:b/>
                <w:bCs/>
              </w:rPr>
              <w:t>Year 1</w:t>
            </w:r>
          </w:p>
        </w:tc>
        <w:tc>
          <w:tcPr>
            <w:tcW w:w="1267" w:type="dxa"/>
          </w:tcPr>
          <w:p w:rsidR="00CE16DD" w:rsidRPr="00485A4B" w:rsidRDefault="00CE16DD" w:rsidP="0040253F">
            <w:pPr>
              <w:pStyle w:val="ListParagraph"/>
              <w:ind w:left="0"/>
              <w:jc w:val="center"/>
              <w:rPr>
                <w:b/>
                <w:bCs/>
              </w:rPr>
            </w:pPr>
            <w:r w:rsidRPr="00485A4B">
              <w:rPr>
                <w:b/>
                <w:bCs/>
              </w:rPr>
              <w:t>Year 2</w:t>
            </w:r>
          </w:p>
        </w:tc>
        <w:tc>
          <w:tcPr>
            <w:tcW w:w="1267" w:type="dxa"/>
          </w:tcPr>
          <w:p w:rsidR="00CE16DD" w:rsidRPr="00485A4B" w:rsidRDefault="00CE16DD" w:rsidP="0040253F">
            <w:pPr>
              <w:pStyle w:val="ListParagraph"/>
              <w:ind w:left="0"/>
              <w:jc w:val="center"/>
              <w:rPr>
                <w:b/>
                <w:bCs/>
              </w:rPr>
            </w:pPr>
            <w:r w:rsidRPr="00485A4B">
              <w:rPr>
                <w:b/>
                <w:bCs/>
              </w:rPr>
              <w:t>Year 3</w:t>
            </w:r>
          </w:p>
        </w:tc>
        <w:tc>
          <w:tcPr>
            <w:tcW w:w="1267" w:type="dxa"/>
          </w:tcPr>
          <w:p w:rsidR="00CE16DD" w:rsidRPr="00485A4B" w:rsidRDefault="00CE16DD" w:rsidP="0040253F">
            <w:pPr>
              <w:pStyle w:val="ListParagraph"/>
              <w:ind w:left="0"/>
              <w:jc w:val="center"/>
              <w:rPr>
                <w:b/>
                <w:bCs/>
              </w:rPr>
            </w:pPr>
            <w:r w:rsidRPr="00485A4B">
              <w:rPr>
                <w:b/>
                <w:bCs/>
              </w:rPr>
              <w:t>Year 4</w:t>
            </w:r>
          </w:p>
        </w:tc>
        <w:tc>
          <w:tcPr>
            <w:tcW w:w="1267" w:type="dxa"/>
          </w:tcPr>
          <w:p w:rsidR="00CE16DD" w:rsidRPr="00485A4B" w:rsidRDefault="00D91429" w:rsidP="0040253F">
            <w:pPr>
              <w:pStyle w:val="ListParagraph"/>
              <w:ind w:left="0"/>
              <w:jc w:val="center"/>
              <w:rPr>
                <w:b/>
                <w:bCs/>
              </w:rPr>
            </w:pPr>
            <w:r w:rsidRPr="00485A4B">
              <w:rPr>
                <w:b/>
                <w:bCs/>
              </w:rPr>
              <w:t>T</w:t>
            </w:r>
            <w:r w:rsidR="00CE16DD" w:rsidRPr="00485A4B">
              <w:rPr>
                <w:b/>
                <w:bCs/>
              </w:rPr>
              <w:t>otal</w:t>
            </w:r>
          </w:p>
        </w:tc>
      </w:tr>
      <w:tr w:rsidR="00CE16DD" w:rsidTr="00956664">
        <w:trPr>
          <w:jc w:val="center"/>
        </w:trPr>
        <w:tc>
          <w:tcPr>
            <w:tcW w:w="2162" w:type="dxa"/>
          </w:tcPr>
          <w:p w:rsidR="00CE16DD" w:rsidRPr="00485A4B" w:rsidRDefault="00CE16DD" w:rsidP="00226270">
            <w:pPr>
              <w:pStyle w:val="ListParagraph"/>
              <w:ind w:left="0"/>
              <w:jc w:val="both"/>
              <w:rPr>
                <w:b/>
                <w:bCs/>
              </w:rPr>
            </w:pPr>
            <w:r w:rsidRPr="00485A4B">
              <w:rPr>
                <w:b/>
                <w:bCs/>
              </w:rPr>
              <w:t xml:space="preserve"># of Schools </w:t>
            </w:r>
          </w:p>
        </w:tc>
        <w:tc>
          <w:tcPr>
            <w:tcW w:w="1267" w:type="dxa"/>
          </w:tcPr>
          <w:p w:rsidR="00CE16DD" w:rsidRDefault="00CE16DD" w:rsidP="0040253F">
            <w:pPr>
              <w:pStyle w:val="ListParagraph"/>
              <w:ind w:left="0"/>
              <w:jc w:val="center"/>
              <w:rPr>
                <w:bCs/>
              </w:rPr>
            </w:pPr>
            <w:r>
              <w:rPr>
                <w:bCs/>
              </w:rPr>
              <w:t>25</w:t>
            </w:r>
          </w:p>
        </w:tc>
        <w:tc>
          <w:tcPr>
            <w:tcW w:w="1267" w:type="dxa"/>
          </w:tcPr>
          <w:p w:rsidR="00CE16DD" w:rsidRDefault="00CE16DD" w:rsidP="0040253F">
            <w:pPr>
              <w:pStyle w:val="ListParagraph"/>
              <w:ind w:left="0"/>
              <w:jc w:val="center"/>
              <w:rPr>
                <w:bCs/>
              </w:rPr>
            </w:pPr>
            <w:r>
              <w:rPr>
                <w:bCs/>
              </w:rPr>
              <w:t>90</w:t>
            </w:r>
          </w:p>
        </w:tc>
        <w:tc>
          <w:tcPr>
            <w:tcW w:w="1267" w:type="dxa"/>
          </w:tcPr>
          <w:p w:rsidR="00CE16DD" w:rsidRDefault="00CE16DD" w:rsidP="0040253F">
            <w:pPr>
              <w:pStyle w:val="ListParagraph"/>
              <w:ind w:left="0"/>
              <w:jc w:val="center"/>
              <w:rPr>
                <w:bCs/>
              </w:rPr>
            </w:pPr>
            <w:r>
              <w:rPr>
                <w:bCs/>
              </w:rPr>
              <w:t>90</w:t>
            </w:r>
          </w:p>
        </w:tc>
        <w:tc>
          <w:tcPr>
            <w:tcW w:w="1267" w:type="dxa"/>
          </w:tcPr>
          <w:p w:rsidR="00CE16DD" w:rsidRDefault="00CE16DD" w:rsidP="0040253F">
            <w:pPr>
              <w:pStyle w:val="ListParagraph"/>
              <w:ind w:left="0"/>
              <w:jc w:val="center"/>
              <w:rPr>
                <w:bCs/>
              </w:rPr>
            </w:pPr>
            <w:r>
              <w:rPr>
                <w:bCs/>
              </w:rPr>
              <w:t>45</w:t>
            </w:r>
          </w:p>
        </w:tc>
        <w:tc>
          <w:tcPr>
            <w:tcW w:w="1267" w:type="dxa"/>
          </w:tcPr>
          <w:p w:rsidR="00CE16DD" w:rsidRDefault="00CE16DD" w:rsidP="0040253F">
            <w:pPr>
              <w:pStyle w:val="ListParagraph"/>
              <w:ind w:left="0"/>
              <w:jc w:val="center"/>
              <w:rPr>
                <w:bCs/>
              </w:rPr>
            </w:pPr>
            <w:r>
              <w:rPr>
                <w:bCs/>
              </w:rPr>
              <w:t>2</w:t>
            </w:r>
            <w:r w:rsidR="00D91429">
              <w:rPr>
                <w:bCs/>
              </w:rPr>
              <w:t>5</w:t>
            </w:r>
            <w:r>
              <w:rPr>
                <w:bCs/>
              </w:rPr>
              <w:t>0</w:t>
            </w:r>
          </w:p>
        </w:tc>
      </w:tr>
      <w:tr w:rsidR="00CE16DD" w:rsidTr="00956664">
        <w:trPr>
          <w:jc w:val="center"/>
        </w:trPr>
        <w:tc>
          <w:tcPr>
            <w:tcW w:w="2162" w:type="dxa"/>
          </w:tcPr>
          <w:p w:rsidR="00CE16DD" w:rsidRPr="00485A4B" w:rsidRDefault="00CE16DD" w:rsidP="00226270">
            <w:pPr>
              <w:pStyle w:val="ListParagraph"/>
              <w:ind w:left="0"/>
              <w:jc w:val="both"/>
              <w:rPr>
                <w:b/>
                <w:bCs/>
              </w:rPr>
            </w:pPr>
            <w:r w:rsidRPr="00485A4B">
              <w:rPr>
                <w:b/>
                <w:bCs/>
              </w:rPr>
              <w:t xml:space="preserve"># </w:t>
            </w:r>
            <w:r w:rsidR="005E3EE7" w:rsidRPr="00485A4B">
              <w:rPr>
                <w:b/>
                <w:bCs/>
              </w:rPr>
              <w:t>of M</w:t>
            </w:r>
            <w:r w:rsidRPr="00485A4B">
              <w:rPr>
                <w:b/>
                <w:bCs/>
              </w:rPr>
              <w:t>unicipalities</w:t>
            </w:r>
          </w:p>
        </w:tc>
        <w:tc>
          <w:tcPr>
            <w:tcW w:w="1267" w:type="dxa"/>
          </w:tcPr>
          <w:p w:rsidR="00CE16DD" w:rsidRDefault="00CE16DD" w:rsidP="0040253F">
            <w:pPr>
              <w:pStyle w:val="ListParagraph"/>
              <w:ind w:left="0"/>
              <w:jc w:val="center"/>
              <w:rPr>
                <w:bCs/>
              </w:rPr>
            </w:pPr>
            <w:r>
              <w:rPr>
                <w:bCs/>
              </w:rPr>
              <w:t>6</w:t>
            </w:r>
          </w:p>
        </w:tc>
        <w:tc>
          <w:tcPr>
            <w:tcW w:w="1267" w:type="dxa"/>
          </w:tcPr>
          <w:p w:rsidR="00CE16DD" w:rsidRDefault="00CE16DD" w:rsidP="0040253F">
            <w:pPr>
              <w:pStyle w:val="ListParagraph"/>
              <w:ind w:left="0"/>
              <w:jc w:val="center"/>
              <w:rPr>
                <w:bCs/>
              </w:rPr>
            </w:pPr>
            <w:r>
              <w:rPr>
                <w:bCs/>
              </w:rPr>
              <w:t>15</w:t>
            </w:r>
          </w:p>
        </w:tc>
        <w:tc>
          <w:tcPr>
            <w:tcW w:w="1267" w:type="dxa"/>
          </w:tcPr>
          <w:p w:rsidR="00CE16DD" w:rsidRDefault="00CE16DD" w:rsidP="0040253F">
            <w:pPr>
              <w:pStyle w:val="ListParagraph"/>
              <w:ind w:left="0"/>
              <w:jc w:val="center"/>
              <w:rPr>
                <w:bCs/>
              </w:rPr>
            </w:pPr>
            <w:r>
              <w:rPr>
                <w:bCs/>
              </w:rPr>
              <w:t>15</w:t>
            </w:r>
          </w:p>
        </w:tc>
        <w:tc>
          <w:tcPr>
            <w:tcW w:w="1267" w:type="dxa"/>
          </w:tcPr>
          <w:p w:rsidR="00CE16DD" w:rsidRDefault="00CE16DD" w:rsidP="0040253F">
            <w:pPr>
              <w:pStyle w:val="ListParagraph"/>
              <w:ind w:left="0"/>
              <w:jc w:val="center"/>
              <w:rPr>
                <w:bCs/>
              </w:rPr>
            </w:pPr>
            <w:r>
              <w:rPr>
                <w:bCs/>
              </w:rPr>
              <w:t>7</w:t>
            </w:r>
          </w:p>
        </w:tc>
        <w:tc>
          <w:tcPr>
            <w:tcW w:w="1267" w:type="dxa"/>
          </w:tcPr>
          <w:p w:rsidR="00CE16DD" w:rsidRDefault="00CE16DD" w:rsidP="0040253F">
            <w:pPr>
              <w:pStyle w:val="ListParagraph"/>
              <w:ind w:left="0"/>
              <w:jc w:val="center"/>
              <w:rPr>
                <w:bCs/>
              </w:rPr>
            </w:pPr>
            <w:r>
              <w:rPr>
                <w:bCs/>
              </w:rPr>
              <w:t>43</w:t>
            </w:r>
          </w:p>
        </w:tc>
      </w:tr>
    </w:tbl>
    <w:p w:rsidR="00CE16DD" w:rsidRDefault="00CE16DD" w:rsidP="0040253F">
      <w:pPr>
        <w:pStyle w:val="ListParagraph"/>
        <w:ind w:left="0"/>
        <w:jc w:val="both"/>
        <w:rPr>
          <w:bCs/>
        </w:rPr>
      </w:pPr>
    </w:p>
    <w:p w:rsidR="005F4DA4" w:rsidRDefault="005F4DA4" w:rsidP="005E2993">
      <w:pPr>
        <w:pStyle w:val="ListParagraph"/>
        <w:numPr>
          <w:ilvl w:val="0"/>
          <w:numId w:val="23"/>
        </w:numPr>
        <w:ind w:left="0" w:firstLine="0"/>
        <w:jc w:val="both"/>
        <w:rPr>
          <w:bCs/>
        </w:rPr>
      </w:pPr>
      <w:r w:rsidRPr="00DA382B">
        <w:rPr>
          <w:bCs/>
        </w:rPr>
        <w:t>After applying agreed criteria to identify the 250 schools</w:t>
      </w:r>
      <w:r w:rsidR="00A74DCE">
        <w:rPr>
          <w:bCs/>
        </w:rPr>
        <w:t xml:space="preserve"> within the 43 </w:t>
      </w:r>
      <w:r w:rsidR="00636799">
        <w:rPr>
          <w:bCs/>
        </w:rPr>
        <w:t xml:space="preserve">selected </w:t>
      </w:r>
      <w:r w:rsidR="00A74DCE">
        <w:rPr>
          <w:bCs/>
        </w:rPr>
        <w:t>municipalities</w:t>
      </w:r>
      <w:r w:rsidR="00043B9C">
        <w:rPr>
          <w:bCs/>
        </w:rPr>
        <w:t>, MINED would verify the G</w:t>
      </w:r>
      <w:r w:rsidRPr="00DA382B">
        <w:rPr>
          <w:bCs/>
        </w:rPr>
        <w:t>overnment’s ownership of the land</w:t>
      </w:r>
      <w:r w:rsidR="007D1611">
        <w:rPr>
          <w:rStyle w:val="FootnoteReference"/>
          <w:bCs/>
        </w:rPr>
        <w:footnoteReference w:id="18"/>
      </w:r>
      <w:r w:rsidRPr="00DA382B">
        <w:rPr>
          <w:bCs/>
        </w:rPr>
        <w:t>, analyze existing soil and infrastructure conditions, and conduct a comprehensive and fully-costed needs</w:t>
      </w:r>
      <w:r w:rsidR="00DA382B" w:rsidRPr="00DA382B">
        <w:rPr>
          <w:bCs/>
        </w:rPr>
        <w:t xml:space="preserve"> and feasibility</w:t>
      </w:r>
      <w:r w:rsidRPr="00DA382B">
        <w:rPr>
          <w:bCs/>
        </w:rPr>
        <w:t xml:space="preserve"> analysis for each school to become fully functional.  This would be reviewed and approved by the Project Coordinator.</w:t>
      </w:r>
      <w:r w:rsidR="00DA382B" w:rsidRPr="00DA382B">
        <w:rPr>
          <w:bCs/>
        </w:rPr>
        <w:t xml:space="preserve">  It is estimated this would cost approximately U$4,000 p</w:t>
      </w:r>
      <w:r w:rsidR="0099429E">
        <w:rPr>
          <w:bCs/>
        </w:rPr>
        <w:t>er school, for a total of US$1 million</w:t>
      </w:r>
      <w:r w:rsidR="00DA382B" w:rsidRPr="00DA382B">
        <w:rPr>
          <w:bCs/>
        </w:rPr>
        <w:t>.  In accordance with the “Shared R</w:t>
      </w:r>
      <w:r w:rsidR="00BC286E">
        <w:rPr>
          <w:bCs/>
        </w:rPr>
        <w:t>esp</w:t>
      </w:r>
      <w:r w:rsidR="00DA382B" w:rsidRPr="00DA382B">
        <w:rPr>
          <w:bCs/>
        </w:rPr>
        <w:t xml:space="preserve">onsibility Model” articulated in the </w:t>
      </w:r>
      <w:r w:rsidR="009469DE">
        <w:rPr>
          <w:bCs/>
        </w:rPr>
        <w:t>ESS</w:t>
      </w:r>
      <w:r w:rsidR="00DA382B" w:rsidRPr="00DA382B">
        <w:rPr>
          <w:bCs/>
        </w:rPr>
        <w:t xml:space="preserve">, the Project would seek to involve community and school organizations, municipal authorities and local MINED offices in the detailed design, implementation and monitoring of </w:t>
      </w:r>
      <w:r w:rsidR="001279DB">
        <w:rPr>
          <w:bCs/>
        </w:rPr>
        <w:t>Project</w:t>
      </w:r>
      <w:r w:rsidR="00DA382B" w:rsidRPr="00DA382B">
        <w:rPr>
          <w:bCs/>
        </w:rPr>
        <w:t xml:space="preserve"> interventions at the school level.</w:t>
      </w:r>
    </w:p>
    <w:p w:rsidR="00826E0D" w:rsidRDefault="00826E0D" w:rsidP="00826E0D">
      <w:pPr>
        <w:pStyle w:val="ListParagraph"/>
        <w:ind w:left="0"/>
        <w:jc w:val="both"/>
        <w:rPr>
          <w:bCs/>
        </w:rPr>
      </w:pPr>
    </w:p>
    <w:p w:rsidR="00393423" w:rsidRPr="00393423" w:rsidRDefault="00826E0D" w:rsidP="005E2993">
      <w:pPr>
        <w:pStyle w:val="ListParagraph"/>
        <w:numPr>
          <w:ilvl w:val="0"/>
          <w:numId w:val="23"/>
        </w:numPr>
        <w:ind w:left="0" w:firstLine="0"/>
        <w:jc w:val="both"/>
        <w:rPr>
          <w:bCs/>
        </w:rPr>
      </w:pPr>
      <w:r>
        <w:rPr>
          <w:rFonts w:ascii="Tms Rmn" w:eastAsia="Calibri" w:hAnsi="Tms Rmn" w:cs="Tms Rmn"/>
          <w:color w:val="000000"/>
        </w:rPr>
        <w:t>It is estimated that only 38 percent of school buildings have a title and proper registration</w:t>
      </w:r>
      <w:r w:rsidR="00393423">
        <w:rPr>
          <w:rStyle w:val="FootnoteReference"/>
          <w:rFonts w:ascii="Tms Rmn" w:eastAsia="Calibri" w:hAnsi="Tms Rmn" w:cs="Tms Rmn"/>
          <w:color w:val="000000"/>
        </w:rPr>
        <w:footnoteReference w:id="19"/>
      </w:r>
      <w:r w:rsidR="00CC652D">
        <w:rPr>
          <w:rFonts w:ascii="Tms Rmn" w:eastAsia="Calibri" w:hAnsi="Tms Rmn" w:cs="Tms Rmn"/>
          <w:color w:val="000000"/>
        </w:rPr>
        <w:t>.  Under PASEN II,</w:t>
      </w:r>
      <w:r>
        <w:rPr>
          <w:rFonts w:ascii="Tms Rmn" w:eastAsia="Calibri" w:hAnsi="Tms Rmn" w:cs="Tms Rmn"/>
          <w:color w:val="000000"/>
        </w:rPr>
        <w:t xml:space="preserve"> a school infrastructure inventory will be carried out to collect information on</w:t>
      </w:r>
      <w:r w:rsidR="00AE593A">
        <w:rPr>
          <w:rFonts w:ascii="Tms Rmn" w:eastAsia="Calibri" w:hAnsi="Tms Rmn" w:cs="Tms Rmn"/>
          <w:color w:val="000000"/>
        </w:rPr>
        <w:t xml:space="preserve"> all schools operated by MINED</w:t>
      </w:r>
      <w:r>
        <w:rPr>
          <w:rFonts w:ascii="Tms Rmn" w:eastAsia="Calibri" w:hAnsi="Tms Rmn" w:cs="Tms Rmn"/>
          <w:color w:val="000000"/>
        </w:rPr>
        <w:t xml:space="preserve"> and on the existence of land ownership title</w:t>
      </w:r>
      <w:r w:rsidR="00AE593A">
        <w:rPr>
          <w:rFonts w:ascii="Tms Rmn" w:eastAsia="Calibri" w:hAnsi="Tms Rmn" w:cs="Tms Rmn"/>
          <w:color w:val="000000"/>
        </w:rPr>
        <w:t>s</w:t>
      </w:r>
      <w:r>
        <w:rPr>
          <w:rFonts w:ascii="Tms Rmn" w:eastAsia="Calibri" w:hAnsi="Tms Rmn" w:cs="Tms Rmn"/>
          <w:color w:val="000000"/>
        </w:rPr>
        <w:t xml:space="preserve"> and </w:t>
      </w:r>
      <w:r w:rsidR="00AE593A">
        <w:rPr>
          <w:rFonts w:ascii="Tms Rmn" w:eastAsia="Calibri" w:hAnsi="Tms Rmn" w:cs="Tms Rmn"/>
          <w:color w:val="000000"/>
        </w:rPr>
        <w:t xml:space="preserve">proper </w:t>
      </w:r>
      <w:r>
        <w:rPr>
          <w:rFonts w:ascii="Tms Rmn" w:eastAsia="Calibri" w:hAnsi="Tms Rmn" w:cs="Tms Rmn"/>
          <w:color w:val="000000"/>
        </w:rPr>
        <w:t>registration</w:t>
      </w:r>
      <w:r w:rsidR="00AE593A">
        <w:rPr>
          <w:rFonts w:ascii="Tms Rmn" w:eastAsia="Calibri" w:hAnsi="Tms Rmn" w:cs="Tms Rmn"/>
          <w:color w:val="000000"/>
        </w:rPr>
        <w:t>s</w:t>
      </w:r>
      <w:r>
        <w:rPr>
          <w:rFonts w:ascii="Tms Rmn" w:eastAsia="Calibri" w:hAnsi="Tms Rmn" w:cs="Tms Rmn"/>
          <w:color w:val="000000"/>
        </w:rPr>
        <w:t>.  This inventory will contribute to improving the current estimate of the percentage of school buildings on land currently owned by the Government</w:t>
      </w:r>
      <w:r w:rsidR="00AE593A">
        <w:rPr>
          <w:rFonts w:ascii="Tms Rmn" w:eastAsia="Calibri" w:hAnsi="Tms Rmn" w:cs="Tms Rmn"/>
          <w:color w:val="000000"/>
        </w:rPr>
        <w:t xml:space="preserve"> with a title</w:t>
      </w:r>
      <w:r>
        <w:rPr>
          <w:rFonts w:ascii="Tms Rmn" w:eastAsia="Calibri" w:hAnsi="Tms Rmn" w:cs="Tms Rmn"/>
          <w:color w:val="000000"/>
        </w:rPr>
        <w:t>.  Historically</w:t>
      </w:r>
      <w:r w:rsidR="00CC652D">
        <w:rPr>
          <w:rFonts w:ascii="Tms Rmn" w:eastAsia="Calibri" w:hAnsi="Tms Rmn" w:cs="Tms Rmn"/>
          <w:color w:val="000000"/>
        </w:rPr>
        <w:t>,</w:t>
      </w:r>
      <w:r>
        <w:rPr>
          <w:rFonts w:ascii="Tms Rmn" w:eastAsia="Calibri" w:hAnsi="Tms Rmn" w:cs="Tms Rmn"/>
          <w:color w:val="000000"/>
        </w:rPr>
        <w:t xml:space="preserve"> many lands on which schools were built have been given to the Government.  </w:t>
      </w:r>
      <w:r w:rsidR="00AE593A">
        <w:rPr>
          <w:rFonts w:ascii="Tms Rmn" w:eastAsia="Calibri" w:hAnsi="Tms Rmn" w:cs="Tms Rmn"/>
          <w:color w:val="000000"/>
        </w:rPr>
        <w:t>In some cases, the donated plots have clear title</w:t>
      </w:r>
      <w:r>
        <w:rPr>
          <w:rFonts w:ascii="Tms Rmn" w:eastAsia="Calibri" w:hAnsi="Tms Rmn" w:cs="Tms Rmn"/>
          <w:color w:val="000000"/>
        </w:rPr>
        <w:t xml:space="preserve"> and voluntary and informed transfer from the past owners can be demonstrated</w:t>
      </w:r>
      <w:r w:rsidR="00AE593A">
        <w:rPr>
          <w:rFonts w:ascii="Tms Rmn" w:eastAsia="Calibri" w:hAnsi="Tms Rmn" w:cs="Tms Rmn"/>
          <w:color w:val="000000"/>
        </w:rPr>
        <w:t>; others</w:t>
      </w:r>
      <w:r>
        <w:rPr>
          <w:rFonts w:ascii="Tms Rmn" w:eastAsia="Calibri" w:hAnsi="Tms Rmn" w:cs="Tms Rmn"/>
          <w:color w:val="000000"/>
        </w:rPr>
        <w:t xml:space="preserve"> have </w:t>
      </w:r>
      <w:r w:rsidR="00AE593A">
        <w:rPr>
          <w:rFonts w:ascii="Tms Rmn" w:eastAsia="Calibri" w:hAnsi="Tms Rmn" w:cs="Tms Rmn"/>
          <w:color w:val="000000"/>
        </w:rPr>
        <w:t xml:space="preserve">a </w:t>
      </w:r>
      <w:r>
        <w:rPr>
          <w:rFonts w:ascii="Tms Rmn" w:eastAsia="Calibri" w:hAnsi="Tms Rmn" w:cs="Tms Rmn"/>
          <w:color w:val="000000"/>
        </w:rPr>
        <w:t>clear title</w:t>
      </w:r>
      <w:r w:rsidR="00AE593A">
        <w:rPr>
          <w:rFonts w:ascii="Tms Rmn" w:eastAsia="Calibri" w:hAnsi="Tms Rmn" w:cs="Tms Rmn"/>
          <w:color w:val="000000"/>
        </w:rPr>
        <w:t>, but “voluntary” and “informed”</w:t>
      </w:r>
      <w:r>
        <w:rPr>
          <w:rFonts w:ascii="Tms Rmn" w:eastAsia="Calibri" w:hAnsi="Tms Rmn" w:cs="Tms Rmn"/>
          <w:color w:val="000000"/>
        </w:rPr>
        <w:t xml:space="preserve"> transfer to the Recipient is difficult to demonstrate; others do not have clear title, and there are/aren't any land occupiers; </w:t>
      </w:r>
      <w:r w:rsidR="00AE593A">
        <w:rPr>
          <w:rFonts w:ascii="Tms Rmn" w:eastAsia="Calibri" w:hAnsi="Tms Rmn" w:cs="Tms Rmn"/>
          <w:color w:val="000000"/>
        </w:rPr>
        <w:t xml:space="preserve">finally </w:t>
      </w:r>
      <w:r>
        <w:rPr>
          <w:rFonts w:ascii="Tms Rmn" w:eastAsia="Calibri" w:hAnsi="Tms Rmn" w:cs="Tms Rmn"/>
          <w:color w:val="000000"/>
        </w:rPr>
        <w:t>others do not have clear title, and are occupied by particulars with some form of legal title - claim)</w:t>
      </w:r>
      <w:r w:rsidR="00AE593A">
        <w:rPr>
          <w:rFonts w:ascii="Tms Rmn" w:eastAsia="Calibri" w:hAnsi="Tms Rmn" w:cs="Tms Rmn"/>
          <w:color w:val="000000"/>
        </w:rPr>
        <w:t>.  The RPF would look at all these possible situations on a case by case, before the Project finances any civil works for a school building.  The Project would not be able to review</w:t>
      </w:r>
      <w:r w:rsidR="00393423">
        <w:rPr>
          <w:rFonts w:ascii="Tms Rmn" w:eastAsia="Calibri" w:hAnsi="Tms Rmn" w:cs="Tms Rmn"/>
          <w:color w:val="000000"/>
        </w:rPr>
        <w:t xml:space="preserve"> and establish</w:t>
      </w:r>
      <w:r w:rsidR="00AE593A">
        <w:rPr>
          <w:rFonts w:ascii="Tms Rmn" w:eastAsia="Calibri" w:hAnsi="Tms Rmn" w:cs="Tms Rmn"/>
          <w:color w:val="000000"/>
        </w:rPr>
        <w:t xml:space="preserve"> land ownership for all current school buildings operated by MINED.  </w:t>
      </w:r>
      <w:r w:rsidR="00393423">
        <w:rPr>
          <w:rFonts w:ascii="Tms Rmn" w:eastAsia="Calibri" w:hAnsi="Tms Rmn" w:cs="Tms Rmn"/>
          <w:color w:val="000000"/>
        </w:rPr>
        <w:t xml:space="preserve">However, </w:t>
      </w:r>
      <w:r w:rsidR="00CC652D">
        <w:rPr>
          <w:rFonts w:ascii="Tms Rmn" w:eastAsia="Calibri" w:hAnsi="Tms Rmn" w:cs="Tms Rmn"/>
          <w:color w:val="000000"/>
        </w:rPr>
        <w:t>PASEN II</w:t>
      </w:r>
      <w:r w:rsidR="00AE593A">
        <w:rPr>
          <w:rFonts w:ascii="Tms Rmn" w:eastAsia="Calibri" w:hAnsi="Tms Rmn" w:cs="Tms Rmn"/>
          <w:color w:val="000000"/>
        </w:rPr>
        <w:t xml:space="preserve"> that finances the pre-investment studies </w:t>
      </w:r>
      <w:r w:rsidR="00393423">
        <w:rPr>
          <w:rFonts w:ascii="Tms Rmn" w:eastAsia="Calibri" w:hAnsi="Tms Rmn" w:cs="Tms Rmn"/>
          <w:color w:val="000000"/>
        </w:rPr>
        <w:t xml:space="preserve">for civil works </w:t>
      </w:r>
      <w:r w:rsidR="00AE593A">
        <w:rPr>
          <w:rFonts w:ascii="Tms Rmn" w:eastAsia="Calibri" w:hAnsi="Tms Rmn" w:cs="Tms Rmn"/>
          <w:color w:val="000000"/>
        </w:rPr>
        <w:t xml:space="preserve">recently hired 12 notaries assigned in all the </w:t>
      </w:r>
      <w:r w:rsidR="005419A0">
        <w:rPr>
          <w:rFonts w:ascii="Tms Rmn" w:eastAsia="Calibri" w:hAnsi="Tms Rmn" w:cs="Tms Rmn"/>
          <w:color w:val="000000"/>
        </w:rPr>
        <w:t>Departmental</w:t>
      </w:r>
      <w:r w:rsidR="00AE593A">
        <w:rPr>
          <w:rFonts w:ascii="Tms Rmn" w:eastAsia="Calibri" w:hAnsi="Tms Rmn" w:cs="Tms Rmn"/>
          <w:color w:val="000000"/>
        </w:rPr>
        <w:t xml:space="preserve"> Education Delegations with the mandate to document the ownership of the</w:t>
      </w:r>
      <w:r w:rsidR="00CC652D">
        <w:rPr>
          <w:rFonts w:ascii="Tms Rmn" w:eastAsia="Calibri" w:hAnsi="Tms Rmn" w:cs="Tms Rmn"/>
          <w:color w:val="000000"/>
        </w:rPr>
        <w:t xml:space="preserve"> land for school building and</w:t>
      </w:r>
      <w:r w:rsidR="00AE593A">
        <w:rPr>
          <w:rFonts w:ascii="Tms Rmn" w:eastAsia="Calibri" w:hAnsi="Tms Rmn" w:cs="Tms Rmn"/>
          <w:color w:val="000000"/>
        </w:rPr>
        <w:t xml:space="preserve"> implement the due diligence procedure included in the OM and in the RPF.</w:t>
      </w:r>
      <w:r w:rsidR="00393423">
        <w:rPr>
          <w:rFonts w:ascii="Tms Rmn" w:eastAsia="Calibri" w:hAnsi="Tms Rmn" w:cs="Tms Rmn"/>
          <w:color w:val="000000"/>
        </w:rPr>
        <w:t xml:space="preserve">  This would include</w:t>
      </w:r>
      <w:r w:rsidR="00D56B4E">
        <w:rPr>
          <w:rFonts w:ascii="Tms Rmn" w:eastAsia="Calibri" w:hAnsi="Tms Rmn" w:cs="Tms Rmn"/>
          <w:color w:val="000000"/>
        </w:rPr>
        <w:t>: (i)</w:t>
      </w:r>
      <w:r w:rsidR="00393423">
        <w:rPr>
          <w:rFonts w:ascii="Tms Rmn" w:eastAsia="Calibri" w:hAnsi="Tms Rmn" w:cs="Tms Rmn"/>
          <w:color w:val="000000"/>
        </w:rPr>
        <w:t xml:space="preserve"> research through national and municipal official records</w:t>
      </w:r>
      <w:r w:rsidR="00D56B4E">
        <w:rPr>
          <w:rFonts w:ascii="Tms Rmn" w:eastAsia="Calibri" w:hAnsi="Tms Rmn" w:cs="Tms Rmn"/>
          <w:color w:val="000000"/>
        </w:rPr>
        <w:t>,</w:t>
      </w:r>
      <w:r w:rsidR="00393423">
        <w:rPr>
          <w:rFonts w:ascii="Tms Rmn" w:eastAsia="Calibri" w:hAnsi="Tms Rmn" w:cs="Tms Rmn"/>
          <w:color w:val="000000"/>
        </w:rPr>
        <w:t xml:space="preserve"> if available and </w:t>
      </w:r>
      <w:r w:rsidR="00D56B4E">
        <w:rPr>
          <w:rFonts w:ascii="Tms Rmn" w:eastAsia="Calibri" w:hAnsi="Tms Rmn" w:cs="Tms Rmn"/>
          <w:color w:val="000000"/>
        </w:rPr>
        <w:t xml:space="preserve">(ii) </w:t>
      </w:r>
      <w:r w:rsidR="00393423">
        <w:rPr>
          <w:rFonts w:ascii="Tms Rmn" w:eastAsia="Calibri" w:hAnsi="Tms Rmn" w:cs="Tms Rmn"/>
          <w:color w:val="000000"/>
        </w:rPr>
        <w:t>community consultation in an effort to establish land ownership</w:t>
      </w:r>
      <w:r w:rsidR="00D56B4E">
        <w:rPr>
          <w:rFonts w:ascii="Tms Rmn" w:eastAsia="Calibri" w:hAnsi="Tms Rmn" w:cs="Tms Rmn"/>
          <w:color w:val="000000"/>
        </w:rPr>
        <w:t>,</w:t>
      </w:r>
      <w:r w:rsidR="00393423">
        <w:rPr>
          <w:rFonts w:ascii="Tms Rmn" w:eastAsia="Calibri" w:hAnsi="Tms Rmn" w:cs="Tms Rmn"/>
          <w:color w:val="000000"/>
        </w:rPr>
        <w:t xml:space="preserve"> if no legal ownership can be demonstrated through the existence of official records.  </w:t>
      </w:r>
      <w:r w:rsidR="00B17A41">
        <w:rPr>
          <w:bCs/>
        </w:rPr>
        <w:t>The Project will only finance civil works proposed to be carried out in schools that are located on land that is properly registered and titled in the name of the Recipient in accordance with Nicaraguan laws and for which there are no pending or unresolved claims within the past five years of Effectiveness of the Grant financing the respective civil works</w:t>
      </w:r>
      <w:r w:rsidR="00393423">
        <w:rPr>
          <w:rFonts w:ascii="Tms Rmn" w:eastAsia="Calibri" w:hAnsi="Tms Rmn" w:cs="Tms Rmn"/>
          <w:color w:val="000000"/>
        </w:rPr>
        <w:t>.</w:t>
      </w:r>
    </w:p>
    <w:p w:rsidR="0031006F" w:rsidRDefault="00393423" w:rsidP="0031006F">
      <w:pPr>
        <w:pStyle w:val="ListParagraph"/>
        <w:ind w:left="0"/>
        <w:jc w:val="both"/>
        <w:rPr>
          <w:bCs/>
        </w:rPr>
      </w:pPr>
      <w:r>
        <w:rPr>
          <w:rFonts w:ascii="Tms Rmn" w:eastAsia="Calibri" w:hAnsi="Tms Rmn" w:cs="Tms Rmn"/>
          <w:color w:val="000000"/>
        </w:rPr>
        <w:t xml:space="preserve"> </w:t>
      </w:r>
    </w:p>
    <w:p w:rsidR="00185F6A" w:rsidRDefault="0099429E" w:rsidP="005E2993">
      <w:pPr>
        <w:pStyle w:val="ListParagraph"/>
        <w:numPr>
          <w:ilvl w:val="0"/>
          <w:numId w:val="23"/>
        </w:numPr>
        <w:ind w:left="0" w:firstLine="0"/>
        <w:jc w:val="both"/>
        <w:rPr>
          <w:bCs/>
        </w:rPr>
      </w:pPr>
      <w:r>
        <w:rPr>
          <w:bCs/>
        </w:rPr>
        <w:t xml:space="preserve">The </w:t>
      </w:r>
      <w:r w:rsidR="00E62E03">
        <w:rPr>
          <w:bCs/>
        </w:rPr>
        <w:t>GDSI</w:t>
      </w:r>
      <w:r w:rsidR="001D5D36">
        <w:rPr>
          <w:bCs/>
        </w:rPr>
        <w:t xml:space="preserve"> would be r</w:t>
      </w:r>
      <w:r w:rsidR="00BC286E">
        <w:rPr>
          <w:bCs/>
        </w:rPr>
        <w:t>esp</w:t>
      </w:r>
      <w:r w:rsidR="001D5D36">
        <w:rPr>
          <w:bCs/>
        </w:rPr>
        <w:t>onsible for conducting the pre-</w:t>
      </w:r>
      <w:r w:rsidR="00D47E66">
        <w:rPr>
          <w:bCs/>
        </w:rPr>
        <w:t xml:space="preserve">feasibility </w:t>
      </w:r>
      <w:r w:rsidR="001D5D36">
        <w:rPr>
          <w:bCs/>
        </w:rPr>
        <w:t xml:space="preserve">studies in the 250 schools, including the design, planning and architectural designs of both classrooms and complementary infrastructure.  </w:t>
      </w:r>
      <w:r w:rsidR="00D47E66">
        <w:rPr>
          <w:bCs/>
        </w:rPr>
        <w:t xml:space="preserve">If the civil work needs identified in one school exceeds the </w:t>
      </w:r>
      <w:r w:rsidR="00D47E66">
        <w:rPr>
          <w:bCs/>
        </w:rPr>
        <w:lastRenderedPageBreak/>
        <w:t xml:space="preserve">capacity of the local </w:t>
      </w:r>
      <w:r w:rsidR="00E62E03">
        <w:rPr>
          <w:bCs/>
        </w:rPr>
        <w:t>GDSI</w:t>
      </w:r>
      <w:r w:rsidR="00D47E66">
        <w:rPr>
          <w:bCs/>
        </w:rPr>
        <w:t xml:space="preserve"> office, MINED </w:t>
      </w:r>
      <w:r w:rsidR="00636C8C">
        <w:rPr>
          <w:bCs/>
        </w:rPr>
        <w:t>would</w:t>
      </w:r>
      <w:r w:rsidR="00D47E66">
        <w:rPr>
          <w:bCs/>
        </w:rPr>
        <w:t xml:space="preserve"> contract out the pre-feasibility study.  </w:t>
      </w:r>
      <w:r w:rsidR="001D5D36">
        <w:rPr>
          <w:bCs/>
        </w:rPr>
        <w:t>The actual civil works would be contracted out to local firms, and supervision of contract execution (quality c</w:t>
      </w:r>
      <w:r w:rsidR="003F0FB3">
        <w:rPr>
          <w:bCs/>
        </w:rPr>
        <w:t>ontrol) would also be outsourced</w:t>
      </w:r>
      <w:r w:rsidR="001D5D36">
        <w:rPr>
          <w:bCs/>
        </w:rPr>
        <w:t xml:space="preserve"> to private engineering firms. </w:t>
      </w:r>
    </w:p>
    <w:p w:rsidR="00185F6A" w:rsidRPr="00185F6A" w:rsidRDefault="00185F6A" w:rsidP="00185F6A">
      <w:pPr>
        <w:pStyle w:val="ListParagraph"/>
        <w:rPr>
          <w:bCs/>
        </w:rPr>
      </w:pPr>
    </w:p>
    <w:p w:rsidR="005E3EE7" w:rsidRPr="00485A4B" w:rsidRDefault="00EC4B95" w:rsidP="0040253F">
      <w:pPr>
        <w:jc w:val="center"/>
        <w:rPr>
          <w:b/>
          <w:bCs/>
        </w:rPr>
      </w:pPr>
      <w:r>
        <w:rPr>
          <w:b/>
          <w:bCs/>
        </w:rPr>
        <w:t>Table 2.10</w:t>
      </w:r>
      <w:r w:rsidR="00A15F4C">
        <w:rPr>
          <w:b/>
          <w:bCs/>
        </w:rPr>
        <w:t xml:space="preserve">: </w:t>
      </w:r>
      <w:r w:rsidR="00CE2740" w:rsidRPr="00485A4B">
        <w:rPr>
          <w:b/>
          <w:bCs/>
        </w:rPr>
        <w:t>School Infrastructure Estimated Costs by Activity</w:t>
      </w:r>
    </w:p>
    <w:tbl>
      <w:tblPr>
        <w:tblStyle w:val="TableGrid"/>
        <w:tblW w:w="9258" w:type="dxa"/>
        <w:jc w:val="center"/>
        <w:tblInd w:w="733" w:type="dxa"/>
        <w:tblLook w:val="04A0" w:firstRow="1" w:lastRow="0" w:firstColumn="1" w:lastColumn="0" w:noHBand="0" w:noVBand="1"/>
      </w:tblPr>
      <w:tblGrid>
        <w:gridCol w:w="3452"/>
        <w:gridCol w:w="1987"/>
        <w:gridCol w:w="1959"/>
        <w:gridCol w:w="28"/>
        <w:gridCol w:w="1832"/>
      </w:tblGrid>
      <w:tr w:rsidR="00EF554F" w:rsidRPr="00DA382B" w:rsidTr="00956664">
        <w:trPr>
          <w:jc w:val="center"/>
        </w:trPr>
        <w:tc>
          <w:tcPr>
            <w:tcW w:w="3452" w:type="dxa"/>
          </w:tcPr>
          <w:p w:rsidR="00EF554F" w:rsidRPr="00DA382B" w:rsidRDefault="00EF554F" w:rsidP="00DA382B">
            <w:pPr>
              <w:jc w:val="both"/>
              <w:rPr>
                <w:bCs/>
              </w:rPr>
            </w:pPr>
          </w:p>
        </w:tc>
        <w:tc>
          <w:tcPr>
            <w:tcW w:w="1987" w:type="dxa"/>
          </w:tcPr>
          <w:p w:rsidR="00EF554F" w:rsidRPr="00CE2740" w:rsidRDefault="00EF554F" w:rsidP="00DA382B">
            <w:pPr>
              <w:jc w:val="both"/>
              <w:rPr>
                <w:b/>
                <w:bCs/>
              </w:rPr>
            </w:pPr>
            <w:r w:rsidRPr="00CE2740">
              <w:rPr>
                <w:b/>
                <w:bCs/>
              </w:rPr>
              <w:t>Quantity</w:t>
            </w:r>
          </w:p>
        </w:tc>
        <w:tc>
          <w:tcPr>
            <w:tcW w:w="1959" w:type="dxa"/>
          </w:tcPr>
          <w:p w:rsidR="00EF554F" w:rsidRPr="00CE2740" w:rsidRDefault="00EF554F" w:rsidP="00DA382B">
            <w:pPr>
              <w:jc w:val="both"/>
              <w:rPr>
                <w:b/>
                <w:bCs/>
              </w:rPr>
            </w:pPr>
            <w:r w:rsidRPr="00CE2740">
              <w:rPr>
                <w:b/>
                <w:bCs/>
              </w:rPr>
              <w:t>Unit Cost</w:t>
            </w:r>
          </w:p>
        </w:tc>
        <w:tc>
          <w:tcPr>
            <w:tcW w:w="1860" w:type="dxa"/>
            <w:gridSpan w:val="2"/>
          </w:tcPr>
          <w:p w:rsidR="00EF554F" w:rsidRPr="00CE2740" w:rsidRDefault="00EF554F" w:rsidP="00046972">
            <w:pPr>
              <w:jc w:val="center"/>
              <w:rPr>
                <w:b/>
                <w:bCs/>
              </w:rPr>
            </w:pPr>
            <w:r w:rsidRPr="00CE2740">
              <w:rPr>
                <w:b/>
                <w:bCs/>
              </w:rPr>
              <w:t>Cost per School</w:t>
            </w:r>
          </w:p>
        </w:tc>
      </w:tr>
      <w:tr w:rsidR="00EF554F" w:rsidRPr="00DA382B" w:rsidTr="00956664">
        <w:trPr>
          <w:jc w:val="center"/>
        </w:trPr>
        <w:tc>
          <w:tcPr>
            <w:tcW w:w="3452" w:type="dxa"/>
          </w:tcPr>
          <w:p w:rsidR="00EF554F" w:rsidRPr="00DA382B" w:rsidRDefault="00EF554F" w:rsidP="00DA382B">
            <w:pPr>
              <w:jc w:val="both"/>
              <w:rPr>
                <w:bCs/>
              </w:rPr>
            </w:pPr>
            <w:r>
              <w:rPr>
                <w:bCs/>
              </w:rPr>
              <w:t>New or rehabilitated classrooms</w:t>
            </w:r>
          </w:p>
        </w:tc>
        <w:tc>
          <w:tcPr>
            <w:tcW w:w="1987" w:type="dxa"/>
          </w:tcPr>
          <w:p w:rsidR="00EF554F" w:rsidRPr="00DA382B" w:rsidRDefault="00EF554F" w:rsidP="00EF554F">
            <w:pPr>
              <w:jc w:val="center"/>
              <w:rPr>
                <w:bCs/>
              </w:rPr>
            </w:pPr>
            <w:r>
              <w:rPr>
                <w:bCs/>
              </w:rPr>
              <w:t>2</w:t>
            </w:r>
          </w:p>
        </w:tc>
        <w:tc>
          <w:tcPr>
            <w:tcW w:w="1987" w:type="dxa"/>
            <w:gridSpan w:val="2"/>
          </w:tcPr>
          <w:p w:rsidR="00EF554F" w:rsidRPr="00DA382B" w:rsidRDefault="00EF554F" w:rsidP="00EF554F">
            <w:pPr>
              <w:jc w:val="center"/>
              <w:rPr>
                <w:bCs/>
              </w:rPr>
            </w:pPr>
            <w:r>
              <w:rPr>
                <w:bCs/>
              </w:rPr>
              <w:t>20,040</w:t>
            </w:r>
          </w:p>
        </w:tc>
        <w:tc>
          <w:tcPr>
            <w:tcW w:w="1832" w:type="dxa"/>
          </w:tcPr>
          <w:p w:rsidR="00EF554F" w:rsidRPr="00DA382B" w:rsidRDefault="00EF554F" w:rsidP="00EF554F">
            <w:pPr>
              <w:jc w:val="center"/>
              <w:rPr>
                <w:bCs/>
              </w:rPr>
            </w:pPr>
            <w:r>
              <w:rPr>
                <w:bCs/>
              </w:rPr>
              <w:t>40,080</w:t>
            </w:r>
          </w:p>
        </w:tc>
      </w:tr>
      <w:tr w:rsidR="00EF554F" w:rsidRPr="00DA382B" w:rsidTr="00956664">
        <w:trPr>
          <w:jc w:val="center"/>
        </w:trPr>
        <w:tc>
          <w:tcPr>
            <w:tcW w:w="3452" w:type="dxa"/>
          </w:tcPr>
          <w:p w:rsidR="00EF554F" w:rsidRPr="00DA382B" w:rsidRDefault="00EF554F" w:rsidP="00DA382B">
            <w:pPr>
              <w:jc w:val="both"/>
              <w:rPr>
                <w:bCs/>
              </w:rPr>
            </w:pPr>
            <w:r>
              <w:rPr>
                <w:bCs/>
              </w:rPr>
              <w:t>ICT laboratory, library or resource center</w:t>
            </w:r>
          </w:p>
        </w:tc>
        <w:tc>
          <w:tcPr>
            <w:tcW w:w="1987" w:type="dxa"/>
          </w:tcPr>
          <w:p w:rsidR="00EF554F" w:rsidRPr="00DA382B" w:rsidRDefault="00EF554F" w:rsidP="00EF554F">
            <w:pPr>
              <w:jc w:val="center"/>
              <w:rPr>
                <w:bCs/>
              </w:rPr>
            </w:pPr>
            <w:r>
              <w:rPr>
                <w:bCs/>
              </w:rPr>
              <w:t>1</w:t>
            </w:r>
          </w:p>
        </w:tc>
        <w:tc>
          <w:tcPr>
            <w:tcW w:w="1987" w:type="dxa"/>
            <w:gridSpan w:val="2"/>
          </w:tcPr>
          <w:p w:rsidR="00EF554F" w:rsidRPr="00DA382B" w:rsidRDefault="00EF554F" w:rsidP="00EF554F">
            <w:pPr>
              <w:jc w:val="center"/>
              <w:rPr>
                <w:bCs/>
              </w:rPr>
            </w:pPr>
            <w:r>
              <w:rPr>
                <w:bCs/>
              </w:rPr>
              <w:t>20,040</w:t>
            </w:r>
          </w:p>
        </w:tc>
        <w:tc>
          <w:tcPr>
            <w:tcW w:w="1832" w:type="dxa"/>
          </w:tcPr>
          <w:p w:rsidR="00EF554F" w:rsidRPr="00DA382B" w:rsidRDefault="00EF554F" w:rsidP="00EF554F">
            <w:pPr>
              <w:jc w:val="center"/>
              <w:rPr>
                <w:bCs/>
              </w:rPr>
            </w:pPr>
            <w:r>
              <w:rPr>
                <w:bCs/>
              </w:rPr>
              <w:t>20,040</w:t>
            </w:r>
          </w:p>
        </w:tc>
      </w:tr>
      <w:tr w:rsidR="00EF554F" w:rsidRPr="00DA382B" w:rsidTr="00956664">
        <w:trPr>
          <w:jc w:val="center"/>
        </w:trPr>
        <w:tc>
          <w:tcPr>
            <w:tcW w:w="3452" w:type="dxa"/>
          </w:tcPr>
          <w:p w:rsidR="00EF554F" w:rsidRPr="00DA382B" w:rsidRDefault="00EF554F" w:rsidP="00DA382B">
            <w:pPr>
              <w:jc w:val="both"/>
              <w:rPr>
                <w:bCs/>
              </w:rPr>
            </w:pPr>
            <w:r>
              <w:rPr>
                <w:bCs/>
              </w:rPr>
              <w:t>Sanitation (toilets, water supply)</w:t>
            </w:r>
          </w:p>
        </w:tc>
        <w:tc>
          <w:tcPr>
            <w:tcW w:w="1987" w:type="dxa"/>
          </w:tcPr>
          <w:p w:rsidR="00EF554F" w:rsidRPr="00DA382B" w:rsidRDefault="00EF554F" w:rsidP="00EF554F">
            <w:pPr>
              <w:jc w:val="center"/>
              <w:rPr>
                <w:bCs/>
              </w:rPr>
            </w:pPr>
            <w:r>
              <w:rPr>
                <w:bCs/>
              </w:rPr>
              <w:t>1</w:t>
            </w:r>
          </w:p>
        </w:tc>
        <w:tc>
          <w:tcPr>
            <w:tcW w:w="1987" w:type="dxa"/>
            <w:gridSpan w:val="2"/>
          </w:tcPr>
          <w:p w:rsidR="00EF554F" w:rsidRPr="00DA382B" w:rsidRDefault="00EF554F" w:rsidP="00EF554F">
            <w:pPr>
              <w:jc w:val="center"/>
              <w:rPr>
                <w:bCs/>
              </w:rPr>
            </w:pPr>
            <w:r>
              <w:rPr>
                <w:bCs/>
              </w:rPr>
              <w:t>16,000</w:t>
            </w:r>
          </w:p>
        </w:tc>
        <w:tc>
          <w:tcPr>
            <w:tcW w:w="1832" w:type="dxa"/>
          </w:tcPr>
          <w:p w:rsidR="00EF554F" w:rsidRPr="00DA382B" w:rsidRDefault="00EF554F" w:rsidP="00EF554F">
            <w:pPr>
              <w:jc w:val="center"/>
              <w:rPr>
                <w:bCs/>
              </w:rPr>
            </w:pPr>
            <w:r>
              <w:rPr>
                <w:bCs/>
              </w:rPr>
              <w:t>16,000</w:t>
            </w:r>
          </w:p>
        </w:tc>
      </w:tr>
      <w:tr w:rsidR="00EF554F" w:rsidRPr="00DA382B" w:rsidTr="00956664">
        <w:trPr>
          <w:jc w:val="center"/>
        </w:trPr>
        <w:tc>
          <w:tcPr>
            <w:tcW w:w="3452" w:type="dxa"/>
          </w:tcPr>
          <w:p w:rsidR="00EF554F" w:rsidRPr="00DA382B" w:rsidRDefault="00EF554F" w:rsidP="00DA382B">
            <w:pPr>
              <w:jc w:val="both"/>
              <w:rPr>
                <w:bCs/>
              </w:rPr>
            </w:pPr>
            <w:r>
              <w:rPr>
                <w:bCs/>
              </w:rPr>
              <w:t>Security</w:t>
            </w:r>
          </w:p>
        </w:tc>
        <w:tc>
          <w:tcPr>
            <w:tcW w:w="1987" w:type="dxa"/>
          </w:tcPr>
          <w:p w:rsidR="00EF554F" w:rsidRPr="00DA382B" w:rsidRDefault="00EF554F" w:rsidP="00EF554F">
            <w:pPr>
              <w:jc w:val="center"/>
              <w:rPr>
                <w:bCs/>
              </w:rPr>
            </w:pPr>
            <w:r>
              <w:rPr>
                <w:bCs/>
              </w:rPr>
              <w:t>1</w:t>
            </w:r>
          </w:p>
        </w:tc>
        <w:tc>
          <w:tcPr>
            <w:tcW w:w="1987" w:type="dxa"/>
            <w:gridSpan w:val="2"/>
          </w:tcPr>
          <w:p w:rsidR="00EF554F" w:rsidRPr="00DA382B" w:rsidRDefault="00EF554F" w:rsidP="00EF554F">
            <w:pPr>
              <w:jc w:val="center"/>
              <w:rPr>
                <w:bCs/>
              </w:rPr>
            </w:pPr>
            <w:r>
              <w:rPr>
                <w:bCs/>
              </w:rPr>
              <w:t>3,000</w:t>
            </w:r>
          </w:p>
        </w:tc>
        <w:tc>
          <w:tcPr>
            <w:tcW w:w="1832" w:type="dxa"/>
          </w:tcPr>
          <w:p w:rsidR="00EF554F" w:rsidRPr="00DA382B" w:rsidRDefault="00EF554F" w:rsidP="00EF554F">
            <w:pPr>
              <w:jc w:val="center"/>
              <w:rPr>
                <w:bCs/>
              </w:rPr>
            </w:pPr>
            <w:r>
              <w:rPr>
                <w:bCs/>
              </w:rPr>
              <w:t>3,000</w:t>
            </w:r>
          </w:p>
        </w:tc>
      </w:tr>
      <w:tr w:rsidR="00EF554F" w:rsidRPr="00DA382B" w:rsidTr="00956664">
        <w:trPr>
          <w:jc w:val="center"/>
        </w:trPr>
        <w:tc>
          <w:tcPr>
            <w:tcW w:w="3452" w:type="dxa"/>
          </w:tcPr>
          <w:p w:rsidR="00EF554F" w:rsidRPr="00DA382B" w:rsidRDefault="00EF554F" w:rsidP="00DA382B">
            <w:pPr>
              <w:jc w:val="both"/>
              <w:rPr>
                <w:bCs/>
              </w:rPr>
            </w:pPr>
            <w:r>
              <w:rPr>
                <w:bCs/>
              </w:rPr>
              <w:t>Maintenance (10%)</w:t>
            </w:r>
          </w:p>
        </w:tc>
        <w:tc>
          <w:tcPr>
            <w:tcW w:w="1987" w:type="dxa"/>
          </w:tcPr>
          <w:p w:rsidR="00EF554F" w:rsidRPr="00DA382B" w:rsidRDefault="00EF554F" w:rsidP="00EF554F">
            <w:pPr>
              <w:jc w:val="center"/>
              <w:rPr>
                <w:bCs/>
              </w:rPr>
            </w:pPr>
            <w:r>
              <w:rPr>
                <w:bCs/>
              </w:rPr>
              <w:t>1</w:t>
            </w:r>
          </w:p>
        </w:tc>
        <w:tc>
          <w:tcPr>
            <w:tcW w:w="1987" w:type="dxa"/>
            <w:gridSpan w:val="2"/>
          </w:tcPr>
          <w:p w:rsidR="00EF554F" w:rsidRPr="00DA382B" w:rsidRDefault="00EF554F" w:rsidP="00EF554F">
            <w:pPr>
              <w:jc w:val="center"/>
              <w:rPr>
                <w:bCs/>
              </w:rPr>
            </w:pPr>
            <w:r>
              <w:rPr>
                <w:bCs/>
              </w:rPr>
              <w:t>8,152</w:t>
            </w:r>
          </w:p>
        </w:tc>
        <w:tc>
          <w:tcPr>
            <w:tcW w:w="1832" w:type="dxa"/>
          </w:tcPr>
          <w:p w:rsidR="00EF554F" w:rsidRPr="00DA382B" w:rsidRDefault="00EF554F" w:rsidP="00EF554F">
            <w:pPr>
              <w:jc w:val="center"/>
              <w:rPr>
                <w:bCs/>
              </w:rPr>
            </w:pPr>
            <w:r>
              <w:rPr>
                <w:bCs/>
              </w:rPr>
              <w:t>8,152</w:t>
            </w:r>
          </w:p>
        </w:tc>
      </w:tr>
      <w:tr w:rsidR="00EF554F" w:rsidRPr="00DA382B" w:rsidTr="00956664">
        <w:trPr>
          <w:jc w:val="center"/>
        </w:trPr>
        <w:tc>
          <w:tcPr>
            <w:tcW w:w="3452" w:type="dxa"/>
          </w:tcPr>
          <w:p w:rsidR="00EF554F" w:rsidRPr="00CE2740" w:rsidRDefault="00EF554F" w:rsidP="00CE2740">
            <w:pPr>
              <w:jc w:val="right"/>
              <w:rPr>
                <w:b/>
                <w:bCs/>
              </w:rPr>
            </w:pPr>
            <w:r w:rsidRPr="00CE2740">
              <w:rPr>
                <w:b/>
                <w:bCs/>
              </w:rPr>
              <w:t>Estimated Cost Per School</w:t>
            </w:r>
          </w:p>
        </w:tc>
        <w:tc>
          <w:tcPr>
            <w:tcW w:w="1987" w:type="dxa"/>
          </w:tcPr>
          <w:p w:rsidR="00EF554F" w:rsidRPr="00CE2740" w:rsidRDefault="00EF554F" w:rsidP="00DA382B">
            <w:pPr>
              <w:jc w:val="both"/>
              <w:rPr>
                <w:b/>
                <w:bCs/>
              </w:rPr>
            </w:pPr>
          </w:p>
        </w:tc>
        <w:tc>
          <w:tcPr>
            <w:tcW w:w="1987" w:type="dxa"/>
            <w:gridSpan w:val="2"/>
          </w:tcPr>
          <w:p w:rsidR="00EF554F" w:rsidRPr="00CE2740" w:rsidRDefault="00EF554F" w:rsidP="00DA382B">
            <w:pPr>
              <w:jc w:val="both"/>
              <w:rPr>
                <w:b/>
                <w:bCs/>
              </w:rPr>
            </w:pPr>
          </w:p>
        </w:tc>
        <w:tc>
          <w:tcPr>
            <w:tcW w:w="1832" w:type="dxa"/>
          </w:tcPr>
          <w:p w:rsidR="00EF554F" w:rsidRPr="00CE2740" w:rsidRDefault="00EF554F" w:rsidP="00EF554F">
            <w:pPr>
              <w:jc w:val="center"/>
              <w:rPr>
                <w:b/>
                <w:bCs/>
              </w:rPr>
            </w:pPr>
            <w:r w:rsidRPr="00CE2740">
              <w:rPr>
                <w:b/>
                <w:bCs/>
              </w:rPr>
              <w:t>87,032</w:t>
            </w:r>
          </w:p>
        </w:tc>
      </w:tr>
    </w:tbl>
    <w:p w:rsidR="003F0FB3" w:rsidRPr="00563CFC" w:rsidRDefault="003F0FB3" w:rsidP="00563CFC">
      <w:pPr>
        <w:jc w:val="both"/>
        <w:rPr>
          <w:bCs/>
        </w:rPr>
      </w:pPr>
    </w:p>
    <w:p w:rsidR="00563CFC" w:rsidRDefault="00563CFC" w:rsidP="005E2993">
      <w:pPr>
        <w:pStyle w:val="ListParagraph"/>
        <w:numPr>
          <w:ilvl w:val="0"/>
          <w:numId w:val="23"/>
        </w:numPr>
        <w:ind w:left="0" w:firstLine="0"/>
        <w:jc w:val="both"/>
        <w:rPr>
          <w:bCs/>
        </w:rPr>
      </w:pPr>
      <w:r>
        <w:rPr>
          <w:bCs/>
        </w:rPr>
        <w:t xml:space="preserve">All schools would be equipped with the basic furniture (35 desks per classroom, teacher’s desk, blackboards, etc.), </w:t>
      </w:r>
      <w:r w:rsidR="00C0673C">
        <w:rPr>
          <w:bCs/>
        </w:rPr>
        <w:t xml:space="preserve">and where possible would also receive ICT.  Two ICT models have been developed.  The first would provide Mobile Computer Labs (which include 20 laptops stored in special wheeled-carts which provide </w:t>
      </w:r>
      <w:r w:rsidR="00264CB1">
        <w:rPr>
          <w:bCs/>
        </w:rPr>
        <w:t>overnight</w:t>
      </w:r>
      <w:r w:rsidR="00B31B3C">
        <w:rPr>
          <w:bCs/>
        </w:rPr>
        <w:t xml:space="preserve"> charging and security, LCD p</w:t>
      </w:r>
      <w:r w:rsidR="00C0673C">
        <w:rPr>
          <w:bCs/>
        </w:rPr>
        <w:t xml:space="preserve">rojector, wireless router to network computers and wireless 3G Internet connectivity where possible).  </w:t>
      </w:r>
      <w:r w:rsidR="00111B8C">
        <w:rPr>
          <w:bCs/>
        </w:rPr>
        <w:t xml:space="preserve">This option would greatly facilitate the integration of ICTs into regular classroom instruction to facilitate student mastery of core secondary subjects.  </w:t>
      </w:r>
      <w:r w:rsidR="00C0673C">
        <w:rPr>
          <w:bCs/>
        </w:rPr>
        <w:t xml:space="preserve">The second model is the more traditional ICT laboratory (separate from the classroom), which would need </w:t>
      </w:r>
      <w:r>
        <w:rPr>
          <w:bCs/>
        </w:rPr>
        <w:t>appropriate electrical systems, li</w:t>
      </w:r>
      <w:r w:rsidR="009D4918">
        <w:rPr>
          <w:bCs/>
        </w:rPr>
        <w:t>ghting, air conditioning and secu</w:t>
      </w:r>
      <w:r w:rsidR="00111B8C">
        <w:rPr>
          <w:bCs/>
        </w:rPr>
        <w:t>rity.  Each lab would receive 20</w:t>
      </w:r>
      <w:r w:rsidR="009D4918">
        <w:rPr>
          <w:bCs/>
        </w:rPr>
        <w:t xml:space="preserve"> </w:t>
      </w:r>
      <w:r w:rsidR="00111B8C">
        <w:rPr>
          <w:bCs/>
        </w:rPr>
        <w:t xml:space="preserve">“dumb” </w:t>
      </w:r>
      <w:r w:rsidR="009D4918">
        <w:rPr>
          <w:bCs/>
        </w:rPr>
        <w:t>computers</w:t>
      </w:r>
      <w:r w:rsidR="00111B8C">
        <w:rPr>
          <w:bCs/>
        </w:rPr>
        <w:t xml:space="preserve"> networked to a “smart” server</w:t>
      </w:r>
      <w:r w:rsidR="009D4918">
        <w:rPr>
          <w:bCs/>
        </w:rPr>
        <w:t>, LCD projector, appropriate furniture, shelving, etc.</w:t>
      </w:r>
      <w:r w:rsidR="00536FB3">
        <w:rPr>
          <w:bCs/>
        </w:rPr>
        <w:t xml:space="preserve"> </w:t>
      </w:r>
      <w:r w:rsidR="009D4918">
        <w:rPr>
          <w:bCs/>
        </w:rPr>
        <w:t xml:space="preserve"> </w:t>
      </w:r>
      <w:r w:rsidR="00111B8C">
        <w:rPr>
          <w:bCs/>
        </w:rPr>
        <w:t>This option is better for broader acquis</w:t>
      </w:r>
      <w:r w:rsidR="00536FB3">
        <w:rPr>
          <w:bCs/>
        </w:rPr>
        <w:t>ition of ICT skills, use of ICT</w:t>
      </w:r>
      <w:r w:rsidR="00111B8C">
        <w:rPr>
          <w:bCs/>
        </w:rPr>
        <w:t xml:space="preserve"> as part of vocational training, community and student-driven access to ICT.  The decision of which option to apply would be made at school-level, based on conversations with the school director, teachers and, perhaps, community members.  </w:t>
      </w:r>
      <w:r w:rsidR="009D4918">
        <w:rPr>
          <w:bCs/>
        </w:rPr>
        <w:t xml:space="preserve">The cost of </w:t>
      </w:r>
      <w:r w:rsidR="00FC441E">
        <w:rPr>
          <w:bCs/>
        </w:rPr>
        <w:t>ICT, furniture and initial teacher training is estimated at US$30,00</w:t>
      </w:r>
      <w:r w:rsidR="00043B9C">
        <w:rPr>
          <w:bCs/>
        </w:rPr>
        <w:t xml:space="preserve">0 per school (not including </w:t>
      </w:r>
      <w:r w:rsidR="00FC441E">
        <w:rPr>
          <w:bCs/>
        </w:rPr>
        <w:t>infrastr</w:t>
      </w:r>
      <w:r w:rsidR="00B922C0">
        <w:rPr>
          <w:bCs/>
        </w:rPr>
        <w:t>ucture), for a total of US$7.5 million</w:t>
      </w:r>
      <w:r w:rsidR="00FC441E">
        <w:rPr>
          <w:bCs/>
        </w:rPr>
        <w:t>.</w:t>
      </w:r>
    </w:p>
    <w:p w:rsidR="00F6245C" w:rsidRPr="00F6245C" w:rsidRDefault="00F6245C" w:rsidP="00F6245C">
      <w:pPr>
        <w:jc w:val="both"/>
        <w:rPr>
          <w:bCs/>
        </w:rPr>
      </w:pPr>
    </w:p>
    <w:p w:rsidR="00F6245C" w:rsidRDefault="00F6245C" w:rsidP="005E2993">
      <w:pPr>
        <w:pStyle w:val="ListParagraph"/>
        <w:numPr>
          <w:ilvl w:val="0"/>
          <w:numId w:val="23"/>
        </w:numPr>
        <w:ind w:left="0" w:firstLine="0"/>
        <w:jc w:val="both"/>
        <w:rPr>
          <w:bCs/>
        </w:rPr>
      </w:pPr>
      <w:r>
        <w:rPr>
          <w:bCs/>
        </w:rPr>
        <w:t>Maintenance of educational infrastructure would be organized, coordinated and implemented at the community level through Local School Boards (</w:t>
      </w:r>
      <w:r w:rsidRPr="00043B9C">
        <w:rPr>
          <w:bCs/>
          <w:i/>
        </w:rPr>
        <w:t>Consejos Locales de Educación</w:t>
      </w:r>
      <w:r>
        <w:rPr>
          <w:bCs/>
        </w:rPr>
        <w:t xml:space="preserve">), supported by MINED’s municipal authorities under the guidance of the Infrastructure Advisor in each Department.  Under this model, a maintenance plan would be prepared for each school, for which MINED would finance through its own budget the required materials and the community would provide labor.  </w:t>
      </w:r>
    </w:p>
    <w:p w:rsidR="004065AE" w:rsidRDefault="004065AE" w:rsidP="004065AE">
      <w:pPr>
        <w:pStyle w:val="ListParagraph"/>
        <w:rPr>
          <w:bCs/>
        </w:rPr>
      </w:pPr>
    </w:p>
    <w:p w:rsidR="00EE08E8" w:rsidRPr="00D468FC" w:rsidRDefault="00295C05" w:rsidP="00EE08E8">
      <w:pPr>
        <w:tabs>
          <w:tab w:val="left" w:pos="540"/>
        </w:tabs>
        <w:rPr>
          <w:bCs/>
        </w:rPr>
      </w:pPr>
      <w:r>
        <w:rPr>
          <w:bCs/>
        </w:rPr>
        <w:tab/>
      </w:r>
      <w:r w:rsidR="00EE08E8" w:rsidRPr="00D468FC">
        <w:rPr>
          <w:bCs/>
        </w:rPr>
        <w:t>2.2</w:t>
      </w:r>
      <w:r w:rsidR="00EE08E8" w:rsidRPr="00D468FC">
        <w:rPr>
          <w:bCs/>
        </w:rPr>
        <w:tab/>
        <w:t xml:space="preserve">Improving </w:t>
      </w:r>
      <w:r w:rsidR="00AD576B" w:rsidRPr="00526242">
        <w:rPr>
          <w:bCs/>
        </w:rPr>
        <w:t xml:space="preserve">Teacher Effectiveness </w:t>
      </w:r>
      <w:r w:rsidR="00AD576B">
        <w:rPr>
          <w:bCs/>
        </w:rPr>
        <w:t xml:space="preserve">in </w:t>
      </w:r>
      <w:r w:rsidR="00715CC0" w:rsidRPr="00D468FC">
        <w:rPr>
          <w:bCs/>
        </w:rPr>
        <w:t xml:space="preserve">Secondary </w:t>
      </w:r>
      <w:r w:rsidR="00AD576B">
        <w:rPr>
          <w:bCs/>
        </w:rPr>
        <w:t>Education</w:t>
      </w:r>
      <w:r w:rsidR="00AD576B" w:rsidRPr="00D468FC">
        <w:rPr>
          <w:bCs/>
        </w:rPr>
        <w:t xml:space="preserve"> </w:t>
      </w:r>
      <w:r w:rsidR="00EE08E8" w:rsidRPr="00D468FC">
        <w:rPr>
          <w:bCs/>
        </w:rPr>
        <w:t>(US$3.3 million)</w:t>
      </w:r>
    </w:p>
    <w:p w:rsidR="00EE08E8" w:rsidRPr="00390651" w:rsidRDefault="00EE08E8" w:rsidP="00EE08E8">
      <w:pPr>
        <w:pStyle w:val="ListParagraph"/>
        <w:rPr>
          <w:bCs/>
          <w:i/>
          <w:u w:val="single"/>
        </w:rPr>
      </w:pPr>
    </w:p>
    <w:p w:rsidR="00EE08E8" w:rsidRPr="00014AF4" w:rsidRDefault="002324D9" w:rsidP="00014AF4">
      <w:pPr>
        <w:pStyle w:val="ListParagraph"/>
        <w:numPr>
          <w:ilvl w:val="0"/>
          <w:numId w:val="23"/>
        </w:numPr>
        <w:ind w:left="0" w:firstLine="0"/>
        <w:jc w:val="both"/>
        <w:rPr>
          <w:bCs/>
        </w:rPr>
      </w:pPr>
      <w:r w:rsidRPr="00BB0EF0">
        <w:rPr>
          <w:bCs/>
        </w:rPr>
        <w:t>This sub-component</w:t>
      </w:r>
      <w:r w:rsidR="00A8714F" w:rsidRPr="00BB0EF0">
        <w:rPr>
          <w:bCs/>
        </w:rPr>
        <w:t xml:space="preserve"> would support</w:t>
      </w:r>
      <w:r w:rsidR="00A8714F">
        <w:rPr>
          <w:bCs/>
        </w:rPr>
        <w:t xml:space="preserve"> the improvement of teacher effectiveness in lower secondary education, through</w:t>
      </w:r>
      <w:r w:rsidR="00A8714F" w:rsidRPr="00BB0EF0">
        <w:rPr>
          <w:bCs/>
        </w:rPr>
        <w:t xml:space="preserve">: </w:t>
      </w:r>
      <w:r w:rsidR="00A8714F" w:rsidRPr="00CF63AB">
        <w:rPr>
          <w:bCs/>
        </w:rPr>
        <w:t xml:space="preserve">(i) the carrying </w:t>
      </w:r>
      <w:r w:rsidR="00A8714F">
        <w:rPr>
          <w:bCs/>
        </w:rPr>
        <w:t>out of training activities for s</w:t>
      </w:r>
      <w:r w:rsidR="00A8714F" w:rsidRPr="00CF63AB">
        <w:rPr>
          <w:bCs/>
        </w:rPr>
        <w:t xml:space="preserve">elected </w:t>
      </w:r>
      <w:r w:rsidR="00A8714F">
        <w:rPr>
          <w:bCs/>
        </w:rPr>
        <w:t>lower secondary education t</w:t>
      </w:r>
      <w:r w:rsidR="00A8714F" w:rsidRPr="00CF63AB">
        <w:rPr>
          <w:bCs/>
        </w:rPr>
        <w:t xml:space="preserve">eachers on the application of the Recipient’s new secondary lower education curriculum, including, </w:t>
      </w:r>
      <w:r w:rsidR="00A8714F" w:rsidRPr="00B33424">
        <w:rPr>
          <w:bCs/>
          <w:i/>
        </w:rPr>
        <w:t>inter alia</w:t>
      </w:r>
      <w:r w:rsidR="00A8714F" w:rsidRPr="00CF63AB">
        <w:rPr>
          <w:bCs/>
        </w:rPr>
        <w:t xml:space="preserve">: </w:t>
      </w:r>
      <w:r w:rsidR="00A8714F" w:rsidRPr="00772E36">
        <w:rPr>
          <w:bCs/>
        </w:rPr>
        <w:t xml:space="preserve"> </w:t>
      </w:r>
      <w:r w:rsidR="00A8714F" w:rsidRPr="00CF63AB">
        <w:rPr>
          <w:bCs/>
        </w:rPr>
        <w:t xml:space="preserve">(A) a certification-based training for </w:t>
      </w:r>
      <w:r w:rsidR="00A8714F">
        <w:rPr>
          <w:bCs/>
        </w:rPr>
        <w:t>selected lower secondary education</w:t>
      </w:r>
      <w:r w:rsidR="00A8714F" w:rsidRPr="00CF63AB">
        <w:rPr>
          <w:bCs/>
        </w:rPr>
        <w:t xml:space="preserve"> teacher</w:t>
      </w:r>
      <w:r w:rsidR="00A8714F">
        <w:rPr>
          <w:bCs/>
        </w:rPr>
        <w:t>s</w:t>
      </w:r>
      <w:r w:rsidR="00A8714F" w:rsidRPr="00CF63AB">
        <w:rPr>
          <w:bCs/>
        </w:rPr>
        <w:t xml:space="preserve">; (B) an in-service training program, focusing on, </w:t>
      </w:r>
      <w:r w:rsidR="00A8714F" w:rsidRPr="00794CBF">
        <w:rPr>
          <w:bCs/>
          <w:i/>
        </w:rPr>
        <w:t>inter alia</w:t>
      </w:r>
      <w:r w:rsidR="00A8714F" w:rsidRPr="00CF63AB">
        <w:rPr>
          <w:bCs/>
        </w:rPr>
        <w:t>, mathematics, natural sciences, langu</w:t>
      </w:r>
      <w:r w:rsidR="00A8714F">
        <w:rPr>
          <w:bCs/>
        </w:rPr>
        <w:t>age and literature for selected</w:t>
      </w:r>
      <w:r w:rsidR="00A8714F" w:rsidRPr="00CF63AB">
        <w:rPr>
          <w:bCs/>
        </w:rPr>
        <w:t xml:space="preserve"> </w:t>
      </w:r>
      <w:r w:rsidR="00A8714F">
        <w:rPr>
          <w:bCs/>
        </w:rPr>
        <w:t xml:space="preserve">lower </w:t>
      </w:r>
      <w:r w:rsidR="00A8714F" w:rsidRPr="00CF63AB">
        <w:rPr>
          <w:bCs/>
        </w:rPr>
        <w:t xml:space="preserve">secondary </w:t>
      </w:r>
      <w:r w:rsidR="00A8714F">
        <w:rPr>
          <w:bCs/>
        </w:rPr>
        <w:t xml:space="preserve">education </w:t>
      </w:r>
      <w:r w:rsidR="00A8714F" w:rsidRPr="00CF63AB">
        <w:rPr>
          <w:bCs/>
        </w:rPr>
        <w:t xml:space="preserve">teachers; (C) an  information and communication technology (ICT) training for </w:t>
      </w:r>
      <w:r w:rsidR="00A8714F">
        <w:rPr>
          <w:bCs/>
        </w:rPr>
        <w:t>selected</w:t>
      </w:r>
      <w:r w:rsidR="00A8714F" w:rsidRPr="00CF63AB">
        <w:rPr>
          <w:bCs/>
        </w:rPr>
        <w:t xml:space="preserve"> </w:t>
      </w:r>
      <w:r w:rsidR="00A8714F">
        <w:rPr>
          <w:bCs/>
        </w:rPr>
        <w:t xml:space="preserve">lower </w:t>
      </w:r>
      <w:r w:rsidR="00A8714F" w:rsidRPr="00CF63AB">
        <w:rPr>
          <w:bCs/>
        </w:rPr>
        <w:lastRenderedPageBreak/>
        <w:t xml:space="preserve">secondary </w:t>
      </w:r>
      <w:r w:rsidR="00A8714F">
        <w:rPr>
          <w:bCs/>
        </w:rPr>
        <w:t xml:space="preserve">education </w:t>
      </w:r>
      <w:r w:rsidR="00A8714F" w:rsidRPr="00CF63AB">
        <w:rPr>
          <w:bCs/>
        </w:rPr>
        <w:t xml:space="preserve">teachers working in </w:t>
      </w:r>
      <w:r w:rsidR="002C6AB4">
        <w:rPr>
          <w:bCs/>
        </w:rPr>
        <w:t xml:space="preserve">lower secondary education </w:t>
      </w:r>
      <w:r w:rsidR="00A8714F" w:rsidRPr="00CF63AB">
        <w:rPr>
          <w:bCs/>
        </w:rPr>
        <w:t>schools with access to ICT equipment; (D) the provision of training materials and supplies to the Ministry of Education’s monthly teachers’ workshops or TEPCEs (</w:t>
      </w:r>
      <w:r w:rsidR="00A8714F" w:rsidRPr="00CF63AB">
        <w:rPr>
          <w:bCs/>
          <w:i/>
        </w:rPr>
        <w:t>talleres de evaluación, programación y capacitación educativa</w:t>
      </w:r>
      <w:r w:rsidR="00A8714F" w:rsidRPr="00CF63AB">
        <w:rPr>
          <w:bCs/>
        </w:rPr>
        <w:t>); and (E) the preparation and production of reference materials, teaching materials and training of trainers materials;  and (ii)  the carrying out of a results-focused monitoring and evaluation plan for the learning and tra</w:t>
      </w:r>
      <w:r w:rsidR="00A8714F" w:rsidRPr="00772E36">
        <w:rPr>
          <w:bCs/>
        </w:rPr>
        <w:t xml:space="preserve">ining activities under </w:t>
      </w:r>
      <w:r w:rsidR="00A8714F">
        <w:rPr>
          <w:bCs/>
        </w:rPr>
        <w:t>Component</w:t>
      </w:r>
      <w:r w:rsidR="00A8714F" w:rsidRPr="00CF63AB">
        <w:rPr>
          <w:bCs/>
        </w:rPr>
        <w:t xml:space="preserve"> 2 of  the Project</w:t>
      </w:r>
      <w:r w:rsidRPr="00CF63AB">
        <w:rPr>
          <w:bCs/>
        </w:rPr>
        <w:t>.</w:t>
      </w:r>
      <w:r w:rsidR="00014AF4" w:rsidRPr="00772E36">
        <w:rPr>
          <w:sz w:val="22"/>
          <w:szCs w:val="22"/>
        </w:rPr>
        <w:t xml:space="preserve">  </w:t>
      </w:r>
    </w:p>
    <w:p w:rsidR="00EE08E8" w:rsidRDefault="00EE08E8" w:rsidP="00EE08E8">
      <w:pPr>
        <w:pStyle w:val="ListParagraph"/>
        <w:ind w:left="0"/>
        <w:jc w:val="both"/>
        <w:rPr>
          <w:bCs/>
        </w:rPr>
      </w:pPr>
    </w:p>
    <w:p w:rsidR="00EE08E8" w:rsidRPr="004F3611" w:rsidRDefault="00EE08E8" w:rsidP="005E2993">
      <w:pPr>
        <w:pStyle w:val="ListParagraph"/>
        <w:numPr>
          <w:ilvl w:val="0"/>
          <w:numId w:val="23"/>
        </w:numPr>
        <w:ind w:left="0" w:firstLine="0"/>
        <w:jc w:val="both"/>
        <w:rPr>
          <w:bCs/>
        </w:rPr>
      </w:pPr>
      <w:r w:rsidRPr="004452BB">
        <w:rPr>
          <w:bCs/>
        </w:rPr>
        <w:t xml:space="preserve">This </w:t>
      </w:r>
      <w:r>
        <w:rPr>
          <w:bCs/>
        </w:rPr>
        <w:t>Project aims to ensure that all lower secondary teachers working in the 43 targeted municipalities are certified and trained to use both the secondary level curriculum and new secondary level textbooks.  This would require all current secondary level teachers working without government-sanctioned teaching diplomas in the targeted municipalities to participate in certification programs provided by the University Faculties of Education.  In addition, subject-specific teacher training would be offered to all certified secondary teachers in the 43 targeted municipalities (mathematics, natural sciences, language/literature and the social sciences), with a focus on the recently revised curriculum and new textbooks to be distributed in 2013.  Thirdly, the Project would support two phases of training in the use of ICTs in the classroom in all schools (estimated 100) which w</w:t>
      </w:r>
      <w:r w:rsidR="00043B9C">
        <w:rPr>
          <w:bCs/>
        </w:rPr>
        <w:t>ill receive ICT labs under the P</w:t>
      </w:r>
      <w:r>
        <w:rPr>
          <w:bCs/>
        </w:rPr>
        <w:t>roject.  Finally, the Project would support monthly school-level teacher professional development provided through the TEPCEs (</w:t>
      </w:r>
      <w:r w:rsidRPr="008B6E3F">
        <w:rPr>
          <w:bCs/>
          <w:i/>
        </w:rPr>
        <w:t>Talleres de Evaluación, Programación y Capacitación Educativa)</w:t>
      </w:r>
      <w:r>
        <w:rPr>
          <w:bCs/>
          <w:i/>
        </w:rPr>
        <w:t xml:space="preserve">, </w:t>
      </w:r>
      <w:r w:rsidRPr="00A24901">
        <w:rPr>
          <w:bCs/>
        </w:rPr>
        <w:t>offered in all 153 municipalities nationwide</w:t>
      </w:r>
      <w:r>
        <w:rPr>
          <w:bCs/>
        </w:rPr>
        <w:t xml:space="preserve">. </w:t>
      </w:r>
    </w:p>
    <w:p w:rsidR="00EE08E8" w:rsidRDefault="00EE08E8" w:rsidP="00EE08E8">
      <w:pPr>
        <w:jc w:val="both"/>
        <w:rPr>
          <w:bCs/>
        </w:rPr>
      </w:pPr>
    </w:p>
    <w:p w:rsidR="00EE08E8" w:rsidRPr="00874A76" w:rsidRDefault="00EE08E8" w:rsidP="00EE08E8">
      <w:pPr>
        <w:jc w:val="both"/>
        <w:rPr>
          <w:bCs/>
          <w:u w:val="single"/>
        </w:rPr>
      </w:pPr>
      <w:r>
        <w:rPr>
          <w:bCs/>
          <w:u w:val="single"/>
        </w:rPr>
        <w:t xml:space="preserve">Secondary </w:t>
      </w:r>
      <w:r w:rsidRPr="00874A76">
        <w:rPr>
          <w:bCs/>
          <w:u w:val="single"/>
        </w:rPr>
        <w:t>Teacher Certification-based Training</w:t>
      </w:r>
    </w:p>
    <w:p w:rsidR="00EE08E8" w:rsidRPr="004F3611" w:rsidRDefault="00EE08E8" w:rsidP="005E2993">
      <w:pPr>
        <w:pStyle w:val="ListParagraph"/>
        <w:numPr>
          <w:ilvl w:val="0"/>
          <w:numId w:val="23"/>
        </w:numPr>
        <w:ind w:left="0" w:firstLine="0"/>
        <w:jc w:val="both"/>
        <w:rPr>
          <w:bCs/>
        </w:rPr>
      </w:pPr>
      <w:r w:rsidRPr="004F3611">
        <w:rPr>
          <w:bCs/>
        </w:rPr>
        <w:t>With r</w:t>
      </w:r>
      <w:r>
        <w:rPr>
          <w:bCs/>
        </w:rPr>
        <w:t>esp</w:t>
      </w:r>
      <w:r w:rsidRPr="004F3611">
        <w:rPr>
          <w:bCs/>
        </w:rPr>
        <w:t>ect to the certification program, there are approximately 4,450 uncertified secondary teachers (so-called “</w:t>
      </w:r>
      <w:r w:rsidRPr="00485A4B">
        <w:rPr>
          <w:bCs/>
          <w:i/>
        </w:rPr>
        <w:t>empíricos</w:t>
      </w:r>
      <w:r w:rsidRPr="004F3611">
        <w:rPr>
          <w:bCs/>
        </w:rPr>
        <w:t>”) in the country</w:t>
      </w:r>
      <w:r w:rsidR="00BB0EF0">
        <w:rPr>
          <w:bCs/>
        </w:rPr>
        <w:t>.  1,000</w:t>
      </w:r>
      <w:r w:rsidR="002E70E5">
        <w:rPr>
          <w:bCs/>
        </w:rPr>
        <w:t xml:space="preserve"> </w:t>
      </w:r>
      <w:r>
        <w:rPr>
          <w:bCs/>
        </w:rPr>
        <w:t xml:space="preserve">uncertified teachers in the 43 municipalities </w:t>
      </w:r>
      <w:r w:rsidR="002E70E5">
        <w:rPr>
          <w:bCs/>
        </w:rPr>
        <w:t>would</w:t>
      </w:r>
      <w:r w:rsidRPr="004F3611">
        <w:rPr>
          <w:bCs/>
        </w:rPr>
        <w:t xml:space="preserve"> be covered under this sub-compo</w:t>
      </w:r>
      <w:r w:rsidR="00CC652D">
        <w:rPr>
          <w:bCs/>
        </w:rPr>
        <w:t>nent.  Under current law, only u</w:t>
      </w:r>
      <w:r w:rsidRPr="004F3611">
        <w:rPr>
          <w:bCs/>
        </w:rPr>
        <w:t xml:space="preserve">niversities with </w:t>
      </w:r>
      <w:r w:rsidR="00CC652D">
        <w:rPr>
          <w:bCs/>
        </w:rPr>
        <w:t>f</w:t>
      </w:r>
      <w:r>
        <w:rPr>
          <w:bCs/>
        </w:rPr>
        <w:t>aculties</w:t>
      </w:r>
      <w:r w:rsidR="00CC652D">
        <w:rPr>
          <w:bCs/>
        </w:rPr>
        <w:t xml:space="preserve"> of e</w:t>
      </w:r>
      <w:r w:rsidRPr="004F3611">
        <w:rPr>
          <w:bCs/>
        </w:rPr>
        <w:t>ducation have the authority to confer teaching diplomas at the secondary level (</w:t>
      </w:r>
      <w:r>
        <w:rPr>
          <w:bCs/>
        </w:rPr>
        <w:t>TTIs</w:t>
      </w:r>
      <w:r w:rsidRPr="004F3611">
        <w:rPr>
          <w:bCs/>
        </w:rPr>
        <w:t xml:space="preserve"> </w:t>
      </w:r>
      <w:r>
        <w:rPr>
          <w:bCs/>
        </w:rPr>
        <w:t xml:space="preserve">do </w:t>
      </w:r>
      <w:r w:rsidRPr="004F3611">
        <w:rPr>
          <w:bCs/>
        </w:rPr>
        <w:t>not)</w:t>
      </w:r>
      <w:r>
        <w:rPr>
          <w:bCs/>
        </w:rPr>
        <w:t>.  Therefore, MINED would</w:t>
      </w:r>
      <w:r w:rsidRPr="004F3611">
        <w:rPr>
          <w:bCs/>
        </w:rPr>
        <w:t xml:space="preserve"> work with a coalition of universities, based on their geographical areas of operation, to provide certification-based training on a part-time basis to all uncertified </w:t>
      </w:r>
      <w:r>
        <w:rPr>
          <w:bCs/>
        </w:rPr>
        <w:t xml:space="preserve">secondary </w:t>
      </w:r>
      <w:r w:rsidRPr="004F3611">
        <w:rPr>
          <w:bCs/>
        </w:rPr>
        <w:t>teachers</w:t>
      </w:r>
      <w:r>
        <w:rPr>
          <w:bCs/>
        </w:rPr>
        <w:t xml:space="preserve"> in the 43 municipalities</w:t>
      </w:r>
      <w:r w:rsidRPr="004F3611">
        <w:rPr>
          <w:bCs/>
        </w:rPr>
        <w:t xml:space="preserve">.  </w:t>
      </w:r>
      <w:r>
        <w:rPr>
          <w:bCs/>
        </w:rPr>
        <w:t>Classes would</w:t>
      </w:r>
      <w:r w:rsidRPr="004F3611">
        <w:rPr>
          <w:bCs/>
        </w:rPr>
        <w:t xml:space="preserve"> be offered on Saturdays at regional training centers </w:t>
      </w:r>
      <w:r w:rsidR="00CC652D">
        <w:rPr>
          <w:bCs/>
        </w:rPr>
        <w:t>operated by the u</w:t>
      </w:r>
      <w:r>
        <w:rPr>
          <w:bCs/>
        </w:rPr>
        <w:t xml:space="preserve">niversities </w:t>
      </w:r>
      <w:r w:rsidRPr="004F3611">
        <w:rPr>
          <w:bCs/>
        </w:rPr>
        <w:t xml:space="preserve">relatively close to teachers’ homes, with additional classes offered during vacation times, over a three-year period.  The Project would finance all direct training costs (trainers, materials, meals, etc.), </w:t>
      </w:r>
      <w:r>
        <w:rPr>
          <w:bCs/>
        </w:rPr>
        <w:t xml:space="preserve">including teachers’ </w:t>
      </w:r>
      <w:r w:rsidRPr="004F3611">
        <w:rPr>
          <w:bCs/>
        </w:rPr>
        <w:t>transportation</w:t>
      </w:r>
      <w:r>
        <w:rPr>
          <w:bCs/>
        </w:rPr>
        <w:t xml:space="preserve"> costs to training centers and M&amp;E.</w:t>
      </w:r>
    </w:p>
    <w:p w:rsidR="00EE08E8" w:rsidRPr="004F3611" w:rsidRDefault="00EE08E8" w:rsidP="00EE08E8">
      <w:pPr>
        <w:jc w:val="both"/>
        <w:rPr>
          <w:bCs/>
        </w:rPr>
      </w:pPr>
    </w:p>
    <w:p w:rsidR="00760071" w:rsidRPr="00266295" w:rsidRDefault="00EE08E8" w:rsidP="00EE08E8">
      <w:pPr>
        <w:pStyle w:val="ListParagraph"/>
        <w:numPr>
          <w:ilvl w:val="0"/>
          <w:numId w:val="23"/>
        </w:numPr>
        <w:ind w:left="0" w:firstLine="0"/>
        <w:jc w:val="both"/>
        <w:rPr>
          <w:bCs/>
        </w:rPr>
      </w:pPr>
      <w:r w:rsidRPr="004F3611">
        <w:rPr>
          <w:bCs/>
        </w:rPr>
        <w:t xml:space="preserve">A key feature of this training is that teachers would be certified to teach at least two subjects (e.g. math and natural sciences, or social studies and language), so that the full secondary curriculum may be offered even in small schools with relatively few students and teachers.  This </w:t>
      </w:r>
      <w:r>
        <w:rPr>
          <w:bCs/>
        </w:rPr>
        <w:t>would require development of a “</w:t>
      </w:r>
      <w:r w:rsidRPr="004F3611">
        <w:rPr>
          <w:bCs/>
        </w:rPr>
        <w:t>hybrid</w:t>
      </w:r>
      <w:r>
        <w:rPr>
          <w:bCs/>
        </w:rPr>
        <w:t>”</w:t>
      </w:r>
      <w:r w:rsidRPr="004F3611">
        <w:rPr>
          <w:bCs/>
        </w:rPr>
        <w:t xml:space="preserve"> study programs </w:t>
      </w:r>
      <w:r>
        <w:rPr>
          <w:bCs/>
        </w:rPr>
        <w:t>by the U</w:t>
      </w:r>
      <w:r w:rsidRPr="004F3611">
        <w:rPr>
          <w:bCs/>
        </w:rPr>
        <w:t xml:space="preserve">niversities in partnership with MINED, technical assistance, training of trainers, preparation and production of reference and teaching materials, and development of a results-focused M&amp;E plan for each training institution.  Pedagogical advisors at the municipal level would be aware of the teachers enrolled in this program in their area, and would monitor their attendance of training events and support the application of their training in the classroom. </w:t>
      </w:r>
      <w:r>
        <w:rPr>
          <w:bCs/>
        </w:rPr>
        <w:t xml:space="preserve"> </w:t>
      </w:r>
      <w:r w:rsidRPr="004F3611">
        <w:rPr>
          <w:bCs/>
        </w:rPr>
        <w:t>The Project would finance all direct costs associated with these activities.  MINED estimates the cost per certified teacher at US$</w:t>
      </w:r>
      <w:r>
        <w:rPr>
          <w:bCs/>
        </w:rPr>
        <w:t>1,760</w:t>
      </w:r>
      <w:r w:rsidRPr="00C90FBB">
        <w:rPr>
          <w:bCs/>
        </w:rPr>
        <w:t>,</w:t>
      </w:r>
      <w:r w:rsidRPr="004F3611">
        <w:rPr>
          <w:bCs/>
        </w:rPr>
        <w:t xml:space="preserve"> for a total of US$1.</w:t>
      </w:r>
      <w:r>
        <w:rPr>
          <w:bCs/>
        </w:rPr>
        <w:t>76</w:t>
      </w:r>
      <w:r w:rsidR="00CC652D">
        <w:rPr>
          <w:bCs/>
        </w:rPr>
        <w:t xml:space="preserve"> million</w:t>
      </w:r>
      <w:r w:rsidRPr="004F3611">
        <w:rPr>
          <w:bCs/>
        </w:rPr>
        <w:t xml:space="preserve">.  Upon certification, lower secondary teachers would </w:t>
      </w:r>
      <w:r w:rsidRPr="004F3611">
        <w:rPr>
          <w:bCs/>
        </w:rPr>
        <w:lastRenderedPageBreak/>
        <w:t>receive a salary increase equivalent to US$50/year, which the GoN would pay for as part of their contribution to the Project (total estim</w:t>
      </w:r>
      <w:r>
        <w:rPr>
          <w:bCs/>
        </w:rPr>
        <w:t xml:space="preserve">ated cost of US$76,500). </w:t>
      </w:r>
    </w:p>
    <w:p w:rsidR="002A1067" w:rsidRDefault="002A1067" w:rsidP="00EE08E8">
      <w:pPr>
        <w:jc w:val="both"/>
        <w:rPr>
          <w:bCs/>
          <w:u w:val="single"/>
        </w:rPr>
      </w:pPr>
    </w:p>
    <w:p w:rsidR="00EE08E8" w:rsidRPr="00874A76" w:rsidRDefault="00EE08E8" w:rsidP="00EE08E8">
      <w:pPr>
        <w:jc w:val="both"/>
        <w:rPr>
          <w:bCs/>
          <w:u w:val="single"/>
        </w:rPr>
      </w:pPr>
      <w:r w:rsidRPr="004065AE">
        <w:rPr>
          <w:bCs/>
          <w:u w:val="single"/>
        </w:rPr>
        <w:t>Subject-specific In-service Teacher Training</w:t>
      </w:r>
    </w:p>
    <w:p w:rsidR="00EE08E8" w:rsidRPr="009D30F4" w:rsidRDefault="00EE08E8" w:rsidP="005E2993">
      <w:pPr>
        <w:pStyle w:val="ListParagraph"/>
        <w:numPr>
          <w:ilvl w:val="0"/>
          <w:numId w:val="23"/>
        </w:numPr>
        <w:ind w:left="0" w:firstLine="0"/>
        <w:jc w:val="both"/>
        <w:rPr>
          <w:bCs/>
        </w:rPr>
      </w:pPr>
      <w:r w:rsidRPr="004F3611">
        <w:rPr>
          <w:bCs/>
        </w:rPr>
        <w:t>For the subject-specific in-service teacher training, the Project would support training of trainers, development and reproduction of training materials, cours</w:t>
      </w:r>
      <w:r>
        <w:rPr>
          <w:bCs/>
        </w:rPr>
        <w:t>e implementation (trainers, transportation</w:t>
      </w:r>
      <w:r w:rsidRPr="004F3611">
        <w:rPr>
          <w:bCs/>
        </w:rPr>
        <w:t>,</w:t>
      </w:r>
      <w:r>
        <w:rPr>
          <w:bCs/>
        </w:rPr>
        <w:t xml:space="preserve"> per diem</w:t>
      </w:r>
      <w:r w:rsidRPr="004F3611">
        <w:rPr>
          <w:bCs/>
        </w:rPr>
        <w:t xml:space="preserve"> etc.), pedagogical support, monitoring and evaluation.  </w:t>
      </w:r>
      <w:r>
        <w:rPr>
          <w:bCs/>
        </w:rPr>
        <w:t>The training methodology would build on the existing concept of “</w:t>
      </w:r>
      <w:r w:rsidRPr="004065AE">
        <w:rPr>
          <w:bCs/>
          <w:i/>
        </w:rPr>
        <w:t>núcleos de profesionalización</w:t>
      </w:r>
      <w:r w:rsidR="00EE2ABC">
        <w:rPr>
          <w:bCs/>
        </w:rPr>
        <w:t>,”</w:t>
      </w:r>
      <w:r>
        <w:rPr>
          <w:bCs/>
        </w:rPr>
        <w:t xml:space="preserve"> through which Pedagogical Advisors travel to nearby </w:t>
      </w:r>
      <w:r w:rsidRPr="004065AE">
        <w:rPr>
          <w:bCs/>
          <w:i/>
        </w:rPr>
        <w:t>núcleos</w:t>
      </w:r>
      <w:r>
        <w:rPr>
          <w:bCs/>
        </w:rPr>
        <w:t xml:space="preserve"> to offer teacher certification programs on weekends and during school vacation periods.  Under this new concept, “training circles” (</w:t>
      </w:r>
      <w:r w:rsidRPr="004065AE">
        <w:rPr>
          <w:bCs/>
          <w:i/>
        </w:rPr>
        <w:t>círculos de actualización</w:t>
      </w:r>
      <w:r>
        <w:rPr>
          <w:bCs/>
        </w:rPr>
        <w:t>) would be established under each TTI corresponding to their geographic coverage area.  Subject-specific teachers from surrounding secondary schools would come to a convenient venue (probably a municipal-level secondary school) on an iterative basis to participate in 20 days</w:t>
      </w:r>
      <w:r w:rsidR="00CC652D">
        <w:rPr>
          <w:bCs/>
        </w:rPr>
        <w:t xml:space="preserve"> of</w:t>
      </w:r>
      <w:r>
        <w:rPr>
          <w:bCs/>
        </w:rPr>
        <w:t xml:space="preserve"> training and knowledge-sharing</w:t>
      </w:r>
      <w:r w:rsidR="00CC652D">
        <w:rPr>
          <w:bCs/>
        </w:rPr>
        <w:t xml:space="preserve"> activities over the course of two</w:t>
      </w:r>
      <w:r>
        <w:rPr>
          <w:bCs/>
        </w:rPr>
        <w:t xml:space="preserve"> years, focused on application of the new curriculum and textbooks.  Training would begin in 2014, after textbooks are distributed to all teachers in 2013. </w:t>
      </w:r>
      <w:r w:rsidRPr="004F3611">
        <w:rPr>
          <w:bCs/>
        </w:rPr>
        <w:t>These c</w:t>
      </w:r>
      <w:r>
        <w:rPr>
          <w:bCs/>
        </w:rPr>
        <w:t>ourses would be offered primarily by pedagogical advisors, supported by teachers from the TTI</w:t>
      </w:r>
      <w:r w:rsidRPr="004F3611">
        <w:rPr>
          <w:bCs/>
        </w:rPr>
        <w:t xml:space="preserve">, </w:t>
      </w:r>
      <w:r>
        <w:rPr>
          <w:bCs/>
        </w:rPr>
        <w:t>along with TEPCEs coordinators.  These trainers would receive additional training beforehand from a core group of lead trainers selected from both Universities and the TTIs.</w:t>
      </w:r>
      <w:r w:rsidRPr="004F3611">
        <w:rPr>
          <w:bCs/>
        </w:rPr>
        <w:t xml:space="preserve"> </w:t>
      </w:r>
      <w:r>
        <w:rPr>
          <w:bCs/>
        </w:rPr>
        <w:t xml:space="preserve"> </w:t>
      </w:r>
      <w:r w:rsidRPr="004F3611">
        <w:rPr>
          <w:bCs/>
        </w:rPr>
        <w:t xml:space="preserve">The table below provides the estimated breakdown of training by discipline.  </w:t>
      </w:r>
    </w:p>
    <w:p w:rsidR="00EE08E8" w:rsidRPr="009D30F4" w:rsidRDefault="00EE08E8" w:rsidP="00EE08E8">
      <w:pPr>
        <w:pStyle w:val="ListParagraph"/>
        <w:ind w:left="0"/>
        <w:jc w:val="both"/>
        <w:rPr>
          <w:bCs/>
        </w:rPr>
      </w:pPr>
    </w:p>
    <w:p w:rsidR="00F63384" w:rsidRDefault="00EC4B95" w:rsidP="00EE08E8">
      <w:pPr>
        <w:jc w:val="center"/>
        <w:rPr>
          <w:b/>
          <w:bCs/>
        </w:rPr>
      </w:pPr>
      <w:r>
        <w:rPr>
          <w:b/>
          <w:bCs/>
        </w:rPr>
        <w:t>Table 2.11</w:t>
      </w:r>
      <w:r w:rsidR="00A15F4C">
        <w:rPr>
          <w:b/>
          <w:bCs/>
        </w:rPr>
        <w:t xml:space="preserve">: </w:t>
      </w:r>
      <w:r w:rsidR="00EE08E8" w:rsidRPr="00485A4B">
        <w:rPr>
          <w:b/>
          <w:bCs/>
        </w:rPr>
        <w:t xml:space="preserve">Number of Training </w:t>
      </w:r>
    </w:p>
    <w:p w:rsidR="00EE08E8" w:rsidRDefault="00EE08E8" w:rsidP="00EE08E8">
      <w:pPr>
        <w:jc w:val="center"/>
        <w:rPr>
          <w:b/>
          <w:bCs/>
        </w:rPr>
      </w:pPr>
      <w:r w:rsidRPr="00485A4B">
        <w:rPr>
          <w:b/>
          <w:bCs/>
        </w:rPr>
        <w:t>Beneficiaries by Discipline</w:t>
      </w:r>
    </w:p>
    <w:tbl>
      <w:tblPr>
        <w:tblStyle w:val="TableGrid"/>
        <w:tblW w:w="0" w:type="auto"/>
        <w:jc w:val="center"/>
        <w:tblLook w:val="04A0" w:firstRow="1" w:lastRow="0" w:firstColumn="1" w:lastColumn="0" w:noHBand="0" w:noVBand="1"/>
      </w:tblPr>
      <w:tblGrid>
        <w:gridCol w:w="2575"/>
        <w:gridCol w:w="1589"/>
      </w:tblGrid>
      <w:tr w:rsidR="00EE08E8" w:rsidRPr="009D30F4">
        <w:trPr>
          <w:jc w:val="center"/>
        </w:trPr>
        <w:tc>
          <w:tcPr>
            <w:tcW w:w="0" w:type="auto"/>
          </w:tcPr>
          <w:p w:rsidR="00EE08E8" w:rsidRPr="00485A4B" w:rsidRDefault="00EE08E8" w:rsidP="00485A4B">
            <w:pPr>
              <w:jc w:val="center"/>
              <w:rPr>
                <w:b/>
                <w:bCs/>
              </w:rPr>
            </w:pPr>
            <w:r w:rsidRPr="00485A4B">
              <w:rPr>
                <w:b/>
                <w:bCs/>
              </w:rPr>
              <w:t>Subject</w:t>
            </w:r>
          </w:p>
        </w:tc>
        <w:tc>
          <w:tcPr>
            <w:tcW w:w="0" w:type="auto"/>
          </w:tcPr>
          <w:p w:rsidR="00EE08E8" w:rsidRPr="00485A4B" w:rsidRDefault="00EE08E8" w:rsidP="00485A4B">
            <w:pPr>
              <w:jc w:val="center"/>
              <w:rPr>
                <w:b/>
                <w:bCs/>
              </w:rPr>
            </w:pPr>
            <w:r w:rsidRPr="00485A4B">
              <w:rPr>
                <w:b/>
                <w:bCs/>
              </w:rPr>
              <w:t># of Teachers</w:t>
            </w:r>
          </w:p>
        </w:tc>
      </w:tr>
      <w:tr w:rsidR="00EE08E8" w:rsidRPr="009D30F4">
        <w:trPr>
          <w:jc w:val="center"/>
        </w:trPr>
        <w:tc>
          <w:tcPr>
            <w:tcW w:w="0" w:type="auto"/>
          </w:tcPr>
          <w:p w:rsidR="00EE08E8" w:rsidRPr="009D30F4" w:rsidRDefault="00EE08E8" w:rsidP="002E70E5">
            <w:pPr>
              <w:jc w:val="both"/>
              <w:rPr>
                <w:bCs/>
              </w:rPr>
            </w:pPr>
            <w:r w:rsidRPr="009D30F4">
              <w:rPr>
                <w:bCs/>
              </w:rPr>
              <w:t>Social Sciences</w:t>
            </w:r>
          </w:p>
        </w:tc>
        <w:tc>
          <w:tcPr>
            <w:tcW w:w="0" w:type="auto"/>
          </w:tcPr>
          <w:p w:rsidR="00EE08E8" w:rsidRPr="009D30F4" w:rsidRDefault="00FA7BEA" w:rsidP="002E70E5">
            <w:pPr>
              <w:jc w:val="center"/>
              <w:rPr>
                <w:bCs/>
              </w:rPr>
            </w:pPr>
            <w:r>
              <w:rPr>
                <w:bCs/>
              </w:rPr>
              <w:t>410</w:t>
            </w:r>
          </w:p>
        </w:tc>
      </w:tr>
      <w:tr w:rsidR="00EE08E8" w:rsidRPr="009D30F4">
        <w:trPr>
          <w:jc w:val="center"/>
        </w:trPr>
        <w:tc>
          <w:tcPr>
            <w:tcW w:w="0" w:type="auto"/>
          </w:tcPr>
          <w:p w:rsidR="00EE08E8" w:rsidRPr="009D30F4" w:rsidRDefault="00EE08E8" w:rsidP="002E70E5">
            <w:pPr>
              <w:jc w:val="both"/>
              <w:rPr>
                <w:bCs/>
              </w:rPr>
            </w:pPr>
            <w:r w:rsidRPr="009D30F4">
              <w:rPr>
                <w:bCs/>
              </w:rPr>
              <w:t>Language and Literature</w:t>
            </w:r>
          </w:p>
        </w:tc>
        <w:tc>
          <w:tcPr>
            <w:tcW w:w="0" w:type="auto"/>
          </w:tcPr>
          <w:p w:rsidR="00EE08E8" w:rsidRPr="009D30F4" w:rsidRDefault="00FA7BEA" w:rsidP="002E70E5">
            <w:pPr>
              <w:jc w:val="center"/>
              <w:rPr>
                <w:bCs/>
              </w:rPr>
            </w:pPr>
            <w:r>
              <w:rPr>
                <w:bCs/>
              </w:rPr>
              <w:t>410</w:t>
            </w:r>
          </w:p>
        </w:tc>
      </w:tr>
      <w:tr w:rsidR="00EE08E8" w:rsidRPr="009D30F4">
        <w:trPr>
          <w:jc w:val="center"/>
        </w:trPr>
        <w:tc>
          <w:tcPr>
            <w:tcW w:w="0" w:type="auto"/>
          </w:tcPr>
          <w:p w:rsidR="00EE08E8" w:rsidRPr="009D30F4" w:rsidRDefault="00EE08E8" w:rsidP="002E70E5">
            <w:pPr>
              <w:jc w:val="both"/>
              <w:rPr>
                <w:bCs/>
              </w:rPr>
            </w:pPr>
            <w:r w:rsidRPr="009D30F4">
              <w:rPr>
                <w:bCs/>
              </w:rPr>
              <w:t>Mathematics</w:t>
            </w:r>
          </w:p>
        </w:tc>
        <w:tc>
          <w:tcPr>
            <w:tcW w:w="0" w:type="auto"/>
          </w:tcPr>
          <w:p w:rsidR="00EE08E8" w:rsidRPr="009D30F4" w:rsidRDefault="00FA7BEA" w:rsidP="002E70E5">
            <w:pPr>
              <w:jc w:val="center"/>
              <w:rPr>
                <w:bCs/>
              </w:rPr>
            </w:pPr>
            <w:r>
              <w:rPr>
                <w:bCs/>
              </w:rPr>
              <w:t>410</w:t>
            </w:r>
          </w:p>
        </w:tc>
      </w:tr>
      <w:tr w:rsidR="00EE08E8" w:rsidRPr="009D30F4">
        <w:trPr>
          <w:jc w:val="center"/>
        </w:trPr>
        <w:tc>
          <w:tcPr>
            <w:tcW w:w="0" w:type="auto"/>
          </w:tcPr>
          <w:p w:rsidR="00EE08E8" w:rsidRPr="009D30F4" w:rsidRDefault="00EE08E8" w:rsidP="002E70E5">
            <w:pPr>
              <w:jc w:val="both"/>
              <w:rPr>
                <w:bCs/>
              </w:rPr>
            </w:pPr>
            <w:r w:rsidRPr="009D30F4">
              <w:rPr>
                <w:bCs/>
              </w:rPr>
              <w:t>Natural Sciences</w:t>
            </w:r>
          </w:p>
        </w:tc>
        <w:tc>
          <w:tcPr>
            <w:tcW w:w="0" w:type="auto"/>
          </w:tcPr>
          <w:p w:rsidR="00EE08E8" w:rsidRPr="009D30F4" w:rsidRDefault="00FA7BEA" w:rsidP="002E70E5">
            <w:pPr>
              <w:jc w:val="center"/>
              <w:rPr>
                <w:bCs/>
              </w:rPr>
            </w:pPr>
            <w:r>
              <w:rPr>
                <w:bCs/>
              </w:rPr>
              <w:t>410</w:t>
            </w:r>
          </w:p>
        </w:tc>
      </w:tr>
      <w:tr w:rsidR="00EE08E8" w:rsidRPr="009D30F4">
        <w:trPr>
          <w:jc w:val="center"/>
        </w:trPr>
        <w:tc>
          <w:tcPr>
            <w:tcW w:w="0" w:type="auto"/>
          </w:tcPr>
          <w:p w:rsidR="00EE08E8" w:rsidRPr="00A54B59" w:rsidRDefault="00EE08E8" w:rsidP="002E70E5">
            <w:pPr>
              <w:jc w:val="center"/>
              <w:rPr>
                <w:b/>
                <w:bCs/>
              </w:rPr>
            </w:pPr>
            <w:r w:rsidRPr="00A54B59">
              <w:rPr>
                <w:b/>
                <w:bCs/>
              </w:rPr>
              <w:t>Total</w:t>
            </w:r>
          </w:p>
        </w:tc>
        <w:tc>
          <w:tcPr>
            <w:tcW w:w="0" w:type="auto"/>
          </w:tcPr>
          <w:p w:rsidR="00EE08E8" w:rsidRPr="00A54B59" w:rsidRDefault="00EE08E8" w:rsidP="00FA7BEA">
            <w:pPr>
              <w:jc w:val="center"/>
              <w:rPr>
                <w:b/>
                <w:bCs/>
              </w:rPr>
            </w:pPr>
            <w:r w:rsidRPr="00A54B59">
              <w:rPr>
                <w:b/>
                <w:bCs/>
              </w:rPr>
              <w:t>1,</w:t>
            </w:r>
            <w:r w:rsidR="00FA7BEA">
              <w:rPr>
                <w:b/>
                <w:bCs/>
              </w:rPr>
              <w:t>64</w:t>
            </w:r>
            <w:r w:rsidRPr="00A54B59">
              <w:rPr>
                <w:b/>
                <w:bCs/>
              </w:rPr>
              <w:t>0</w:t>
            </w:r>
          </w:p>
        </w:tc>
      </w:tr>
    </w:tbl>
    <w:p w:rsidR="00E863B8" w:rsidRDefault="00E863B8" w:rsidP="00EE08E8">
      <w:pPr>
        <w:jc w:val="both"/>
        <w:rPr>
          <w:bCs/>
          <w:u w:val="single"/>
        </w:rPr>
      </w:pPr>
    </w:p>
    <w:p w:rsidR="00EE08E8" w:rsidRPr="009D30F4" w:rsidRDefault="00EE08E8" w:rsidP="00EE08E8">
      <w:pPr>
        <w:jc w:val="both"/>
        <w:rPr>
          <w:bCs/>
          <w:u w:val="single"/>
        </w:rPr>
      </w:pPr>
      <w:r w:rsidRPr="009D30F4">
        <w:rPr>
          <w:bCs/>
          <w:u w:val="single"/>
        </w:rPr>
        <w:t>Training to Use ICT</w:t>
      </w:r>
    </w:p>
    <w:p w:rsidR="00EE08E8" w:rsidRPr="009D30F4" w:rsidRDefault="00EE08E8" w:rsidP="005E2993">
      <w:pPr>
        <w:pStyle w:val="ListParagraph"/>
        <w:numPr>
          <w:ilvl w:val="0"/>
          <w:numId w:val="23"/>
        </w:numPr>
        <w:ind w:left="0" w:firstLine="0"/>
        <w:jc w:val="both"/>
        <w:rPr>
          <w:bCs/>
        </w:rPr>
      </w:pPr>
      <w:r w:rsidRPr="009D30F4">
        <w:rPr>
          <w:bCs/>
        </w:rPr>
        <w:t xml:space="preserve">In addition, for all schools which receive a computer lab under the Project (estimated at 100), </w:t>
      </w:r>
      <w:r w:rsidR="00392F0B">
        <w:rPr>
          <w:bCs/>
        </w:rPr>
        <w:t>at least five</w:t>
      </w:r>
      <w:r w:rsidRPr="00B17E43">
        <w:rPr>
          <w:bCs/>
        </w:rPr>
        <w:t xml:space="preserve"> teachers per school would participate in two pha</w:t>
      </w:r>
      <w:r w:rsidR="00392F0B">
        <w:rPr>
          <w:bCs/>
        </w:rPr>
        <w:t>ses of ICT training: the first five</w:t>
      </w:r>
      <w:r w:rsidRPr="00B17E43">
        <w:rPr>
          <w:bCs/>
        </w:rPr>
        <w:t>-day training is for teachers to acquire basic ICT</w:t>
      </w:r>
      <w:r w:rsidRPr="009D30F4">
        <w:rPr>
          <w:bCs/>
        </w:rPr>
        <w:t xml:space="preserve"> literacy (word processing, Internet navigation, Powerpoint, etc.), while the </w:t>
      </w:r>
      <w:r w:rsidR="00392F0B">
        <w:rPr>
          <w:bCs/>
        </w:rPr>
        <w:t>second five</w:t>
      </w:r>
      <w:r w:rsidRPr="00B17E43">
        <w:rPr>
          <w:bCs/>
        </w:rPr>
        <w:t>-day training would focus</w:t>
      </w:r>
      <w:r w:rsidRPr="009D30F4">
        <w:rPr>
          <w:bCs/>
        </w:rPr>
        <w:t xml:space="preserve"> on the use of technology for instruction of core secondary level subjects.   Training would be provided at the school level by ICT Teachers, so that teachers would be trained while using the same ICTs they would use for teaching.  The two phases of training for 500 teachers, which would include distribution of subject-specific educational software, are estimated to cost US$</w:t>
      </w:r>
      <w:r>
        <w:rPr>
          <w:bCs/>
        </w:rPr>
        <w:t>87</w:t>
      </w:r>
      <w:r w:rsidRPr="009D30F4">
        <w:rPr>
          <w:bCs/>
        </w:rPr>
        <w:t>,000.</w:t>
      </w:r>
    </w:p>
    <w:p w:rsidR="00EE08E8" w:rsidRPr="009D30F4" w:rsidRDefault="00EE08E8" w:rsidP="00EE08E8">
      <w:pPr>
        <w:jc w:val="both"/>
        <w:rPr>
          <w:bCs/>
        </w:rPr>
      </w:pPr>
    </w:p>
    <w:p w:rsidR="00EE08E8" w:rsidRPr="009D30F4" w:rsidRDefault="00EE08E8" w:rsidP="00EE08E8">
      <w:pPr>
        <w:jc w:val="both"/>
        <w:rPr>
          <w:bCs/>
          <w:u w:val="single"/>
          <w:lang w:val="es-ES_tradnl"/>
        </w:rPr>
      </w:pPr>
      <w:r w:rsidRPr="009D30F4">
        <w:rPr>
          <w:bCs/>
          <w:u w:val="single"/>
          <w:lang w:val="es-ES_tradnl"/>
        </w:rPr>
        <w:t>TEPCEs (</w:t>
      </w:r>
      <w:r w:rsidRPr="009D30F4">
        <w:rPr>
          <w:bCs/>
          <w:i/>
          <w:u w:val="single"/>
          <w:lang w:val="es-ES_tradnl"/>
        </w:rPr>
        <w:t>Talleres de Evaluación, Programación y Capacitación Educativa</w:t>
      </w:r>
      <w:r w:rsidR="00295C05">
        <w:rPr>
          <w:bCs/>
          <w:i/>
          <w:u w:val="single"/>
          <w:lang w:val="es-ES_tradnl"/>
        </w:rPr>
        <w:t>)</w:t>
      </w:r>
    </w:p>
    <w:p w:rsidR="008B6672" w:rsidRDefault="00EE08E8" w:rsidP="005E2993">
      <w:pPr>
        <w:pStyle w:val="ListParagraph"/>
        <w:numPr>
          <w:ilvl w:val="0"/>
          <w:numId w:val="23"/>
        </w:numPr>
        <w:ind w:left="0" w:firstLine="0"/>
        <w:jc w:val="both"/>
        <w:rPr>
          <w:bCs/>
        </w:rPr>
      </w:pPr>
      <w:r w:rsidRPr="009D30F4">
        <w:rPr>
          <w:bCs/>
        </w:rPr>
        <w:t xml:space="preserve">The Project would support monthly TEPCEs teacher professional development workshops offered by TEPCE coordinators in 153 </w:t>
      </w:r>
      <w:r w:rsidRPr="009D30F4">
        <w:rPr>
          <w:bCs/>
          <w:i/>
        </w:rPr>
        <w:t xml:space="preserve">núcleo educativos </w:t>
      </w:r>
      <w:r w:rsidRPr="009D30F4">
        <w:rPr>
          <w:bCs/>
        </w:rPr>
        <w:t>nationwide</w:t>
      </w:r>
      <w:r w:rsidRPr="009D30F4">
        <w:rPr>
          <w:bCs/>
          <w:i/>
        </w:rPr>
        <w:t xml:space="preserve"> </w:t>
      </w:r>
      <w:r w:rsidRPr="009D30F4">
        <w:rPr>
          <w:bCs/>
        </w:rPr>
        <w:t xml:space="preserve">(for secondary education these are offered at the municipal level).  For the 110 municipalities not targeted by the Project, the textbook training materials to be used for the in-service training described above would be distributed, while all 153 </w:t>
      </w:r>
      <w:r w:rsidRPr="009D30F4">
        <w:rPr>
          <w:bCs/>
          <w:i/>
        </w:rPr>
        <w:t xml:space="preserve">núcleo educativos </w:t>
      </w:r>
      <w:r w:rsidRPr="009D30F4">
        <w:rPr>
          <w:bCs/>
        </w:rPr>
        <w:t>would also receive basi</w:t>
      </w:r>
      <w:r w:rsidR="00392F0B">
        <w:rPr>
          <w:bCs/>
        </w:rPr>
        <w:t xml:space="preserve">c training </w:t>
      </w:r>
      <w:r w:rsidR="00392F0B">
        <w:rPr>
          <w:bCs/>
        </w:rPr>
        <w:lastRenderedPageBreak/>
        <w:t>supplies/materials</w:t>
      </w:r>
      <w:r>
        <w:rPr>
          <w:bCs/>
        </w:rPr>
        <w:t xml:space="preserve"> (flipcharts, markers, tape, etc.) on an annual basis between 2013 and 2015.  In this manner, all secondary teachers would receive training in the use of the new textbooks to be distributed by the Project.  The total cost of this sub-component is calculated at US$360,000.</w:t>
      </w:r>
    </w:p>
    <w:p w:rsidR="00E83BF1" w:rsidRDefault="00E83BF1" w:rsidP="00BB0EF0">
      <w:pPr>
        <w:pStyle w:val="ListParagraph"/>
        <w:ind w:left="0"/>
        <w:jc w:val="both"/>
        <w:rPr>
          <w:bCs/>
          <w:u w:val="single"/>
        </w:rPr>
      </w:pPr>
    </w:p>
    <w:p w:rsidR="00BB0EF0" w:rsidRPr="00BB0EF0" w:rsidRDefault="00BB0EF0" w:rsidP="00BB0EF0">
      <w:pPr>
        <w:pStyle w:val="ListParagraph"/>
        <w:ind w:left="0"/>
        <w:jc w:val="both"/>
        <w:rPr>
          <w:bCs/>
          <w:u w:val="single"/>
        </w:rPr>
      </w:pPr>
      <w:r w:rsidRPr="00BB0EF0">
        <w:rPr>
          <w:bCs/>
          <w:u w:val="single"/>
        </w:rPr>
        <w:t>Monitoring and supervision</w:t>
      </w:r>
    </w:p>
    <w:p w:rsidR="00BB0EF0" w:rsidRPr="00EE08E8" w:rsidRDefault="00BB0EF0" w:rsidP="005E2993">
      <w:pPr>
        <w:pStyle w:val="ListParagraph"/>
        <w:numPr>
          <w:ilvl w:val="0"/>
          <w:numId w:val="23"/>
        </w:numPr>
        <w:ind w:left="0" w:firstLine="0"/>
        <w:jc w:val="both"/>
        <w:rPr>
          <w:bCs/>
        </w:rPr>
      </w:pPr>
      <w:r>
        <w:rPr>
          <w:bCs/>
        </w:rPr>
        <w:t xml:space="preserve">The Project would support monitoring and supervision activities aimed at </w:t>
      </w:r>
      <w:r w:rsidR="003F1770">
        <w:rPr>
          <w:bCs/>
        </w:rPr>
        <w:t>measuring the effectiveness, quality and impact of the training activities devel</w:t>
      </w:r>
      <w:r w:rsidR="00392F0B">
        <w:rPr>
          <w:bCs/>
        </w:rPr>
        <w:t xml:space="preserve">oped under </w:t>
      </w:r>
      <w:r w:rsidR="003F1770">
        <w:rPr>
          <w:bCs/>
        </w:rPr>
        <w:t>sub-component 2.2.  Activities would be carried by Ministry staff and/or independent researchers.  Protocols for the evaluation activities will be dev</w:t>
      </w:r>
      <w:r w:rsidR="00392F0B">
        <w:rPr>
          <w:bCs/>
        </w:rPr>
        <w:t>eloped by MINED</w:t>
      </w:r>
      <w:r w:rsidR="003F1770">
        <w:rPr>
          <w:bCs/>
        </w:rPr>
        <w:t xml:space="preserve"> before the beginning of the training activities.</w:t>
      </w:r>
    </w:p>
    <w:p w:rsidR="005122A5" w:rsidRDefault="005122A5" w:rsidP="0040253F">
      <w:pPr>
        <w:jc w:val="both"/>
        <w:rPr>
          <w:bCs/>
        </w:rPr>
      </w:pPr>
    </w:p>
    <w:p w:rsidR="00645254" w:rsidRPr="00D468FC" w:rsidRDefault="00295C05" w:rsidP="00645254">
      <w:pPr>
        <w:tabs>
          <w:tab w:val="left" w:pos="540"/>
        </w:tabs>
        <w:jc w:val="both"/>
        <w:rPr>
          <w:bCs/>
        </w:rPr>
      </w:pPr>
      <w:r>
        <w:rPr>
          <w:bCs/>
        </w:rPr>
        <w:tab/>
      </w:r>
      <w:r w:rsidR="00645254" w:rsidRPr="00D468FC">
        <w:rPr>
          <w:bCs/>
        </w:rPr>
        <w:t>2.3</w:t>
      </w:r>
      <w:r w:rsidR="00645254" w:rsidRPr="00D468FC">
        <w:rPr>
          <w:bCs/>
        </w:rPr>
        <w:tab/>
        <w:t>Improving the Supply of Textbooks and Learning Materials</w:t>
      </w:r>
      <w:r w:rsidR="00715CC0" w:rsidRPr="00D468FC">
        <w:rPr>
          <w:bCs/>
        </w:rPr>
        <w:t xml:space="preserve"> in Secondary Education</w:t>
      </w:r>
      <w:r w:rsidR="00645254" w:rsidRPr="00D468FC">
        <w:rPr>
          <w:bCs/>
        </w:rPr>
        <w:t xml:space="preserve"> (US$3.</w:t>
      </w:r>
      <w:r w:rsidR="00DB09A9" w:rsidRPr="00D468FC">
        <w:rPr>
          <w:bCs/>
        </w:rPr>
        <w:t>7</w:t>
      </w:r>
      <w:r w:rsidR="00645254" w:rsidRPr="00D468FC">
        <w:rPr>
          <w:bCs/>
        </w:rPr>
        <w:t xml:space="preserve"> million)</w:t>
      </w:r>
    </w:p>
    <w:p w:rsidR="00645254" w:rsidRPr="006327B4" w:rsidRDefault="00645254" w:rsidP="00645254">
      <w:pPr>
        <w:jc w:val="both"/>
        <w:rPr>
          <w:bCs/>
        </w:rPr>
      </w:pPr>
    </w:p>
    <w:p w:rsidR="00645254" w:rsidRPr="00014AF4" w:rsidRDefault="002324D9" w:rsidP="005E2993">
      <w:pPr>
        <w:pStyle w:val="ListParagraph"/>
        <w:numPr>
          <w:ilvl w:val="0"/>
          <w:numId w:val="23"/>
        </w:numPr>
        <w:ind w:left="0" w:firstLine="0"/>
        <w:jc w:val="both"/>
        <w:rPr>
          <w:bCs/>
        </w:rPr>
      </w:pPr>
      <w:r w:rsidRPr="0015014A">
        <w:rPr>
          <w:bCs/>
        </w:rPr>
        <w:t>This sub-component</w:t>
      </w:r>
      <w:r w:rsidR="00A8714F" w:rsidRPr="0015014A">
        <w:rPr>
          <w:bCs/>
        </w:rPr>
        <w:t xml:space="preserve"> would </w:t>
      </w:r>
      <w:r w:rsidR="00A8714F" w:rsidRPr="00014AF4">
        <w:rPr>
          <w:bCs/>
        </w:rPr>
        <w:t>support</w:t>
      </w:r>
      <w:r w:rsidR="00A8714F" w:rsidRPr="00CF63AB">
        <w:rPr>
          <w:bCs/>
        </w:rPr>
        <w:t xml:space="preserve"> </w:t>
      </w:r>
      <w:r w:rsidR="00A8714F">
        <w:rPr>
          <w:bCs/>
        </w:rPr>
        <w:t xml:space="preserve">the </w:t>
      </w:r>
      <w:r w:rsidR="00A8714F" w:rsidRPr="00CF63AB">
        <w:rPr>
          <w:bCs/>
        </w:rPr>
        <w:t xml:space="preserve">improvement of textbooks and learning materials for lower secondary education through: (i) the development, revision, printing and distribution of textbooks and </w:t>
      </w:r>
      <w:r w:rsidR="00A8714F">
        <w:rPr>
          <w:bCs/>
        </w:rPr>
        <w:t>learning materials to selected lower secondary education s</w:t>
      </w:r>
      <w:r w:rsidR="00A8714F" w:rsidRPr="00CF63AB">
        <w:rPr>
          <w:bCs/>
        </w:rPr>
        <w:t>tudents; (ii) the</w:t>
      </w:r>
      <w:r w:rsidR="00A8714F" w:rsidRPr="00CF63AB">
        <w:rPr>
          <w:bCs/>
          <w:lang w:val="en-GB"/>
        </w:rPr>
        <w:t xml:space="preserve"> preparation of teacher</w:t>
      </w:r>
      <w:r w:rsidR="00A8714F" w:rsidRPr="00CF63AB">
        <w:rPr>
          <w:color w:val="000000"/>
        </w:rPr>
        <w:t xml:space="preserve"> guidelines and training activities</w:t>
      </w:r>
      <w:r w:rsidR="00A8714F">
        <w:rPr>
          <w:color w:val="000000"/>
        </w:rPr>
        <w:t xml:space="preserve"> for the use of the textbooks and learning materials</w:t>
      </w:r>
      <w:r w:rsidR="00A8714F" w:rsidRPr="00CF63AB">
        <w:rPr>
          <w:color w:val="000000"/>
        </w:rPr>
        <w:t>; and (iii) the adaptation of the textbooks and learning materials to integrate cultural and linguistic aspect of local communities</w:t>
      </w:r>
      <w:r w:rsidR="00014AF4" w:rsidRPr="00CF63AB">
        <w:rPr>
          <w:color w:val="000000"/>
        </w:rPr>
        <w:t>.</w:t>
      </w:r>
    </w:p>
    <w:p w:rsidR="004452BB" w:rsidRDefault="004452BB" w:rsidP="000C2496">
      <w:pPr>
        <w:pStyle w:val="ListParagraph"/>
        <w:ind w:left="0"/>
        <w:jc w:val="both"/>
        <w:rPr>
          <w:bCs/>
          <w:i/>
        </w:rPr>
      </w:pPr>
    </w:p>
    <w:p w:rsidR="00013AF8" w:rsidRPr="0040253F" w:rsidRDefault="00113DB6" w:rsidP="005E2993">
      <w:pPr>
        <w:pStyle w:val="ListParagraph"/>
        <w:numPr>
          <w:ilvl w:val="0"/>
          <w:numId w:val="23"/>
        </w:numPr>
        <w:ind w:left="0" w:firstLine="0"/>
        <w:jc w:val="both"/>
        <w:rPr>
          <w:bCs/>
          <w:i/>
        </w:rPr>
      </w:pPr>
      <w:r>
        <w:rPr>
          <w:bCs/>
        </w:rPr>
        <w:t>The first activity</w:t>
      </w:r>
      <w:r w:rsidR="005B2EC0">
        <w:rPr>
          <w:bCs/>
        </w:rPr>
        <w:t xml:space="preserve"> to be carried out in years 1 and 2 of the Project implementation</w:t>
      </w:r>
      <w:r>
        <w:rPr>
          <w:bCs/>
        </w:rPr>
        <w:t xml:space="preserve"> would </w:t>
      </w:r>
      <w:r w:rsidR="00013AF8">
        <w:rPr>
          <w:bCs/>
        </w:rPr>
        <w:t>include</w:t>
      </w:r>
      <w:r>
        <w:rPr>
          <w:bCs/>
        </w:rPr>
        <w:t>: (i)</w:t>
      </w:r>
      <w:r w:rsidR="008C135A">
        <w:rPr>
          <w:bCs/>
        </w:rPr>
        <w:t xml:space="preserve"> </w:t>
      </w:r>
      <w:r w:rsidR="00013AF8">
        <w:rPr>
          <w:bCs/>
        </w:rPr>
        <w:t>the final revisions of all secondary level textbooks following their pilot testing/validation process currently underway</w:t>
      </w:r>
      <w:r w:rsidR="008C135A">
        <w:rPr>
          <w:rStyle w:val="FootnoteReference"/>
          <w:bCs/>
        </w:rPr>
        <w:footnoteReference w:id="20"/>
      </w:r>
      <w:r w:rsidR="00013AF8">
        <w:rPr>
          <w:bCs/>
        </w:rPr>
        <w:t>;</w:t>
      </w:r>
      <w:r>
        <w:rPr>
          <w:bCs/>
        </w:rPr>
        <w:t xml:space="preserve"> (ii)</w:t>
      </w:r>
      <w:r w:rsidR="00013AF8">
        <w:rPr>
          <w:bCs/>
        </w:rPr>
        <w:t xml:space="preserve"> the development of new teacher guides for each secondary textbook; and </w:t>
      </w:r>
      <w:r>
        <w:rPr>
          <w:bCs/>
        </w:rPr>
        <w:t xml:space="preserve">(iii) </w:t>
      </w:r>
      <w:r w:rsidR="00013AF8">
        <w:rPr>
          <w:bCs/>
        </w:rPr>
        <w:t xml:space="preserve">the linguistic and cultural adaptation of these textbooks for the Atlantic Coast (in collaboration with SEAR).  </w:t>
      </w:r>
      <w:r w:rsidR="005B5001">
        <w:rPr>
          <w:bCs/>
        </w:rPr>
        <w:t xml:space="preserve">All three tasks </w:t>
      </w:r>
      <w:r w:rsidR="00E92D24">
        <w:rPr>
          <w:bCs/>
        </w:rPr>
        <w:t xml:space="preserve">would </w:t>
      </w:r>
      <w:r w:rsidR="005B5001">
        <w:rPr>
          <w:bCs/>
        </w:rPr>
        <w:t xml:space="preserve">require specific technical assistance. </w:t>
      </w:r>
      <w:r w:rsidR="00D31F3C">
        <w:rPr>
          <w:bCs/>
        </w:rPr>
        <w:t xml:space="preserve"> Textbook finalization would require subject-specific content specialists to revise material, followed by textbook illustration and layout specialists to ensure appropriate design and formatting.  The adaptation of textbooks for the Atlantic Coast requires inter-cultural and bilingual specialists</w:t>
      </w:r>
      <w:r w:rsidR="00E92D24">
        <w:rPr>
          <w:bCs/>
        </w:rPr>
        <w:t>, while the teacher guides would</w:t>
      </w:r>
      <w:r w:rsidR="004238B1">
        <w:rPr>
          <w:bCs/>
        </w:rPr>
        <w:t xml:space="preserve"> require </w:t>
      </w:r>
      <w:r w:rsidR="00D31F3C">
        <w:rPr>
          <w:bCs/>
        </w:rPr>
        <w:t>short-term technical assistance for development and piloting of the teaching</w:t>
      </w:r>
      <w:r w:rsidR="004238B1">
        <w:rPr>
          <w:bCs/>
        </w:rPr>
        <w:t xml:space="preserve"> guides,</w:t>
      </w:r>
      <w:r w:rsidR="00D31F3C">
        <w:rPr>
          <w:bCs/>
        </w:rPr>
        <w:t xml:space="preserve"> editorial, illustration, photography and page-formatting services</w:t>
      </w:r>
      <w:r w:rsidR="004238B1">
        <w:rPr>
          <w:bCs/>
        </w:rPr>
        <w:t>.</w:t>
      </w:r>
      <w:r>
        <w:rPr>
          <w:bCs/>
        </w:rPr>
        <w:t xml:space="preserve">  The total cost of these three tasks is estimated at US$264,000.</w:t>
      </w:r>
    </w:p>
    <w:p w:rsidR="00013AF8" w:rsidRPr="00013AF8" w:rsidRDefault="00013AF8" w:rsidP="0040253F">
      <w:pPr>
        <w:jc w:val="both"/>
        <w:rPr>
          <w:bCs/>
        </w:rPr>
      </w:pPr>
    </w:p>
    <w:p w:rsidR="006B4E36" w:rsidRPr="008151C8" w:rsidRDefault="00113DB6" w:rsidP="005E2993">
      <w:pPr>
        <w:pStyle w:val="ListParagraph"/>
        <w:numPr>
          <w:ilvl w:val="0"/>
          <w:numId w:val="23"/>
        </w:numPr>
        <w:ind w:left="0" w:firstLine="0"/>
        <w:jc w:val="both"/>
        <w:rPr>
          <w:bCs/>
          <w:i/>
        </w:rPr>
      </w:pPr>
      <w:r>
        <w:rPr>
          <w:bCs/>
        </w:rPr>
        <w:t xml:space="preserve">The second activity </w:t>
      </w:r>
      <w:r w:rsidR="005B2EC0">
        <w:rPr>
          <w:bCs/>
        </w:rPr>
        <w:t>to be carried out in year 3 would p</w:t>
      </w:r>
      <w:r>
        <w:rPr>
          <w:bCs/>
        </w:rPr>
        <w:t xml:space="preserve">rovide </w:t>
      </w:r>
      <w:r w:rsidR="00A709D3">
        <w:rPr>
          <w:bCs/>
        </w:rPr>
        <w:t>educational materials</w:t>
      </w:r>
      <w:r w:rsidR="005B2EC0">
        <w:rPr>
          <w:bCs/>
        </w:rPr>
        <w:t xml:space="preserve"> </w:t>
      </w:r>
      <w:r w:rsidR="005B2EC0" w:rsidRPr="005B2EC0">
        <w:rPr>
          <w:bCs/>
        </w:rPr>
        <w:t>at the beginning of the school year 2014</w:t>
      </w:r>
      <w:r>
        <w:rPr>
          <w:bCs/>
        </w:rPr>
        <w:t xml:space="preserve"> to support</w:t>
      </w:r>
      <w:r w:rsidR="00A709D3">
        <w:rPr>
          <w:bCs/>
        </w:rPr>
        <w:t xml:space="preserve"> the </w:t>
      </w:r>
      <w:r w:rsidR="00013AF8">
        <w:rPr>
          <w:bCs/>
        </w:rPr>
        <w:t xml:space="preserve">practical </w:t>
      </w:r>
      <w:r w:rsidR="0031006F">
        <w:rPr>
          <w:bCs/>
        </w:rPr>
        <w:t xml:space="preserve">implementation of the </w:t>
      </w:r>
      <w:r w:rsidR="00A709D3">
        <w:rPr>
          <w:bCs/>
        </w:rPr>
        <w:t>secondary education curriculum approved in 2009.  Specifically, it would ensure, for the first time, the provision to all</w:t>
      </w:r>
      <w:r w:rsidR="008B7552">
        <w:rPr>
          <w:bCs/>
        </w:rPr>
        <w:t xml:space="preserve"> </w:t>
      </w:r>
      <w:r w:rsidR="00A709D3">
        <w:rPr>
          <w:bCs/>
        </w:rPr>
        <w:t xml:space="preserve">secondary students nationwide of a full set of </w:t>
      </w:r>
      <w:r w:rsidR="00E92D24">
        <w:rPr>
          <w:bCs/>
        </w:rPr>
        <w:t>textbooks and the provision of teaching g</w:t>
      </w:r>
      <w:r w:rsidR="00A709D3">
        <w:rPr>
          <w:bCs/>
        </w:rPr>
        <w:t xml:space="preserve">uides to all secondary teachers.  </w:t>
      </w:r>
      <w:r w:rsidR="00E92D24">
        <w:rPr>
          <w:rFonts w:eastAsia="Calibri"/>
        </w:rPr>
        <w:t>Lower secondary students would</w:t>
      </w:r>
      <w:r w:rsidR="004065AE" w:rsidRPr="004065AE">
        <w:rPr>
          <w:rFonts w:eastAsia="Calibri"/>
        </w:rPr>
        <w:t xml:space="preserve"> be prioritized according to the actual demand and whenever possible</w:t>
      </w:r>
      <w:r w:rsidR="008966C9">
        <w:rPr>
          <w:rFonts w:eastAsia="Calibri"/>
        </w:rPr>
        <w:t>, upper</w:t>
      </w:r>
      <w:r w:rsidR="004065AE" w:rsidRPr="004065AE">
        <w:rPr>
          <w:rFonts w:eastAsia="Calibri"/>
        </w:rPr>
        <w:t xml:space="preserve"> secondary students </w:t>
      </w:r>
      <w:r w:rsidR="00636C8C">
        <w:rPr>
          <w:rFonts w:eastAsia="Calibri"/>
        </w:rPr>
        <w:t>would</w:t>
      </w:r>
      <w:r w:rsidR="008966C9">
        <w:rPr>
          <w:rFonts w:eastAsia="Calibri"/>
        </w:rPr>
        <w:t xml:space="preserve"> receive</w:t>
      </w:r>
      <w:r w:rsidR="004065AE" w:rsidRPr="004065AE">
        <w:rPr>
          <w:rFonts w:eastAsia="Calibri"/>
        </w:rPr>
        <w:t xml:space="preserve"> textbooks</w:t>
      </w:r>
      <w:r w:rsidR="008966C9">
        <w:rPr>
          <w:rFonts w:eastAsia="Calibri"/>
        </w:rPr>
        <w:t xml:space="preserve"> in order to reach</w:t>
      </w:r>
      <w:r w:rsidR="004065AE" w:rsidRPr="004065AE">
        <w:rPr>
          <w:rFonts w:eastAsia="Calibri"/>
        </w:rPr>
        <w:t xml:space="preserve"> a ratio of one </w:t>
      </w:r>
      <w:r w:rsidR="008966C9">
        <w:rPr>
          <w:rFonts w:eastAsia="Calibri"/>
        </w:rPr>
        <w:t>textb</w:t>
      </w:r>
      <w:r w:rsidR="004065AE" w:rsidRPr="004065AE">
        <w:rPr>
          <w:rFonts w:eastAsia="Calibri"/>
        </w:rPr>
        <w:t xml:space="preserve">ook per two students.  </w:t>
      </w:r>
      <w:r w:rsidR="00A709D3" w:rsidRPr="008C135A">
        <w:rPr>
          <w:bCs/>
        </w:rPr>
        <w:t>Textbooks</w:t>
      </w:r>
      <w:r w:rsidR="00A709D3" w:rsidRPr="007C46EE">
        <w:rPr>
          <w:bCs/>
        </w:rPr>
        <w:t xml:space="preserve"> have already</w:t>
      </w:r>
      <w:r w:rsidR="00A709D3">
        <w:rPr>
          <w:bCs/>
        </w:rPr>
        <w:t xml:space="preserve"> been prepared for all secondary grades in mathematics, natural sciences, language and literature, social sciences and foreign language (English).  </w:t>
      </w:r>
      <w:r w:rsidR="00E92D24">
        <w:rPr>
          <w:bCs/>
        </w:rPr>
        <w:t>The goal would be</w:t>
      </w:r>
      <w:r w:rsidR="008151C8">
        <w:rPr>
          <w:bCs/>
        </w:rPr>
        <w:t xml:space="preserve"> to provide one textbook in each subject for each student, which translates into a total of 1.</w:t>
      </w:r>
      <w:r w:rsidR="007C46EE">
        <w:rPr>
          <w:bCs/>
        </w:rPr>
        <w:t>1</w:t>
      </w:r>
      <w:r w:rsidR="008151C8">
        <w:rPr>
          <w:bCs/>
        </w:rPr>
        <w:t xml:space="preserve"> million textbooks for </w:t>
      </w:r>
      <w:r w:rsidR="002E70E5">
        <w:rPr>
          <w:bCs/>
        </w:rPr>
        <w:t>278</w:t>
      </w:r>
      <w:r w:rsidR="00E92D24" w:rsidRPr="00E92D24">
        <w:rPr>
          <w:bCs/>
        </w:rPr>
        <w:t>,000</w:t>
      </w:r>
      <w:r w:rsidR="008B7552">
        <w:rPr>
          <w:bCs/>
        </w:rPr>
        <w:t xml:space="preserve"> </w:t>
      </w:r>
      <w:r w:rsidR="008151C8">
        <w:rPr>
          <w:bCs/>
        </w:rPr>
        <w:t>secondary students</w:t>
      </w:r>
      <w:r w:rsidR="005B2EC0">
        <w:rPr>
          <w:bCs/>
        </w:rPr>
        <w:t xml:space="preserve"> between grades 7-11</w:t>
      </w:r>
      <w:r w:rsidR="008151C8">
        <w:rPr>
          <w:bCs/>
        </w:rPr>
        <w:t>.</w:t>
      </w:r>
      <w:r w:rsidR="004238B1">
        <w:rPr>
          <w:bCs/>
        </w:rPr>
        <w:t xml:space="preserve">  </w:t>
      </w:r>
    </w:p>
    <w:p w:rsidR="00E67E72" w:rsidRPr="00E67E72" w:rsidRDefault="00E67E72" w:rsidP="00E67E72">
      <w:pPr>
        <w:pStyle w:val="ListParagraph"/>
        <w:ind w:left="0"/>
        <w:jc w:val="both"/>
        <w:rPr>
          <w:bCs/>
          <w:i/>
        </w:rPr>
      </w:pPr>
    </w:p>
    <w:p w:rsidR="007C46EE" w:rsidRPr="0040253F" w:rsidRDefault="008151C8" w:rsidP="005E2993">
      <w:pPr>
        <w:pStyle w:val="ListParagraph"/>
        <w:numPr>
          <w:ilvl w:val="0"/>
          <w:numId w:val="23"/>
        </w:numPr>
        <w:ind w:left="0" w:firstLine="0"/>
        <w:jc w:val="both"/>
        <w:rPr>
          <w:bCs/>
          <w:i/>
        </w:rPr>
      </w:pPr>
      <w:r w:rsidRPr="0004449E">
        <w:rPr>
          <w:bCs/>
        </w:rPr>
        <w:t>In the second</w:t>
      </w:r>
      <w:r w:rsidR="00636C8C">
        <w:rPr>
          <w:bCs/>
        </w:rPr>
        <w:t xml:space="preserve"> year of the Project, MINED would</w:t>
      </w:r>
      <w:r w:rsidRPr="0004449E">
        <w:rPr>
          <w:bCs/>
        </w:rPr>
        <w:t xml:space="preserve"> pr</w:t>
      </w:r>
      <w:r w:rsidR="004238B1" w:rsidRPr="0004449E">
        <w:rPr>
          <w:bCs/>
        </w:rPr>
        <w:t>int the</w:t>
      </w:r>
      <w:r w:rsidRPr="0004449E">
        <w:rPr>
          <w:bCs/>
        </w:rPr>
        <w:t xml:space="preserve"> teaching guides for each textbook, to be </w:t>
      </w:r>
      <w:r w:rsidR="004238B1" w:rsidRPr="0004449E">
        <w:rPr>
          <w:bCs/>
        </w:rPr>
        <w:t xml:space="preserve">distributed to </w:t>
      </w:r>
      <w:r w:rsidR="007C46EE" w:rsidRPr="0004449E">
        <w:rPr>
          <w:bCs/>
        </w:rPr>
        <w:t>10,2</w:t>
      </w:r>
      <w:r w:rsidRPr="0004449E">
        <w:rPr>
          <w:bCs/>
        </w:rPr>
        <w:t>00 secondary tea</w:t>
      </w:r>
      <w:r w:rsidR="006E5231" w:rsidRPr="0004449E">
        <w:rPr>
          <w:bCs/>
        </w:rPr>
        <w:t>chers</w:t>
      </w:r>
      <w:r w:rsidR="005B2EC0">
        <w:rPr>
          <w:bCs/>
        </w:rPr>
        <w:t xml:space="preserve"> </w:t>
      </w:r>
      <w:r w:rsidR="005B2EC0" w:rsidRPr="005B2EC0">
        <w:rPr>
          <w:bCs/>
        </w:rPr>
        <w:t>at the beginning of the school year 2014</w:t>
      </w:r>
      <w:r w:rsidR="006E5231" w:rsidRPr="0004449E">
        <w:rPr>
          <w:bCs/>
        </w:rPr>
        <w:t xml:space="preserve">.  </w:t>
      </w:r>
      <w:r w:rsidR="004238B1" w:rsidRPr="0004449E">
        <w:rPr>
          <w:bCs/>
        </w:rPr>
        <w:t>Teacher training</w:t>
      </w:r>
      <w:r w:rsidR="008966C9">
        <w:rPr>
          <w:bCs/>
        </w:rPr>
        <w:t xml:space="preserve"> activities in the use of both teacher guides and t</w:t>
      </w:r>
      <w:r w:rsidR="004238B1" w:rsidRPr="0004449E">
        <w:rPr>
          <w:bCs/>
        </w:rPr>
        <w:t xml:space="preserve">extbooks </w:t>
      </w:r>
      <w:r w:rsidR="00636C8C">
        <w:rPr>
          <w:bCs/>
        </w:rPr>
        <w:t>would</w:t>
      </w:r>
      <w:r w:rsidR="004238B1" w:rsidRPr="0004449E">
        <w:rPr>
          <w:bCs/>
        </w:rPr>
        <w:t xml:space="preserve"> be financed by the Project under Component 2.2. </w:t>
      </w:r>
      <w:r w:rsidR="0004449E">
        <w:rPr>
          <w:bCs/>
        </w:rPr>
        <w:t>T</w:t>
      </w:r>
      <w:r w:rsidR="007C46EE">
        <w:rPr>
          <w:bCs/>
        </w:rPr>
        <w:t>able 2.</w:t>
      </w:r>
      <w:r w:rsidR="002C6AB4">
        <w:rPr>
          <w:bCs/>
        </w:rPr>
        <w:t>12</w:t>
      </w:r>
      <w:r w:rsidR="007C46EE">
        <w:rPr>
          <w:bCs/>
        </w:rPr>
        <w:t xml:space="preserve"> shows the</w:t>
      </w:r>
      <w:r w:rsidR="001C46AB">
        <w:rPr>
          <w:bCs/>
        </w:rPr>
        <w:t xml:space="preserve"> </w:t>
      </w:r>
      <w:r w:rsidR="007C46EE">
        <w:rPr>
          <w:bCs/>
        </w:rPr>
        <w:t xml:space="preserve">distribution of textbooks </w:t>
      </w:r>
      <w:r w:rsidR="00B57A7A">
        <w:rPr>
          <w:bCs/>
        </w:rPr>
        <w:t xml:space="preserve">and teacher guides </w:t>
      </w:r>
      <w:r w:rsidR="007C46EE">
        <w:rPr>
          <w:bCs/>
        </w:rPr>
        <w:t>by grade</w:t>
      </w:r>
      <w:r w:rsidR="00B57A7A">
        <w:rPr>
          <w:bCs/>
        </w:rPr>
        <w:t xml:space="preserve"> and subject.</w:t>
      </w:r>
      <w:r w:rsidR="008C135A">
        <w:rPr>
          <w:bCs/>
        </w:rPr>
        <w:t xml:space="preserve">  </w:t>
      </w:r>
      <w:r w:rsidR="00AB62B4">
        <w:rPr>
          <w:bCs/>
        </w:rPr>
        <w:t xml:space="preserve">In addition, an estimated 24,000 textbooks will be distributed to all public and subsidized secondary school teachers nationwide. </w:t>
      </w:r>
      <w:r w:rsidR="008C135A">
        <w:rPr>
          <w:bCs/>
        </w:rPr>
        <w:t>The total cost of this second activity is estimated at US$3.2 million.</w:t>
      </w:r>
    </w:p>
    <w:p w:rsidR="00392F0B" w:rsidRDefault="00392F0B" w:rsidP="0040253F">
      <w:pPr>
        <w:jc w:val="both"/>
        <w:rPr>
          <w:bCs/>
          <w:i/>
        </w:rPr>
      </w:pPr>
    </w:p>
    <w:p w:rsidR="001C46AB" w:rsidRPr="00A15F4C" w:rsidRDefault="00EC4B95" w:rsidP="0040253F">
      <w:pPr>
        <w:jc w:val="center"/>
        <w:rPr>
          <w:b/>
          <w:bCs/>
        </w:rPr>
      </w:pPr>
      <w:r>
        <w:rPr>
          <w:b/>
          <w:bCs/>
        </w:rPr>
        <w:t>Table 2.12</w:t>
      </w:r>
      <w:r w:rsidR="00A15F4C" w:rsidRPr="00A15F4C">
        <w:rPr>
          <w:b/>
          <w:bCs/>
        </w:rPr>
        <w:t xml:space="preserve">: </w:t>
      </w:r>
      <w:r w:rsidR="001C46AB" w:rsidRPr="00A15F4C">
        <w:rPr>
          <w:b/>
          <w:bCs/>
        </w:rPr>
        <w:t>Distribution of Textbooks by Grade and Subject</w:t>
      </w:r>
    </w:p>
    <w:tbl>
      <w:tblPr>
        <w:tblStyle w:val="TableGrid"/>
        <w:tblW w:w="0" w:type="auto"/>
        <w:jc w:val="center"/>
        <w:tblLook w:val="04A0" w:firstRow="1" w:lastRow="0" w:firstColumn="1" w:lastColumn="0" w:noHBand="0" w:noVBand="1"/>
      </w:tblPr>
      <w:tblGrid>
        <w:gridCol w:w="456"/>
        <w:gridCol w:w="2575"/>
        <w:gridCol w:w="1578"/>
        <w:gridCol w:w="1530"/>
        <w:gridCol w:w="1638"/>
      </w:tblGrid>
      <w:tr w:rsidR="001C46AB" w:rsidTr="00046972">
        <w:trPr>
          <w:jc w:val="center"/>
        </w:trPr>
        <w:tc>
          <w:tcPr>
            <w:tcW w:w="0" w:type="auto"/>
          </w:tcPr>
          <w:p w:rsidR="001C46AB" w:rsidRDefault="001C46AB" w:rsidP="0040253F">
            <w:pPr>
              <w:jc w:val="center"/>
              <w:rPr>
                <w:bCs/>
              </w:rPr>
            </w:pPr>
          </w:p>
        </w:tc>
        <w:tc>
          <w:tcPr>
            <w:tcW w:w="0" w:type="auto"/>
          </w:tcPr>
          <w:p w:rsidR="001C46AB" w:rsidRPr="00485A4B" w:rsidRDefault="001C46AB" w:rsidP="00485A4B">
            <w:pPr>
              <w:jc w:val="center"/>
              <w:rPr>
                <w:b/>
                <w:bCs/>
              </w:rPr>
            </w:pPr>
            <w:r w:rsidRPr="00485A4B">
              <w:rPr>
                <w:b/>
                <w:bCs/>
              </w:rPr>
              <w:t>Subject Area</w:t>
            </w:r>
          </w:p>
        </w:tc>
        <w:tc>
          <w:tcPr>
            <w:tcW w:w="1578" w:type="dxa"/>
          </w:tcPr>
          <w:p w:rsidR="001C46AB" w:rsidRPr="00485A4B" w:rsidRDefault="001C46AB" w:rsidP="00046972">
            <w:pPr>
              <w:jc w:val="center"/>
              <w:rPr>
                <w:b/>
                <w:bCs/>
              </w:rPr>
            </w:pPr>
            <w:r w:rsidRPr="00485A4B">
              <w:rPr>
                <w:b/>
                <w:bCs/>
              </w:rPr>
              <w:t>Grades</w:t>
            </w:r>
          </w:p>
        </w:tc>
        <w:tc>
          <w:tcPr>
            <w:tcW w:w="1530" w:type="dxa"/>
          </w:tcPr>
          <w:p w:rsidR="001C46AB" w:rsidRPr="00485A4B" w:rsidRDefault="001C46AB" w:rsidP="00485A4B">
            <w:pPr>
              <w:jc w:val="center"/>
              <w:rPr>
                <w:b/>
                <w:bCs/>
              </w:rPr>
            </w:pPr>
            <w:r w:rsidRPr="00485A4B">
              <w:rPr>
                <w:b/>
                <w:bCs/>
              </w:rPr>
              <w:t># of Textbooks</w:t>
            </w:r>
          </w:p>
        </w:tc>
        <w:tc>
          <w:tcPr>
            <w:tcW w:w="1638" w:type="dxa"/>
          </w:tcPr>
          <w:p w:rsidR="001C46AB" w:rsidRPr="00485A4B" w:rsidRDefault="001C46AB" w:rsidP="00485A4B">
            <w:pPr>
              <w:jc w:val="center"/>
              <w:rPr>
                <w:b/>
                <w:bCs/>
              </w:rPr>
            </w:pPr>
            <w:r w:rsidRPr="00485A4B">
              <w:rPr>
                <w:b/>
                <w:bCs/>
              </w:rPr>
              <w:t># of Teacher Guides</w:t>
            </w:r>
          </w:p>
        </w:tc>
      </w:tr>
      <w:tr w:rsidR="001C46AB" w:rsidTr="00046972">
        <w:trPr>
          <w:jc w:val="center"/>
        </w:trPr>
        <w:tc>
          <w:tcPr>
            <w:tcW w:w="0" w:type="auto"/>
          </w:tcPr>
          <w:p w:rsidR="001C46AB" w:rsidRDefault="001C46AB" w:rsidP="0040253F">
            <w:pPr>
              <w:jc w:val="center"/>
              <w:rPr>
                <w:bCs/>
              </w:rPr>
            </w:pPr>
            <w:r>
              <w:rPr>
                <w:bCs/>
              </w:rPr>
              <w:t>1</w:t>
            </w:r>
          </w:p>
        </w:tc>
        <w:tc>
          <w:tcPr>
            <w:tcW w:w="0" w:type="auto"/>
          </w:tcPr>
          <w:p w:rsidR="001C46AB" w:rsidRDefault="001C46AB" w:rsidP="0040253F">
            <w:pPr>
              <w:rPr>
                <w:bCs/>
              </w:rPr>
            </w:pPr>
            <w:r>
              <w:rPr>
                <w:bCs/>
              </w:rPr>
              <w:t>Language and Literature</w:t>
            </w:r>
          </w:p>
        </w:tc>
        <w:tc>
          <w:tcPr>
            <w:tcW w:w="1578" w:type="dxa"/>
          </w:tcPr>
          <w:p w:rsidR="001C46AB" w:rsidRDefault="005A6BF2" w:rsidP="00046972">
            <w:pPr>
              <w:ind w:right="144"/>
              <w:jc w:val="center"/>
              <w:rPr>
                <w:bCs/>
              </w:rPr>
            </w:pPr>
            <w:r>
              <w:rPr>
                <w:bCs/>
              </w:rPr>
              <w:t>7-9</w:t>
            </w:r>
          </w:p>
        </w:tc>
        <w:tc>
          <w:tcPr>
            <w:tcW w:w="1530" w:type="dxa"/>
          </w:tcPr>
          <w:p w:rsidR="001C46AB" w:rsidRDefault="005A6BF2" w:rsidP="00485A4B">
            <w:pPr>
              <w:ind w:right="262"/>
              <w:jc w:val="right"/>
              <w:rPr>
                <w:bCs/>
              </w:rPr>
            </w:pPr>
            <w:r>
              <w:rPr>
                <w:bCs/>
              </w:rPr>
              <w:t>200,266</w:t>
            </w:r>
          </w:p>
        </w:tc>
        <w:tc>
          <w:tcPr>
            <w:tcW w:w="1638" w:type="dxa"/>
          </w:tcPr>
          <w:p w:rsidR="001C46AB" w:rsidRDefault="005A6BF2" w:rsidP="0040253F">
            <w:pPr>
              <w:jc w:val="center"/>
              <w:rPr>
                <w:bCs/>
              </w:rPr>
            </w:pPr>
            <w:r>
              <w:rPr>
                <w:bCs/>
              </w:rPr>
              <w:t>2,000</w:t>
            </w:r>
          </w:p>
        </w:tc>
      </w:tr>
      <w:tr w:rsidR="001C46AB" w:rsidTr="00046972">
        <w:trPr>
          <w:jc w:val="center"/>
        </w:trPr>
        <w:tc>
          <w:tcPr>
            <w:tcW w:w="0" w:type="auto"/>
          </w:tcPr>
          <w:p w:rsidR="001C46AB" w:rsidRDefault="001C46AB" w:rsidP="0040253F">
            <w:pPr>
              <w:jc w:val="center"/>
              <w:rPr>
                <w:bCs/>
              </w:rPr>
            </w:pPr>
            <w:r>
              <w:rPr>
                <w:bCs/>
              </w:rPr>
              <w:t>2</w:t>
            </w:r>
          </w:p>
        </w:tc>
        <w:tc>
          <w:tcPr>
            <w:tcW w:w="0" w:type="auto"/>
          </w:tcPr>
          <w:p w:rsidR="001C46AB" w:rsidRDefault="001C46AB" w:rsidP="0040253F">
            <w:pPr>
              <w:rPr>
                <w:bCs/>
              </w:rPr>
            </w:pPr>
            <w:r>
              <w:rPr>
                <w:bCs/>
              </w:rPr>
              <w:t>Language and Literature</w:t>
            </w:r>
          </w:p>
        </w:tc>
        <w:tc>
          <w:tcPr>
            <w:tcW w:w="1578" w:type="dxa"/>
          </w:tcPr>
          <w:p w:rsidR="001C46AB" w:rsidRDefault="005A6BF2" w:rsidP="00046972">
            <w:pPr>
              <w:ind w:right="144"/>
              <w:jc w:val="center"/>
              <w:rPr>
                <w:bCs/>
              </w:rPr>
            </w:pPr>
            <w:r>
              <w:rPr>
                <w:bCs/>
              </w:rPr>
              <w:t>10-11</w:t>
            </w:r>
          </w:p>
        </w:tc>
        <w:tc>
          <w:tcPr>
            <w:tcW w:w="1530" w:type="dxa"/>
          </w:tcPr>
          <w:p w:rsidR="001C46AB" w:rsidRDefault="005A6BF2" w:rsidP="00485A4B">
            <w:pPr>
              <w:ind w:right="262"/>
              <w:jc w:val="right"/>
              <w:rPr>
                <w:bCs/>
              </w:rPr>
            </w:pPr>
            <w:r>
              <w:rPr>
                <w:bCs/>
              </w:rPr>
              <w:t>65,000</w:t>
            </w:r>
          </w:p>
        </w:tc>
        <w:tc>
          <w:tcPr>
            <w:tcW w:w="1638" w:type="dxa"/>
          </w:tcPr>
          <w:p w:rsidR="001C46AB" w:rsidRDefault="005A6BF2" w:rsidP="0040253F">
            <w:pPr>
              <w:jc w:val="center"/>
              <w:rPr>
                <w:bCs/>
              </w:rPr>
            </w:pPr>
            <w:r>
              <w:rPr>
                <w:bCs/>
              </w:rPr>
              <w:t>2,000</w:t>
            </w:r>
          </w:p>
        </w:tc>
      </w:tr>
      <w:tr w:rsidR="001C46AB" w:rsidTr="00046972">
        <w:trPr>
          <w:jc w:val="center"/>
        </w:trPr>
        <w:tc>
          <w:tcPr>
            <w:tcW w:w="0" w:type="auto"/>
          </w:tcPr>
          <w:p w:rsidR="001C46AB" w:rsidRDefault="001C46AB" w:rsidP="0040253F">
            <w:pPr>
              <w:jc w:val="center"/>
              <w:rPr>
                <w:bCs/>
              </w:rPr>
            </w:pPr>
            <w:r>
              <w:rPr>
                <w:bCs/>
              </w:rPr>
              <w:t>3</w:t>
            </w:r>
          </w:p>
        </w:tc>
        <w:tc>
          <w:tcPr>
            <w:tcW w:w="0" w:type="auto"/>
          </w:tcPr>
          <w:p w:rsidR="001C46AB" w:rsidRDefault="001C46AB" w:rsidP="0040253F">
            <w:pPr>
              <w:rPr>
                <w:bCs/>
              </w:rPr>
            </w:pPr>
            <w:r>
              <w:rPr>
                <w:bCs/>
              </w:rPr>
              <w:t>Mathematics</w:t>
            </w:r>
          </w:p>
        </w:tc>
        <w:tc>
          <w:tcPr>
            <w:tcW w:w="1578" w:type="dxa"/>
          </w:tcPr>
          <w:p w:rsidR="001C46AB" w:rsidRDefault="005A6BF2" w:rsidP="00046972">
            <w:pPr>
              <w:ind w:right="144"/>
              <w:jc w:val="center"/>
              <w:rPr>
                <w:bCs/>
              </w:rPr>
            </w:pPr>
            <w:r>
              <w:rPr>
                <w:bCs/>
              </w:rPr>
              <w:t>7-9</w:t>
            </w:r>
          </w:p>
        </w:tc>
        <w:tc>
          <w:tcPr>
            <w:tcW w:w="1530" w:type="dxa"/>
          </w:tcPr>
          <w:p w:rsidR="001C46AB" w:rsidRDefault="005A6BF2" w:rsidP="00485A4B">
            <w:pPr>
              <w:ind w:right="262"/>
              <w:jc w:val="right"/>
              <w:rPr>
                <w:bCs/>
              </w:rPr>
            </w:pPr>
            <w:r>
              <w:rPr>
                <w:bCs/>
              </w:rPr>
              <w:t>200,266</w:t>
            </w:r>
          </w:p>
        </w:tc>
        <w:tc>
          <w:tcPr>
            <w:tcW w:w="1638" w:type="dxa"/>
          </w:tcPr>
          <w:p w:rsidR="001C46AB" w:rsidRDefault="005A6BF2" w:rsidP="0040253F">
            <w:pPr>
              <w:jc w:val="center"/>
              <w:rPr>
                <w:bCs/>
              </w:rPr>
            </w:pPr>
            <w:r>
              <w:rPr>
                <w:bCs/>
              </w:rPr>
              <w:t>2,000</w:t>
            </w:r>
          </w:p>
        </w:tc>
      </w:tr>
      <w:tr w:rsidR="001C46AB" w:rsidTr="00046972">
        <w:trPr>
          <w:jc w:val="center"/>
        </w:trPr>
        <w:tc>
          <w:tcPr>
            <w:tcW w:w="0" w:type="auto"/>
          </w:tcPr>
          <w:p w:rsidR="001C46AB" w:rsidRDefault="001C46AB" w:rsidP="0040253F">
            <w:pPr>
              <w:jc w:val="center"/>
              <w:rPr>
                <w:bCs/>
              </w:rPr>
            </w:pPr>
            <w:r>
              <w:rPr>
                <w:bCs/>
              </w:rPr>
              <w:t>4</w:t>
            </w:r>
          </w:p>
        </w:tc>
        <w:tc>
          <w:tcPr>
            <w:tcW w:w="0" w:type="auto"/>
          </w:tcPr>
          <w:p w:rsidR="001C46AB" w:rsidRDefault="001C46AB" w:rsidP="0040253F">
            <w:pPr>
              <w:rPr>
                <w:bCs/>
              </w:rPr>
            </w:pPr>
            <w:r>
              <w:rPr>
                <w:bCs/>
              </w:rPr>
              <w:t>Mathematics</w:t>
            </w:r>
            <w:r w:rsidR="00847D18">
              <w:rPr>
                <w:bCs/>
              </w:rPr>
              <w:t>*</w:t>
            </w:r>
          </w:p>
        </w:tc>
        <w:tc>
          <w:tcPr>
            <w:tcW w:w="1578" w:type="dxa"/>
          </w:tcPr>
          <w:p w:rsidR="001C46AB" w:rsidRDefault="005A6BF2" w:rsidP="00046972">
            <w:pPr>
              <w:ind w:right="144"/>
              <w:jc w:val="center"/>
              <w:rPr>
                <w:bCs/>
              </w:rPr>
            </w:pPr>
            <w:r>
              <w:rPr>
                <w:bCs/>
              </w:rPr>
              <w:t>10-11</w:t>
            </w:r>
          </w:p>
        </w:tc>
        <w:tc>
          <w:tcPr>
            <w:tcW w:w="1530" w:type="dxa"/>
          </w:tcPr>
          <w:p w:rsidR="001C46AB" w:rsidRDefault="005A6BF2" w:rsidP="00485A4B">
            <w:pPr>
              <w:ind w:right="262"/>
              <w:jc w:val="right"/>
              <w:rPr>
                <w:bCs/>
              </w:rPr>
            </w:pPr>
            <w:r>
              <w:rPr>
                <w:bCs/>
              </w:rPr>
              <w:t>21,000</w:t>
            </w:r>
          </w:p>
        </w:tc>
        <w:tc>
          <w:tcPr>
            <w:tcW w:w="1638" w:type="dxa"/>
          </w:tcPr>
          <w:p w:rsidR="001C46AB" w:rsidRDefault="005A6BF2" w:rsidP="0040253F">
            <w:pPr>
              <w:jc w:val="center"/>
              <w:rPr>
                <w:bCs/>
              </w:rPr>
            </w:pPr>
            <w:r>
              <w:rPr>
                <w:bCs/>
              </w:rPr>
              <w:t>2,000</w:t>
            </w:r>
          </w:p>
        </w:tc>
      </w:tr>
      <w:tr w:rsidR="001C46AB" w:rsidTr="00046972">
        <w:trPr>
          <w:jc w:val="center"/>
        </w:trPr>
        <w:tc>
          <w:tcPr>
            <w:tcW w:w="0" w:type="auto"/>
          </w:tcPr>
          <w:p w:rsidR="001C46AB" w:rsidRDefault="001C46AB" w:rsidP="0040253F">
            <w:pPr>
              <w:jc w:val="center"/>
              <w:rPr>
                <w:bCs/>
              </w:rPr>
            </w:pPr>
            <w:r>
              <w:rPr>
                <w:bCs/>
              </w:rPr>
              <w:t>5</w:t>
            </w:r>
          </w:p>
        </w:tc>
        <w:tc>
          <w:tcPr>
            <w:tcW w:w="0" w:type="auto"/>
          </w:tcPr>
          <w:p w:rsidR="001C46AB" w:rsidRDefault="001C46AB" w:rsidP="0040253F">
            <w:pPr>
              <w:rPr>
                <w:bCs/>
              </w:rPr>
            </w:pPr>
            <w:r>
              <w:rPr>
                <w:bCs/>
              </w:rPr>
              <w:t>Foreign Language</w:t>
            </w:r>
          </w:p>
        </w:tc>
        <w:tc>
          <w:tcPr>
            <w:tcW w:w="1578" w:type="dxa"/>
          </w:tcPr>
          <w:p w:rsidR="001C46AB" w:rsidRDefault="005A6BF2" w:rsidP="00046972">
            <w:pPr>
              <w:ind w:right="144"/>
              <w:jc w:val="center"/>
              <w:rPr>
                <w:bCs/>
              </w:rPr>
            </w:pPr>
            <w:r>
              <w:rPr>
                <w:bCs/>
              </w:rPr>
              <w:t>7-9</w:t>
            </w:r>
          </w:p>
        </w:tc>
        <w:tc>
          <w:tcPr>
            <w:tcW w:w="1530" w:type="dxa"/>
          </w:tcPr>
          <w:p w:rsidR="001C46AB" w:rsidRDefault="005A6BF2" w:rsidP="00485A4B">
            <w:pPr>
              <w:ind w:right="262"/>
              <w:jc w:val="right"/>
              <w:rPr>
                <w:bCs/>
              </w:rPr>
            </w:pPr>
            <w:r>
              <w:rPr>
                <w:bCs/>
              </w:rPr>
              <w:t>200,266</w:t>
            </w:r>
          </w:p>
        </w:tc>
        <w:tc>
          <w:tcPr>
            <w:tcW w:w="1638" w:type="dxa"/>
          </w:tcPr>
          <w:p w:rsidR="001C46AB" w:rsidRDefault="005A6BF2" w:rsidP="0040253F">
            <w:pPr>
              <w:jc w:val="center"/>
              <w:rPr>
                <w:bCs/>
              </w:rPr>
            </w:pPr>
            <w:r>
              <w:rPr>
                <w:bCs/>
              </w:rPr>
              <w:t>1,300</w:t>
            </w:r>
          </w:p>
        </w:tc>
      </w:tr>
      <w:tr w:rsidR="001C46AB" w:rsidTr="00046972">
        <w:trPr>
          <w:jc w:val="center"/>
        </w:trPr>
        <w:tc>
          <w:tcPr>
            <w:tcW w:w="0" w:type="auto"/>
          </w:tcPr>
          <w:p w:rsidR="001C46AB" w:rsidRDefault="001C46AB" w:rsidP="0040253F">
            <w:pPr>
              <w:jc w:val="center"/>
              <w:rPr>
                <w:bCs/>
              </w:rPr>
            </w:pPr>
            <w:r>
              <w:rPr>
                <w:bCs/>
              </w:rPr>
              <w:t>6</w:t>
            </w:r>
          </w:p>
        </w:tc>
        <w:tc>
          <w:tcPr>
            <w:tcW w:w="0" w:type="auto"/>
          </w:tcPr>
          <w:p w:rsidR="001C46AB" w:rsidRDefault="001C46AB" w:rsidP="0040253F">
            <w:pPr>
              <w:rPr>
                <w:bCs/>
              </w:rPr>
            </w:pPr>
            <w:r>
              <w:rPr>
                <w:bCs/>
              </w:rPr>
              <w:t>Foreign Language</w:t>
            </w:r>
            <w:r w:rsidR="00460452">
              <w:rPr>
                <w:bCs/>
              </w:rPr>
              <w:t>**</w:t>
            </w:r>
          </w:p>
        </w:tc>
        <w:tc>
          <w:tcPr>
            <w:tcW w:w="1578" w:type="dxa"/>
          </w:tcPr>
          <w:p w:rsidR="001C46AB" w:rsidRDefault="005A6BF2" w:rsidP="00046972">
            <w:pPr>
              <w:ind w:right="144"/>
              <w:jc w:val="center"/>
              <w:rPr>
                <w:bCs/>
              </w:rPr>
            </w:pPr>
            <w:r>
              <w:rPr>
                <w:bCs/>
              </w:rPr>
              <w:t>10-11</w:t>
            </w:r>
          </w:p>
        </w:tc>
        <w:tc>
          <w:tcPr>
            <w:tcW w:w="1530" w:type="dxa"/>
          </w:tcPr>
          <w:p w:rsidR="001C46AB" w:rsidRDefault="00460452" w:rsidP="00485A4B">
            <w:pPr>
              <w:ind w:right="262"/>
              <w:jc w:val="right"/>
              <w:rPr>
                <w:bCs/>
              </w:rPr>
            </w:pPr>
            <w:r>
              <w:rPr>
                <w:bCs/>
              </w:rPr>
              <w:t>-</w:t>
            </w:r>
          </w:p>
        </w:tc>
        <w:tc>
          <w:tcPr>
            <w:tcW w:w="1638" w:type="dxa"/>
          </w:tcPr>
          <w:p w:rsidR="001C46AB" w:rsidRDefault="005A6BF2" w:rsidP="0040253F">
            <w:pPr>
              <w:jc w:val="center"/>
              <w:rPr>
                <w:bCs/>
              </w:rPr>
            </w:pPr>
            <w:r>
              <w:rPr>
                <w:bCs/>
              </w:rPr>
              <w:t>1,300</w:t>
            </w:r>
          </w:p>
        </w:tc>
      </w:tr>
      <w:tr w:rsidR="001C46AB" w:rsidTr="00046972">
        <w:trPr>
          <w:jc w:val="center"/>
        </w:trPr>
        <w:tc>
          <w:tcPr>
            <w:tcW w:w="0" w:type="auto"/>
          </w:tcPr>
          <w:p w:rsidR="001C46AB" w:rsidRDefault="001C46AB" w:rsidP="0040253F">
            <w:pPr>
              <w:jc w:val="center"/>
              <w:rPr>
                <w:bCs/>
              </w:rPr>
            </w:pPr>
            <w:r>
              <w:rPr>
                <w:bCs/>
              </w:rPr>
              <w:t>7</w:t>
            </w:r>
          </w:p>
        </w:tc>
        <w:tc>
          <w:tcPr>
            <w:tcW w:w="0" w:type="auto"/>
          </w:tcPr>
          <w:p w:rsidR="001C46AB" w:rsidRDefault="001C46AB" w:rsidP="0040253F">
            <w:pPr>
              <w:rPr>
                <w:bCs/>
              </w:rPr>
            </w:pPr>
            <w:r>
              <w:rPr>
                <w:bCs/>
              </w:rPr>
              <w:t>Social Sciences</w:t>
            </w:r>
          </w:p>
        </w:tc>
        <w:tc>
          <w:tcPr>
            <w:tcW w:w="1578" w:type="dxa"/>
          </w:tcPr>
          <w:p w:rsidR="001C46AB" w:rsidRDefault="005A6BF2" w:rsidP="00046972">
            <w:pPr>
              <w:ind w:right="144"/>
              <w:jc w:val="center"/>
              <w:rPr>
                <w:bCs/>
              </w:rPr>
            </w:pPr>
            <w:r>
              <w:rPr>
                <w:bCs/>
              </w:rPr>
              <w:t>7-9</w:t>
            </w:r>
          </w:p>
        </w:tc>
        <w:tc>
          <w:tcPr>
            <w:tcW w:w="1530" w:type="dxa"/>
          </w:tcPr>
          <w:p w:rsidR="001C46AB" w:rsidRDefault="005A6BF2" w:rsidP="00485A4B">
            <w:pPr>
              <w:ind w:right="262"/>
              <w:jc w:val="right"/>
              <w:rPr>
                <w:bCs/>
              </w:rPr>
            </w:pPr>
            <w:r>
              <w:rPr>
                <w:bCs/>
              </w:rPr>
              <w:t>200,266</w:t>
            </w:r>
          </w:p>
        </w:tc>
        <w:tc>
          <w:tcPr>
            <w:tcW w:w="1638" w:type="dxa"/>
          </w:tcPr>
          <w:p w:rsidR="001C46AB" w:rsidRDefault="005A6BF2" w:rsidP="0040253F">
            <w:pPr>
              <w:jc w:val="center"/>
              <w:rPr>
                <w:bCs/>
              </w:rPr>
            </w:pPr>
            <w:r>
              <w:rPr>
                <w:bCs/>
              </w:rPr>
              <w:t>1,000</w:t>
            </w:r>
          </w:p>
        </w:tc>
      </w:tr>
      <w:tr w:rsidR="001C46AB" w:rsidTr="00046972">
        <w:trPr>
          <w:jc w:val="center"/>
        </w:trPr>
        <w:tc>
          <w:tcPr>
            <w:tcW w:w="0" w:type="auto"/>
          </w:tcPr>
          <w:p w:rsidR="001C46AB" w:rsidRDefault="001C46AB" w:rsidP="0040253F">
            <w:pPr>
              <w:jc w:val="center"/>
              <w:rPr>
                <w:bCs/>
              </w:rPr>
            </w:pPr>
            <w:r>
              <w:rPr>
                <w:bCs/>
              </w:rPr>
              <w:t>8</w:t>
            </w:r>
          </w:p>
        </w:tc>
        <w:tc>
          <w:tcPr>
            <w:tcW w:w="0" w:type="auto"/>
          </w:tcPr>
          <w:p w:rsidR="001C46AB" w:rsidRDefault="001C46AB" w:rsidP="0040253F">
            <w:pPr>
              <w:rPr>
                <w:bCs/>
              </w:rPr>
            </w:pPr>
            <w:r>
              <w:rPr>
                <w:bCs/>
              </w:rPr>
              <w:t>Social Sciences</w:t>
            </w:r>
          </w:p>
        </w:tc>
        <w:tc>
          <w:tcPr>
            <w:tcW w:w="1578" w:type="dxa"/>
          </w:tcPr>
          <w:p w:rsidR="001C46AB" w:rsidRDefault="005A6BF2" w:rsidP="00046972">
            <w:pPr>
              <w:ind w:right="144"/>
              <w:jc w:val="center"/>
              <w:rPr>
                <w:bCs/>
              </w:rPr>
            </w:pPr>
            <w:r>
              <w:rPr>
                <w:bCs/>
              </w:rPr>
              <w:t>10-11</w:t>
            </w:r>
          </w:p>
        </w:tc>
        <w:tc>
          <w:tcPr>
            <w:tcW w:w="1530" w:type="dxa"/>
          </w:tcPr>
          <w:p w:rsidR="001C46AB" w:rsidRDefault="005A6BF2" w:rsidP="00485A4B">
            <w:pPr>
              <w:ind w:right="262"/>
              <w:jc w:val="right"/>
              <w:rPr>
                <w:bCs/>
              </w:rPr>
            </w:pPr>
            <w:r>
              <w:rPr>
                <w:bCs/>
              </w:rPr>
              <w:t>39,000</w:t>
            </w:r>
          </w:p>
        </w:tc>
        <w:tc>
          <w:tcPr>
            <w:tcW w:w="1638" w:type="dxa"/>
          </w:tcPr>
          <w:p w:rsidR="001C46AB" w:rsidRDefault="005A6BF2" w:rsidP="0040253F">
            <w:pPr>
              <w:jc w:val="center"/>
              <w:rPr>
                <w:bCs/>
              </w:rPr>
            </w:pPr>
            <w:r>
              <w:rPr>
                <w:bCs/>
              </w:rPr>
              <w:t>1,000</w:t>
            </w:r>
          </w:p>
        </w:tc>
      </w:tr>
      <w:tr w:rsidR="001C46AB" w:rsidTr="00046972">
        <w:trPr>
          <w:jc w:val="center"/>
        </w:trPr>
        <w:tc>
          <w:tcPr>
            <w:tcW w:w="0" w:type="auto"/>
          </w:tcPr>
          <w:p w:rsidR="001C46AB" w:rsidRDefault="001C46AB" w:rsidP="0040253F">
            <w:pPr>
              <w:jc w:val="center"/>
              <w:rPr>
                <w:bCs/>
              </w:rPr>
            </w:pPr>
            <w:r>
              <w:rPr>
                <w:bCs/>
              </w:rPr>
              <w:t>9</w:t>
            </w:r>
          </w:p>
        </w:tc>
        <w:tc>
          <w:tcPr>
            <w:tcW w:w="0" w:type="auto"/>
          </w:tcPr>
          <w:p w:rsidR="001C46AB" w:rsidRDefault="001C46AB" w:rsidP="0040253F">
            <w:pPr>
              <w:rPr>
                <w:bCs/>
              </w:rPr>
            </w:pPr>
            <w:r>
              <w:rPr>
                <w:bCs/>
              </w:rPr>
              <w:t>Natural Sciences</w:t>
            </w:r>
          </w:p>
        </w:tc>
        <w:tc>
          <w:tcPr>
            <w:tcW w:w="1578" w:type="dxa"/>
          </w:tcPr>
          <w:p w:rsidR="001C46AB" w:rsidRDefault="005A6BF2" w:rsidP="00046972">
            <w:pPr>
              <w:ind w:right="144"/>
              <w:jc w:val="center"/>
              <w:rPr>
                <w:bCs/>
              </w:rPr>
            </w:pPr>
            <w:r>
              <w:rPr>
                <w:bCs/>
              </w:rPr>
              <w:t>7-9</w:t>
            </w:r>
          </w:p>
        </w:tc>
        <w:tc>
          <w:tcPr>
            <w:tcW w:w="1530" w:type="dxa"/>
          </w:tcPr>
          <w:p w:rsidR="001C46AB" w:rsidRDefault="005A6BF2" w:rsidP="00485A4B">
            <w:pPr>
              <w:ind w:right="262"/>
              <w:jc w:val="right"/>
              <w:rPr>
                <w:bCs/>
              </w:rPr>
            </w:pPr>
            <w:r>
              <w:rPr>
                <w:bCs/>
              </w:rPr>
              <w:t>200,266</w:t>
            </w:r>
          </w:p>
        </w:tc>
        <w:tc>
          <w:tcPr>
            <w:tcW w:w="1638" w:type="dxa"/>
          </w:tcPr>
          <w:p w:rsidR="001C46AB" w:rsidRDefault="005A6BF2" w:rsidP="0040253F">
            <w:pPr>
              <w:jc w:val="center"/>
              <w:rPr>
                <w:bCs/>
              </w:rPr>
            </w:pPr>
            <w:r>
              <w:rPr>
                <w:bCs/>
              </w:rPr>
              <w:t>1,300</w:t>
            </w:r>
          </w:p>
        </w:tc>
      </w:tr>
      <w:tr w:rsidR="001C46AB" w:rsidTr="00046972">
        <w:trPr>
          <w:jc w:val="center"/>
        </w:trPr>
        <w:tc>
          <w:tcPr>
            <w:tcW w:w="0" w:type="auto"/>
          </w:tcPr>
          <w:p w:rsidR="001C46AB" w:rsidRDefault="001C46AB" w:rsidP="0040253F">
            <w:pPr>
              <w:jc w:val="center"/>
              <w:rPr>
                <w:bCs/>
              </w:rPr>
            </w:pPr>
            <w:r>
              <w:rPr>
                <w:bCs/>
              </w:rPr>
              <w:t>10</w:t>
            </w:r>
          </w:p>
        </w:tc>
        <w:tc>
          <w:tcPr>
            <w:tcW w:w="0" w:type="auto"/>
          </w:tcPr>
          <w:p w:rsidR="001C46AB" w:rsidRDefault="005A6BF2" w:rsidP="0040253F">
            <w:pPr>
              <w:rPr>
                <w:bCs/>
              </w:rPr>
            </w:pPr>
            <w:r>
              <w:rPr>
                <w:bCs/>
              </w:rPr>
              <w:t>Physics</w:t>
            </w:r>
            <w:r w:rsidR="00460452">
              <w:rPr>
                <w:bCs/>
              </w:rPr>
              <w:t>**</w:t>
            </w:r>
          </w:p>
        </w:tc>
        <w:tc>
          <w:tcPr>
            <w:tcW w:w="1578" w:type="dxa"/>
          </w:tcPr>
          <w:p w:rsidR="001C46AB" w:rsidRDefault="005A6BF2" w:rsidP="00046972">
            <w:pPr>
              <w:ind w:right="144"/>
              <w:jc w:val="center"/>
              <w:rPr>
                <w:bCs/>
              </w:rPr>
            </w:pPr>
            <w:r>
              <w:rPr>
                <w:bCs/>
              </w:rPr>
              <w:t>11</w:t>
            </w:r>
          </w:p>
        </w:tc>
        <w:tc>
          <w:tcPr>
            <w:tcW w:w="1530" w:type="dxa"/>
          </w:tcPr>
          <w:p w:rsidR="001C46AB" w:rsidRDefault="00460452" w:rsidP="00485A4B">
            <w:pPr>
              <w:ind w:right="262"/>
              <w:jc w:val="right"/>
              <w:rPr>
                <w:bCs/>
              </w:rPr>
            </w:pPr>
            <w:r>
              <w:rPr>
                <w:bCs/>
              </w:rPr>
              <w:t>-</w:t>
            </w:r>
          </w:p>
        </w:tc>
        <w:tc>
          <w:tcPr>
            <w:tcW w:w="1638" w:type="dxa"/>
          </w:tcPr>
          <w:p w:rsidR="001C46AB" w:rsidRDefault="005A6BF2" w:rsidP="0040253F">
            <w:pPr>
              <w:jc w:val="center"/>
              <w:rPr>
                <w:bCs/>
              </w:rPr>
            </w:pPr>
            <w:r>
              <w:rPr>
                <w:bCs/>
              </w:rPr>
              <w:t>1,200</w:t>
            </w:r>
          </w:p>
        </w:tc>
      </w:tr>
      <w:tr w:rsidR="001C46AB" w:rsidTr="00046972">
        <w:trPr>
          <w:jc w:val="center"/>
        </w:trPr>
        <w:tc>
          <w:tcPr>
            <w:tcW w:w="0" w:type="auto"/>
          </w:tcPr>
          <w:p w:rsidR="001C46AB" w:rsidRDefault="001C46AB" w:rsidP="0040253F">
            <w:pPr>
              <w:jc w:val="center"/>
              <w:rPr>
                <w:bCs/>
              </w:rPr>
            </w:pPr>
            <w:r>
              <w:rPr>
                <w:bCs/>
              </w:rPr>
              <w:t>11</w:t>
            </w:r>
          </w:p>
        </w:tc>
        <w:tc>
          <w:tcPr>
            <w:tcW w:w="0" w:type="auto"/>
          </w:tcPr>
          <w:p w:rsidR="001C46AB" w:rsidRDefault="005A6BF2" w:rsidP="0040253F">
            <w:pPr>
              <w:rPr>
                <w:bCs/>
              </w:rPr>
            </w:pPr>
            <w:r>
              <w:rPr>
                <w:bCs/>
              </w:rPr>
              <w:t>Biology</w:t>
            </w:r>
            <w:r w:rsidR="00460452">
              <w:rPr>
                <w:bCs/>
              </w:rPr>
              <w:t>**</w:t>
            </w:r>
          </w:p>
        </w:tc>
        <w:tc>
          <w:tcPr>
            <w:tcW w:w="1578" w:type="dxa"/>
          </w:tcPr>
          <w:p w:rsidR="001C46AB" w:rsidRDefault="005A6BF2" w:rsidP="00046972">
            <w:pPr>
              <w:ind w:right="144"/>
              <w:jc w:val="center"/>
              <w:rPr>
                <w:bCs/>
              </w:rPr>
            </w:pPr>
            <w:r>
              <w:rPr>
                <w:bCs/>
              </w:rPr>
              <w:t>11</w:t>
            </w:r>
          </w:p>
        </w:tc>
        <w:tc>
          <w:tcPr>
            <w:tcW w:w="1530" w:type="dxa"/>
          </w:tcPr>
          <w:p w:rsidR="001C46AB" w:rsidRDefault="00460452" w:rsidP="00485A4B">
            <w:pPr>
              <w:ind w:right="262"/>
              <w:jc w:val="right"/>
              <w:rPr>
                <w:bCs/>
              </w:rPr>
            </w:pPr>
            <w:r>
              <w:rPr>
                <w:bCs/>
              </w:rPr>
              <w:t>-</w:t>
            </w:r>
          </w:p>
        </w:tc>
        <w:tc>
          <w:tcPr>
            <w:tcW w:w="1638" w:type="dxa"/>
          </w:tcPr>
          <w:p w:rsidR="001C46AB" w:rsidRDefault="005A6BF2" w:rsidP="0040253F">
            <w:pPr>
              <w:jc w:val="center"/>
              <w:rPr>
                <w:bCs/>
              </w:rPr>
            </w:pPr>
            <w:r>
              <w:rPr>
                <w:bCs/>
              </w:rPr>
              <w:t>1,200</w:t>
            </w:r>
          </w:p>
        </w:tc>
      </w:tr>
      <w:tr w:rsidR="001C46AB" w:rsidTr="00046972">
        <w:trPr>
          <w:jc w:val="center"/>
        </w:trPr>
        <w:tc>
          <w:tcPr>
            <w:tcW w:w="0" w:type="auto"/>
          </w:tcPr>
          <w:p w:rsidR="001C46AB" w:rsidRDefault="001C46AB" w:rsidP="0040253F">
            <w:pPr>
              <w:jc w:val="center"/>
              <w:rPr>
                <w:bCs/>
              </w:rPr>
            </w:pPr>
          </w:p>
        </w:tc>
        <w:tc>
          <w:tcPr>
            <w:tcW w:w="0" w:type="auto"/>
          </w:tcPr>
          <w:p w:rsidR="001C46AB" w:rsidRPr="0040253F" w:rsidRDefault="0004449E" w:rsidP="0040253F">
            <w:pPr>
              <w:jc w:val="center"/>
              <w:rPr>
                <w:b/>
                <w:bCs/>
              </w:rPr>
            </w:pPr>
            <w:r w:rsidRPr="0040253F">
              <w:rPr>
                <w:b/>
                <w:bCs/>
              </w:rPr>
              <w:t>TOTAL</w:t>
            </w:r>
          </w:p>
        </w:tc>
        <w:tc>
          <w:tcPr>
            <w:tcW w:w="1578" w:type="dxa"/>
          </w:tcPr>
          <w:p w:rsidR="001C46AB" w:rsidRPr="0040253F" w:rsidRDefault="001C46AB" w:rsidP="00046972">
            <w:pPr>
              <w:jc w:val="center"/>
              <w:rPr>
                <w:b/>
                <w:bCs/>
              </w:rPr>
            </w:pPr>
          </w:p>
        </w:tc>
        <w:tc>
          <w:tcPr>
            <w:tcW w:w="1530" w:type="dxa"/>
          </w:tcPr>
          <w:p w:rsidR="001C46AB" w:rsidRPr="0040253F" w:rsidRDefault="0004449E" w:rsidP="00485A4B">
            <w:pPr>
              <w:ind w:right="262"/>
              <w:jc w:val="right"/>
              <w:rPr>
                <w:b/>
                <w:bCs/>
              </w:rPr>
            </w:pPr>
            <w:r w:rsidRPr="0040253F">
              <w:rPr>
                <w:b/>
                <w:bCs/>
              </w:rPr>
              <w:t>1,126,330</w:t>
            </w:r>
          </w:p>
        </w:tc>
        <w:tc>
          <w:tcPr>
            <w:tcW w:w="1638" w:type="dxa"/>
          </w:tcPr>
          <w:p w:rsidR="001C46AB" w:rsidRPr="0040253F" w:rsidRDefault="0004449E" w:rsidP="0040253F">
            <w:pPr>
              <w:jc w:val="center"/>
              <w:rPr>
                <w:b/>
                <w:bCs/>
              </w:rPr>
            </w:pPr>
            <w:r w:rsidRPr="0040253F">
              <w:rPr>
                <w:b/>
                <w:bCs/>
              </w:rPr>
              <w:t>16,300</w:t>
            </w:r>
          </w:p>
        </w:tc>
      </w:tr>
    </w:tbl>
    <w:p w:rsidR="007C46EE" w:rsidRPr="0040253F" w:rsidRDefault="00460452" w:rsidP="0040253F">
      <w:pPr>
        <w:ind w:left="360"/>
        <w:jc w:val="both"/>
        <w:rPr>
          <w:bCs/>
          <w:sz w:val="20"/>
          <w:szCs w:val="20"/>
        </w:rPr>
      </w:pPr>
      <w:r>
        <w:rPr>
          <w:bCs/>
          <w:sz w:val="20"/>
          <w:szCs w:val="20"/>
        </w:rPr>
        <w:t>*</w:t>
      </w:r>
      <w:r>
        <w:rPr>
          <w:bCs/>
          <w:sz w:val="20"/>
          <w:szCs w:val="20"/>
        </w:rPr>
        <w:tab/>
      </w:r>
      <w:r w:rsidR="00847D18" w:rsidRPr="0040253F">
        <w:rPr>
          <w:bCs/>
          <w:sz w:val="20"/>
          <w:szCs w:val="20"/>
        </w:rPr>
        <w:t xml:space="preserve">Textbooks </w:t>
      </w:r>
      <w:r w:rsidR="00636C8C">
        <w:rPr>
          <w:bCs/>
          <w:sz w:val="20"/>
          <w:szCs w:val="20"/>
        </w:rPr>
        <w:t>would</w:t>
      </w:r>
      <w:r w:rsidR="00847D18" w:rsidRPr="0040253F">
        <w:rPr>
          <w:bCs/>
          <w:sz w:val="20"/>
          <w:szCs w:val="20"/>
        </w:rPr>
        <w:t xml:space="preserve"> be distributed for upper secondary students at a ratio of 1 book: 2 students</w:t>
      </w:r>
    </w:p>
    <w:p w:rsidR="00460452" w:rsidRPr="0040253F" w:rsidRDefault="00460452" w:rsidP="0040253F">
      <w:pPr>
        <w:ind w:left="360"/>
        <w:jc w:val="both"/>
        <w:rPr>
          <w:bCs/>
          <w:sz w:val="20"/>
          <w:szCs w:val="20"/>
        </w:rPr>
      </w:pPr>
      <w:r w:rsidRPr="0040253F">
        <w:rPr>
          <w:bCs/>
          <w:sz w:val="20"/>
          <w:szCs w:val="20"/>
        </w:rPr>
        <w:t xml:space="preserve">** </w:t>
      </w:r>
      <w:r>
        <w:rPr>
          <w:bCs/>
          <w:sz w:val="20"/>
          <w:szCs w:val="20"/>
        </w:rPr>
        <w:tab/>
      </w:r>
      <w:r w:rsidRPr="0040253F">
        <w:rPr>
          <w:bCs/>
          <w:sz w:val="20"/>
          <w:szCs w:val="20"/>
        </w:rPr>
        <w:t>Financing is insufficient to print upper secondary textbooks for these subjects.</w:t>
      </w:r>
    </w:p>
    <w:p w:rsidR="00CB7124" w:rsidRPr="00CB7124" w:rsidRDefault="00CB7124" w:rsidP="00CB7124">
      <w:pPr>
        <w:jc w:val="both"/>
        <w:rPr>
          <w:bCs/>
          <w:i/>
        </w:rPr>
      </w:pPr>
    </w:p>
    <w:p w:rsidR="00A72040" w:rsidRPr="00A72040" w:rsidRDefault="00A72040" w:rsidP="00A72040">
      <w:pPr>
        <w:jc w:val="both"/>
        <w:rPr>
          <w:b/>
          <w:bCs/>
        </w:rPr>
      </w:pPr>
      <w:r w:rsidRPr="00A72040">
        <w:rPr>
          <w:b/>
          <w:bCs/>
        </w:rPr>
        <w:t xml:space="preserve">Component 3: </w:t>
      </w:r>
      <w:r w:rsidRPr="00A72040">
        <w:rPr>
          <w:b/>
          <w:bCs/>
          <w:lang w:val="en-GB"/>
        </w:rPr>
        <w:t xml:space="preserve">Strengthening </w:t>
      </w:r>
      <w:r w:rsidRPr="00A72040">
        <w:rPr>
          <w:b/>
          <w:bCs/>
        </w:rPr>
        <w:t>of the Ministry of Education’s Institutional Capacity</w:t>
      </w:r>
      <w:r w:rsidR="00DB09A9">
        <w:rPr>
          <w:b/>
          <w:bCs/>
        </w:rPr>
        <w:t xml:space="preserve"> for Preschool Education (US$0.8</w:t>
      </w:r>
      <w:r w:rsidRPr="00A72040">
        <w:rPr>
          <w:b/>
          <w:bCs/>
        </w:rPr>
        <w:t xml:space="preserve"> million) – financed by GPE</w:t>
      </w:r>
    </w:p>
    <w:p w:rsidR="00A72040" w:rsidRPr="00A72040" w:rsidRDefault="00A72040" w:rsidP="00A72040">
      <w:pPr>
        <w:jc w:val="both"/>
        <w:rPr>
          <w:b/>
          <w:bCs/>
        </w:rPr>
      </w:pPr>
    </w:p>
    <w:p w:rsidR="000118AE" w:rsidRPr="00D468FC" w:rsidRDefault="00A72040" w:rsidP="00A72040">
      <w:pPr>
        <w:pStyle w:val="ListParagraph"/>
        <w:numPr>
          <w:ilvl w:val="0"/>
          <w:numId w:val="23"/>
        </w:numPr>
        <w:ind w:left="0" w:firstLine="0"/>
        <w:jc w:val="both"/>
        <w:rPr>
          <w:bCs/>
        </w:rPr>
      </w:pPr>
      <w:r w:rsidRPr="00D468FC">
        <w:rPr>
          <w:bCs/>
        </w:rPr>
        <w:t xml:space="preserve">Component 3 would contribute to strengthening the institutional capacity of MINED to provide preschool education. This </w:t>
      </w:r>
      <w:r w:rsidR="00C25990">
        <w:rPr>
          <w:bCs/>
        </w:rPr>
        <w:t>Component</w:t>
      </w:r>
      <w:r w:rsidRPr="00D468FC">
        <w:rPr>
          <w:bCs/>
        </w:rPr>
        <w:t xml:space="preserve"> has two sub-components.</w:t>
      </w:r>
      <w:r w:rsidR="000118AE" w:rsidRPr="000118AE">
        <w:rPr>
          <w:bCs/>
          <w:lang w:val="en-GB"/>
        </w:rPr>
        <w:t xml:space="preserve"> </w:t>
      </w:r>
    </w:p>
    <w:p w:rsidR="00A72040" w:rsidRPr="00295C05" w:rsidRDefault="00A72040" w:rsidP="00A72040">
      <w:pPr>
        <w:jc w:val="both"/>
        <w:rPr>
          <w:b/>
          <w:bCs/>
          <w:u w:val="single"/>
        </w:rPr>
      </w:pPr>
    </w:p>
    <w:p w:rsidR="00A72040" w:rsidRPr="00D468FC" w:rsidRDefault="00295C05" w:rsidP="00C430B0">
      <w:pPr>
        <w:widowControl w:val="0"/>
        <w:tabs>
          <w:tab w:val="left" w:pos="720"/>
        </w:tabs>
        <w:autoSpaceDE w:val="0"/>
        <w:autoSpaceDN w:val="0"/>
        <w:adjustRightInd w:val="0"/>
        <w:jc w:val="both"/>
        <w:rPr>
          <w:bCs/>
        </w:rPr>
      </w:pPr>
      <w:r>
        <w:rPr>
          <w:bCs/>
        </w:rPr>
        <w:tab/>
      </w:r>
      <w:r w:rsidR="00A72040" w:rsidRPr="00D468FC">
        <w:rPr>
          <w:bCs/>
        </w:rPr>
        <w:t>3.1</w:t>
      </w:r>
      <w:r w:rsidR="00A72040" w:rsidRPr="00D468FC">
        <w:rPr>
          <w:bCs/>
        </w:rPr>
        <w:tab/>
        <w:t>Strengthening of MINED Technical Capacity for Preschool</w:t>
      </w:r>
      <w:r w:rsidR="00C430B0" w:rsidRPr="00D468FC">
        <w:rPr>
          <w:bCs/>
        </w:rPr>
        <w:t xml:space="preserve"> Education</w:t>
      </w:r>
      <w:r w:rsidR="00DB09A9" w:rsidRPr="00D468FC">
        <w:rPr>
          <w:bCs/>
        </w:rPr>
        <w:t xml:space="preserve"> (US$0.15</w:t>
      </w:r>
      <w:r w:rsidR="00A72040" w:rsidRPr="00D468FC">
        <w:rPr>
          <w:bCs/>
        </w:rPr>
        <w:t xml:space="preserve"> million)</w:t>
      </w:r>
    </w:p>
    <w:p w:rsidR="00A72040" w:rsidRPr="00A72040" w:rsidRDefault="00A72040" w:rsidP="00A72040">
      <w:pPr>
        <w:jc w:val="both"/>
        <w:rPr>
          <w:b/>
          <w:bCs/>
        </w:rPr>
      </w:pPr>
    </w:p>
    <w:p w:rsidR="000118AE" w:rsidRPr="008453B5" w:rsidRDefault="00A41E9A" w:rsidP="000118AE">
      <w:pPr>
        <w:pStyle w:val="ListParagraph"/>
        <w:numPr>
          <w:ilvl w:val="0"/>
          <w:numId w:val="23"/>
        </w:numPr>
        <w:ind w:left="0" w:firstLine="0"/>
        <w:jc w:val="both"/>
        <w:rPr>
          <w:bCs/>
        </w:rPr>
      </w:pPr>
      <w:r>
        <w:rPr>
          <w:bCs/>
          <w:lang w:val="en-GB"/>
        </w:rPr>
        <w:t>This sub-component</w:t>
      </w:r>
      <w:r w:rsidR="0013694B">
        <w:rPr>
          <w:bCs/>
          <w:lang w:val="en-GB"/>
        </w:rPr>
        <w:t xml:space="preserve"> would finance s</w:t>
      </w:r>
      <w:r w:rsidR="0013694B" w:rsidRPr="00987549">
        <w:rPr>
          <w:bCs/>
          <w:lang w:val="en-GB"/>
        </w:rPr>
        <w:t>trengthening of the capacity of the M</w:t>
      </w:r>
      <w:r w:rsidR="0013694B">
        <w:rPr>
          <w:bCs/>
          <w:lang w:val="en-GB"/>
        </w:rPr>
        <w:t>INED</w:t>
      </w:r>
      <w:r w:rsidR="0013694B" w:rsidRPr="00987549">
        <w:rPr>
          <w:bCs/>
          <w:lang w:val="en-GB"/>
        </w:rPr>
        <w:t>’s General Directorate of Preschool Education</w:t>
      </w:r>
      <w:r w:rsidR="0013694B">
        <w:rPr>
          <w:bCs/>
          <w:lang w:val="en-GB"/>
        </w:rPr>
        <w:t xml:space="preserve"> (</w:t>
      </w:r>
      <w:r w:rsidR="0013694B">
        <w:rPr>
          <w:bCs/>
          <w:i/>
          <w:lang w:val="en-GB"/>
        </w:rPr>
        <w:t>Dirección General de la Educación Prescolar</w:t>
      </w:r>
      <w:r w:rsidR="0013694B">
        <w:rPr>
          <w:bCs/>
          <w:lang w:val="en-GB"/>
        </w:rPr>
        <w:t>), through: (i)</w:t>
      </w:r>
      <w:r w:rsidR="0013694B" w:rsidRPr="00987549">
        <w:rPr>
          <w:bCs/>
          <w:lang w:val="en-GB"/>
        </w:rPr>
        <w:t xml:space="preserve"> </w:t>
      </w:r>
      <w:r w:rsidR="0013694B" w:rsidRPr="00987549">
        <w:rPr>
          <w:bCs/>
        </w:rPr>
        <w:t xml:space="preserve">the provision of training and professional development to MINED’s preschool education technical specialists; (ii) </w:t>
      </w:r>
      <w:r w:rsidR="0013694B" w:rsidRPr="00987549">
        <w:rPr>
          <w:bCs/>
          <w:lang w:val="en-GB"/>
        </w:rPr>
        <w:t>the provision of basic office and information and communication technology equipment</w:t>
      </w:r>
      <w:r w:rsidR="0013694B" w:rsidRPr="00987549">
        <w:rPr>
          <w:bCs/>
        </w:rPr>
        <w:t>; (iii) the provision of technical assistance for the development of training materials; and (iv) the provision of technical assistance for the carrying out of results-based management, monitoring and evaluation</w:t>
      </w:r>
      <w:r w:rsidR="0013694B">
        <w:rPr>
          <w:bCs/>
        </w:rPr>
        <w:t xml:space="preserve"> activities</w:t>
      </w:r>
      <w:r w:rsidR="009224C6">
        <w:rPr>
          <w:bCs/>
        </w:rPr>
        <w:t>.</w:t>
      </w:r>
    </w:p>
    <w:p w:rsidR="00532079" w:rsidRDefault="00532079" w:rsidP="00D468FC">
      <w:pPr>
        <w:jc w:val="both"/>
        <w:rPr>
          <w:bCs/>
          <w:lang w:val="en-GB"/>
        </w:rPr>
      </w:pPr>
    </w:p>
    <w:p w:rsidR="00A72040" w:rsidRPr="00A72040" w:rsidRDefault="00532079" w:rsidP="00D468FC">
      <w:pPr>
        <w:pStyle w:val="ListParagraph"/>
        <w:numPr>
          <w:ilvl w:val="0"/>
          <w:numId w:val="23"/>
        </w:numPr>
        <w:ind w:left="0" w:firstLine="0"/>
        <w:jc w:val="both"/>
        <w:rPr>
          <w:bCs/>
          <w:lang w:val="en-GB"/>
        </w:rPr>
      </w:pPr>
      <w:r>
        <w:rPr>
          <w:bCs/>
          <w:lang w:val="en-GB"/>
        </w:rPr>
        <w:t xml:space="preserve">In particular, the Project would finance an Operations Assistant for the three years of the Project responsible for supporting the activities related to teacher training in preschools.  </w:t>
      </w:r>
      <w:r w:rsidR="00A72040" w:rsidRPr="00A72040">
        <w:rPr>
          <w:bCs/>
          <w:lang w:val="en-GB"/>
        </w:rPr>
        <w:t xml:space="preserve"> </w:t>
      </w:r>
    </w:p>
    <w:p w:rsidR="00A72040" w:rsidRPr="00D468FC" w:rsidRDefault="00295C05" w:rsidP="00C430B0">
      <w:pPr>
        <w:widowControl w:val="0"/>
        <w:tabs>
          <w:tab w:val="left" w:pos="720"/>
        </w:tabs>
        <w:autoSpaceDE w:val="0"/>
        <w:autoSpaceDN w:val="0"/>
        <w:adjustRightInd w:val="0"/>
        <w:jc w:val="both"/>
        <w:rPr>
          <w:bCs/>
        </w:rPr>
      </w:pPr>
      <w:r>
        <w:rPr>
          <w:bCs/>
        </w:rPr>
        <w:lastRenderedPageBreak/>
        <w:tab/>
      </w:r>
      <w:r w:rsidR="00C430B0" w:rsidRPr="00D468FC">
        <w:rPr>
          <w:bCs/>
        </w:rPr>
        <w:t>3.2</w:t>
      </w:r>
      <w:r w:rsidR="00C430B0" w:rsidRPr="00D468FC">
        <w:rPr>
          <w:bCs/>
        </w:rPr>
        <w:tab/>
      </w:r>
      <w:r w:rsidR="00A72040" w:rsidRPr="00D468FC">
        <w:rPr>
          <w:bCs/>
        </w:rPr>
        <w:t>Project Management, Fiduciary Controls and Audits for the Activitie</w:t>
      </w:r>
      <w:r w:rsidR="00DB09A9" w:rsidRPr="00D468FC">
        <w:rPr>
          <w:bCs/>
        </w:rPr>
        <w:t>s Financed under the GPE (US$0.65</w:t>
      </w:r>
      <w:r w:rsidR="00A72040" w:rsidRPr="00D468FC">
        <w:rPr>
          <w:bCs/>
        </w:rPr>
        <w:t xml:space="preserve"> Million)</w:t>
      </w:r>
    </w:p>
    <w:p w:rsidR="00A72040" w:rsidRPr="00A72040" w:rsidRDefault="00A72040" w:rsidP="00A72040">
      <w:pPr>
        <w:jc w:val="both"/>
        <w:rPr>
          <w:b/>
          <w:bCs/>
        </w:rPr>
      </w:pPr>
    </w:p>
    <w:p w:rsidR="00A72040" w:rsidRDefault="00A41E9A" w:rsidP="00D468FC">
      <w:pPr>
        <w:pStyle w:val="ListParagraph"/>
        <w:numPr>
          <w:ilvl w:val="0"/>
          <w:numId w:val="23"/>
        </w:numPr>
        <w:ind w:left="0" w:firstLine="0"/>
        <w:jc w:val="both"/>
        <w:rPr>
          <w:bCs/>
          <w:lang w:val="en-GB"/>
        </w:rPr>
      </w:pPr>
      <w:r>
        <w:rPr>
          <w:bCs/>
          <w:lang w:val="en-GB"/>
        </w:rPr>
        <w:t>This sub-component</w:t>
      </w:r>
      <w:r w:rsidR="00313CFD">
        <w:rPr>
          <w:bCs/>
          <w:lang w:val="en-GB"/>
        </w:rPr>
        <w:t xml:space="preserve"> would finance the provision of s</w:t>
      </w:r>
      <w:r w:rsidR="00313CFD" w:rsidRPr="00F90555">
        <w:rPr>
          <w:bCs/>
          <w:lang w:val="en-GB"/>
        </w:rPr>
        <w:t xml:space="preserve">upport to MINED in the administration, financial management, auditing and procurement aspects of </w:t>
      </w:r>
      <w:r w:rsidR="00313CFD">
        <w:rPr>
          <w:bCs/>
          <w:lang w:val="en-GB"/>
        </w:rPr>
        <w:t xml:space="preserve">Component 1 and Component 3 of </w:t>
      </w:r>
      <w:r w:rsidR="00313CFD" w:rsidRPr="00F90555">
        <w:rPr>
          <w:bCs/>
          <w:lang w:val="en-GB"/>
        </w:rPr>
        <w:t>the Project</w:t>
      </w:r>
      <w:r w:rsidR="00313CFD">
        <w:rPr>
          <w:bCs/>
          <w:lang w:val="en-GB"/>
        </w:rPr>
        <w:t>, including,</w:t>
      </w:r>
      <w:r w:rsidR="00313CFD" w:rsidRPr="00F90555">
        <w:rPr>
          <w:bCs/>
          <w:lang w:val="en-GB"/>
        </w:rPr>
        <w:t xml:space="preserve"> </w:t>
      </w:r>
      <w:r w:rsidR="00313CFD" w:rsidRPr="008F3FE7">
        <w:rPr>
          <w:bCs/>
          <w:i/>
          <w:lang w:val="en-GB"/>
        </w:rPr>
        <w:t>inter alia</w:t>
      </w:r>
      <w:r w:rsidR="00313CFD" w:rsidRPr="00F90555">
        <w:rPr>
          <w:bCs/>
          <w:lang w:val="en-GB"/>
        </w:rPr>
        <w:t>: (i) the provision of technical assistance and training to MINED’s staff</w:t>
      </w:r>
      <w:r w:rsidR="00313CFD">
        <w:rPr>
          <w:bCs/>
          <w:lang w:val="en-GB"/>
        </w:rPr>
        <w:t xml:space="preserve"> on said aspects</w:t>
      </w:r>
      <w:r w:rsidR="00313CFD" w:rsidRPr="00F90555">
        <w:rPr>
          <w:bCs/>
          <w:lang w:val="en-GB"/>
        </w:rPr>
        <w:t xml:space="preserve">; (ii) the acquisition of software, information and communication hardware, and small furniture items; </w:t>
      </w:r>
      <w:r w:rsidR="00313CFD">
        <w:rPr>
          <w:bCs/>
          <w:lang w:val="en-GB"/>
        </w:rPr>
        <w:t xml:space="preserve">and </w:t>
      </w:r>
      <w:r w:rsidR="00313CFD" w:rsidRPr="00F90555">
        <w:rPr>
          <w:bCs/>
          <w:lang w:val="en-GB"/>
        </w:rPr>
        <w:t>(iii) the carryi</w:t>
      </w:r>
      <w:r w:rsidR="00313CFD">
        <w:rPr>
          <w:bCs/>
          <w:lang w:val="en-GB"/>
        </w:rPr>
        <w:t>ng out of the required Project audit for the Component 1 and Component 3 of the</w:t>
      </w:r>
      <w:r w:rsidR="00313CFD" w:rsidRPr="00F90555">
        <w:rPr>
          <w:bCs/>
          <w:lang w:val="en-GB"/>
        </w:rPr>
        <w:t xml:space="preserve"> Project</w:t>
      </w:r>
      <w:r w:rsidR="00A72040" w:rsidRPr="00A72040">
        <w:rPr>
          <w:bCs/>
          <w:lang w:val="en-GB"/>
        </w:rPr>
        <w:t>.</w:t>
      </w:r>
    </w:p>
    <w:p w:rsidR="00895D79" w:rsidRDefault="00895D79" w:rsidP="00532079">
      <w:pPr>
        <w:pStyle w:val="ListParagraph"/>
        <w:ind w:left="0"/>
        <w:jc w:val="both"/>
        <w:rPr>
          <w:bCs/>
          <w:lang w:val="en-GB"/>
        </w:rPr>
      </w:pPr>
    </w:p>
    <w:p w:rsidR="00532079" w:rsidRPr="00D51EAB" w:rsidRDefault="00532079" w:rsidP="00D468FC">
      <w:pPr>
        <w:pStyle w:val="ListParagraph"/>
        <w:numPr>
          <w:ilvl w:val="0"/>
          <w:numId w:val="23"/>
        </w:numPr>
        <w:spacing w:before="240"/>
        <w:ind w:left="0" w:firstLine="0"/>
        <w:jc w:val="both"/>
        <w:rPr>
          <w:bCs/>
          <w:lang w:val="en-GB"/>
        </w:rPr>
      </w:pPr>
      <w:r w:rsidRPr="00D51EAB">
        <w:rPr>
          <w:bCs/>
          <w:lang w:val="en-GB"/>
        </w:rPr>
        <w:t xml:space="preserve">In particular, the Project would finance </w:t>
      </w:r>
      <w:r w:rsidR="004B2E58" w:rsidRPr="00D51EAB">
        <w:rPr>
          <w:bCs/>
          <w:lang w:val="en-GB"/>
        </w:rPr>
        <w:t xml:space="preserve">the following fiduciary personnel: (i) </w:t>
      </w:r>
      <w:r w:rsidR="00D51EAB" w:rsidRPr="00D51EAB">
        <w:rPr>
          <w:bCs/>
          <w:lang w:val="en-GB"/>
        </w:rPr>
        <w:t xml:space="preserve">one </w:t>
      </w:r>
      <w:r w:rsidR="00D51EAB" w:rsidRPr="00D51EAB">
        <w:t>senior financial management specialist, (ii) two accountant; (iii) and six controllers</w:t>
      </w:r>
      <w:r w:rsidR="00D51EAB" w:rsidRPr="00D51EAB">
        <w:rPr>
          <w:bCs/>
          <w:lang w:val="en-GB"/>
        </w:rPr>
        <w:t xml:space="preserve"> </w:t>
      </w:r>
      <w:r w:rsidRPr="00D51EAB">
        <w:rPr>
          <w:bCs/>
          <w:lang w:val="en-GB"/>
        </w:rPr>
        <w:t>(</w:t>
      </w:r>
      <w:r w:rsidRPr="00D51EAB">
        <w:rPr>
          <w:bCs/>
          <w:i/>
          <w:lang w:val="en-GB"/>
        </w:rPr>
        <w:t>rendición de cuentas</w:t>
      </w:r>
      <w:r w:rsidR="00D51EAB" w:rsidRPr="00D51EAB">
        <w:rPr>
          <w:bCs/>
          <w:lang w:val="en-GB"/>
        </w:rPr>
        <w:t>); and</w:t>
      </w:r>
      <w:r w:rsidR="004B2E58" w:rsidRPr="00D51EAB">
        <w:rPr>
          <w:bCs/>
          <w:lang w:val="en-GB"/>
        </w:rPr>
        <w:t xml:space="preserve"> </w:t>
      </w:r>
      <w:proofErr w:type="gramStart"/>
      <w:r w:rsidR="004B2E58" w:rsidRPr="00D51EAB">
        <w:rPr>
          <w:bCs/>
          <w:lang w:val="en-GB"/>
        </w:rPr>
        <w:t>(iv) t</w:t>
      </w:r>
      <w:r w:rsidR="0000765D">
        <w:rPr>
          <w:bCs/>
          <w:lang w:val="en-GB"/>
        </w:rPr>
        <w:t>hree</w:t>
      </w:r>
      <w:proofErr w:type="gramEnd"/>
      <w:r w:rsidR="00A41E9A">
        <w:rPr>
          <w:bCs/>
          <w:lang w:val="en-GB"/>
        </w:rPr>
        <w:t xml:space="preserve"> procurement a</w:t>
      </w:r>
      <w:r w:rsidR="004B2E58" w:rsidRPr="00D51EAB">
        <w:rPr>
          <w:bCs/>
          <w:lang w:val="en-GB"/>
        </w:rPr>
        <w:t xml:space="preserve">nalysts for three years.  The Project would also finance </w:t>
      </w:r>
      <w:r w:rsidR="00D51EAB" w:rsidRPr="00D51EAB">
        <w:rPr>
          <w:bCs/>
          <w:lang w:val="en-GB"/>
        </w:rPr>
        <w:t xml:space="preserve">basic office equipment for the </w:t>
      </w:r>
      <w:r w:rsidR="0000765D">
        <w:rPr>
          <w:bCs/>
          <w:lang w:val="en-GB"/>
        </w:rPr>
        <w:t>A</w:t>
      </w:r>
      <w:r w:rsidR="00D51EAB" w:rsidRPr="00D51EAB">
        <w:rPr>
          <w:bCs/>
          <w:lang w:val="en-GB"/>
        </w:rPr>
        <w:t>F</w:t>
      </w:r>
      <w:r w:rsidR="0000765D">
        <w:rPr>
          <w:bCs/>
          <w:lang w:val="en-GB"/>
        </w:rPr>
        <w:t>GD</w:t>
      </w:r>
      <w:r w:rsidR="00A90248">
        <w:rPr>
          <w:bCs/>
          <w:lang w:val="en-GB"/>
        </w:rPr>
        <w:t xml:space="preserve">, </w:t>
      </w:r>
      <w:r w:rsidR="004B2E58" w:rsidRPr="00D51EAB">
        <w:rPr>
          <w:bCs/>
          <w:lang w:val="en-GB"/>
        </w:rPr>
        <w:t>the Procurement Division</w:t>
      </w:r>
      <w:r w:rsidR="00A90248">
        <w:rPr>
          <w:bCs/>
          <w:lang w:val="en-GB"/>
        </w:rPr>
        <w:t xml:space="preserve"> and the Division of Projects</w:t>
      </w:r>
      <w:r w:rsidR="004B2E58" w:rsidRPr="00D51EAB">
        <w:rPr>
          <w:bCs/>
          <w:lang w:val="en-GB"/>
        </w:rPr>
        <w:t xml:space="preserve"> </w:t>
      </w:r>
      <w:r w:rsidR="00A90248">
        <w:rPr>
          <w:bCs/>
          <w:lang w:val="en-GB"/>
        </w:rPr>
        <w:t>and a total of four</w:t>
      </w:r>
      <w:r w:rsidR="00D51EAB">
        <w:rPr>
          <w:bCs/>
          <w:lang w:val="en-GB"/>
        </w:rPr>
        <w:t xml:space="preserve"> vehicles</w:t>
      </w:r>
      <w:r w:rsidR="00A90248">
        <w:rPr>
          <w:bCs/>
          <w:lang w:val="en-GB"/>
        </w:rPr>
        <w:t>, two</w:t>
      </w:r>
      <w:r w:rsidR="00D51EAB">
        <w:rPr>
          <w:bCs/>
          <w:lang w:val="en-GB"/>
        </w:rPr>
        <w:t xml:space="preserve"> for the </w:t>
      </w:r>
      <w:r w:rsidR="0000765D">
        <w:rPr>
          <w:bCs/>
          <w:lang w:val="en-GB"/>
        </w:rPr>
        <w:t>AFGD</w:t>
      </w:r>
      <w:r w:rsidR="00A90248">
        <w:rPr>
          <w:bCs/>
          <w:lang w:val="en-GB"/>
        </w:rPr>
        <w:t xml:space="preserve"> and two for the Division of Projects</w:t>
      </w:r>
      <w:r w:rsidR="004B2E58" w:rsidRPr="00D51EAB">
        <w:rPr>
          <w:bCs/>
          <w:lang w:val="en-GB"/>
        </w:rPr>
        <w:t xml:space="preserve">.  </w:t>
      </w:r>
    </w:p>
    <w:p w:rsidR="00A72040" w:rsidRPr="00A72040" w:rsidRDefault="00A72040" w:rsidP="00A72040">
      <w:pPr>
        <w:jc w:val="both"/>
        <w:rPr>
          <w:b/>
          <w:bCs/>
          <w:lang w:val="en-GB"/>
        </w:rPr>
      </w:pPr>
    </w:p>
    <w:p w:rsidR="00A72040" w:rsidRPr="00A72040" w:rsidRDefault="00A72040" w:rsidP="00A72040">
      <w:pPr>
        <w:jc w:val="both"/>
        <w:rPr>
          <w:b/>
          <w:bCs/>
        </w:rPr>
      </w:pPr>
      <w:r w:rsidRPr="00A72040">
        <w:rPr>
          <w:b/>
          <w:bCs/>
        </w:rPr>
        <w:t>Component 4: Strengthening of the Ministry of Education’s Institutional Capacity for L</w:t>
      </w:r>
      <w:r w:rsidR="00DB09A9">
        <w:rPr>
          <w:b/>
          <w:bCs/>
        </w:rPr>
        <w:t>ower Secondary Education (US$1.5</w:t>
      </w:r>
      <w:r w:rsidRPr="00A72040">
        <w:rPr>
          <w:b/>
          <w:bCs/>
        </w:rPr>
        <w:t xml:space="preserve"> million) – financed by EU</w:t>
      </w:r>
    </w:p>
    <w:p w:rsidR="00A72040" w:rsidRPr="00A72040" w:rsidRDefault="00A72040" w:rsidP="00A72040">
      <w:pPr>
        <w:jc w:val="both"/>
        <w:rPr>
          <w:b/>
          <w:bCs/>
        </w:rPr>
      </w:pPr>
    </w:p>
    <w:p w:rsidR="00A72040" w:rsidRPr="00A72040" w:rsidRDefault="00A72040" w:rsidP="00D468FC">
      <w:pPr>
        <w:pStyle w:val="ListParagraph"/>
        <w:numPr>
          <w:ilvl w:val="0"/>
          <w:numId w:val="23"/>
        </w:numPr>
        <w:ind w:left="0" w:firstLine="0"/>
        <w:jc w:val="both"/>
        <w:rPr>
          <w:bCs/>
          <w:lang w:val="en-GB"/>
        </w:rPr>
      </w:pPr>
      <w:r w:rsidRPr="00A72040">
        <w:rPr>
          <w:bCs/>
          <w:lang w:val="en-GB"/>
        </w:rPr>
        <w:t xml:space="preserve">Component 4 would contribute to strengthening the institutional capacity of MINED to provide lower secondary education. This </w:t>
      </w:r>
      <w:r w:rsidR="00C25990">
        <w:rPr>
          <w:bCs/>
          <w:lang w:val="en-GB"/>
        </w:rPr>
        <w:t>Component</w:t>
      </w:r>
      <w:r w:rsidRPr="00A72040">
        <w:rPr>
          <w:bCs/>
          <w:lang w:val="en-GB"/>
        </w:rPr>
        <w:t xml:space="preserve"> has four sub-components.</w:t>
      </w:r>
    </w:p>
    <w:p w:rsidR="00A72040" w:rsidRPr="00A72040" w:rsidRDefault="00A72040" w:rsidP="00C430B0">
      <w:pPr>
        <w:pStyle w:val="ListParagraph"/>
        <w:ind w:left="0"/>
        <w:jc w:val="both"/>
        <w:rPr>
          <w:bCs/>
          <w:lang w:val="en-GB"/>
        </w:rPr>
      </w:pPr>
    </w:p>
    <w:p w:rsidR="00A72040" w:rsidRPr="00A72040" w:rsidRDefault="00A72040" w:rsidP="00A72040">
      <w:pPr>
        <w:numPr>
          <w:ilvl w:val="0"/>
          <w:numId w:val="39"/>
        </w:numPr>
        <w:jc w:val="both"/>
        <w:rPr>
          <w:b/>
          <w:bCs/>
          <w:i/>
          <w:vanish/>
        </w:rPr>
      </w:pPr>
    </w:p>
    <w:p w:rsidR="00A72040" w:rsidRPr="00D468FC" w:rsidRDefault="00295C05" w:rsidP="00C430B0">
      <w:pPr>
        <w:widowControl w:val="0"/>
        <w:tabs>
          <w:tab w:val="left" w:pos="720"/>
        </w:tabs>
        <w:autoSpaceDE w:val="0"/>
        <w:autoSpaceDN w:val="0"/>
        <w:adjustRightInd w:val="0"/>
        <w:jc w:val="both"/>
        <w:rPr>
          <w:bCs/>
        </w:rPr>
      </w:pPr>
      <w:r>
        <w:rPr>
          <w:bCs/>
        </w:rPr>
        <w:tab/>
      </w:r>
      <w:r w:rsidR="00C430B0" w:rsidRPr="00D468FC">
        <w:rPr>
          <w:bCs/>
        </w:rPr>
        <w:t>4.1</w:t>
      </w:r>
      <w:r w:rsidR="00C430B0" w:rsidRPr="00D468FC">
        <w:rPr>
          <w:bCs/>
        </w:rPr>
        <w:tab/>
      </w:r>
      <w:r w:rsidR="00A72040" w:rsidRPr="00D468FC">
        <w:rPr>
          <w:bCs/>
        </w:rPr>
        <w:t>Strengthening of MINED’s Technical Capacity General Directorat</w:t>
      </w:r>
      <w:r w:rsidR="00DB09A9" w:rsidRPr="00D468FC">
        <w:rPr>
          <w:bCs/>
        </w:rPr>
        <w:t>e of Secondary Education (US$0.1</w:t>
      </w:r>
      <w:r w:rsidR="00A72040" w:rsidRPr="00D468FC">
        <w:rPr>
          <w:bCs/>
        </w:rPr>
        <w:t xml:space="preserve"> million)</w:t>
      </w:r>
    </w:p>
    <w:p w:rsidR="00A72040" w:rsidRPr="00A72040" w:rsidRDefault="00A72040" w:rsidP="00A72040">
      <w:pPr>
        <w:jc w:val="both"/>
        <w:rPr>
          <w:b/>
          <w:bCs/>
        </w:rPr>
      </w:pPr>
    </w:p>
    <w:p w:rsidR="00014AF4" w:rsidRPr="00014AF4" w:rsidRDefault="00A41E9A" w:rsidP="00CF63AB">
      <w:pPr>
        <w:pStyle w:val="ListParagraph"/>
        <w:numPr>
          <w:ilvl w:val="0"/>
          <w:numId w:val="23"/>
        </w:numPr>
        <w:ind w:left="0" w:firstLine="0"/>
        <w:jc w:val="both"/>
        <w:rPr>
          <w:bCs/>
          <w:lang w:val="en-GB"/>
        </w:rPr>
      </w:pPr>
      <w:r>
        <w:rPr>
          <w:bCs/>
          <w:lang w:val="en-GB"/>
        </w:rPr>
        <w:t>This sub-component</w:t>
      </w:r>
      <w:r w:rsidR="00313CFD">
        <w:rPr>
          <w:bCs/>
          <w:lang w:val="en-GB"/>
        </w:rPr>
        <w:t xml:space="preserve"> would finance </w:t>
      </w:r>
      <w:r w:rsidR="00313CFD" w:rsidRPr="00CF63AB">
        <w:rPr>
          <w:bCs/>
        </w:rPr>
        <w:t>strengthening of the capacity of MINED’s General Directorate of Secondary Education (</w:t>
      </w:r>
      <w:r w:rsidR="00313CFD" w:rsidRPr="00794CBF">
        <w:rPr>
          <w:bCs/>
          <w:i/>
        </w:rPr>
        <w:t>Dirección General de Educación Secundaria</w:t>
      </w:r>
      <w:r w:rsidR="00313CFD" w:rsidRPr="00CF63AB">
        <w:rPr>
          <w:bCs/>
        </w:rPr>
        <w:t xml:space="preserve">) to monitor curricula, prepare classroom observation guides and monitor textbook distribution and utilization, through, </w:t>
      </w:r>
      <w:r w:rsidR="00313CFD" w:rsidRPr="00794CBF">
        <w:rPr>
          <w:bCs/>
          <w:i/>
        </w:rPr>
        <w:t>inter alia</w:t>
      </w:r>
      <w:r w:rsidR="00313CFD" w:rsidRPr="00CF63AB">
        <w:rPr>
          <w:bCs/>
        </w:rPr>
        <w:t>: (i) the provision of technical assistance; (ii) the carrying out of training activities for staff;</w:t>
      </w:r>
      <w:r w:rsidR="00313CFD">
        <w:rPr>
          <w:bCs/>
        </w:rPr>
        <w:t xml:space="preserve"> and</w:t>
      </w:r>
      <w:r w:rsidR="00313CFD" w:rsidRPr="00CF63AB">
        <w:rPr>
          <w:bCs/>
        </w:rPr>
        <w:t xml:space="preserve"> (iii) the provision</w:t>
      </w:r>
      <w:r w:rsidR="00313CFD" w:rsidRPr="00CF63AB">
        <w:rPr>
          <w:color w:val="000000"/>
        </w:rPr>
        <w:t xml:space="preserve"> of basic office and information and communication technology equipment</w:t>
      </w:r>
      <w:r w:rsidR="00014AF4" w:rsidRPr="004B1856">
        <w:rPr>
          <w:color w:val="000000"/>
        </w:rPr>
        <w:t>.</w:t>
      </w:r>
    </w:p>
    <w:p w:rsidR="00014AF4" w:rsidRPr="00A72040" w:rsidRDefault="00014AF4" w:rsidP="00CF63AB">
      <w:pPr>
        <w:pStyle w:val="ListParagraph"/>
        <w:ind w:left="0"/>
        <w:jc w:val="both"/>
        <w:rPr>
          <w:bCs/>
          <w:lang w:val="en-GB"/>
        </w:rPr>
      </w:pPr>
    </w:p>
    <w:p w:rsidR="00A72040" w:rsidRPr="00D468FC" w:rsidRDefault="00295C05" w:rsidP="00C430B0">
      <w:pPr>
        <w:widowControl w:val="0"/>
        <w:tabs>
          <w:tab w:val="left" w:pos="720"/>
        </w:tabs>
        <w:autoSpaceDE w:val="0"/>
        <w:autoSpaceDN w:val="0"/>
        <w:adjustRightInd w:val="0"/>
        <w:jc w:val="both"/>
        <w:rPr>
          <w:bCs/>
        </w:rPr>
      </w:pPr>
      <w:r>
        <w:rPr>
          <w:bCs/>
        </w:rPr>
        <w:tab/>
      </w:r>
      <w:r w:rsidR="00C430B0" w:rsidRPr="00D468FC">
        <w:rPr>
          <w:bCs/>
        </w:rPr>
        <w:t>4.2</w:t>
      </w:r>
      <w:r w:rsidR="00C430B0" w:rsidRPr="00D468FC">
        <w:rPr>
          <w:bCs/>
        </w:rPr>
        <w:tab/>
      </w:r>
      <w:r w:rsidR="00A72040" w:rsidRPr="00D468FC">
        <w:rPr>
          <w:bCs/>
        </w:rPr>
        <w:t>Strengthening of MINED’s</w:t>
      </w:r>
      <w:r w:rsidR="00DB09A9" w:rsidRPr="00D468FC">
        <w:rPr>
          <w:bCs/>
        </w:rPr>
        <w:t xml:space="preserve"> Directorate of Training (US$0.1</w:t>
      </w:r>
      <w:r w:rsidR="00A72040" w:rsidRPr="00D468FC">
        <w:rPr>
          <w:bCs/>
        </w:rPr>
        <w:t xml:space="preserve"> million)</w:t>
      </w:r>
    </w:p>
    <w:p w:rsidR="00A72040" w:rsidRPr="00A72040" w:rsidRDefault="00A72040" w:rsidP="00A72040">
      <w:pPr>
        <w:jc w:val="both"/>
        <w:rPr>
          <w:b/>
          <w:bCs/>
        </w:rPr>
      </w:pPr>
    </w:p>
    <w:p w:rsidR="00014AF4" w:rsidRPr="00014AF4" w:rsidRDefault="00A41E9A" w:rsidP="00014AF4">
      <w:pPr>
        <w:pStyle w:val="ListParagraph"/>
        <w:numPr>
          <w:ilvl w:val="0"/>
          <w:numId w:val="23"/>
        </w:numPr>
        <w:ind w:left="0" w:firstLine="0"/>
        <w:jc w:val="both"/>
        <w:rPr>
          <w:bCs/>
          <w:lang w:val="en-GB"/>
        </w:rPr>
      </w:pPr>
      <w:r>
        <w:rPr>
          <w:bCs/>
          <w:lang w:val="en-GB"/>
        </w:rPr>
        <w:t>This sub-component</w:t>
      </w:r>
      <w:r w:rsidR="0057420F">
        <w:rPr>
          <w:bCs/>
          <w:lang w:val="en-GB"/>
        </w:rPr>
        <w:t xml:space="preserve"> would finance s</w:t>
      </w:r>
      <w:r w:rsidR="0057420F" w:rsidRPr="00CF63AB">
        <w:rPr>
          <w:bCs/>
        </w:rPr>
        <w:t>trengthening of MINED’s Directorate of Training (</w:t>
      </w:r>
      <w:r w:rsidR="0057420F" w:rsidRPr="00D45D6B">
        <w:rPr>
          <w:bCs/>
          <w:i/>
        </w:rPr>
        <w:t>Dirección General de Formación Docente</w:t>
      </w:r>
      <w:r w:rsidR="0057420F" w:rsidRPr="0015014A">
        <w:rPr>
          <w:bCs/>
        </w:rPr>
        <w:t xml:space="preserve">) to deliver teacher training activities, through, </w:t>
      </w:r>
      <w:r w:rsidR="0057420F" w:rsidRPr="00D45D6B">
        <w:rPr>
          <w:bCs/>
          <w:i/>
        </w:rPr>
        <w:t>inter alia</w:t>
      </w:r>
      <w:r w:rsidR="0057420F" w:rsidRPr="0015014A">
        <w:rPr>
          <w:bCs/>
        </w:rPr>
        <w:t>: (i) the provision of technical assistance for the preparation of training; (ii) the provision of office and information and communications technology equipment;</w:t>
      </w:r>
      <w:r w:rsidR="0057420F">
        <w:rPr>
          <w:bCs/>
        </w:rPr>
        <w:t xml:space="preserve"> and</w:t>
      </w:r>
      <w:r w:rsidR="0057420F" w:rsidRPr="0015014A">
        <w:rPr>
          <w:bCs/>
        </w:rPr>
        <w:t xml:space="preserve"> (iii) the provision of training to staff in educational research</w:t>
      </w:r>
      <w:r w:rsidR="00014AF4" w:rsidRPr="00014AF4">
        <w:rPr>
          <w:bCs/>
        </w:rPr>
        <w:t>.</w:t>
      </w:r>
    </w:p>
    <w:p w:rsidR="00C430B0" w:rsidRDefault="00C430B0" w:rsidP="00C430B0">
      <w:pPr>
        <w:pStyle w:val="ListParagraph"/>
        <w:ind w:left="0"/>
        <w:jc w:val="both"/>
        <w:rPr>
          <w:bCs/>
          <w:lang w:val="en-GB"/>
        </w:rPr>
      </w:pPr>
    </w:p>
    <w:p w:rsidR="00C430B0" w:rsidRDefault="00C430B0" w:rsidP="00D468FC">
      <w:pPr>
        <w:pStyle w:val="ListParagraph"/>
        <w:numPr>
          <w:ilvl w:val="0"/>
          <w:numId w:val="23"/>
        </w:numPr>
        <w:ind w:left="0" w:firstLine="0"/>
        <w:jc w:val="both"/>
        <w:rPr>
          <w:bCs/>
          <w:lang w:val="en-GB"/>
        </w:rPr>
      </w:pPr>
      <w:r w:rsidRPr="00C430B0">
        <w:rPr>
          <w:bCs/>
          <w:lang w:val="en-GB"/>
        </w:rPr>
        <w:t xml:space="preserve">This activity would support institutional capacity for the planning, training, monitoring and evaluation activities associated with the implementation of the secondary curriculum, at both central and decentralized levels.  The secondary education curriculum was extensively revised in 2007, but since then MINED has not provided teacher training in its application or new textbooks aligned with this curriculum, such that it remains unimplemented in many respects.  </w:t>
      </w:r>
      <w:r w:rsidRPr="00C430B0">
        <w:rPr>
          <w:bCs/>
          <w:lang w:val="en-GB"/>
        </w:rPr>
        <w:lastRenderedPageBreak/>
        <w:t xml:space="preserve">As described in </w:t>
      </w:r>
      <w:r w:rsidR="003629DC">
        <w:rPr>
          <w:bCs/>
          <w:lang w:val="en-GB"/>
        </w:rPr>
        <w:t>sub-c</w:t>
      </w:r>
      <w:r w:rsidRPr="00C430B0">
        <w:rPr>
          <w:bCs/>
          <w:lang w:val="en-GB"/>
        </w:rPr>
        <w:t>omponents 2.2 and 2.3, the Project is making major investments in teacher training and textbook provision for all students in the country in all subjects, so that the revised curriculum is actually implemented.  Achieving these tasks would require strengthening of MINED’s institutional capacity for the planning, training, monitoring and evaluation activities associated with the implementation of the secondary curriculum, at both central and decentralized levels.</w:t>
      </w:r>
    </w:p>
    <w:p w:rsidR="00EC4B95" w:rsidRDefault="00EC4B95" w:rsidP="00EC4B95">
      <w:pPr>
        <w:pStyle w:val="ListParagraph"/>
        <w:ind w:left="0"/>
        <w:jc w:val="both"/>
        <w:rPr>
          <w:bCs/>
          <w:lang w:val="en-GB"/>
        </w:rPr>
      </w:pPr>
    </w:p>
    <w:p w:rsidR="00A72040" w:rsidRPr="00D468FC" w:rsidRDefault="00295C05" w:rsidP="00C430B0">
      <w:pPr>
        <w:widowControl w:val="0"/>
        <w:tabs>
          <w:tab w:val="left" w:pos="720"/>
        </w:tabs>
        <w:autoSpaceDE w:val="0"/>
        <w:autoSpaceDN w:val="0"/>
        <w:adjustRightInd w:val="0"/>
        <w:jc w:val="both"/>
        <w:rPr>
          <w:bCs/>
        </w:rPr>
      </w:pPr>
      <w:r>
        <w:rPr>
          <w:bCs/>
        </w:rPr>
        <w:tab/>
      </w:r>
      <w:r w:rsidR="00C430B0" w:rsidRPr="00D468FC">
        <w:rPr>
          <w:bCs/>
        </w:rPr>
        <w:t>4.3</w:t>
      </w:r>
      <w:r w:rsidR="00C430B0" w:rsidRPr="00D468FC">
        <w:rPr>
          <w:bCs/>
        </w:rPr>
        <w:tab/>
      </w:r>
      <w:r w:rsidR="00A72040" w:rsidRPr="00D468FC">
        <w:rPr>
          <w:bCs/>
        </w:rPr>
        <w:t xml:space="preserve">Strengthening of MINED’s General Directorate </w:t>
      </w:r>
      <w:r w:rsidR="00DB09A9" w:rsidRPr="00D468FC">
        <w:rPr>
          <w:bCs/>
        </w:rPr>
        <w:t>of School Infrastructure (US$1.1</w:t>
      </w:r>
      <w:r w:rsidR="00A72040" w:rsidRPr="00D468FC">
        <w:rPr>
          <w:bCs/>
        </w:rPr>
        <w:t xml:space="preserve"> million)</w:t>
      </w:r>
    </w:p>
    <w:p w:rsidR="00A72040" w:rsidRPr="00A72040" w:rsidRDefault="00A72040" w:rsidP="00A72040">
      <w:pPr>
        <w:jc w:val="both"/>
        <w:rPr>
          <w:b/>
          <w:bCs/>
        </w:rPr>
      </w:pPr>
    </w:p>
    <w:p w:rsidR="00014AF4" w:rsidRPr="003629DC" w:rsidRDefault="00A41E9A" w:rsidP="00CF63AB">
      <w:pPr>
        <w:pStyle w:val="ListParagraph"/>
        <w:numPr>
          <w:ilvl w:val="0"/>
          <w:numId w:val="23"/>
        </w:numPr>
        <w:ind w:left="0" w:firstLine="0"/>
        <w:jc w:val="both"/>
        <w:rPr>
          <w:bCs/>
          <w:lang w:val="en-GB"/>
        </w:rPr>
      </w:pPr>
      <w:r>
        <w:rPr>
          <w:bCs/>
          <w:lang w:val="en-GB"/>
        </w:rPr>
        <w:t>This sub-component</w:t>
      </w:r>
      <w:r w:rsidR="000D7140">
        <w:rPr>
          <w:bCs/>
          <w:lang w:val="en-GB"/>
        </w:rPr>
        <w:t xml:space="preserve"> would finance s</w:t>
      </w:r>
      <w:r w:rsidR="000D7140" w:rsidRPr="00CF63AB">
        <w:rPr>
          <w:bCs/>
        </w:rPr>
        <w:t>trengthening of MINED’s General Directorate of School Infrastructure (</w:t>
      </w:r>
      <w:r w:rsidR="000D7140" w:rsidRPr="003100B8">
        <w:rPr>
          <w:bCs/>
          <w:i/>
        </w:rPr>
        <w:t>Dirección General de Infraestructura</w:t>
      </w:r>
      <w:r w:rsidR="00A07F51">
        <w:rPr>
          <w:bCs/>
          <w:i/>
        </w:rPr>
        <w:t>s</w:t>
      </w:r>
      <w:r w:rsidR="000D7140" w:rsidRPr="003100B8">
        <w:rPr>
          <w:bCs/>
          <w:i/>
        </w:rPr>
        <w:t xml:space="preserve"> Escolares</w:t>
      </w:r>
      <w:r w:rsidR="000D7140">
        <w:rPr>
          <w:bCs/>
        </w:rPr>
        <w:t>, GDSI</w:t>
      </w:r>
      <w:r w:rsidR="000D7140" w:rsidRPr="00772E36">
        <w:rPr>
          <w:bCs/>
        </w:rPr>
        <w:t>) through: (i) the</w:t>
      </w:r>
      <w:r w:rsidR="000D7140">
        <w:rPr>
          <w:bCs/>
        </w:rPr>
        <w:t xml:space="preserve"> provision of technical assistance to prepare</w:t>
      </w:r>
      <w:r w:rsidR="000D7140" w:rsidRPr="00772E36">
        <w:rPr>
          <w:bCs/>
        </w:rPr>
        <w:t xml:space="preserve"> feasibility studies, manage and supervis</w:t>
      </w:r>
      <w:r w:rsidR="000D7140">
        <w:rPr>
          <w:bCs/>
        </w:rPr>
        <w:t>e</w:t>
      </w:r>
      <w:r w:rsidR="000D7140" w:rsidRPr="00772E36">
        <w:rPr>
          <w:bCs/>
        </w:rPr>
        <w:t xml:space="preserve"> </w:t>
      </w:r>
      <w:r w:rsidR="000D7140">
        <w:rPr>
          <w:bCs/>
        </w:rPr>
        <w:t xml:space="preserve">the construction and/or rehabilitation </w:t>
      </w:r>
      <w:r w:rsidR="000D7140" w:rsidRPr="00772E36">
        <w:rPr>
          <w:bCs/>
        </w:rPr>
        <w:t>of</w:t>
      </w:r>
      <w:r w:rsidR="000D7140">
        <w:rPr>
          <w:bCs/>
        </w:rPr>
        <w:t xml:space="preserve"> lower sec</w:t>
      </w:r>
      <w:r w:rsidR="002C6AB4">
        <w:rPr>
          <w:bCs/>
        </w:rPr>
        <w:t>ondary education infrastructure</w:t>
      </w:r>
      <w:r w:rsidR="000D7140">
        <w:rPr>
          <w:bCs/>
        </w:rPr>
        <w:t xml:space="preserve"> under Component 2 of the Project</w:t>
      </w:r>
      <w:r w:rsidR="000D7140" w:rsidRPr="00772E36">
        <w:rPr>
          <w:bCs/>
        </w:rPr>
        <w:t xml:space="preserve">; (ii) the development of construction and/or rehabilitation maintenance guidelines; (iii) the </w:t>
      </w:r>
      <w:r w:rsidR="000D7140" w:rsidRPr="002F719F">
        <w:rPr>
          <w:bCs/>
        </w:rPr>
        <w:t>provision of basic office and information and communication technology</w:t>
      </w:r>
      <w:r w:rsidR="000D7140" w:rsidRPr="002F719F">
        <w:rPr>
          <w:color w:val="000000"/>
        </w:rPr>
        <w:t xml:space="preserve"> equipment; and (iv) the </w:t>
      </w:r>
      <w:r w:rsidR="002C6AB4" w:rsidRPr="002F719F">
        <w:rPr>
          <w:color w:val="000000"/>
        </w:rPr>
        <w:t>carrying out</w:t>
      </w:r>
      <w:r w:rsidR="000D7140" w:rsidRPr="002F719F">
        <w:rPr>
          <w:color w:val="000000"/>
        </w:rPr>
        <w:t xml:space="preserve"> of minor rehabilitation works</w:t>
      </w:r>
      <w:r w:rsidR="009224C6" w:rsidRPr="002F719F">
        <w:rPr>
          <w:color w:val="000000"/>
        </w:rPr>
        <w:t>.</w:t>
      </w:r>
    </w:p>
    <w:p w:rsidR="00C430B0" w:rsidRDefault="00C430B0" w:rsidP="00C430B0">
      <w:pPr>
        <w:pStyle w:val="ListParagraph"/>
        <w:ind w:left="0"/>
        <w:jc w:val="both"/>
        <w:rPr>
          <w:bCs/>
          <w:lang w:val="en-GB"/>
        </w:rPr>
      </w:pPr>
    </w:p>
    <w:p w:rsidR="00C430B0" w:rsidRPr="00C430B0" w:rsidRDefault="00C430B0" w:rsidP="00D468FC">
      <w:pPr>
        <w:pStyle w:val="ListParagraph"/>
        <w:numPr>
          <w:ilvl w:val="0"/>
          <w:numId w:val="23"/>
        </w:numPr>
        <w:ind w:left="0" w:firstLine="0"/>
        <w:jc w:val="both"/>
        <w:rPr>
          <w:bCs/>
          <w:lang w:val="en-GB"/>
        </w:rPr>
      </w:pPr>
      <w:r w:rsidRPr="00C430B0">
        <w:rPr>
          <w:bCs/>
          <w:lang w:val="en-GB"/>
        </w:rPr>
        <w:t>The Project has an ambitious civil works program, targeted 2</w:t>
      </w:r>
      <w:r w:rsidR="00F2685A">
        <w:rPr>
          <w:bCs/>
          <w:lang w:val="en-GB"/>
        </w:rPr>
        <w:t>0</w:t>
      </w:r>
      <w:r w:rsidRPr="00C430B0">
        <w:rPr>
          <w:bCs/>
          <w:lang w:val="en-GB"/>
        </w:rPr>
        <w:t>0 “core” basic education schools and 200 “satellite” primary schools with preschool programs.  The combined estimated cost of these civil works an</w:t>
      </w:r>
      <w:r w:rsidR="00392F0B">
        <w:rPr>
          <w:bCs/>
          <w:lang w:val="en-GB"/>
        </w:rPr>
        <w:t>d related equipment is US$34.4 million</w:t>
      </w:r>
      <w:r w:rsidRPr="00C430B0">
        <w:rPr>
          <w:bCs/>
          <w:lang w:val="en-GB"/>
        </w:rPr>
        <w:t>, almost two-thirds of total Project costs.  The recently approved PASEN II includes a significant institutional strengthening sub-component</w:t>
      </w:r>
      <w:r w:rsidR="00392F0B">
        <w:rPr>
          <w:bCs/>
          <w:lang w:val="en-GB"/>
        </w:rPr>
        <w:t xml:space="preserve"> for the GSDI</w:t>
      </w:r>
      <w:r w:rsidRPr="00C430B0">
        <w:rPr>
          <w:bCs/>
          <w:lang w:val="en-GB"/>
        </w:rPr>
        <w:t xml:space="preserve"> (estimated cost of US$4.5 million to cover additional personnel, office equipment, transportation, technical services, training and other costs</w:t>
      </w:r>
      <w:r w:rsidR="00392F0B">
        <w:rPr>
          <w:bCs/>
          <w:lang w:val="en-GB"/>
        </w:rPr>
        <w:t>)</w:t>
      </w:r>
      <w:r w:rsidRPr="00C430B0">
        <w:rPr>
          <w:bCs/>
          <w:lang w:val="en-GB"/>
        </w:rPr>
        <w:t>.  However, the Project would include 18 municipalities which are not covered by PASEN II</w:t>
      </w:r>
      <w:r w:rsidR="00392F0B">
        <w:rPr>
          <w:bCs/>
          <w:lang w:val="en-GB"/>
        </w:rPr>
        <w:t xml:space="preserve"> requires to increase the financing for the DGSI beyond what is already financed by PASEN II.</w:t>
      </w:r>
      <w:r w:rsidRPr="00C430B0">
        <w:rPr>
          <w:bCs/>
          <w:lang w:val="en-GB"/>
        </w:rPr>
        <w:t xml:space="preserve"> </w:t>
      </w:r>
    </w:p>
    <w:p w:rsidR="00C430B0" w:rsidRPr="00C430B0" w:rsidRDefault="00C430B0" w:rsidP="00C430B0">
      <w:pPr>
        <w:pStyle w:val="ListParagraph"/>
        <w:ind w:left="0"/>
        <w:jc w:val="both"/>
        <w:rPr>
          <w:bCs/>
          <w:lang w:val="en-GB"/>
        </w:rPr>
      </w:pPr>
    </w:p>
    <w:p w:rsidR="00C430B0" w:rsidRPr="00C430B0" w:rsidRDefault="00C430B0" w:rsidP="00D468FC">
      <w:pPr>
        <w:pStyle w:val="ListParagraph"/>
        <w:numPr>
          <w:ilvl w:val="0"/>
          <w:numId w:val="23"/>
        </w:numPr>
        <w:ind w:left="0" w:firstLine="0"/>
        <w:jc w:val="both"/>
        <w:rPr>
          <w:bCs/>
          <w:lang w:val="en-GB"/>
        </w:rPr>
      </w:pPr>
      <w:r w:rsidRPr="00C430B0">
        <w:rPr>
          <w:bCs/>
          <w:lang w:val="en-GB"/>
        </w:rPr>
        <w:t>Specifically, the Project would finance technical assistance and other costs related to: (i) the identification of the core basic education schools and preschool facilities to be targeted; and (ii) the school-based architectural planning and design in 18 municipalities not included in PASEN II.  This design must ensure an integrated approach which promotes learning in multiple spaces (classrooms, laboratories, libraries) and addresses needs for teacher training venues, security, sanitation and administrative functions.  Nicaragua’s challenging environment (earthquakes, floods, mudslides, etc.) means careful planning must be done at each school, rather than simply building “cookie cutter” schools along a one-size-fits-all model.</w:t>
      </w:r>
    </w:p>
    <w:p w:rsidR="00C430B0" w:rsidRPr="00C430B0" w:rsidRDefault="00C430B0" w:rsidP="00C430B0">
      <w:pPr>
        <w:pStyle w:val="ListParagraph"/>
        <w:ind w:left="0"/>
        <w:jc w:val="both"/>
        <w:rPr>
          <w:bCs/>
          <w:lang w:val="en-GB"/>
        </w:rPr>
      </w:pPr>
    </w:p>
    <w:p w:rsidR="00C430B0" w:rsidRPr="00C430B0" w:rsidRDefault="00C430B0" w:rsidP="00D468FC">
      <w:pPr>
        <w:pStyle w:val="ListParagraph"/>
        <w:numPr>
          <w:ilvl w:val="0"/>
          <w:numId w:val="23"/>
        </w:numPr>
        <w:ind w:left="0" w:firstLine="0"/>
        <w:jc w:val="both"/>
        <w:rPr>
          <w:bCs/>
          <w:lang w:val="en-GB"/>
        </w:rPr>
      </w:pPr>
      <w:r w:rsidRPr="00C430B0">
        <w:rPr>
          <w:bCs/>
          <w:lang w:val="en-GB"/>
        </w:rPr>
        <w:t xml:space="preserve">The GDSI would monitor and assess the quality of the work carried out by the firms and individuals, responsible for the construction and supervision of civil works financed by the Project.  The Project would finance the cost of this quality control and oversight carried by the DGIE.  It would include technical assistance, reporting/programming software, equipment, travel and other related operating costs. </w:t>
      </w:r>
    </w:p>
    <w:p w:rsidR="00C430B0" w:rsidRPr="00C430B0" w:rsidRDefault="00C430B0" w:rsidP="00C430B0">
      <w:pPr>
        <w:pStyle w:val="ListParagraph"/>
        <w:ind w:left="0"/>
        <w:jc w:val="both"/>
        <w:rPr>
          <w:bCs/>
        </w:rPr>
      </w:pPr>
    </w:p>
    <w:p w:rsidR="00C430B0" w:rsidRDefault="00C430B0" w:rsidP="00D468FC">
      <w:pPr>
        <w:pStyle w:val="ListParagraph"/>
        <w:numPr>
          <w:ilvl w:val="0"/>
          <w:numId w:val="23"/>
        </w:numPr>
        <w:ind w:left="0" w:firstLine="0"/>
        <w:jc w:val="both"/>
        <w:rPr>
          <w:bCs/>
          <w:lang w:val="en-GB"/>
        </w:rPr>
      </w:pPr>
      <w:r w:rsidRPr="00C430B0">
        <w:rPr>
          <w:bCs/>
          <w:lang w:val="en-GB"/>
        </w:rPr>
        <w:t>In addition</w:t>
      </w:r>
      <w:r w:rsidR="00392F0B">
        <w:rPr>
          <w:bCs/>
          <w:lang w:val="en-GB"/>
        </w:rPr>
        <w:t>,</w:t>
      </w:r>
      <w:r w:rsidRPr="00C430B0">
        <w:rPr>
          <w:bCs/>
          <w:lang w:val="en-GB"/>
        </w:rPr>
        <w:t xml:space="preserve"> the Project would cover the development, printing and distribution of infrastructure maintenance guides/norms, a</w:t>
      </w:r>
      <w:r w:rsidR="00392F0B">
        <w:rPr>
          <w:bCs/>
          <w:lang w:val="en-GB"/>
        </w:rPr>
        <w:t>nd informational materials for local school b</w:t>
      </w:r>
      <w:r w:rsidRPr="00C430B0">
        <w:rPr>
          <w:bCs/>
          <w:lang w:val="en-GB"/>
        </w:rPr>
        <w:t xml:space="preserve">oards who would be responsible for overseeing school maintenance. Actual preparation of school-level </w:t>
      </w:r>
      <w:r w:rsidRPr="00C430B0">
        <w:rPr>
          <w:bCs/>
          <w:lang w:val="en-GB"/>
        </w:rPr>
        <w:lastRenderedPageBreak/>
        <w:t>maintenance plans and the provision of materials and labor for infrastructure maintenance would be supported through MINED’s own budget and community participation/mobilization activities.</w:t>
      </w:r>
    </w:p>
    <w:p w:rsidR="009B7EE3" w:rsidRPr="00A72040" w:rsidRDefault="009B7EE3" w:rsidP="009B7EE3">
      <w:pPr>
        <w:pStyle w:val="ListParagraph"/>
        <w:ind w:left="0"/>
        <w:jc w:val="both"/>
        <w:rPr>
          <w:bCs/>
          <w:lang w:val="en-GB"/>
        </w:rPr>
      </w:pPr>
    </w:p>
    <w:p w:rsidR="00A72040" w:rsidRPr="009224C6" w:rsidRDefault="009224C6" w:rsidP="009224C6">
      <w:pPr>
        <w:widowControl w:val="0"/>
        <w:tabs>
          <w:tab w:val="left" w:pos="720"/>
        </w:tabs>
        <w:autoSpaceDE w:val="0"/>
        <w:autoSpaceDN w:val="0"/>
        <w:adjustRightInd w:val="0"/>
        <w:jc w:val="both"/>
        <w:rPr>
          <w:bCs/>
        </w:rPr>
      </w:pPr>
      <w:r>
        <w:rPr>
          <w:bCs/>
        </w:rPr>
        <w:tab/>
        <w:t>4.4</w:t>
      </w:r>
      <w:r>
        <w:rPr>
          <w:bCs/>
        </w:rPr>
        <w:tab/>
      </w:r>
      <w:r w:rsidR="00A72040" w:rsidRPr="009224C6">
        <w:rPr>
          <w:bCs/>
        </w:rPr>
        <w:t>Project Management, Fiduciary Controls and Audits for the Activiti</w:t>
      </w:r>
      <w:r w:rsidR="00DB09A9" w:rsidRPr="009224C6">
        <w:rPr>
          <w:bCs/>
        </w:rPr>
        <w:t>es Financed under the EU (US$0.2</w:t>
      </w:r>
      <w:r w:rsidR="00A72040" w:rsidRPr="009224C6">
        <w:rPr>
          <w:bCs/>
        </w:rPr>
        <w:t xml:space="preserve"> Million)</w:t>
      </w:r>
    </w:p>
    <w:p w:rsidR="009224C6" w:rsidRPr="009224C6" w:rsidRDefault="009224C6" w:rsidP="009224C6">
      <w:pPr>
        <w:pStyle w:val="ListParagraph"/>
        <w:widowControl w:val="0"/>
        <w:tabs>
          <w:tab w:val="left" w:pos="540"/>
        </w:tabs>
        <w:autoSpaceDE w:val="0"/>
        <w:autoSpaceDN w:val="0"/>
        <w:adjustRightInd w:val="0"/>
        <w:ind w:left="360"/>
        <w:jc w:val="both"/>
        <w:rPr>
          <w:bCs/>
        </w:rPr>
      </w:pPr>
    </w:p>
    <w:p w:rsidR="00014AF4" w:rsidRPr="00014AF4" w:rsidRDefault="000F43E5" w:rsidP="00014AF4">
      <w:pPr>
        <w:pStyle w:val="ListParagraph"/>
        <w:numPr>
          <w:ilvl w:val="0"/>
          <w:numId w:val="23"/>
        </w:numPr>
        <w:ind w:left="0" w:firstLine="0"/>
        <w:jc w:val="both"/>
        <w:rPr>
          <w:bCs/>
          <w:lang w:val="en-GB"/>
        </w:rPr>
      </w:pPr>
      <w:r>
        <w:rPr>
          <w:bCs/>
          <w:lang w:val="en-GB"/>
        </w:rPr>
        <w:t>This sub-component</w:t>
      </w:r>
      <w:r w:rsidR="008D66A3">
        <w:rPr>
          <w:bCs/>
          <w:lang w:val="en-GB"/>
        </w:rPr>
        <w:t xml:space="preserve"> would finance the </w:t>
      </w:r>
      <w:r w:rsidR="008D66A3" w:rsidRPr="00772E36">
        <w:rPr>
          <w:bCs/>
        </w:rPr>
        <w:t xml:space="preserve">provision of support to MINED in the administration, financial management, auditing and procurement of Component 2 and Component 4 of the Project through, </w:t>
      </w:r>
      <w:r w:rsidR="008D66A3" w:rsidRPr="00D45D6B">
        <w:rPr>
          <w:bCs/>
          <w:i/>
        </w:rPr>
        <w:t>inter alia</w:t>
      </w:r>
      <w:r w:rsidR="008D66A3">
        <w:rPr>
          <w:bCs/>
        </w:rPr>
        <w:t>: (i</w:t>
      </w:r>
      <w:r w:rsidR="008D66A3" w:rsidRPr="00772E36">
        <w:rPr>
          <w:bCs/>
        </w:rPr>
        <w:t>) the provision of technical assistance and traini</w:t>
      </w:r>
      <w:r w:rsidR="008D66A3">
        <w:rPr>
          <w:bCs/>
        </w:rPr>
        <w:t>ng to MINED’s staff on said aspects; (ii</w:t>
      </w:r>
      <w:r w:rsidR="008D66A3" w:rsidRPr="00772E36">
        <w:rPr>
          <w:bCs/>
        </w:rPr>
        <w:t xml:space="preserve">) the acquisition of software, information and communication hardware, and small furniture items; </w:t>
      </w:r>
      <w:r w:rsidR="008D66A3">
        <w:rPr>
          <w:bCs/>
        </w:rPr>
        <w:t>and (iii</w:t>
      </w:r>
      <w:r w:rsidR="008D66A3" w:rsidRPr="00772E36">
        <w:rPr>
          <w:bCs/>
        </w:rPr>
        <w:t>) the carrying out of</w:t>
      </w:r>
      <w:r w:rsidR="008D66A3">
        <w:rPr>
          <w:bCs/>
        </w:rPr>
        <w:t xml:space="preserve"> the required Project audit </w:t>
      </w:r>
      <w:r w:rsidR="008D66A3">
        <w:rPr>
          <w:bCs/>
          <w:lang w:val="en-GB"/>
        </w:rPr>
        <w:t xml:space="preserve">for the Component 2 and </w:t>
      </w:r>
      <w:r w:rsidR="008D66A3" w:rsidRPr="00772E36">
        <w:rPr>
          <w:bCs/>
        </w:rPr>
        <w:t>Component</w:t>
      </w:r>
      <w:r w:rsidR="008D66A3" w:rsidRPr="00960F33">
        <w:rPr>
          <w:bCs/>
        </w:rPr>
        <w:t xml:space="preserve"> 4 of the Project</w:t>
      </w:r>
      <w:r w:rsidR="00014AF4" w:rsidRPr="00014AF4">
        <w:rPr>
          <w:color w:val="000000"/>
          <w:sz w:val="22"/>
          <w:szCs w:val="22"/>
        </w:rPr>
        <w:t>.</w:t>
      </w:r>
    </w:p>
    <w:p w:rsidR="001F785C" w:rsidRPr="00EC4B95" w:rsidRDefault="001F785C" w:rsidP="004065AE">
      <w:pPr>
        <w:pStyle w:val="ListParagraph"/>
        <w:ind w:left="0"/>
        <w:jc w:val="both"/>
        <w:rPr>
          <w:lang w:val="en-GB"/>
        </w:rPr>
      </w:pPr>
    </w:p>
    <w:p w:rsidR="00485A4B" w:rsidRPr="00485A4B" w:rsidRDefault="00E043BD" w:rsidP="005E2993">
      <w:pPr>
        <w:pStyle w:val="ListParagraph"/>
        <w:numPr>
          <w:ilvl w:val="0"/>
          <w:numId w:val="23"/>
        </w:numPr>
        <w:ind w:left="0" w:firstLine="0"/>
        <w:jc w:val="both"/>
      </w:pPr>
      <w:r w:rsidRPr="00C16225">
        <w:rPr>
          <w:bCs/>
        </w:rPr>
        <w:t xml:space="preserve"> </w:t>
      </w:r>
      <w:r w:rsidR="00775F53">
        <w:rPr>
          <w:szCs w:val="22"/>
        </w:rPr>
        <w:t xml:space="preserve">While the Project would use the same Project implementation structure and entities as PASEN II (and therefore would benefit from the extensive </w:t>
      </w:r>
      <w:r w:rsidR="001279DB">
        <w:rPr>
          <w:szCs w:val="22"/>
        </w:rPr>
        <w:t>Project</w:t>
      </w:r>
      <w:r w:rsidR="00775F53">
        <w:rPr>
          <w:szCs w:val="22"/>
        </w:rPr>
        <w:t xml:space="preserve"> implementation capacity </w:t>
      </w:r>
      <w:r w:rsidR="00775F53" w:rsidRPr="00F946F5">
        <w:rPr>
          <w:bCs/>
        </w:rPr>
        <w:t>strengthening</w:t>
      </w:r>
      <w:r w:rsidR="00775F53">
        <w:rPr>
          <w:szCs w:val="22"/>
        </w:rPr>
        <w:t xml:space="preserve"> measures foreseen under PASEN II), additional technical and financial support is required.</w:t>
      </w:r>
      <w:r w:rsidR="00775F53">
        <w:t xml:space="preserve">  </w:t>
      </w:r>
      <w:r w:rsidRPr="00775F53">
        <w:rPr>
          <w:bCs/>
        </w:rPr>
        <w:t xml:space="preserve">Specifically, the sub-component would strengthen the capacity of MINED to effectively carry out </w:t>
      </w:r>
      <w:r w:rsidR="002677F2" w:rsidRPr="00775F53">
        <w:rPr>
          <w:bCs/>
        </w:rPr>
        <w:t>Project</w:t>
      </w:r>
      <w:r w:rsidRPr="00775F53">
        <w:rPr>
          <w:bCs/>
        </w:rPr>
        <w:t xml:space="preserve"> management, financial management and procurement.  </w:t>
      </w:r>
      <w:r w:rsidR="007C15FD" w:rsidRPr="00775F53">
        <w:rPr>
          <w:bCs/>
        </w:rPr>
        <w:t xml:space="preserve">The detailed support financed by </w:t>
      </w:r>
      <w:r w:rsidR="0022433A" w:rsidRPr="00775F53">
        <w:rPr>
          <w:bCs/>
        </w:rPr>
        <w:t>the Project is described under A</w:t>
      </w:r>
      <w:r w:rsidR="007C15FD" w:rsidRPr="00775F53">
        <w:rPr>
          <w:bCs/>
        </w:rPr>
        <w:t xml:space="preserve">nnexes 3 and 5 further below.  </w:t>
      </w:r>
      <w:r w:rsidRPr="00775F53">
        <w:rPr>
          <w:bCs/>
        </w:rPr>
        <w:t>The sub-component would finance various short and long-term consultant positions, cost of four audits during the life of the Project, the purchase of equipment and materials as well as operational expenditures to offset the costs of monitoring the Project activities.</w:t>
      </w:r>
    </w:p>
    <w:p w:rsidR="004065AE" w:rsidRDefault="00BF0F7B" w:rsidP="00485A4B">
      <w:pPr>
        <w:pStyle w:val="ListParagraph"/>
        <w:ind w:left="0"/>
        <w:jc w:val="both"/>
      </w:pPr>
      <w:r w:rsidRPr="00775F53">
        <w:rPr>
          <w:bCs/>
        </w:rPr>
        <w:t xml:space="preserve"> </w:t>
      </w:r>
    </w:p>
    <w:p w:rsidR="004065AE" w:rsidRDefault="00901424" w:rsidP="005E2993">
      <w:pPr>
        <w:pStyle w:val="ListParagraph"/>
        <w:numPr>
          <w:ilvl w:val="0"/>
          <w:numId w:val="23"/>
        </w:numPr>
        <w:ind w:left="0" w:firstLine="0"/>
        <w:jc w:val="both"/>
        <w:rPr>
          <w:lang w:val="en-GB"/>
        </w:rPr>
      </w:pPr>
      <w:r w:rsidRPr="0040253F">
        <w:rPr>
          <w:lang w:val="en-GB"/>
        </w:rPr>
        <w:t xml:space="preserve">The </w:t>
      </w:r>
      <w:r w:rsidRPr="00F946F5">
        <w:rPr>
          <w:bCs/>
        </w:rPr>
        <w:t>estimated</w:t>
      </w:r>
      <w:r w:rsidRPr="0040253F">
        <w:rPr>
          <w:lang w:val="en-GB"/>
        </w:rPr>
        <w:t xml:space="preserve"> </w:t>
      </w:r>
      <w:r w:rsidR="001279DB">
        <w:rPr>
          <w:lang w:val="en-GB"/>
        </w:rPr>
        <w:t>Project</w:t>
      </w:r>
      <w:r w:rsidRPr="0040253F">
        <w:rPr>
          <w:lang w:val="en-GB"/>
        </w:rPr>
        <w:t xml:space="preserve"> costs and </w:t>
      </w:r>
      <w:r w:rsidR="004065AE" w:rsidRPr="004065AE">
        <w:rPr>
          <w:bCs/>
        </w:rPr>
        <w:t>financing</w:t>
      </w:r>
      <w:r w:rsidRPr="0040253F">
        <w:rPr>
          <w:lang w:val="en-GB"/>
        </w:rPr>
        <w:t>, per component, sub-component and activity</w:t>
      </w:r>
      <w:r w:rsidR="00485A4B">
        <w:rPr>
          <w:lang w:val="en-GB"/>
        </w:rPr>
        <w:t xml:space="preserve"> are shown below.</w:t>
      </w:r>
    </w:p>
    <w:p w:rsidR="00F63384" w:rsidRDefault="00F63384"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D25987" w:rsidRDefault="00D25987"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4A4B60" w:rsidRDefault="004A4B60"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3629DC" w:rsidRDefault="003629DC" w:rsidP="00485A4B">
      <w:pPr>
        <w:pStyle w:val="ListParagraph"/>
        <w:ind w:left="0"/>
        <w:jc w:val="both"/>
        <w:rPr>
          <w:lang w:val="en-GB"/>
        </w:rPr>
      </w:pPr>
    </w:p>
    <w:p w:rsidR="004020EA" w:rsidRDefault="004020EA" w:rsidP="00485A4B">
      <w:pPr>
        <w:pStyle w:val="ListParagraph"/>
        <w:ind w:left="0"/>
        <w:jc w:val="both"/>
        <w:rPr>
          <w:lang w:val="en-GB"/>
        </w:rPr>
      </w:pPr>
    </w:p>
    <w:p w:rsidR="004020EA" w:rsidRDefault="004020EA" w:rsidP="00485A4B">
      <w:pPr>
        <w:pStyle w:val="ListParagraph"/>
        <w:ind w:left="0"/>
        <w:jc w:val="both"/>
        <w:rPr>
          <w:lang w:val="en-GB"/>
        </w:rPr>
      </w:pPr>
    </w:p>
    <w:p w:rsidR="00485A4B" w:rsidRDefault="00EC4B95" w:rsidP="00485A4B">
      <w:pPr>
        <w:pStyle w:val="ListParagraph"/>
        <w:ind w:left="0"/>
        <w:jc w:val="center"/>
        <w:rPr>
          <w:lang w:val="en-GB"/>
        </w:rPr>
      </w:pPr>
      <w:r>
        <w:rPr>
          <w:b/>
        </w:rPr>
        <w:t>Table 2.13</w:t>
      </w:r>
      <w:r w:rsidR="00A15F4C">
        <w:rPr>
          <w:b/>
        </w:rPr>
        <w:t xml:space="preserve">: </w:t>
      </w:r>
      <w:r w:rsidR="00485A4B" w:rsidRPr="00485A4B">
        <w:rPr>
          <w:b/>
        </w:rPr>
        <w:t>Project Financing</w:t>
      </w:r>
      <w:r w:rsidR="00665B3C">
        <w:rPr>
          <w:b/>
        </w:rPr>
        <w:t xml:space="preserve"> Table, by Component and Financ</w:t>
      </w:r>
      <w:r w:rsidR="00485A4B" w:rsidRPr="00485A4B">
        <w:rPr>
          <w:b/>
        </w:rPr>
        <w:t>er</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1530"/>
        <w:gridCol w:w="1350"/>
      </w:tblGrid>
      <w:tr w:rsidR="00C651D8" w:rsidRPr="009B33F8" w:rsidTr="009B7EE3">
        <w:trPr>
          <w:trHeight w:val="280"/>
        </w:trPr>
        <w:tc>
          <w:tcPr>
            <w:tcW w:w="7290" w:type="dxa"/>
            <w:shd w:val="clear" w:color="auto" w:fill="auto"/>
            <w:noWrap/>
            <w:vAlign w:val="bottom"/>
          </w:tcPr>
          <w:p w:rsidR="009B33F8" w:rsidRPr="00775015" w:rsidRDefault="00813AEF" w:rsidP="009B33F8">
            <w:pPr>
              <w:jc w:val="center"/>
              <w:rPr>
                <w:color w:val="000000"/>
              </w:rPr>
            </w:pPr>
            <w:r w:rsidRPr="00775015">
              <w:rPr>
                <w:b/>
                <w:lang w:val="en-GB"/>
              </w:rPr>
              <w:br w:type="page"/>
            </w:r>
            <w:bookmarkStart w:id="39" w:name="RANGE!C33:E71"/>
            <w:r w:rsidR="009B33F8" w:rsidRPr="00775015">
              <w:rPr>
                <w:color w:val="000000"/>
              </w:rPr>
              <w:t>PROJECT COMPONENTS</w:t>
            </w:r>
            <w:bookmarkEnd w:id="39"/>
          </w:p>
        </w:tc>
        <w:tc>
          <w:tcPr>
            <w:tcW w:w="1530" w:type="dxa"/>
            <w:shd w:val="clear" w:color="auto" w:fill="auto"/>
            <w:noWrap/>
            <w:vAlign w:val="bottom"/>
          </w:tcPr>
          <w:p w:rsidR="009B33F8" w:rsidRPr="00775015" w:rsidRDefault="009B33F8" w:rsidP="009B33F8">
            <w:pPr>
              <w:jc w:val="center"/>
              <w:rPr>
                <w:color w:val="000000"/>
                <w:u w:val="single"/>
              </w:rPr>
            </w:pPr>
            <w:r w:rsidRPr="00775015">
              <w:rPr>
                <w:color w:val="000000"/>
                <w:u w:val="single"/>
              </w:rPr>
              <w:t>(US$)</w:t>
            </w:r>
          </w:p>
        </w:tc>
        <w:tc>
          <w:tcPr>
            <w:tcW w:w="1350" w:type="dxa"/>
            <w:shd w:val="clear" w:color="auto" w:fill="auto"/>
            <w:noWrap/>
            <w:vAlign w:val="bottom"/>
          </w:tcPr>
          <w:p w:rsidR="009B33F8" w:rsidRPr="00775015" w:rsidRDefault="009B33F8" w:rsidP="009B33F8">
            <w:pPr>
              <w:jc w:val="center"/>
              <w:rPr>
                <w:color w:val="000000"/>
                <w:u w:val="single"/>
              </w:rPr>
            </w:pPr>
            <w:r w:rsidRPr="00775015">
              <w:rPr>
                <w:color w:val="000000"/>
                <w:u w:val="single"/>
              </w:rPr>
              <w:t>Financing</w:t>
            </w:r>
          </w:p>
        </w:tc>
      </w:tr>
      <w:tr w:rsidR="006D1FA4" w:rsidRPr="009B33F8" w:rsidTr="00B71013">
        <w:trPr>
          <w:trHeight w:val="280"/>
        </w:trPr>
        <w:tc>
          <w:tcPr>
            <w:tcW w:w="10170" w:type="dxa"/>
            <w:gridSpan w:val="3"/>
            <w:shd w:val="clear" w:color="auto" w:fill="auto"/>
            <w:noWrap/>
            <w:vAlign w:val="bottom"/>
          </w:tcPr>
          <w:p w:rsidR="006D1FA4" w:rsidRPr="00775015" w:rsidRDefault="006D1FA4" w:rsidP="00775015">
            <w:pPr>
              <w:rPr>
                <w:b/>
                <w:color w:val="000000"/>
              </w:rPr>
            </w:pPr>
            <w:r w:rsidRPr="00775015">
              <w:rPr>
                <w:b/>
                <w:color w:val="000000"/>
              </w:rPr>
              <w:t xml:space="preserve">COMPONENT 1 </w:t>
            </w:r>
            <w:r w:rsidR="00775015">
              <w:rPr>
                <w:b/>
                <w:color w:val="000000"/>
              </w:rPr>
              <w:t>-</w:t>
            </w:r>
            <w:r w:rsidRPr="00775015">
              <w:rPr>
                <w:b/>
                <w:color w:val="000000"/>
              </w:rPr>
              <w:t xml:space="preserve"> Increasing Access and</w:t>
            </w:r>
            <w:r w:rsidR="003C2AFF" w:rsidRPr="00775015">
              <w:rPr>
                <w:b/>
                <w:color w:val="000000"/>
              </w:rPr>
              <w:t xml:space="preserve"> Improving</w:t>
            </w:r>
            <w:r w:rsidRPr="00775015">
              <w:rPr>
                <w:b/>
                <w:color w:val="000000"/>
              </w:rPr>
              <w:t xml:space="preserve"> Learning Conditions of </w:t>
            </w:r>
            <w:r w:rsidR="00F75747" w:rsidRPr="00775015">
              <w:rPr>
                <w:b/>
                <w:color w:val="000000"/>
              </w:rPr>
              <w:t>Preschool</w:t>
            </w:r>
            <w:r w:rsidRPr="00775015">
              <w:rPr>
                <w:b/>
                <w:color w:val="000000"/>
              </w:rPr>
              <w:t xml:space="preserve"> Education</w:t>
            </w:r>
            <w:r w:rsidR="000D2CCB" w:rsidRPr="00775015">
              <w:rPr>
                <w:b/>
                <w:color w:val="000000"/>
              </w:rPr>
              <w:t xml:space="preserve"> </w:t>
            </w:r>
          </w:p>
        </w:tc>
      </w:tr>
      <w:tr w:rsidR="00A62414" w:rsidRPr="009B33F8" w:rsidTr="009B7EE3">
        <w:trPr>
          <w:trHeight w:val="395"/>
        </w:trPr>
        <w:tc>
          <w:tcPr>
            <w:tcW w:w="7290" w:type="dxa"/>
            <w:shd w:val="clear" w:color="auto" w:fill="auto"/>
            <w:vAlign w:val="center"/>
          </w:tcPr>
          <w:p w:rsidR="00A62414" w:rsidRPr="00775015" w:rsidRDefault="00775015" w:rsidP="003F3F90">
            <w:pPr>
              <w:rPr>
                <w:color w:val="000000"/>
              </w:rPr>
            </w:pPr>
            <w:r>
              <w:rPr>
                <w:color w:val="000000"/>
              </w:rPr>
              <w:t>Sub-Component 1 -</w:t>
            </w:r>
            <w:r w:rsidR="00A62414" w:rsidRPr="00775015">
              <w:rPr>
                <w:color w:val="000000"/>
              </w:rPr>
              <w:t xml:space="preserve"> </w:t>
            </w:r>
            <w:r w:rsidR="003F3F90" w:rsidRPr="00775015">
              <w:rPr>
                <w:color w:val="000000"/>
              </w:rPr>
              <w:t>Improved/expanded Preschool Education Infrastructure</w:t>
            </w:r>
          </w:p>
        </w:tc>
        <w:tc>
          <w:tcPr>
            <w:tcW w:w="1530" w:type="dxa"/>
            <w:shd w:val="clear" w:color="auto" w:fill="auto"/>
            <w:noWrap/>
            <w:vAlign w:val="center"/>
          </w:tcPr>
          <w:p w:rsidR="00A62414" w:rsidRPr="00775015" w:rsidRDefault="00397C17" w:rsidP="00DB09A9">
            <w:pPr>
              <w:jc w:val="right"/>
              <w:rPr>
                <w:color w:val="000000"/>
              </w:rPr>
            </w:pPr>
            <w:r w:rsidRPr="00775015">
              <w:rPr>
                <w:color w:val="000000"/>
              </w:rPr>
              <w:t>$</w:t>
            </w:r>
            <w:r w:rsidR="00DB09A9" w:rsidRPr="00775015">
              <w:rPr>
                <w:color w:val="000000"/>
              </w:rPr>
              <w:t>7,000,000</w:t>
            </w:r>
          </w:p>
        </w:tc>
        <w:tc>
          <w:tcPr>
            <w:tcW w:w="1350" w:type="dxa"/>
            <w:shd w:val="clear" w:color="auto" w:fill="auto"/>
            <w:noWrap/>
            <w:vAlign w:val="center"/>
          </w:tcPr>
          <w:p w:rsidR="00CE2740" w:rsidRPr="00775015" w:rsidRDefault="00A62414">
            <w:pPr>
              <w:jc w:val="center"/>
              <w:rPr>
                <w:color w:val="000000"/>
              </w:rPr>
            </w:pPr>
            <w:r w:rsidRPr="00775015">
              <w:rPr>
                <w:color w:val="000000"/>
              </w:rPr>
              <w:t>GPE</w:t>
            </w:r>
          </w:p>
        </w:tc>
      </w:tr>
      <w:tr w:rsidR="00A62414" w:rsidRPr="009B33F8" w:rsidTr="009B7EE3">
        <w:trPr>
          <w:trHeight w:val="280"/>
        </w:trPr>
        <w:tc>
          <w:tcPr>
            <w:tcW w:w="7290" w:type="dxa"/>
            <w:shd w:val="clear" w:color="auto" w:fill="auto"/>
            <w:noWrap/>
            <w:vAlign w:val="bottom"/>
          </w:tcPr>
          <w:p w:rsidR="00A62414" w:rsidRPr="00775015" w:rsidRDefault="003F3F90" w:rsidP="00775015">
            <w:pPr>
              <w:rPr>
                <w:color w:val="000000"/>
              </w:rPr>
            </w:pPr>
            <w:r w:rsidRPr="00775015">
              <w:rPr>
                <w:color w:val="000000"/>
              </w:rPr>
              <w:t xml:space="preserve">Sub-Component 2 - </w:t>
            </w:r>
            <w:r w:rsidR="00A62414" w:rsidRPr="00775015">
              <w:rPr>
                <w:bCs/>
                <w:color w:val="000000"/>
              </w:rPr>
              <w:t>Development and Alignment of Curricular Instruments</w:t>
            </w:r>
          </w:p>
        </w:tc>
        <w:tc>
          <w:tcPr>
            <w:tcW w:w="1530" w:type="dxa"/>
            <w:shd w:val="clear" w:color="auto" w:fill="auto"/>
            <w:noWrap/>
            <w:vAlign w:val="center"/>
          </w:tcPr>
          <w:p w:rsidR="00A62414" w:rsidRPr="00775015" w:rsidRDefault="00397C17" w:rsidP="00265238">
            <w:pPr>
              <w:jc w:val="right"/>
              <w:rPr>
                <w:color w:val="000000"/>
              </w:rPr>
            </w:pPr>
            <w:r w:rsidRPr="00775015">
              <w:rPr>
                <w:color w:val="000000"/>
              </w:rPr>
              <w:t>$1,</w:t>
            </w:r>
            <w:r w:rsidR="00DB09A9" w:rsidRPr="00775015">
              <w:rPr>
                <w:color w:val="000000"/>
              </w:rPr>
              <w:t>700,000</w:t>
            </w:r>
          </w:p>
        </w:tc>
        <w:tc>
          <w:tcPr>
            <w:tcW w:w="1350" w:type="dxa"/>
            <w:shd w:val="clear" w:color="auto" w:fill="auto"/>
            <w:noWrap/>
            <w:vAlign w:val="center"/>
          </w:tcPr>
          <w:p w:rsidR="00A62414" w:rsidRPr="00775015" w:rsidRDefault="00A62414" w:rsidP="00265238">
            <w:pPr>
              <w:jc w:val="center"/>
              <w:rPr>
                <w:color w:val="000000"/>
              </w:rPr>
            </w:pPr>
            <w:r w:rsidRPr="00775015">
              <w:rPr>
                <w:color w:val="000000"/>
              </w:rPr>
              <w:t>GPE</w:t>
            </w:r>
          </w:p>
        </w:tc>
      </w:tr>
      <w:tr w:rsidR="00A62414" w:rsidRPr="009B33F8" w:rsidTr="009B7EE3">
        <w:trPr>
          <w:trHeight w:val="280"/>
        </w:trPr>
        <w:tc>
          <w:tcPr>
            <w:tcW w:w="7290" w:type="dxa"/>
            <w:shd w:val="clear" w:color="auto" w:fill="auto"/>
            <w:noWrap/>
            <w:vAlign w:val="bottom"/>
          </w:tcPr>
          <w:p w:rsidR="00A62414" w:rsidRPr="00775015" w:rsidRDefault="00775015" w:rsidP="009B33F8">
            <w:pPr>
              <w:rPr>
                <w:color w:val="000000"/>
              </w:rPr>
            </w:pPr>
            <w:r>
              <w:rPr>
                <w:color w:val="000000"/>
              </w:rPr>
              <w:t>Sub-Component 3 -</w:t>
            </w:r>
            <w:r w:rsidR="003F3F90" w:rsidRPr="00775015">
              <w:rPr>
                <w:color w:val="000000"/>
              </w:rPr>
              <w:t xml:space="preserve"> </w:t>
            </w:r>
            <w:r w:rsidR="00A62414" w:rsidRPr="00775015">
              <w:rPr>
                <w:color w:val="000000"/>
              </w:rPr>
              <w:t>Training</w:t>
            </w:r>
            <w:r w:rsidR="003F3F90" w:rsidRPr="00775015">
              <w:rPr>
                <w:color w:val="000000"/>
              </w:rPr>
              <w:t xml:space="preserve"> of Preschool Educators and Teachers</w:t>
            </w:r>
          </w:p>
        </w:tc>
        <w:tc>
          <w:tcPr>
            <w:tcW w:w="1530" w:type="dxa"/>
            <w:shd w:val="clear" w:color="auto" w:fill="auto"/>
            <w:noWrap/>
            <w:vAlign w:val="center"/>
          </w:tcPr>
          <w:p w:rsidR="00A62414" w:rsidRPr="00775015" w:rsidRDefault="00A467CF" w:rsidP="00F735FD">
            <w:pPr>
              <w:jc w:val="right"/>
              <w:rPr>
                <w:color w:val="000000"/>
              </w:rPr>
            </w:pPr>
            <w:r w:rsidRPr="00775015">
              <w:rPr>
                <w:color w:val="000000"/>
              </w:rPr>
              <w:t>$3,</w:t>
            </w:r>
            <w:r w:rsidR="00182557" w:rsidRPr="00775015">
              <w:rPr>
                <w:color w:val="000000"/>
              </w:rPr>
              <w:t>7</w:t>
            </w:r>
            <w:r w:rsidR="00DB09A9" w:rsidRPr="00775015">
              <w:rPr>
                <w:color w:val="000000"/>
              </w:rPr>
              <w:t>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GPE</w:t>
            </w:r>
          </w:p>
        </w:tc>
      </w:tr>
      <w:tr w:rsidR="00A62414" w:rsidRPr="009B33F8" w:rsidTr="009B7EE3">
        <w:trPr>
          <w:trHeight w:val="280"/>
        </w:trPr>
        <w:tc>
          <w:tcPr>
            <w:tcW w:w="7290" w:type="dxa"/>
            <w:shd w:val="clear" w:color="auto" w:fill="auto"/>
            <w:noWrap/>
            <w:vAlign w:val="bottom"/>
          </w:tcPr>
          <w:p w:rsidR="00A62414" w:rsidRPr="00775015" w:rsidRDefault="00775015" w:rsidP="009B33F8">
            <w:pPr>
              <w:rPr>
                <w:color w:val="000000"/>
              </w:rPr>
            </w:pPr>
            <w:r>
              <w:rPr>
                <w:color w:val="000000"/>
              </w:rPr>
              <w:t>Sub-Component 4 -</w:t>
            </w:r>
            <w:r w:rsidR="003F3F90" w:rsidRPr="00775015">
              <w:rPr>
                <w:color w:val="000000"/>
              </w:rPr>
              <w:t xml:space="preserve"> Improved Supply of Learning</w:t>
            </w:r>
            <w:r w:rsidR="00A62414" w:rsidRPr="00775015">
              <w:rPr>
                <w:color w:val="000000"/>
              </w:rPr>
              <w:t xml:space="preserve"> Materials</w:t>
            </w:r>
          </w:p>
        </w:tc>
        <w:tc>
          <w:tcPr>
            <w:tcW w:w="1530" w:type="dxa"/>
            <w:shd w:val="clear" w:color="auto" w:fill="auto"/>
            <w:noWrap/>
            <w:vAlign w:val="center"/>
          </w:tcPr>
          <w:p w:rsidR="00A62414" w:rsidRPr="00775015" w:rsidRDefault="00397C17" w:rsidP="00F735FD">
            <w:pPr>
              <w:jc w:val="right"/>
              <w:rPr>
                <w:color w:val="000000"/>
              </w:rPr>
            </w:pPr>
            <w:r w:rsidRPr="00775015">
              <w:rPr>
                <w:color w:val="000000"/>
              </w:rPr>
              <w:t>$</w:t>
            </w:r>
            <w:r w:rsidR="00182557" w:rsidRPr="00775015">
              <w:rPr>
                <w:color w:val="000000"/>
              </w:rPr>
              <w:t>2,9</w:t>
            </w:r>
            <w:r w:rsidR="00DB09A9" w:rsidRPr="00775015">
              <w:rPr>
                <w:color w:val="000000"/>
              </w:rPr>
              <w:t>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GPE</w:t>
            </w:r>
          </w:p>
        </w:tc>
      </w:tr>
      <w:tr w:rsidR="00A62414" w:rsidRPr="009B33F8" w:rsidTr="009B7EE3">
        <w:trPr>
          <w:trHeight w:val="280"/>
        </w:trPr>
        <w:tc>
          <w:tcPr>
            <w:tcW w:w="7290" w:type="dxa"/>
            <w:shd w:val="clear" w:color="auto" w:fill="auto"/>
            <w:noWrap/>
            <w:vAlign w:val="bottom"/>
          </w:tcPr>
          <w:p w:rsidR="00A62414" w:rsidRPr="00775015" w:rsidRDefault="00A62414" w:rsidP="00775015">
            <w:pPr>
              <w:rPr>
                <w:color w:val="000000"/>
              </w:rPr>
            </w:pPr>
            <w:r w:rsidRPr="00775015">
              <w:rPr>
                <w:color w:val="000000"/>
              </w:rPr>
              <w:t>Sub-component 5</w:t>
            </w:r>
            <w:r w:rsidR="00775015">
              <w:rPr>
                <w:color w:val="000000"/>
              </w:rPr>
              <w:t xml:space="preserve"> </w:t>
            </w:r>
            <w:r w:rsidRPr="00775015">
              <w:rPr>
                <w:color w:val="000000"/>
              </w:rPr>
              <w:t xml:space="preserve">- </w:t>
            </w:r>
            <w:r w:rsidRPr="00775015">
              <w:rPr>
                <w:bCs/>
                <w:color w:val="000000"/>
              </w:rPr>
              <w:t>Development and Administration of Preschool Evaluation</w:t>
            </w:r>
          </w:p>
        </w:tc>
        <w:tc>
          <w:tcPr>
            <w:tcW w:w="1530" w:type="dxa"/>
            <w:shd w:val="clear" w:color="auto" w:fill="auto"/>
            <w:noWrap/>
            <w:vAlign w:val="center"/>
          </w:tcPr>
          <w:p w:rsidR="00A62414" w:rsidRPr="00775015" w:rsidRDefault="00397C17" w:rsidP="00F735FD">
            <w:pPr>
              <w:jc w:val="right"/>
              <w:rPr>
                <w:color w:val="000000"/>
              </w:rPr>
            </w:pPr>
            <w:r w:rsidRPr="00775015">
              <w:rPr>
                <w:color w:val="000000"/>
              </w:rPr>
              <w:t>$</w:t>
            </w:r>
            <w:r w:rsidR="00DB09A9" w:rsidRPr="00775015">
              <w:rPr>
                <w:color w:val="000000"/>
              </w:rPr>
              <w:t>600,000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GPE</w:t>
            </w:r>
          </w:p>
        </w:tc>
      </w:tr>
      <w:tr w:rsidR="00A62414" w:rsidRPr="009B33F8" w:rsidTr="009B7EE3">
        <w:trPr>
          <w:trHeight w:val="280"/>
        </w:trPr>
        <w:tc>
          <w:tcPr>
            <w:tcW w:w="7290" w:type="dxa"/>
            <w:shd w:val="clear" w:color="auto" w:fill="auto"/>
            <w:noWrap/>
            <w:vAlign w:val="bottom"/>
          </w:tcPr>
          <w:p w:rsidR="00A62414" w:rsidRPr="00775015" w:rsidRDefault="00A62414" w:rsidP="009B33F8">
            <w:pPr>
              <w:jc w:val="center"/>
              <w:rPr>
                <w:color w:val="000000"/>
              </w:rPr>
            </w:pPr>
            <w:r w:rsidRPr="00775015">
              <w:rPr>
                <w:color w:val="000000"/>
              </w:rPr>
              <w:t>Sub-Total</w:t>
            </w:r>
          </w:p>
        </w:tc>
        <w:tc>
          <w:tcPr>
            <w:tcW w:w="1530" w:type="dxa"/>
            <w:shd w:val="clear" w:color="auto" w:fill="auto"/>
            <w:noWrap/>
            <w:vAlign w:val="center"/>
          </w:tcPr>
          <w:p w:rsidR="00A62414" w:rsidRPr="00775015" w:rsidRDefault="00397C17" w:rsidP="00F735FD">
            <w:pPr>
              <w:jc w:val="right"/>
              <w:rPr>
                <w:b/>
                <w:bCs/>
                <w:color w:val="000000"/>
              </w:rPr>
            </w:pPr>
            <w:r w:rsidRPr="00775015">
              <w:rPr>
                <w:b/>
                <w:bCs/>
                <w:color w:val="000000"/>
              </w:rPr>
              <w:t>$15,</w:t>
            </w:r>
            <w:r w:rsidR="00DB09A9" w:rsidRPr="00775015">
              <w:rPr>
                <w:b/>
                <w:bCs/>
                <w:color w:val="000000"/>
              </w:rPr>
              <w:t>900,000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GPE</w:t>
            </w:r>
          </w:p>
        </w:tc>
      </w:tr>
      <w:tr w:rsidR="00A62414" w:rsidRPr="009B33F8" w:rsidTr="00B71013">
        <w:trPr>
          <w:trHeight w:val="280"/>
        </w:trPr>
        <w:tc>
          <w:tcPr>
            <w:tcW w:w="10170" w:type="dxa"/>
            <w:gridSpan w:val="3"/>
            <w:shd w:val="clear" w:color="auto" w:fill="auto"/>
            <w:noWrap/>
            <w:vAlign w:val="bottom"/>
          </w:tcPr>
          <w:p w:rsidR="00A62414" w:rsidRPr="00775015" w:rsidRDefault="00775015" w:rsidP="00A62414">
            <w:pPr>
              <w:rPr>
                <w:b/>
                <w:color w:val="000000"/>
              </w:rPr>
            </w:pPr>
            <w:r>
              <w:rPr>
                <w:b/>
                <w:color w:val="000000"/>
              </w:rPr>
              <w:t>COMPONENT 2 -</w:t>
            </w:r>
            <w:r w:rsidR="00A62414" w:rsidRPr="00775015">
              <w:rPr>
                <w:b/>
                <w:color w:val="000000"/>
              </w:rPr>
              <w:t xml:space="preserve"> Improving Access, Quality and Completion of Lower  Secondary Education</w:t>
            </w:r>
          </w:p>
        </w:tc>
      </w:tr>
      <w:tr w:rsidR="00A62414" w:rsidRPr="009B33F8" w:rsidTr="00775015">
        <w:trPr>
          <w:trHeight w:val="280"/>
        </w:trPr>
        <w:tc>
          <w:tcPr>
            <w:tcW w:w="7290" w:type="dxa"/>
            <w:shd w:val="clear" w:color="auto" w:fill="auto"/>
            <w:noWrap/>
            <w:vAlign w:val="bottom"/>
          </w:tcPr>
          <w:p w:rsidR="00A62414" w:rsidRPr="00775015" w:rsidRDefault="00A62414" w:rsidP="003F3F90">
            <w:pPr>
              <w:rPr>
                <w:color w:val="000000"/>
              </w:rPr>
            </w:pPr>
            <w:r w:rsidRPr="00775015">
              <w:rPr>
                <w:color w:val="000000"/>
              </w:rPr>
              <w:t xml:space="preserve">Sub-Component 1 </w:t>
            </w:r>
            <w:r w:rsidR="00775015">
              <w:rPr>
                <w:color w:val="000000"/>
              </w:rPr>
              <w:t>-</w:t>
            </w:r>
            <w:r w:rsidRPr="00775015">
              <w:rPr>
                <w:color w:val="000000"/>
              </w:rPr>
              <w:t xml:space="preserve"> </w:t>
            </w:r>
            <w:r w:rsidR="003F3F90" w:rsidRPr="00775015">
              <w:rPr>
                <w:color w:val="000000"/>
              </w:rPr>
              <w:t xml:space="preserve">Improved/expanded Lower </w:t>
            </w:r>
            <w:r w:rsidRPr="00775015">
              <w:rPr>
                <w:color w:val="000000"/>
              </w:rPr>
              <w:t>Secondary Education infrastructure</w:t>
            </w:r>
          </w:p>
        </w:tc>
        <w:tc>
          <w:tcPr>
            <w:tcW w:w="1530" w:type="dxa"/>
            <w:shd w:val="clear" w:color="auto" w:fill="auto"/>
            <w:noWrap/>
            <w:vAlign w:val="center"/>
          </w:tcPr>
          <w:p w:rsidR="00A62414" w:rsidRPr="00775015" w:rsidRDefault="00DB09A9" w:rsidP="00F735FD">
            <w:pPr>
              <w:jc w:val="right"/>
              <w:rPr>
                <w:color w:val="000000"/>
              </w:rPr>
            </w:pPr>
            <w:r w:rsidRPr="00775015">
              <w:rPr>
                <w:color w:val="000000"/>
              </w:rPr>
              <w:t>$26,5</w:t>
            </w:r>
            <w:r w:rsidR="00397C17" w:rsidRPr="00775015">
              <w:rPr>
                <w:color w:val="000000"/>
              </w:rPr>
              <w:t>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EU</w:t>
            </w:r>
          </w:p>
        </w:tc>
      </w:tr>
      <w:tr w:rsidR="00A62414" w:rsidRPr="009B33F8" w:rsidTr="00775015">
        <w:trPr>
          <w:trHeight w:val="280"/>
        </w:trPr>
        <w:tc>
          <w:tcPr>
            <w:tcW w:w="7290" w:type="dxa"/>
            <w:shd w:val="clear" w:color="auto" w:fill="auto"/>
            <w:noWrap/>
            <w:vAlign w:val="bottom"/>
          </w:tcPr>
          <w:p w:rsidR="00A62414" w:rsidRPr="00775015" w:rsidRDefault="00A62414" w:rsidP="003F3F90">
            <w:pPr>
              <w:rPr>
                <w:color w:val="000000"/>
              </w:rPr>
            </w:pPr>
            <w:r w:rsidRPr="00775015">
              <w:rPr>
                <w:color w:val="000000"/>
              </w:rPr>
              <w:t xml:space="preserve">Sub-Component 2 </w:t>
            </w:r>
            <w:r w:rsidR="00775015">
              <w:rPr>
                <w:color w:val="000000"/>
              </w:rPr>
              <w:t>-</w:t>
            </w:r>
            <w:r w:rsidRPr="00775015">
              <w:rPr>
                <w:color w:val="000000"/>
              </w:rPr>
              <w:t xml:space="preserve"> </w:t>
            </w:r>
            <w:r w:rsidR="003F3F90" w:rsidRPr="00775015">
              <w:rPr>
                <w:color w:val="000000"/>
              </w:rPr>
              <w:t>Improving Teacher Effectiveness</w:t>
            </w:r>
          </w:p>
        </w:tc>
        <w:tc>
          <w:tcPr>
            <w:tcW w:w="1530" w:type="dxa"/>
            <w:shd w:val="clear" w:color="auto" w:fill="auto"/>
            <w:noWrap/>
            <w:vAlign w:val="center"/>
          </w:tcPr>
          <w:p w:rsidR="00A62414" w:rsidRPr="00775015" w:rsidRDefault="00DB09A9" w:rsidP="00DB09A9">
            <w:pPr>
              <w:jc w:val="right"/>
              <w:rPr>
                <w:color w:val="000000"/>
              </w:rPr>
            </w:pPr>
            <w:r w:rsidRPr="00775015">
              <w:rPr>
                <w:color w:val="000000"/>
              </w:rPr>
              <w:t>$3,300,000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EU</w:t>
            </w:r>
          </w:p>
        </w:tc>
      </w:tr>
      <w:tr w:rsidR="00A62414" w:rsidRPr="009B33F8" w:rsidTr="00775015">
        <w:trPr>
          <w:trHeight w:val="280"/>
        </w:trPr>
        <w:tc>
          <w:tcPr>
            <w:tcW w:w="7290" w:type="dxa"/>
            <w:shd w:val="clear" w:color="auto" w:fill="auto"/>
            <w:noWrap/>
            <w:vAlign w:val="bottom"/>
          </w:tcPr>
          <w:p w:rsidR="00A62414" w:rsidRPr="00775015" w:rsidRDefault="00A62414" w:rsidP="009B33F8">
            <w:pPr>
              <w:rPr>
                <w:color w:val="000000"/>
              </w:rPr>
            </w:pPr>
            <w:r w:rsidRPr="00775015">
              <w:rPr>
                <w:color w:val="000000"/>
              </w:rPr>
              <w:t>Sub-Com</w:t>
            </w:r>
            <w:r w:rsidR="003F3F90" w:rsidRPr="00775015">
              <w:rPr>
                <w:color w:val="000000"/>
              </w:rPr>
              <w:t>ponent 3 -  Improving the Supply of Textbooks and Learning Materials</w:t>
            </w:r>
          </w:p>
        </w:tc>
        <w:tc>
          <w:tcPr>
            <w:tcW w:w="1530" w:type="dxa"/>
            <w:shd w:val="clear" w:color="auto" w:fill="auto"/>
            <w:noWrap/>
            <w:vAlign w:val="center"/>
          </w:tcPr>
          <w:p w:rsidR="00A62414" w:rsidRPr="00775015" w:rsidRDefault="00A467CF" w:rsidP="00F735FD">
            <w:pPr>
              <w:jc w:val="right"/>
              <w:rPr>
                <w:color w:val="000000"/>
              </w:rPr>
            </w:pPr>
            <w:r w:rsidRPr="00775015">
              <w:rPr>
                <w:color w:val="000000"/>
              </w:rPr>
              <w:t>$</w:t>
            </w:r>
            <w:r w:rsidR="00C44471" w:rsidRPr="00775015">
              <w:rPr>
                <w:color w:val="000000"/>
              </w:rPr>
              <w:t>3,</w:t>
            </w:r>
            <w:r w:rsidR="00DB09A9" w:rsidRPr="00775015">
              <w:rPr>
                <w:color w:val="000000"/>
              </w:rPr>
              <w:t>700,000</w:t>
            </w:r>
          </w:p>
        </w:tc>
        <w:tc>
          <w:tcPr>
            <w:tcW w:w="1350" w:type="dxa"/>
            <w:shd w:val="clear" w:color="auto" w:fill="auto"/>
            <w:noWrap/>
            <w:vAlign w:val="center"/>
          </w:tcPr>
          <w:p w:rsidR="00A62414" w:rsidRPr="00775015" w:rsidRDefault="00A62414" w:rsidP="00F735FD">
            <w:pPr>
              <w:jc w:val="center"/>
              <w:rPr>
                <w:color w:val="000000"/>
              </w:rPr>
            </w:pPr>
          </w:p>
        </w:tc>
      </w:tr>
      <w:tr w:rsidR="00A62414" w:rsidRPr="009B33F8" w:rsidTr="00775015">
        <w:trPr>
          <w:trHeight w:val="280"/>
        </w:trPr>
        <w:tc>
          <w:tcPr>
            <w:tcW w:w="7290" w:type="dxa"/>
            <w:shd w:val="clear" w:color="auto" w:fill="auto"/>
            <w:noWrap/>
            <w:vAlign w:val="bottom"/>
          </w:tcPr>
          <w:p w:rsidR="00A62414" w:rsidRPr="00775015" w:rsidRDefault="00A62414" w:rsidP="00265238">
            <w:pPr>
              <w:jc w:val="center"/>
              <w:rPr>
                <w:color w:val="000000"/>
              </w:rPr>
            </w:pPr>
            <w:r w:rsidRPr="00775015">
              <w:rPr>
                <w:color w:val="000000"/>
              </w:rPr>
              <w:t>Sub-Total</w:t>
            </w:r>
          </w:p>
        </w:tc>
        <w:tc>
          <w:tcPr>
            <w:tcW w:w="1530" w:type="dxa"/>
            <w:shd w:val="clear" w:color="auto" w:fill="auto"/>
            <w:noWrap/>
            <w:vAlign w:val="center"/>
          </w:tcPr>
          <w:p w:rsidR="00A62414" w:rsidRPr="00775015" w:rsidRDefault="00397C17" w:rsidP="00F735FD">
            <w:pPr>
              <w:jc w:val="right"/>
              <w:rPr>
                <w:b/>
                <w:bCs/>
                <w:color w:val="000000"/>
              </w:rPr>
            </w:pPr>
            <w:r w:rsidRPr="00775015">
              <w:rPr>
                <w:b/>
                <w:bCs/>
                <w:color w:val="000000"/>
              </w:rPr>
              <w:t>$33,</w:t>
            </w:r>
            <w:r w:rsidR="00DB09A9" w:rsidRPr="00775015">
              <w:rPr>
                <w:b/>
                <w:bCs/>
                <w:color w:val="000000"/>
              </w:rPr>
              <w:t>500,000</w:t>
            </w:r>
          </w:p>
        </w:tc>
        <w:tc>
          <w:tcPr>
            <w:tcW w:w="1350" w:type="dxa"/>
            <w:shd w:val="clear" w:color="auto" w:fill="auto"/>
            <w:noWrap/>
            <w:vAlign w:val="center"/>
          </w:tcPr>
          <w:p w:rsidR="00A62414" w:rsidRPr="00775015" w:rsidRDefault="00A62414" w:rsidP="00F735FD">
            <w:pPr>
              <w:jc w:val="center"/>
              <w:rPr>
                <w:color w:val="000000"/>
              </w:rPr>
            </w:pPr>
            <w:r w:rsidRPr="00775015">
              <w:rPr>
                <w:color w:val="000000"/>
              </w:rPr>
              <w:t>EU</w:t>
            </w:r>
          </w:p>
        </w:tc>
      </w:tr>
      <w:tr w:rsidR="00A62414" w:rsidRPr="009B33F8" w:rsidTr="00B71013">
        <w:trPr>
          <w:trHeight w:val="280"/>
        </w:trPr>
        <w:tc>
          <w:tcPr>
            <w:tcW w:w="10170" w:type="dxa"/>
            <w:gridSpan w:val="3"/>
            <w:shd w:val="clear" w:color="auto" w:fill="auto"/>
            <w:noWrap/>
            <w:vAlign w:val="bottom"/>
          </w:tcPr>
          <w:p w:rsidR="00A62414" w:rsidRPr="00775015" w:rsidRDefault="00A62414" w:rsidP="000D2CCB">
            <w:pPr>
              <w:rPr>
                <w:b/>
                <w:color w:val="000000"/>
              </w:rPr>
            </w:pPr>
            <w:r w:rsidRPr="00775015">
              <w:rPr>
                <w:b/>
                <w:color w:val="000000"/>
              </w:rPr>
              <w:t xml:space="preserve">COMPONENT 3 - </w:t>
            </w:r>
            <w:r w:rsidR="000D2CCB" w:rsidRPr="00775015">
              <w:rPr>
                <w:b/>
                <w:color w:val="000000"/>
              </w:rPr>
              <w:t>Strengthening of the Ministry of Education’s Institutional Capacity for Lower Preschool Education</w:t>
            </w:r>
          </w:p>
        </w:tc>
      </w:tr>
      <w:tr w:rsidR="00A62414" w:rsidRPr="009B33F8" w:rsidTr="00775015">
        <w:trPr>
          <w:trHeight w:val="280"/>
        </w:trPr>
        <w:tc>
          <w:tcPr>
            <w:tcW w:w="7290" w:type="dxa"/>
            <w:shd w:val="clear" w:color="auto" w:fill="auto"/>
            <w:noWrap/>
            <w:vAlign w:val="bottom"/>
          </w:tcPr>
          <w:p w:rsidR="00A62414" w:rsidRPr="00775015" w:rsidRDefault="00A62414" w:rsidP="009B33F8">
            <w:pPr>
              <w:rPr>
                <w:color w:val="000000"/>
              </w:rPr>
            </w:pPr>
            <w:r w:rsidRPr="00775015">
              <w:rPr>
                <w:color w:val="000000"/>
              </w:rPr>
              <w:t>Sub-Component 1 - St</w:t>
            </w:r>
            <w:r w:rsidR="003F3F90" w:rsidRPr="00775015">
              <w:rPr>
                <w:color w:val="000000"/>
              </w:rPr>
              <w:t>r</w:t>
            </w:r>
            <w:r w:rsidR="00BA0A6F" w:rsidRPr="00775015">
              <w:rPr>
                <w:color w:val="000000"/>
              </w:rPr>
              <w:t>engthening</w:t>
            </w:r>
            <w:r w:rsidR="003F3F90" w:rsidRPr="00775015">
              <w:rPr>
                <w:color w:val="000000"/>
              </w:rPr>
              <w:t xml:space="preserve"> of MINED</w:t>
            </w:r>
            <w:r w:rsidR="00BA0A6F" w:rsidRPr="00775015">
              <w:rPr>
                <w:color w:val="000000"/>
              </w:rPr>
              <w:t xml:space="preserve"> Technical Capacity</w:t>
            </w:r>
            <w:r w:rsidR="008500B2" w:rsidRPr="00775015">
              <w:rPr>
                <w:color w:val="000000"/>
              </w:rPr>
              <w:t xml:space="preserve"> for Preschool</w:t>
            </w:r>
            <w:r w:rsidR="00C430B0" w:rsidRPr="00775015">
              <w:rPr>
                <w:color w:val="000000"/>
              </w:rPr>
              <w:t xml:space="preserve"> Education</w:t>
            </w:r>
          </w:p>
        </w:tc>
        <w:tc>
          <w:tcPr>
            <w:tcW w:w="1530" w:type="dxa"/>
            <w:shd w:val="clear" w:color="auto" w:fill="auto"/>
            <w:noWrap/>
            <w:vAlign w:val="center"/>
          </w:tcPr>
          <w:p w:rsidR="00A62414" w:rsidRPr="00775015" w:rsidRDefault="008500B2" w:rsidP="00F735FD">
            <w:pPr>
              <w:jc w:val="right"/>
              <w:rPr>
                <w:color w:val="000000"/>
              </w:rPr>
            </w:pPr>
            <w:r w:rsidRPr="00775015">
              <w:rPr>
                <w:color w:val="000000"/>
              </w:rPr>
              <w:t>$1</w:t>
            </w:r>
            <w:r w:rsidR="00DB09A9" w:rsidRPr="00775015">
              <w:rPr>
                <w:color w:val="000000"/>
              </w:rPr>
              <w:t>50,000</w:t>
            </w:r>
          </w:p>
        </w:tc>
        <w:tc>
          <w:tcPr>
            <w:tcW w:w="1350" w:type="dxa"/>
            <w:shd w:val="clear" w:color="auto" w:fill="auto"/>
            <w:noWrap/>
            <w:vAlign w:val="center"/>
          </w:tcPr>
          <w:p w:rsidR="00A62414" w:rsidRPr="00775015" w:rsidRDefault="008500B2" w:rsidP="00F735FD">
            <w:pPr>
              <w:jc w:val="center"/>
              <w:rPr>
                <w:color w:val="000000"/>
              </w:rPr>
            </w:pPr>
            <w:r w:rsidRPr="00775015">
              <w:rPr>
                <w:color w:val="000000"/>
              </w:rPr>
              <w:t>GPE</w:t>
            </w:r>
          </w:p>
        </w:tc>
      </w:tr>
      <w:tr w:rsidR="00A62414" w:rsidRPr="009B33F8" w:rsidTr="00775015">
        <w:trPr>
          <w:trHeight w:val="300"/>
        </w:trPr>
        <w:tc>
          <w:tcPr>
            <w:tcW w:w="7290" w:type="dxa"/>
            <w:shd w:val="clear" w:color="auto" w:fill="auto"/>
            <w:noWrap/>
            <w:vAlign w:val="bottom"/>
          </w:tcPr>
          <w:p w:rsidR="00A62414" w:rsidRPr="00775015" w:rsidRDefault="0021239A" w:rsidP="009B33F8">
            <w:pPr>
              <w:rPr>
                <w:color w:val="000000"/>
              </w:rPr>
            </w:pPr>
            <w:r w:rsidRPr="00775015">
              <w:rPr>
                <w:color w:val="000000"/>
              </w:rPr>
              <w:t>Sub-Component 2</w:t>
            </w:r>
            <w:r w:rsidR="00775015">
              <w:rPr>
                <w:color w:val="000000"/>
              </w:rPr>
              <w:t xml:space="preserve"> -</w:t>
            </w:r>
            <w:r w:rsidR="00A62414" w:rsidRPr="00775015">
              <w:rPr>
                <w:color w:val="000000"/>
              </w:rPr>
              <w:t xml:space="preserve"> Pro</w:t>
            </w:r>
            <w:r w:rsidR="003F3F90" w:rsidRPr="00775015">
              <w:rPr>
                <w:color w:val="000000"/>
              </w:rPr>
              <w:t>ject Management, Fiduciary Controls and Audits</w:t>
            </w:r>
            <w:r w:rsidR="00C430B0" w:rsidRPr="00775015">
              <w:rPr>
                <w:color w:val="000000"/>
              </w:rPr>
              <w:t xml:space="preserve"> </w:t>
            </w:r>
            <w:r w:rsidR="00C430B0" w:rsidRPr="00775015">
              <w:rPr>
                <w:bCs/>
                <w:color w:val="000000"/>
              </w:rPr>
              <w:t>for the Activities Financed under the GPE</w:t>
            </w:r>
          </w:p>
        </w:tc>
        <w:tc>
          <w:tcPr>
            <w:tcW w:w="1530" w:type="dxa"/>
            <w:shd w:val="clear" w:color="auto" w:fill="auto"/>
            <w:noWrap/>
            <w:vAlign w:val="center"/>
          </w:tcPr>
          <w:p w:rsidR="00A62414" w:rsidRPr="00775015" w:rsidRDefault="00C44471" w:rsidP="00C44471">
            <w:pPr>
              <w:jc w:val="right"/>
              <w:rPr>
                <w:color w:val="000000"/>
              </w:rPr>
            </w:pPr>
            <w:r w:rsidRPr="00775015">
              <w:rPr>
                <w:color w:val="000000"/>
              </w:rPr>
              <w:t>$</w:t>
            </w:r>
            <w:r w:rsidR="00DB09A9" w:rsidRPr="00775015">
              <w:rPr>
                <w:color w:val="000000"/>
              </w:rPr>
              <w:t>650,000</w:t>
            </w:r>
          </w:p>
        </w:tc>
        <w:tc>
          <w:tcPr>
            <w:tcW w:w="1350" w:type="dxa"/>
            <w:shd w:val="clear" w:color="auto" w:fill="auto"/>
            <w:noWrap/>
            <w:vAlign w:val="center"/>
          </w:tcPr>
          <w:p w:rsidR="00A62414" w:rsidRPr="00775015" w:rsidRDefault="007E2DAB" w:rsidP="00F735FD">
            <w:pPr>
              <w:jc w:val="center"/>
              <w:rPr>
                <w:color w:val="000000"/>
              </w:rPr>
            </w:pPr>
            <w:r w:rsidRPr="00775015">
              <w:rPr>
                <w:color w:val="000000"/>
              </w:rPr>
              <w:t>GPE</w:t>
            </w:r>
          </w:p>
        </w:tc>
      </w:tr>
      <w:tr w:rsidR="00A62414" w:rsidRPr="009B33F8" w:rsidTr="00775015">
        <w:trPr>
          <w:trHeight w:val="280"/>
        </w:trPr>
        <w:tc>
          <w:tcPr>
            <w:tcW w:w="7290" w:type="dxa"/>
            <w:shd w:val="clear" w:color="auto" w:fill="auto"/>
            <w:noWrap/>
            <w:vAlign w:val="bottom"/>
          </w:tcPr>
          <w:p w:rsidR="00A62414" w:rsidRPr="00775015" w:rsidRDefault="00A62414" w:rsidP="009B33F8">
            <w:pPr>
              <w:jc w:val="center"/>
              <w:rPr>
                <w:color w:val="000000"/>
              </w:rPr>
            </w:pPr>
            <w:r w:rsidRPr="00775015">
              <w:rPr>
                <w:color w:val="000000"/>
              </w:rPr>
              <w:t>Sub-Total</w:t>
            </w:r>
          </w:p>
        </w:tc>
        <w:tc>
          <w:tcPr>
            <w:tcW w:w="1530" w:type="dxa"/>
            <w:shd w:val="clear" w:color="auto" w:fill="auto"/>
            <w:noWrap/>
            <w:vAlign w:val="center"/>
          </w:tcPr>
          <w:p w:rsidR="00A62414" w:rsidRPr="00775015" w:rsidRDefault="00A62414" w:rsidP="00C44471">
            <w:pPr>
              <w:jc w:val="right"/>
              <w:rPr>
                <w:b/>
                <w:bCs/>
                <w:color w:val="000000"/>
              </w:rPr>
            </w:pPr>
            <w:r w:rsidRPr="00775015">
              <w:rPr>
                <w:b/>
                <w:bCs/>
                <w:color w:val="000000"/>
              </w:rPr>
              <w:t>$</w:t>
            </w:r>
            <w:r w:rsidR="00DB09A9" w:rsidRPr="00775015">
              <w:rPr>
                <w:b/>
                <w:bCs/>
                <w:color w:val="000000"/>
              </w:rPr>
              <w:t>800,000</w:t>
            </w:r>
          </w:p>
        </w:tc>
        <w:tc>
          <w:tcPr>
            <w:tcW w:w="1350" w:type="dxa"/>
            <w:shd w:val="clear" w:color="auto" w:fill="auto"/>
            <w:noWrap/>
            <w:vAlign w:val="center"/>
          </w:tcPr>
          <w:p w:rsidR="00A62414" w:rsidRPr="00775015" w:rsidRDefault="00A62414" w:rsidP="00F735FD">
            <w:pPr>
              <w:jc w:val="center"/>
              <w:rPr>
                <w:color w:val="000000"/>
              </w:rPr>
            </w:pPr>
          </w:p>
        </w:tc>
      </w:tr>
      <w:tr w:rsidR="00C430B0" w:rsidRPr="009B33F8" w:rsidTr="00B71013">
        <w:trPr>
          <w:trHeight w:val="98"/>
        </w:trPr>
        <w:tc>
          <w:tcPr>
            <w:tcW w:w="10170" w:type="dxa"/>
            <w:gridSpan w:val="3"/>
            <w:shd w:val="clear" w:color="auto" w:fill="auto"/>
            <w:noWrap/>
            <w:vAlign w:val="bottom"/>
          </w:tcPr>
          <w:p w:rsidR="00C430B0" w:rsidRPr="00775015" w:rsidRDefault="006D30A1" w:rsidP="00D811C3">
            <w:pPr>
              <w:rPr>
                <w:b/>
                <w:color w:val="000000"/>
              </w:rPr>
            </w:pPr>
            <w:r w:rsidRPr="00775015">
              <w:rPr>
                <w:b/>
                <w:color w:val="000000"/>
              </w:rPr>
              <w:t>COMPONENT 4</w:t>
            </w:r>
            <w:r w:rsidR="00C430B0" w:rsidRPr="00775015">
              <w:rPr>
                <w:b/>
                <w:color w:val="000000"/>
              </w:rPr>
              <w:t xml:space="preserve"> - </w:t>
            </w:r>
            <w:r w:rsidR="000D2CCB" w:rsidRPr="00775015">
              <w:rPr>
                <w:b/>
                <w:color w:val="000000"/>
              </w:rPr>
              <w:t>Strengthening of the Ministry of Education’s Institutional Capacity for Lower Secondary Education</w:t>
            </w:r>
          </w:p>
        </w:tc>
      </w:tr>
      <w:tr w:rsidR="00C430B0" w:rsidRPr="009B33F8" w:rsidTr="00775015">
        <w:trPr>
          <w:trHeight w:val="98"/>
        </w:trPr>
        <w:tc>
          <w:tcPr>
            <w:tcW w:w="7290" w:type="dxa"/>
            <w:shd w:val="clear" w:color="auto" w:fill="auto"/>
            <w:noWrap/>
            <w:vAlign w:val="bottom"/>
          </w:tcPr>
          <w:p w:rsidR="00C430B0" w:rsidRPr="00775015" w:rsidRDefault="00C430B0" w:rsidP="00C430B0">
            <w:pPr>
              <w:rPr>
                <w:color w:val="000000"/>
              </w:rPr>
            </w:pPr>
            <w:r w:rsidRPr="00775015">
              <w:rPr>
                <w:bCs/>
                <w:color w:val="000000"/>
              </w:rPr>
              <w:t xml:space="preserve">Sub-Component 1 </w:t>
            </w:r>
            <w:r w:rsidR="00775015">
              <w:rPr>
                <w:bCs/>
                <w:color w:val="000000"/>
              </w:rPr>
              <w:t xml:space="preserve">- </w:t>
            </w:r>
            <w:r w:rsidRPr="00775015">
              <w:rPr>
                <w:bCs/>
                <w:color w:val="000000"/>
              </w:rPr>
              <w:t>Strengthening of MINED’s Technical Capacity General Directorate of Secondary Education</w:t>
            </w:r>
          </w:p>
        </w:tc>
        <w:tc>
          <w:tcPr>
            <w:tcW w:w="1530" w:type="dxa"/>
            <w:shd w:val="clear" w:color="auto" w:fill="auto"/>
            <w:noWrap/>
            <w:vAlign w:val="center"/>
          </w:tcPr>
          <w:p w:rsidR="00C430B0" w:rsidRPr="00775015" w:rsidRDefault="00775015" w:rsidP="00F735FD">
            <w:pPr>
              <w:jc w:val="right"/>
              <w:rPr>
                <w:bCs/>
                <w:color w:val="000000"/>
              </w:rPr>
            </w:pPr>
            <w:r>
              <w:rPr>
                <w:bCs/>
                <w:color w:val="000000"/>
              </w:rPr>
              <w:t>$</w:t>
            </w:r>
            <w:r w:rsidR="00DB09A9" w:rsidRPr="00775015">
              <w:rPr>
                <w:bCs/>
                <w:color w:val="000000"/>
              </w:rPr>
              <w:t>100,000</w:t>
            </w:r>
          </w:p>
        </w:tc>
        <w:tc>
          <w:tcPr>
            <w:tcW w:w="1350" w:type="dxa"/>
            <w:shd w:val="clear" w:color="auto" w:fill="auto"/>
            <w:noWrap/>
            <w:vAlign w:val="center"/>
          </w:tcPr>
          <w:p w:rsidR="00C430B0" w:rsidRPr="00775015" w:rsidRDefault="0021239A" w:rsidP="00F735FD">
            <w:pPr>
              <w:jc w:val="center"/>
              <w:rPr>
                <w:color w:val="000000"/>
              </w:rPr>
            </w:pPr>
            <w:r w:rsidRPr="00775015">
              <w:rPr>
                <w:color w:val="000000"/>
              </w:rPr>
              <w:t>EU</w:t>
            </w:r>
          </w:p>
        </w:tc>
      </w:tr>
      <w:tr w:rsidR="00C430B0" w:rsidRPr="009B33F8" w:rsidTr="00775015">
        <w:trPr>
          <w:trHeight w:val="98"/>
        </w:trPr>
        <w:tc>
          <w:tcPr>
            <w:tcW w:w="7290" w:type="dxa"/>
            <w:shd w:val="clear" w:color="auto" w:fill="auto"/>
            <w:noWrap/>
            <w:vAlign w:val="bottom"/>
          </w:tcPr>
          <w:p w:rsidR="00C430B0" w:rsidRPr="00775015" w:rsidRDefault="0021239A" w:rsidP="00C430B0">
            <w:pPr>
              <w:rPr>
                <w:color w:val="000000"/>
              </w:rPr>
            </w:pPr>
            <w:r w:rsidRPr="00775015">
              <w:rPr>
                <w:bCs/>
                <w:color w:val="000000"/>
              </w:rPr>
              <w:t>Sub-Component 2</w:t>
            </w:r>
            <w:r w:rsidR="00C430B0" w:rsidRPr="00775015">
              <w:rPr>
                <w:bCs/>
                <w:color w:val="000000"/>
              </w:rPr>
              <w:t xml:space="preserve"> </w:t>
            </w:r>
            <w:r w:rsidR="00775015">
              <w:rPr>
                <w:bCs/>
                <w:color w:val="000000"/>
              </w:rPr>
              <w:t xml:space="preserve">- </w:t>
            </w:r>
            <w:r w:rsidR="00C430B0" w:rsidRPr="00775015">
              <w:rPr>
                <w:bCs/>
                <w:color w:val="000000"/>
              </w:rPr>
              <w:t>Strengthening of MINED’s Directorate of Training</w:t>
            </w:r>
          </w:p>
        </w:tc>
        <w:tc>
          <w:tcPr>
            <w:tcW w:w="1530" w:type="dxa"/>
            <w:shd w:val="clear" w:color="auto" w:fill="auto"/>
            <w:noWrap/>
            <w:vAlign w:val="center"/>
          </w:tcPr>
          <w:p w:rsidR="00C430B0" w:rsidRPr="00775015" w:rsidRDefault="00775015" w:rsidP="00F735FD">
            <w:pPr>
              <w:jc w:val="right"/>
              <w:rPr>
                <w:bCs/>
                <w:color w:val="000000"/>
              </w:rPr>
            </w:pPr>
            <w:r>
              <w:rPr>
                <w:bCs/>
                <w:color w:val="000000"/>
              </w:rPr>
              <w:t>$</w:t>
            </w:r>
            <w:r w:rsidR="00DB09A9" w:rsidRPr="00775015">
              <w:rPr>
                <w:bCs/>
                <w:color w:val="000000"/>
              </w:rPr>
              <w:t>100,000</w:t>
            </w:r>
          </w:p>
        </w:tc>
        <w:tc>
          <w:tcPr>
            <w:tcW w:w="1350" w:type="dxa"/>
            <w:shd w:val="clear" w:color="auto" w:fill="auto"/>
            <w:noWrap/>
            <w:vAlign w:val="center"/>
          </w:tcPr>
          <w:p w:rsidR="00C430B0" w:rsidRPr="00775015" w:rsidRDefault="0021239A" w:rsidP="00F735FD">
            <w:pPr>
              <w:jc w:val="center"/>
              <w:rPr>
                <w:color w:val="000000"/>
              </w:rPr>
            </w:pPr>
            <w:r w:rsidRPr="00775015">
              <w:rPr>
                <w:color w:val="000000"/>
              </w:rPr>
              <w:t>EU</w:t>
            </w:r>
          </w:p>
        </w:tc>
      </w:tr>
      <w:tr w:rsidR="00C430B0" w:rsidRPr="009B33F8" w:rsidTr="00775015">
        <w:trPr>
          <w:trHeight w:val="98"/>
        </w:trPr>
        <w:tc>
          <w:tcPr>
            <w:tcW w:w="7290" w:type="dxa"/>
            <w:shd w:val="clear" w:color="auto" w:fill="auto"/>
            <w:noWrap/>
            <w:vAlign w:val="bottom"/>
          </w:tcPr>
          <w:p w:rsidR="00C430B0" w:rsidRPr="00775015" w:rsidRDefault="0021239A" w:rsidP="00C430B0">
            <w:pPr>
              <w:rPr>
                <w:color w:val="000000"/>
              </w:rPr>
            </w:pPr>
            <w:r w:rsidRPr="00775015">
              <w:rPr>
                <w:bCs/>
                <w:color w:val="000000"/>
              </w:rPr>
              <w:t>Sub-Component 3</w:t>
            </w:r>
            <w:r w:rsidR="00C430B0" w:rsidRPr="00775015">
              <w:rPr>
                <w:bCs/>
                <w:color w:val="000000"/>
              </w:rPr>
              <w:t xml:space="preserve"> </w:t>
            </w:r>
            <w:r w:rsidR="00775015">
              <w:rPr>
                <w:bCs/>
                <w:color w:val="000000"/>
              </w:rPr>
              <w:t xml:space="preserve">- </w:t>
            </w:r>
            <w:r w:rsidR="00C430B0" w:rsidRPr="00775015">
              <w:rPr>
                <w:bCs/>
                <w:color w:val="000000"/>
              </w:rPr>
              <w:t>Strengthening of MINED’s General Directorate of School Infrastructure</w:t>
            </w:r>
          </w:p>
        </w:tc>
        <w:tc>
          <w:tcPr>
            <w:tcW w:w="1530" w:type="dxa"/>
            <w:shd w:val="clear" w:color="auto" w:fill="auto"/>
            <w:noWrap/>
            <w:vAlign w:val="center"/>
          </w:tcPr>
          <w:p w:rsidR="00C430B0" w:rsidRPr="00775015" w:rsidRDefault="00775015" w:rsidP="00F735FD">
            <w:pPr>
              <w:jc w:val="right"/>
              <w:rPr>
                <w:bCs/>
                <w:color w:val="000000"/>
              </w:rPr>
            </w:pPr>
            <w:r>
              <w:rPr>
                <w:bCs/>
                <w:color w:val="000000"/>
              </w:rPr>
              <w:t>$</w:t>
            </w:r>
            <w:r w:rsidR="00DB09A9" w:rsidRPr="00775015">
              <w:rPr>
                <w:bCs/>
                <w:color w:val="000000"/>
              </w:rPr>
              <w:t>1,100,000</w:t>
            </w:r>
          </w:p>
        </w:tc>
        <w:tc>
          <w:tcPr>
            <w:tcW w:w="1350" w:type="dxa"/>
            <w:shd w:val="clear" w:color="auto" w:fill="auto"/>
            <w:noWrap/>
            <w:vAlign w:val="center"/>
          </w:tcPr>
          <w:p w:rsidR="00C430B0" w:rsidRPr="00775015" w:rsidRDefault="0021239A" w:rsidP="00F735FD">
            <w:pPr>
              <w:jc w:val="center"/>
              <w:rPr>
                <w:color w:val="000000"/>
              </w:rPr>
            </w:pPr>
            <w:r w:rsidRPr="00775015">
              <w:rPr>
                <w:color w:val="000000"/>
              </w:rPr>
              <w:t>EU</w:t>
            </w:r>
          </w:p>
        </w:tc>
      </w:tr>
      <w:tr w:rsidR="00C430B0" w:rsidRPr="009B33F8" w:rsidTr="00775015">
        <w:trPr>
          <w:trHeight w:val="98"/>
        </w:trPr>
        <w:tc>
          <w:tcPr>
            <w:tcW w:w="7290" w:type="dxa"/>
            <w:shd w:val="clear" w:color="auto" w:fill="auto"/>
            <w:noWrap/>
            <w:vAlign w:val="bottom"/>
          </w:tcPr>
          <w:p w:rsidR="00C430B0" w:rsidRPr="00775015" w:rsidRDefault="0021239A" w:rsidP="00C430B0">
            <w:pPr>
              <w:rPr>
                <w:color w:val="000000"/>
              </w:rPr>
            </w:pPr>
            <w:r w:rsidRPr="00775015">
              <w:rPr>
                <w:bCs/>
                <w:color w:val="000000"/>
              </w:rPr>
              <w:t>Sub-Component 4</w:t>
            </w:r>
            <w:r w:rsidR="00C430B0" w:rsidRPr="00775015">
              <w:rPr>
                <w:bCs/>
                <w:color w:val="000000"/>
              </w:rPr>
              <w:t xml:space="preserve"> </w:t>
            </w:r>
            <w:r w:rsidR="00775015">
              <w:rPr>
                <w:bCs/>
                <w:color w:val="000000"/>
              </w:rPr>
              <w:t xml:space="preserve">- </w:t>
            </w:r>
            <w:r w:rsidR="00C430B0" w:rsidRPr="00775015">
              <w:rPr>
                <w:bCs/>
                <w:color w:val="000000"/>
              </w:rPr>
              <w:t>Management, Fiduciary Controls and Audits for the Activities Financed under the EU</w:t>
            </w:r>
          </w:p>
        </w:tc>
        <w:tc>
          <w:tcPr>
            <w:tcW w:w="1530" w:type="dxa"/>
            <w:shd w:val="clear" w:color="auto" w:fill="auto"/>
            <w:noWrap/>
            <w:vAlign w:val="center"/>
          </w:tcPr>
          <w:p w:rsidR="00C430B0" w:rsidRPr="00775015" w:rsidRDefault="00775015" w:rsidP="00F735FD">
            <w:pPr>
              <w:jc w:val="right"/>
              <w:rPr>
                <w:bCs/>
                <w:color w:val="000000"/>
              </w:rPr>
            </w:pPr>
            <w:r>
              <w:rPr>
                <w:bCs/>
                <w:color w:val="000000"/>
              </w:rPr>
              <w:t>$</w:t>
            </w:r>
            <w:r w:rsidR="00DB09A9" w:rsidRPr="00775015">
              <w:rPr>
                <w:bCs/>
                <w:color w:val="000000"/>
              </w:rPr>
              <w:t>200,000</w:t>
            </w:r>
          </w:p>
        </w:tc>
        <w:tc>
          <w:tcPr>
            <w:tcW w:w="1350" w:type="dxa"/>
            <w:shd w:val="clear" w:color="auto" w:fill="auto"/>
            <w:noWrap/>
            <w:vAlign w:val="center"/>
          </w:tcPr>
          <w:p w:rsidR="00C430B0" w:rsidRPr="00775015" w:rsidRDefault="0021239A" w:rsidP="00F735FD">
            <w:pPr>
              <w:jc w:val="center"/>
              <w:rPr>
                <w:color w:val="000000"/>
              </w:rPr>
            </w:pPr>
            <w:r w:rsidRPr="00775015">
              <w:rPr>
                <w:color w:val="000000"/>
              </w:rPr>
              <w:t>EU</w:t>
            </w:r>
          </w:p>
        </w:tc>
      </w:tr>
      <w:tr w:rsidR="0021239A" w:rsidRPr="009B33F8" w:rsidTr="00775015">
        <w:trPr>
          <w:trHeight w:val="98"/>
        </w:trPr>
        <w:tc>
          <w:tcPr>
            <w:tcW w:w="7290" w:type="dxa"/>
            <w:shd w:val="clear" w:color="auto" w:fill="auto"/>
            <w:noWrap/>
            <w:vAlign w:val="bottom"/>
          </w:tcPr>
          <w:p w:rsidR="0021239A" w:rsidRPr="00775015" w:rsidRDefault="0021239A" w:rsidP="00D811C3">
            <w:pPr>
              <w:jc w:val="center"/>
              <w:rPr>
                <w:color w:val="000000"/>
              </w:rPr>
            </w:pPr>
            <w:r w:rsidRPr="00775015">
              <w:rPr>
                <w:color w:val="000000"/>
              </w:rPr>
              <w:t>Sub-Total</w:t>
            </w:r>
          </w:p>
        </w:tc>
        <w:tc>
          <w:tcPr>
            <w:tcW w:w="1530" w:type="dxa"/>
            <w:shd w:val="clear" w:color="auto" w:fill="auto"/>
            <w:noWrap/>
            <w:vAlign w:val="center"/>
          </w:tcPr>
          <w:p w:rsidR="0021239A" w:rsidRPr="00775015" w:rsidRDefault="00775015" w:rsidP="00D811C3">
            <w:pPr>
              <w:jc w:val="right"/>
              <w:rPr>
                <w:b/>
                <w:bCs/>
                <w:color w:val="000000"/>
              </w:rPr>
            </w:pPr>
            <w:r>
              <w:rPr>
                <w:b/>
                <w:bCs/>
                <w:color w:val="000000"/>
              </w:rPr>
              <w:t>$</w:t>
            </w:r>
            <w:r w:rsidR="00DB09A9" w:rsidRPr="00775015">
              <w:rPr>
                <w:b/>
                <w:bCs/>
                <w:color w:val="000000"/>
              </w:rPr>
              <w:t>1,500,000</w:t>
            </w:r>
          </w:p>
        </w:tc>
        <w:tc>
          <w:tcPr>
            <w:tcW w:w="1350" w:type="dxa"/>
            <w:shd w:val="clear" w:color="auto" w:fill="auto"/>
            <w:noWrap/>
            <w:vAlign w:val="center"/>
          </w:tcPr>
          <w:p w:rsidR="0021239A" w:rsidRPr="00775015" w:rsidRDefault="0021239A" w:rsidP="00D811C3">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21239A" w:rsidP="00775015">
            <w:pPr>
              <w:jc w:val="right"/>
              <w:rPr>
                <w:color w:val="000000"/>
              </w:rPr>
            </w:pPr>
            <w:r w:rsidRPr="00775015">
              <w:rPr>
                <w:color w:val="000000"/>
              </w:rPr>
              <w:t>TOTAL BASELINE COSTS</w:t>
            </w:r>
          </w:p>
        </w:tc>
        <w:tc>
          <w:tcPr>
            <w:tcW w:w="1530" w:type="dxa"/>
            <w:shd w:val="clear" w:color="auto" w:fill="auto"/>
            <w:noWrap/>
            <w:vAlign w:val="center"/>
          </w:tcPr>
          <w:p w:rsidR="0021239A" w:rsidRPr="00775015" w:rsidRDefault="002D3926" w:rsidP="00F735FD">
            <w:pPr>
              <w:jc w:val="right"/>
              <w:rPr>
                <w:b/>
                <w:bCs/>
                <w:color w:val="000000"/>
              </w:rPr>
            </w:pPr>
            <w:r w:rsidRPr="00775015">
              <w:rPr>
                <w:b/>
                <w:bCs/>
                <w:color w:val="000000"/>
              </w:rPr>
              <w:t>$51,700</w:t>
            </w:r>
            <w:r w:rsidR="0021239A" w:rsidRPr="00775015">
              <w:rPr>
                <w:b/>
                <w:bCs/>
                <w:color w:val="000000"/>
              </w:rPr>
              <w:t>,000</w:t>
            </w:r>
          </w:p>
        </w:tc>
        <w:tc>
          <w:tcPr>
            <w:tcW w:w="1350" w:type="dxa"/>
            <w:shd w:val="clear" w:color="auto" w:fill="auto"/>
            <w:noWrap/>
            <w:vAlign w:val="center"/>
          </w:tcPr>
          <w:p w:rsidR="0021239A" w:rsidRPr="00775015" w:rsidRDefault="0021239A" w:rsidP="00F735FD">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21239A" w:rsidP="00B72497">
            <w:pPr>
              <w:jc w:val="right"/>
              <w:rPr>
                <w:color w:val="000000"/>
              </w:rPr>
            </w:pPr>
            <w:r w:rsidRPr="00775015">
              <w:rPr>
                <w:color w:val="000000"/>
              </w:rPr>
              <w:t>Contingencies</w:t>
            </w:r>
          </w:p>
        </w:tc>
        <w:tc>
          <w:tcPr>
            <w:tcW w:w="1530" w:type="dxa"/>
            <w:shd w:val="clear" w:color="auto" w:fill="auto"/>
            <w:noWrap/>
            <w:vAlign w:val="center"/>
          </w:tcPr>
          <w:p w:rsidR="0021239A" w:rsidRPr="00775015" w:rsidRDefault="002D3926" w:rsidP="00F735FD">
            <w:pPr>
              <w:jc w:val="right"/>
              <w:rPr>
                <w:color w:val="000000"/>
              </w:rPr>
            </w:pPr>
            <w:r w:rsidRPr="00775015">
              <w:rPr>
                <w:color w:val="000000"/>
              </w:rPr>
              <w:t>$100</w:t>
            </w:r>
            <w:r w:rsidR="0021239A" w:rsidRPr="00775015">
              <w:rPr>
                <w:color w:val="000000"/>
              </w:rPr>
              <w:t>,000</w:t>
            </w:r>
          </w:p>
        </w:tc>
        <w:tc>
          <w:tcPr>
            <w:tcW w:w="1350" w:type="dxa"/>
            <w:shd w:val="clear" w:color="auto" w:fill="auto"/>
            <w:noWrap/>
            <w:vAlign w:val="center"/>
          </w:tcPr>
          <w:p w:rsidR="0021239A" w:rsidRPr="00775015" w:rsidRDefault="0021239A" w:rsidP="00F735FD">
            <w:pPr>
              <w:jc w:val="center"/>
              <w:rPr>
                <w:color w:val="000000"/>
              </w:rPr>
            </w:pPr>
            <w:r w:rsidRPr="00775015">
              <w:rPr>
                <w:color w:val="000000"/>
              </w:rPr>
              <w:t>EU</w:t>
            </w:r>
          </w:p>
        </w:tc>
      </w:tr>
      <w:tr w:rsidR="004A4B60" w:rsidRPr="009B33F8" w:rsidTr="00775015">
        <w:trPr>
          <w:trHeight w:val="280"/>
        </w:trPr>
        <w:tc>
          <w:tcPr>
            <w:tcW w:w="7290" w:type="dxa"/>
            <w:shd w:val="clear" w:color="auto" w:fill="auto"/>
            <w:noWrap/>
            <w:vAlign w:val="bottom"/>
          </w:tcPr>
          <w:p w:rsidR="004A4B60" w:rsidRPr="00775015" w:rsidRDefault="004A4B60" w:rsidP="00B72497">
            <w:pPr>
              <w:jc w:val="right"/>
              <w:rPr>
                <w:color w:val="000000"/>
              </w:rPr>
            </w:pPr>
          </w:p>
        </w:tc>
        <w:tc>
          <w:tcPr>
            <w:tcW w:w="1530" w:type="dxa"/>
            <w:shd w:val="clear" w:color="auto" w:fill="auto"/>
            <w:noWrap/>
            <w:vAlign w:val="center"/>
          </w:tcPr>
          <w:p w:rsidR="004A4B60" w:rsidRPr="00775015" w:rsidRDefault="004A4B60" w:rsidP="00F735FD">
            <w:pPr>
              <w:jc w:val="right"/>
              <w:rPr>
                <w:color w:val="000000"/>
              </w:rPr>
            </w:pPr>
          </w:p>
        </w:tc>
        <w:tc>
          <w:tcPr>
            <w:tcW w:w="1350" w:type="dxa"/>
            <w:shd w:val="clear" w:color="auto" w:fill="auto"/>
            <w:noWrap/>
            <w:vAlign w:val="center"/>
          </w:tcPr>
          <w:p w:rsidR="004A4B60" w:rsidRPr="00775015" w:rsidRDefault="004A4B60" w:rsidP="00F735FD">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21239A" w:rsidP="00B72497">
            <w:pPr>
              <w:jc w:val="right"/>
              <w:rPr>
                <w:color w:val="000000"/>
              </w:rPr>
            </w:pPr>
            <w:r w:rsidRPr="00775015">
              <w:rPr>
                <w:color w:val="000000"/>
              </w:rPr>
              <w:t>EU "Visibility"</w:t>
            </w:r>
          </w:p>
        </w:tc>
        <w:tc>
          <w:tcPr>
            <w:tcW w:w="1530" w:type="dxa"/>
            <w:shd w:val="clear" w:color="auto" w:fill="auto"/>
            <w:noWrap/>
            <w:vAlign w:val="center"/>
          </w:tcPr>
          <w:p w:rsidR="0021239A" w:rsidRPr="00775015" w:rsidRDefault="002D3926" w:rsidP="00F735FD">
            <w:pPr>
              <w:jc w:val="right"/>
              <w:rPr>
                <w:color w:val="000000"/>
              </w:rPr>
            </w:pPr>
            <w:r w:rsidRPr="00775015">
              <w:rPr>
                <w:color w:val="000000"/>
              </w:rPr>
              <w:t>$100</w:t>
            </w:r>
            <w:r w:rsidR="0021239A" w:rsidRPr="00775015">
              <w:rPr>
                <w:color w:val="000000"/>
              </w:rPr>
              <w:t>,000</w:t>
            </w:r>
          </w:p>
        </w:tc>
        <w:tc>
          <w:tcPr>
            <w:tcW w:w="1350" w:type="dxa"/>
            <w:shd w:val="clear" w:color="auto" w:fill="auto"/>
            <w:noWrap/>
            <w:vAlign w:val="center"/>
          </w:tcPr>
          <w:p w:rsidR="0021239A" w:rsidRPr="00775015" w:rsidRDefault="0021239A" w:rsidP="00F735FD">
            <w:pPr>
              <w:jc w:val="center"/>
              <w:rPr>
                <w:color w:val="000000"/>
              </w:rPr>
            </w:pPr>
            <w:r w:rsidRPr="00775015">
              <w:rPr>
                <w:color w:val="000000"/>
              </w:rPr>
              <w:t>EU</w:t>
            </w:r>
          </w:p>
        </w:tc>
      </w:tr>
      <w:tr w:rsidR="0021239A" w:rsidRPr="009B33F8" w:rsidTr="00775015">
        <w:trPr>
          <w:trHeight w:val="280"/>
        </w:trPr>
        <w:tc>
          <w:tcPr>
            <w:tcW w:w="7290" w:type="dxa"/>
            <w:shd w:val="clear" w:color="auto" w:fill="auto"/>
            <w:noWrap/>
            <w:vAlign w:val="bottom"/>
          </w:tcPr>
          <w:p w:rsidR="0021239A" w:rsidRPr="00775015" w:rsidRDefault="0021239A" w:rsidP="00050125">
            <w:pPr>
              <w:jc w:val="center"/>
              <w:rPr>
                <w:b/>
                <w:bCs/>
                <w:color w:val="000000"/>
              </w:rPr>
            </w:pPr>
            <w:r w:rsidRPr="00775015">
              <w:rPr>
                <w:b/>
                <w:bCs/>
                <w:color w:val="000000"/>
              </w:rPr>
              <w:lastRenderedPageBreak/>
              <w:t>GRAND TOTAL</w:t>
            </w:r>
            <w:r w:rsidR="002F0E2D">
              <w:rPr>
                <w:b/>
                <w:bCs/>
                <w:color w:val="000000"/>
              </w:rPr>
              <w:t xml:space="preserve"> (</w:t>
            </w:r>
            <w:r w:rsidR="00050125">
              <w:rPr>
                <w:b/>
                <w:bCs/>
                <w:color w:val="000000"/>
              </w:rPr>
              <w:t xml:space="preserve">exclusive of </w:t>
            </w:r>
            <w:r w:rsidR="002F0E2D">
              <w:rPr>
                <w:b/>
                <w:bCs/>
                <w:color w:val="000000"/>
              </w:rPr>
              <w:t xml:space="preserve"> taxes)</w:t>
            </w:r>
          </w:p>
        </w:tc>
        <w:tc>
          <w:tcPr>
            <w:tcW w:w="1530" w:type="dxa"/>
            <w:shd w:val="clear" w:color="auto" w:fill="auto"/>
            <w:noWrap/>
            <w:vAlign w:val="center"/>
          </w:tcPr>
          <w:p w:rsidR="0021239A" w:rsidRPr="00775015" w:rsidRDefault="00146521" w:rsidP="008E24DD">
            <w:pPr>
              <w:jc w:val="right"/>
              <w:rPr>
                <w:b/>
                <w:bCs/>
                <w:color w:val="000000"/>
              </w:rPr>
            </w:pPr>
            <w:r w:rsidRPr="00775015">
              <w:rPr>
                <w:b/>
                <w:bCs/>
                <w:color w:val="000000"/>
              </w:rPr>
              <w:t>$5</w:t>
            </w:r>
            <w:r w:rsidR="008E24DD" w:rsidRPr="00775015">
              <w:rPr>
                <w:b/>
                <w:bCs/>
                <w:color w:val="000000"/>
              </w:rPr>
              <w:t>1</w:t>
            </w:r>
            <w:r w:rsidRPr="00775015">
              <w:rPr>
                <w:b/>
                <w:bCs/>
                <w:color w:val="000000"/>
              </w:rPr>
              <w:t>,</w:t>
            </w:r>
            <w:r w:rsidR="008E24DD" w:rsidRPr="00775015">
              <w:rPr>
                <w:b/>
                <w:bCs/>
                <w:color w:val="000000"/>
              </w:rPr>
              <w:t>9</w:t>
            </w:r>
            <w:r w:rsidR="002D3926" w:rsidRPr="00775015">
              <w:rPr>
                <w:b/>
                <w:bCs/>
                <w:color w:val="000000"/>
              </w:rPr>
              <w:t>00</w:t>
            </w:r>
            <w:r w:rsidR="0021239A" w:rsidRPr="00775015">
              <w:rPr>
                <w:b/>
                <w:bCs/>
                <w:color w:val="000000"/>
              </w:rPr>
              <w:t>,000</w:t>
            </w:r>
          </w:p>
        </w:tc>
        <w:tc>
          <w:tcPr>
            <w:tcW w:w="1350" w:type="dxa"/>
            <w:shd w:val="clear" w:color="auto" w:fill="auto"/>
            <w:noWrap/>
            <w:vAlign w:val="center"/>
          </w:tcPr>
          <w:p w:rsidR="0021239A" w:rsidRPr="00775015" w:rsidRDefault="0021239A" w:rsidP="00F735FD">
            <w:pPr>
              <w:jc w:val="center"/>
              <w:rPr>
                <w:color w:val="000000"/>
              </w:rPr>
            </w:pPr>
          </w:p>
        </w:tc>
      </w:tr>
      <w:tr w:rsidR="0021239A" w:rsidRPr="009B33F8" w:rsidTr="00775015">
        <w:trPr>
          <w:trHeight w:val="143"/>
        </w:trPr>
        <w:tc>
          <w:tcPr>
            <w:tcW w:w="7290" w:type="dxa"/>
            <w:shd w:val="clear" w:color="auto" w:fill="auto"/>
            <w:noWrap/>
            <w:vAlign w:val="bottom"/>
          </w:tcPr>
          <w:p w:rsidR="0021239A" w:rsidRPr="00775015" w:rsidRDefault="0021239A" w:rsidP="009B33F8">
            <w:pPr>
              <w:rPr>
                <w:color w:val="000000"/>
              </w:rPr>
            </w:pPr>
          </w:p>
        </w:tc>
        <w:tc>
          <w:tcPr>
            <w:tcW w:w="1530" w:type="dxa"/>
            <w:shd w:val="clear" w:color="auto" w:fill="auto"/>
            <w:noWrap/>
            <w:vAlign w:val="center"/>
          </w:tcPr>
          <w:p w:rsidR="0021239A" w:rsidRPr="00775015" w:rsidRDefault="0021239A" w:rsidP="00F735FD">
            <w:pPr>
              <w:jc w:val="right"/>
              <w:rPr>
                <w:color w:val="000000"/>
              </w:rPr>
            </w:pPr>
          </w:p>
        </w:tc>
        <w:tc>
          <w:tcPr>
            <w:tcW w:w="1350" w:type="dxa"/>
            <w:shd w:val="clear" w:color="auto" w:fill="auto"/>
            <w:noWrap/>
            <w:vAlign w:val="center"/>
          </w:tcPr>
          <w:p w:rsidR="0021239A" w:rsidRPr="00775015" w:rsidRDefault="0021239A" w:rsidP="00F735FD">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21239A" w:rsidP="009B33F8">
            <w:pPr>
              <w:rPr>
                <w:color w:val="000000"/>
              </w:rPr>
            </w:pPr>
            <w:r w:rsidRPr="00775015">
              <w:rPr>
                <w:color w:val="000000"/>
              </w:rPr>
              <w:t>GPE TOTAL FINANCING</w:t>
            </w:r>
          </w:p>
        </w:tc>
        <w:tc>
          <w:tcPr>
            <w:tcW w:w="1530" w:type="dxa"/>
            <w:shd w:val="clear" w:color="auto" w:fill="auto"/>
            <w:noWrap/>
            <w:vAlign w:val="center"/>
          </w:tcPr>
          <w:p w:rsidR="0021239A" w:rsidRPr="00775015" w:rsidRDefault="0021239A" w:rsidP="00F735FD">
            <w:pPr>
              <w:jc w:val="right"/>
              <w:rPr>
                <w:color w:val="000000"/>
              </w:rPr>
            </w:pPr>
            <w:r w:rsidRPr="00775015">
              <w:rPr>
                <w:color w:val="000000"/>
              </w:rPr>
              <w:t>$16,700,000</w:t>
            </w:r>
          </w:p>
        </w:tc>
        <w:tc>
          <w:tcPr>
            <w:tcW w:w="1350" w:type="dxa"/>
            <w:shd w:val="clear" w:color="auto" w:fill="auto"/>
            <w:noWrap/>
            <w:vAlign w:val="center"/>
          </w:tcPr>
          <w:p w:rsidR="0021239A" w:rsidRPr="00775015" w:rsidRDefault="0021239A" w:rsidP="00F735FD">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21239A" w:rsidP="009B33F8">
            <w:pPr>
              <w:rPr>
                <w:color w:val="000000"/>
              </w:rPr>
            </w:pPr>
            <w:r w:rsidRPr="00775015">
              <w:rPr>
                <w:color w:val="000000"/>
              </w:rPr>
              <w:t>EU TOTAL FINANCING</w:t>
            </w:r>
          </w:p>
        </w:tc>
        <w:tc>
          <w:tcPr>
            <w:tcW w:w="1530" w:type="dxa"/>
            <w:shd w:val="clear" w:color="auto" w:fill="auto"/>
            <w:noWrap/>
            <w:vAlign w:val="center"/>
          </w:tcPr>
          <w:p w:rsidR="0021239A" w:rsidRPr="00775015" w:rsidRDefault="0021239A" w:rsidP="008E24DD">
            <w:pPr>
              <w:jc w:val="right"/>
              <w:rPr>
                <w:color w:val="000000"/>
              </w:rPr>
            </w:pPr>
            <w:r w:rsidRPr="00775015">
              <w:rPr>
                <w:color w:val="000000"/>
              </w:rPr>
              <w:t>$3</w:t>
            </w:r>
            <w:r w:rsidR="008E24DD" w:rsidRPr="00775015">
              <w:rPr>
                <w:color w:val="000000"/>
              </w:rPr>
              <w:t>5</w:t>
            </w:r>
            <w:r w:rsidRPr="00775015">
              <w:rPr>
                <w:color w:val="000000"/>
              </w:rPr>
              <w:t>,</w:t>
            </w:r>
            <w:r w:rsidR="008E24DD" w:rsidRPr="00775015">
              <w:rPr>
                <w:color w:val="000000"/>
              </w:rPr>
              <w:t>2</w:t>
            </w:r>
            <w:r w:rsidR="002D3926" w:rsidRPr="00775015">
              <w:rPr>
                <w:color w:val="000000"/>
              </w:rPr>
              <w:t>00,000</w:t>
            </w:r>
          </w:p>
        </w:tc>
        <w:tc>
          <w:tcPr>
            <w:tcW w:w="1350" w:type="dxa"/>
            <w:shd w:val="clear" w:color="auto" w:fill="auto"/>
            <w:noWrap/>
            <w:vAlign w:val="center"/>
          </w:tcPr>
          <w:p w:rsidR="0021239A" w:rsidRPr="00775015" w:rsidRDefault="0021239A" w:rsidP="00F735FD">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21239A" w:rsidP="009B33F8">
            <w:pPr>
              <w:jc w:val="center"/>
              <w:rPr>
                <w:color w:val="000000"/>
              </w:rPr>
            </w:pPr>
            <w:r w:rsidRPr="00775015">
              <w:rPr>
                <w:color w:val="000000"/>
              </w:rPr>
              <w:t>TOTAL</w:t>
            </w:r>
          </w:p>
        </w:tc>
        <w:tc>
          <w:tcPr>
            <w:tcW w:w="1530" w:type="dxa"/>
            <w:shd w:val="clear" w:color="auto" w:fill="auto"/>
            <w:noWrap/>
            <w:vAlign w:val="center"/>
          </w:tcPr>
          <w:p w:rsidR="0021239A" w:rsidRPr="00775015" w:rsidRDefault="0021239A" w:rsidP="008E24DD">
            <w:pPr>
              <w:jc w:val="right"/>
              <w:rPr>
                <w:b/>
                <w:bCs/>
                <w:color w:val="000000"/>
              </w:rPr>
            </w:pPr>
            <w:r w:rsidRPr="00775015">
              <w:rPr>
                <w:b/>
                <w:bCs/>
                <w:color w:val="000000"/>
              </w:rPr>
              <w:t>$5</w:t>
            </w:r>
            <w:r w:rsidR="008E24DD" w:rsidRPr="00775015">
              <w:rPr>
                <w:b/>
                <w:bCs/>
                <w:color w:val="000000"/>
              </w:rPr>
              <w:t>1</w:t>
            </w:r>
            <w:r w:rsidRPr="00775015">
              <w:rPr>
                <w:b/>
                <w:bCs/>
                <w:color w:val="000000"/>
              </w:rPr>
              <w:t>,</w:t>
            </w:r>
            <w:r w:rsidR="008E24DD" w:rsidRPr="00775015">
              <w:rPr>
                <w:b/>
                <w:bCs/>
                <w:color w:val="000000"/>
              </w:rPr>
              <w:t>9</w:t>
            </w:r>
            <w:r w:rsidR="002D3926" w:rsidRPr="00775015">
              <w:rPr>
                <w:b/>
                <w:bCs/>
                <w:color w:val="000000"/>
              </w:rPr>
              <w:t>00</w:t>
            </w:r>
            <w:r w:rsidRPr="00775015">
              <w:rPr>
                <w:b/>
                <w:bCs/>
                <w:color w:val="000000"/>
              </w:rPr>
              <w:t>,000</w:t>
            </w:r>
          </w:p>
        </w:tc>
        <w:tc>
          <w:tcPr>
            <w:tcW w:w="1350" w:type="dxa"/>
            <w:shd w:val="clear" w:color="auto" w:fill="auto"/>
            <w:noWrap/>
            <w:vAlign w:val="center"/>
          </w:tcPr>
          <w:p w:rsidR="0021239A" w:rsidRPr="00775015" w:rsidRDefault="0021239A" w:rsidP="00F735FD">
            <w:pPr>
              <w:jc w:val="center"/>
              <w:rPr>
                <w:color w:val="000000"/>
              </w:rPr>
            </w:pPr>
          </w:p>
        </w:tc>
      </w:tr>
      <w:tr w:rsidR="0021239A" w:rsidRPr="009B33F8" w:rsidTr="00775015">
        <w:trPr>
          <w:trHeight w:val="280"/>
        </w:trPr>
        <w:tc>
          <w:tcPr>
            <w:tcW w:w="7290" w:type="dxa"/>
            <w:shd w:val="clear" w:color="auto" w:fill="auto"/>
            <w:noWrap/>
            <w:vAlign w:val="bottom"/>
          </w:tcPr>
          <w:p w:rsidR="0021239A" w:rsidRPr="00775015" w:rsidRDefault="00775015" w:rsidP="00295C05">
            <w:pPr>
              <w:rPr>
                <w:color w:val="000000"/>
              </w:rPr>
            </w:pPr>
            <w:r>
              <w:rPr>
                <w:color w:val="000000"/>
              </w:rPr>
              <w:t xml:space="preserve">NOTE: Exchange Rate US$ - </w:t>
            </w:r>
            <w:r w:rsidR="0021239A" w:rsidRPr="00775015">
              <w:rPr>
                <w:color w:val="000000"/>
              </w:rPr>
              <w:t>Euro</w:t>
            </w:r>
            <w:r w:rsidR="00295C05" w:rsidRPr="00775015">
              <w:rPr>
                <w:color w:val="000000"/>
              </w:rPr>
              <w:t xml:space="preserve">. The definitive will be that of the approval date </w:t>
            </w:r>
          </w:p>
        </w:tc>
        <w:tc>
          <w:tcPr>
            <w:tcW w:w="1530" w:type="dxa"/>
            <w:shd w:val="clear" w:color="auto" w:fill="auto"/>
            <w:noWrap/>
            <w:vAlign w:val="center"/>
          </w:tcPr>
          <w:p w:rsidR="0021239A" w:rsidRPr="00775015" w:rsidRDefault="0021239A" w:rsidP="00F735FD">
            <w:pPr>
              <w:jc w:val="right"/>
              <w:rPr>
                <w:color w:val="000000"/>
              </w:rPr>
            </w:pPr>
            <w:r w:rsidRPr="00775015">
              <w:rPr>
                <w:color w:val="000000"/>
              </w:rPr>
              <w:t>1.31</w:t>
            </w:r>
          </w:p>
        </w:tc>
        <w:tc>
          <w:tcPr>
            <w:tcW w:w="1350" w:type="dxa"/>
            <w:shd w:val="clear" w:color="auto" w:fill="auto"/>
            <w:noWrap/>
            <w:vAlign w:val="center"/>
          </w:tcPr>
          <w:p w:rsidR="0021239A" w:rsidRPr="00775015" w:rsidRDefault="0021239A" w:rsidP="00F735FD">
            <w:pPr>
              <w:jc w:val="center"/>
              <w:rPr>
                <w:color w:val="000000"/>
              </w:rPr>
            </w:pPr>
          </w:p>
        </w:tc>
      </w:tr>
    </w:tbl>
    <w:p w:rsidR="003847C2" w:rsidRDefault="003847C2" w:rsidP="002E7CCC">
      <w:pPr>
        <w:pStyle w:val="Heading1"/>
        <w:jc w:val="center"/>
        <w:rPr>
          <w:lang w:val="en-GB"/>
        </w:rPr>
      </w:pPr>
    </w:p>
    <w:p w:rsidR="00F946F5" w:rsidRDefault="00F946F5">
      <w:pPr>
        <w:rPr>
          <w:b/>
          <w:bCs/>
          <w:lang w:val="en-GB"/>
        </w:rPr>
      </w:pPr>
      <w:r>
        <w:rPr>
          <w:lang w:val="en-GB"/>
        </w:rPr>
        <w:br w:type="page"/>
      </w:r>
    </w:p>
    <w:p w:rsidR="00040AF9" w:rsidRDefault="00040AF9" w:rsidP="002E7CCC">
      <w:pPr>
        <w:pStyle w:val="Heading1"/>
        <w:jc w:val="center"/>
        <w:rPr>
          <w:lang w:val="en-GB"/>
        </w:rPr>
      </w:pPr>
      <w:bookmarkStart w:id="40" w:name="_Toc354067288"/>
      <w:r w:rsidRPr="00040AF9">
        <w:rPr>
          <w:lang w:val="en-GB"/>
        </w:rPr>
        <w:lastRenderedPageBreak/>
        <w:t>Annex 3:  Implementation Arrangements</w:t>
      </w:r>
      <w:bookmarkEnd w:id="40"/>
    </w:p>
    <w:p w:rsidR="00A44361" w:rsidRDefault="00A44361" w:rsidP="00A44361">
      <w:pPr>
        <w:jc w:val="center"/>
        <w:rPr>
          <w:b/>
          <w:lang w:val="en-GB"/>
        </w:rPr>
      </w:pPr>
      <w:r w:rsidRPr="00A44361">
        <w:rPr>
          <w:b/>
          <w:lang w:val="en-GB"/>
        </w:rPr>
        <w:t>Republic of Nicaragua</w:t>
      </w:r>
      <w:r>
        <w:rPr>
          <w:b/>
          <w:lang w:val="en-GB"/>
        </w:rPr>
        <w:t xml:space="preserve">: </w:t>
      </w:r>
      <w:r w:rsidR="00672B14">
        <w:rPr>
          <w:b/>
          <w:lang w:val="en-GB"/>
        </w:rPr>
        <w:t>Education Sector Strategy Support Project</w:t>
      </w:r>
    </w:p>
    <w:p w:rsidR="007C0C91" w:rsidRPr="00A44361" w:rsidRDefault="007C0C91" w:rsidP="00A44361">
      <w:pPr>
        <w:jc w:val="center"/>
        <w:rPr>
          <w:b/>
          <w:lang w:val="en-GB"/>
        </w:rPr>
      </w:pPr>
    </w:p>
    <w:p w:rsidR="00040AF9" w:rsidRPr="00040AF9" w:rsidRDefault="00040AF9" w:rsidP="00040AF9">
      <w:pPr>
        <w:jc w:val="both"/>
        <w:rPr>
          <w:bCs/>
        </w:rPr>
      </w:pPr>
    </w:p>
    <w:p w:rsidR="008E7475" w:rsidRPr="00A44361" w:rsidRDefault="008E7475" w:rsidP="007C0C91">
      <w:pPr>
        <w:rPr>
          <w:b/>
          <w:bCs/>
        </w:rPr>
      </w:pPr>
      <w:r w:rsidRPr="00A44361">
        <w:rPr>
          <w:b/>
          <w:bCs/>
        </w:rPr>
        <w:t>Project institutional and implementation arrangements</w:t>
      </w:r>
    </w:p>
    <w:p w:rsidR="00040AF9" w:rsidRPr="00040AF9" w:rsidRDefault="00040AF9" w:rsidP="00040AF9">
      <w:pPr>
        <w:jc w:val="both"/>
        <w:rPr>
          <w:bCs/>
        </w:rPr>
      </w:pPr>
    </w:p>
    <w:p w:rsidR="00040AF9" w:rsidRPr="00A44361" w:rsidRDefault="00A44361" w:rsidP="005E2993">
      <w:pPr>
        <w:numPr>
          <w:ilvl w:val="3"/>
          <w:numId w:val="1"/>
        </w:numPr>
        <w:tabs>
          <w:tab w:val="left" w:pos="540"/>
        </w:tabs>
        <w:ind w:left="0" w:firstLine="0"/>
        <w:jc w:val="both"/>
        <w:rPr>
          <w:bCs/>
        </w:rPr>
      </w:pPr>
      <w:r w:rsidRPr="00A44361">
        <w:rPr>
          <w:b/>
          <w:bCs/>
        </w:rPr>
        <w:t>Project administration mechanisms:</w:t>
      </w:r>
      <w:r w:rsidR="00672B14">
        <w:rPr>
          <w:b/>
          <w:bCs/>
        </w:rPr>
        <w:t xml:space="preserve"> </w:t>
      </w:r>
      <w:r w:rsidR="00672B14">
        <w:rPr>
          <w:bCs/>
        </w:rPr>
        <w:t xml:space="preserve">As with PASEN </w:t>
      </w:r>
      <w:r w:rsidR="003629DC">
        <w:rPr>
          <w:bCs/>
        </w:rPr>
        <w:t>II</w:t>
      </w:r>
      <w:r w:rsidR="00672B14">
        <w:rPr>
          <w:bCs/>
        </w:rPr>
        <w:t>,</w:t>
      </w:r>
      <w:r w:rsidR="00040AF9" w:rsidRPr="00A44361">
        <w:rPr>
          <w:bCs/>
        </w:rPr>
        <w:t xml:space="preserve"> Project activities </w:t>
      </w:r>
      <w:r w:rsidR="00636C8C">
        <w:rPr>
          <w:bCs/>
        </w:rPr>
        <w:t>would</w:t>
      </w:r>
      <w:r w:rsidR="00040AF9" w:rsidRPr="00A44361">
        <w:rPr>
          <w:bCs/>
        </w:rPr>
        <w:t xml:space="preserve"> be managed within the existing structure of the Ministry of Education (MINED), overseen by a full-time Project Coordinator</w:t>
      </w:r>
      <w:r w:rsidR="000F19CB">
        <w:rPr>
          <w:rStyle w:val="FootnoteReference"/>
          <w:bCs/>
        </w:rPr>
        <w:footnoteReference w:id="21"/>
      </w:r>
      <w:r w:rsidR="00234948" w:rsidRPr="00A44361">
        <w:rPr>
          <w:bCs/>
        </w:rPr>
        <w:t xml:space="preserve"> (PC)</w:t>
      </w:r>
      <w:r w:rsidR="00040AF9" w:rsidRPr="00A44361">
        <w:rPr>
          <w:bCs/>
        </w:rPr>
        <w:t xml:space="preserve"> located in the highest office of MINED (</w:t>
      </w:r>
      <w:r w:rsidR="00040AF9" w:rsidRPr="00A44361">
        <w:rPr>
          <w:bCs/>
          <w:i/>
        </w:rPr>
        <w:t>Dirección Superior</w:t>
      </w:r>
      <w:r w:rsidR="00040AF9" w:rsidRPr="00A44361">
        <w:rPr>
          <w:bCs/>
        </w:rPr>
        <w:t xml:space="preserve">). </w:t>
      </w:r>
      <w:r w:rsidR="000D2D10" w:rsidRPr="00A44361">
        <w:rPr>
          <w:bCs/>
        </w:rPr>
        <w:t xml:space="preserve"> </w:t>
      </w:r>
      <w:r w:rsidR="00040AF9" w:rsidRPr="00A44361">
        <w:rPr>
          <w:bCs/>
        </w:rPr>
        <w:t xml:space="preserve">The MINED </w:t>
      </w:r>
      <w:r w:rsidR="00636C8C">
        <w:rPr>
          <w:bCs/>
        </w:rPr>
        <w:t>would</w:t>
      </w:r>
      <w:r w:rsidR="00040AF9" w:rsidRPr="00A44361">
        <w:rPr>
          <w:bCs/>
        </w:rPr>
        <w:t xml:space="preserve"> be r</w:t>
      </w:r>
      <w:r w:rsidR="00995B51">
        <w:rPr>
          <w:bCs/>
        </w:rPr>
        <w:t>esp</w:t>
      </w:r>
      <w:r w:rsidR="00040AF9" w:rsidRPr="00A44361">
        <w:rPr>
          <w:bCs/>
        </w:rPr>
        <w:t>onsible</w:t>
      </w:r>
      <w:r w:rsidR="000C16FA">
        <w:rPr>
          <w:bCs/>
        </w:rPr>
        <w:t xml:space="preserve"> for administering the </w:t>
      </w:r>
      <w:r w:rsidR="00040AF9" w:rsidRPr="00A44361">
        <w:rPr>
          <w:bCs/>
        </w:rPr>
        <w:t xml:space="preserve">Project in coordination with its </w:t>
      </w:r>
      <w:r w:rsidR="00D45459" w:rsidRPr="00A44361">
        <w:rPr>
          <w:bCs/>
        </w:rPr>
        <w:t>departmental</w:t>
      </w:r>
      <w:r w:rsidR="00040AF9" w:rsidRPr="00A44361">
        <w:rPr>
          <w:bCs/>
        </w:rPr>
        <w:t xml:space="preserve"> and municipal delegations, as well as with the Education Secretariats of the two Autonomous Governments of</w:t>
      </w:r>
      <w:r w:rsidR="002F19BB" w:rsidRPr="00A44361">
        <w:rPr>
          <w:bCs/>
        </w:rPr>
        <w:t xml:space="preserve"> </w:t>
      </w:r>
      <w:r w:rsidR="003629DC">
        <w:rPr>
          <w:bCs/>
        </w:rPr>
        <w:t>the Atlantic regions (for the five</w:t>
      </w:r>
      <w:r w:rsidR="00040AF9" w:rsidRPr="00A44361">
        <w:rPr>
          <w:bCs/>
        </w:rPr>
        <w:t xml:space="preserve"> municipalities in RAAS and RAAN targeted under the </w:t>
      </w:r>
      <w:r w:rsidR="002677F2" w:rsidRPr="00A44361">
        <w:rPr>
          <w:bCs/>
        </w:rPr>
        <w:t>Project</w:t>
      </w:r>
      <w:r w:rsidR="00040AF9" w:rsidRPr="00A44361">
        <w:rPr>
          <w:bCs/>
        </w:rPr>
        <w:t>).</w:t>
      </w:r>
    </w:p>
    <w:p w:rsidR="00040AF9" w:rsidRPr="00040AF9" w:rsidRDefault="00040AF9" w:rsidP="00040AF9">
      <w:pPr>
        <w:jc w:val="both"/>
        <w:rPr>
          <w:bCs/>
        </w:rPr>
      </w:pPr>
      <w:r w:rsidRPr="00040AF9">
        <w:rPr>
          <w:bCs/>
        </w:rPr>
        <w:t xml:space="preserve"> </w:t>
      </w:r>
    </w:p>
    <w:p w:rsidR="00040AF9" w:rsidRPr="00472903" w:rsidRDefault="00040AF9" w:rsidP="005E2993">
      <w:pPr>
        <w:numPr>
          <w:ilvl w:val="3"/>
          <w:numId w:val="1"/>
        </w:numPr>
        <w:ind w:left="0" w:firstLine="0"/>
        <w:jc w:val="both"/>
        <w:rPr>
          <w:bCs/>
        </w:rPr>
      </w:pPr>
      <w:r w:rsidRPr="00040AF9">
        <w:rPr>
          <w:bCs/>
        </w:rPr>
        <w:t xml:space="preserve">MINED and its staff located in technical directorates </w:t>
      </w:r>
      <w:r w:rsidR="00636C8C">
        <w:rPr>
          <w:bCs/>
        </w:rPr>
        <w:t>would</w:t>
      </w:r>
      <w:r w:rsidRPr="00040AF9">
        <w:rPr>
          <w:bCs/>
        </w:rPr>
        <w:t xml:space="preserve"> be r</w:t>
      </w:r>
      <w:r w:rsidR="00995B51">
        <w:rPr>
          <w:bCs/>
        </w:rPr>
        <w:t>esp</w:t>
      </w:r>
      <w:r w:rsidRPr="00040AF9">
        <w:rPr>
          <w:bCs/>
        </w:rPr>
        <w:t xml:space="preserve">onsible for the technical aspects of </w:t>
      </w:r>
      <w:r w:rsidR="002677F2">
        <w:rPr>
          <w:bCs/>
        </w:rPr>
        <w:t>Project</w:t>
      </w:r>
      <w:r w:rsidRPr="00040AF9">
        <w:rPr>
          <w:bCs/>
        </w:rPr>
        <w:t xml:space="preserve"> implementation.  MINED would ensure that the content, scale and scope of all contracts and activities financed by the Project corr</w:t>
      </w:r>
      <w:r w:rsidR="00995B51">
        <w:rPr>
          <w:bCs/>
        </w:rPr>
        <w:t>esp</w:t>
      </w:r>
      <w:r w:rsidRPr="00040AF9">
        <w:rPr>
          <w:bCs/>
        </w:rPr>
        <w:t>ond to its needs and the Education Strategic Plan</w:t>
      </w:r>
      <w:r w:rsidR="000D2D10">
        <w:rPr>
          <w:bCs/>
        </w:rPr>
        <w:t xml:space="preserve"> (</w:t>
      </w:r>
      <w:r w:rsidR="009469DE">
        <w:rPr>
          <w:bCs/>
        </w:rPr>
        <w:t>ESS</w:t>
      </w:r>
      <w:r w:rsidR="000D2D10">
        <w:rPr>
          <w:bCs/>
        </w:rPr>
        <w:t>)</w:t>
      </w:r>
      <w:r w:rsidRPr="00040AF9">
        <w:rPr>
          <w:bCs/>
        </w:rPr>
        <w:t xml:space="preserve">, for which </w:t>
      </w:r>
      <w:r w:rsidR="00911C25">
        <w:rPr>
          <w:bCs/>
        </w:rPr>
        <w:t>the Project</w:t>
      </w:r>
      <w:r w:rsidRPr="00040AF9">
        <w:rPr>
          <w:bCs/>
        </w:rPr>
        <w:t xml:space="preserve"> </w:t>
      </w:r>
      <w:r w:rsidR="00636C8C">
        <w:rPr>
          <w:bCs/>
        </w:rPr>
        <w:t>would</w:t>
      </w:r>
      <w:r w:rsidRPr="00040AF9">
        <w:rPr>
          <w:bCs/>
        </w:rPr>
        <w:t xml:space="preserve"> act as a catalyst to implement various aspects of the </w:t>
      </w:r>
      <w:r w:rsidR="009469DE">
        <w:rPr>
          <w:bCs/>
        </w:rPr>
        <w:t>ESS</w:t>
      </w:r>
      <w:r w:rsidRPr="00040AF9">
        <w:rPr>
          <w:bCs/>
        </w:rPr>
        <w:t xml:space="preserve"> in </w:t>
      </w:r>
      <w:r w:rsidR="00636799">
        <w:rPr>
          <w:bCs/>
        </w:rPr>
        <w:t>selected</w:t>
      </w:r>
      <w:r w:rsidR="00636799" w:rsidRPr="00040AF9">
        <w:rPr>
          <w:bCs/>
        </w:rPr>
        <w:t xml:space="preserve"> </w:t>
      </w:r>
      <w:r w:rsidRPr="00040AF9">
        <w:rPr>
          <w:bCs/>
        </w:rPr>
        <w:t xml:space="preserve">municipalities.  MINED </w:t>
      </w:r>
      <w:r w:rsidR="00636C8C">
        <w:rPr>
          <w:bCs/>
        </w:rPr>
        <w:t>would</w:t>
      </w:r>
      <w:r w:rsidRPr="00040AF9">
        <w:rPr>
          <w:bCs/>
        </w:rPr>
        <w:t xml:space="preserve"> be r</w:t>
      </w:r>
      <w:r w:rsidR="00995B51">
        <w:rPr>
          <w:bCs/>
        </w:rPr>
        <w:t>esp</w:t>
      </w:r>
      <w:r w:rsidRPr="00040AF9">
        <w:rPr>
          <w:bCs/>
        </w:rPr>
        <w:t xml:space="preserve">onsible for preparation of all terms of reference, technical specifications for goods procurement, design and oversight of </w:t>
      </w:r>
      <w:r w:rsidR="002677F2">
        <w:rPr>
          <w:bCs/>
        </w:rPr>
        <w:t>Project</w:t>
      </w:r>
      <w:r w:rsidRPr="00040AF9">
        <w:rPr>
          <w:bCs/>
        </w:rPr>
        <w:t xml:space="preserve"> activities, etc., assisted if necessary with short-term technical assistance.  MINED </w:t>
      </w:r>
      <w:r w:rsidR="00636C8C">
        <w:rPr>
          <w:bCs/>
        </w:rPr>
        <w:t>would</w:t>
      </w:r>
      <w:r w:rsidRPr="00040AF9">
        <w:rPr>
          <w:bCs/>
        </w:rPr>
        <w:t xml:space="preserve"> collaborate with departmental and municipal level education staff to ensure that Project activities in the selected municipalities are effectively implemented</w:t>
      </w:r>
      <w:r w:rsidR="00472903">
        <w:rPr>
          <w:bCs/>
        </w:rPr>
        <w:t>.</w:t>
      </w:r>
      <w:r w:rsidRPr="00472903">
        <w:rPr>
          <w:bCs/>
        </w:rPr>
        <w:t xml:space="preserve">  </w:t>
      </w:r>
    </w:p>
    <w:p w:rsidR="00040AF9" w:rsidRPr="00040AF9" w:rsidRDefault="00040AF9" w:rsidP="00040AF9">
      <w:pPr>
        <w:jc w:val="both"/>
        <w:rPr>
          <w:bCs/>
        </w:rPr>
      </w:pPr>
    </w:p>
    <w:p w:rsidR="00040AF9" w:rsidRDefault="00040AF9" w:rsidP="005E2993">
      <w:pPr>
        <w:numPr>
          <w:ilvl w:val="3"/>
          <w:numId w:val="1"/>
        </w:numPr>
        <w:ind w:left="0" w:firstLine="0"/>
        <w:jc w:val="both"/>
        <w:rPr>
          <w:bCs/>
        </w:rPr>
      </w:pPr>
      <w:r w:rsidRPr="00040AF9">
        <w:rPr>
          <w:bCs/>
        </w:rPr>
        <w:t>With r</w:t>
      </w:r>
      <w:r w:rsidR="00995B51">
        <w:rPr>
          <w:bCs/>
        </w:rPr>
        <w:t>esp</w:t>
      </w:r>
      <w:r w:rsidRPr="00040AF9">
        <w:rPr>
          <w:bCs/>
        </w:rPr>
        <w:t xml:space="preserve">ect to fiduciary aspects, MINED has experience implementing </w:t>
      </w:r>
      <w:r w:rsidR="00ED6468">
        <w:rPr>
          <w:bCs/>
        </w:rPr>
        <w:t>Bank</w:t>
      </w:r>
      <w:r w:rsidRPr="00040AF9">
        <w:rPr>
          <w:bCs/>
        </w:rPr>
        <w:t>-fin</w:t>
      </w:r>
      <w:r w:rsidR="002F19BB">
        <w:rPr>
          <w:bCs/>
        </w:rPr>
        <w:t xml:space="preserve">anced </w:t>
      </w:r>
      <w:r w:rsidR="002677F2">
        <w:rPr>
          <w:bCs/>
        </w:rPr>
        <w:t>Project</w:t>
      </w:r>
      <w:r w:rsidR="002F19BB">
        <w:rPr>
          <w:bCs/>
        </w:rPr>
        <w:t>s since early 2005</w:t>
      </w:r>
      <w:r w:rsidRPr="00040AF9">
        <w:rPr>
          <w:bCs/>
        </w:rPr>
        <w:t xml:space="preserve">.  For the most recently closed </w:t>
      </w:r>
      <w:r w:rsidR="002677F2">
        <w:rPr>
          <w:bCs/>
        </w:rPr>
        <w:t>Project</w:t>
      </w:r>
      <w:r w:rsidRPr="00040AF9">
        <w:rPr>
          <w:bCs/>
        </w:rPr>
        <w:t xml:space="preserve"> (PASEN I), MINED completely institutionalized implementation of all </w:t>
      </w:r>
      <w:r w:rsidR="002677F2">
        <w:rPr>
          <w:bCs/>
        </w:rPr>
        <w:t>Project</w:t>
      </w:r>
      <w:r w:rsidRPr="00040AF9">
        <w:rPr>
          <w:bCs/>
        </w:rPr>
        <w:t xml:space="preserve"> </w:t>
      </w:r>
      <w:r w:rsidR="00C25990">
        <w:rPr>
          <w:bCs/>
        </w:rPr>
        <w:t>Component</w:t>
      </w:r>
      <w:r w:rsidRPr="00040AF9">
        <w:rPr>
          <w:bCs/>
        </w:rPr>
        <w:t>s, under the overall r</w:t>
      </w:r>
      <w:r w:rsidR="00995B51">
        <w:rPr>
          <w:bCs/>
        </w:rPr>
        <w:t>esp</w:t>
      </w:r>
      <w:r w:rsidRPr="00040AF9">
        <w:rPr>
          <w:bCs/>
        </w:rPr>
        <w:t xml:space="preserve">onsibility of the </w:t>
      </w:r>
      <w:r w:rsidR="009F2044">
        <w:rPr>
          <w:bCs/>
        </w:rPr>
        <w:t xml:space="preserve">Administrative and Financial </w:t>
      </w:r>
      <w:r w:rsidRPr="00040AF9">
        <w:rPr>
          <w:bCs/>
        </w:rPr>
        <w:t>General Division</w:t>
      </w:r>
      <w:r w:rsidR="00E62E03">
        <w:rPr>
          <w:bCs/>
        </w:rPr>
        <w:t xml:space="preserve"> - AFGD</w:t>
      </w:r>
      <w:r w:rsidRPr="00040AF9">
        <w:rPr>
          <w:bCs/>
        </w:rPr>
        <w:t xml:space="preserve"> (</w:t>
      </w:r>
      <w:r w:rsidR="009F2044">
        <w:rPr>
          <w:bCs/>
          <w:i/>
        </w:rPr>
        <w:t>Divisió</w:t>
      </w:r>
      <w:r w:rsidRPr="00040AF9">
        <w:rPr>
          <w:bCs/>
          <w:i/>
        </w:rPr>
        <w:t>n General Administrativa Financiera</w:t>
      </w:r>
      <w:r w:rsidRPr="00040AF9">
        <w:rPr>
          <w:bCs/>
        </w:rPr>
        <w:t xml:space="preserve">). A recent assessment of existing fiduciary capacity concluded that the staffing numbers, qualifications and experience within the </w:t>
      </w:r>
      <w:r w:rsidR="00E62E03">
        <w:rPr>
          <w:bCs/>
        </w:rPr>
        <w:t>AFGD</w:t>
      </w:r>
      <w:r w:rsidRPr="00040AF9">
        <w:rPr>
          <w:bCs/>
        </w:rPr>
        <w:t xml:space="preserve"> are satisfactory, so long as the </w:t>
      </w:r>
      <w:r w:rsidR="00E62E03">
        <w:rPr>
          <w:bCs/>
        </w:rPr>
        <w:t>AFGD</w:t>
      </w:r>
      <w:r w:rsidRPr="00040AF9">
        <w:rPr>
          <w:bCs/>
        </w:rPr>
        <w:t xml:space="preserve"> is strengthened with additional senior financial management expertise and accounting capacity to effectively manage Project resources. </w:t>
      </w:r>
      <w:r w:rsidR="000D2D10">
        <w:rPr>
          <w:bCs/>
        </w:rPr>
        <w:t xml:space="preserve"> </w:t>
      </w:r>
      <w:r w:rsidR="00E26933" w:rsidRPr="0000765D">
        <w:rPr>
          <w:bCs/>
        </w:rPr>
        <w:t>Specifical</w:t>
      </w:r>
      <w:r w:rsidR="003629DC">
        <w:rPr>
          <w:bCs/>
        </w:rPr>
        <w:t>ly, the Project would hire one senior f</w:t>
      </w:r>
      <w:r w:rsidR="00E26933" w:rsidRPr="0000765D">
        <w:rPr>
          <w:bCs/>
        </w:rPr>
        <w:t xml:space="preserve">inancial </w:t>
      </w:r>
      <w:r w:rsidR="003629DC">
        <w:rPr>
          <w:bCs/>
        </w:rPr>
        <w:t>m</w:t>
      </w:r>
      <w:r w:rsidR="0000765D" w:rsidRPr="0000765D">
        <w:rPr>
          <w:bCs/>
        </w:rPr>
        <w:t xml:space="preserve">anagement </w:t>
      </w:r>
      <w:r w:rsidR="003629DC">
        <w:rPr>
          <w:bCs/>
        </w:rPr>
        <w:t>specialist, two a</w:t>
      </w:r>
      <w:r w:rsidR="00E26933" w:rsidRPr="0000765D">
        <w:rPr>
          <w:bCs/>
        </w:rPr>
        <w:t>ccountant</w:t>
      </w:r>
      <w:r w:rsidR="003629DC">
        <w:rPr>
          <w:bCs/>
        </w:rPr>
        <w:t>s and six controllers.  The senior financial management specialist and a</w:t>
      </w:r>
      <w:r w:rsidR="00E26933" w:rsidRPr="0000765D">
        <w:rPr>
          <w:bCs/>
        </w:rPr>
        <w:t>ccountants would be contracted for</w:t>
      </w:r>
      <w:r w:rsidR="003629DC">
        <w:rPr>
          <w:bCs/>
        </w:rPr>
        <w:t xml:space="preserve"> three years and the c</w:t>
      </w:r>
      <w:r w:rsidR="00E26933">
        <w:rPr>
          <w:bCs/>
        </w:rPr>
        <w:t xml:space="preserve">ontrollers for two and half years to ensure that capacity would be built before the Project is completed.  Specifically, the mission of the six controllers would be to monitor Project expenditures in the </w:t>
      </w:r>
      <w:r w:rsidR="00636799">
        <w:rPr>
          <w:bCs/>
        </w:rPr>
        <w:t xml:space="preserve">selected </w:t>
      </w:r>
      <w:r w:rsidR="00E26933">
        <w:rPr>
          <w:bCs/>
        </w:rPr>
        <w:t xml:space="preserve">municipalities.  </w:t>
      </w:r>
      <w:r w:rsidRPr="00040AF9">
        <w:rPr>
          <w:bCs/>
        </w:rPr>
        <w:t xml:space="preserve">In addition, an international </w:t>
      </w:r>
      <w:r w:rsidR="001E3CC0">
        <w:rPr>
          <w:bCs/>
        </w:rPr>
        <w:t>p</w:t>
      </w:r>
      <w:r w:rsidRPr="00040AF9">
        <w:rPr>
          <w:bCs/>
        </w:rPr>
        <w:t xml:space="preserve">rocurement specialist and </w:t>
      </w:r>
      <w:r w:rsidR="005720A8">
        <w:rPr>
          <w:bCs/>
        </w:rPr>
        <w:t>three</w:t>
      </w:r>
      <w:r w:rsidRPr="00040AF9">
        <w:rPr>
          <w:bCs/>
        </w:rPr>
        <w:t xml:space="preserve"> </w:t>
      </w:r>
      <w:r w:rsidR="001E3CC0">
        <w:rPr>
          <w:bCs/>
        </w:rPr>
        <w:t>p</w:t>
      </w:r>
      <w:r w:rsidRPr="00040AF9">
        <w:rPr>
          <w:bCs/>
        </w:rPr>
        <w:t>rocurement analyst</w:t>
      </w:r>
      <w:r w:rsidR="00524A1F">
        <w:rPr>
          <w:bCs/>
        </w:rPr>
        <w:t>s</w:t>
      </w:r>
      <w:r w:rsidRPr="00040AF9">
        <w:rPr>
          <w:bCs/>
        </w:rPr>
        <w:t xml:space="preserve"> </w:t>
      </w:r>
      <w:r w:rsidR="001E3CC0">
        <w:rPr>
          <w:bCs/>
        </w:rPr>
        <w:t>were</w:t>
      </w:r>
      <w:r w:rsidR="0000765D">
        <w:rPr>
          <w:bCs/>
        </w:rPr>
        <w:t xml:space="preserve"> </w:t>
      </w:r>
      <w:r w:rsidR="001E3CC0">
        <w:rPr>
          <w:bCs/>
        </w:rPr>
        <w:t>co</w:t>
      </w:r>
      <w:r w:rsidRPr="00040AF9">
        <w:rPr>
          <w:bCs/>
        </w:rPr>
        <w:t xml:space="preserve">ntracted to work with MINED staff </w:t>
      </w:r>
      <w:r w:rsidR="003C138C">
        <w:rPr>
          <w:bCs/>
        </w:rPr>
        <w:t>under PASEN II</w:t>
      </w:r>
      <w:r w:rsidR="0000765D">
        <w:rPr>
          <w:bCs/>
        </w:rPr>
        <w:t>, and another three</w:t>
      </w:r>
      <w:r w:rsidR="00BA52DD">
        <w:rPr>
          <w:bCs/>
        </w:rPr>
        <w:t xml:space="preserve"> Procurement analysts </w:t>
      </w:r>
      <w:r w:rsidR="00636C8C">
        <w:rPr>
          <w:bCs/>
        </w:rPr>
        <w:t>would</w:t>
      </w:r>
      <w:r w:rsidR="00BA52DD">
        <w:rPr>
          <w:bCs/>
        </w:rPr>
        <w:t xml:space="preserve"> be financed und</w:t>
      </w:r>
      <w:r w:rsidR="000C16FA">
        <w:rPr>
          <w:bCs/>
        </w:rPr>
        <w:t>er the Project</w:t>
      </w:r>
      <w:r w:rsidR="003C138C">
        <w:rPr>
          <w:bCs/>
        </w:rPr>
        <w:t xml:space="preserve"> </w:t>
      </w:r>
      <w:r w:rsidR="00BA52DD">
        <w:rPr>
          <w:bCs/>
        </w:rPr>
        <w:t>to build MINED’s</w:t>
      </w:r>
      <w:r w:rsidRPr="00040AF9">
        <w:rPr>
          <w:bCs/>
        </w:rPr>
        <w:t xml:space="preserve"> capacity for procurement activities and act as a point of quality control between MINED and </w:t>
      </w:r>
      <w:r w:rsidR="00ED6468">
        <w:rPr>
          <w:bCs/>
        </w:rPr>
        <w:t>Bank</w:t>
      </w:r>
      <w:r w:rsidRPr="00040AF9">
        <w:rPr>
          <w:bCs/>
        </w:rPr>
        <w:t xml:space="preserve"> supervision support. </w:t>
      </w:r>
      <w:r w:rsidR="00BA52DD">
        <w:rPr>
          <w:bCs/>
        </w:rPr>
        <w:t>P</w:t>
      </w:r>
      <w:r w:rsidR="003C138C">
        <w:rPr>
          <w:bCs/>
        </w:rPr>
        <w:t xml:space="preserve">rocurement specialists </w:t>
      </w:r>
      <w:r w:rsidR="00BA52DD">
        <w:rPr>
          <w:bCs/>
        </w:rPr>
        <w:t>hir</w:t>
      </w:r>
      <w:r w:rsidR="000C16FA">
        <w:rPr>
          <w:bCs/>
        </w:rPr>
        <w:t>ed under both PASEN II and the Project</w:t>
      </w:r>
      <w:r w:rsidR="00BA52DD">
        <w:rPr>
          <w:bCs/>
        </w:rPr>
        <w:t xml:space="preserve"> </w:t>
      </w:r>
      <w:r w:rsidR="00636C8C">
        <w:rPr>
          <w:bCs/>
        </w:rPr>
        <w:t>would</w:t>
      </w:r>
      <w:r w:rsidR="003629DC">
        <w:rPr>
          <w:bCs/>
        </w:rPr>
        <w:t xml:space="preserve"> support both P</w:t>
      </w:r>
      <w:r w:rsidR="00BA52DD">
        <w:rPr>
          <w:bCs/>
        </w:rPr>
        <w:t>rojects</w:t>
      </w:r>
      <w:r w:rsidR="003C138C">
        <w:rPr>
          <w:bCs/>
        </w:rPr>
        <w:t>.</w:t>
      </w:r>
      <w:r w:rsidR="00E26933">
        <w:rPr>
          <w:bCs/>
        </w:rPr>
        <w:t xml:space="preserve">  One of the three Procurement analyst recruited would have an engineering/architect background in order to support Procurement activities related </w:t>
      </w:r>
      <w:r w:rsidR="003629DC">
        <w:rPr>
          <w:bCs/>
        </w:rPr>
        <w:t xml:space="preserve">to </w:t>
      </w:r>
      <w:r w:rsidR="00E26933">
        <w:rPr>
          <w:bCs/>
        </w:rPr>
        <w:t>civil works.</w:t>
      </w:r>
    </w:p>
    <w:p w:rsidR="00472903" w:rsidRDefault="00472903" w:rsidP="00472903">
      <w:pPr>
        <w:jc w:val="both"/>
        <w:rPr>
          <w:bCs/>
        </w:rPr>
      </w:pPr>
    </w:p>
    <w:p w:rsidR="00472903" w:rsidRPr="00040AF9" w:rsidRDefault="00472903" w:rsidP="005E2993">
      <w:pPr>
        <w:numPr>
          <w:ilvl w:val="3"/>
          <w:numId w:val="1"/>
        </w:numPr>
        <w:ind w:left="0" w:firstLine="0"/>
        <w:jc w:val="both"/>
        <w:rPr>
          <w:bCs/>
        </w:rPr>
      </w:pPr>
      <w:r>
        <w:rPr>
          <w:bCs/>
        </w:rPr>
        <w:lastRenderedPageBreak/>
        <w:t xml:space="preserve">All the staff recruited by MINED for the Project would </w:t>
      </w:r>
      <w:r w:rsidR="00754DAF">
        <w:rPr>
          <w:bCs/>
        </w:rPr>
        <w:t>be either regularized in the Ministry pay-roll or phase</w:t>
      </w:r>
      <w:r w:rsidR="00246C69">
        <w:rPr>
          <w:bCs/>
        </w:rPr>
        <w:t>d</w:t>
      </w:r>
      <w:r w:rsidR="00754DAF">
        <w:rPr>
          <w:bCs/>
        </w:rPr>
        <w:t xml:space="preserve">-out before the Project ends.  It is expected that MINED would see to recruit most of specialized fiduciary staff.  </w:t>
      </w:r>
    </w:p>
    <w:p w:rsidR="00040AF9" w:rsidRPr="00040AF9" w:rsidRDefault="00040AF9" w:rsidP="00040AF9">
      <w:pPr>
        <w:jc w:val="both"/>
        <w:rPr>
          <w:bCs/>
        </w:rPr>
      </w:pPr>
    </w:p>
    <w:p w:rsidR="00040AF9" w:rsidRDefault="00040AF9" w:rsidP="005E2993">
      <w:pPr>
        <w:numPr>
          <w:ilvl w:val="3"/>
          <w:numId w:val="1"/>
        </w:numPr>
        <w:ind w:left="0" w:firstLine="0"/>
        <w:jc w:val="both"/>
        <w:rPr>
          <w:bCs/>
        </w:rPr>
      </w:pPr>
      <w:r w:rsidRPr="00040AF9">
        <w:rPr>
          <w:bCs/>
        </w:rPr>
        <w:t xml:space="preserve">As identified in the CPS Progress Report, over the last three years weak implementation capacity has remained a serious challenge in the MINED.  There is a risk that MINED may not have the necessary capacity to manage the </w:t>
      </w:r>
      <w:r w:rsidR="002677F2">
        <w:rPr>
          <w:bCs/>
        </w:rPr>
        <w:t>Project</w:t>
      </w:r>
      <w:r w:rsidRPr="00040AF9">
        <w:rPr>
          <w:bCs/>
        </w:rPr>
        <w:t xml:space="preserve"> effectively due to high staff turnover and weaknesses remaining in both technical and fiduciary domains, particularly with regards to the implementation of educational infrastructure activities.  For that reason, </w:t>
      </w:r>
      <w:r w:rsidR="008C3203">
        <w:rPr>
          <w:bCs/>
        </w:rPr>
        <w:t>during preparation of PASEN II</w:t>
      </w:r>
      <w:r w:rsidR="00246C69">
        <w:rPr>
          <w:bCs/>
        </w:rPr>
        <w:t>,</w:t>
      </w:r>
      <w:r w:rsidR="008C3203">
        <w:rPr>
          <w:bCs/>
        </w:rPr>
        <w:t xml:space="preserve"> </w:t>
      </w:r>
      <w:r w:rsidRPr="00040AF9">
        <w:rPr>
          <w:bCs/>
        </w:rPr>
        <w:t xml:space="preserve">a rapid institutional assessment of MINED was carried out </w:t>
      </w:r>
      <w:r w:rsidR="003C2AFF">
        <w:rPr>
          <w:bCs/>
        </w:rPr>
        <w:t>(</w:t>
      </w:r>
      <w:r w:rsidR="008C3203">
        <w:rPr>
          <w:bCs/>
        </w:rPr>
        <w:t xml:space="preserve">see Annex 3 of PASEN II PAD).  This assessment was extended to cover </w:t>
      </w:r>
      <w:r w:rsidR="00F75747">
        <w:rPr>
          <w:bCs/>
        </w:rPr>
        <w:t>preschool</w:t>
      </w:r>
      <w:r w:rsidR="008C3203">
        <w:rPr>
          <w:bCs/>
        </w:rPr>
        <w:t xml:space="preserve"> and secondary education as part of preparation of </w:t>
      </w:r>
      <w:r w:rsidR="00911C25">
        <w:rPr>
          <w:bCs/>
        </w:rPr>
        <w:t>the Project</w:t>
      </w:r>
      <w:r w:rsidR="008C3203">
        <w:rPr>
          <w:bCs/>
        </w:rPr>
        <w:t xml:space="preserve">.  </w:t>
      </w:r>
      <w:r w:rsidRPr="00040AF9">
        <w:rPr>
          <w:bCs/>
        </w:rPr>
        <w:t>The objective of this exercise is to ensure the delivery of quality products and services, high levels of disbursement and due diligence on fiduciary and safeguards matters.</w:t>
      </w:r>
      <w:r w:rsidR="00246C69">
        <w:rPr>
          <w:bCs/>
        </w:rPr>
        <w:t xml:space="preserve">  As a result</w:t>
      </w:r>
      <w:r w:rsidR="00E26933">
        <w:rPr>
          <w:bCs/>
        </w:rPr>
        <w:t xml:space="preserve"> of the update</w:t>
      </w:r>
      <w:r w:rsidR="00246C69">
        <w:rPr>
          <w:bCs/>
        </w:rPr>
        <w:t>d</w:t>
      </w:r>
      <w:r w:rsidR="00E26933">
        <w:rPr>
          <w:bCs/>
        </w:rPr>
        <w:t xml:space="preserve"> rapid institutional assessment, MINED redeployed staff in the</w:t>
      </w:r>
      <w:r w:rsidR="008063AF">
        <w:rPr>
          <w:bCs/>
        </w:rPr>
        <w:t xml:space="preserve"> </w:t>
      </w:r>
      <w:r w:rsidR="008063AF" w:rsidRPr="008063AF">
        <w:rPr>
          <w:bCs/>
        </w:rPr>
        <w:t>General Directorate of Preschool Education - GDPE (</w:t>
      </w:r>
      <w:r w:rsidR="008063AF" w:rsidRPr="00837D3E">
        <w:rPr>
          <w:bCs/>
          <w:i/>
        </w:rPr>
        <w:t>Dirección General de la Educación Preescolar</w:t>
      </w:r>
      <w:r w:rsidR="00837D3E">
        <w:rPr>
          <w:bCs/>
          <w:i/>
        </w:rPr>
        <w:t>)</w:t>
      </w:r>
      <w:r w:rsidR="00E26933">
        <w:rPr>
          <w:bCs/>
        </w:rPr>
        <w:t xml:space="preserve"> </w:t>
      </w:r>
      <w:r w:rsidR="008063AF">
        <w:rPr>
          <w:bCs/>
        </w:rPr>
        <w:t>and increase budget allocation for bet</w:t>
      </w:r>
      <w:r w:rsidR="00246C69">
        <w:rPr>
          <w:bCs/>
        </w:rPr>
        <w:t>ter working environment such as,</w:t>
      </w:r>
      <w:r w:rsidR="008063AF">
        <w:rPr>
          <w:bCs/>
        </w:rPr>
        <w:t xml:space="preserve"> minor repairs for offices, equipment and financing of operating costs.</w:t>
      </w:r>
      <w:r w:rsidR="00E26933">
        <w:rPr>
          <w:bCs/>
        </w:rPr>
        <w:t xml:space="preserve"> </w:t>
      </w:r>
    </w:p>
    <w:p w:rsidR="008C3203" w:rsidRDefault="008C3203" w:rsidP="008C3203">
      <w:pPr>
        <w:jc w:val="both"/>
        <w:rPr>
          <w:bCs/>
        </w:rPr>
      </w:pPr>
    </w:p>
    <w:p w:rsidR="00040AF9" w:rsidRPr="00040AF9" w:rsidRDefault="00040AF9" w:rsidP="005E2993">
      <w:pPr>
        <w:numPr>
          <w:ilvl w:val="3"/>
          <w:numId w:val="1"/>
        </w:numPr>
        <w:ind w:left="0" w:firstLine="0"/>
        <w:jc w:val="both"/>
        <w:rPr>
          <w:bCs/>
        </w:rPr>
      </w:pPr>
      <w:r w:rsidRPr="00040AF9">
        <w:rPr>
          <w:bCs/>
        </w:rPr>
        <w:t>The P</w:t>
      </w:r>
      <w:r w:rsidR="00B77C09">
        <w:rPr>
          <w:bCs/>
        </w:rPr>
        <w:t>C</w:t>
      </w:r>
      <w:r w:rsidRPr="00040AF9">
        <w:rPr>
          <w:bCs/>
        </w:rPr>
        <w:t xml:space="preserve"> </w:t>
      </w:r>
      <w:r w:rsidR="00636C8C">
        <w:rPr>
          <w:bCs/>
        </w:rPr>
        <w:t>would</w:t>
      </w:r>
      <w:r w:rsidRPr="00040AF9">
        <w:rPr>
          <w:bCs/>
        </w:rPr>
        <w:t xml:space="preserve"> coordinate and oversee day-to-day technical implementation and fiduciary management executed by three Secretariats: </w:t>
      </w:r>
      <w:r w:rsidR="009F2044">
        <w:rPr>
          <w:bCs/>
        </w:rPr>
        <w:t xml:space="preserve">Secretary of </w:t>
      </w:r>
      <w:r w:rsidRPr="00040AF9">
        <w:rPr>
          <w:bCs/>
        </w:rPr>
        <w:t xml:space="preserve">Financial </w:t>
      </w:r>
      <w:r w:rsidR="009F2044">
        <w:rPr>
          <w:bCs/>
        </w:rPr>
        <w:t>Management</w:t>
      </w:r>
      <w:r w:rsidRPr="00040AF9">
        <w:rPr>
          <w:bCs/>
        </w:rPr>
        <w:t xml:space="preserve"> (</w:t>
      </w:r>
      <w:r w:rsidRPr="00040AF9">
        <w:rPr>
          <w:bCs/>
          <w:i/>
        </w:rPr>
        <w:t>Secretaria de Administracion Financiera</w:t>
      </w:r>
      <w:r w:rsidRPr="00040AF9">
        <w:rPr>
          <w:bCs/>
        </w:rPr>
        <w:t xml:space="preserve">), </w:t>
      </w:r>
      <w:r w:rsidR="009F2044">
        <w:rPr>
          <w:bCs/>
        </w:rPr>
        <w:t xml:space="preserve">Secretary of </w:t>
      </w:r>
      <w:r w:rsidRPr="00040AF9">
        <w:rPr>
          <w:bCs/>
        </w:rPr>
        <w:t>Educational Planning and Investments (</w:t>
      </w:r>
      <w:r w:rsidRPr="00040AF9">
        <w:rPr>
          <w:bCs/>
          <w:i/>
        </w:rPr>
        <w:t>Secretaria de Planificacion Educativa e Inversiones</w:t>
      </w:r>
      <w:r w:rsidRPr="00040AF9">
        <w:rPr>
          <w:bCs/>
        </w:rPr>
        <w:t xml:space="preserve">), and </w:t>
      </w:r>
      <w:r w:rsidR="009F2044">
        <w:rPr>
          <w:bCs/>
        </w:rPr>
        <w:t xml:space="preserve">Secretary of </w:t>
      </w:r>
      <w:r w:rsidRPr="00040AF9">
        <w:rPr>
          <w:bCs/>
        </w:rPr>
        <w:t>Educational Programs (</w:t>
      </w:r>
      <w:r w:rsidRPr="00040AF9">
        <w:rPr>
          <w:bCs/>
          <w:i/>
        </w:rPr>
        <w:t>Secretaria de Programas Educativos</w:t>
      </w:r>
      <w:r w:rsidRPr="00040AF9">
        <w:rPr>
          <w:bCs/>
        </w:rPr>
        <w:t xml:space="preserve">).  Within the former (Secretariat of Financial </w:t>
      </w:r>
      <w:r w:rsidR="00A57C8F">
        <w:rPr>
          <w:bCs/>
        </w:rPr>
        <w:t>Management</w:t>
      </w:r>
      <w:r w:rsidRPr="00040AF9">
        <w:rPr>
          <w:bCs/>
        </w:rPr>
        <w:t xml:space="preserve">), the </w:t>
      </w:r>
      <w:r w:rsidR="00E62E03">
        <w:rPr>
          <w:bCs/>
        </w:rPr>
        <w:t>AFGD</w:t>
      </w:r>
      <w:r w:rsidR="00A57C8F">
        <w:rPr>
          <w:bCs/>
        </w:rPr>
        <w:t xml:space="preserve"> </w:t>
      </w:r>
      <w:r w:rsidR="00636C8C">
        <w:rPr>
          <w:bCs/>
        </w:rPr>
        <w:t>would</w:t>
      </w:r>
      <w:r w:rsidRPr="00040AF9">
        <w:rPr>
          <w:bCs/>
        </w:rPr>
        <w:t xml:space="preserve"> be r</w:t>
      </w:r>
      <w:r w:rsidR="00995B51">
        <w:rPr>
          <w:bCs/>
        </w:rPr>
        <w:t>esp</w:t>
      </w:r>
      <w:r w:rsidRPr="00040AF9">
        <w:rPr>
          <w:bCs/>
        </w:rPr>
        <w:t xml:space="preserve">onsible for financial management, disbursement request preparation, </w:t>
      </w:r>
      <w:r w:rsidR="00246C69">
        <w:rPr>
          <w:bCs/>
        </w:rPr>
        <w:t>Statement of Expenditures (</w:t>
      </w:r>
      <w:r w:rsidRPr="00040AF9">
        <w:rPr>
          <w:bCs/>
        </w:rPr>
        <w:t>SOEs</w:t>
      </w:r>
      <w:r w:rsidR="00246C69">
        <w:rPr>
          <w:bCs/>
        </w:rPr>
        <w:t>)</w:t>
      </w:r>
      <w:r w:rsidRPr="00040AF9">
        <w:rPr>
          <w:bCs/>
        </w:rPr>
        <w:t xml:space="preserve">, audits, etc., while the Procurement Division </w:t>
      </w:r>
      <w:r w:rsidR="00636C8C">
        <w:rPr>
          <w:bCs/>
        </w:rPr>
        <w:t>would</w:t>
      </w:r>
      <w:r w:rsidRPr="00040AF9">
        <w:rPr>
          <w:bCs/>
        </w:rPr>
        <w:t xml:space="preserve"> handle </w:t>
      </w:r>
      <w:r w:rsidR="002677F2">
        <w:rPr>
          <w:bCs/>
        </w:rPr>
        <w:t>Project</w:t>
      </w:r>
      <w:r w:rsidRPr="00040AF9">
        <w:rPr>
          <w:bCs/>
        </w:rPr>
        <w:t xml:space="preserve"> procurement (preparation of bid documents, bid evaluation, contracts, etc.).  R</w:t>
      </w:r>
      <w:r w:rsidR="00995B51">
        <w:rPr>
          <w:bCs/>
        </w:rPr>
        <w:t>esp</w:t>
      </w:r>
      <w:r w:rsidRPr="00040AF9">
        <w:rPr>
          <w:bCs/>
        </w:rPr>
        <w:t xml:space="preserve">onsibility for technical aspects of </w:t>
      </w:r>
      <w:r w:rsidR="002677F2">
        <w:rPr>
          <w:bCs/>
        </w:rPr>
        <w:t>Project</w:t>
      </w:r>
      <w:r w:rsidRPr="00040AF9">
        <w:rPr>
          <w:bCs/>
        </w:rPr>
        <w:t xml:space="preserve"> implementation </w:t>
      </w:r>
      <w:r w:rsidR="00636C8C">
        <w:rPr>
          <w:bCs/>
        </w:rPr>
        <w:t>would</w:t>
      </w:r>
      <w:r w:rsidRPr="00040AF9">
        <w:rPr>
          <w:bCs/>
        </w:rPr>
        <w:t xml:space="preserve"> be with the technical line units according to their specialty of their substantive work, described in further detail below.</w:t>
      </w:r>
    </w:p>
    <w:p w:rsidR="00040AF9" w:rsidRPr="00040AF9" w:rsidRDefault="00040AF9" w:rsidP="00040AF9">
      <w:pPr>
        <w:jc w:val="both"/>
        <w:rPr>
          <w:bCs/>
        </w:rPr>
      </w:pPr>
      <w:r w:rsidRPr="00040AF9">
        <w:rPr>
          <w:bCs/>
        </w:rPr>
        <w:t xml:space="preserve">   </w:t>
      </w:r>
    </w:p>
    <w:p w:rsidR="00040AF9" w:rsidRDefault="00040AF9" w:rsidP="005E2993">
      <w:pPr>
        <w:numPr>
          <w:ilvl w:val="3"/>
          <w:numId w:val="1"/>
        </w:numPr>
        <w:ind w:left="0" w:firstLine="0"/>
        <w:jc w:val="both"/>
        <w:rPr>
          <w:bCs/>
        </w:rPr>
      </w:pPr>
      <w:r w:rsidRPr="00040AF9">
        <w:rPr>
          <w:bCs/>
        </w:rPr>
        <w:t xml:space="preserve">The main line units that </w:t>
      </w:r>
      <w:r w:rsidR="00636C8C">
        <w:rPr>
          <w:bCs/>
        </w:rPr>
        <w:t>would</w:t>
      </w:r>
      <w:r w:rsidRPr="00040AF9">
        <w:rPr>
          <w:bCs/>
        </w:rPr>
        <w:t xml:space="preserve"> be involved in Project implementation and their functions are:</w:t>
      </w:r>
    </w:p>
    <w:p w:rsidR="00CD1605" w:rsidRPr="00040AF9" w:rsidRDefault="00CD1605" w:rsidP="00CD1605">
      <w:pPr>
        <w:jc w:val="both"/>
        <w:rPr>
          <w:bCs/>
        </w:rPr>
      </w:pPr>
    </w:p>
    <w:p w:rsidR="00040AF9" w:rsidRDefault="00C8790A" w:rsidP="005E2993">
      <w:pPr>
        <w:numPr>
          <w:ilvl w:val="0"/>
          <w:numId w:val="5"/>
        </w:numPr>
        <w:jc w:val="both"/>
        <w:rPr>
          <w:bCs/>
        </w:rPr>
      </w:pPr>
      <w:r w:rsidRPr="00C8790A">
        <w:rPr>
          <w:bCs/>
          <w:u w:val="single"/>
        </w:rPr>
        <w:t>Administrative and Financial General Division</w:t>
      </w:r>
      <w:r w:rsidR="00E62E03">
        <w:rPr>
          <w:bCs/>
          <w:u w:val="single"/>
        </w:rPr>
        <w:t xml:space="preserve"> </w:t>
      </w:r>
      <w:r w:rsidR="00E62E03">
        <w:rPr>
          <w:u w:val="single"/>
        </w:rPr>
        <w:t xml:space="preserve">- AFGD </w:t>
      </w:r>
      <w:r w:rsidRPr="00C8790A">
        <w:rPr>
          <w:u w:val="single"/>
        </w:rPr>
        <w:t>(</w:t>
      </w:r>
      <w:r w:rsidRPr="00C8790A">
        <w:rPr>
          <w:i/>
          <w:u w:val="single"/>
        </w:rPr>
        <w:t>Division General Administrativa Financiera</w:t>
      </w:r>
      <w:r w:rsidRPr="00C8790A">
        <w:rPr>
          <w:bCs/>
          <w:u w:val="single"/>
        </w:rPr>
        <w:t>)</w:t>
      </w:r>
      <w:r w:rsidR="00040AF9" w:rsidRPr="00040AF9">
        <w:rPr>
          <w:bCs/>
          <w:i/>
        </w:rPr>
        <w:t xml:space="preserve">. </w:t>
      </w:r>
      <w:r w:rsidR="00040AF9" w:rsidRPr="00040AF9">
        <w:rPr>
          <w:bCs/>
        </w:rPr>
        <w:t xml:space="preserve">It supports the Ministry in budget- and finance- related management and administration. </w:t>
      </w:r>
      <w:r w:rsidR="00246C69">
        <w:rPr>
          <w:bCs/>
        </w:rPr>
        <w:t xml:space="preserve"> </w:t>
      </w:r>
      <w:r w:rsidR="00040AF9" w:rsidRPr="00040AF9">
        <w:rPr>
          <w:bCs/>
        </w:rPr>
        <w:t xml:space="preserve">It </w:t>
      </w:r>
      <w:r w:rsidR="00636C8C">
        <w:rPr>
          <w:bCs/>
        </w:rPr>
        <w:t>would</w:t>
      </w:r>
      <w:r w:rsidR="00040AF9" w:rsidRPr="00040AF9">
        <w:rPr>
          <w:bCs/>
        </w:rPr>
        <w:t xml:space="preserve"> handle all financial management aspects of the </w:t>
      </w:r>
      <w:r w:rsidR="00246C69">
        <w:rPr>
          <w:bCs/>
        </w:rPr>
        <w:t xml:space="preserve">Project, </w:t>
      </w:r>
      <w:r w:rsidR="00040AF9" w:rsidRPr="00040AF9">
        <w:rPr>
          <w:bCs/>
        </w:rPr>
        <w:t>consolidate the financial registration in the Integrated Financial Management System (</w:t>
      </w:r>
      <w:r w:rsidR="00A57C8F">
        <w:rPr>
          <w:bCs/>
        </w:rPr>
        <w:t>SIGFAPRO</w:t>
      </w:r>
      <w:r w:rsidR="00246C69">
        <w:rPr>
          <w:bCs/>
        </w:rPr>
        <w:t>)</w:t>
      </w:r>
      <w:r w:rsidR="00040AF9" w:rsidRPr="00040AF9">
        <w:rPr>
          <w:bCs/>
        </w:rPr>
        <w:t xml:space="preserve"> and perform reconciliation of the accounts.</w:t>
      </w:r>
    </w:p>
    <w:p w:rsidR="00C8790A" w:rsidRPr="00040AF9" w:rsidRDefault="00C8790A" w:rsidP="00C8790A">
      <w:pPr>
        <w:ind w:left="1080"/>
        <w:jc w:val="both"/>
        <w:rPr>
          <w:bCs/>
        </w:rPr>
      </w:pPr>
    </w:p>
    <w:p w:rsidR="00040AF9" w:rsidRPr="00C8790A" w:rsidRDefault="00CD3438" w:rsidP="005E2993">
      <w:pPr>
        <w:numPr>
          <w:ilvl w:val="0"/>
          <w:numId w:val="5"/>
        </w:numPr>
        <w:jc w:val="both"/>
        <w:rPr>
          <w:bCs/>
        </w:rPr>
      </w:pPr>
      <w:r w:rsidRPr="00E62E03">
        <w:rPr>
          <w:bCs/>
          <w:u w:val="single"/>
          <w:lang w:val="es-ES_tradnl"/>
        </w:rPr>
        <w:t>Procurement Division (</w:t>
      </w:r>
      <w:r w:rsidR="00E62E03" w:rsidRPr="00E62E03">
        <w:rPr>
          <w:bCs/>
          <w:i/>
          <w:u w:val="single"/>
          <w:lang w:val="es-ES_tradnl"/>
        </w:rPr>
        <w:t>Unidad</w:t>
      </w:r>
      <w:r w:rsidRPr="00E62E03">
        <w:rPr>
          <w:bCs/>
          <w:i/>
          <w:u w:val="single"/>
          <w:lang w:val="es-ES_tradnl"/>
        </w:rPr>
        <w:t xml:space="preserve"> de Adquisiciones</w:t>
      </w:r>
      <w:r w:rsidRPr="00E62E03">
        <w:rPr>
          <w:bCs/>
          <w:u w:val="single"/>
          <w:lang w:val="es-ES_tradnl"/>
        </w:rPr>
        <w:t>)</w:t>
      </w:r>
      <w:r w:rsidRPr="00E62E03">
        <w:rPr>
          <w:bCs/>
          <w:lang w:val="es-ES_tradnl"/>
        </w:rPr>
        <w:t xml:space="preserve">. </w:t>
      </w:r>
      <w:r w:rsidR="00040AF9" w:rsidRPr="00040AF9">
        <w:rPr>
          <w:bCs/>
        </w:rPr>
        <w:t>It is r</w:t>
      </w:r>
      <w:r w:rsidR="00995B51">
        <w:rPr>
          <w:bCs/>
        </w:rPr>
        <w:t>esp</w:t>
      </w:r>
      <w:r w:rsidR="00040AF9" w:rsidRPr="00040AF9">
        <w:rPr>
          <w:bCs/>
        </w:rPr>
        <w:t xml:space="preserve">onsible for the contracting and purchasing of goods, services, and minor works for the Ministry, and </w:t>
      </w:r>
      <w:r w:rsidR="00636C8C">
        <w:rPr>
          <w:bCs/>
        </w:rPr>
        <w:t>would</w:t>
      </w:r>
      <w:r w:rsidR="00040AF9" w:rsidRPr="00040AF9">
        <w:rPr>
          <w:bCs/>
        </w:rPr>
        <w:t xml:space="preserve"> also handle these aspects for the Project.</w:t>
      </w:r>
      <w:r w:rsidR="00040AF9" w:rsidRPr="00040AF9">
        <w:rPr>
          <w:bCs/>
          <w:i/>
        </w:rPr>
        <w:t xml:space="preserve"> </w:t>
      </w:r>
    </w:p>
    <w:p w:rsidR="00C8790A" w:rsidRPr="00040AF9" w:rsidRDefault="00C8790A" w:rsidP="00C8790A">
      <w:pPr>
        <w:jc w:val="both"/>
        <w:rPr>
          <w:bCs/>
        </w:rPr>
      </w:pPr>
    </w:p>
    <w:p w:rsidR="00040AF9" w:rsidRDefault="00040AF9" w:rsidP="005E2993">
      <w:pPr>
        <w:numPr>
          <w:ilvl w:val="0"/>
          <w:numId w:val="5"/>
        </w:numPr>
        <w:jc w:val="both"/>
        <w:rPr>
          <w:bCs/>
        </w:rPr>
      </w:pPr>
      <w:r w:rsidRPr="00C8790A">
        <w:rPr>
          <w:bCs/>
          <w:u w:val="single"/>
          <w:lang w:val="es-ES"/>
        </w:rPr>
        <w:t>General Directorate of Planning</w:t>
      </w:r>
      <w:r w:rsidR="00E62E03">
        <w:rPr>
          <w:bCs/>
          <w:u w:val="single"/>
          <w:lang w:val="es-ES"/>
        </w:rPr>
        <w:t xml:space="preserve"> - GDP</w:t>
      </w:r>
      <w:r w:rsidRPr="00C8790A">
        <w:rPr>
          <w:bCs/>
          <w:u w:val="single"/>
          <w:lang w:val="es-ES"/>
        </w:rPr>
        <w:t xml:space="preserve"> (</w:t>
      </w:r>
      <w:r w:rsidRPr="00C8790A">
        <w:rPr>
          <w:bCs/>
          <w:i/>
          <w:u w:val="single"/>
          <w:lang w:val="es-ES_tradnl"/>
        </w:rPr>
        <w:t>Dirección General de Planificación</w:t>
      </w:r>
      <w:r w:rsidRPr="00C8790A">
        <w:rPr>
          <w:bCs/>
          <w:u w:val="single"/>
          <w:lang w:val="es-ES"/>
        </w:rPr>
        <w:t>)</w:t>
      </w:r>
      <w:r w:rsidRPr="00040AF9">
        <w:rPr>
          <w:bCs/>
          <w:lang w:val="es-ES"/>
        </w:rPr>
        <w:t xml:space="preserve">. </w:t>
      </w:r>
      <w:r w:rsidRPr="00040AF9">
        <w:rPr>
          <w:bCs/>
        </w:rPr>
        <w:t>It is r</w:t>
      </w:r>
      <w:r w:rsidR="007526AD">
        <w:rPr>
          <w:bCs/>
        </w:rPr>
        <w:t>esp</w:t>
      </w:r>
      <w:r w:rsidRPr="00040AF9">
        <w:rPr>
          <w:bCs/>
        </w:rPr>
        <w:t xml:space="preserve">onsible for the overall planning and implementation supervision of the </w:t>
      </w:r>
      <w:r w:rsidR="009469DE">
        <w:rPr>
          <w:bCs/>
        </w:rPr>
        <w:t>ESS</w:t>
      </w:r>
      <w:r w:rsidRPr="00040AF9">
        <w:rPr>
          <w:bCs/>
        </w:rPr>
        <w:t xml:space="preserve"> and its related educational programs, and for its monitoring and evaluation. </w:t>
      </w:r>
      <w:r w:rsidR="00B77C09">
        <w:rPr>
          <w:bCs/>
        </w:rPr>
        <w:t xml:space="preserve"> </w:t>
      </w:r>
      <w:r w:rsidR="00246C69">
        <w:rPr>
          <w:bCs/>
        </w:rPr>
        <w:t>It includes</w:t>
      </w:r>
      <w:r w:rsidRPr="00040AF9">
        <w:rPr>
          <w:bCs/>
        </w:rPr>
        <w:t xml:space="preserve"> four </w:t>
      </w:r>
      <w:r w:rsidR="00EF0961">
        <w:rPr>
          <w:bCs/>
        </w:rPr>
        <w:t>directorate</w:t>
      </w:r>
      <w:r w:rsidRPr="00040AF9">
        <w:rPr>
          <w:bCs/>
        </w:rPr>
        <w:t xml:space="preserve">s: the </w:t>
      </w:r>
      <w:r w:rsidR="00EF0961">
        <w:rPr>
          <w:bCs/>
        </w:rPr>
        <w:t>Directorate</w:t>
      </w:r>
      <w:r w:rsidRPr="00040AF9">
        <w:rPr>
          <w:bCs/>
        </w:rPr>
        <w:t xml:space="preserve"> of Planning</w:t>
      </w:r>
      <w:r w:rsidR="00EF0961">
        <w:rPr>
          <w:bCs/>
        </w:rPr>
        <w:t xml:space="preserve"> and Strategic Planning</w:t>
      </w:r>
      <w:r w:rsidRPr="00040AF9">
        <w:rPr>
          <w:bCs/>
        </w:rPr>
        <w:t xml:space="preserve"> (</w:t>
      </w:r>
      <w:r w:rsidRPr="00040AF9">
        <w:rPr>
          <w:bCs/>
          <w:i/>
        </w:rPr>
        <w:t xml:space="preserve">Dirección de </w:t>
      </w:r>
      <w:r w:rsidRPr="00040AF9">
        <w:rPr>
          <w:bCs/>
          <w:i/>
        </w:rPr>
        <w:lastRenderedPageBreak/>
        <w:t>Planificación y Desarrollo Estratégico</w:t>
      </w:r>
      <w:r w:rsidRPr="00040AF9">
        <w:rPr>
          <w:bCs/>
        </w:rPr>
        <w:t xml:space="preserve">), the </w:t>
      </w:r>
      <w:r w:rsidR="00EF0961">
        <w:rPr>
          <w:bCs/>
        </w:rPr>
        <w:t>Directorate</w:t>
      </w:r>
      <w:r w:rsidRPr="00040AF9">
        <w:rPr>
          <w:bCs/>
        </w:rPr>
        <w:t xml:space="preserve"> of </w:t>
      </w:r>
      <w:r w:rsidR="00EF0961">
        <w:rPr>
          <w:bCs/>
        </w:rPr>
        <w:t>Institutional Evaluation</w:t>
      </w:r>
      <w:r w:rsidRPr="00040AF9">
        <w:rPr>
          <w:bCs/>
        </w:rPr>
        <w:t xml:space="preserve"> (</w:t>
      </w:r>
      <w:r w:rsidRPr="00040AF9">
        <w:rPr>
          <w:bCs/>
          <w:i/>
        </w:rPr>
        <w:t>Dirección de Seguimiento y Evaluación Institucional</w:t>
      </w:r>
      <w:r w:rsidRPr="00040AF9">
        <w:rPr>
          <w:bCs/>
        </w:rPr>
        <w:t xml:space="preserve">), the </w:t>
      </w:r>
      <w:r w:rsidR="00EF0961">
        <w:rPr>
          <w:bCs/>
        </w:rPr>
        <w:t>Directorate</w:t>
      </w:r>
      <w:r w:rsidRPr="00040AF9">
        <w:rPr>
          <w:bCs/>
        </w:rPr>
        <w:t xml:space="preserve"> of Educational Statistics (</w:t>
      </w:r>
      <w:r w:rsidRPr="00040AF9">
        <w:rPr>
          <w:bCs/>
          <w:i/>
        </w:rPr>
        <w:t>Dirección de Estadísticas Educativas)</w:t>
      </w:r>
      <w:r w:rsidR="009F2044">
        <w:rPr>
          <w:bCs/>
        </w:rPr>
        <w:t xml:space="preserve">, and the </w:t>
      </w:r>
      <w:r w:rsidR="00EF0961">
        <w:rPr>
          <w:bCs/>
        </w:rPr>
        <w:t>Directorate</w:t>
      </w:r>
      <w:r w:rsidR="009F2044">
        <w:rPr>
          <w:bCs/>
        </w:rPr>
        <w:t xml:space="preserve"> of </w:t>
      </w:r>
      <w:r w:rsidRPr="00040AF9">
        <w:rPr>
          <w:bCs/>
        </w:rPr>
        <w:t>Projects (</w:t>
      </w:r>
      <w:r w:rsidRPr="00040AF9">
        <w:rPr>
          <w:bCs/>
          <w:i/>
        </w:rPr>
        <w:t>Dirección de Proyectos</w:t>
      </w:r>
      <w:r w:rsidRPr="00040AF9">
        <w:rPr>
          <w:bCs/>
        </w:rPr>
        <w:t xml:space="preserve">). It </w:t>
      </w:r>
      <w:r w:rsidR="00636C8C">
        <w:rPr>
          <w:bCs/>
        </w:rPr>
        <w:t>would</w:t>
      </w:r>
      <w:r w:rsidRPr="00040AF9">
        <w:rPr>
          <w:bCs/>
        </w:rPr>
        <w:t xml:space="preserve"> be r</w:t>
      </w:r>
      <w:r w:rsidR="00995B51">
        <w:rPr>
          <w:bCs/>
        </w:rPr>
        <w:t>esp</w:t>
      </w:r>
      <w:r w:rsidRPr="00040AF9">
        <w:rPr>
          <w:bCs/>
        </w:rPr>
        <w:t>onsible for the implementation of Component 3 (with the exception of the infrastructure sub-component).</w:t>
      </w:r>
    </w:p>
    <w:p w:rsidR="00C8790A" w:rsidRPr="00040AF9" w:rsidRDefault="00C8790A" w:rsidP="00C8790A">
      <w:pPr>
        <w:jc w:val="both"/>
        <w:rPr>
          <w:bCs/>
        </w:rPr>
      </w:pPr>
    </w:p>
    <w:p w:rsidR="00BA52DD" w:rsidRPr="008B6E3F" w:rsidRDefault="00BA52DD" w:rsidP="005E2993">
      <w:pPr>
        <w:numPr>
          <w:ilvl w:val="0"/>
          <w:numId w:val="5"/>
        </w:numPr>
        <w:jc w:val="both"/>
        <w:rPr>
          <w:bCs/>
        </w:rPr>
      </w:pPr>
      <w:r>
        <w:rPr>
          <w:bCs/>
          <w:u w:val="single"/>
          <w:lang w:val="es-ES"/>
        </w:rPr>
        <w:t>General Director</w:t>
      </w:r>
      <w:r w:rsidR="00353777">
        <w:rPr>
          <w:bCs/>
          <w:u w:val="single"/>
          <w:lang w:val="es-ES"/>
        </w:rPr>
        <w:t>ate</w:t>
      </w:r>
      <w:r>
        <w:rPr>
          <w:bCs/>
          <w:u w:val="single"/>
          <w:lang w:val="es-ES"/>
        </w:rPr>
        <w:t xml:space="preserve"> of </w:t>
      </w:r>
      <w:r w:rsidR="00F75747">
        <w:rPr>
          <w:bCs/>
          <w:u w:val="single"/>
          <w:lang w:val="es-ES"/>
        </w:rPr>
        <w:t>Preschool</w:t>
      </w:r>
      <w:r>
        <w:rPr>
          <w:bCs/>
          <w:u w:val="single"/>
          <w:lang w:val="es-ES"/>
        </w:rPr>
        <w:t xml:space="preserve"> Education</w:t>
      </w:r>
      <w:r w:rsidR="003251BD">
        <w:rPr>
          <w:bCs/>
          <w:u w:val="single"/>
          <w:lang w:val="es-ES"/>
        </w:rPr>
        <w:t xml:space="preserve"> - GDPE</w:t>
      </w:r>
      <w:r>
        <w:rPr>
          <w:bCs/>
          <w:u w:val="single"/>
          <w:lang w:val="es-ES"/>
        </w:rPr>
        <w:t xml:space="preserve"> (</w:t>
      </w:r>
      <w:r w:rsidRPr="00837D3E">
        <w:rPr>
          <w:bCs/>
          <w:i/>
          <w:u w:val="single"/>
          <w:lang w:val="es-ES_tradnl"/>
        </w:rPr>
        <w:t>Dirección General de la Educación Preescolar</w:t>
      </w:r>
      <w:r w:rsidRPr="004469FB">
        <w:rPr>
          <w:bCs/>
          <w:lang w:val="es-ES_tradnl"/>
        </w:rPr>
        <w:t xml:space="preserve">).  </w:t>
      </w:r>
      <w:r w:rsidRPr="004469FB">
        <w:rPr>
          <w:bCs/>
        </w:rPr>
        <w:t xml:space="preserve">It is </w:t>
      </w:r>
      <w:r w:rsidR="004469FB" w:rsidRPr="004469FB">
        <w:rPr>
          <w:bCs/>
        </w:rPr>
        <w:t>r</w:t>
      </w:r>
      <w:r w:rsidR="00995B51">
        <w:rPr>
          <w:bCs/>
        </w:rPr>
        <w:t>esp</w:t>
      </w:r>
      <w:r w:rsidR="004469FB" w:rsidRPr="004469FB">
        <w:rPr>
          <w:bCs/>
        </w:rPr>
        <w:t>onsible</w:t>
      </w:r>
      <w:r w:rsidRPr="004469FB">
        <w:rPr>
          <w:bCs/>
        </w:rPr>
        <w:t xml:space="preserve"> for defining the policy orientations and technical orientations of both formal and community-based </w:t>
      </w:r>
      <w:r w:rsidR="00F75747">
        <w:rPr>
          <w:bCs/>
        </w:rPr>
        <w:t>preschool</w:t>
      </w:r>
      <w:r w:rsidRPr="004469FB">
        <w:rPr>
          <w:bCs/>
        </w:rPr>
        <w:t xml:space="preserve"> education.  This includes </w:t>
      </w:r>
      <w:r w:rsidR="0058604A" w:rsidRPr="004469FB">
        <w:rPr>
          <w:bCs/>
        </w:rPr>
        <w:t xml:space="preserve">articulation of the pedagogical model for </w:t>
      </w:r>
      <w:r w:rsidR="00F75747">
        <w:rPr>
          <w:bCs/>
        </w:rPr>
        <w:t>preschool</w:t>
      </w:r>
      <w:r w:rsidR="0058604A" w:rsidRPr="004469FB">
        <w:rPr>
          <w:bCs/>
        </w:rPr>
        <w:t xml:space="preserve"> education, from which flows the curriculum teacher training, provision of learning materials, standards for educational infrastructure, pedagogical </w:t>
      </w:r>
      <w:r w:rsidR="008063AF" w:rsidRPr="004469FB">
        <w:rPr>
          <w:bCs/>
        </w:rPr>
        <w:t>supervision</w:t>
      </w:r>
      <w:r w:rsidR="0058604A" w:rsidRPr="004469FB">
        <w:rPr>
          <w:bCs/>
        </w:rPr>
        <w:t xml:space="preserve"> and assessment.</w:t>
      </w:r>
    </w:p>
    <w:p w:rsidR="00BA52DD" w:rsidRPr="008B6E3F" w:rsidRDefault="00BA52DD" w:rsidP="00BA52DD">
      <w:pPr>
        <w:jc w:val="both"/>
        <w:rPr>
          <w:bCs/>
          <w:u w:val="single"/>
        </w:rPr>
      </w:pPr>
    </w:p>
    <w:p w:rsidR="00040AF9" w:rsidRDefault="00040AF9" w:rsidP="005E2993">
      <w:pPr>
        <w:numPr>
          <w:ilvl w:val="0"/>
          <w:numId w:val="5"/>
        </w:numPr>
        <w:jc w:val="both"/>
        <w:rPr>
          <w:bCs/>
        </w:rPr>
      </w:pPr>
      <w:r w:rsidRPr="00C8790A">
        <w:rPr>
          <w:bCs/>
          <w:u w:val="single"/>
          <w:lang w:val="es-ES"/>
        </w:rPr>
        <w:t xml:space="preserve">General Directorate of </w:t>
      </w:r>
      <w:r w:rsidR="008C3203">
        <w:rPr>
          <w:bCs/>
          <w:u w:val="single"/>
          <w:lang w:val="es-ES"/>
        </w:rPr>
        <w:t xml:space="preserve">Secondary </w:t>
      </w:r>
      <w:r w:rsidRPr="00C8790A">
        <w:rPr>
          <w:bCs/>
          <w:u w:val="single"/>
          <w:lang w:val="es-ES"/>
        </w:rPr>
        <w:t xml:space="preserve">Education </w:t>
      </w:r>
      <w:r w:rsidR="003251BD">
        <w:rPr>
          <w:bCs/>
          <w:u w:val="single"/>
          <w:lang w:val="es-ES"/>
        </w:rPr>
        <w:t xml:space="preserve">- GDSE </w:t>
      </w:r>
      <w:r w:rsidRPr="00C8790A">
        <w:rPr>
          <w:bCs/>
          <w:u w:val="single"/>
          <w:lang w:val="es-ES"/>
        </w:rPr>
        <w:t>(</w:t>
      </w:r>
      <w:r w:rsidRPr="00C8790A">
        <w:rPr>
          <w:bCs/>
          <w:i/>
          <w:u w:val="single"/>
          <w:lang w:val="es-ES"/>
        </w:rPr>
        <w:t xml:space="preserve">Dirección General de </w:t>
      </w:r>
      <w:r w:rsidR="00EF0961" w:rsidRPr="00C8790A">
        <w:rPr>
          <w:bCs/>
          <w:i/>
          <w:u w:val="single"/>
          <w:lang w:val="es-ES"/>
        </w:rPr>
        <w:t xml:space="preserve">Educación </w:t>
      </w:r>
      <w:r w:rsidR="008C3203">
        <w:rPr>
          <w:bCs/>
          <w:i/>
          <w:u w:val="single"/>
          <w:lang w:val="es-ES"/>
        </w:rPr>
        <w:t>Secundaria</w:t>
      </w:r>
      <w:r w:rsidRPr="00C8790A">
        <w:rPr>
          <w:bCs/>
          <w:u w:val="single"/>
          <w:lang w:val="es-ES"/>
        </w:rPr>
        <w:t>)</w:t>
      </w:r>
      <w:r w:rsidRPr="00EF0961">
        <w:rPr>
          <w:bCs/>
          <w:lang w:val="es-ES"/>
        </w:rPr>
        <w:t xml:space="preserve">. </w:t>
      </w:r>
      <w:r w:rsidRPr="00040AF9">
        <w:rPr>
          <w:bCs/>
        </w:rPr>
        <w:t>It is r</w:t>
      </w:r>
      <w:r w:rsidR="00995B51">
        <w:rPr>
          <w:bCs/>
        </w:rPr>
        <w:t>esp</w:t>
      </w:r>
      <w:r w:rsidRPr="00040AF9">
        <w:rPr>
          <w:bCs/>
        </w:rPr>
        <w:t xml:space="preserve">onsible for defining the policy directions and technical orientation of </w:t>
      </w:r>
      <w:r w:rsidR="008C3203">
        <w:rPr>
          <w:bCs/>
        </w:rPr>
        <w:t xml:space="preserve">secondary </w:t>
      </w:r>
      <w:r w:rsidRPr="00040AF9">
        <w:rPr>
          <w:bCs/>
        </w:rPr>
        <w:t xml:space="preserve">education, ensuring the application and monitoring the implementation of the Curriculum, training technical staff in methodological aspects, among others. It </w:t>
      </w:r>
      <w:r w:rsidR="00636C8C">
        <w:rPr>
          <w:bCs/>
        </w:rPr>
        <w:t>would</w:t>
      </w:r>
      <w:r w:rsidRPr="00040AF9">
        <w:rPr>
          <w:bCs/>
        </w:rPr>
        <w:t xml:space="preserve"> be in charge of implementing activities under Component</w:t>
      </w:r>
      <w:r w:rsidR="008C3203">
        <w:rPr>
          <w:bCs/>
        </w:rPr>
        <w:t xml:space="preserve"> 2, along with the General Director of Teacher Training</w:t>
      </w:r>
      <w:r w:rsidRPr="00040AF9">
        <w:rPr>
          <w:bCs/>
        </w:rPr>
        <w:t>.</w:t>
      </w:r>
    </w:p>
    <w:p w:rsidR="00C8790A" w:rsidRPr="00040AF9" w:rsidRDefault="00C8790A" w:rsidP="00C8790A">
      <w:pPr>
        <w:jc w:val="both"/>
        <w:rPr>
          <w:bCs/>
        </w:rPr>
      </w:pPr>
    </w:p>
    <w:p w:rsidR="00040AF9" w:rsidRDefault="00040AF9" w:rsidP="005E2993">
      <w:pPr>
        <w:numPr>
          <w:ilvl w:val="0"/>
          <w:numId w:val="5"/>
        </w:numPr>
        <w:jc w:val="both"/>
        <w:rPr>
          <w:bCs/>
        </w:rPr>
      </w:pPr>
      <w:r w:rsidRPr="00C8790A">
        <w:rPr>
          <w:bCs/>
          <w:u w:val="single"/>
        </w:rPr>
        <w:t xml:space="preserve">General Directorate of Teacher Training </w:t>
      </w:r>
      <w:r w:rsidR="00F946F5">
        <w:rPr>
          <w:bCs/>
          <w:u w:val="single"/>
        </w:rPr>
        <w:t xml:space="preserve">– GDTT </w:t>
      </w:r>
      <w:r w:rsidRPr="00C8790A">
        <w:rPr>
          <w:bCs/>
          <w:u w:val="single"/>
        </w:rPr>
        <w:t>(</w:t>
      </w:r>
      <w:r w:rsidRPr="00C8790A">
        <w:rPr>
          <w:bCs/>
          <w:i/>
          <w:u w:val="single"/>
        </w:rPr>
        <w:t>Dirección General de Formación Docente</w:t>
      </w:r>
      <w:r w:rsidRPr="00C8790A">
        <w:rPr>
          <w:bCs/>
          <w:u w:val="single"/>
        </w:rPr>
        <w:t>)</w:t>
      </w:r>
      <w:r w:rsidRPr="00040AF9">
        <w:rPr>
          <w:bCs/>
        </w:rPr>
        <w:t xml:space="preserve">. It is in charge of ensuring the appropriate pre-service, in-service teacher training, its monitoring and evaluation. It </w:t>
      </w:r>
      <w:r w:rsidR="00636C8C">
        <w:rPr>
          <w:bCs/>
        </w:rPr>
        <w:t>would</w:t>
      </w:r>
      <w:r w:rsidR="008C3203">
        <w:rPr>
          <w:bCs/>
        </w:rPr>
        <w:t xml:space="preserve"> be in charge of implementing C</w:t>
      </w:r>
      <w:r w:rsidRPr="00040AF9">
        <w:rPr>
          <w:bCs/>
        </w:rPr>
        <w:t>omponent</w:t>
      </w:r>
      <w:r w:rsidR="008C3203">
        <w:rPr>
          <w:bCs/>
        </w:rPr>
        <w:t>s 1 and</w:t>
      </w:r>
      <w:r w:rsidRPr="00040AF9">
        <w:rPr>
          <w:bCs/>
        </w:rPr>
        <w:t xml:space="preserve"> 2 in coordination with the General Directorate</w:t>
      </w:r>
      <w:r w:rsidR="008C3203">
        <w:rPr>
          <w:bCs/>
        </w:rPr>
        <w:t>s</w:t>
      </w:r>
      <w:r w:rsidRPr="00040AF9">
        <w:rPr>
          <w:bCs/>
        </w:rPr>
        <w:t xml:space="preserve"> of </w:t>
      </w:r>
      <w:r w:rsidR="00F75747">
        <w:rPr>
          <w:bCs/>
        </w:rPr>
        <w:t>Preschool</w:t>
      </w:r>
      <w:r w:rsidR="008C3203">
        <w:rPr>
          <w:bCs/>
        </w:rPr>
        <w:t xml:space="preserve"> and Secondary</w:t>
      </w:r>
      <w:r w:rsidRPr="00040AF9">
        <w:rPr>
          <w:bCs/>
        </w:rPr>
        <w:t xml:space="preserve"> Education.</w:t>
      </w:r>
    </w:p>
    <w:p w:rsidR="00C8790A" w:rsidRPr="00040AF9" w:rsidRDefault="00C8790A" w:rsidP="00C8790A">
      <w:pPr>
        <w:jc w:val="both"/>
        <w:rPr>
          <w:bCs/>
        </w:rPr>
      </w:pPr>
    </w:p>
    <w:p w:rsidR="00040AF9" w:rsidRPr="00040AF9" w:rsidRDefault="004065AE" w:rsidP="005E2993">
      <w:pPr>
        <w:numPr>
          <w:ilvl w:val="0"/>
          <w:numId w:val="5"/>
        </w:numPr>
        <w:jc w:val="both"/>
        <w:rPr>
          <w:bCs/>
        </w:rPr>
      </w:pPr>
      <w:r w:rsidRPr="004065AE">
        <w:rPr>
          <w:bCs/>
          <w:u w:val="single"/>
        </w:rPr>
        <w:t>General Directorate of School Infrastructure</w:t>
      </w:r>
      <w:r w:rsidR="003C2AFF">
        <w:rPr>
          <w:bCs/>
          <w:u w:val="single"/>
        </w:rPr>
        <w:t xml:space="preserve"> - </w:t>
      </w:r>
      <w:r w:rsidR="00E62E03">
        <w:rPr>
          <w:bCs/>
          <w:u w:val="single"/>
        </w:rPr>
        <w:t>GDSI</w:t>
      </w:r>
      <w:r w:rsidRPr="004065AE">
        <w:rPr>
          <w:bCs/>
          <w:u w:val="single"/>
        </w:rPr>
        <w:t xml:space="preserve"> (</w:t>
      </w:r>
      <w:r w:rsidRPr="004065AE">
        <w:rPr>
          <w:bCs/>
          <w:i/>
          <w:u w:val="single"/>
        </w:rPr>
        <w:t>Dirección General de Infraestructura</w:t>
      </w:r>
      <w:r w:rsidR="00A07F51">
        <w:rPr>
          <w:bCs/>
          <w:i/>
          <w:u w:val="single"/>
        </w:rPr>
        <w:t>s</w:t>
      </w:r>
      <w:r w:rsidRPr="004065AE">
        <w:rPr>
          <w:bCs/>
          <w:i/>
          <w:u w:val="single"/>
        </w:rPr>
        <w:t xml:space="preserve"> Escolar</w:t>
      </w:r>
      <w:r w:rsidRPr="004065AE">
        <w:rPr>
          <w:bCs/>
          <w:u w:val="single"/>
        </w:rPr>
        <w:t>)</w:t>
      </w:r>
      <w:r w:rsidRPr="004065AE">
        <w:rPr>
          <w:bCs/>
        </w:rPr>
        <w:t xml:space="preserve">.  </w:t>
      </w:r>
      <w:r w:rsidR="00040AF9" w:rsidRPr="00040AF9">
        <w:rPr>
          <w:bCs/>
        </w:rPr>
        <w:t xml:space="preserve">It is in charge of the implementation of the infrastructure plan of the MINED, and </w:t>
      </w:r>
      <w:r w:rsidR="00636C8C">
        <w:rPr>
          <w:bCs/>
        </w:rPr>
        <w:t>would</w:t>
      </w:r>
      <w:r w:rsidR="00040AF9" w:rsidRPr="00040AF9">
        <w:rPr>
          <w:bCs/>
        </w:rPr>
        <w:t xml:space="preserve"> be in </w:t>
      </w:r>
      <w:r w:rsidR="00AC4E59">
        <w:rPr>
          <w:bCs/>
        </w:rPr>
        <w:t>charge of the activities under s</w:t>
      </w:r>
      <w:r w:rsidR="00040AF9" w:rsidRPr="00040AF9">
        <w:rPr>
          <w:bCs/>
        </w:rPr>
        <w:t>ub-</w:t>
      </w:r>
      <w:r w:rsidR="00AC4E59">
        <w:rPr>
          <w:bCs/>
        </w:rPr>
        <w:t>c</w:t>
      </w:r>
      <w:r w:rsidR="00040AF9" w:rsidRPr="00040AF9">
        <w:rPr>
          <w:bCs/>
        </w:rPr>
        <w:t>omponent</w:t>
      </w:r>
      <w:r w:rsidR="003C2AFF">
        <w:rPr>
          <w:bCs/>
        </w:rPr>
        <w:t>s 1.1</w:t>
      </w:r>
      <w:r w:rsidR="00211CBC">
        <w:rPr>
          <w:bCs/>
        </w:rPr>
        <w:t xml:space="preserve"> and 2.1</w:t>
      </w:r>
      <w:r w:rsidR="00040AF9" w:rsidRPr="00040AF9">
        <w:rPr>
          <w:bCs/>
        </w:rPr>
        <w:t>, including pre-investment studies</w:t>
      </w:r>
      <w:r w:rsidR="00211CBC">
        <w:rPr>
          <w:bCs/>
        </w:rPr>
        <w:t xml:space="preserve"> and supervision of infrastructure contracting and contract execution</w:t>
      </w:r>
      <w:r w:rsidR="00CE29AD">
        <w:rPr>
          <w:bCs/>
        </w:rPr>
        <w:t>.</w:t>
      </w:r>
      <w:r w:rsidR="003C2AFF">
        <w:rPr>
          <w:bCs/>
        </w:rPr>
        <w:t xml:space="preserve">  The </w:t>
      </w:r>
      <w:r w:rsidR="00E62E03">
        <w:rPr>
          <w:bCs/>
        </w:rPr>
        <w:t>GDSI</w:t>
      </w:r>
      <w:r w:rsidR="003C2AFF">
        <w:rPr>
          <w:bCs/>
        </w:rPr>
        <w:t xml:space="preserve"> </w:t>
      </w:r>
      <w:r w:rsidR="00636C8C">
        <w:rPr>
          <w:bCs/>
        </w:rPr>
        <w:t>would</w:t>
      </w:r>
      <w:r w:rsidR="003C2AFF">
        <w:rPr>
          <w:bCs/>
        </w:rPr>
        <w:t xml:space="preserve"> </w:t>
      </w:r>
      <w:r w:rsidR="008F7762">
        <w:rPr>
          <w:bCs/>
        </w:rPr>
        <w:t xml:space="preserve">ensure that MINED fully complies with Environment Management Framework and the Resettlement Policy Framework prepared for the Project.  </w:t>
      </w:r>
      <w:r w:rsidR="003C2AFF">
        <w:rPr>
          <w:bCs/>
        </w:rPr>
        <w:t xml:space="preserve">  </w:t>
      </w:r>
      <w:r w:rsidR="00040AF9" w:rsidRPr="00040AF9">
        <w:rPr>
          <w:bCs/>
        </w:rPr>
        <w:t xml:space="preserve"> </w:t>
      </w:r>
    </w:p>
    <w:p w:rsidR="00EC792E" w:rsidRPr="00040AF9" w:rsidRDefault="00EC792E" w:rsidP="00EC792E">
      <w:pPr>
        <w:ind w:left="1080"/>
        <w:jc w:val="both"/>
        <w:rPr>
          <w:bCs/>
        </w:rPr>
      </w:pPr>
    </w:p>
    <w:p w:rsidR="00EC792E" w:rsidRDefault="00040AF9" w:rsidP="005E2993">
      <w:pPr>
        <w:numPr>
          <w:ilvl w:val="0"/>
          <w:numId w:val="5"/>
        </w:numPr>
        <w:jc w:val="both"/>
        <w:rPr>
          <w:bCs/>
        </w:rPr>
      </w:pPr>
      <w:r w:rsidRPr="00EC792E">
        <w:rPr>
          <w:bCs/>
          <w:u w:val="single"/>
        </w:rPr>
        <w:t xml:space="preserve">Coordination Office with the </w:t>
      </w:r>
      <w:r w:rsidR="00AA4318" w:rsidRPr="00EC792E">
        <w:rPr>
          <w:bCs/>
          <w:u w:val="single"/>
        </w:rPr>
        <w:t>two</w:t>
      </w:r>
      <w:r w:rsidRPr="00EC792E">
        <w:rPr>
          <w:bCs/>
          <w:u w:val="single"/>
        </w:rPr>
        <w:t xml:space="preserve"> Atlantic Autonomous Region Educational Systems (</w:t>
      </w:r>
      <w:r w:rsidRPr="00EC792E">
        <w:rPr>
          <w:bCs/>
          <w:i/>
          <w:u w:val="single"/>
        </w:rPr>
        <w:t>Oficina de Enlace con el Sistema Educativo de las Regiones Autonomas-SEAR</w:t>
      </w:r>
      <w:r w:rsidRPr="00EC792E">
        <w:rPr>
          <w:bCs/>
          <w:u w:val="single"/>
        </w:rPr>
        <w:t>)</w:t>
      </w:r>
      <w:r w:rsidRPr="00040AF9">
        <w:rPr>
          <w:bCs/>
        </w:rPr>
        <w:t xml:space="preserve">.  It is in charge of coordinating MINED’s basic education programs with the two Atlantic Autonomous Region Education Systems (SEAR), established by the 2006 Education Law.  The SEAR are still in their nascent stages in both RAAS and RAAN, but play a critical role in improving educational participation among indigenous groups in these regions.   The Coordination Office </w:t>
      </w:r>
      <w:r w:rsidR="00636C8C">
        <w:rPr>
          <w:bCs/>
        </w:rPr>
        <w:t>would</w:t>
      </w:r>
      <w:r w:rsidRPr="00040AF9">
        <w:rPr>
          <w:bCs/>
        </w:rPr>
        <w:t xml:space="preserve"> oversee all </w:t>
      </w:r>
      <w:r w:rsidR="002677F2">
        <w:rPr>
          <w:bCs/>
        </w:rPr>
        <w:t>Project</w:t>
      </w:r>
      <w:r w:rsidRPr="00040AF9">
        <w:rPr>
          <w:bCs/>
        </w:rPr>
        <w:t xml:space="preserve"> activities carried out in the autonomous regions, </w:t>
      </w:r>
      <w:r w:rsidR="007526AD">
        <w:rPr>
          <w:bCs/>
        </w:rPr>
        <w:t xml:space="preserve">support the linguistic and cultural adaptation of the secondary level textbooks, </w:t>
      </w:r>
      <w:r w:rsidRPr="00040AF9">
        <w:rPr>
          <w:bCs/>
        </w:rPr>
        <w:t>and ensure implementation of the Indigenous Peoples Plan and other social safeguards.</w:t>
      </w:r>
    </w:p>
    <w:p w:rsidR="00040AF9" w:rsidRPr="00040AF9" w:rsidRDefault="00040AF9" w:rsidP="00EC792E">
      <w:pPr>
        <w:jc w:val="both"/>
        <w:rPr>
          <w:bCs/>
        </w:rPr>
      </w:pPr>
      <w:r w:rsidRPr="00040AF9">
        <w:rPr>
          <w:bCs/>
        </w:rPr>
        <w:t xml:space="preserve">  </w:t>
      </w:r>
    </w:p>
    <w:p w:rsidR="00040AF9" w:rsidRDefault="00040AF9" w:rsidP="005E2993">
      <w:pPr>
        <w:numPr>
          <w:ilvl w:val="0"/>
          <w:numId w:val="5"/>
        </w:numPr>
        <w:jc w:val="both"/>
        <w:rPr>
          <w:bCs/>
        </w:rPr>
      </w:pPr>
      <w:r w:rsidRPr="00EC792E">
        <w:rPr>
          <w:bCs/>
          <w:u w:val="single"/>
        </w:rPr>
        <w:lastRenderedPageBreak/>
        <w:t>Departmental</w:t>
      </w:r>
      <w:r w:rsidR="00AA4318" w:rsidRPr="00EC792E">
        <w:rPr>
          <w:bCs/>
          <w:u w:val="single"/>
        </w:rPr>
        <w:t xml:space="preserve"> and</w:t>
      </w:r>
      <w:r w:rsidR="00EF0961" w:rsidRPr="00EC792E">
        <w:rPr>
          <w:bCs/>
          <w:u w:val="single"/>
        </w:rPr>
        <w:t xml:space="preserve"> m</w:t>
      </w:r>
      <w:r w:rsidRPr="00EC792E">
        <w:rPr>
          <w:bCs/>
          <w:u w:val="single"/>
        </w:rPr>
        <w:t>unicipal delegations of the MINED</w:t>
      </w:r>
      <w:r w:rsidR="00EC792E">
        <w:rPr>
          <w:bCs/>
          <w:u w:val="single"/>
        </w:rPr>
        <w:t xml:space="preserve"> (</w:t>
      </w:r>
      <w:r w:rsidR="00EC792E">
        <w:rPr>
          <w:bCs/>
          <w:i/>
          <w:u w:val="single"/>
        </w:rPr>
        <w:t>Delegaciones Departamentales y Municipales)</w:t>
      </w:r>
      <w:r w:rsidRPr="00040AF9">
        <w:rPr>
          <w:bCs/>
        </w:rPr>
        <w:t xml:space="preserve">. They are in charge of implementing the </w:t>
      </w:r>
      <w:r w:rsidR="009469DE">
        <w:rPr>
          <w:bCs/>
        </w:rPr>
        <w:t>ESS</w:t>
      </w:r>
      <w:r w:rsidRPr="00040AF9">
        <w:rPr>
          <w:bCs/>
        </w:rPr>
        <w:t xml:space="preserve">, MINED policies and the </w:t>
      </w:r>
      <w:r w:rsidR="002677F2">
        <w:rPr>
          <w:bCs/>
        </w:rPr>
        <w:t>Project</w:t>
      </w:r>
      <w:r w:rsidRPr="00040AF9">
        <w:rPr>
          <w:bCs/>
        </w:rPr>
        <w:t xml:space="preserve"> within their r</w:t>
      </w:r>
      <w:r w:rsidR="007526AD">
        <w:rPr>
          <w:bCs/>
        </w:rPr>
        <w:t>esp</w:t>
      </w:r>
      <w:r w:rsidRPr="00040AF9">
        <w:rPr>
          <w:bCs/>
        </w:rPr>
        <w:t xml:space="preserve">ective geographic territories, in coordination with central MINED </w:t>
      </w:r>
      <w:r w:rsidR="00EF0961">
        <w:rPr>
          <w:bCs/>
        </w:rPr>
        <w:t>directorate</w:t>
      </w:r>
      <w:r w:rsidRPr="00040AF9">
        <w:rPr>
          <w:bCs/>
        </w:rPr>
        <w:t xml:space="preserve">s.  They </w:t>
      </w:r>
      <w:r w:rsidR="00636C8C">
        <w:rPr>
          <w:bCs/>
        </w:rPr>
        <w:t>would</w:t>
      </w:r>
      <w:r w:rsidRPr="00040AF9">
        <w:rPr>
          <w:bCs/>
        </w:rPr>
        <w:t xml:space="preserve"> play an important role to ensure distribution of education inputs financed by the </w:t>
      </w:r>
      <w:r w:rsidR="002677F2">
        <w:rPr>
          <w:bCs/>
        </w:rPr>
        <w:t>Project</w:t>
      </w:r>
      <w:r w:rsidRPr="00040AF9">
        <w:rPr>
          <w:bCs/>
        </w:rPr>
        <w:t xml:space="preserve"> (textbooks, school furniture, teacher training,</w:t>
      </w:r>
      <w:r w:rsidR="00211CBC">
        <w:rPr>
          <w:bCs/>
        </w:rPr>
        <w:t xml:space="preserve"> etc.</w:t>
      </w:r>
      <w:r w:rsidRPr="00040AF9">
        <w:rPr>
          <w:bCs/>
        </w:rPr>
        <w:t xml:space="preserve">), and to provide critical </w:t>
      </w:r>
      <w:r w:rsidR="002677F2">
        <w:rPr>
          <w:bCs/>
        </w:rPr>
        <w:t>Project</w:t>
      </w:r>
      <w:r w:rsidRPr="00040AF9">
        <w:rPr>
          <w:bCs/>
        </w:rPr>
        <w:t xml:space="preserve"> M&amp;E information. </w:t>
      </w:r>
    </w:p>
    <w:p w:rsidR="00353777" w:rsidRDefault="00353777" w:rsidP="0040253F">
      <w:pPr>
        <w:jc w:val="both"/>
        <w:rPr>
          <w:bCs/>
        </w:rPr>
      </w:pPr>
    </w:p>
    <w:p w:rsidR="00353777" w:rsidRDefault="00353777" w:rsidP="005E2993">
      <w:pPr>
        <w:numPr>
          <w:ilvl w:val="0"/>
          <w:numId w:val="5"/>
        </w:numPr>
        <w:jc w:val="both"/>
        <w:rPr>
          <w:bCs/>
        </w:rPr>
      </w:pPr>
      <w:r w:rsidRPr="00E62E03">
        <w:rPr>
          <w:bCs/>
          <w:u w:val="single"/>
        </w:rPr>
        <w:t>Teacher Training Institutes</w:t>
      </w:r>
      <w:r w:rsidR="00E62E03">
        <w:rPr>
          <w:bCs/>
          <w:u w:val="single"/>
        </w:rPr>
        <w:t xml:space="preserve"> -TTI</w:t>
      </w:r>
      <w:r w:rsidR="00F946F5">
        <w:rPr>
          <w:bCs/>
          <w:u w:val="single"/>
        </w:rPr>
        <w:t>s</w:t>
      </w:r>
      <w:r w:rsidRPr="00E62E03">
        <w:rPr>
          <w:bCs/>
          <w:u w:val="single"/>
        </w:rPr>
        <w:t xml:space="preserve"> (</w:t>
      </w:r>
      <w:r w:rsidRPr="00E62E03">
        <w:rPr>
          <w:bCs/>
          <w:i/>
          <w:u w:val="single"/>
        </w:rPr>
        <w:t>Escuelas Normales</w:t>
      </w:r>
      <w:r w:rsidRPr="00E62E03">
        <w:rPr>
          <w:bCs/>
          <w:u w:val="single"/>
        </w:rPr>
        <w:t>)</w:t>
      </w:r>
      <w:r>
        <w:rPr>
          <w:bCs/>
        </w:rPr>
        <w:t xml:space="preserve">.   TTIs </w:t>
      </w:r>
      <w:r w:rsidR="00636C8C">
        <w:rPr>
          <w:bCs/>
        </w:rPr>
        <w:t>would</w:t>
      </w:r>
      <w:r>
        <w:rPr>
          <w:bCs/>
        </w:rPr>
        <w:t xml:space="preserve"> play a lead role in offering both teacher certification and teacher upgrading programs.  Top-tier TTI staff </w:t>
      </w:r>
      <w:r w:rsidR="00636C8C">
        <w:rPr>
          <w:bCs/>
        </w:rPr>
        <w:t>would</w:t>
      </w:r>
      <w:r>
        <w:rPr>
          <w:bCs/>
        </w:rPr>
        <w:t xml:space="preserve"> provide “training of trainers” programs to other TTI staff, pedagogical advisors, and itinerant trainers, while TTI staff with specific training and/or experience at </w:t>
      </w:r>
      <w:r w:rsidR="00F75747">
        <w:rPr>
          <w:bCs/>
        </w:rPr>
        <w:t>preschool</w:t>
      </w:r>
      <w:r>
        <w:rPr>
          <w:bCs/>
        </w:rPr>
        <w:t xml:space="preserve"> and lower secondary levels </w:t>
      </w:r>
      <w:r w:rsidR="00636C8C">
        <w:rPr>
          <w:bCs/>
        </w:rPr>
        <w:t>would</w:t>
      </w:r>
      <w:r>
        <w:rPr>
          <w:bCs/>
        </w:rPr>
        <w:t xml:space="preserve"> be hired a</w:t>
      </w:r>
      <w:r w:rsidR="00476C15">
        <w:rPr>
          <w:bCs/>
        </w:rPr>
        <w:t>s regular trainers.</w:t>
      </w:r>
    </w:p>
    <w:p w:rsidR="00211CBC" w:rsidRDefault="00211CBC" w:rsidP="00211CBC">
      <w:pPr>
        <w:jc w:val="both"/>
        <w:rPr>
          <w:bCs/>
        </w:rPr>
      </w:pPr>
    </w:p>
    <w:p w:rsidR="00B03F3E" w:rsidRDefault="00B03F3E" w:rsidP="00B03F3E">
      <w:pPr>
        <w:pBdr>
          <w:top w:val="single" w:sz="4" w:space="1" w:color="auto"/>
          <w:left w:val="single" w:sz="4" w:space="4" w:color="auto"/>
          <w:bottom w:val="single" w:sz="4" w:space="1" w:color="auto"/>
          <w:right w:val="single" w:sz="4" w:space="4" w:color="auto"/>
        </w:pBdr>
        <w:jc w:val="center"/>
        <w:rPr>
          <w:b/>
        </w:rPr>
      </w:pPr>
      <w:r w:rsidRPr="0093212F">
        <w:rPr>
          <w:b/>
        </w:rPr>
        <w:t>Teacher Training Institutes (</w:t>
      </w:r>
      <w:r w:rsidRPr="0040253F">
        <w:rPr>
          <w:b/>
          <w:i/>
        </w:rPr>
        <w:t>Escuelas Normales</w:t>
      </w:r>
      <w:r w:rsidRPr="0093212F">
        <w:rPr>
          <w:b/>
        </w:rPr>
        <w:t>) in Nicaragua</w:t>
      </w:r>
    </w:p>
    <w:p w:rsidR="00B03F3E" w:rsidRDefault="00B03F3E" w:rsidP="00B03F3E">
      <w:pPr>
        <w:pBdr>
          <w:top w:val="single" w:sz="4" w:space="1" w:color="auto"/>
          <w:left w:val="single" w:sz="4" w:space="4" w:color="auto"/>
          <w:bottom w:val="single" w:sz="4" w:space="1" w:color="auto"/>
          <w:right w:val="single" w:sz="4" w:space="4" w:color="auto"/>
        </w:pBdr>
        <w:rPr>
          <w:b/>
        </w:rPr>
      </w:pPr>
    </w:p>
    <w:p w:rsidR="00B03F3E" w:rsidRDefault="00B03F3E" w:rsidP="0040253F">
      <w:pPr>
        <w:pBdr>
          <w:top w:val="single" w:sz="4" w:space="1" w:color="auto"/>
          <w:left w:val="single" w:sz="4" w:space="4" w:color="auto"/>
          <w:bottom w:val="single" w:sz="4" w:space="1" w:color="auto"/>
          <w:right w:val="single" w:sz="4" w:space="4" w:color="auto"/>
        </w:pBdr>
        <w:jc w:val="both"/>
      </w:pPr>
      <w:r>
        <w:t xml:space="preserve">Teacher Training Institutes (TTIs) </w:t>
      </w:r>
      <w:r w:rsidR="00636C8C">
        <w:t>would</w:t>
      </w:r>
      <w:r>
        <w:t xml:space="preserve"> play a critical role in achieving the PDO of the </w:t>
      </w:r>
      <w:r w:rsidR="000C16FA">
        <w:t>Project</w:t>
      </w:r>
      <w:r>
        <w:t xml:space="preserve">, particularly with respect to improving quality of </w:t>
      </w:r>
      <w:r w:rsidR="00F75747">
        <w:t>preschool</w:t>
      </w:r>
      <w:r>
        <w:t xml:space="preserve"> and lower secondary education.   TTIs </w:t>
      </w:r>
      <w:r w:rsidR="00636C8C">
        <w:t>would</w:t>
      </w:r>
      <w:r>
        <w:t xml:space="preserve"> offer the teacher certification program for </w:t>
      </w:r>
      <w:r w:rsidR="00F75747">
        <w:t>preschool</w:t>
      </w:r>
      <w:r>
        <w:t xml:space="preserve"> teachers, and TTI professors </w:t>
      </w:r>
      <w:r w:rsidR="00636C8C">
        <w:t>would</w:t>
      </w:r>
      <w:r>
        <w:t xml:space="preserve"> be “Trainers of</w:t>
      </w:r>
      <w:r w:rsidR="00476C15">
        <w:t xml:space="preserve"> Trainers</w:t>
      </w:r>
      <w:r w:rsidR="00EE2ABC">
        <w:t>,”</w:t>
      </w:r>
      <w:r w:rsidR="00476C15">
        <w:t xml:space="preserve"> as well as trainers</w:t>
      </w:r>
      <w:r>
        <w:t xml:space="preserve"> for upgrading of teachers’ skills and knowledge at both levels.  Thirdly, TTI professors </w:t>
      </w:r>
      <w:r w:rsidR="00636C8C">
        <w:t>would</w:t>
      </w:r>
      <w:r>
        <w:t xml:space="preserve"> provide pedagogical support to school-level training activities, such as TEPCEs and classroom observation activities.  For this reason, </w:t>
      </w:r>
      <w:r w:rsidR="001279DB">
        <w:t>Project</w:t>
      </w:r>
      <w:r>
        <w:t xml:space="preserve"> preparation focused on current and required future capacity of the T</w:t>
      </w:r>
      <w:r w:rsidR="00476C15">
        <w:t>TIs, including field visits to six of the eight</w:t>
      </w:r>
      <w:r>
        <w:t xml:space="preserve"> TTIs, for inspections of facilities and interviews with TTI teaching and administrative staff.</w:t>
      </w:r>
    </w:p>
    <w:p w:rsidR="00B03F3E" w:rsidRDefault="00B03F3E" w:rsidP="0040253F">
      <w:pPr>
        <w:pBdr>
          <w:top w:val="single" w:sz="4" w:space="1" w:color="auto"/>
          <w:left w:val="single" w:sz="4" w:space="4" w:color="auto"/>
          <w:bottom w:val="single" w:sz="4" w:space="1" w:color="auto"/>
          <w:right w:val="single" w:sz="4" w:space="4" w:color="auto"/>
        </w:pBdr>
        <w:jc w:val="both"/>
      </w:pPr>
    </w:p>
    <w:p w:rsidR="00B03F3E" w:rsidRDefault="00B03F3E" w:rsidP="0040253F">
      <w:pPr>
        <w:pBdr>
          <w:top w:val="single" w:sz="4" w:space="1" w:color="auto"/>
          <w:left w:val="single" w:sz="4" w:space="4" w:color="auto"/>
          <w:bottom w:val="single" w:sz="4" w:space="1" w:color="auto"/>
          <w:right w:val="single" w:sz="4" w:space="4" w:color="auto"/>
        </w:pBdr>
        <w:jc w:val="both"/>
      </w:pPr>
      <w:r>
        <w:t>MINED carried out its own assessment of TTI trainers, captured in the report, “</w:t>
      </w:r>
      <w:r w:rsidR="004065AE" w:rsidRPr="007266F6">
        <w:rPr>
          <w:i/>
        </w:rPr>
        <w:t xml:space="preserve">Caracterización </w:t>
      </w:r>
      <w:proofErr w:type="gramStart"/>
      <w:r w:rsidR="004065AE" w:rsidRPr="007266F6">
        <w:rPr>
          <w:i/>
        </w:rPr>
        <w:t>del</w:t>
      </w:r>
      <w:proofErr w:type="gramEnd"/>
      <w:r w:rsidR="004065AE" w:rsidRPr="007266F6">
        <w:rPr>
          <w:i/>
        </w:rPr>
        <w:t xml:space="preserve"> Formador de Formadores de las Escuelas Normales del 2011</w:t>
      </w:r>
      <w:r>
        <w:t>”</w:t>
      </w:r>
      <w:r w:rsidR="007266F6">
        <w:t xml:space="preserve"> (</w:t>
      </w:r>
      <w:r w:rsidR="00DD70FE">
        <w:t xml:space="preserve">Trainer </w:t>
      </w:r>
      <w:r w:rsidR="007266F6">
        <w:t xml:space="preserve">Characteristics in the </w:t>
      </w:r>
      <w:r w:rsidR="00205302">
        <w:t>TTI</w:t>
      </w:r>
      <w:r w:rsidR="007266F6">
        <w:t>s in 2011)</w:t>
      </w:r>
      <w:r>
        <w:t>.  TTIs currently offer regular pre-service teacher training programs to 1</w:t>
      </w:r>
      <w:r w:rsidR="002B289C">
        <w:t>,</w:t>
      </w:r>
      <w:r>
        <w:t>200 students, with an additional 4</w:t>
      </w:r>
      <w:r w:rsidR="002B289C">
        <w:t>,</w:t>
      </w:r>
      <w:r>
        <w:t>100 in-service teachers enrolled in part-time</w:t>
      </w:r>
      <w:r w:rsidR="00476C15">
        <w:t xml:space="preserve"> certification programs.   The eight</w:t>
      </w:r>
      <w:r>
        <w:t xml:space="preserve"> TTIs have 177 teaching staff (75</w:t>
      </w:r>
      <w:r w:rsidR="006D3ABC">
        <w:t xml:space="preserve"> percent</w:t>
      </w:r>
      <w:r>
        <w:t xml:space="preserve"> w</w:t>
      </w:r>
      <w:r w:rsidR="00476C15">
        <w:t>ith the appropriate u</w:t>
      </w:r>
      <w:r>
        <w:t xml:space="preserve">niversity-level degree), 89 classrooms, boarding and kitchen facilities, basic libraries and computer labs (dating from 1998).  On average, each TTI has 22 full-time teaching staff and 3 full-time administrative staff, the vast majority of </w:t>
      </w:r>
      <w:proofErr w:type="gramStart"/>
      <w:r>
        <w:t>whom</w:t>
      </w:r>
      <w:proofErr w:type="gramEnd"/>
      <w:r>
        <w:t xml:space="preserve"> taught many years at both primary and secondary levels before moving to the TTIs.</w:t>
      </w:r>
    </w:p>
    <w:p w:rsidR="00B03F3E" w:rsidRDefault="00B03F3E" w:rsidP="0040253F">
      <w:pPr>
        <w:pBdr>
          <w:top w:val="single" w:sz="4" w:space="1" w:color="auto"/>
          <w:left w:val="single" w:sz="4" w:space="4" w:color="auto"/>
          <w:bottom w:val="single" w:sz="4" w:space="1" w:color="auto"/>
          <w:right w:val="single" w:sz="4" w:space="4" w:color="auto"/>
        </w:pBdr>
        <w:jc w:val="both"/>
      </w:pPr>
    </w:p>
    <w:p w:rsidR="00B03F3E" w:rsidRDefault="00B03F3E" w:rsidP="0040253F">
      <w:pPr>
        <w:pBdr>
          <w:top w:val="single" w:sz="4" w:space="1" w:color="auto"/>
          <w:left w:val="single" w:sz="4" w:space="4" w:color="auto"/>
          <w:bottom w:val="single" w:sz="4" w:space="1" w:color="auto"/>
          <w:right w:val="single" w:sz="4" w:space="4" w:color="auto"/>
        </w:pBdr>
        <w:jc w:val="both"/>
      </w:pPr>
      <w:r>
        <w:t xml:space="preserve">In terms of </w:t>
      </w:r>
      <w:r w:rsidRPr="00F073CF">
        <w:rPr>
          <w:b/>
        </w:rPr>
        <w:t>strengths</w:t>
      </w:r>
      <w:r>
        <w:t>, both the Bank team and the MINED study referenced above observed minimally acceptable infrastructure and facilities, low dropout rates, continuing education by many TTI trainers, and considerable unused capacity for in-service teacher upgrading.  With r</w:t>
      </w:r>
      <w:r w:rsidR="00705BE2">
        <w:t>esp</w:t>
      </w:r>
      <w:r>
        <w:t xml:space="preserve">ect to </w:t>
      </w:r>
      <w:r w:rsidRPr="00811B87">
        <w:rPr>
          <w:b/>
        </w:rPr>
        <w:t>weaknesses</w:t>
      </w:r>
      <w:r>
        <w:t xml:space="preserve">, there is inadequate attention to educational diversity (multi-grade learning, </w:t>
      </w:r>
      <w:r w:rsidR="00F75747">
        <w:t>preschool</w:t>
      </w:r>
      <w:r>
        <w:t xml:space="preserve"> education, special needs education, etc.), insufficient academic content in the basic courses (mathematics, social studies, natural sciences, Spanish, etc.) relative to what a teacher should know, lack of educational research or innovation, limited awareness of new findings in cognitive development, and outdated learning materials.  In fact, most of the TTIs do not even have copies of the textbooks used in public schools.  Lastly, TTI budgets do not include any financing for basic operation and maintenance</w:t>
      </w:r>
      <w:r w:rsidR="00AC4E59">
        <w:t xml:space="preserve"> </w:t>
      </w:r>
      <w:r>
        <w:t>of school infrastructure, or for the provision of learning materials and other teaching supplies.</w:t>
      </w:r>
    </w:p>
    <w:p w:rsidR="00B03F3E" w:rsidRDefault="00B03F3E" w:rsidP="0040253F">
      <w:pPr>
        <w:pBdr>
          <w:top w:val="single" w:sz="4" w:space="1" w:color="auto"/>
          <w:left w:val="single" w:sz="4" w:space="4" w:color="auto"/>
          <w:bottom w:val="single" w:sz="4" w:space="1" w:color="auto"/>
          <w:right w:val="single" w:sz="4" w:space="4" w:color="auto"/>
        </w:pBdr>
        <w:jc w:val="both"/>
      </w:pPr>
    </w:p>
    <w:p w:rsidR="00B03F3E" w:rsidRDefault="00B03F3E" w:rsidP="0040253F">
      <w:pPr>
        <w:pBdr>
          <w:top w:val="single" w:sz="4" w:space="1" w:color="auto"/>
          <w:left w:val="single" w:sz="4" w:space="4" w:color="auto"/>
          <w:bottom w:val="single" w:sz="4" w:space="1" w:color="auto"/>
          <w:right w:val="single" w:sz="4" w:space="4" w:color="auto"/>
        </w:pBdr>
        <w:tabs>
          <w:tab w:val="left" w:pos="4860"/>
        </w:tabs>
        <w:jc w:val="both"/>
      </w:pPr>
      <w:r>
        <w:t xml:space="preserve">Based on this assessment, the </w:t>
      </w:r>
      <w:r w:rsidR="000C16FA">
        <w:t>Project</w:t>
      </w:r>
      <w:r w:rsidR="001279DB">
        <w:t xml:space="preserve"> </w:t>
      </w:r>
      <w:r>
        <w:t>proposes a series of measure</w:t>
      </w:r>
      <w:r w:rsidR="002B289C">
        <w:t>s to strengthen TTI capacity: (i</w:t>
      </w:r>
      <w:r>
        <w:t>) addit</w:t>
      </w:r>
      <w:r w:rsidR="002B289C">
        <w:t>ional training of trainers</w:t>
      </w:r>
      <w:r>
        <w:t xml:space="preserve"> programs for TTI t</w:t>
      </w:r>
      <w:r w:rsidR="00AC4E59">
        <w:t>eaching staff by u</w:t>
      </w:r>
      <w:r>
        <w:t>niversity-level instructors; (</w:t>
      </w:r>
      <w:r w:rsidR="002B289C">
        <w:t>ii</w:t>
      </w:r>
      <w:r>
        <w:t xml:space="preserve">) provision of </w:t>
      </w:r>
      <w:r w:rsidR="00F75747">
        <w:t>preschool</w:t>
      </w:r>
      <w:r>
        <w:t xml:space="preserve"> learning materials and secondary</w:t>
      </w:r>
      <w:r w:rsidR="002B289C">
        <w:t xml:space="preserve"> level textbooks to all TTIs; (iii</w:t>
      </w:r>
      <w:r>
        <w:t>) minor</w:t>
      </w:r>
      <w:r w:rsidR="002B289C">
        <w:t xml:space="preserve"> repairs and renovations; and (iv</w:t>
      </w:r>
      <w:r>
        <w:t xml:space="preserve">) financing of transportation and other expenses for TTI staff to participate in off-site training activities and school-level pedagogical support.  In addition, policy dialogue is underway to introduce recurrent budget line items for </w:t>
      </w:r>
      <w:r w:rsidR="00AC4E59">
        <w:t>operation and maintenance</w:t>
      </w:r>
      <w:r>
        <w:t xml:space="preserve"> and learning materials for all TTIs.</w:t>
      </w:r>
    </w:p>
    <w:p w:rsidR="00B03F3E" w:rsidRDefault="00B03F3E" w:rsidP="008063AF">
      <w:pPr>
        <w:jc w:val="both"/>
      </w:pPr>
    </w:p>
    <w:p w:rsidR="002737AB" w:rsidRDefault="00040AF9" w:rsidP="005E2993">
      <w:pPr>
        <w:numPr>
          <w:ilvl w:val="3"/>
          <w:numId w:val="1"/>
        </w:numPr>
        <w:ind w:left="0" w:firstLine="0"/>
        <w:jc w:val="both"/>
        <w:rPr>
          <w:bCs/>
        </w:rPr>
      </w:pPr>
      <w:r w:rsidRPr="00040AF9">
        <w:rPr>
          <w:bCs/>
        </w:rPr>
        <w:t xml:space="preserve">In addition to overall </w:t>
      </w:r>
      <w:r w:rsidR="002677F2">
        <w:rPr>
          <w:bCs/>
        </w:rPr>
        <w:t>Project</w:t>
      </w:r>
      <w:r w:rsidRPr="00040AF9">
        <w:rPr>
          <w:bCs/>
        </w:rPr>
        <w:t xml:space="preserve"> coordination, the PC</w:t>
      </w:r>
      <w:r w:rsidR="00A324C9">
        <w:rPr>
          <w:bCs/>
        </w:rPr>
        <w:t xml:space="preserve"> would have a critical capacity </w:t>
      </w:r>
      <w:r w:rsidRPr="00040AF9">
        <w:rPr>
          <w:bCs/>
        </w:rPr>
        <w:t xml:space="preserve">building and training role within MINED to ensure that each of the various </w:t>
      </w:r>
      <w:r w:rsidR="00EF0961">
        <w:rPr>
          <w:bCs/>
        </w:rPr>
        <w:t>directorate</w:t>
      </w:r>
      <w:r w:rsidRPr="00040AF9">
        <w:rPr>
          <w:bCs/>
        </w:rPr>
        <w:t xml:space="preserve">s deliver key inputs such as </w:t>
      </w:r>
      <w:r w:rsidR="00AC4E59">
        <w:rPr>
          <w:bCs/>
        </w:rPr>
        <w:t xml:space="preserve">Terms of Reference </w:t>
      </w:r>
      <w:r w:rsidRPr="00040AF9">
        <w:rPr>
          <w:bCs/>
        </w:rPr>
        <w:t xml:space="preserve">, technical specifications, bid documents, monitoring reports, data, etc. on a timely basis and in correct formats.  The PC </w:t>
      </w:r>
      <w:r w:rsidR="00636C8C">
        <w:rPr>
          <w:bCs/>
        </w:rPr>
        <w:t>would</w:t>
      </w:r>
      <w:r w:rsidRPr="00040AF9">
        <w:rPr>
          <w:bCs/>
        </w:rPr>
        <w:t xml:space="preserve"> be the primary point of contact wit</w:t>
      </w:r>
      <w:r w:rsidR="004F477F">
        <w:rPr>
          <w:bCs/>
        </w:rPr>
        <w:t xml:space="preserve">h the </w:t>
      </w:r>
      <w:r w:rsidR="00ED6468">
        <w:rPr>
          <w:bCs/>
        </w:rPr>
        <w:t>Bank</w:t>
      </w:r>
      <w:r w:rsidRPr="00040AF9">
        <w:rPr>
          <w:bCs/>
        </w:rPr>
        <w:t xml:space="preserve"> supervision staff and </w:t>
      </w:r>
      <w:r w:rsidR="00636C8C">
        <w:rPr>
          <w:bCs/>
        </w:rPr>
        <w:t>would</w:t>
      </w:r>
      <w:r w:rsidRPr="00040AF9">
        <w:rPr>
          <w:bCs/>
        </w:rPr>
        <w:t xml:space="preserve"> ensure effective interaction between the financial management and procurement teams in the MINED. </w:t>
      </w:r>
      <w:r w:rsidR="00AA4318">
        <w:rPr>
          <w:bCs/>
        </w:rPr>
        <w:t xml:space="preserve"> </w:t>
      </w:r>
      <w:r w:rsidRPr="00040AF9">
        <w:rPr>
          <w:bCs/>
        </w:rPr>
        <w:t xml:space="preserve">Based on the Results Framework and Annual </w:t>
      </w:r>
      <w:r w:rsidR="002677F2">
        <w:rPr>
          <w:bCs/>
        </w:rPr>
        <w:t>Project</w:t>
      </w:r>
      <w:r w:rsidRPr="00040AF9">
        <w:rPr>
          <w:bCs/>
        </w:rPr>
        <w:t xml:space="preserve"> Implementation Plans</w:t>
      </w:r>
      <w:r w:rsidR="00FD59A1">
        <w:rPr>
          <w:rStyle w:val="FootnoteReference"/>
          <w:bCs/>
        </w:rPr>
        <w:footnoteReference w:id="22"/>
      </w:r>
      <w:r w:rsidRPr="00040AF9">
        <w:rPr>
          <w:bCs/>
        </w:rPr>
        <w:t xml:space="preserve"> (PIPs), the PC </w:t>
      </w:r>
      <w:r w:rsidR="00636C8C">
        <w:rPr>
          <w:bCs/>
        </w:rPr>
        <w:t>would</w:t>
      </w:r>
      <w:r w:rsidRPr="00040AF9">
        <w:rPr>
          <w:bCs/>
        </w:rPr>
        <w:t xml:space="preserve"> establish and maintain a physical and financial implementation monitoring system. </w:t>
      </w:r>
      <w:r w:rsidR="00AA4318">
        <w:rPr>
          <w:bCs/>
        </w:rPr>
        <w:t xml:space="preserve"> </w:t>
      </w:r>
      <w:r w:rsidRPr="00040AF9">
        <w:rPr>
          <w:bCs/>
        </w:rPr>
        <w:t xml:space="preserve">The PC </w:t>
      </w:r>
      <w:r w:rsidR="00636C8C">
        <w:rPr>
          <w:bCs/>
        </w:rPr>
        <w:t>would</w:t>
      </w:r>
      <w:r w:rsidRPr="00040AF9">
        <w:rPr>
          <w:bCs/>
        </w:rPr>
        <w:t xml:space="preserve"> be identified according to a professional profile specified in terms of reference acceptable to the </w:t>
      </w:r>
      <w:r w:rsidR="00ED6468">
        <w:rPr>
          <w:bCs/>
        </w:rPr>
        <w:t>Bank</w:t>
      </w:r>
      <w:r w:rsidRPr="00040AF9">
        <w:rPr>
          <w:bCs/>
        </w:rPr>
        <w:t>.</w:t>
      </w:r>
    </w:p>
    <w:p w:rsidR="002737AB" w:rsidRDefault="002737AB" w:rsidP="002737AB">
      <w:pPr>
        <w:ind w:left="450"/>
        <w:jc w:val="both"/>
        <w:rPr>
          <w:bCs/>
        </w:rPr>
      </w:pPr>
    </w:p>
    <w:p w:rsidR="00040AF9" w:rsidRDefault="0057351B" w:rsidP="005E2993">
      <w:pPr>
        <w:numPr>
          <w:ilvl w:val="3"/>
          <w:numId w:val="1"/>
        </w:numPr>
        <w:ind w:left="0" w:firstLine="0"/>
        <w:jc w:val="both"/>
        <w:rPr>
          <w:bCs/>
        </w:rPr>
      </w:pPr>
      <w:r>
        <w:rPr>
          <w:bCs/>
        </w:rPr>
        <w:t xml:space="preserve">MINED’s fiduciary staff and technical assistants (financed under </w:t>
      </w:r>
      <w:r w:rsidR="0058604A">
        <w:rPr>
          <w:bCs/>
        </w:rPr>
        <w:t xml:space="preserve">both </w:t>
      </w:r>
      <w:r>
        <w:rPr>
          <w:bCs/>
        </w:rPr>
        <w:t>PASEN II</w:t>
      </w:r>
      <w:r w:rsidR="0058604A">
        <w:rPr>
          <w:bCs/>
        </w:rPr>
        <w:t xml:space="preserve"> and </w:t>
      </w:r>
      <w:r w:rsidR="000C16FA">
        <w:rPr>
          <w:bCs/>
        </w:rPr>
        <w:t>the Project</w:t>
      </w:r>
      <w:r>
        <w:rPr>
          <w:bCs/>
        </w:rPr>
        <w:t xml:space="preserve">) </w:t>
      </w:r>
      <w:r w:rsidR="00636C8C">
        <w:rPr>
          <w:bCs/>
        </w:rPr>
        <w:t>would</w:t>
      </w:r>
      <w:r w:rsidR="00040AF9" w:rsidRPr="002737AB">
        <w:rPr>
          <w:bCs/>
        </w:rPr>
        <w:t xml:space="preserve"> exercise critical quality control functions in reviewing financial and procurement documentation before it is sent to the </w:t>
      </w:r>
      <w:r w:rsidR="00ED6468">
        <w:rPr>
          <w:bCs/>
        </w:rPr>
        <w:t>Bank</w:t>
      </w:r>
      <w:r w:rsidR="00040AF9" w:rsidRPr="002737AB">
        <w:rPr>
          <w:bCs/>
        </w:rPr>
        <w:t xml:space="preserve"> for no objection or review. </w:t>
      </w:r>
      <w:r w:rsidR="002737AB">
        <w:rPr>
          <w:bCs/>
        </w:rPr>
        <w:t xml:space="preserve">MINED </w:t>
      </w:r>
      <w:r w:rsidR="00636C8C">
        <w:rPr>
          <w:bCs/>
        </w:rPr>
        <w:t>would</w:t>
      </w:r>
      <w:r w:rsidR="002737AB">
        <w:rPr>
          <w:bCs/>
        </w:rPr>
        <w:t xml:space="preserve"> review on a regular basis (at least once year) the performance of these staff and </w:t>
      </w:r>
      <w:r w:rsidR="00636C8C">
        <w:rPr>
          <w:bCs/>
        </w:rPr>
        <w:t>would</w:t>
      </w:r>
      <w:r w:rsidR="002737AB">
        <w:rPr>
          <w:bCs/>
        </w:rPr>
        <w:t xml:space="preserve"> decide in consultation with the </w:t>
      </w:r>
      <w:r w:rsidR="00ED6468">
        <w:rPr>
          <w:bCs/>
        </w:rPr>
        <w:t>Bank</w:t>
      </w:r>
      <w:r w:rsidR="002737AB">
        <w:rPr>
          <w:bCs/>
        </w:rPr>
        <w:t xml:space="preserve"> if their position</w:t>
      </w:r>
      <w:r>
        <w:rPr>
          <w:bCs/>
        </w:rPr>
        <w:t>s</w:t>
      </w:r>
      <w:r w:rsidR="002737AB">
        <w:rPr>
          <w:bCs/>
        </w:rPr>
        <w:t xml:space="preserve"> </w:t>
      </w:r>
      <w:r w:rsidR="00636C8C">
        <w:rPr>
          <w:bCs/>
        </w:rPr>
        <w:t>would</w:t>
      </w:r>
      <w:r w:rsidR="002737AB">
        <w:rPr>
          <w:bCs/>
        </w:rPr>
        <w:t xml:space="preserve"> be maintained during the </w:t>
      </w:r>
      <w:r w:rsidR="00B81847" w:rsidRPr="002737AB">
        <w:rPr>
          <w:bCs/>
        </w:rPr>
        <w:t>lifetime of the Project.</w:t>
      </w:r>
    </w:p>
    <w:p w:rsidR="007C0C91" w:rsidRDefault="007C0C91" w:rsidP="007C0C91">
      <w:pPr>
        <w:pStyle w:val="ListParagraph"/>
        <w:rPr>
          <w:bCs/>
        </w:rPr>
      </w:pPr>
    </w:p>
    <w:p w:rsidR="00040AF9" w:rsidRPr="007C0C91" w:rsidRDefault="00040AF9" w:rsidP="007C0C91">
      <w:pPr>
        <w:jc w:val="both"/>
        <w:rPr>
          <w:b/>
          <w:bCs/>
        </w:rPr>
      </w:pPr>
      <w:r w:rsidRPr="007C0C91">
        <w:rPr>
          <w:b/>
          <w:bCs/>
        </w:rPr>
        <w:t>Financial Management and Disbursements</w:t>
      </w:r>
    </w:p>
    <w:p w:rsidR="00040AF9" w:rsidRPr="00040AF9" w:rsidRDefault="00040AF9" w:rsidP="00040AF9">
      <w:pPr>
        <w:jc w:val="both"/>
        <w:rPr>
          <w:bCs/>
        </w:rPr>
      </w:pPr>
    </w:p>
    <w:p w:rsidR="00580264" w:rsidRDefault="00580264" w:rsidP="005E2993">
      <w:pPr>
        <w:numPr>
          <w:ilvl w:val="3"/>
          <w:numId w:val="1"/>
        </w:numPr>
        <w:ind w:left="0" w:firstLine="0"/>
        <w:jc w:val="both"/>
      </w:pPr>
      <w:r>
        <w:t xml:space="preserve">A financial management (FM) assessment was carried out </w:t>
      </w:r>
      <w:r w:rsidRPr="001B717F">
        <w:t xml:space="preserve">to evaluate adequacy of financial management </w:t>
      </w:r>
      <w:r w:rsidRPr="00580264">
        <w:rPr>
          <w:bCs/>
        </w:rPr>
        <w:t>arrangements</w:t>
      </w:r>
      <w:r w:rsidRPr="001B717F">
        <w:t xml:space="preserve"> under </w:t>
      </w:r>
      <w:r w:rsidR="000C16FA">
        <w:t xml:space="preserve">the </w:t>
      </w:r>
      <w:r>
        <w:t>Project.  T</w:t>
      </w:r>
      <w:r w:rsidRPr="001B717F">
        <w:t xml:space="preserve">his assessment has been performed in accordance with OP/BP 10.02 and the Financial Management Manual for </w:t>
      </w:r>
      <w:r w:rsidR="00ED6468">
        <w:t>Bank</w:t>
      </w:r>
      <w:r w:rsidRPr="001B717F">
        <w:t>-Financed Investment Operations effective on March 1, 2010</w:t>
      </w:r>
      <w:r>
        <w:t xml:space="preserve">. </w:t>
      </w:r>
    </w:p>
    <w:p w:rsidR="00580264" w:rsidRDefault="00580264" w:rsidP="00580264">
      <w:pPr>
        <w:pStyle w:val="ListParagraph"/>
        <w:ind w:left="450"/>
        <w:jc w:val="both"/>
      </w:pPr>
    </w:p>
    <w:p w:rsidR="00580264" w:rsidRDefault="00580264" w:rsidP="005E2993">
      <w:pPr>
        <w:numPr>
          <w:ilvl w:val="3"/>
          <w:numId w:val="1"/>
        </w:numPr>
        <w:ind w:left="0" w:firstLine="0"/>
        <w:jc w:val="both"/>
      </w:pPr>
      <w:r>
        <w:t xml:space="preserve">The Project </w:t>
      </w:r>
      <w:r w:rsidR="00636C8C">
        <w:t>would</w:t>
      </w:r>
      <w:r>
        <w:t xml:space="preserve"> be implemented by </w:t>
      </w:r>
      <w:r w:rsidRPr="00492278">
        <w:t>MINED</w:t>
      </w:r>
      <w:r>
        <w:t xml:space="preserve"> that </w:t>
      </w:r>
      <w:r w:rsidR="00636C8C">
        <w:t>would</w:t>
      </w:r>
      <w:r w:rsidRPr="00492278">
        <w:t xml:space="preserve"> be responsible for implementing the </w:t>
      </w:r>
      <w:r w:rsidR="000C16FA">
        <w:t>Project</w:t>
      </w:r>
      <w:r>
        <w:t xml:space="preserve"> </w:t>
      </w:r>
      <w:r w:rsidRPr="00580264">
        <w:rPr>
          <w:bCs/>
        </w:rPr>
        <w:t>through</w:t>
      </w:r>
      <w:r w:rsidRPr="00492278">
        <w:t xml:space="preserve"> its existing organizationa</w:t>
      </w:r>
      <w:r w:rsidR="00BA0A6F">
        <w:t>l structure and line general directorates</w:t>
      </w:r>
      <w:r w:rsidRPr="00492278">
        <w:t>, rather than through separate Project implementation mechanisms at central or regional levels.</w:t>
      </w:r>
    </w:p>
    <w:p w:rsidR="00580264" w:rsidRDefault="00580264" w:rsidP="00580264">
      <w:pPr>
        <w:pStyle w:val="ListParagraph"/>
        <w:jc w:val="both"/>
      </w:pPr>
    </w:p>
    <w:p w:rsidR="00580264" w:rsidRPr="00A80A92" w:rsidRDefault="00911C25" w:rsidP="005E2993">
      <w:pPr>
        <w:numPr>
          <w:ilvl w:val="3"/>
          <w:numId w:val="1"/>
        </w:numPr>
        <w:ind w:left="0" w:firstLine="0"/>
        <w:jc w:val="both"/>
      </w:pPr>
      <w:r>
        <w:rPr>
          <w:bCs/>
        </w:rPr>
        <w:t>The Project</w:t>
      </w:r>
      <w:r w:rsidR="00580264">
        <w:rPr>
          <w:bCs/>
        </w:rPr>
        <w:t xml:space="preserve"> is financed by D</w:t>
      </w:r>
      <w:r w:rsidR="00580264" w:rsidRPr="009C521A">
        <w:rPr>
          <w:bCs/>
        </w:rPr>
        <w:t>onor Trust Fund</w:t>
      </w:r>
      <w:r w:rsidR="00580264">
        <w:rPr>
          <w:bCs/>
        </w:rPr>
        <w:t>s for an estimated total of</w:t>
      </w:r>
      <w:r w:rsidR="00580264" w:rsidRPr="009C521A">
        <w:rPr>
          <w:bCs/>
        </w:rPr>
        <w:t xml:space="preserve"> </w:t>
      </w:r>
      <w:r w:rsidR="00580264">
        <w:rPr>
          <w:bCs/>
        </w:rPr>
        <w:t>US$</w:t>
      </w:r>
      <w:r w:rsidR="00580264" w:rsidRPr="009C521A">
        <w:rPr>
          <w:bCs/>
        </w:rPr>
        <w:t>5</w:t>
      </w:r>
      <w:r w:rsidR="008E24DD">
        <w:rPr>
          <w:bCs/>
        </w:rPr>
        <w:t>1</w:t>
      </w:r>
      <w:r w:rsidR="00580264" w:rsidRPr="009C521A">
        <w:rPr>
          <w:bCs/>
        </w:rPr>
        <w:t>.</w:t>
      </w:r>
      <w:r w:rsidR="008E24DD">
        <w:rPr>
          <w:bCs/>
        </w:rPr>
        <w:t>9</w:t>
      </w:r>
      <w:r w:rsidR="00580264" w:rsidRPr="009C521A">
        <w:rPr>
          <w:bCs/>
        </w:rPr>
        <w:t xml:space="preserve"> million and would be managed by</w:t>
      </w:r>
      <w:r w:rsidR="00580264">
        <w:rPr>
          <w:bCs/>
        </w:rPr>
        <w:t xml:space="preserve"> the same operative structure under</w:t>
      </w:r>
      <w:r w:rsidR="00580264" w:rsidRPr="009C521A">
        <w:rPr>
          <w:bCs/>
        </w:rPr>
        <w:t xml:space="preserve"> PASEN I (P078990) closed in June 2011, and PASEN II (P126357) recently approved by Bank. </w:t>
      </w:r>
      <w:r w:rsidR="00580264">
        <w:rPr>
          <w:bCs/>
        </w:rPr>
        <w:t xml:space="preserve"> </w:t>
      </w:r>
      <w:r w:rsidR="00580264" w:rsidRPr="009C521A">
        <w:rPr>
          <w:bCs/>
        </w:rPr>
        <w:t xml:space="preserve">In general, FM arrangements </w:t>
      </w:r>
      <w:r w:rsidR="00636C8C">
        <w:rPr>
          <w:bCs/>
        </w:rPr>
        <w:t>would</w:t>
      </w:r>
      <w:r w:rsidR="00580264" w:rsidRPr="009C521A">
        <w:rPr>
          <w:bCs/>
        </w:rPr>
        <w:t xml:space="preserve"> be similar to PASEN I and PASEN II and the operative structure from PASEN I </w:t>
      </w:r>
      <w:r w:rsidR="00580264">
        <w:rPr>
          <w:bCs/>
        </w:rPr>
        <w:t xml:space="preserve">and II </w:t>
      </w:r>
      <w:r w:rsidR="00636C8C">
        <w:rPr>
          <w:bCs/>
        </w:rPr>
        <w:t>would</w:t>
      </w:r>
      <w:r w:rsidR="00580264" w:rsidRPr="009C521A">
        <w:rPr>
          <w:bCs/>
        </w:rPr>
        <w:t xml:space="preserve"> </w:t>
      </w:r>
      <w:r w:rsidR="00580264" w:rsidRPr="009C521A">
        <w:rPr>
          <w:bCs/>
        </w:rPr>
        <w:lastRenderedPageBreak/>
        <w:t xml:space="preserve">support </w:t>
      </w:r>
      <w:r w:rsidR="001279DB">
        <w:rPr>
          <w:bCs/>
        </w:rPr>
        <w:t>Project</w:t>
      </w:r>
      <w:r w:rsidR="00580264" w:rsidRPr="009C521A">
        <w:rPr>
          <w:bCs/>
        </w:rPr>
        <w:t xml:space="preserve"> implementation.  Even though there </w:t>
      </w:r>
      <w:r w:rsidR="00636C8C">
        <w:rPr>
          <w:bCs/>
        </w:rPr>
        <w:t>would</w:t>
      </w:r>
      <w:r w:rsidR="00580264" w:rsidRPr="009C521A">
        <w:rPr>
          <w:bCs/>
        </w:rPr>
        <w:t xml:space="preserve"> be </w:t>
      </w:r>
      <w:r w:rsidR="00580264">
        <w:rPr>
          <w:bCs/>
        </w:rPr>
        <w:t xml:space="preserve">certain activities executed at departmental </w:t>
      </w:r>
      <w:r w:rsidR="00580264" w:rsidRPr="009C521A">
        <w:rPr>
          <w:bCs/>
        </w:rPr>
        <w:t xml:space="preserve">level, </w:t>
      </w:r>
      <w:r w:rsidR="00580264" w:rsidRPr="00037F47">
        <w:rPr>
          <w:bCs/>
        </w:rPr>
        <w:t xml:space="preserve">all the Project funds </w:t>
      </w:r>
      <w:r w:rsidR="00636C8C">
        <w:rPr>
          <w:bCs/>
        </w:rPr>
        <w:t>would</w:t>
      </w:r>
      <w:r w:rsidR="00580264" w:rsidRPr="00037F47">
        <w:rPr>
          <w:bCs/>
        </w:rPr>
        <w:t xml:space="preserve"> be centrally controlled by MINED</w:t>
      </w:r>
      <w:r w:rsidR="00580264" w:rsidRPr="009C521A">
        <w:rPr>
          <w:bCs/>
        </w:rPr>
        <w:t xml:space="preserve">.  </w:t>
      </w:r>
    </w:p>
    <w:p w:rsidR="00580264" w:rsidRDefault="00580264" w:rsidP="00580264">
      <w:pPr>
        <w:pStyle w:val="ListParagraph"/>
        <w:ind w:left="450"/>
        <w:jc w:val="both"/>
      </w:pPr>
      <w:r w:rsidRPr="009C521A">
        <w:rPr>
          <w:bCs/>
        </w:rPr>
        <w:t xml:space="preserve">  </w:t>
      </w:r>
    </w:p>
    <w:p w:rsidR="00580264" w:rsidRPr="00A80A92" w:rsidRDefault="00580264" w:rsidP="005E2993">
      <w:pPr>
        <w:numPr>
          <w:ilvl w:val="3"/>
          <w:numId w:val="1"/>
        </w:numPr>
        <w:ind w:left="0" w:firstLine="0"/>
        <w:jc w:val="both"/>
        <w:rPr>
          <w:bCs/>
          <w:u w:val="single"/>
        </w:rPr>
      </w:pPr>
      <w:r>
        <w:t>Overall FM risk is assessed as “Substantial</w:t>
      </w:r>
      <w:r w:rsidR="00EE2ABC">
        <w:t>.”</w:t>
      </w:r>
      <w:r>
        <w:t xml:space="preserve">  The FM arrangements, which include a series of additional measures, respond to the identified risks and include a suitable supervision strategy.  Based on this FM assessment, recommendations and complementary actions have been identified to ensure that the Project is implemented within a sound fiduciary environment in </w:t>
      </w:r>
      <w:r w:rsidRPr="001B717F">
        <w:t>compliance</w:t>
      </w:r>
      <w:r>
        <w:t xml:space="preserve"> with </w:t>
      </w:r>
      <w:r w:rsidR="00ED6468">
        <w:t>Bank</w:t>
      </w:r>
      <w:r>
        <w:t xml:space="preserve"> requirements.  MINED’s </w:t>
      </w:r>
      <w:r w:rsidR="008063AF">
        <w:t>AFGD</w:t>
      </w:r>
      <w:r>
        <w:t xml:space="preserve"> would be responsible for the </w:t>
      </w:r>
      <w:r w:rsidR="00476C15">
        <w:t>FM</w:t>
      </w:r>
      <w:r>
        <w:t xml:space="preserve"> </w:t>
      </w:r>
      <w:r w:rsidRPr="00580264">
        <w:rPr>
          <w:bCs/>
        </w:rPr>
        <w:t>arrangements</w:t>
      </w:r>
      <w:r w:rsidR="000C16FA">
        <w:t xml:space="preserve"> of the </w:t>
      </w:r>
      <w:r>
        <w:t xml:space="preserve">Project including the funds execution at Regional level.  The AFGD has experience managing </w:t>
      </w:r>
      <w:r w:rsidR="00ED6468">
        <w:t>Bank</w:t>
      </w:r>
      <w:r>
        <w:t xml:space="preserve"> funds with the recently implemented PASEN I Project, (</w:t>
      </w:r>
      <w:r w:rsidRPr="001B717F">
        <w:t>P078990)</w:t>
      </w:r>
      <w:r>
        <w:t xml:space="preserve">, </w:t>
      </w:r>
      <w:proofErr w:type="gramStart"/>
      <w:r>
        <w:t>(</w:t>
      </w:r>
      <w:proofErr w:type="gramEnd"/>
      <w:r>
        <w:t xml:space="preserve">Credit No. IDA-NI-3978).  The last FM Rating was “Moderately </w:t>
      </w:r>
      <w:proofErr w:type="gramStart"/>
      <w:r>
        <w:t>Satisfactory</w:t>
      </w:r>
      <w:proofErr w:type="gramEnd"/>
      <w:r w:rsidR="00EE2ABC">
        <w:t>,”</w:t>
      </w:r>
      <w:r>
        <w:t xml:space="preserve"> following an a</w:t>
      </w:r>
      <w:r w:rsidR="00042C94">
        <w:t>ction plan agreed with MINED, which is being implemented</w:t>
      </w:r>
      <w:r>
        <w:t>.  The adequacy of FM arrangements would be continuously monitored during Project supervision, and adjustments made when necessary to ensure fiduciary compliance.</w:t>
      </w:r>
    </w:p>
    <w:p w:rsidR="00580264" w:rsidRPr="00A80A92" w:rsidRDefault="00580264" w:rsidP="00580264">
      <w:pPr>
        <w:pStyle w:val="ListParagraph"/>
        <w:ind w:left="450"/>
        <w:jc w:val="both"/>
        <w:rPr>
          <w:bCs/>
          <w:u w:val="single"/>
        </w:rPr>
      </w:pPr>
    </w:p>
    <w:p w:rsidR="00106DA5" w:rsidRPr="001F4987" w:rsidRDefault="00580264" w:rsidP="005E2993">
      <w:pPr>
        <w:numPr>
          <w:ilvl w:val="3"/>
          <w:numId w:val="1"/>
        </w:numPr>
        <w:ind w:left="0" w:firstLine="0"/>
        <w:jc w:val="both"/>
      </w:pPr>
      <w:r w:rsidRPr="001F4987">
        <w:rPr>
          <w:bCs/>
          <w:u w:val="single"/>
        </w:rPr>
        <w:t>Staffing</w:t>
      </w:r>
      <w:r w:rsidRPr="001F4987">
        <w:rPr>
          <w:bCs/>
        </w:rPr>
        <w:t xml:space="preserve">. </w:t>
      </w:r>
      <w:r w:rsidR="00D51EAB">
        <w:rPr>
          <w:bCs/>
        </w:rPr>
        <w:t>AFGD</w:t>
      </w:r>
      <w:r w:rsidR="00106DA5" w:rsidRPr="001F4987">
        <w:rPr>
          <w:bCs/>
        </w:rPr>
        <w:t xml:space="preserve"> staff </w:t>
      </w:r>
      <w:r w:rsidR="00636C8C">
        <w:rPr>
          <w:bCs/>
        </w:rPr>
        <w:t>would</w:t>
      </w:r>
      <w:r w:rsidR="00106DA5" w:rsidRPr="001F4987">
        <w:rPr>
          <w:bCs/>
        </w:rPr>
        <w:t xml:space="preserve"> be strengthened under </w:t>
      </w:r>
      <w:r w:rsidR="000C16FA">
        <w:rPr>
          <w:bCs/>
        </w:rPr>
        <w:t>the Project</w:t>
      </w:r>
      <w:r w:rsidR="00106DA5" w:rsidRPr="001F4987">
        <w:rPr>
          <w:bCs/>
        </w:rPr>
        <w:t xml:space="preserve"> with </w:t>
      </w:r>
      <w:r w:rsidR="008063AF">
        <w:rPr>
          <w:bCs/>
        </w:rPr>
        <w:t>nine</w:t>
      </w:r>
      <w:r w:rsidR="00476C15">
        <w:rPr>
          <w:bCs/>
        </w:rPr>
        <w:t xml:space="preserve"> a</w:t>
      </w:r>
      <w:r w:rsidR="00FF2DAE">
        <w:rPr>
          <w:bCs/>
        </w:rPr>
        <w:t>dditional FM staff</w:t>
      </w:r>
      <w:r w:rsidR="008063AF">
        <w:rPr>
          <w:bCs/>
        </w:rPr>
        <w:t>: (i) six controllers</w:t>
      </w:r>
      <w:r w:rsidR="00106DA5">
        <w:rPr>
          <w:bCs/>
        </w:rPr>
        <w:t xml:space="preserve"> </w:t>
      </w:r>
      <w:r w:rsidR="00106DA5" w:rsidRPr="001F4987">
        <w:rPr>
          <w:bCs/>
        </w:rPr>
        <w:t xml:space="preserve">who </w:t>
      </w:r>
      <w:r w:rsidR="00636C8C">
        <w:rPr>
          <w:bCs/>
        </w:rPr>
        <w:t>would</w:t>
      </w:r>
      <w:r w:rsidR="00106DA5" w:rsidRPr="001F4987">
        <w:rPr>
          <w:bCs/>
        </w:rPr>
        <w:t xml:space="preserve"> work </w:t>
      </w:r>
      <w:r w:rsidR="00106DA5">
        <w:rPr>
          <w:bCs/>
        </w:rPr>
        <w:t xml:space="preserve">closely with the Education </w:t>
      </w:r>
      <w:r w:rsidR="00106DA5" w:rsidRPr="001F4987">
        <w:rPr>
          <w:bCs/>
        </w:rPr>
        <w:t>Departmental Delegations</w:t>
      </w:r>
      <w:r w:rsidR="008063AF">
        <w:rPr>
          <w:bCs/>
        </w:rPr>
        <w:t xml:space="preserve"> </w:t>
      </w:r>
      <w:r w:rsidR="008063AF" w:rsidRPr="008063AF">
        <w:rPr>
          <w:bCs/>
        </w:rPr>
        <w:t>as part of the internal control system of the funds transfers and review of the transfer expenditures support documentation (</w:t>
      </w:r>
      <w:r w:rsidR="008063AF" w:rsidRPr="008063AF">
        <w:rPr>
          <w:bCs/>
          <w:i/>
        </w:rPr>
        <w:t>rendición de cuentas</w:t>
      </w:r>
      <w:r w:rsidR="008063AF">
        <w:rPr>
          <w:bCs/>
        </w:rPr>
        <w:t xml:space="preserve">); </w:t>
      </w:r>
      <w:r w:rsidR="00E57C20" w:rsidRPr="0000765D">
        <w:rPr>
          <w:bCs/>
        </w:rPr>
        <w:t>and (ii) two Accountants</w:t>
      </w:r>
      <w:r w:rsidR="00106DA5" w:rsidRPr="0000765D">
        <w:rPr>
          <w:bCs/>
        </w:rPr>
        <w:t xml:space="preserve"> </w:t>
      </w:r>
      <w:r w:rsidR="00E57C20" w:rsidRPr="0000765D">
        <w:rPr>
          <w:bCs/>
        </w:rPr>
        <w:t xml:space="preserve">and one Senior Financial Specialist </w:t>
      </w:r>
      <w:r w:rsidR="00106DA5" w:rsidRPr="0000765D">
        <w:rPr>
          <w:bCs/>
        </w:rPr>
        <w:t>to reinforce the Central Office</w:t>
      </w:r>
      <w:r w:rsidR="00106DA5">
        <w:rPr>
          <w:bCs/>
        </w:rPr>
        <w:t xml:space="preserve"> of AFGD </w:t>
      </w:r>
      <w:r w:rsidR="00106DA5" w:rsidRPr="001F4987">
        <w:rPr>
          <w:bCs/>
        </w:rPr>
        <w:t xml:space="preserve">MINED with the appropriate skills, experience and knowledge to perform the FM functions.  </w:t>
      </w:r>
    </w:p>
    <w:p w:rsidR="00106DA5" w:rsidRPr="001F4987" w:rsidRDefault="00106DA5" w:rsidP="00106DA5">
      <w:pPr>
        <w:pStyle w:val="ListParagraph"/>
        <w:jc w:val="both"/>
        <w:rPr>
          <w:bCs/>
          <w:u w:val="single"/>
        </w:rPr>
      </w:pPr>
    </w:p>
    <w:p w:rsidR="00580264" w:rsidRPr="001F4987" w:rsidRDefault="00106DA5" w:rsidP="005E2993">
      <w:pPr>
        <w:numPr>
          <w:ilvl w:val="3"/>
          <w:numId w:val="1"/>
        </w:numPr>
        <w:ind w:left="0" w:firstLine="0"/>
        <w:jc w:val="both"/>
      </w:pPr>
      <w:r w:rsidRPr="001F4987">
        <w:rPr>
          <w:bCs/>
          <w:u w:val="single"/>
        </w:rPr>
        <w:t>Accounting System</w:t>
      </w:r>
      <w:r w:rsidRPr="001F4987">
        <w:rPr>
          <w:bCs/>
        </w:rPr>
        <w:t>. AF</w:t>
      </w:r>
      <w:r>
        <w:rPr>
          <w:bCs/>
        </w:rPr>
        <w:t>GD</w:t>
      </w:r>
      <w:r w:rsidRPr="001F4987">
        <w:rPr>
          <w:bCs/>
        </w:rPr>
        <w:t xml:space="preserve"> would use the Integrated Financial Management System (SIGFAPRO) </w:t>
      </w:r>
      <w:r w:rsidR="00FF2DAE">
        <w:rPr>
          <w:bCs/>
        </w:rPr>
        <w:t>or other financial system</w:t>
      </w:r>
      <w:r>
        <w:rPr>
          <w:bCs/>
        </w:rPr>
        <w:t xml:space="preserve"> revised and approved by the Bank </w:t>
      </w:r>
      <w:r w:rsidR="00476C15">
        <w:rPr>
          <w:bCs/>
        </w:rPr>
        <w:t>and would prepare</w:t>
      </w:r>
      <w:r w:rsidRPr="001F4987">
        <w:rPr>
          <w:bCs/>
        </w:rPr>
        <w:t xml:space="preserve"> financial reports on the cash-based method of accounting.</w:t>
      </w:r>
      <w:r>
        <w:rPr>
          <w:bCs/>
        </w:rPr>
        <w:t xml:space="preserve">  The records </w:t>
      </w:r>
      <w:r w:rsidR="00636C8C">
        <w:rPr>
          <w:bCs/>
        </w:rPr>
        <w:t>would</w:t>
      </w:r>
      <w:r>
        <w:rPr>
          <w:bCs/>
        </w:rPr>
        <w:t xml:space="preserve"> be centralized</w:t>
      </w:r>
      <w:r w:rsidR="00476C15">
        <w:rPr>
          <w:bCs/>
        </w:rPr>
        <w:t>.</w:t>
      </w:r>
      <w:r>
        <w:rPr>
          <w:bCs/>
        </w:rPr>
        <w:t xml:space="preserve"> </w:t>
      </w:r>
    </w:p>
    <w:p w:rsidR="00580264" w:rsidRPr="001F4987" w:rsidRDefault="00580264" w:rsidP="00580264">
      <w:pPr>
        <w:pStyle w:val="ListParagraph"/>
        <w:jc w:val="both"/>
        <w:rPr>
          <w:bCs/>
          <w:u w:val="single"/>
        </w:rPr>
      </w:pPr>
    </w:p>
    <w:p w:rsidR="00580264" w:rsidRPr="001F4987" w:rsidRDefault="00580264" w:rsidP="005E2993">
      <w:pPr>
        <w:numPr>
          <w:ilvl w:val="3"/>
          <w:numId w:val="1"/>
        </w:numPr>
        <w:ind w:left="0" w:firstLine="0"/>
        <w:jc w:val="both"/>
      </w:pPr>
      <w:r w:rsidRPr="001F4987">
        <w:rPr>
          <w:bCs/>
          <w:u w:val="single"/>
        </w:rPr>
        <w:t>Budget Planning</w:t>
      </w:r>
      <w:r w:rsidRPr="001F4987">
        <w:rPr>
          <w:bCs/>
        </w:rPr>
        <w:t>. Aggregate Project expenditures would be incorporated by MINED into its multi-annual budget and integrated into the annual budget formulation process.  Between August and September of each year, MINED would prepare its tentative investment program for the following year.  The program should be consistent with the budget policy provided by Ministry of Finance</w:t>
      </w:r>
      <w:r w:rsidR="00476C15">
        <w:rPr>
          <w:bCs/>
        </w:rPr>
        <w:t>,</w:t>
      </w:r>
      <w:r w:rsidRPr="001F4987">
        <w:rPr>
          <w:bCs/>
        </w:rPr>
        <w:t xml:space="preserve"> incorporated into the national</w:t>
      </w:r>
      <w:r w:rsidR="00476C15">
        <w:rPr>
          <w:bCs/>
        </w:rPr>
        <w:t xml:space="preserve"> public investment system</w:t>
      </w:r>
      <w:r w:rsidRPr="001F4987">
        <w:rPr>
          <w:bCs/>
        </w:rPr>
        <w:t>, and - once approved - reflected in MINED’s budget proposal.  This budget, in turn</w:t>
      </w:r>
      <w:r w:rsidR="00476C15">
        <w:rPr>
          <w:bCs/>
        </w:rPr>
        <w:t xml:space="preserve">, would be incorporated </w:t>
      </w:r>
      <w:r w:rsidRPr="001F4987">
        <w:rPr>
          <w:bCs/>
        </w:rPr>
        <w:t>into the General Budget for its submiss</w:t>
      </w:r>
      <w:r w:rsidR="00476C15">
        <w:rPr>
          <w:bCs/>
        </w:rPr>
        <w:t xml:space="preserve">ion to the National Assembly by </w:t>
      </w:r>
      <w:r w:rsidRPr="001F4987">
        <w:rPr>
          <w:bCs/>
        </w:rPr>
        <w:t>October</w:t>
      </w:r>
      <w:r w:rsidR="00476C15">
        <w:rPr>
          <w:bCs/>
        </w:rPr>
        <w:t xml:space="preserve"> of each year by the Ministry of Finance</w:t>
      </w:r>
      <w:r w:rsidRPr="001F4987">
        <w:rPr>
          <w:bCs/>
        </w:rPr>
        <w:t>.</w:t>
      </w:r>
    </w:p>
    <w:p w:rsidR="00580264" w:rsidRPr="001F4987" w:rsidRDefault="00580264" w:rsidP="00580264">
      <w:pPr>
        <w:pStyle w:val="ListParagraph"/>
        <w:jc w:val="both"/>
        <w:rPr>
          <w:bCs/>
          <w:u w:val="single"/>
        </w:rPr>
      </w:pPr>
    </w:p>
    <w:p w:rsidR="00580264" w:rsidRPr="001F4987" w:rsidRDefault="00580264" w:rsidP="005E2993">
      <w:pPr>
        <w:numPr>
          <w:ilvl w:val="3"/>
          <w:numId w:val="1"/>
        </w:numPr>
        <w:ind w:left="0" w:firstLine="0"/>
        <w:jc w:val="both"/>
      </w:pPr>
      <w:r w:rsidRPr="001F4987">
        <w:rPr>
          <w:bCs/>
          <w:u w:val="single"/>
        </w:rPr>
        <w:t>Project Financial Reporting</w:t>
      </w:r>
      <w:r w:rsidRPr="001F4987">
        <w:rPr>
          <w:bCs/>
        </w:rPr>
        <w:t>.  The AF</w:t>
      </w:r>
      <w:r>
        <w:rPr>
          <w:bCs/>
        </w:rPr>
        <w:t>GD</w:t>
      </w:r>
      <w:r w:rsidRPr="001F4987">
        <w:rPr>
          <w:bCs/>
        </w:rPr>
        <w:t xml:space="preserve"> would prepare financial information on a semiannual basis and submit it through the </w:t>
      </w:r>
      <w:r w:rsidR="00ED6468">
        <w:rPr>
          <w:bCs/>
        </w:rPr>
        <w:t>Bank</w:t>
      </w:r>
      <w:r w:rsidRPr="001F4987">
        <w:rPr>
          <w:bCs/>
        </w:rPr>
        <w:t xml:space="preserve"> Interim Financial Reports (IFRs) containing: (i) Statement of Sources and Uses of Funds (with expenditures classified by disbursement category) and Cash Balances; </w:t>
      </w:r>
      <w:r w:rsidR="00476C15">
        <w:rPr>
          <w:bCs/>
        </w:rPr>
        <w:t xml:space="preserve">and </w:t>
      </w:r>
      <w:r w:rsidRPr="001F4987">
        <w:rPr>
          <w:bCs/>
        </w:rPr>
        <w:t>(ii) Statement of Budget Execution (with expenditures classified by sub</w:t>
      </w:r>
      <w:r w:rsidR="00C25990">
        <w:rPr>
          <w:bCs/>
        </w:rPr>
        <w:t>-</w:t>
      </w:r>
      <w:r w:rsidRPr="001F4987">
        <w:rPr>
          <w:bCs/>
        </w:rPr>
        <w:t xml:space="preserve">component), along with the reconciliation of the segregated account with Project records and with the budgetary execution in SIGFA.  All documentation for </w:t>
      </w:r>
      <w:r w:rsidR="00AC4E59">
        <w:rPr>
          <w:bCs/>
        </w:rPr>
        <w:t>related to</w:t>
      </w:r>
      <w:r w:rsidRPr="001F4987">
        <w:rPr>
          <w:bCs/>
        </w:rPr>
        <w:t xml:space="preserve"> SOEs would be maintained for post review and audit purposes for up to three years after the closing date of the Project, or for 18 months after receipt by the </w:t>
      </w:r>
      <w:r w:rsidR="00ED6468">
        <w:rPr>
          <w:bCs/>
        </w:rPr>
        <w:t>Bank</w:t>
      </w:r>
      <w:r w:rsidRPr="001F4987">
        <w:rPr>
          <w:bCs/>
        </w:rPr>
        <w:t xml:space="preserve"> of an acceptable final financial audit, whichever is later.  The format of IFRs and other Financial</w:t>
      </w:r>
      <w:r w:rsidR="00AC4E59">
        <w:rPr>
          <w:bCs/>
        </w:rPr>
        <w:t xml:space="preserve"> Reports will</w:t>
      </w:r>
      <w:r w:rsidRPr="001F4987">
        <w:rPr>
          <w:bCs/>
        </w:rPr>
        <w:t xml:space="preserve"> be reviewed and approved before negotiations.</w:t>
      </w:r>
      <w:r>
        <w:rPr>
          <w:bCs/>
        </w:rPr>
        <w:t xml:space="preserve"> The SOEs </w:t>
      </w:r>
      <w:r w:rsidR="00636C8C">
        <w:rPr>
          <w:bCs/>
        </w:rPr>
        <w:t>would</w:t>
      </w:r>
      <w:r>
        <w:rPr>
          <w:bCs/>
        </w:rPr>
        <w:t xml:space="preserve"> include the actual expenditures at regional level and not the transfers.</w:t>
      </w:r>
    </w:p>
    <w:p w:rsidR="00580264" w:rsidRPr="001F4987" w:rsidRDefault="00580264" w:rsidP="005E2993">
      <w:pPr>
        <w:numPr>
          <w:ilvl w:val="3"/>
          <w:numId w:val="1"/>
        </w:numPr>
        <w:ind w:left="0" w:firstLine="0"/>
        <w:jc w:val="both"/>
      </w:pPr>
      <w:r w:rsidRPr="001F4987">
        <w:rPr>
          <w:bCs/>
        </w:rPr>
        <w:lastRenderedPageBreak/>
        <w:t xml:space="preserve">The IFRs would be submitted no later than 45 days after the end of each semester for the </w:t>
      </w:r>
      <w:r w:rsidR="00ED6468">
        <w:rPr>
          <w:bCs/>
        </w:rPr>
        <w:t>Bank</w:t>
      </w:r>
      <w:r w:rsidRPr="001F4987">
        <w:rPr>
          <w:bCs/>
        </w:rPr>
        <w:t>’s review.  This review would enhance FM supervision, enabling per</w:t>
      </w:r>
      <w:r w:rsidR="000C16FA">
        <w:rPr>
          <w:bCs/>
        </w:rPr>
        <w:t xml:space="preserve">iodic control over the </w:t>
      </w:r>
      <w:r w:rsidRPr="001F4987">
        <w:rPr>
          <w:bCs/>
        </w:rPr>
        <w:t>Project’s accounts, which would complement the planned supervisions, thus helping to mitigate fiduciary risk.</w:t>
      </w:r>
    </w:p>
    <w:p w:rsidR="00580264" w:rsidRPr="001F4987" w:rsidRDefault="00580264" w:rsidP="00580264">
      <w:pPr>
        <w:pStyle w:val="ListParagraph"/>
        <w:jc w:val="both"/>
        <w:rPr>
          <w:bCs/>
          <w:u w:val="single"/>
        </w:rPr>
      </w:pPr>
    </w:p>
    <w:p w:rsidR="00106DA5" w:rsidRPr="001F4987" w:rsidRDefault="00580264" w:rsidP="005E2993">
      <w:pPr>
        <w:numPr>
          <w:ilvl w:val="3"/>
          <w:numId w:val="1"/>
        </w:numPr>
        <w:ind w:left="0" w:firstLine="0"/>
        <w:jc w:val="both"/>
      </w:pPr>
      <w:r w:rsidRPr="001F4987">
        <w:rPr>
          <w:bCs/>
          <w:u w:val="single"/>
        </w:rPr>
        <w:t>Scope of the External Audit</w:t>
      </w:r>
      <w:r w:rsidRPr="001F4987">
        <w:rPr>
          <w:bCs/>
        </w:rPr>
        <w:t xml:space="preserve">.  </w:t>
      </w:r>
      <w:r w:rsidR="00106DA5" w:rsidRPr="001F4987">
        <w:rPr>
          <w:bCs/>
        </w:rPr>
        <w:t xml:space="preserve">An external, independent, private audit firm, acceptable to the </w:t>
      </w:r>
      <w:r w:rsidR="00ED6468">
        <w:rPr>
          <w:bCs/>
        </w:rPr>
        <w:t>Bank</w:t>
      </w:r>
      <w:r w:rsidR="00106DA5" w:rsidRPr="001F4987">
        <w:rPr>
          <w:bCs/>
        </w:rPr>
        <w:t xml:space="preserve">, would be contracted by MINED no later than four months after the </w:t>
      </w:r>
      <w:r w:rsidR="002241D0">
        <w:rPr>
          <w:bCs/>
        </w:rPr>
        <w:t>Grant</w:t>
      </w:r>
      <w:r w:rsidR="00106DA5" w:rsidRPr="001F4987">
        <w:rPr>
          <w:bCs/>
        </w:rPr>
        <w:t xml:space="preserve"> effectiveness to audit </w:t>
      </w:r>
      <w:r w:rsidR="000C16FA">
        <w:rPr>
          <w:bCs/>
        </w:rPr>
        <w:t>the Project</w:t>
      </w:r>
      <w:r w:rsidR="00106DA5">
        <w:rPr>
          <w:bCs/>
        </w:rPr>
        <w:t xml:space="preserve">.  The audit hiring process </w:t>
      </w:r>
      <w:r w:rsidR="00636C8C">
        <w:rPr>
          <w:bCs/>
        </w:rPr>
        <w:t>would</w:t>
      </w:r>
      <w:r w:rsidR="00106DA5">
        <w:rPr>
          <w:bCs/>
        </w:rPr>
        <w:t xml:space="preserve"> be part of the procurement plan reviewed and approved at negotiations</w:t>
      </w:r>
      <w:r w:rsidR="00E63655">
        <w:rPr>
          <w:bCs/>
        </w:rPr>
        <w:t>.</w:t>
      </w:r>
      <w:r w:rsidR="00106DA5" w:rsidRPr="001F4987">
        <w:rPr>
          <w:bCs/>
        </w:rPr>
        <w:t xml:space="preserve">  The audit firm </w:t>
      </w:r>
      <w:r w:rsidR="00636C8C">
        <w:rPr>
          <w:bCs/>
        </w:rPr>
        <w:t>would</w:t>
      </w:r>
      <w:r w:rsidR="00106DA5" w:rsidRPr="001F4987">
        <w:rPr>
          <w:bCs/>
        </w:rPr>
        <w:t xml:space="preserve"> review and provide opinion on the Annual Financial Statements, covering the fiscal year (which coincides with the calendar year).  The audited financial statements shall be presented to the </w:t>
      </w:r>
      <w:r w:rsidR="00ED6468">
        <w:rPr>
          <w:bCs/>
        </w:rPr>
        <w:t>Bank</w:t>
      </w:r>
      <w:r w:rsidR="00106DA5" w:rsidRPr="001F4987">
        <w:rPr>
          <w:bCs/>
        </w:rPr>
        <w:t xml:space="preserve"> no later than six months after the end of the fiscal period.  </w:t>
      </w:r>
      <w:r w:rsidR="00AC4E59">
        <w:rPr>
          <w:bCs/>
        </w:rPr>
        <w:t xml:space="preserve">Terms of Reference </w:t>
      </w:r>
      <w:r w:rsidR="00106DA5" w:rsidRPr="001F4987">
        <w:rPr>
          <w:bCs/>
        </w:rPr>
        <w:t>would be designed with a scope for specific review of the Designated Account (DA)</w:t>
      </w:r>
      <w:r w:rsidR="00106DA5">
        <w:rPr>
          <w:bCs/>
        </w:rPr>
        <w:t>, use of funds at central and regional level and a provision for interim work and a semiannual management letter</w:t>
      </w:r>
      <w:r w:rsidR="00860CFA">
        <w:rPr>
          <w:bCs/>
        </w:rPr>
        <w:t>.</w:t>
      </w:r>
      <w:r w:rsidR="00106DA5" w:rsidRPr="001F4987">
        <w:rPr>
          <w:bCs/>
        </w:rPr>
        <w:t xml:space="preserve">  </w:t>
      </w:r>
      <w:r w:rsidR="00106DA5">
        <w:rPr>
          <w:bCs/>
        </w:rPr>
        <w:t xml:space="preserve">According to the Bank Policy 10.02 Audited Financial Statements </w:t>
      </w:r>
      <w:r w:rsidR="00636C8C">
        <w:rPr>
          <w:bCs/>
        </w:rPr>
        <w:t>would</w:t>
      </w:r>
      <w:r w:rsidR="00106DA5">
        <w:rPr>
          <w:bCs/>
        </w:rPr>
        <w:t xml:space="preserve"> be public and that requirement </w:t>
      </w:r>
      <w:r w:rsidR="00636C8C">
        <w:rPr>
          <w:bCs/>
        </w:rPr>
        <w:t>would</w:t>
      </w:r>
      <w:r w:rsidR="00860CFA">
        <w:rPr>
          <w:bCs/>
        </w:rPr>
        <w:t xml:space="preserve"> be established in the Grant</w:t>
      </w:r>
      <w:r w:rsidR="00106DA5">
        <w:rPr>
          <w:bCs/>
        </w:rPr>
        <w:t xml:space="preserve"> Agreement</w:t>
      </w:r>
      <w:r w:rsidR="00106DA5">
        <w:rPr>
          <w:rStyle w:val="FootnoteReference"/>
          <w:bCs/>
        </w:rPr>
        <w:footnoteReference w:id="23"/>
      </w:r>
      <w:r w:rsidR="00106DA5">
        <w:rPr>
          <w:bCs/>
        </w:rPr>
        <w:t>.</w:t>
      </w:r>
    </w:p>
    <w:p w:rsidR="00106DA5" w:rsidRPr="001F4987" w:rsidRDefault="00106DA5" w:rsidP="00106DA5">
      <w:pPr>
        <w:pStyle w:val="ListParagraph"/>
        <w:jc w:val="both"/>
        <w:rPr>
          <w:bCs/>
          <w:u w:val="single"/>
        </w:rPr>
      </w:pPr>
    </w:p>
    <w:p w:rsidR="00106DA5" w:rsidRPr="001F4987" w:rsidRDefault="00106DA5" w:rsidP="005E2993">
      <w:pPr>
        <w:numPr>
          <w:ilvl w:val="3"/>
          <w:numId w:val="1"/>
        </w:numPr>
        <w:ind w:left="0" w:firstLine="0"/>
        <w:jc w:val="both"/>
      </w:pPr>
      <w:r w:rsidRPr="001F4987">
        <w:rPr>
          <w:bCs/>
          <w:u w:val="single"/>
        </w:rPr>
        <w:t>Internal Control</w:t>
      </w:r>
      <w:r w:rsidRPr="008063AF">
        <w:rPr>
          <w:bCs/>
        </w:rPr>
        <w:t>.</w:t>
      </w:r>
      <w:r w:rsidRPr="00A03EF1">
        <w:rPr>
          <w:bCs/>
        </w:rPr>
        <w:t xml:space="preserve"> </w:t>
      </w:r>
      <w:r w:rsidR="008063AF">
        <w:rPr>
          <w:bCs/>
        </w:rPr>
        <w:t xml:space="preserve"> </w:t>
      </w:r>
      <w:r w:rsidRPr="00A03EF1">
        <w:rPr>
          <w:bCs/>
        </w:rPr>
        <w:t>MINED is</w:t>
      </w:r>
      <w:r w:rsidRPr="001F4987">
        <w:rPr>
          <w:bCs/>
        </w:rPr>
        <w:t xml:space="preserve"> subject to the control of the Internal Audit Directorate.  </w:t>
      </w:r>
      <w:r>
        <w:rPr>
          <w:bCs/>
        </w:rPr>
        <w:t>T</w:t>
      </w:r>
      <w:r w:rsidRPr="001F4987">
        <w:rPr>
          <w:bCs/>
        </w:rPr>
        <w:t xml:space="preserve">he Internal Audit Directorate </w:t>
      </w:r>
      <w:r>
        <w:rPr>
          <w:bCs/>
        </w:rPr>
        <w:t xml:space="preserve">of MINED </w:t>
      </w:r>
      <w:r w:rsidRPr="001F4987">
        <w:rPr>
          <w:bCs/>
        </w:rPr>
        <w:t xml:space="preserve">would include the revision of the financial documentation of </w:t>
      </w:r>
      <w:r w:rsidR="00911C25">
        <w:rPr>
          <w:bCs/>
        </w:rPr>
        <w:t>the Project</w:t>
      </w:r>
      <w:r w:rsidRPr="001F4987">
        <w:rPr>
          <w:bCs/>
        </w:rPr>
        <w:t xml:space="preserve"> in its internal audit plan.  The internal audit reports would be available to the </w:t>
      </w:r>
      <w:r w:rsidR="00ED6468">
        <w:rPr>
          <w:bCs/>
        </w:rPr>
        <w:t>Bank</w:t>
      </w:r>
      <w:r w:rsidRPr="001F4987">
        <w:rPr>
          <w:bCs/>
        </w:rPr>
        <w:t xml:space="preserve"> during supervision missions.</w:t>
      </w:r>
    </w:p>
    <w:p w:rsidR="00106DA5" w:rsidRPr="001F4987" w:rsidRDefault="00106DA5" w:rsidP="00106DA5">
      <w:pPr>
        <w:pStyle w:val="ListParagraph"/>
        <w:jc w:val="both"/>
        <w:rPr>
          <w:bCs/>
        </w:rPr>
      </w:pPr>
    </w:p>
    <w:p w:rsidR="00580264" w:rsidRPr="001F4987" w:rsidRDefault="00106DA5" w:rsidP="005E2993">
      <w:pPr>
        <w:numPr>
          <w:ilvl w:val="3"/>
          <w:numId w:val="1"/>
        </w:numPr>
        <w:ind w:left="0" w:firstLine="0"/>
        <w:jc w:val="both"/>
      </w:pPr>
      <w:r w:rsidRPr="001F4987">
        <w:rPr>
          <w:bCs/>
        </w:rPr>
        <w:t xml:space="preserve">A Project Operational Manual (OM) </w:t>
      </w:r>
      <w:r w:rsidR="00233054">
        <w:rPr>
          <w:bCs/>
        </w:rPr>
        <w:t>was</w:t>
      </w:r>
      <w:r w:rsidRPr="001F4987">
        <w:rPr>
          <w:bCs/>
        </w:rPr>
        <w:t xml:space="preserve"> prepared by MINED complementing PASEN II OM</w:t>
      </w:r>
      <w:r w:rsidR="00860CFA">
        <w:rPr>
          <w:bCs/>
        </w:rPr>
        <w:t>,</w:t>
      </w:r>
      <w:r w:rsidRPr="001F4987">
        <w:rPr>
          <w:bCs/>
        </w:rPr>
        <w:t xml:space="preserve"> detailing the principal FM procedures, including budgeting, accounting, payments, support documentation, accounts reconciliation, financial reporting and inventory control over assets.</w:t>
      </w:r>
      <w:r>
        <w:rPr>
          <w:bCs/>
        </w:rPr>
        <w:t xml:space="preserve"> A specific section of the manual describe</w:t>
      </w:r>
      <w:r w:rsidR="00233054">
        <w:rPr>
          <w:bCs/>
        </w:rPr>
        <w:t>s</w:t>
      </w:r>
      <w:r>
        <w:rPr>
          <w:bCs/>
        </w:rPr>
        <w:t xml:space="preserve"> procedures to manage, control and justify funds at central and regional level.</w:t>
      </w:r>
      <w:r w:rsidR="00580264" w:rsidRPr="001F4987">
        <w:rPr>
          <w:bCs/>
        </w:rPr>
        <w:t xml:space="preserve">  </w:t>
      </w:r>
    </w:p>
    <w:p w:rsidR="00580264" w:rsidRPr="001F4987" w:rsidRDefault="00580264" w:rsidP="00580264">
      <w:pPr>
        <w:pStyle w:val="ListParagraph"/>
        <w:jc w:val="both"/>
        <w:rPr>
          <w:bCs/>
          <w:u w:val="single"/>
        </w:rPr>
      </w:pPr>
    </w:p>
    <w:p w:rsidR="00580264" w:rsidRDefault="00580264" w:rsidP="005E2993">
      <w:pPr>
        <w:numPr>
          <w:ilvl w:val="3"/>
          <w:numId w:val="1"/>
        </w:numPr>
        <w:ind w:left="0" w:firstLine="0"/>
        <w:jc w:val="both"/>
      </w:pPr>
      <w:r w:rsidRPr="001F4987">
        <w:rPr>
          <w:bCs/>
          <w:u w:val="single"/>
        </w:rPr>
        <w:t>Flow of funds</w:t>
      </w:r>
      <w:r w:rsidRPr="001F4987">
        <w:rPr>
          <w:bCs/>
        </w:rPr>
        <w:t xml:space="preserve">. A new DA </w:t>
      </w:r>
      <w:r w:rsidR="00636C8C">
        <w:rPr>
          <w:bCs/>
        </w:rPr>
        <w:t>would</w:t>
      </w:r>
      <w:r w:rsidRPr="001F4987">
        <w:rPr>
          <w:bCs/>
        </w:rPr>
        <w:t xml:space="preserve"> be opened to receive IDA funds, with an authorized ceiling of US$</w:t>
      </w:r>
      <w:r>
        <w:rPr>
          <w:bCs/>
        </w:rPr>
        <w:t>0.8</w:t>
      </w:r>
      <w:r w:rsidRPr="001F4987">
        <w:rPr>
          <w:bCs/>
        </w:rPr>
        <w:t xml:space="preserve"> million for expenses under all categories.  This initial amount could be changed and amended in the Disbursement</w:t>
      </w:r>
      <w:r w:rsidR="00860CFA">
        <w:rPr>
          <w:bCs/>
        </w:rPr>
        <w:t xml:space="preserve"> Letter</w:t>
      </w:r>
      <w:r w:rsidRPr="001F4987">
        <w:rPr>
          <w:bCs/>
        </w:rPr>
        <w:t xml:space="preserve"> upon specific request. The DA would be located in the Central Bank of Nicaragua under the control of the Treasury, from which the funds would be transferred to the MINED-AF</w:t>
      </w:r>
      <w:r>
        <w:rPr>
          <w:bCs/>
        </w:rPr>
        <w:t>GD</w:t>
      </w:r>
      <w:r w:rsidRPr="001F4987">
        <w:rPr>
          <w:bCs/>
        </w:rPr>
        <w:t xml:space="preserve">’s operating account to finance expenditures made or to be made within 30 days of the transfer. </w:t>
      </w:r>
    </w:p>
    <w:p w:rsidR="00580264" w:rsidRDefault="00580264" w:rsidP="00580264">
      <w:pPr>
        <w:pStyle w:val="ListParagraph"/>
        <w:jc w:val="both"/>
        <w:rPr>
          <w:bCs/>
          <w:u w:val="single"/>
        </w:rPr>
      </w:pPr>
    </w:p>
    <w:p w:rsidR="00580264" w:rsidRPr="00A620C9" w:rsidRDefault="00106DA5" w:rsidP="005E2993">
      <w:pPr>
        <w:numPr>
          <w:ilvl w:val="3"/>
          <w:numId w:val="1"/>
        </w:numPr>
        <w:ind w:left="0" w:firstLine="0"/>
        <w:jc w:val="both"/>
        <w:rPr>
          <w:bCs/>
        </w:rPr>
      </w:pPr>
      <w:r w:rsidRPr="00106DA5">
        <w:rPr>
          <w:bCs/>
        </w:rPr>
        <w:t xml:space="preserve">The DA shall operate under the traditional mechanism of replenishment by the SOE method.  Copies of records would be used to support disbursement during the entire execution of the Project. Disbursements would be made against standard documentation throughout the entire execution of the Project, and documentary evidence would be sought by the </w:t>
      </w:r>
      <w:r w:rsidR="00ED6468">
        <w:rPr>
          <w:bCs/>
        </w:rPr>
        <w:t>Bank</w:t>
      </w:r>
      <w:r w:rsidRPr="00106DA5">
        <w:rPr>
          <w:bCs/>
        </w:rPr>
        <w:t xml:space="preserve"> for expenditures above thresholds in the DL.  The</w:t>
      </w:r>
      <w:r w:rsidR="000C16FA">
        <w:rPr>
          <w:bCs/>
        </w:rPr>
        <w:t xml:space="preserve"> disbursements for the </w:t>
      </w:r>
      <w:r w:rsidRPr="00106DA5">
        <w:rPr>
          <w:bCs/>
        </w:rPr>
        <w:t xml:space="preserve">Project would be subject to standard and approved </w:t>
      </w:r>
      <w:r w:rsidR="00ED6468">
        <w:rPr>
          <w:bCs/>
        </w:rPr>
        <w:t>Bank</w:t>
      </w:r>
      <w:r w:rsidRPr="00106DA5">
        <w:rPr>
          <w:bCs/>
        </w:rPr>
        <w:t xml:space="preserve"> disbursement methods, which would be defined in the DL.  These would include reimbursements, advances and direct payments.</w:t>
      </w:r>
      <w:r w:rsidR="00580264" w:rsidRPr="00A620C9">
        <w:rPr>
          <w:bCs/>
        </w:rPr>
        <w:t xml:space="preserve"> </w:t>
      </w:r>
    </w:p>
    <w:p w:rsidR="007C0C91" w:rsidRDefault="007C0C91" w:rsidP="007C0C91">
      <w:pPr>
        <w:pStyle w:val="ListParagraph"/>
        <w:rPr>
          <w:bCs/>
          <w:highlight w:val="yellow"/>
        </w:rPr>
      </w:pPr>
    </w:p>
    <w:p w:rsidR="00040AF9" w:rsidRPr="00040AF9" w:rsidRDefault="00040AF9" w:rsidP="00040AF9">
      <w:pPr>
        <w:jc w:val="both"/>
        <w:rPr>
          <w:b/>
          <w:bCs/>
        </w:rPr>
      </w:pPr>
      <w:r w:rsidRPr="00040AF9">
        <w:rPr>
          <w:b/>
          <w:bCs/>
        </w:rPr>
        <w:t xml:space="preserve">Risk Assessment and Mitigation </w:t>
      </w:r>
    </w:p>
    <w:p w:rsidR="00040AF9" w:rsidRPr="00040AF9" w:rsidRDefault="00040AF9" w:rsidP="00040AF9">
      <w:pPr>
        <w:jc w:val="both"/>
        <w:rPr>
          <w:b/>
          <w:bCs/>
        </w:rPr>
      </w:pPr>
    </w:p>
    <w:p w:rsidR="00040AF9" w:rsidRPr="00040AF9" w:rsidRDefault="00040AF9" w:rsidP="00040AF9">
      <w:pPr>
        <w:jc w:val="both"/>
        <w:rPr>
          <w:b/>
          <w:bCs/>
        </w:rPr>
      </w:pPr>
      <w:r w:rsidRPr="00040AF9">
        <w:rPr>
          <w:b/>
          <w:bCs/>
        </w:rPr>
        <w:t>Risk Rating</w:t>
      </w:r>
    </w:p>
    <w:p w:rsidR="00040AF9" w:rsidRPr="00040AF9" w:rsidRDefault="00040AF9" w:rsidP="00040AF9">
      <w:pPr>
        <w:tabs>
          <w:tab w:val="left" w:pos="900"/>
        </w:tabs>
        <w:jc w:val="both"/>
        <w:rPr>
          <w:b/>
          <w:bCs/>
        </w:rPr>
      </w:pPr>
      <w:r w:rsidRPr="00040AF9">
        <w:rPr>
          <w:bCs/>
        </w:rPr>
        <w:tab/>
      </w:r>
    </w:p>
    <w:p w:rsidR="00717BE4" w:rsidRPr="00717BE4" w:rsidRDefault="00717BE4" w:rsidP="005E2993">
      <w:pPr>
        <w:numPr>
          <w:ilvl w:val="3"/>
          <w:numId w:val="1"/>
        </w:numPr>
        <w:ind w:left="0" w:firstLine="0"/>
        <w:jc w:val="both"/>
        <w:rPr>
          <w:bCs/>
        </w:rPr>
      </w:pPr>
      <w:r w:rsidRPr="00717BE4">
        <w:rPr>
          <w:bCs/>
        </w:rPr>
        <w:t>Overall FM risk is rated as “Substantial</w:t>
      </w:r>
      <w:r w:rsidR="00EE2ABC">
        <w:rPr>
          <w:bCs/>
        </w:rPr>
        <w:t>.”</w:t>
      </w:r>
      <w:r w:rsidRPr="00717BE4">
        <w:rPr>
          <w:bCs/>
        </w:rPr>
        <w:t xml:space="preserve"> </w:t>
      </w:r>
      <w:r>
        <w:rPr>
          <w:bCs/>
        </w:rPr>
        <w:t xml:space="preserve"> </w:t>
      </w:r>
      <w:r w:rsidRPr="00717BE4">
        <w:rPr>
          <w:bCs/>
        </w:rPr>
        <w:t xml:space="preserve">The FM arrangements, which include a series of additional measures, respond to the identified risks and provide a suitable supervision strategy.  The adequacy of FM arrangements would be continuously monitored during Project supervision, with adjustments made if necessary to ensure fiduciary compliance. Table A.1.1 presents the risk assessment and mitigation measures incorporated into Project design and the FM implementation arrangements. </w:t>
      </w:r>
    </w:p>
    <w:p w:rsidR="00E25B6C" w:rsidRDefault="00E25B6C">
      <w:pPr>
        <w:pStyle w:val="ListParagraph"/>
        <w:spacing w:after="200"/>
        <w:ind w:left="0"/>
        <w:jc w:val="center"/>
        <w:rPr>
          <w:bCs/>
        </w:rPr>
      </w:pPr>
    </w:p>
    <w:p w:rsidR="00263D08" w:rsidRPr="0033202A" w:rsidRDefault="00EA090D" w:rsidP="0033202A">
      <w:pPr>
        <w:pStyle w:val="ListParagraph"/>
        <w:ind w:left="0"/>
        <w:jc w:val="center"/>
        <w:rPr>
          <w:b/>
          <w:bCs/>
        </w:rPr>
      </w:pPr>
      <w:r w:rsidRPr="0033202A">
        <w:rPr>
          <w:b/>
          <w:bCs/>
        </w:rPr>
        <w:t>Table 3</w:t>
      </w:r>
      <w:r w:rsidR="00C52507" w:rsidRPr="0033202A">
        <w:rPr>
          <w:b/>
          <w:bCs/>
        </w:rPr>
        <w:t xml:space="preserve">.1 – </w:t>
      </w:r>
      <w:r w:rsidR="00794548">
        <w:rPr>
          <w:b/>
          <w:bCs/>
        </w:rPr>
        <w:t xml:space="preserve">FM </w:t>
      </w:r>
      <w:r w:rsidR="00C52507" w:rsidRPr="0033202A">
        <w:rPr>
          <w:b/>
          <w:bCs/>
        </w:rPr>
        <w:t>Risk Assessment and Mitigation Measures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057"/>
        <w:gridCol w:w="7348"/>
      </w:tblGrid>
      <w:tr w:rsidR="005372C5">
        <w:trPr>
          <w:jc w:val="center"/>
        </w:trPr>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center"/>
              <w:rPr>
                <w:b/>
                <w:bCs/>
              </w:rPr>
            </w:pPr>
            <w:r w:rsidRPr="009C123E">
              <w:rPr>
                <w:b/>
                <w:bCs/>
              </w:rPr>
              <w:t>Risk</w:t>
            </w:r>
          </w:p>
        </w:tc>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center"/>
              <w:rPr>
                <w:b/>
                <w:bCs/>
              </w:rPr>
            </w:pPr>
            <w:r w:rsidRPr="009C123E">
              <w:rPr>
                <w:b/>
                <w:bCs/>
              </w:rPr>
              <w:t>Risk Rating</w:t>
            </w:r>
          </w:p>
        </w:tc>
        <w:tc>
          <w:tcPr>
            <w:tcW w:w="0" w:type="auto"/>
            <w:tcBorders>
              <w:top w:val="single" w:sz="4" w:space="0" w:color="auto"/>
              <w:left w:val="single" w:sz="4" w:space="0" w:color="auto"/>
              <w:bottom w:val="single" w:sz="4" w:space="0" w:color="auto"/>
              <w:right w:val="single" w:sz="4" w:space="0" w:color="auto"/>
            </w:tcBorders>
            <w:vAlign w:val="center"/>
          </w:tcPr>
          <w:p w:rsidR="00717BE4" w:rsidRPr="009C123E" w:rsidRDefault="00717BE4" w:rsidP="00717BE4">
            <w:pPr>
              <w:jc w:val="center"/>
              <w:rPr>
                <w:b/>
                <w:bCs/>
              </w:rPr>
            </w:pPr>
            <w:r w:rsidRPr="009C123E">
              <w:rPr>
                <w:b/>
                <w:bCs/>
              </w:rPr>
              <w:t>Risk Mitigating Measures</w:t>
            </w:r>
          </w:p>
        </w:tc>
      </w:tr>
      <w:tr w:rsidR="00717BE4">
        <w:trPr>
          <w:trHeight w:val="278"/>
          <w:jc w:val="center"/>
        </w:trPr>
        <w:tc>
          <w:tcPr>
            <w:tcW w:w="0" w:type="auto"/>
            <w:gridSpan w:val="3"/>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both"/>
              <w:rPr>
                <w:bCs/>
              </w:rPr>
            </w:pPr>
            <w:r w:rsidRPr="009C123E">
              <w:rPr>
                <w:b/>
                <w:bCs/>
              </w:rPr>
              <w:t>Inherent Risk</w:t>
            </w:r>
          </w:p>
        </w:tc>
      </w:tr>
      <w:tr w:rsidR="00717BE4">
        <w:trPr>
          <w:jc w:val="center"/>
        </w:trPr>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both"/>
              <w:rPr>
                <w:bCs/>
              </w:rPr>
            </w:pPr>
            <w:r w:rsidRPr="009C123E">
              <w:rPr>
                <w:bCs/>
              </w:rPr>
              <w:t>Country Level</w:t>
            </w:r>
          </w:p>
        </w:tc>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center"/>
              <w:rPr>
                <w:bCs/>
              </w:rPr>
            </w:pPr>
            <w:r w:rsidRPr="009C123E">
              <w:rPr>
                <w:bCs/>
              </w:rPr>
              <w:t>S</w:t>
            </w:r>
          </w:p>
        </w:tc>
        <w:tc>
          <w:tcPr>
            <w:tcW w:w="0" w:type="auto"/>
            <w:tcBorders>
              <w:top w:val="single" w:sz="4" w:space="0" w:color="auto"/>
              <w:left w:val="single" w:sz="4" w:space="0" w:color="auto"/>
              <w:bottom w:val="single" w:sz="4" w:space="0" w:color="auto"/>
              <w:right w:val="single" w:sz="4" w:space="0" w:color="auto"/>
            </w:tcBorders>
          </w:tcPr>
          <w:p w:rsidR="005372C5" w:rsidRPr="009C123E" w:rsidRDefault="00E57C20" w:rsidP="005E2993">
            <w:pPr>
              <w:numPr>
                <w:ilvl w:val="0"/>
                <w:numId w:val="11"/>
              </w:numPr>
              <w:jc w:val="both"/>
              <w:rPr>
                <w:bCs/>
              </w:rPr>
            </w:pPr>
            <w:r>
              <w:rPr>
                <w:bCs/>
              </w:rPr>
              <w:t>P</w:t>
            </w:r>
            <w:r w:rsidR="00717BE4" w:rsidRPr="009C123E">
              <w:rPr>
                <w:bCs/>
              </w:rPr>
              <w:t>olicy m</w:t>
            </w:r>
            <w:r w:rsidR="00794548">
              <w:rPr>
                <w:bCs/>
              </w:rPr>
              <w:t>aking in Nicaragua could become more</w:t>
            </w:r>
            <w:r w:rsidR="00717BE4" w:rsidRPr="009C123E">
              <w:rPr>
                <w:bCs/>
              </w:rPr>
              <w:t xml:space="preserve"> </w:t>
            </w:r>
            <w:r w:rsidR="00794548">
              <w:rPr>
                <w:bCs/>
              </w:rPr>
              <w:t>unilateral and partisan due to</w:t>
            </w:r>
            <w:r w:rsidR="00717BE4" w:rsidRPr="009C123E">
              <w:rPr>
                <w:bCs/>
              </w:rPr>
              <w:t xml:space="preserve"> the fact that Sandinista party has an outright majority in Congress, a clear majority that could lead to more extreme policy stances.</w:t>
            </w:r>
          </w:p>
          <w:p w:rsidR="00717BE4" w:rsidRPr="009C123E" w:rsidRDefault="00717BE4" w:rsidP="005E2993">
            <w:pPr>
              <w:numPr>
                <w:ilvl w:val="0"/>
                <w:numId w:val="11"/>
              </w:numPr>
              <w:jc w:val="both"/>
              <w:rPr>
                <w:bCs/>
              </w:rPr>
            </w:pPr>
            <w:r w:rsidRPr="009C123E">
              <w:rPr>
                <w:bCs/>
              </w:rPr>
              <w:t xml:space="preserve">The Bank </w:t>
            </w:r>
            <w:r w:rsidR="00636C8C">
              <w:rPr>
                <w:bCs/>
              </w:rPr>
              <w:t>would</w:t>
            </w:r>
            <w:r w:rsidRPr="009C123E">
              <w:rPr>
                <w:bCs/>
              </w:rPr>
              <w:t xml:space="preserve"> rely on policy dialogue with all parties with the aim of bringing people together, and building bridges between Government and different groups.</w:t>
            </w:r>
          </w:p>
        </w:tc>
      </w:tr>
      <w:tr w:rsidR="00717BE4">
        <w:trPr>
          <w:jc w:val="center"/>
        </w:trPr>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both"/>
              <w:rPr>
                <w:bCs/>
              </w:rPr>
            </w:pPr>
            <w:r w:rsidRPr="009C123E">
              <w:rPr>
                <w:bCs/>
              </w:rPr>
              <w:t>Entity Level</w:t>
            </w:r>
          </w:p>
        </w:tc>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center"/>
              <w:rPr>
                <w:bCs/>
              </w:rPr>
            </w:pPr>
            <w:r w:rsidRPr="009C123E">
              <w:rPr>
                <w:bCs/>
              </w:rPr>
              <w:t>M</w:t>
            </w:r>
          </w:p>
        </w:tc>
        <w:tc>
          <w:tcPr>
            <w:tcW w:w="0" w:type="auto"/>
            <w:tcBorders>
              <w:top w:val="single" w:sz="4" w:space="0" w:color="auto"/>
              <w:left w:val="single" w:sz="4" w:space="0" w:color="auto"/>
              <w:bottom w:val="single" w:sz="4" w:space="0" w:color="auto"/>
              <w:right w:val="single" w:sz="4" w:space="0" w:color="auto"/>
            </w:tcBorders>
          </w:tcPr>
          <w:p w:rsidR="005372C5" w:rsidRPr="009C123E" w:rsidRDefault="00717BE4" w:rsidP="005E2993">
            <w:pPr>
              <w:numPr>
                <w:ilvl w:val="0"/>
                <w:numId w:val="11"/>
              </w:numPr>
              <w:jc w:val="both"/>
              <w:rPr>
                <w:bCs/>
              </w:rPr>
            </w:pPr>
            <w:r w:rsidRPr="009C123E">
              <w:rPr>
                <w:bCs/>
              </w:rPr>
              <w:t>MINED is the institution with overall responsibility in charge of the im</w:t>
            </w:r>
            <w:r w:rsidR="005372C5" w:rsidRPr="009C123E">
              <w:rPr>
                <w:bCs/>
              </w:rPr>
              <w:t xml:space="preserve">plementation of the Project.  </w:t>
            </w:r>
            <w:r w:rsidRPr="009C123E">
              <w:rPr>
                <w:bCs/>
              </w:rPr>
              <w:t xml:space="preserve">MINED </w:t>
            </w:r>
            <w:r w:rsidR="00636C8C">
              <w:rPr>
                <w:bCs/>
              </w:rPr>
              <w:t>would</w:t>
            </w:r>
            <w:r w:rsidRPr="009C123E">
              <w:rPr>
                <w:bCs/>
              </w:rPr>
              <w:t xml:space="preserve"> assign day-to-day FM activities to the same unit (AFGD) that has managed previous </w:t>
            </w:r>
            <w:r w:rsidR="00ED6468">
              <w:rPr>
                <w:bCs/>
              </w:rPr>
              <w:t>Bank</w:t>
            </w:r>
            <w:r w:rsidRPr="009C123E">
              <w:rPr>
                <w:bCs/>
              </w:rPr>
              <w:t xml:space="preserve"> Projects.</w:t>
            </w:r>
            <w:r w:rsidR="005372C5" w:rsidRPr="009C123E">
              <w:rPr>
                <w:bCs/>
              </w:rPr>
              <w:t xml:space="preserve">  </w:t>
            </w:r>
          </w:p>
          <w:p w:rsidR="00717BE4" w:rsidRPr="009C123E" w:rsidRDefault="00FF2DAE" w:rsidP="00794548">
            <w:pPr>
              <w:numPr>
                <w:ilvl w:val="0"/>
                <w:numId w:val="11"/>
              </w:numPr>
              <w:jc w:val="both"/>
              <w:rPr>
                <w:bCs/>
              </w:rPr>
            </w:pPr>
            <w:r w:rsidRPr="009C123E">
              <w:rPr>
                <w:bCs/>
              </w:rPr>
              <w:t xml:space="preserve">Under </w:t>
            </w:r>
            <w:r>
              <w:rPr>
                <w:bCs/>
              </w:rPr>
              <w:t>the Project, nine</w:t>
            </w:r>
            <w:r w:rsidR="00794548">
              <w:rPr>
                <w:bCs/>
              </w:rPr>
              <w:t xml:space="preserve"> a</w:t>
            </w:r>
            <w:r w:rsidRPr="00106DA5">
              <w:rPr>
                <w:bCs/>
              </w:rPr>
              <w:t xml:space="preserve">dditional FM </w:t>
            </w:r>
            <w:r>
              <w:rPr>
                <w:bCs/>
              </w:rPr>
              <w:t>staff</w:t>
            </w:r>
            <w:r w:rsidRPr="00106DA5">
              <w:rPr>
                <w:bCs/>
              </w:rPr>
              <w:t xml:space="preserve"> </w:t>
            </w:r>
            <w:r>
              <w:rPr>
                <w:bCs/>
              </w:rPr>
              <w:t>would</w:t>
            </w:r>
            <w:r w:rsidRPr="00106DA5">
              <w:rPr>
                <w:bCs/>
              </w:rPr>
              <w:t xml:space="preserve"> be hired, </w:t>
            </w:r>
            <w:r>
              <w:rPr>
                <w:bCs/>
              </w:rPr>
              <w:t>six</w:t>
            </w:r>
            <w:r w:rsidRPr="00106DA5">
              <w:rPr>
                <w:bCs/>
              </w:rPr>
              <w:t xml:space="preserve"> staff to work closely with the Education Departmental Delegations and t</w:t>
            </w:r>
            <w:r>
              <w:rPr>
                <w:bCs/>
              </w:rPr>
              <w:t>hree</w:t>
            </w:r>
            <w:r w:rsidRPr="00106DA5">
              <w:rPr>
                <w:bCs/>
              </w:rPr>
              <w:t xml:space="preserve"> staff to reinforce the Central Office of AFGD as part of the internal control system</w:t>
            </w:r>
            <w:r w:rsidR="00717BE4" w:rsidRPr="009C123E">
              <w:rPr>
                <w:bCs/>
              </w:rPr>
              <w:t xml:space="preserve"> </w:t>
            </w:r>
          </w:p>
        </w:tc>
      </w:tr>
      <w:tr w:rsidR="00717BE4">
        <w:trPr>
          <w:jc w:val="center"/>
        </w:trPr>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both"/>
              <w:rPr>
                <w:bCs/>
              </w:rPr>
            </w:pPr>
            <w:r w:rsidRPr="009C123E">
              <w:rPr>
                <w:bCs/>
              </w:rPr>
              <w:t>Project Level</w:t>
            </w:r>
          </w:p>
        </w:tc>
        <w:tc>
          <w:tcPr>
            <w:tcW w:w="0" w:type="auto"/>
            <w:tcBorders>
              <w:top w:val="single" w:sz="4" w:space="0" w:color="auto"/>
              <w:left w:val="single" w:sz="4" w:space="0" w:color="auto"/>
              <w:bottom w:val="single" w:sz="4" w:space="0" w:color="auto"/>
              <w:right w:val="single" w:sz="4" w:space="0" w:color="auto"/>
            </w:tcBorders>
          </w:tcPr>
          <w:p w:rsidR="00717BE4" w:rsidRPr="009C123E" w:rsidRDefault="00717BE4" w:rsidP="005F195B">
            <w:pPr>
              <w:jc w:val="center"/>
              <w:rPr>
                <w:bCs/>
              </w:rPr>
            </w:pPr>
            <w:r w:rsidRPr="009C123E">
              <w:rPr>
                <w:bCs/>
              </w:rPr>
              <w:t>S</w:t>
            </w:r>
          </w:p>
        </w:tc>
        <w:tc>
          <w:tcPr>
            <w:tcW w:w="0" w:type="auto"/>
            <w:tcBorders>
              <w:top w:val="single" w:sz="4" w:space="0" w:color="auto"/>
              <w:left w:val="single" w:sz="4" w:space="0" w:color="auto"/>
              <w:bottom w:val="single" w:sz="4" w:space="0" w:color="auto"/>
              <w:right w:val="single" w:sz="4" w:space="0" w:color="auto"/>
            </w:tcBorders>
          </w:tcPr>
          <w:p w:rsidR="00717BE4" w:rsidRPr="009C123E" w:rsidRDefault="00D270D8" w:rsidP="005E2993">
            <w:pPr>
              <w:numPr>
                <w:ilvl w:val="0"/>
                <w:numId w:val="30"/>
              </w:numPr>
              <w:jc w:val="both"/>
              <w:rPr>
                <w:bCs/>
              </w:rPr>
            </w:pPr>
            <w:r w:rsidRPr="009C123E">
              <w:rPr>
                <w:bCs/>
              </w:rPr>
              <w:t>Relevant AFGD</w:t>
            </w:r>
            <w:r w:rsidR="00717BE4" w:rsidRPr="009C123E">
              <w:rPr>
                <w:bCs/>
              </w:rPr>
              <w:t xml:space="preserve"> staff to attend specific FM &amp; Disbursement training including regional staff.</w:t>
            </w:r>
          </w:p>
          <w:p w:rsidR="00717BE4" w:rsidRPr="009C123E" w:rsidRDefault="00717BE4" w:rsidP="005E2993">
            <w:pPr>
              <w:numPr>
                <w:ilvl w:val="0"/>
                <w:numId w:val="30"/>
              </w:numPr>
              <w:jc w:val="both"/>
              <w:rPr>
                <w:bCs/>
              </w:rPr>
            </w:pPr>
            <w:r w:rsidRPr="009C123E">
              <w:rPr>
                <w:bCs/>
              </w:rPr>
              <w:t xml:space="preserve">Contract a joint external audit for the entire implementation period for both Projects: PASEN II and </w:t>
            </w:r>
            <w:r w:rsidR="000C16FA">
              <w:rPr>
                <w:bCs/>
              </w:rPr>
              <w:t>the Project</w:t>
            </w:r>
            <w:r w:rsidRPr="009C123E">
              <w:rPr>
                <w:bCs/>
              </w:rPr>
              <w:t>.</w:t>
            </w:r>
          </w:p>
        </w:tc>
      </w:tr>
    </w:tbl>
    <w:p w:rsidR="00B01098" w:rsidRDefault="00B01098">
      <w:pPr>
        <w:rPr>
          <w:sz w:val="20"/>
          <w:szCs w:val="20"/>
        </w:rPr>
      </w:pPr>
    </w:p>
    <w:p w:rsidR="00106DA5" w:rsidRDefault="00106DA5">
      <w:pPr>
        <w:rPr>
          <w:sz w:val="20"/>
          <w:szCs w:val="20"/>
        </w:rPr>
      </w:pPr>
    </w:p>
    <w:p w:rsidR="00E57C20" w:rsidRDefault="00E57C20">
      <w:pPr>
        <w:rPr>
          <w:sz w:val="20"/>
          <w:szCs w:val="20"/>
        </w:rPr>
      </w:pPr>
    </w:p>
    <w:p w:rsidR="00794548" w:rsidRDefault="00794548">
      <w:pPr>
        <w:rPr>
          <w:sz w:val="20"/>
          <w:szCs w:val="20"/>
        </w:rPr>
      </w:pPr>
    </w:p>
    <w:p w:rsidR="00794548" w:rsidRDefault="00794548">
      <w:pPr>
        <w:rPr>
          <w:sz w:val="20"/>
          <w:szCs w:val="20"/>
        </w:rPr>
      </w:pPr>
    </w:p>
    <w:p w:rsidR="00794548" w:rsidRDefault="00794548">
      <w:pPr>
        <w:rPr>
          <w:sz w:val="20"/>
          <w:szCs w:val="20"/>
        </w:rPr>
      </w:pPr>
    </w:p>
    <w:p w:rsidR="00C31FE0" w:rsidRDefault="00C31FE0">
      <w:pPr>
        <w:rPr>
          <w:sz w:val="20"/>
          <w:szCs w:val="20"/>
        </w:rPr>
      </w:pPr>
    </w:p>
    <w:p w:rsidR="00C31FE0" w:rsidRDefault="00C31FE0">
      <w:pPr>
        <w:rPr>
          <w:sz w:val="20"/>
          <w:szCs w:val="20"/>
        </w:rPr>
      </w:pPr>
    </w:p>
    <w:p w:rsidR="00C31FE0" w:rsidRDefault="00C31FE0">
      <w:pPr>
        <w:rPr>
          <w:sz w:val="20"/>
          <w:szCs w:val="20"/>
        </w:rPr>
      </w:pPr>
    </w:p>
    <w:p w:rsidR="004020EA" w:rsidRDefault="004020EA">
      <w:pPr>
        <w:rPr>
          <w:sz w:val="20"/>
          <w:szCs w:val="20"/>
        </w:rPr>
      </w:pPr>
    </w:p>
    <w:p w:rsidR="00794548" w:rsidRDefault="00794548">
      <w:pPr>
        <w:rPr>
          <w:sz w:val="20"/>
          <w:szCs w:val="20"/>
        </w:rPr>
      </w:pPr>
    </w:p>
    <w:p w:rsidR="00794548" w:rsidRDefault="00794548">
      <w:pPr>
        <w:rPr>
          <w:sz w:val="20"/>
          <w:szCs w:val="20"/>
        </w:rPr>
      </w:pPr>
    </w:p>
    <w:p w:rsidR="00106DA5" w:rsidRDefault="00106DA5">
      <w:pPr>
        <w:rPr>
          <w:sz w:val="20"/>
          <w:szCs w:val="20"/>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051"/>
        <w:gridCol w:w="7087"/>
      </w:tblGrid>
      <w:tr w:rsidR="005372C5" w:rsidRPr="005372C5" w:rsidTr="00D25987">
        <w:trPr>
          <w:jc w:val="center"/>
        </w:trPr>
        <w:tc>
          <w:tcPr>
            <w:tcW w:w="10155" w:type="dxa"/>
            <w:gridSpan w:val="3"/>
            <w:tcBorders>
              <w:top w:val="single" w:sz="4" w:space="0" w:color="auto"/>
              <w:left w:val="single" w:sz="4" w:space="0" w:color="auto"/>
              <w:bottom w:val="single" w:sz="4" w:space="0" w:color="auto"/>
              <w:right w:val="single" w:sz="4" w:space="0" w:color="auto"/>
            </w:tcBorders>
          </w:tcPr>
          <w:p w:rsidR="005372C5" w:rsidRPr="009C123E" w:rsidRDefault="005372C5" w:rsidP="005372C5">
            <w:pPr>
              <w:rPr>
                <w:bCs/>
              </w:rPr>
            </w:pPr>
            <w:r w:rsidRPr="009C123E">
              <w:rPr>
                <w:b/>
                <w:bCs/>
              </w:rPr>
              <w:lastRenderedPageBreak/>
              <w:t>Control risk</w:t>
            </w:r>
          </w:p>
        </w:tc>
      </w:tr>
      <w:tr w:rsidR="005372C5" w:rsidRPr="005372C5" w:rsidTr="00D25987">
        <w:trPr>
          <w:jc w:val="center"/>
        </w:trPr>
        <w:tc>
          <w:tcPr>
            <w:tcW w:w="0" w:type="auto"/>
            <w:tcBorders>
              <w:top w:val="single" w:sz="4" w:space="0" w:color="auto"/>
              <w:left w:val="single" w:sz="4" w:space="0" w:color="auto"/>
              <w:bottom w:val="single" w:sz="4" w:space="0" w:color="auto"/>
              <w:right w:val="single" w:sz="4" w:space="0" w:color="auto"/>
            </w:tcBorders>
          </w:tcPr>
          <w:p w:rsidR="005372C5" w:rsidRPr="009C123E" w:rsidRDefault="005372C5" w:rsidP="005372C5">
            <w:pPr>
              <w:rPr>
                <w:bCs/>
              </w:rPr>
            </w:pPr>
            <w:r w:rsidRPr="009C123E">
              <w:rPr>
                <w:bCs/>
              </w:rPr>
              <w:t>Budgeting, Accounting, Internal Control</w:t>
            </w:r>
          </w:p>
        </w:tc>
        <w:tc>
          <w:tcPr>
            <w:tcW w:w="1051" w:type="dxa"/>
            <w:tcBorders>
              <w:top w:val="single" w:sz="4" w:space="0" w:color="auto"/>
              <w:left w:val="single" w:sz="4" w:space="0" w:color="auto"/>
              <w:bottom w:val="single" w:sz="4" w:space="0" w:color="auto"/>
              <w:right w:val="single" w:sz="4" w:space="0" w:color="auto"/>
            </w:tcBorders>
          </w:tcPr>
          <w:p w:rsidR="005372C5" w:rsidRPr="009C123E" w:rsidRDefault="005372C5" w:rsidP="00D25987">
            <w:pPr>
              <w:jc w:val="center"/>
              <w:rPr>
                <w:bCs/>
              </w:rPr>
            </w:pPr>
            <w:r w:rsidRPr="009C123E">
              <w:rPr>
                <w:bCs/>
              </w:rPr>
              <w:t>M</w:t>
            </w:r>
          </w:p>
        </w:tc>
        <w:tc>
          <w:tcPr>
            <w:tcW w:w="7087" w:type="dxa"/>
            <w:tcBorders>
              <w:top w:val="single" w:sz="4" w:space="0" w:color="auto"/>
              <w:left w:val="single" w:sz="4" w:space="0" w:color="auto"/>
              <w:bottom w:val="single" w:sz="4" w:space="0" w:color="auto"/>
              <w:right w:val="single" w:sz="4" w:space="0" w:color="auto"/>
            </w:tcBorders>
          </w:tcPr>
          <w:p w:rsidR="005372C5" w:rsidRPr="009C123E" w:rsidRDefault="00106DA5" w:rsidP="0033202A">
            <w:pPr>
              <w:numPr>
                <w:ilvl w:val="0"/>
                <w:numId w:val="31"/>
              </w:numPr>
              <w:rPr>
                <w:bCs/>
              </w:rPr>
            </w:pPr>
            <w:r w:rsidRPr="00106DA5">
              <w:rPr>
                <w:bCs/>
              </w:rPr>
              <w:t>Implementation of SIGFAPRO or other financial system</w:t>
            </w:r>
            <w:r>
              <w:rPr>
                <w:bCs/>
              </w:rPr>
              <w:t>s</w:t>
            </w:r>
            <w:r w:rsidRPr="00106DA5">
              <w:rPr>
                <w:bCs/>
              </w:rPr>
              <w:t xml:space="preserve"> approved by the Bank as a mitigation measure.  </w:t>
            </w:r>
          </w:p>
        </w:tc>
      </w:tr>
      <w:tr w:rsidR="005372C5" w:rsidRPr="005372C5" w:rsidTr="00D25987">
        <w:trPr>
          <w:jc w:val="center"/>
        </w:trPr>
        <w:tc>
          <w:tcPr>
            <w:tcW w:w="0" w:type="auto"/>
            <w:tcBorders>
              <w:top w:val="single" w:sz="4" w:space="0" w:color="auto"/>
              <w:left w:val="single" w:sz="4" w:space="0" w:color="auto"/>
              <w:bottom w:val="single" w:sz="4" w:space="0" w:color="auto"/>
              <w:right w:val="single" w:sz="4" w:space="0" w:color="auto"/>
            </w:tcBorders>
          </w:tcPr>
          <w:p w:rsidR="005372C5" w:rsidRPr="009C123E" w:rsidRDefault="005372C5" w:rsidP="005372C5">
            <w:pPr>
              <w:rPr>
                <w:bCs/>
              </w:rPr>
            </w:pPr>
            <w:r w:rsidRPr="009C123E">
              <w:rPr>
                <w:bCs/>
              </w:rPr>
              <w:t>Funds Flow</w:t>
            </w:r>
          </w:p>
        </w:tc>
        <w:tc>
          <w:tcPr>
            <w:tcW w:w="1051" w:type="dxa"/>
            <w:tcBorders>
              <w:top w:val="single" w:sz="4" w:space="0" w:color="auto"/>
              <w:left w:val="single" w:sz="4" w:space="0" w:color="auto"/>
              <w:bottom w:val="single" w:sz="4" w:space="0" w:color="auto"/>
              <w:right w:val="single" w:sz="4" w:space="0" w:color="auto"/>
            </w:tcBorders>
          </w:tcPr>
          <w:p w:rsidR="005372C5" w:rsidRPr="009C123E" w:rsidRDefault="005372C5" w:rsidP="00D25987">
            <w:pPr>
              <w:jc w:val="center"/>
              <w:rPr>
                <w:bCs/>
              </w:rPr>
            </w:pPr>
            <w:r w:rsidRPr="009C123E">
              <w:rPr>
                <w:bCs/>
              </w:rPr>
              <w:t>S</w:t>
            </w:r>
          </w:p>
        </w:tc>
        <w:tc>
          <w:tcPr>
            <w:tcW w:w="7087" w:type="dxa"/>
            <w:tcBorders>
              <w:top w:val="single" w:sz="4" w:space="0" w:color="auto"/>
              <w:left w:val="single" w:sz="4" w:space="0" w:color="auto"/>
              <w:bottom w:val="single" w:sz="4" w:space="0" w:color="auto"/>
              <w:right w:val="single" w:sz="4" w:space="0" w:color="auto"/>
            </w:tcBorders>
          </w:tcPr>
          <w:p w:rsidR="00106DA5" w:rsidRPr="00106DA5" w:rsidRDefault="00106DA5" w:rsidP="005E2993">
            <w:pPr>
              <w:numPr>
                <w:ilvl w:val="0"/>
                <w:numId w:val="31"/>
              </w:numPr>
              <w:rPr>
                <w:bCs/>
              </w:rPr>
            </w:pPr>
            <w:r w:rsidRPr="00106DA5">
              <w:rPr>
                <w:bCs/>
              </w:rPr>
              <w:t>Designated account in dollars, under traditional mechanism of replenishment by SOE method.</w:t>
            </w:r>
          </w:p>
          <w:p w:rsidR="005372C5" w:rsidRPr="009C123E" w:rsidRDefault="00106DA5" w:rsidP="005E2993">
            <w:pPr>
              <w:numPr>
                <w:ilvl w:val="0"/>
                <w:numId w:val="31"/>
              </w:numPr>
              <w:rPr>
                <w:bCs/>
              </w:rPr>
            </w:pPr>
            <w:r w:rsidRPr="00106DA5">
              <w:rPr>
                <w:bCs/>
              </w:rPr>
              <w:t xml:space="preserve">Regional transfer’s mechanism </w:t>
            </w:r>
            <w:r w:rsidR="00636C8C">
              <w:rPr>
                <w:bCs/>
              </w:rPr>
              <w:t>would</w:t>
            </w:r>
            <w:r w:rsidRPr="00106DA5">
              <w:rPr>
                <w:bCs/>
              </w:rPr>
              <w:t xml:space="preserve"> be managed and monitored by AFGD MINED staff as part of the internal control system and responsible for monitor the transfer received and review expenditures support documentation (rendición de cuentas)</w:t>
            </w:r>
            <w:r w:rsidR="005372C5" w:rsidRPr="009C123E">
              <w:rPr>
                <w:bCs/>
              </w:rPr>
              <w:t>.</w:t>
            </w:r>
          </w:p>
          <w:p w:rsidR="005372C5" w:rsidRPr="009C123E" w:rsidRDefault="005372C5" w:rsidP="005E2993">
            <w:pPr>
              <w:numPr>
                <w:ilvl w:val="0"/>
                <w:numId w:val="31"/>
              </w:numPr>
              <w:rPr>
                <w:bCs/>
              </w:rPr>
            </w:pPr>
            <w:r w:rsidRPr="009C123E">
              <w:rPr>
                <w:bCs/>
              </w:rPr>
              <w:t xml:space="preserve">External Audit ToRs </w:t>
            </w:r>
            <w:r w:rsidR="00636C8C">
              <w:rPr>
                <w:bCs/>
              </w:rPr>
              <w:t>would</w:t>
            </w:r>
            <w:r w:rsidRPr="009C123E">
              <w:rPr>
                <w:bCs/>
              </w:rPr>
              <w:t xml:space="preserve"> include specific provision for ensuring coverage of use of funds through regional accounts</w:t>
            </w:r>
          </w:p>
        </w:tc>
      </w:tr>
      <w:tr w:rsidR="005372C5" w:rsidRPr="005372C5" w:rsidTr="00D25987">
        <w:trPr>
          <w:jc w:val="center"/>
        </w:trPr>
        <w:tc>
          <w:tcPr>
            <w:tcW w:w="0" w:type="auto"/>
            <w:tcBorders>
              <w:top w:val="single" w:sz="4" w:space="0" w:color="auto"/>
              <w:left w:val="single" w:sz="4" w:space="0" w:color="auto"/>
              <w:bottom w:val="single" w:sz="4" w:space="0" w:color="auto"/>
              <w:right w:val="single" w:sz="4" w:space="0" w:color="auto"/>
            </w:tcBorders>
          </w:tcPr>
          <w:p w:rsidR="005372C5" w:rsidRPr="009C123E" w:rsidRDefault="005372C5" w:rsidP="005372C5">
            <w:pPr>
              <w:rPr>
                <w:bCs/>
              </w:rPr>
            </w:pPr>
            <w:r w:rsidRPr="009C123E">
              <w:rPr>
                <w:bCs/>
              </w:rPr>
              <w:t>Financial Reporting, Auditing</w:t>
            </w:r>
          </w:p>
        </w:tc>
        <w:tc>
          <w:tcPr>
            <w:tcW w:w="1051" w:type="dxa"/>
            <w:tcBorders>
              <w:top w:val="single" w:sz="4" w:space="0" w:color="auto"/>
              <w:left w:val="single" w:sz="4" w:space="0" w:color="auto"/>
              <w:bottom w:val="single" w:sz="4" w:space="0" w:color="auto"/>
              <w:right w:val="single" w:sz="4" w:space="0" w:color="auto"/>
            </w:tcBorders>
          </w:tcPr>
          <w:p w:rsidR="005372C5" w:rsidRPr="009C123E" w:rsidRDefault="005372C5" w:rsidP="00D25987">
            <w:pPr>
              <w:jc w:val="center"/>
              <w:rPr>
                <w:bCs/>
              </w:rPr>
            </w:pPr>
            <w:r w:rsidRPr="009C123E">
              <w:rPr>
                <w:bCs/>
              </w:rPr>
              <w:t>M</w:t>
            </w:r>
          </w:p>
        </w:tc>
        <w:tc>
          <w:tcPr>
            <w:tcW w:w="7087" w:type="dxa"/>
            <w:tcBorders>
              <w:top w:val="single" w:sz="4" w:space="0" w:color="auto"/>
              <w:left w:val="single" w:sz="4" w:space="0" w:color="auto"/>
              <w:bottom w:val="single" w:sz="4" w:space="0" w:color="auto"/>
              <w:right w:val="single" w:sz="4" w:space="0" w:color="auto"/>
            </w:tcBorders>
          </w:tcPr>
          <w:p w:rsidR="005372C5" w:rsidRPr="009C123E" w:rsidRDefault="005372C5" w:rsidP="005E2993">
            <w:pPr>
              <w:numPr>
                <w:ilvl w:val="0"/>
                <w:numId w:val="31"/>
              </w:numPr>
              <w:rPr>
                <w:bCs/>
              </w:rPr>
            </w:pPr>
            <w:r w:rsidRPr="009C123E">
              <w:rPr>
                <w:bCs/>
              </w:rPr>
              <w:t xml:space="preserve">Semiannual Financial Reports. </w:t>
            </w:r>
          </w:p>
          <w:p w:rsidR="005372C5" w:rsidRPr="009C123E" w:rsidRDefault="005372C5" w:rsidP="005E2993">
            <w:pPr>
              <w:numPr>
                <w:ilvl w:val="0"/>
                <w:numId w:val="31"/>
              </w:numPr>
              <w:rPr>
                <w:bCs/>
              </w:rPr>
            </w:pPr>
            <w:r w:rsidRPr="009C123E">
              <w:rPr>
                <w:bCs/>
              </w:rPr>
              <w:t>Annual External Audit Financial Statements.</w:t>
            </w:r>
          </w:p>
        </w:tc>
      </w:tr>
      <w:tr w:rsidR="005372C5" w:rsidRPr="005372C5" w:rsidTr="00D25987">
        <w:trPr>
          <w:jc w:val="center"/>
        </w:trPr>
        <w:tc>
          <w:tcPr>
            <w:tcW w:w="0" w:type="auto"/>
            <w:tcBorders>
              <w:top w:val="single" w:sz="4" w:space="0" w:color="auto"/>
              <w:left w:val="single" w:sz="4" w:space="0" w:color="auto"/>
              <w:bottom w:val="single" w:sz="4" w:space="0" w:color="auto"/>
              <w:right w:val="single" w:sz="4" w:space="0" w:color="auto"/>
            </w:tcBorders>
          </w:tcPr>
          <w:p w:rsidR="005372C5" w:rsidRPr="009C123E" w:rsidRDefault="005372C5" w:rsidP="005372C5">
            <w:pPr>
              <w:rPr>
                <w:b/>
                <w:bCs/>
              </w:rPr>
            </w:pPr>
            <w:r w:rsidRPr="009C123E">
              <w:rPr>
                <w:b/>
                <w:bCs/>
              </w:rPr>
              <w:t>FM Risk</w:t>
            </w:r>
          </w:p>
        </w:tc>
        <w:tc>
          <w:tcPr>
            <w:tcW w:w="1051" w:type="dxa"/>
            <w:tcBorders>
              <w:top w:val="single" w:sz="4" w:space="0" w:color="auto"/>
              <w:left w:val="single" w:sz="4" w:space="0" w:color="auto"/>
              <w:bottom w:val="single" w:sz="4" w:space="0" w:color="auto"/>
              <w:right w:val="single" w:sz="4" w:space="0" w:color="auto"/>
            </w:tcBorders>
          </w:tcPr>
          <w:p w:rsidR="005372C5" w:rsidRPr="009C123E" w:rsidRDefault="005372C5" w:rsidP="00D25987">
            <w:pPr>
              <w:jc w:val="center"/>
              <w:rPr>
                <w:b/>
                <w:bCs/>
              </w:rPr>
            </w:pPr>
            <w:r w:rsidRPr="009C123E">
              <w:rPr>
                <w:b/>
                <w:bCs/>
              </w:rPr>
              <w:t>S</w:t>
            </w:r>
          </w:p>
        </w:tc>
        <w:tc>
          <w:tcPr>
            <w:tcW w:w="7087" w:type="dxa"/>
            <w:tcBorders>
              <w:top w:val="single" w:sz="4" w:space="0" w:color="auto"/>
              <w:left w:val="single" w:sz="4" w:space="0" w:color="auto"/>
              <w:bottom w:val="single" w:sz="4" w:space="0" w:color="auto"/>
              <w:right w:val="single" w:sz="4" w:space="0" w:color="auto"/>
            </w:tcBorders>
          </w:tcPr>
          <w:p w:rsidR="005372C5" w:rsidRPr="009C123E" w:rsidRDefault="005372C5" w:rsidP="005372C5">
            <w:pPr>
              <w:rPr>
                <w:bCs/>
              </w:rPr>
            </w:pPr>
          </w:p>
        </w:tc>
      </w:tr>
    </w:tbl>
    <w:p w:rsidR="005372C5" w:rsidRPr="007C0C91" w:rsidRDefault="005372C5">
      <w:pPr>
        <w:rPr>
          <w:sz w:val="20"/>
          <w:szCs w:val="20"/>
        </w:rPr>
      </w:pPr>
    </w:p>
    <w:p w:rsidR="00D270D8" w:rsidRDefault="00D270D8" w:rsidP="005E2993">
      <w:pPr>
        <w:numPr>
          <w:ilvl w:val="3"/>
          <w:numId w:val="1"/>
        </w:numPr>
        <w:ind w:left="0" w:firstLine="0"/>
        <w:jc w:val="both"/>
      </w:pPr>
      <w:r w:rsidRPr="001F4987">
        <w:rPr>
          <w:u w:val="single"/>
        </w:rPr>
        <w:t>Financial Management Action Plan</w:t>
      </w:r>
      <w:r>
        <w:t xml:space="preserve">. An Action Plan to ensure that adequate FM systems are in place before implementation </w:t>
      </w:r>
      <w:r w:rsidRPr="001F4987">
        <w:rPr>
          <w:bCs/>
        </w:rPr>
        <w:t>begins is currently under implementation by</w:t>
      </w:r>
      <w:r>
        <w:rPr>
          <w:bCs/>
        </w:rPr>
        <w:t xml:space="preserve"> AFGD</w:t>
      </w:r>
      <w:r>
        <w:t xml:space="preserve">.  Detailed activities are presented in Table A.1.2. </w:t>
      </w:r>
    </w:p>
    <w:p w:rsidR="00C24BA3" w:rsidRDefault="00C24BA3" w:rsidP="00797FEF">
      <w:pPr>
        <w:pStyle w:val="ListParagraph"/>
        <w:spacing w:after="200"/>
        <w:ind w:left="0"/>
        <w:jc w:val="both"/>
        <w:rPr>
          <w:u w:val="single"/>
        </w:rPr>
      </w:pPr>
    </w:p>
    <w:p w:rsidR="006312CC" w:rsidRPr="0033202A" w:rsidRDefault="00C52507" w:rsidP="00700856">
      <w:pPr>
        <w:pStyle w:val="ListParagraph"/>
        <w:spacing w:after="200"/>
        <w:ind w:left="0"/>
        <w:jc w:val="center"/>
        <w:rPr>
          <w:b/>
        </w:rPr>
      </w:pPr>
      <w:r w:rsidRPr="0033202A">
        <w:rPr>
          <w:b/>
        </w:rPr>
        <w:t>Ta</w:t>
      </w:r>
      <w:r w:rsidR="00EA090D" w:rsidRPr="0033202A">
        <w:rPr>
          <w:b/>
        </w:rPr>
        <w:t>ble 3</w:t>
      </w:r>
      <w:r w:rsidR="009F2044" w:rsidRPr="0033202A">
        <w:rPr>
          <w:b/>
        </w:rPr>
        <w:t xml:space="preserve">.2 </w:t>
      </w:r>
      <w:r w:rsidR="0033202A" w:rsidRPr="0033202A">
        <w:rPr>
          <w:b/>
        </w:rPr>
        <w:t xml:space="preserve">AFGD </w:t>
      </w:r>
      <w:r w:rsidR="009F2044" w:rsidRPr="0033202A">
        <w:rPr>
          <w:b/>
        </w:rPr>
        <w:t>Action Plan</w:t>
      </w:r>
    </w:p>
    <w:tbl>
      <w:tblPr>
        <w:tblW w:w="985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3"/>
        <w:gridCol w:w="2232"/>
        <w:gridCol w:w="2106"/>
      </w:tblGrid>
      <w:tr w:rsidR="00506D72" w:rsidRPr="00506D72">
        <w:trPr>
          <w:trHeight w:val="332"/>
          <w:jc w:val="center"/>
        </w:trPr>
        <w:tc>
          <w:tcPr>
            <w:tcW w:w="5513"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506D72">
            <w:pPr>
              <w:pStyle w:val="ListParagraph"/>
              <w:ind w:left="5"/>
              <w:jc w:val="center"/>
              <w:rPr>
                <w:b/>
              </w:rPr>
            </w:pPr>
            <w:r w:rsidRPr="00506D72">
              <w:rPr>
                <w:b/>
              </w:rPr>
              <w:t>Action</w:t>
            </w:r>
          </w:p>
        </w:tc>
        <w:tc>
          <w:tcPr>
            <w:tcW w:w="2232"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506D72">
            <w:pPr>
              <w:pStyle w:val="ListParagraph"/>
              <w:ind w:left="0"/>
              <w:jc w:val="center"/>
              <w:rPr>
                <w:b/>
              </w:rPr>
            </w:pPr>
            <w:r w:rsidRPr="00506D72">
              <w:rPr>
                <w:b/>
              </w:rPr>
              <w:t>Responsible Entity</w:t>
            </w:r>
          </w:p>
        </w:tc>
        <w:tc>
          <w:tcPr>
            <w:tcW w:w="2106"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506D72">
            <w:pPr>
              <w:pStyle w:val="ListParagraph"/>
              <w:jc w:val="center"/>
              <w:rPr>
                <w:b/>
              </w:rPr>
            </w:pPr>
          </w:p>
          <w:p w:rsidR="00506D72" w:rsidRPr="00506D72" w:rsidRDefault="00506D72" w:rsidP="00506D72">
            <w:pPr>
              <w:pStyle w:val="ListParagraph"/>
              <w:ind w:left="-4"/>
              <w:jc w:val="center"/>
              <w:rPr>
                <w:b/>
              </w:rPr>
            </w:pPr>
            <w:r w:rsidRPr="00506D72">
              <w:rPr>
                <w:b/>
              </w:rPr>
              <w:t>Completion Date</w:t>
            </w:r>
            <w:r w:rsidRPr="00506D72">
              <w:rPr>
                <w:b/>
                <w:vertAlign w:val="superscript"/>
              </w:rPr>
              <w:footnoteReference w:id="24"/>
            </w:r>
          </w:p>
        </w:tc>
      </w:tr>
      <w:tr w:rsidR="00506D72" w:rsidRPr="00506D72">
        <w:trPr>
          <w:jc w:val="center"/>
        </w:trPr>
        <w:tc>
          <w:tcPr>
            <w:tcW w:w="5513"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E57C20">
            <w:pPr>
              <w:pStyle w:val="ListParagraph"/>
              <w:ind w:left="5"/>
              <w:jc w:val="both"/>
            </w:pPr>
            <w:r w:rsidRPr="00506D72">
              <w:t xml:space="preserve">1. Under </w:t>
            </w:r>
            <w:r w:rsidR="000C16FA">
              <w:t>the Project</w:t>
            </w:r>
            <w:r w:rsidR="00106DA5" w:rsidRPr="00106DA5">
              <w:t xml:space="preserve">, contract </w:t>
            </w:r>
            <w:r w:rsidR="00E57C20">
              <w:rPr>
                <w:bCs/>
              </w:rPr>
              <w:t>nine additional FM staff: six</w:t>
            </w:r>
            <w:r w:rsidR="00106DA5" w:rsidRPr="00106DA5">
              <w:rPr>
                <w:bCs/>
              </w:rPr>
              <w:t xml:space="preserve"> </w:t>
            </w:r>
            <w:r w:rsidR="00E57C20">
              <w:rPr>
                <w:bCs/>
              </w:rPr>
              <w:t xml:space="preserve">controllers </w:t>
            </w:r>
            <w:r w:rsidR="00106DA5" w:rsidRPr="00106DA5">
              <w:rPr>
                <w:bCs/>
              </w:rPr>
              <w:t xml:space="preserve">to work closely with the Education Departmental Delegations </w:t>
            </w:r>
            <w:r w:rsidR="00E57C20" w:rsidRPr="00E57C20">
              <w:rPr>
                <w:bCs/>
              </w:rPr>
              <w:t>as part of the internal control system and monitor the transfers and review expenditures support documentation (</w:t>
            </w:r>
            <w:r w:rsidR="00E57C20" w:rsidRPr="00E57C20">
              <w:rPr>
                <w:bCs/>
                <w:i/>
              </w:rPr>
              <w:t>rendición de cuentas</w:t>
            </w:r>
            <w:r w:rsidR="00E57C20" w:rsidRPr="00E57C20">
              <w:rPr>
                <w:bCs/>
              </w:rPr>
              <w:t>)</w:t>
            </w:r>
            <w:r w:rsidR="00E57C20">
              <w:rPr>
                <w:bCs/>
              </w:rPr>
              <w:t xml:space="preserve">; </w:t>
            </w:r>
            <w:r w:rsidR="00106DA5" w:rsidRPr="00106DA5">
              <w:rPr>
                <w:bCs/>
              </w:rPr>
              <w:t xml:space="preserve">two </w:t>
            </w:r>
            <w:r w:rsidR="0033202A">
              <w:rPr>
                <w:bCs/>
              </w:rPr>
              <w:t>a</w:t>
            </w:r>
            <w:r w:rsidR="00FF2DAE">
              <w:rPr>
                <w:bCs/>
              </w:rPr>
              <w:t>ccountants and on</w:t>
            </w:r>
            <w:r w:rsidR="0033202A">
              <w:rPr>
                <w:bCs/>
              </w:rPr>
              <w:t>e senior financial management s</w:t>
            </w:r>
            <w:r w:rsidR="00E57C20">
              <w:rPr>
                <w:bCs/>
              </w:rPr>
              <w:t xml:space="preserve">pecialist </w:t>
            </w:r>
            <w:r w:rsidR="00106DA5" w:rsidRPr="00106DA5">
              <w:rPr>
                <w:bCs/>
              </w:rPr>
              <w:t>to reinforce the Central Office of DGAF MINED with the appropriate skills, experience and knowledge to perform the FM functions</w:t>
            </w:r>
            <w:r w:rsidRPr="00506D72">
              <w:t>.</w:t>
            </w:r>
          </w:p>
        </w:tc>
        <w:tc>
          <w:tcPr>
            <w:tcW w:w="2232"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506D72">
            <w:pPr>
              <w:pStyle w:val="ListParagraph"/>
              <w:ind w:left="0"/>
              <w:jc w:val="both"/>
            </w:pPr>
            <w:r w:rsidRPr="00506D72">
              <w:t>MINED AFGD</w:t>
            </w:r>
          </w:p>
        </w:tc>
        <w:tc>
          <w:tcPr>
            <w:tcW w:w="2106" w:type="dxa"/>
            <w:tcBorders>
              <w:top w:val="single" w:sz="4" w:space="0" w:color="auto"/>
              <w:left w:val="single" w:sz="4" w:space="0" w:color="auto"/>
              <w:bottom w:val="single" w:sz="4" w:space="0" w:color="auto"/>
              <w:right w:val="single" w:sz="4" w:space="0" w:color="auto"/>
            </w:tcBorders>
            <w:vAlign w:val="center"/>
          </w:tcPr>
          <w:p w:rsidR="00506D72" w:rsidRPr="00106DA5" w:rsidRDefault="00E57C20" w:rsidP="00506D72">
            <w:pPr>
              <w:pStyle w:val="ListParagraph"/>
              <w:ind w:left="-4"/>
            </w:pPr>
            <w:r>
              <w:t>December</w:t>
            </w:r>
            <w:r w:rsidR="00506D72" w:rsidRPr="00106DA5">
              <w:t xml:space="preserve"> 2012</w:t>
            </w:r>
          </w:p>
        </w:tc>
      </w:tr>
      <w:tr w:rsidR="00506D72" w:rsidRPr="00506D72">
        <w:trPr>
          <w:jc w:val="center"/>
        </w:trPr>
        <w:tc>
          <w:tcPr>
            <w:tcW w:w="5513"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046972">
            <w:pPr>
              <w:pStyle w:val="ListParagraph"/>
              <w:ind w:left="5"/>
              <w:jc w:val="both"/>
            </w:pPr>
            <w:r w:rsidRPr="00506D72">
              <w:t>2. Contract joint external audit (</w:t>
            </w:r>
            <w:r w:rsidR="000C16FA">
              <w:t>the Project</w:t>
            </w:r>
            <w:r w:rsidRPr="00506D72">
              <w:t xml:space="preserve"> and PASEN II), based on</w:t>
            </w:r>
            <w:r w:rsidR="0033202A">
              <w:t xml:space="preserve"> Terms of Reference </w:t>
            </w:r>
            <w:r w:rsidRPr="00506D72">
              <w:t xml:space="preserve">and short list satisfactory to the </w:t>
            </w:r>
            <w:r w:rsidR="00ED6468">
              <w:t>Bank</w:t>
            </w:r>
            <w:r w:rsidRPr="00506D72">
              <w:t xml:space="preserve"> for the entire implementation period of the Project.</w:t>
            </w:r>
          </w:p>
        </w:tc>
        <w:tc>
          <w:tcPr>
            <w:tcW w:w="2232"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506D72">
            <w:pPr>
              <w:pStyle w:val="ListParagraph"/>
              <w:ind w:left="0"/>
              <w:jc w:val="both"/>
            </w:pPr>
            <w:r w:rsidRPr="00506D72">
              <w:t>MINED AFGD</w:t>
            </w:r>
          </w:p>
        </w:tc>
        <w:tc>
          <w:tcPr>
            <w:tcW w:w="2106" w:type="dxa"/>
            <w:tcBorders>
              <w:top w:val="single" w:sz="4" w:space="0" w:color="auto"/>
              <w:left w:val="single" w:sz="4" w:space="0" w:color="auto"/>
              <w:bottom w:val="single" w:sz="4" w:space="0" w:color="auto"/>
              <w:right w:val="single" w:sz="4" w:space="0" w:color="auto"/>
            </w:tcBorders>
            <w:vAlign w:val="center"/>
          </w:tcPr>
          <w:p w:rsidR="00506D72" w:rsidRPr="00106DA5" w:rsidRDefault="00E57C20" w:rsidP="00506D72">
            <w:pPr>
              <w:pStyle w:val="ListParagraph"/>
              <w:ind w:left="-4"/>
            </w:pPr>
            <w:r>
              <w:t>December</w:t>
            </w:r>
            <w:r w:rsidR="00506D72" w:rsidRPr="00106DA5">
              <w:t xml:space="preserve"> 2012</w:t>
            </w:r>
          </w:p>
        </w:tc>
      </w:tr>
      <w:tr w:rsidR="00506D72" w:rsidRPr="00506D72">
        <w:trPr>
          <w:jc w:val="center"/>
        </w:trPr>
        <w:tc>
          <w:tcPr>
            <w:tcW w:w="5513" w:type="dxa"/>
            <w:tcBorders>
              <w:top w:val="single" w:sz="4" w:space="0" w:color="auto"/>
              <w:left w:val="single" w:sz="4" w:space="0" w:color="auto"/>
              <w:bottom w:val="single" w:sz="4" w:space="0" w:color="auto"/>
              <w:right w:val="single" w:sz="4" w:space="0" w:color="auto"/>
            </w:tcBorders>
            <w:vAlign w:val="center"/>
          </w:tcPr>
          <w:p w:rsidR="00506D72" w:rsidRPr="00506D72" w:rsidRDefault="00506D72" w:rsidP="00506D72">
            <w:pPr>
              <w:pStyle w:val="ListParagraph"/>
              <w:ind w:left="5"/>
              <w:jc w:val="both"/>
            </w:pPr>
            <w:r w:rsidRPr="00506D72">
              <w:t>3. Provide specific training in FM &amp; Disbursements for Project FM Staff</w:t>
            </w:r>
          </w:p>
        </w:tc>
        <w:tc>
          <w:tcPr>
            <w:tcW w:w="2232" w:type="dxa"/>
            <w:tcBorders>
              <w:top w:val="single" w:sz="4" w:space="0" w:color="auto"/>
              <w:left w:val="single" w:sz="4" w:space="0" w:color="auto"/>
              <w:bottom w:val="single" w:sz="4" w:space="0" w:color="auto"/>
              <w:right w:val="single" w:sz="4" w:space="0" w:color="auto"/>
            </w:tcBorders>
            <w:vAlign w:val="center"/>
          </w:tcPr>
          <w:p w:rsidR="00506D72" w:rsidRPr="00506D72" w:rsidRDefault="00ED6468" w:rsidP="00506D72">
            <w:pPr>
              <w:pStyle w:val="ListParagraph"/>
              <w:ind w:left="0"/>
              <w:jc w:val="both"/>
            </w:pPr>
            <w:r>
              <w:t>Bank</w:t>
            </w:r>
          </w:p>
        </w:tc>
        <w:tc>
          <w:tcPr>
            <w:tcW w:w="2106" w:type="dxa"/>
            <w:tcBorders>
              <w:top w:val="single" w:sz="4" w:space="0" w:color="auto"/>
              <w:left w:val="single" w:sz="4" w:space="0" w:color="auto"/>
              <w:bottom w:val="single" w:sz="4" w:space="0" w:color="auto"/>
              <w:right w:val="single" w:sz="4" w:space="0" w:color="auto"/>
            </w:tcBorders>
            <w:vAlign w:val="center"/>
          </w:tcPr>
          <w:p w:rsidR="00506D72" w:rsidRPr="00106DA5" w:rsidRDefault="00E57C20" w:rsidP="00506D72">
            <w:pPr>
              <w:pStyle w:val="ListParagraph"/>
              <w:ind w:left="-4"/>
            </w:pPr>
            <w:r>
              <w:t>January 2013</w:t>
            </w:r>
          </w:p>
        </w:tc>
      </w:tr>
    </w:tbl>
    <w:p w:rsidR="00797FEF" w:rsidRPr="00DF162D" w:rsidRDefault="00797FEF" w:rsidP="00797FEF">
      <w:pPr>
        <w:pStyle w:val="ListParagraph"/>
        <w:spacing w:after="200"/>
        <w:ind w:left="0"/>
        <w:jc w:val="both"/>
        <w:rPr>
          <w:u w:val="single"/>
        </w:rPr>
      </w:pPr>
    </w:p>
    <w:p w:rsidR="00700856" w:rsidRDefault="00ED6468" w:rsidP="005E2993">
      <w:pPr>
        <w:numPr>
          <w:ilvl w:val="3"/>
          <w:numId w:val="1"/>
        </w:numPr>
        <w:ind w:left="0" w:firstLine="0"/>
        <w:jc w:val="both"/>
      </w:pPr>
      <w:r>
        <w:rPr>
          <w:u w:val="single"/>
        </w:rPr>
        <w:lastRenderedPageBreak/>
        <w:t>Bank</w:t>
      </w:r>
      <w:r w:rsidR="00D270D8" w:rsidRPr="00D270D8">
        <w:rPr>
          <w:u w:val="single"/>
        </w:rPr>
        <w:t xml:space="preserve"> FM Supervision Plan</w:t>
      </w:r>
      <w:r w:rsidR="00D270D8" w:rsidRPr="00D270D8">
        <w:t xml:space="preserve">. A </w:t>
      </w:r>
      <w:r>
        <w:t>Bank</w:t>
      </w:r>
      <w:r w:rsidR="00506D72">
        <w:t xml:space="preserve"> FM Specialist would undertake</w:t>
      </w:r>
      <w:r w:rsidR="00D270D8" w:rsidRPr="00D270D8">
        <w:t xml:space="preserve"> a supervision mission prior to Project’s effectiveness to verify the implementation of the action plan and review all FM arrangements for the Project.  After effectiveness, the FM </w:t>
      </w:r>
      <w:r w:rsidR="00D270D8" w:rsidRPr="00D270D8">
        <w:rPr>
          <w:bCs/>
        </w:rPr>
        <w:t>Specialist</w:t>
      </w:r>
      <w:r w:rsidR="00D270D8" w:rsidRPr="00D270D8">
        <w:t xml:space="preserve"> would review the annual audit report, the financial </w:t>
      </w:r>
      <w:r w:rsidR="00D270D8" w:rsidRPr="00D270D8">
        <w:rPr>
          <w:bCs/>
        </w:rPr>
        <w:t>sections</w:t>
      </w:r>
      <w:r w:rsidR="00D270D8" w:rsidRPr="00D270D8">
        <w:t xml:space="preserve"> of the semiannual IFRs including a monthly reconciliation of accounts, and perform at least two complete supervision missions per year.  Additional supervision missions would be carried out, if necessary.</w:t>
      </w:r>
    </w:p>
    <w:p w:rsidR="00D270D8" w:rsidRPr="00D270D8" w:rsidRDefault="00D270D8" w:rsidP="00D270D8">
      <w:pPr>
        <w:jc w:val="both"/>
      </w:pPr>
    </w:p>
    <w:p w:rsidR="00700856" w:rsidRPr="007C0C91" w:rsidRDefault="006312CC" w:rsidP="007C0C91">
      <w:pPr>
        <w:spacing w:line="276" w:lineRule="auto"/>
        <w:jc w:val="both"/>
        <w:rPr>
          <w:b/>
        </w:rPr>
      </w:pPr>
      <w:r w:rsidRPr="007C0C91">
        <w:rPr>
          <w:b/>
        </w:rPr>
        <w:t>Procurement</w:t>
      </w:r>
    </w:p>
    <w:p w:rsidR="008E7475" w:rsidRDefault="008E7475" w:rsidP="00D270D8">
      <w:pPr>
        <w:ind w:left="3600"/>
        <w:jc w:val="both"/>
      </w:pPr>
    </w:p>
    <w:p w:rsidR="00263D08" w:rsidRDefault="00C52507" w:rsidP="005E2993">
      <w:pPr>
        <w:numPr>
          <w:ilvl w:val="3"/>
          <w:numId w:val="1"/>
        </w:numPr>
        <w:ind w:left="0" w:firstLine="0"/>
        <w:jc w:val="both"/>
      </w:pPr>
      <w:r>
        <w:t>Procurement</w:t>
      </w:r>
      <w:r w:rsidR="000C16FA">
        <w:t xml:space="preserve"> for the </w:t>
      </w:r>
      <w:r w:rsidR="002677F2">
        <w:t>Project</w:t>
      </w:r>
      <w:r w:rsidR="000C16FA">
        <w:t xml:space="preserve"> would</w:t>
      </w:r>
      <w:r w:rsidR="00B30297" w:rsidRPr="006312CC">
        <w:t xml:space="preserve"> be carried out by the Procurement Division of MINED in </w:t>
      </w:r>
      <w:r w:rsidR="00B30297" w:rsidRPr="009C123E">
        <w:t xml:space="preserve">accordance </w:t>
      </w:r>
      <w:r w:rsidR="00B30297" w:rsidRPr="00B30297">
        <w:t>with</w:t>
      </w:r>
      <w:r w:rsidR="00B30297" w:rsidRPr="006312CC">
        <w:t xml:space="preserve"> the provisions of the </w:t>
      </w:r>
      <w:r w:rsidR="00C90FBB">
        <w:t>Grant</w:t>
      </w:r>
      <w:r w:rsidR="00B30297" w:rsidRPr="006312CC">
        <w:t xml:space="preserve"> Agreement, the </w:t>
      </w:r>
      <w:r w:rsidR="00ED6468">
        <w:t>Bank</w:t>
      </w:r>
      <w:r w:rsidR="00B30297" w:rsidRPr="006312CC">
        <w:t xml:space="preserve">’s "Guidelines: Procurement of Goods, Works and Non-Consulting Services Under IBRD Loans and </w:t>
      </w:r>
      <w:r w:rsidR="00ED6468">
        <w:t>Bank</w:t>
      </w:r>
      <w:r w:rsidR="00B30297" w:rsidRPr="006312CC">
        <w:t xml:space="preserve"> Credits &amp; Grants" and "Guidelines: </w:t>
      </w:r>
      <w:r w:rsidR="00B30297" w:rsidRPr="00710641">
        <w:rPr>
          <w:bCs/>
        </w:rPr>
        <w:t>Selection</w:t>
      </w:r>
      <w:r w:rsidR="00B30297" w:rsidRPr="006312CC">
        <w:t xml:space="preserve"> and Employment of Consultants Under IBRD Loans and </w:t>
      </w:r>
      <w:r w:rsidR="00ED6468">
        <w:t>Bank</w:t>
      </w:r>
      <w:r w:rsidR="00B30297" w:rsidRPr="006312CC">
        <w:t xml:space="preserve"> Credits &amp; Grants by </w:t>
      </w:r>
      <w:r w:rsidR="00ED6468">
        <w:t>Bank</w:t>
      </w:r>
      <w:r w:rsidR="00B30297" w:rsidRPr="006312CC">
        <w:t xml:space="preserve"> Borrowers</w:t>
      </w:r>
      <w:r w:rsidR="00EE2ABC">
        <w:t>,”</w:t>
      </w:r>
      <w:r w:rsidR="00B30297" w:rsidRPr="006312CC">
        <w:t xml:space="preserve"> both dated January 2011, and the </w:t>
      </w:r>
      <w:r w:rsidR="007B4E72">
        <w:t>OM</w:t>
      </w:r>
      <w:r w:rsidR="00B30297" w:rsidRPr="006312CC">
        <w:t>.</w:t>
      </w:r>
    </w:p>
    <w:p w:rsidR="00700856" w:rsidRDefault="00700856" w:rsidP="00700856">
      <w:pPr>
        <w:jc w:val="both"/>
      </w:pPr>
    </w:p>
    <w:p w:rsidR="00D151FF" w:rsidRPr="008B7B46" w:rsidRDefault="00D151FF" w:rsidP="005E2993">
      <w:pPr>
        <w:numPr>
          <w:ilvl w:val="3"/>
          <w:numId w:val="1"/>
        </w:numPr>
        <w:ind w:left="0" w:firstLine="0"/>
        <w:jc w:val="both"/>
      </w:pPr>
      <w:r w:rsidRPr="00CA091C">
        <w:rPr>
          <w:b/>
        </w:rPr>
        <w:t>Works</w:t>
      </w:r>
      <w:r w:rsidRPr="00362E38">
        <w:t xml:space="preserve"> </w:t>
      </w:r>
      <w:r w:rsidRPr="00362E38">
        <w:rPr>
          <w:bCs/>
        </w:rPr>
        <w:t xml:space="preserve">to be financed by the </w:t>
      </w:r>
      <w:r w:rsidR="00794548">
        <w:rPr>
          <w:bCs/>
        </w:rPr>
        <w:t>G</w:t>
      </w:r>
      <w:r w:rsidRPr="00362E38">
        <w:rPr>
          <w:bCs/>
        </w:rPr>
        <w:t xml:space="preserve">rant </w:t>
      </w:r>
      <w:r w:rsidRPr="00362E38">
        <w:t xml:space="preserve">include </w:t>
      </w:r>
      <w:r w:rsidRPr="00362E38">
        <w:rPr>
          <w:bCs/>
        </w:rPr>
        <w:t>the construction, rehabilitation and refurbishing of around 2</w:t>
      </w:r>
      <w:r>
        <w:rPr>
          <w:bCs/>
        </w:rPr>
        <w:t>0</w:t>
      </w:r>
      <w:r w:rsidRPr="00362E38">
        <w:rPr>
          <w:bCs/>
        </w:rPr>
        <w:t xml:space="preserve">0 </w:t>
      </w:r>
      <w:r>
        <w:rPr>
          <w:bCs/>
        </w:rPr>
        <w:t>pre</w:t>
      </w:r>
      <w:r w:rsidRPr="00362E38">
        <w:rPr>
          <w:bCs/>
        </w:rPr>
        <w:t>school</w:t>
      </w:r>
      <w:r>
        <w:rPr>
          <w:bCs/>
        </w:rPr>
        <w:t xml:space="preserve"> classrooms</w:t>
      </w:r>
      <w:r w:rsidR="002B289C">
        <w:rPr>
          <w:bCs/>
        </w:rPr>
        <w:t xml:space="preserve"> including</w:t>
      </w:r>
      <w:r w:rsidR="00E57C20">
        <w:rPr>
          <w:bCs/>
        </w:rPr>
        <w:t xml:space="preserve"> complementary facilities</w:t>
      </w:r>
      <w:r>
        <w:rPr>
          <w:bCs/>
        </w:rPr>
        <w:t xml:space="preserve"> and 250 core</w:t>
      </w:r>
      <w:r w:rsidR="00E57C20">
        <w:rPr>
          <w:bCs/>
        </w:rPr>
        <w:t xml:space="preserve"> basic education</w:t>
      </w:r>
      <w:r>
        <w:rPr>
          <w:bCs/>
        </w:rPr>
        <w:t xml:space="preserve"> schools (K to 9 </w:t>
      </w:r>
      <w:proofErr w:type="gramStart"/>
      <w:r>
        <w:rPr>
          <w:bCs/>
        </w:rPr>
        <w:t>grade</w:t>
      </w:r>
      <w:proofErr w:type="gramEnd"/>
      <w:r>
        <w:rPr>
          <w:bCs/>
        </w:rPr>
        <w:t>)</w:t>
      </w:r>
      <w:r w:rsidRPr="00362E38">
        <w:rPr>
          <w:bCs/>
        </w:rPr>
        <w:t xml:space="preserve"> in 43 </w:t>
      </w:r>
      <w:r w:rsidR="00636799">
        <w:rPr>
          <w:bCs/>
        </w:rPr>
        <w:t>selected</w:t>
      </w:r>
      <w:r w:rsidR="00636799" w:rsidRPr="00362E38">
        <w:rPr>
          <w:bCs/>
        </w:rPr>
        <w:t xml:space="preserve"> </w:t>
      </w:r>
      <w:r w:rsidRPr="00362E38">
        <w:rPr>
          <w:bCs/>
        </w:rPr>
        <w:t>municipalities.</w:t>
      </w:r>
      <w:r w:rsidRPr="00362E38">
        <w:rPr>
          <w:iCs/>
        </w:rPr>
        <w:t xml:space="preserve"> </w:t>
      </w:r>
      <w:r>
        <w:rPr>
          <w:iCs/>
        </w:rPr>
        <w:t xml:space="preserve"> </w:t>
      </w:r>
      <w:r w:rsidRPr="00362E38">
        <w:rPr>
          <w:iCs/>
        </w:rPr>
        <w:t xml:space="preserve">Given the large number of interventions, works located in the same area </w:t>
      </w:r>
      <w:r w:rsidR="00636C8C">
        <w:rPr>
          <w:iCs/>
        </w:rPr>
        <w:t>would</w:t>
      </w:r>
      <w:r w:rsidRPr="00362E38">
        <w:rPr>
          <w:iCs/>
        </w:rPr>
        <w:t xml:space="preserve"> be packaged and bid together using the method of lots.</w:t>
      </w:r>
      <w:r>
        <w:rPr>
          <w:iCs/>
        </w:rPr>
        <w:t xml:space="preserve"> </w:t>
      </w:r>
      <w:r w:rsidRPr="00362E38">
        <w:rPr>
          <w:iCs/>
        </w:rPr>
        <w:t xml:space="preserve"> </w:t>
      </w:r>
      <w:r>
        <w:rPr>
          <w:iCs/>
        </w:rPr>
        <w:t xml:space="preserve">Resulting </w:t>
      </w:r>
      <w:r w:rsidRPr="00362E38">
        <w:rPr>
          <w:iCs/>
        </w:rPr>
        <w:t xml:space="preserve">contracts are </w:t>
      </w:r>
      <w:r w:rsidRPr="00362E38">
        <w:rPr>
          <w:bCs/>
        </w:rPr>
        <w:t>estimated</w:t>
      </w:r>
      <w:r w:rsidRPr="00362E38">
        <w:rPr>
          <w:iCs/>
        </w:rPr>
        <w:t xml:space="preserve"> to cost below US$1,500,000 and </w:t>
      </w:r>
      <w:r w:rsidR="00636C8C">
        <w:rPr>
          <w:iCs/>
        </w:rPr>
        <w:t>would</w:t>
      </w:r>
      <w:r w:rsidRPr="00362E38">
        <w:rPr>
          <w:iCs/>
        </w:rPr>
        <w:t xml:space="preserve"> be procured following N</w:t>
      </w:r>
      <w:r w:rsidR="00794548">
        <w:rPr>
          <w:iCs/>
        </w:rPr>
        <w:t>ational Competitive Bidding</w:t>
      </w:r>
      <w:r w:rsidRPr="00362E38">
        <w:rPr>
          <w:iCs/>
        </w:rPr>
        <w:t xml:space="preserve"> </w:t>
      </w:r>
      <w:r w:rsidRPr="00362E38">
        <w:t>procedures</w:t>
      </w:r>
      <w:r w:rsidRPr="00362E38">
        <w:rPr>
          <w:iCs/>
        </w:rPr>
        <w:t xml:space="preserve">. </w:t>
      </w:r>
      <w:r>
        <w:rPr>
          <w:iCs/>
        </w:rPr>
        <w:t xml:space="preserve"> </w:t>
      </w:r>
      <w:r w:rsidRPr="00362E38">
        <w:rPr>
          <w:iCs/>
        </w:rPr>
        <w:t>I</w:t>
      </w:r>
      <w:r w:rsidR="00BD42FA">
        <w:rPr>
          <w:iCs/>
        </w:rPr>
        <w:t xml:space="preserve">nternational </w:t>
      </w:r>
      <w:r w:rsidRPr="00362E38">
        <w:rPr>
          <w:iCs/>
        </w:rPr>
        <w:t>C</w:t>
      </w:r>
      <w:r w:rsidR="00BD42FA">
        <w:rPr>
          <w:iCs/>
        </w:rPr>
        <w:t xml:space="preserve">ompetitive </w:t>
      </w:r>
      <w:r w:rsidRPr="00362E38">
        <w:rPr>
          <w:iCs/>
        </w:rPr>
        <w:t>B</w:t>
      </w:r>
      <w:r w:rsidR="00BD42FA">
        <w:rPr>
          <w:iCs/>
        </w:rPr>
        <w:t>idding</w:t>
      </w:r>
      <w:r w:rsidRPr="00362E38">
        <w:rPr>
          <w:iCs/>
        </w:rPr>
        <w:t xml:space="preserve"> procedures are not foreseen.</w:t>
      </w:r>
    </w:p>
    <w:p w:rsidR="004065AE" w:rsidRDefault="004065AE" w:rsidP="004C166E">
      <w:pPr>
        <w:jc w:val="both"/>
      </w:pPr>
    </w:p>
    <w:p w:rsidR="00263D08" w:rsidRPr="00700856" w:rsidRDefault="005E2E40" w:rsidP="005E2993">
      <w:pPr>
        <w:numPr>
          <w:ilvl w:val="3"/>
          <w:numId w:val="1"/>
        </w:numPr>
        <w:ind w:left="0" w:firstLine="0"/>
        <w:jc w:val="both"/>
        <w:rPr>
          <w:bCs/>
          <w:u w:val="single"/>
        </w:rPr>
      </w:pPr>
      <w:r w:rsidRPr="005E2E40">
        <w:rPr>
          <w:b/>
          <w:bCs/>
        </w:rPr>
        <w:t>Goods</w:t>
      </w:r>
      <w:r w:rsidR="00BD42FA">
        <w:rPr>
          <w:bCs/>
        </w:rPr>
        <w:t xml:space="preserve"> to be financed by the G</w:t>
      </w:r>
      <w:r w:rsidRPr="005E2E40">
        <w:rPr>
          <w:bCs/>
        </w:rPr>
        <w:t>rant include a wide variety of items: office and ICT equipment, school materials and furniture, blackboards, preparation and production of teaching and education materials</w:t>
      </w:r>
      <w:r>
        <w:rPr>
          <w:bCs/>
        </w:rPr>
        <w:t>.</w:t>
      </w:r>
      <w:r w:rsidRPr="005E2E40">
        <w:rPr>
          <w:bCs/>
        </w:rPr>
        <w:t xml:space="preserve">  The distribution of the above mentioned goods to their agreed distribution points (i.e.: municipal delegations and/or large schools) </w:t>
      </w:r>
      <w:r w:rsidR="00636C8C">
        <w:rPr>
          <w:bCs/>
        </w:rPr>
        <w:t>would</w:t>
      </w:r>
      <w:r w:rsidRPr="005E2E40">
        <w:rPr>
          <w:bCs/>
        </w:rPr>
        <w:t xml:space="preserve"> be contracted to the supplier in order to provide a single responsibility solution.  Procurement </w:t>
      </w:r>
      <w:r w:rsidR="00636C8C">
        <w:rPr>
          <w:bCs/>
        </w:rPr>
        <w:t>would</w:t>
      </w:r>
      <w:r w:rsidRPr="005E2E40">
        <w:rPr>
          <w:bCs/>
        </w:rPr>
        <w:t xml:space="preserve"> follow ICB procedures with the exception of contracts estimated to cost below the equivalent of US$150,000, which may be procured following NCB procedures</w:t>
      </w:r>
      <w:r w:rsidRPr="005E2E40">
        <w:rPr>
          <w:b/>
          <w:bCs/>
          <w:i/>
        </w:rPr>
        <w:t>.</w:t>
      </w:r>
    </w:p>
    <w:p w:rsidR="00700856" w:rsidRPr="00700856" w:rsidRDefault="00700856" w:rsidP="00700856">
      <w:pPr>
        <w:jc w:val="both"/>
        <w:rPr>
          <w:bCs/>
          <w:u w:val="single"/>
        </w:rPr>
      </w:pPr>
    </w:p>
    <w:p w:rsidR="00263D08" w:rsidRPr="008061BF" w:rsidRDefault="006312CC" w:rsidP="005E2993">
      <w:pPr>
        <w:numPr>
          <w:ilvl w:val="3"/>
          <w:numId w:val="1"/>
        </w:numPr>
        <w:ind w:left="0" w:firstLine="0"/>
        <w:jc w:val="both"/>
      </w:pPr>
      <w:r w:rsidRPr="00D468FC">
        <w:rPr>
          <w:b/>
          <w:bCs/>
        </w:rPr>
        <w:t>Non-consulting services</w:t>
      </w:r>
      <w:r w:rsidRPr="006312CC">
        <w:rPr>
          <w:bCs/>
        </w:rPr>
        <w:t xml:space="preserve"> </w:t>
      </w:r>
      <w:r w:rsidR="005E2E40" w:rsidRPr="005E2E40">
        <w:rPr>
          <w:bCs/>
        </w:rPr>
        <w:t xml:space="preserve">to be financed by the </w:t>
      </w:r>
      <w:r w:rsidR="005E2E40" w:rsidRPr="005E2E40">
        <w:rPr>
          <w:bCs/>
          <w:iCs/>
        </w:rPr>
        <w:t>include (a) surveys</w:t>
      </w:r>
      <w:r w:rsidR="00C90FBB">
        <w:rPr>
          <w:bCs/>
          <w:iCs/>
        </w:rPr>
        <w:t>, including standardized test administration</w:t>
      </w:r>
      <w:r w:rsidR="005E2E40" w:rsidRPr="005E2E40">
        <w:rPr>
          <w:bCs/>
        </w:rPr>
        <w:t xml:space="preserve">, (b) transport; and (c) printing services.  </w:t>
      </w:r>
      <w:r w:rsidR="005E2E40" w:rsidRPr="005E2E40">
        <w:rPr>
          <w:bCs/>
          <w:iCs/>
        </w:rPr>
        <w:t xml:space="preserve">Contracts </w:t>
      </w:r>
      <w:r w:rsidR="005E2E40" w:rsidRPr="005E2E40">
        <w:rPr>
          <w:bCs/>
        </w:rPr>
        <w:t>estimated</w:t>
      </w:r>
      <w:r w:rsidR="005E2E40" w:rsidRPr="005E2E40">
        <w:rPr>
          <w:bCs/>
          <w:iCs/>
        </w:rPr>
        <w:t xml:space="preserve"> to cost below US$150,000 </w:t>
      </w:r>
      <w:r w:rsidR="00636C8C">
        <w:rPr>
          <w:bCs/>
          <w:iCs/>
        </w:rPr>
        <w:t>would</w:t>
      </w:r>
      <w:r w:rsidR="005E2E40" w:rsidRPr="005E2E40">
        <w:rPr>
          <w:bCs/>
          <w:iCs/>
        </w:rPr>
        <w:t xml:space="preserve"> be procured following NCB </w:t>
      </w:r>
      <w:r w:rsidR="005E2E40" w:rsidRPr="005E2E40">
        <w:rPr>
          <w:bCs/>
        </w:rPr>
        <w:t>procedures</w:t>
      </w:r>
      <w:r w:rsidR="005E2E40" w:rsidRPr="005E2E40">
        <w:rPr>
          <w:bCs/>
          <w:iCs/>
        </w:rPr>
        <w:t>. ICB procedures are not foreseen.</w:t>
      </w:r>
    </w:p>
    <w:p w:rsidR="008061BF" w:rsidRDefault="008061BF" w:rsidP="008061BF">
      <w:pPr>
        <w:jc w:val="both"/>
      </w:pPr>
    </w:p>
    <w:p w:rsidR="00EA090D" w:rsidRDefault="006312CC" w:rsidP="005E2993">
      <w:pPr>
        <w:numPr>
          <w:ilvl w:val="3"/>
          <w:numId w:val="1"/>
        </w:numPr>
        <w:ind w:left="0" w:firstLine="0"/>
        <w:jc w:val="both"/>
      </w:pPr>
      <w:r w:rsidRPr="00D468FC">
        <w:rPr>
          <w:b/>
        </w:rPr>
        <w:t>Bidding Documents:</w:t>
      </w:r>
      <w:r w:rsidRPr="006312CC">
        <w:rPr>
          <w:b/>
          <w:i/>
        </w:rPr>
        <w:t xml:space="preserve"> </w:t>
      </w:r>
      <w:r w:rsidRPr="006312CC">
        <w:t xml:space="preserve"> ICBs </w:t>
      </w:r>
      <w:r w:rsidR="00636C8C">
        <w:t>would</w:t>
      </w:r>
      <w:r w:rsidRPr="006312CC">
        <w:t xml:space="preserve"> be bid using the </w:t>
      </w:r>
      <w:r w:rsidR="00ED6468">
        <w:t>Bank</w:t>
      </w:r>
      <w:r w:rsidRPr="006312CC">
        <w:t>’s Standard Bidding Docum</w:t>
      </w:r>
      <w:r w:rsidR="0012583F">
        <w:t>ents</w:t>
      </w:r>
      <w:r w:rsidRPr="006312CC">
        <w:t xml:space="preserve"> for Goods, the </w:t>
      </w:r>
      <w:r w:rsidR="00ED6468">
        <w:t>Bank</w:t>
      </w:r>
      <w:r w:rsidRPr="006312CC">
        <w:t xml:space="preserve">’s Trial Bidding Document for the Procurement of Textbooks and reading materials and the </w:t>
      </w:r>
      <w:r w:rsidR="00ED6468">
        <w:t>Bank</w:t>
      </w:r>
      <w:r w:rsidRPr="006312CC">
        <w:t xml:space="preserve">’s Sample Bidding Document for the Procurement of Non-Consultant Services. The procurement under NCB procedures </w:t>
      </w:r>
      <w:r w:rsidR="00636C8C">
        <w:t>would</w:t>
      </w:r>
      <w:r w:rsidRPr="006312CC">
        <w:t xml:space="preserve"> be conducted using bidding documents to be agreed with the Nicaraguan Procurement Directorate</w:t>
      </w:r>
      <w:r w:rsidRPr="006312CC">
        <w:rPr>
          <w:vertAlign w:val="superscript"/>
        </w:rPr>
        <w:footnoteReference w:id="25"/>
      </w:r>
      <w:r w:rsidRPr="006312CC">
        <w:t xml:space="preserve">. These documents </w:t>
      </w:r>
      <w:r w:rsidR="00636C8C">
        <w:t>would</w:t>
      </w:r>
      <w:r w:rsidRPr="006312CC">
        <w:t xml:space="preserve"> be based on national procurement documents, since local law procurement methods can be considered equivalent to </w:t>
      </w:r>
      <w:r w:rsidR="00ED6468">
        <w:t>Bank</w:t>
      </w:r>
      <w:r w:rsidRPr="006312CC">
        <w:t xml:space="preserve"> NCB, if minor adjustments are introduced to the bidding documents</w:t>
      </w:r>
      <w:r w:rsidRPr="006312CC">
        <w:rPr>
          <w:vertAlign w:val="superscript"/>
        </w:rPr>
        <w:footnoteReference w:id="26"/>
      </w:r>
      <w:r w:rsidRPr="006312CC">
        <w:t xml:space="preserve">. The </w:t>
      </w:r>
      <w:r w:rsidRPr="006312CC">
        <w:lastRenderedPageBreak/>
        <w:t xml:space="preserve">ranges of application of each of the local methods equivalent to </w:t>
      </w:r>
      <w:r w:rsidR="00ED6468">
        <w:t>Bank</w:t>
      </w:r>
      <w:r w:rsidRPr="006312CC">
        <w:t xml:space="preserve"> NCB and the minimum bidding terms are displayed in the chart below:</w:t>
      </w:r>
    </w:p>
    <w:p w:rsidR="00977393" w:rsidRDefault="00977393" w:rsidP="00977393">
      <w:pPr>
        <w:jc w:val="both"/>
      </w:pPr>
    </w:p>
    <w:p w:rsidR="00EA090D" w:rsidRDefault="00D25987" w:rsidP="0033202A">
      <w:pPr>
        <w:jc w:val="center"/>
        <w:rPr>
          <w:b/>
        </w:rPr>
      </w:pPr>
      <w:r>
        <w:rPr>
          <w:b/>
        </w:rPr>
        <w:t xml:space="preserve">                </w:t>
      </w:r>
      <w:r w:rsidR="0033202A" w:rsidRPr="0033202A">
        <w:rPr>
          <w:b/>
        </w:rPr>
        <w:t>Table 3.3</w:t>
      </w:r>
      <w:r w:rsidR="0033202A">
        <w:rPr>
          <w:b/>
        </w:rPr>
        <w:t xml:space="preserve"> B</w:t>
      </w:r>
      <w:r w:rsidR="0033202A" w:rsidRPr="0033202A">
        <w:rPr>
          <w:b/>
        </w:rPr>
        <w:t>idding Thresholds</w:t>
      </w:r>
    </w:p>
    <w:tbl>
      <w:tblPr>
        <w:tblStyle w:val="TableGrid1"/>
        <w:tblW w:w="8902" w:type="dxa"/>
        <w:tblInd w:w="468" w:type="dxa"/>
        <w:tblLayout w:type="fixed"/>
        <w:tblLook w:val="01E0" w:firstRow="1" w:lastRow="1" w:firstColumn="1" w:lastColumn="1" w:noHBand="0" w:noVBand="0"/>
      </w:tblPr>
      <w:tblGrid>
        <w:gridCol w:w="3760"/>
        <w:gridCol w:w="1714"/>
        <w:gridCol w:w="1714"/>
        <w:gridCol w:w="1714"/>
      </w:tblGrid>
      <w:tr w:rsidR="00977393" w:rsidRPr="00D52124" w:rsidTr="00D25987">
        <w:trPr>
          <w:trHeight w:val="71"/>
        </w:trPr>
        <w:tc>
          <w:tcPr>
            <w:tcW w:w="3760"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both"/>
              <w:rPr>
                <w:snapToGrid/>
                <w:sz w:val="24"/>
                <w:szCs w:val="24"/>
                <w:lang w:eastAsia="en-US"/>
              </w:rPr>
            </w:pPr>
            <w:r w:rsidRPr="00D52124">
              <w:rPr>
                <w:b/>
                <w:bCs/>
                <w:snapToGrid/>
                <w:sz w:val="24"/>
                <w:szCs w:val="24"/>
                <w:lang w:eastAsia="en-US"/>
              </w:rPr>
              <w:t>Local Law Method</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b/>
                <w:bCs/>
                <w:snapToGrid/>
                <w:sz w:val="24"/>
                <w:szCs w:val="24"/>
                <w:lang w:val="en-US" w:eastAsia="en-US"/>
              </w:rPr>
            </w:pPr>
            <w:r w:rsidRPr="00D52124">
              <w:rPr>
                <w:b/>
                <w:bCs/>
                <w:snapToGrid/>
                <w:sz w:val="24"/>
                <w:szCs w:val="24"/>
                <w:lang w:eastAsia="en-US"/>
              </w:rPr>
              <w:t>Threshold (US$)</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b/>
                <w:bCs/>
                <w:snapToGrid/>
                <w:sz w:val="24"/>
                <w:szCs w:val="24"/>
                <w:lang w:eastAsia="en-US"/>
              </w:rPr>
              <w:t>Ceiling (US$)</w:t>
            </w:r>
          </w:p>
        </w:tc>
        <w:tc>
          <w:tcPr>
            <w:tcW w:w="1714" w:type="dxa"/>
            <w:tcBorders>
              <w:top w:val="single" w:sz="4" w:space="0" w:color="auto"/>
              <w:left w:val="single" w:sz="4" w:space="0" w:color="auto"/>
              <w:bottom w:val="single" w:sz="4" w:space="0" w:color="auto"/>
              <w:right w:val="single" w:sz="4" w:space="0" w:color="auto"/>
            </w:tcBorders>
            <w:vAlign w:val="center"/>
          </w:tcPr>
          <w:p w:rsidR="00D25987" w:rsidRDefault="00977393" w:rsidP="00C42C57">
            <w:pPr>
              <w:jc w:val="center"/>
              <w:rPr>
                <w:b/>
                <w:bCs/>
                <w:snapToGrid/>
                <w:sz w:val="24"/>
                <w:szCs w:val="24"/>
                <w:lang w:eastAsia="en-US"/>
              </w:rPr>
            </w:pPr>
            <w:r w:rsidRPr="00D52124">
              <w:rPr>
                <w:b/>
                <w:bCs/>
                <w:snapToGrid/>
                <w:sz w:val="24"/>
                <w:szCs w:val="24"/>
                <w:lang w:eastAsia="en-US"/>
              </w:rPr>
              <w:t>Bidding</w:t>
            </w:r>
          </w:p>
          <w:p w:rsidR="00D25987" w:rsidRDefault="00977393" w:rsidP="00C42C57">
            <w:pPr>
              <w:jc w:val="center"/>
              <w:rPr>
                <w:b/>
                <w:bCs/>
                <w:snapToGrid/>
                <w:sz w:val="24"/>
                <w:szCs w:val="24"/>
                <w:lang w:eastAsia="en-US"/>
              </w:rPr>
            </w:pPr>
            <w:r w:rsidRPr="00D52124">
              <w:rPr>
                <w:b/>
                <w:bCs/>
                <w:snapToGrid/>
                <w:sz w:val="24"/>
                <w:szCs w:val="24"/>
                <w:lang w:eastAsia="en-US"/>
              </w:rPr>
              <w:t xml:space="preserve"> Minimum Term</w:t>
            </w:r>
          </w:p>
          <w:p w:rsidR="00977393" w:rsidRPr="00D52124" w:rsidRDefault="00977393" w:rsidP="00C42C57">
            <w:pPr>
              <w:jc w:val="center"/>
              <w:rPr>
                <w:snapToGrid/>
                <w:sz w:val="24"/>
                <w:szCs w:val="24"/>
                <w:lang w:val="en-US" w:eastAsia="en-US"/>
              </w:rPr>
            </w:pPr>
            <w:r w:rsidRPr="00D52124">
              <w:rPr>
                <w:b/>
                <w:bCs/>
                <w:snapToGrid/>
                <w:sz w:val="24"/>
                <w:szCs w:val="24"/>
                <w:lang w:eastAsia="en-US"/>
              </w:rPr>
              <w:t xml:space="preserve"> (days)</w:t>
            </w:r>
          </w:p>
        </w:tc>
      </w:tr>
      <w:tr w:rsidR="00977393" w:rsidRPr="00D52124" w:rsidTr="00D25987">
        <w:trPr>
          <w:trHeight w:val="85"/>
        </w:trPr>
        <w:tc>
          <w:tcPr>
            <w:tcW w:w="3760"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both"/>
              <w:rPr>
                <w:snapToGrid/>
                <w:sz w:val="24"/>
                <w:szCs w:val="24"/>
                <w:lang w:val="en-US" w:eastAsia="en-US"/>
              </w:rPr>
            </w:pPr>
            <w:r w:rsidRPr="00D52124">
              <w:rPr>
                <w:snapToGrid/>
                <w:sz w:val="24"/>
                <w:szCs w:val="24"/>
                <w:lang w:val="en-US" w:eastAsia="en-US"/>
              </w:rPr>
              <w:t>Public Bidding</w:t>
            </w:r>
            <w:r w:rsidRPr="00D52124">
              <w:rPr>
                <w:snapToGrid/>
                <w:sz w:val="24"/>
                <w:szCs w:val="24"/>
                <w:vertAlign w:val="superscript"/>
                <w:lang w:eastAsia="en-US"/>
              </w:rPr>
              <w:footnoteReference w:id="27"/>
            </w:r>
            <w:r w:rsidRPr="00D52124">
              <w:rPr>
                <w:snapToGrid/>
                <w:sz w:val="24"/>
                <w:szCs w:val="24"/>
                <w:lang w:val="en-US" w:eastAsia="en-US"/>
              </w:rPr>
              <w:t xml:space="preserve"> (only for Works)</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150,000</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1,500,000</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30</w:t>
            </w:r>
          </w:p>
        </w:tc>
      </w:tr>
      <w:tr w:rsidR="00977393" w:rsidRPr="00D52124" w:rsidTr="00D25987">
        <w:trPr>
          <w:trHeight w:val="260"/>
        </w:trPr>
        <w:tc>
          <w:tcPr>
            <w:tcW w:w="3760"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both"/>
              <w:rPr>
                <w:snapToGrid/>
                <w:sz w:val="24"/>
                <w:szCs w:val="24"/>
                <w:lang w:eastAsia="en-US"/>
              </w:rPr>
            </w:pPr>
            <w:r w:rsidRPr="00D52124">
              <w:rPr>
                <w:snapToGrid/>
                <w:sz w:val="24"/>
                <w:szCs w:val="24"/>
                <w:lang w:eastAsia="en-US"/>
              </w:rPr>
              <w:t>Selective Bidding</w:t>
            </w:r>
            <w:r w:rsidRPr="00D52124">
              <w:rPr>
                <w:snapToGrid/>
                <w:sz w:val="24"/>
                <w:szCs w:val="24"/>
                <w:vertAlign w:val="superscript"/>
                <w:lang w:eastAsia="en-US"/>
              </w:rPr>
              <w:footnoteReference w:id="28"/>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25,000</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150,000</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20</w:t>
            </w:r>
          </w:p>
        </w:tc>
      </w:tr>
      <w:tr w:rsidR="00977393" w:rsidRPr="00D52124" w:rsidTr="00D25987">
        <w:trPr>
          <w:trHeight w:val="85"/>
        </w:trPr>
        <w:tc>
          <w:tcPr>
            <w:tcW w:w="3760"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both"/>
              <w:rPr>
                <w:snapToGrid/>
                <w:sz w:val="24"/>
                <w:szCs w:val="24"/>
                <w:lang w:eastAsia="en-US"/>
              </w:rPr>
            </w:pPr>
            <w:r w:rsidRPr="00D52124">
              <w:rPr>
                <w:snapToGrid/>
                <w:sz w:val="24"/>
                <w:szCs w:val="24"/>
                <w:lang w:eastAsia="en-US"/>
              </w:rPr>
              <w:t>Minor Purchase</w:t>
            </w:r>
            <w:r w:rsidRPr="00D52124">
              <w:rPr>
                <w:snapToGrid/>
                <w:sz w:val="24"/>
                <w:szCs w:val="24"/>
                <w:vertAlign w:val="superscript"/>
                <w:lang w:eastAsia="en-US"/>
              </w:rPr>
              <w:footnoteReference w:id="29"/>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n/a</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25,000</w:t>
            </w:r>
          </w:p>
        </w:tc>
        <w:tc>
          <w:tcPr>
            <w:tcW w:w="1714" w:type="dxa"/>
            <w:tcBorders>
              <w:top w:val="single" w:sz="4" w:space="0" w:color="auto"/>
              <w:left w:val="single" w:sz="4" w:space="0" w:color="auto"/>
              <w:bottom w:val="single" w:sz="4" w:space="0" w:color="auto"/>
              <w:right w:val="single" w:sz="4" w:space="0" w:color="auto"/>
            </w:tcBorders>
            <w:vAlign w:val="center"/>
          </w:tcPr>
          <w:p w:rsidR="00977393" w:rsidRPr="00D52124" w:rsidRDefault="00977393" w:rsidP="00C42C57">
            <w:pPr>
              <w:jc w:val="center"/>
              <w:rPr>
                <w:snapToGrid/>
                <w:sz w:val="24"/>
                <w:szCs w:val="24"/>
                <w:lang w:val="en-US" w:eastAsia="en-US"/>
              </w:rPr>
            </w:pPr>
            <w:r w:rsidRPr="00D52124">
              <w:rPr>
                <w:snapToGrid/>
                <w:sz w:val="24"/>
                <w:szCs w:val="24"/>
                <w:lang w:eastAsia="en-US"/>
              </w:rPr>
              <w:t>10</w:t>
            </w:r>
          </w:p>
        </w:tc>
      </w:tr>
    </w:tbl>
    <w:p w:rsidR="009209B7" w:rsidRPr="006312CC" w:rsidRDefault="009209B7" w:rsidP="00C2727E">
      <w:pPr>
        <w:spacing w:line="276" w:lineRule="auto"/>
        <w:jc w:val="both"/>
      </w:pPr>
    </w:p>
    <w:p w:rsidR="00263D08" w:rsidRDefault="006312CC" w:rsidP="005E2993">
      <w:pPr>
        <w:numPr>
          <w:ilvl w:val="3"/>
          <w:numId w:val="1"/>
        </w:numPr>
        <w:ind w:left="0" w:firstLine="0"/>
        <w:jc w:val="both"/>
      </w:pPr>
      <w:r w:rsidRPr="006312CC">
        <w:t xml:space="preserve">The agreed NCB bidding documents </w:t>
      </w:r>
      <w:r w:rsidR="00636C8C">
        <w:t>would</w:t>
      </w:r>
      <w:r w:rsidRPr="006312CC">
        <w:t xml:space="preserve"> be part of the </w:t>
      </w:r>
      <w:r w:rsidR="007B4E72">
        <w:t xml:space="preserve">OM </w:t>
      </w:r>
      <w:r w:rsidRPr="006312CC">
        <w:t>and pu</w:t>
      </w:r>
      <w:r w:rsidR="00D52124">
        <w:t>blished at the SISCAE web page</w:t>
      </w:r>
      <w:r w:rsidRPr="006312CC">
        <w:t>.</w:t>
      </w:r>
    </w:p>
    <w:p w:rsidR="00CD1605" w:rsidRDefault="00CD1605" w:rsidP="00CD1605">
      <w:pPr>
        <w:jc w:val="both"/>
      </w:pPr>
    </w:p>
    <w:p w:rsidR="00263D08" w:rsidRDefault="006312CC" w:rsidP="005E2993">
      <w:pPr>
        <w:numPr>
          <w:ilvl w:val="3"/>
          <w:numId w:val="1"/>
        </w:numPr>
        <w:ind w:left="0" w:firstLine="0"/>
        <w:jc w:val="both"/>
      </w:pPr>
      <w:r w:rsidRPr="00D468FC">
        <w:rPr>
          <w:b/>
        </w:rPr>
        <w:t xml:space="preserve">Shopping </w:t>
      </w:r>
      <w:r w:rsidR="00636C8C">
        <w:t>would</w:t>
      </w:r>
      <w:r w:rsidRPr="006312CC">
        <w:t xml:space="preserve"> be permitted only for contracts estimated to </w:t>
      </w:r>
      <w:r w:rsidRPr="00710641">
        <w:rPr>
          <w:bCs/>
        </w:rPr>
        <w:t>cost</w:t>
      </w:r>
      <w:r w:rsidRPr="006312CC">
        <w:t xml:space="preserve"> below </w:t>
      </w:r>
      <w:r w:rsidR="004F1299">
        <w:t>US$</w:t>
      </w:r>
      <w:r w:rsidRPr="006312CC">
        <w:t xml:space="preserve">25,000. If the process fails to result in three comparable </w:t>
      </w:r>
      <w:r w:rsidRPr="00EC792E">
        <w:rPr>
          <w:bCs/>
        </w:rPr>
        <w:t>quotations</w:t>
      </w:r>
      <w:r w:rsidRPr="006312CC">
        <w:t xml:space="preserve">, MINED </w:t>
      </w:r>
      <w:r w:rsidR="00636C8C">
        <w:t>would</w:t>
      </w:r>
      <w:r w:rsidRPr="006312CC">
        <w:t xml:space="preserve"> repeat it following NCB procedures.</w:t>
      </w:r>
    </w:p>
    <w:p w:rsidR="008061BF" w:rsidRDefault="008061BF" w:rsidP="008061BF">
      <w:pPr>
        <w:jc w:val="both"/>
      </w:pPr>
    </w:p>
    <w:p w:rsidR="00263D08" w:rsidRPr="004F090A" w:rsidRDefault="006312CC" w:rsidP="005E2993">
      <w:pPr>
        <w:numPr>
          <w:ilvl w:val="3"/>
          <w:numId w:val="1"/>
        </w:numPr>
        <w:ind w:left="0" w:firstLine="0"/>
        <w:jc w:val="both"/>
        <w:rPr>
          <w:b/>
        </w:rPr>
      </w:pPr>
      <w:r w:rsidRPr="00D468FC">
        <w:rPr>
          <w:b/>
        </w:rPr>
        <w:t>Consultants Services</w:t>
      </w:r>
      <w:r w:rsidRPr="006312CC">
        <w:rPr>
          <w:b/>
        </w:rPr>
        <w:t xml:space="preserve"> </w:t>
      </w:r>
      <w:r w:rsidR="005E2E40" w:rsidRPr="005E2E40">
        <w:t>fina</w:t>
      </w:r>
      <w:r w:rsidR="0033202A">
        <w:t>nced by the G</w:t>
      </w:r>
      <w:r w:rsidR="005E2E40" w:rsidRPr="005E2E40">
        <w:t xml:space="preserve">rant include technical assistance needed to implement </w:t>
      </w:r>
      <w:r w:rsidR="001279DB">
        <w:t>Project</w:t>
      </w:r>
      <w:r w:rsidR="005E2E40" w:rsidRPr="005E2E40">
        <w:t xml:space="preserve"> activities, including: development of learning materials, delivery of training; fiduciary and technical services and external </w:t>
      </w:r>
      <w:r w:rsidR="005E2E40" w:rsidRPr="005E2E40">
        <w:rPr>
          <w:bCs/>
        </w:rPr>
        <w:t xml:space="preserve">audits. These services </w:t>
      </w:r>
      <w:r w:rsidR="00636C8C">
        <w:rPr>
          <w:bCs/>
        </w:rPr>
        <w:t>would</w:t>
      </w:r>
      <w:r w:rsidR="005E2E40" w:rsidRPr="005E2E40">
        <w:rPr>
          <w:bCs/>
        </w:rPr>
        <w:t xml:space="preserve"> be rendered either by firms or by individuals, as indicated in the Procurement Plan.  </w:t>
      </w:r>
      <w:r w:rsidR="005E2E40" w:rsidRPr="005E2E40">
        <w:t>Short lists of consultants for services estimated to cost less than US$200,000 equivalent per contract may be composed entirely of national consultants; however</w:t>
      </w:r>
      <w:r w:rsidR="0033202A">
        <w:t>,</w:t>
      </w:r>
      <w:r w:rsidR="005E2E40" w:rsidRPr="005E2E40">
        <w:t xml:space="preserve"> process</w:t>
      </w:r>
      <w:r w:rsidR="0033202A">
        <w:t>es</w:t>
      </w:r>
      <w:r w:rsidR="005E2E40" w:rsidRPr="005E2E40">
        <w:t xml:space="preserve"> above that amount are not expected</w:t>
      </w:r>
      <w:r w:rsidR="0033202A">
        <w:t xml:space="preserve"> at this time.   In principle, u</w:t>
      </w:r>
      <w:r w:rsidR="005E2E40" w:rsidRPr="005E2E40">
        <w:t xml:space="preserve">niversities </w:t>
      </w:r>
      <w:r w:rsidR="00636C8C">
        <w:t>would</w:t>
      </w:r>
      <w:r w:rsidR="005E2E40" w:rsidRPr="005E2E40">
        <w:t xml:space="preserve"> be contracted following Single Source Selection to provide certification-based training. In order to take advantage of existing facilities, assignments </w:t>
      </w:r>
      <w:r w:rsidR="00636C8C">
        <w:t>would</w:t>
      </w:r>
      <w:r w:rsidR="005E2E40" w:rsidRPr="005E2E40">
        <w:t xml:space="preserve"> consider current areas of operation. However, prior to making a final decision, a Request for Expression of Interest </w:t>
      </w:r>
      <w:r w:rsidR="00636C8C">
        <w:t>would</w:t>
      </w:r>
      <w:r w:rsidR="005E2E40" w:rsidRPr="005E2E40">
        <w:t xml:space="preserve"> be published in order to assess whether or not competition in any of those areas is foreseeable.</w:t>
      </w:r>
    </w:p>
    <w:p w:rsidR="004F090A" w:rsidRPr="004F090A" w:rsidRDefault="004F090A" w:rsidP="004F090A">
      <w:pPr>
        <w:jc w:val="both"/>
        <w:rPr>
          <w:b/>
        </w:rPr>
      </w:pPr>
    </w:p>
    <w:p w:rsidR="005E2E40" w:rsidRPr="008B7B46" w:rsidRDefault="00C52507" w:rsidP="005E2993">
      <w:pPr>
        <w:numPr>
          <w:ilvl w:val="3"/>
          <w:numId w:val="1"/>
        </w:numPr>
        <w:ind w:left="0" w:firstLine="0"/>
        <w:jc w:val="both"/>
        <w:rPr>
          <w:b/>
        </w:rPr>
      </w:pPr>
      <w:r w:rsidRPr="00D468FC">
        <w:rPr>
          <w:b/>
        </w:rPr>
        <w:t>Operating Costs</w:t>
      </w:r>
      <w:r w:rsidRPr="004F090A">
        <w:t xml:space="preserve"> </w:t>
      </w:r>
      <w:r w:rsidR="005E2E40" w:rsidRPr="008B7B46">
        <w:t xml:space="preserve">financed by the </w:t>
      </w:r>
      <w:r w:rsidR="0033202A">
        <w:t>G</w:t>
      </w:r>
      <w:r w:rsidR="005E2E40">
        <w:t>rant</w:t>
      </w:r>
      <w:r w:rsidR="005E2E40" w:rsidRPr="008B7B46">
        <w:t xml:space="preserve"> include travel, lodging and </w:t>
      </w:r>
      <w:r w:rsidR="005E2E40" w:rsidRPr="008B7B46">
        <w:rPr>
          <w:i/>
        </w:rPr>
        <w:t>per diem</w:t>
      </w:r>
      <w:r w:rsidR="005E2E40" w:rsidRPr="008B7B46">
        <w:t xml:space="preserve"> expenditures for MINED staff in order to supervise the Project activities; transportation of goods acquired by the Project between the distribution points (</w:t>
      </w:r>
      <w:r w:rsidR="005E2E40" w:rsidRPr="008B7B46">
        <w:rPr>
          <w:i/>
        </w:rPr>
        <w:t>escuela n</w:t>
      </w:r>
      <w:r w:rsidR="00295C05">
        <w:rPr>
          <w:i/>
        </w:rPr>
        <w:t>ú</w:t>
      </w:r>
      <w:r w:rsidR="005E2E40" w:rsidRPr="008B7B46">
        <w:rPr>
          <w:i/>
        </w:rPr>
        <w:t xml:space="preserve">cleo </w:t>
      </w:r>
      <w:r w:rsidR="005E2E40" w:rsidRPr="008B7B46">
        <w:t xml:space="preserve">and municipal education delegation) and the beneficiary schools under the Project in the selected municipalities; </w:t>
      </w:r>
      <w:r w:rsidR="005E2E40" w:rsidRPr="008B7B46">
        <w:rPr>
          <w:bCs/>
          <w:szCs w:val="22"/>
        </w:rPr>
        <w:t>operation and maintenance of office equipment; maintenance and repair of vehicles; rental of offices</w:t>
      </w:r>
      <w:r w:rsidR="005E2E40" w:rsidRPr="008B7B46">
        <w:t xml:space="preserve"> and other menial expenditures incurred by MINED for the day-to-day management of the Project, including purchase of minor supplies.</w:t>
      </w:r>
    </w:p>
    <w:p w:rsidR="005E2E40" w:rsidRPr="008B7B46" w:rsidRDefault="005E2E40" w:rsidP="005E2E40">
      <w:pPr>
        <w:jc w:val="both"/>
        <w:rPr>
          <w:b/>
        </w:rPr>
      </w:pPr>
    </w:p>
    <w:p w:rsidR="005E2E40" w:rsidRPr="008B7B46" w:rsidRDefault="005E2E40" w:rsidP="005E2993">
      <w:pPr>
        <w:numPr>
          <w:ilvl w:val="3"/>
          <w:numId w:val="1"/>
        </w:numPr>
        <w:ind w:left="0" w:firstLine="0"/>
        <w:jc w:val="both"/>
        <w:rPr>
          <w:b/>
        </w:rPr>
      </w:pPr>
      <w:r w:rsidRPr="00D468FC">
        <w:rPr>
          <w:b/>
        </w:rPr>
        <w:t>Training:</w:t>
      </w:r>
      <w:r w:rsidRPr="00362E38">
        <w:rPr>
          <w:b/>
        </w:rPr>
        <w:t xml:space="preserve"> </w:t>
      </w:r>
      <w:r w:rsidR="0033202A">
        <w:t>the G</w:t>
      </w:r>
      <w:r>
        <w:t>rant</w:t>
      </w:r>
      <w:r w:rsidRPr="00362E38">
        <w:t xml:space="preserve"> </w:t>
      </w:r>
      <w:r w:rsidR="00636C8C">
        <w:t>would</w:t>
      </w:r>
      <w:r w:rsidRPr="00362E38">
        <w:t xml:space="preserve"> finance </w:t>
      </w:r>
      <w:r w:rsidRPr="00362E38">
        <w:rPr>
          <w:bCs/>
          <w:szCs w:val="22"/>
        </w:rPr>
        <w:t xml:space="preserve">costs of scholarships, travel and </w:t>
      </w:r>
      <w:r w:rsidRPr="00362E38">
        <w:rPr>
          <w:bCs/>
          <w:i/>
          <w:szCs w:val="22"/>
        </w:rPr>
        <w:t>per diem</w:t>
      </w:r>
      <w:r w:rsidRPr="00362E38">
        <w:rPr>
          <w:bCs/>
          <w:szCs w:val="22"/>
        </w:rPr>
        <w:t xml:space="preserve"> of trainers and</w:t>
      </w:r>
      <w:r w:rsidRPr="008B7B46">
        <w:rPr>
          <w:bCs/>
          <w:szCs w:val="22"/>
        </w:rPr>
        <w:t xml:space="preserve"> trainees, training logistics such as hotel services, catering, travel </w:t>
      </w:r>
      <w:r w:rsidRPr="008B7B46">
        <w:t>services</w:t>
      </w:r>
      <w:r w:rsidRPr="008B7B46">
        <w:rPr>
          <w:bCs/>
          <w:szCs w:val="22"/>
        </w:rPr>
        <w:t>, rental of training facilities and equipment and training materials.</w:t>
      </w:r>
    </w:p>
    <w:p w:rsidR="005E2E40" w:rsidRPr="008B7B46" w:rsidRDefault="005E2E40" w:rsidP="005E2E40">
      <w:pPr>
        <w:jc w:val="both"/>
        <w:rPr>
          <w:b/>
        </w:rPr>
      </w:pPr>
    </w:p>
    <w:p w:rsidR="00263D08" w:rsidRPr="00D468FC" w:rsidRDefault="00BD42FA" w:rsidP="005E2993">
      <w:pPr>
        <w:numPr>
          <w:ilvl w:val="3"/>
          <w:numId w:val="1"/>
        </w:numPr>
        <w:ind w:left="0" w:firstLine="0"/>
        <w:jc w:val="both"/>
        <w:rPr>
          <w:b/>
        </w:rPr>
      </w:pPr>
      <w:r>
        <w:rPr>
          <w:b/>
        </w:rPr>
        <w:lastRenderedPageBreak/>
        <w:t>Project OM</w:t>
      </w:r>
      <w:r w:rsidR="005E2E40" w:rsidRPr="00D468FC">
        <w:rPr>
          <w:b/>
        </w:rPr>
        <w:t>:</w:t>
      </w:r>
      <w:r w:rsidR="005E2E40" w:rsidRPr="00D468FC">
        <w:t xml:space="preserve"> </w:t>
      </w:r>
      <w:r w:rsidR="00C90FBB" w:rsidRPr="00D468FC">
        <w:rPr>
          <w:iCs/>
        </w:rPr>
        <w:t xml:space="preserve">All the procurement procedures </w:t>
      </w:r>
      <w:r w:rsidR="00233054" w:rsidRPr="00D468FC">
        <w:rPr>
          <w:iCs/>
        </w:rPr>
        <w:t>are</w:t>
      </w:r>
      <w:r w:rsidR="00C90FBB" w:rsidRPr="00D468FC">
        <w:rPr>
          <w:iCs/>
        </w:rPr>
        <w:t xml:space="preserve"> described in detail in the OM</w:t>
      </w:r>
      <w:r w:rsidR="00D468FC" w:rsidRPr="00D468FC">
        <w:rPr>
          <w:iCs/>
        </w:rPr>
        <w:t xml:space="preserve"> were </w:t>
      </w:r>
      <w:r w:rsidR="00C90FBB" w:rsidRPr="00D468FC">
        <w:rPr>
          <w:iCs/>
        </w:rPr>
        <w:t xml:space="preserve">agreed with </w:t>
      </w:r>
      <w:r w:rsidR="00ED6468" w:rsidRPr="00664FCA">
        <w:rPr>
          <w:iCs/>
        </w:rPr>
        <w:t>Bank</w:t>
      </w:r>
      <w:r w:rsidR="00C90FBB" w:rsidRPr="00664FCA">
        <w:rPr>
          <w:iCs/>
        </w:rPr>
        <w:t xml:space="preserve"> prior to </w:t>
      </w:r>
      <w:r>
        <w:rPr>
          <w:iCs/>
        </w:rPr>
        <w:t>the negotiations of the G</w:t>
      </w:r>
      <w:r w:rsidR="00280533">
        <w:rPr>
          <w:iCs/>
        </w:rPr>
        <w:t>rant</w:t>
      </w:r>
      <w:r w:rsidR="0069478F">
        <w:rPr>
          <w:iCs/>
        </w:rPr>
        <w:t xml:space="preserve"> agreement</w:t>
      </w:r>
      <w:r w:rsidR="00280533">
        <w:rPr>
          <w:iCs/>
        </w:rPr>
        <w:t>s</w:t>
      </w:r>
      <w:r w:rsidR="0069478F">
        <w:rPr>
          <w:iCs/>
        </w:rPr>
        <w:t xml:space="preserve"> for the Project</w:t>
      </w:r>
      <w:r w:rsidR="00D468FC" w:rsidRPr="00D468FC">
        <w:rPr>
          <w:iCs/>
        </w:rPr>
        <w:t xml:space="preserve"> and to </w:t>
      </w:r>
      <w:proofErr w:type="gramStart"/>
      <w:r w:rsidR="00D468FC" w:rsidRPr="00D468FC">
        <w:rPr>
          <w:iCs/>
        </w:rPr>
        <w:t>were</w:t>
      </w:r>
      <w:proofErr w:type="gramEnd"/>
      <w:r w:rsidR="00C90FBB" w:rsidRPr="00D468FC">
        <w:rPr>
          <w:iCs/>
        </w:rPr>
        <w:t xml:space="preserve"> published on MINED’s web page. The OM includes model bid evaluation reports and model reports for the preparation of short lists.</w:t>
      </w:r>
    </w:p>
    <w:p w:rsidR="00CD2F4D" w:rsidRDefault="00CD2F4D" w:rsidP="00CD2F4D">
      <w:pPr>
        <w:jc w:val="both"/>
        <w:rPr>
          <w:b/>
        </w:rPr>
      </w:pPr>
    </w:p>
    <w:p w:rsidR="00A77E6F" w:rsidRDefault="006312CC" w:rsidP="00BD42FA">
      <w:pPr>
        <w:spacing w:line="276" w:lineRule="auto"/>
        <w:rPr>
          <w:b/>
        </w:rPr>
      </w:pPr>
      <w:r w:rsidRPr="006312CC">
        <w:rPr>
          <w:b/>
        </w:rPr>
        <w:t>Assessment of the agency capacity to implement procurement</w:t>
      </w:r>
    </w:p>
    <w:p w:rsidR="00263D08" w:rsidRDefault="00263D08">
      <w:pPr>
        <w:jc w:val="center"/>
        <w:rPr>
          <w:b/>
        </w:rPr>
      </w:pPr>
    </w:p>
    <w:p w:rsidR="00701D0E" w:rsidRDefault="006312CC" w:rsidP="005E2993">
      <w:pPr>
        <w:numPr>
          <w:ilvl w:val="3"/>
          <w:numId w:val="1"/>
        </w:numPr>
        <w:ind w:left="0" w:firstLine="0"/>
        <w:jc w:val="both"/>
      </w:pPr>
      <w:r w:rsidRPr="006312CC">
        <w:t xml:space="preserve">Procurement activities </w:t>
      </w:r>
      <w:r w:rsidR="00636C8C">
        <w:t>would</w:t>
      </w:r>
      <w:r w:rsidRPr="006312CC">
        <w:t xml:space="preserve"> be carried out by the Procurement Division of MINED.</w:t>
      </w:r>
      <w:r w:rsidR="00A77E6F">
        <w:t xml:space="preserve"> </w:t>
      </w:r>
      <w:r w:rsidRPr="006312CC">
        <w:t xml:space="preserve"> This Division reports to the Vice-minister of Administrative </w:t>
      </w:r>
      <w:r w:rsidRPr="00710641">
        <w:rPr>
          <w:bCs/>
        </w:rPr>
        <w:t>Issues</w:t>
      </w:r>
      <w:r w:rsidRPr="006312CC">
        <w:t xml:space="preserve"> and is</w:t>
      </w:r>
      <w:r w:rsidR="00BD42FA">
        <w:t xml:space="preserve"> staffed by a coordinator and ten</w:t>
      </w:r>
      <w:r w:rsidRPr="006312CC">
        <w:t xml:space="preserve"> staff. </w:t>
      </w:r>
      <w:r w:rsidR="00A77E6F">
        <w:t xml:space="preserve"> </w:t>
      </w:r>
      <w:r w:rsidRPr="006312CC">
        <w:t xml:space="preserve">It has experience with </w:t>
      </w:r>
      <w:r w:rsidR="00ED6468">
        <w:t>Bank</w:t>
      </w:r>
      <w:r w:rsidRPr="006312CC">
        <w:t xml:space="preserve">, UNICEF, UNPA and EU </w:t>
      </w:r>
      <w:r w:rsidR="002677F2">
        <w:t>Project</w:t>
      </w:r>
      <w:r w:rsidRPr="006312CC">
        <w:t xml:space="preserve">s, and with </w:t>
      </w:r>
      <w:r w:rsidR="00BD42FA">
        <w:t>Grant</w:t>
      </w:r>
      <w:r w:rsidRPr="006312CC">
        <w:t xml:space="preserve">s from Spain and Japan. </w:t>
      </w:r>
      <w:r w:rsidR="00CD2F4D">
        <w:t xml:space="preserve"> </w:t>
      </w:r>
      <w:r w:rsidRPr="006312CC">
        <w:t xml:space="preserve">The unit has an effective procurement information system that was developed in-house (SISGA, </w:t>
      </w:r>
      <w:r w:rsidR="00B81847" w:rsidRPr="00B81847">
        <w:rPr>
          <w:i/>
        </w:rPr>
        <w:t>Sistema de Gestión de Adquisiciones</w:t>
      </w:r>
      <w:r w:rsidRPr="006312CC">
        <w:t>).</w:t>
      </w:r>
    </w:p>
    <w:p w:rsidR="00701D0E" w:rsidRDefault="00701D0E" w:rsidP="00701D0E">
      <w:pPr>
        <w:jc w:val="both"/>
      </w:pPr>
    </w:p>
    <w:p w:rsidR="00701D0E" w:rsidRDefault="00701D0E" w:rsidP="005E2993">
      <w:pPr>
        <w:numPr>
          <w:ilvl w:val="3"/>
          <w:numId w:val="1"/>
        </w:numPr>
        <w:ind w:left="0" w:firstLine="0"/>
        <w:jc w:val="both"/>
      </w:pPr>
      <w:r w:rsidRPr="00701D0E">
        <w:t xml:space="preserve">The unit is adequately staffed and equipped to undertake the standard procurement activities routinely carried out by the division. </w:t>
      </w:r>
      <w:r w:rsidRPr="00701D0E">
        <w:rPr>
          <w:bCs/>
        </w:rPr>
        <w:t>However</w:t>
      </w:r>
      <w:r w:rsidRPr="00701D0E">
        <w:t xml:space="preserve">, as </w:t>
      </w:r>
      <w:r w:rsidRPr="00701D0E">
        <w:rPr>
          <w:bCs/>
        </w:rPr>
        <w:t>described</w:t>
      </w:r>
      <w:r w:rsidRPr="00701D0E">
        <w:t xml:space="preserve"> above, </w:t>
      </w:r>
      <w:r w:rsidR="001279DB">
        <w:t>Project</w:t>
      </w:r>
      <w:r w:rsidRPr="00701D0E">
        <w:t xml:space="preserve"> implementation implies the procurement of a wide variety of items and the use of several complex</w:t>
      </w:r>
      <w:r w:rsidR="00BD42FA">
        <w:t xml:space="preserve"> Bank bidding documents, which </w:t>
      </w:r>
      <w:r w:rsidRPr="00701D0E">
        <w:t>compounded with procurement work expected from new financing by other donors</w:t>
      </w:r>
      <w:r w:rsidR="00BD42FA">
        <w:t xml:space="preserve"> </w:t>
      </w:r>
      <w:r w:rsidRPr="00701D0E">
        <w:t>exceeds the existing capacity of the unit.</w:t>
      </w:r>
    </w:p>
    <w:p w:rsidR="00701D0E" w:rsidRDefault="00701D0E" w:rsidP="00701D0E">
      <w:pPr>
        <w:pStyle w:val="ListParagraph"/>
      </w:pPr>
    </w:p>
    <w:p w:rsidR="00B27FEE" w:rsidRDefault="00BD42FA" w:rsidP="005E2993">
      <w:pPr>
        <w:numPr>
          <w:ilvl w:val="3"/>
          <w:numId w:val="1"/>
        </w:numPr>
        <w:ind w:left="0" w:firstLine="0"/>
        <w:jc w:val="both"/>
      </w:pPr>
      <w:r>
        <w:t>K</w:t>
      </w:r>
      <w:r w:rsidR="00B27FEE" w:rsidRPr="008B7B46">
        <w:t xml:space="preserve">ey issues and risks concerning procurement for implementation of the </w:t>
      </w:r>
      <w:r w:rsidR="001279DB">
        <w:t>Project</w:t>
      </w:r>
      <w:r w:rsidR="00B27FEE" w:rsidRPr="008B7B46">
        <w:t xml:space="preserve"> include: (a) MINED </w:t>
      </w:r>
      <w:r w:rsidR="00B27FEE" w:rsidRPr="00E67E72">
        <w:rPr>
          <w:bCs/>
        </w:rPr>
        <w:t xml:space="preserve">weak </w:t>
      </w:r>
      <w:r w:rsidR="00B27FEE" w:rsidRPr="008B7B46">
        <w:t>implementation</w:t>
      </w:r>
      <w:r w:rsidR="00B27FEE" w:rsidRPr="00E67E72">
        <w:rPr>
          <w:bCs/>
        </w:rPr>
        <w:t xml:space="preserve"> capacity vis-a-vis expected volume of workload, </w:t>
      </w:r>
      <w:r w:rsidR="00B27FEE" w:rsidRPr="008B7B46">
        <w:t xml:space="preserve">(b) variety and complexity of </w:t>
      </w:r>
      <w:r w:rsidR="00B27FEE" w:rsidRPr="00E67E72">
        <w:rPr>
          <w:bCs/>
        </w:rPr>
        <w:t>procurement</w:t>
      </w:r>
      <w:r w:rsidR="00B27FEE" w:rsidRPr="008B7B46">
        <w:t xml:space="preserve"> to be carried out for </w:t>
      </w:r>
      <w:r w:rsidR="001279DB">
        <w:t>Project</w:t>
      </w:r>
      <w:r w:rsidR="00B27FEE" w:rsidRPr="008B7B46">
        <w:t xml:space="preserve"> implementation, and (c) local procurement regulations include practices that are not acceptable to the Bank.</w:t>
      </w:r>
      <w:r w:rsidR="00B27FEE">
        <w:t xml:space="preserve">  </w:t>
      </w:r>
    </w:p>
    <w:p w:rsidR="00E67E72" w:rsidRDefault="00E67E72" w:rsidP="00E67E72">
      <w:pPr>
        <w:jc w:val="both"/>
      </w:pPr>
    </w:p>
    <w:p w:rsidR="00701D0E" w:rsidRPr="006E6383" w:rsidRDefault="00B27FEE" w:rsidP="005E2993">
      <w:pPr>
        <w:numPr>
          <w:ilvl w:val="3"/>
          <w:numId w:val="1"/>
        </w:numPr>
        <w:ind w:left="0" w:firstLine="0"/>
        <w:jc w:val="both"/>
      </w:pPr>
      <w:r w:rsidRPr="0000765D">
        <w:t xml:space="preserve">The corrective measures which have been agreed are: </w:t>
      </w:r>
      <w:r w:rsidRPr="0000765D">
        <w:rPr>
          <w:iCs/>
        </w:rPr>
        <w:t xml:space="preserve">(i) MINED </w:t>
      </w:r>
      <w:r w:rsidR="00636C8C" w:rsidRPr="0000765D">
        <w:rPr>
          <w:iCs/>
        </w:rPr>
        <w:t>would</w:t>
      </w:r>
      <w:r w:rsidR="00454C2C" w:rsidRPr="0000765D">
        <w:rPr>
          <w:iCs/>
        </w:rPr>
        <w:t xml:space="preserve"> hire three</w:t>
      </w:r>
      <w:r w:rsidR="00BD42FA">
        <w:rPr>
          <w:iCs/>
        </w:rPr>
        <w:t xml:space="preserve"> additional procurement a</w:t>
      </w:r>
      <w:r w:rsidRPr="0000765D">
        <w:rPr>
          <w:iCs/>
        </w:rPr>
        <w:t>nalysts with T</w:t>
      </w:r>
      <w:r w:rsidR="00BD42FA">
        <w:rPr>
          <w:iCs/>
        </w:rPr>
        <w:t>erms of Reference</w:t>
      </w:r>
      <w:r w:rsidRPr="0000765D">
        <w:rPr>
          <w:iCs/>
        </w:rPr>
        <w:t xml:space="preserve"> and qualifications acceptable to the Bank, </w:t>
      </w:r>
      <w:r w:rsidR="00454C2C" w:rsidRPr="0000765D">
        <w:rPr>
          <w:iCs/>
        </w:rPr>
        <w:t>one</w:t>
      </w:r>
      <w:r w:rsidR="002B289C" w:rsidRPr="0000765D">
        <w:rPr>
          <w:iCs/>
        </w:rPr>
        <w:t xml:space="preserve"> of them</w:t>
      </w:r>
      <w:r w:rsidR="00454C2C" w:rsidRPr="0000765D">
        <w:rPr>
          <w:iCs/>
        </w:rPr>
        <w:t xml:space="preserve"> </w:t>
      </w:r>
      <w:r w:rsidRPr="0000765D">
        <w:rPr>
          <w:iCs/>
        </w:rPr>
        <w:t xml:space="preserve">with </w:t>
      </w:r>
      <w:r w:rsidR="002B289C" w:rsidRPr="0000765D">
        <w:rPr>
          <w:iCs/>
        </w:rPr>
        <w:t>a</w:t>
      </w:r>
      <w:r w:rsidRPr="0000765D">
        <w:rPr>
          <w:iCs/>
        </w:rPr>
        <w:t>n engineering</w:t>
      </w:r>
      <w:r w:rsidR="00454C2C" w:rsidRPr="0000765D">
        <w:rPr>
          <w:iCs/>
        </w:rPr>
        <w:t>/architect</w:t>
      </w:r>
      <w:r w:rsidR="002B289C" w:rsidRPr="0000765D">
        <w:rPr>
          <w:iCs/>
        </w:rPr>
        <w:t xml:space="preserve"> background</w:t>
      </w:r>
      <w:r w:rsidRPr="0000765D">
        <w:rPr>
          <w:iCs/>
        </w:rPr>
        <w:t xml:space="preserve">, who </w:t>
      </w:r>
      <w:r w:rsidR="00636C8C" w:rsidRPr="0000765D">
        <w:rPr>
          <w:iCs/>
        </w:rPr>
        <w:t>would</w:t>
      </w:r>
      <w:r w:rsidRPr="0000765D">
        <w:rPr>
          <w:iCs/>
        </w:rPr>
        <w:t xml:space="preserve"> be in charge of the </w:t>
      </w:r>
      <w:r w:rsidR="001279DB" w:rsidRPr="0000765D">
        <w:rPr>
          <w:iCs/>
        </w:rPr>
        <w:t>Project</w:t>
      </w:r>
      <w:r w:rsidRPr="0000765D">
        <w:rPr>
          <w:iCs/>
        </w:rPr>
        <w:t xml:space="preserve"> procurement function focusing on the procurement of works; </w:t>
      </w:r>
      <w:r w:rsidRPr="0000765D">
        <w:t xml:space="preserve">(ii) </w:t>
      </w:r>
      <w:r w:rsidRPr="0000765D">
        <w:rPr>
          <w:iCs/>
        </w:rPr>
        <w:t xml:space="preserve">MINED </w:t>
      </w:r>
      <w:r w:rsidR="00636C8C" w:rsidRPr="0000765D">
        <w:rPr>
          <w:iCs/>
        </w:rPr>
        <w:t>would</w:t>
      </w:r>
      <w:r w:rsidRPr="0000765D">
        <w:rPr>
          <w:iCs/>
        </w:rPr>
        <w:t xml:space="preserve"> retain its most </w:t>
      </w:r>
      <w:r w:rsidRPr="0000765D">
        <w:t>qualified</w:t>
      </w:r>
      <w:r w:rsidRPr="0000765D">
        <w:rPr>
          <w:iCs/>
        </w:rPr>
        <w:t xml:space="preserve"> existing </w:t>
      </w:r>
      <w:r w:rsidRPr="0000765D">
        <w:rPr>
          <w:bCs/>
        </w:rPr>
        <w:t>procurement</w:t>
      </w:r>
      <w:r w:rsidRPr="0000765D">
        <w:rPr>
          <w:iCs/>
        </w:rPr>
        <w:t xml:space="preserve"> staff to support the </w:t>
      </w:r>
      <w:r w:rsidR="001279DB" w:rsidRPr="0000765D">
        <w:rPr>
          <w:iCs/>
        </w:rPr>
        <w:t>Project</w:t>
      </w:r>
      <w:r w:rsidRPr="0000765D">
        <w:rPr>
          <w:iCs/>
        </w:rPr>
        <w:t xml:space="preserve"> as needed, (iii) the three procurement specialists and the highly qualified procurement advisor hired under PASEN II </w:t>
      </w:r>
      <w:r w:rsidR="00636C8C" w:rsidRPr="0000765D">
        <w:rPr>
          <w:iCs/>
        </w:rPr>
        <w:t>would</w:t>
      </w:r>
      <w:r w:rsidRPr="0000765D">
        <w:rPr>
          <w:iCs/>
        </w:rPr>
        <w:t xml:space="preserve"> also support </w:t>
      </w:r>
      <w:r w:rsidR="000C16FA" w:rsidRPr="0000765D">
        <w:rPr>
          <w:iCs/>
        </w:rPr>
        <w:t>the Project</w:t>
      </w:r>
      <w:r w:rsidRPr="0000765D">
        <w:rPr>
          <w:iCs/>
        </w:rPr>
        <w:t xml:space="preserve">, as needed, and the advisor </w:t>
      </w:r>
      <w:r w:rsidR="00636C8C" w:rsidRPr="0000765D">
        <w:rPr>
          <w:iCs/>
        </w:rPr>
        <w:t>would</w:t>
      </w:r>
      <w:r w:rsidRPr="0000765D">
        <w:rPr>
          <w:iCs/>
        </w:rPr>
        <w:t xml:space="preserve"> coach both MINED staff and the hired analysts for quality control and knowledge transfer; (iv</w:t>
      </w:r>
      <w:r w:rsidRPr="00B27FEE">
        <w:rPr>
          <w:iCs/>
        </w:rPr>
        <w:t xml:space="preserve">) the </w:t>
      </w:r>
      <w:r w:rsidR="001279DB">
        <w:rPr>
          <w:iCs/>
        </w:rPr>
        <w:t>Project</w:t>
      </w:r>
      <w:r w:rsidRPr="00B27FEE">
        <w:rPr>
          <w:iCs/>
        </w:rPr>
        <w:t xml:space="preserve"> </w:t>
      </w:r>
      <w:r w:rsidR="00636C8C">
        <w:rPr>
          <w:iCs/>
        </w:rPr>
        <w:t>would</w:t>
      </w:r>
      <w:r w:rsidRPr="00B27FEE">
        <w:rPr>
          <w:iCs/>
        </w:rPr>
        <w:t xml:space="preserve"> be implemented according to an OM acceptable to the </w:t>
      </w:r>
      <w:r w:rsidR="00ED6468">
        <w:rPr>
          <w:iCs/>
        </w:rPr>
        <w:t>Bank</w:t>
      </w:r>
      <w:r w:rsidRPr="00B27FEE">
        <w:rPr>
          <w:iCs/>
        </w:rPr>
        <w:t xml:space="preserve">; and (v) the following Special Procurement Provisions </w:t>
      </w:r>
      <w:r w:rsidR="00636C8C">
        <w:rPr>
          <w:iCs/>
        </w:rPr>
        <w:t>would</w:t>
      </w:r>
      <w:r w:rsidRPr="00B27FEE">
        <w:rPr>
          <w:iCs/>
        </w:rPr>
        <w:t xml:space="preserve"> be included in the </w:t>
      </w:r>
      <w:r w:rsidR="00C90FBB">
        <w:rPr>
          <w:iCs/>
        </w:rPr>
        <w:t>Grant</w:t>
      </w:r>
      <w:r w:rsidRPr="00B27FEE">
        <w:rPr>
          <w:iCs/>
        </w:rPr>
        <w:t xml:space="preserve"> Agreement</w:t>
      </w:r>
      <w:r w:rsidR="00E90F88">
        <w:rPr>
          <w:iCs/>
        </w:rPr>
        <w:t>s</w:t>
      </w:r>
      <w:r w:rsidRPr="00B27FEE">
        <w:rPr>
          <w:iCs/>
        </w:rPr>
        <w:t>:</w:t>
      </w:r>
    </w:p>
    <w:p w:rsidR="006E6383" w:rsidRDefault="006E6383" w:rsidP="006E6383">
      <w:pPr>
        <w:pStyle w:val="ListParagraph"/>
      </w:pPr>
    </w:p>
    <w:p w:rsidR="0087200B" w:rsidRPr="00B04DF0" w:rsidRDefault="0087200B" w:rsidP="00164B1B">
      <w:pPr>
        <w:numPr>
          <w:ilvl w:val="0"/>
          <w:numId w:val="51"/>
        </w:numPr>
        <w:contextualSpacing/>
        <w:jc w:val="both"/>
        <w:rPr>
          <w:rFonts w:eastAsiaTheme="minorHAnsi"/>
        </w:rPr>
      </w:pPr>
      <w:r w:rsidRPr="00B04DF0">
        <w:rPr>
          <w:rFonts w:eastAsiaTheme="minorHAnsi"/>
        </w:rPr>
        <w:t>Foreign bidders shall not be requir</w:t>
      </w:r>
      <w:r w:rsidR="00B04DF0">
        <w:rPr>
          <w:rFonts w:eastAsiaTheme="minorHAnsi"/>
        </w:rPr>
        <w:t xml:space="preserve">ed to be registered with local </w:t>
      </w:r>
      <w:r w:rsidRPr="00B04DF0">
        <w:rPr>
          <w:rFonts w:eastAsiaTheme="minorHAnsi"/>
        </w:rPr>
        <w:t>authorities as a prerequisite for bidding.</w:t>
      </w:r>
    </w:p>
    <w:p w:rsidR="0087200B" w:rsidRPr="00B04DF0" w:rsidRDefault="0087200B" w:rsidP="00164B1B">
      <w:pPr>
        <w:numPr>
          <w:ilvl w:val="0"/>
          <w:numId w:val="51"/>
        </w:numPr>
        <w:contextualSpacing/>
        <w:jc w:val="both"/>
        <w:rPr>
          <w:rFonts w:eastAsiaTheme="minorHAnsi"/>
        </w:rPr>
      </w:pPr>
      <w:r w:rsidRPr="00B04DF0">
        <w:rPr>
          <w:rFonts w:eastAsiaTheme="minorHAnsi"/>
        </w:rPr>
        <w:t>No bids shall be rejected, and no provision</w:t>
      </w:r>
      <w:r w:rsidR="00B04DF0">
        <w:rPr>
          <w:rFonts w:eastAsiaTheme="minorHAnsi"/>
        </w:rPr>
        <w:t xml:space="preserve">al awards shall be made at the </w:t>
      </w:r>
      <w:r w:rsidRPr="00B04DF0">
        <w:rPr>
          <w:rFonts w:eastAsiaTheme="minorHAnsi"/>
        </w:rPr>
        <w:t>time of bid opening.</w:t>
      </w:r>
    </w:p>
    <w:p w:rsidR="0087200B" w:rsidRPr="00B04DF0" w:rsidRDefault="0087200B" w:rsidP="00164B1B">
      <w:pPr>
        <w:numPr>
          <w:ilvl w:val="0"/>
          <w:numId w:val="51"/>
        </w:numPr>
        <w:contextualSpacing/>
        <w:jc w:val="both"/>
        <w:rPr>
          <w:rFonts w:eastAsiaTheme="minorHAnsi"/>
        </w:rPr>
      </w:pPr>
      <w:r w:rsidRPr="00B04DF0">
        <w:rPr>
          <w:rFonts w:eastAsiaTheme="minorHAnsi"/>
        </w:rPr>
        <w:t>The invitation to bid shall not establish,</w:t>
      </w:r>
      <w:r w:rsidR="00B04DF0">
        <w:rPr>
          <w:rFonts w:eastAsiaTheme="minorHAnsi"/>
        </w:rPr>
        <w:t xml:space="preserve"> for purposes of acceptance of </w:t>
      </w:r>
      <w:r w:rsidRPr="00B04DF0">
        <w:rPr>
          <w:rFonts w:eastAsiaTheme="minorHAnsi"/>
        </w:rPr>
        <w:t>bids, minimum or maximum amounts for the contract prices.</w:t>
      </w:r>
    </w:p>
    <w:p w:rsidR="0087200B" w:rsidRPr="00B04DF0" w:rsidRDefault="0087200B" w:rsidP="00164B1B">
      <w:pPr>
        <w:numPr>
          <w:ilvl w:val="0"/>
          <w:numId w:val="51"/>
        </w:numPr>
        <w:contextualSpacing/>
        <w:jc w:val="both"/>
        <w:rPr>
          <w:rFonts w:eastAsiaTheme="minorHAnsi"/>
        </w:rPr>
      </w:pPr>
      <w:r w:rsidRPr="00B04DF0">
        <w:rPr>
          <w:rFonts w:eastAsiaTheme="minorHAnsi"/>
        </w:rPr>
        <w:t>The invitation to bid shall not publish the estimated cost of the contract.</w:t>
      </w:r>
    </w:p>
    <w:p w:rsidR="0087200B" w:rsidRPr="00B04DF0" w:rsidRDefault="0087200B" w:rsidP="00164B1B">
      <w:pPr>
        <w:numPr>
          <w:ilvl w:val="0"/>
          <w:numId w:val="51"/>
        </w:numPr>
        <w:contextualSpacing/>
        <w:jc w:val="both"/>
        <w:rPr>
          <w:rFonts w:eastAsiaTheme="minorHAnsi"/>
        </w:rPr>
      </w:pPr>
      <w:r w:rsidRPr="00B04DF0">
        <w:rPr>
          <w:rFonts w:eastAsiaTheme="minorHAnsi"/>
        </w:rPr>
        <w:t>In the case of Shopping, a minimum of three quotations shall be ob</w:t>
      </w:r>
      <w:r w:rsidR="00B04DF0">
        <w:rPr>
          <w:rFonts w:eastAsiaTheme="minorHAnsi"/>
        </w:rPr>
        <w:t xml:space="preserve">tained as a condition to award </w:t>
      </w:r>
      <w:r w:rsidRPr="00B04DF0">
        <w:rPr>
          <w:rFonts w:eastAsiaTheme="minorHAnsi"/>
        </w:rPr>
        <w:t>the contract.</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 xml:space="preserve">Unless the Bank may otherwise agree, for the procurement of goods and non-consultant services, the “best offer” shall be the one submitted by the Bidder whose offer was </w:t>
      </w:r>
      <w:r w:rsidRPr="00B04DF0">
        <w:rPr>
          <w:rFonts w:eastAsiaTheme="minorHAnsi"/>
        </w:rPr>
        <w:lastRenderedPageBreak/>
        <w:t>determined to be the lowest evaluated bid and was found substantially responsive to the Bidding Document, provided further that the Bidder was determined to be qualified to perform the Contract satisfactorily.</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Bidders and Consultants shall not be allowed to review or make copies of other bidder’s bids or consultants’ proposals, as the case may be. Likewise, bidders’ and consultants’ responses to requests of clarifications made by the procuring entity during the bidding process shall not be disclosed to other bidders or consultants, as the case may be. Finally, reports including recommendations for award shall not be shared with bidders and consultants prior to their publication.</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Eligibility criteria shall be the one defined in Section I of the Procurement and Consultant Guidelines. Articles 17 and 18 of Law 737 shall not apply.</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Automatic rejection of bids or proposals, as the case may be, due to differences between bid or proposal prices and cost estimates being higher than predetermined percentages, shall not be allowed.</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Bidders shall have the possibility of procuring hard copies of bidding documents even if they are published on the procurement portal.</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Unless so indicated in the applicable Bank Standard Bidding Documents, pre-bid conferences shall not be conducted.</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Bid preparation terms shall not be reduced as a result of re-bidding.</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Consultants shall not be requested to submit bid and performance securities.</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 xml:space="preserve">Complaints shall be handled as indicated in the appendixes to the Procurement and Consultant Guidelines. Articles 110 to 116 of Law 737 shall apply in a subsidiary manner.  </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 xml:space="preserve">The Recipient, shall: (i) supply the SEPA with the information contained in the initial Procurement Plan within 30 days after the Project has been approved by the Bank; and (ii) update the Procurement Plan at least every three months, or as required by the Bank, to reflect the actual Project implementation needs and progress and shall supply the SEPA with the information contained in the updated Procurement Plan immediately thereafter. </w:t>
      </w:r>
    </w:p>
    <w:p w:rsidR="0087200B" w:rsidRPr="00B04DF0" w:rsidRDefault="0087200B" w:rsidP="00164B1B">
      <w:pPr>
        <w:numPr>
          <w:ilvl w:val="0"/>
          <w:numId w:val="51"/>
        </w:numPr>
        <w:spacing w:after="200"/>
        <w:contextualSpacing/>
        <w:jc w:val="both"/>
        <w:rPr>
          <w:rFonts w:eastAsiaTheme="minorHAnsi"/>
        </w:rPr>
      </w:pPr>
      <w:r w:rsidRPr="00B04DF0">
        <w:rPr>
          <w:rFonts w:eastAsiaTheme="minorHAnsi"/>
        </w:rPr>
        <w:t>The invitations to bid, bidding documents, minutes of bid opening, requests for expressions of interest and the pertinent summary of the evaluation reports of bids and proposals of all goods, works, non-consulting and consultants services shall be published in SISCAE, and in a manner acceptable to the Bank. The bidding period shall be counted from the date of publication of the invitation to bid or the date of the availability of the bidding documents, whichever is later, to the date of bid opening.</w:t>
      </w:r>
    </w:p>
    <w:p w:rsidR="00263D08" w:rsidRDefault="00263D08">
      <w:pPr>
        <w:ind w:left="720"/>
        <w:jc w:val="both"/>
      </w:pPr>
    </w:p>
    <w:p w:rsidR="00622225" w:rsidRDefault="006312CC" w:rsidP="005E2993">
      <w:pPr>
        <w:numPr>
          <w:ilvl w:val="3"/>
          <w:numId w:val="1"/>
        </w:numPr>
        <w:ind w:left="0" w:firstLine="0"/>
        <w:jc w:val="both"/>
      </w:pPr>
      <w:r w:rsidRPr="006312CC">
        <w:t xml:space="preserve">Besides the risk-mitigation measures described above, </w:t>
      </w:r>
      <w:r w:rsidRPr="00EC792E">
        <w:rPr>
          <w:bCs/>
        </w:rPr>
        <w:t>prior</w:t>
      </w:r>
      <w:r w:rsidRPr="006312CC">
        <w:t xml:space="preserve"> and post review supervision by the </w:t>
      </w:r>
      <w:r w:rsidR="00ED6468">
        <w:t>Bank</w:t>
      </w:r>
      <w:r w:rsidRPr="006312CC">
        <w:t xml:space="preserve"> </w:t>
      </w:r>
      <w:r w:rsidR="00636C8C">
        <w:t>would</w:t>
      </w:r>
      <w:r w:rsidRPr="006312CC">
        <w:t xml:space="preserve"> be conducte</w:t>
      </w:r>
      <w:r w:rsidR="00C2727E">
        <w:t>d under the terms defined below.</w:t>
      </w:r>
    </w:p>
    <w:p w:rsidR="00622225" w:rsidRDefault="00622225" w:rsidP="00F45084">
      <w:pPr>
        <w:jc w:val="both"/>
      </w:pPr>
    </w:p>
    <w:p w:rsidR="00A9553A" w:rsidRDefault="00A9553A" w:rsidP="00F45084">
      <w:pPr>
        <w:jc w:val="both"/>
      </w:pPr>
    </w:p>
    <w:p w:rsidR="00A9553A" w:rsidRDefault="00A9553A" w:rsidP="00F45084">
      <w:pPr>
        <w:jc w:val="both"/>
      </w:pPr>
    </w:p>
    <w:p w:rsidR="00A9553A" w:rsidRDefault="00A9553A" w:rsidP="00F45084">
      <w:pPr>
        <w:jc w:val="both"/>
      </w:pPr>
    </w:p>
    <w:p w:rsidR="00A9553A" w:rsidRDefault="00A9553A" w:rsidP="00F45084">
      <w:pPr>
        <w:jc w:val="both"/>
      </w:pPr>
    </w:p>
    <w:p w:rsidR="00A9553A" w:rsidRDefault="00A9553A" w:rsidP="00F45084">
      <w:pPr>
        <w:jc w:val="both"/>
      </w:pPr>
    </w:p>
    <w:p w:rsidR="00A10D18" w:rsidRDefault="00A10D18" w:rsidP="00F45084">
      <w:pPr>
        <w:jc w:val="both"/>
      </w:pPr>
    </w:p>
    <w:p w:rsidR="00A9553A" w:rsidRDefault="00A9553A" w:rsidP="00F45084">
      <w:pPr>
        <w:jc w:val="both"/>
      </w:pPr>
    </w:p>
    <w:p w:rsidR="006312CC" w:rsidRPr="006312CC" w:rsidRDefault="006312CC" w:rsidP="00C2727E">
      <w:pPr>
        <w:spacing w:line="276" w:lineRule="auto"/>
        <w:jc w:val="center"/>
        <w:rPr>
          <w:b/>
          <w:bCs/>
        </w:rPr>
      </w:pPr>
      <w:r w:rsidRPr="006312CC">
        <w:rPr>
          <w:b/>
          <w:bCs/>
        </w:rPr>
        <w:lastRenderedPageBreak/>
        <w:t>Basis for the Procurement Plan</w:t>
      </w:r>
    </w:p>
    <w:p w:rsidR="006312CC" w:rsidRDefault="006312CC" w:rsidP="00C2727E">
      <w:pPr>
        <w:spacing w:line="276" w:lineRule="auto"/>
        <w:jc w:val="center"/>
        <w:rPr>
          <w:b/>
          <w:bCs/>
        </w:rPr>
      </w:pPr>
      <w:r w:rsidRPr="006312CC">
        <w:rPr>
          <w:b/>
          <w:bCs/>
        </w:rPr>
        <w:t>Goods and Non Consulting Services involving international competition</w:t>
      </w:r>
    </w:p>
    <w:p w:rsidR="002954F7" w:rsidRDefault="00977393" w:rsidP="00C2727E">
      <w:pPr>
        <w:spacing w:line="276" w:lineRule="auto"/>
        <w:jc w:val="center"/>
        <w:rPr>
          <w:b/>
        </w:rPr>
      </w:pPr>
      <w:r>
        <w:rPr>
          <w:b/>
        </w:rPr>
        <w:t>Table 3.4</w:t>
      </w: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0"/>
        <w:gridCol w:w="1440"/>
        <w:gridCol w:w="1350"/>
        <w:gridCol w:w="1440"/>
        <w:gridCol w:w="720"/>
        <w:gridCol w:w="1305"/>
        <w:gridCol w:w="1395"/>
        <w:gridCol w:w="1350"/>
      </w:tblGrid>
      <w:tr w:rsidR="00977393" w:rsidRPr="002954F7" w:rsidTr="00556B5E">
        <w:trPr>
          <w:jc w:val="center"/>
        </w:trPr>
        <w:tc>
          <w:tcPr>
            <w:tcW w:w="630"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1</w:t>
            </w:r>
          </w:p>
        </w:tc>
        <w:tc>
          <w:tcPr>
            <w:tcW w:w="1440"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2</w:t>
            </w:r>
          </w:p>
        </w:tc>
        <w:tc>
          <w:tcPr>
            <w:tcW w:w="1350"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3</w:t>
            </w:r>
          </w:p>
        </w:tc>
        <w:tc>
          <w:tcPr>
            <w:tcW w:w="1440"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4</w:t>
            </w:r>
          </w:p>
        </w:tc>
        <w:tc>
          <w:tcPr>
            <w:tcW w:w="720"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5</w:t>
            </w:r>
          </w:p>
        </w:tc>
        <w:tc>
          <w:tcPr>
            <w:tcW w:w="1305"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6</w:t>
            </w:r>
          </w:p>
        </w:tc>
        <w:tc>
          <w:tcPr>
            <w:tcW w:w="1395"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7</w:t>
            </w:r>
          </w:p>
        </w:tc>
        <w:tc>
          <w:tcPr>
            <w:tcW w:w="1350" w:type="dxa"/>
            <w:tcBorders>
              <w:top w:val="single" w:sz="4" w:space="0" w:color="auto"/>
              <w:left w:val="single" w:sz="4" w:space="0" w:color="auto"/>
              <w:bottom w:val="single" w:sz="4" w:space="0" w:color="auto"/>
              <w:right w:val="single" w:sz="4" w:space="0" w:color="auto"/>
            </w:tcBorders>
          </w:tcPr>
          <w:p w:rsidR="00977393" w:rsidRPr="002954F7" w:rsidRDefault="00977393" w:rsidP="00C42C57">
            <w:pPr>
              <w:spacing w:line="276" w:lineRule="auto"/>
              <w:jc w:val="both"/>
              <w:rPr>
                <w:b/>
                <w:bCs/>
              </w:rPr>
            </w:pPr>
            <w:r w:rsidRPr="002954F7">
              <w:rPr>
                <w:b/>
                <w:bCs/>
              </w:rPr>
              <w:t>8</w:t>
            </w:r>
          </w:p>
        </w:tc>
      </w:tr>
      <w:tr w:rsidR="00977393" w:rsidRPr="002954F7" w:rsidTr="00556B5E">
        <w:trPr>
          <w:trHeight w:val="503"/>
          <w:jc w:val="center"/>
        </w:trPr>
        <w:tc>
          <w:tcPr>
            <w:tcW w:w="630"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Ref. No.</w:t>
            </w:r>
          </w:p>
        </w:tc>
        <w:tc>
          <w:tcPr>
            <w:tcW w:w="1440"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Contract</w:t>
            </w:r>
          </w:p>
          <w:p w:rsidR="00977393" w:rsidRPr="002954F7" w:rsidRDefault="00977393" w:rsidP="00C42C57">
            <w:pPr>
              <w:spacing w:line="276" w:lineRule="auto"/>
              <w:rPr>
                <w:bCs/>
                <w:sz w:val="22"/>
                <w:szCs w:val="22"/>
              </w:rPr>
            </w:pPr>
            <w:r>
              <w:rPr>
                <w:bCs/>
                <w:sz w:val="22"/>
                <w:szCs w:val="22"/>
              </w:rPr>
              <w:t>(Description</w:t>
            </w:r>
            <w:r w:rsidRPr="002954F7">
              <w:rPr>
                <w:bCs/>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Estimated</w:t>
            </w:r>
          </w:p>
          <w:p w:rsidR="00977393" w:rsidRPr="002954F7" w:rsidRDefault="00977393" w:rsidP="00C42C57">
            <w:pPr>
              <w:spacing w:line="276" w:lineRule="auto"/>
              <w:rPr>
                <w:bCs/>
                <w:sz w:val="22"/>
                <w:szCs w:val="22"/>
              </w:rPr>
            </w:pPr>
            <w:r w:rsidRPr="002954F7">
              <w:rPr>
                <w:bCs/>
                <w:sz w:val="22"/>
                <w:szCs w:val="22"/>
              </w:rPr>
              <w:t>Cost</w:t>
            </w:r>
            <w:r>
              <w:rPr>
                <w:bCs/>
                <w:sz w:val="22"/>
                <w:szCs w:val="22"/>
              </w:rPr>
              <w:t xml:space="preserve"> (US$)</w:t>
            </w:r>
          </w:p>
        </w:tc>
        <w:tc>
          <w:tcPr>
            <w:tcW w:w="1440"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Procurement</w:t>
            </w:r>
          </w:p>
          <w:p w:rsidR="00977393" w:rsidRPr="002954F7" w:rsidRDefault="00977393" w:rsidP="00C42C57">
            <w:pPr>
              <w:spacing w:line="276" w:lineRule="auto"/>
              <w:rPr>
                <w:bCs/>
                <w:sz w:val="22"/>
                <w:szCs w:val="22"/>
              </w:rPr>
            </w:pPr>
            <w:r w:rsidRPr="002954F7">
              <w:rPr>
                <w:bCs/>
                <w:sz w:val="22"/>
                <w:szCs w:val="22"/>
              </w:rPr>
              <w:t>Method</w:t>
            </w:r>
          </w:p>
        </w:tc>
        <w:tc>
          <w:tcPr>
            <w:tcW w:w="720"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P-Q</w:t>
            </w:r>
          </w:p>
        </w:tc>
        <w:tc>
          <w:tcPr>
            <w:tcW w:w="1305"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Domestic Preference</w:t>
            </w:r>
          </w:p>
          <w:p w:rsidR="00977393" w:rsidRPr="002954F7" w:rsidRDefault="00977393" w:rsidP="00C42C57">
            <w:pPr>
              <w:spacing w:line="276" w:lineRule="auto"/>
              <w:rPr>
                <w:bCs/>
                <w:sz w:val="22"/>
                <w:szCs w:val="22"/>
              </w:rPr>
            </w:pPr>
            <w:r w:rsidRPr="002954F7">
              <w:rPr>
                <w:bCs/>
                <w:sz w:val="22"/>
                <w:szCs w:val="22"/>
              </w:rPr>
              <w:t>(yes/no)</w:t>
            </w:r>
          </w:p>
        </w:tc>
        <w:tc>
          <w:tcPr>
            <w:tcW w:w="1395"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Review</w:t>
            </w:r>
          </w:p>
          <w:p w:rsidR="00977393" w:rsidRPr="002954F7" w:rsidRDefault="00977393" w:rsidP="00C42C57">
            <w:pPr>
              <w:spacing w:line="276" w:lineRule="auto"/>
              <w:rPr>
                <w:bCs/>
                <w:sz w:val="22"/>
                <w:szCs w:val="22"/>
              </w:rPr>
            </w:pPr>
            <w:r w:rsidRPr="002954F7">
              <w:rPr>
                <w:bCs/>
                <w:sz w:val="22"/>
                <w:szCs w:val="22"/>
              </w:rPr>
              <w:t xml:space="preserve">by </w:t>
            </w:r>
            <w:r>
              <w:rPr>
                <w:bCs/>
                <w:sz w:val="22"/>
                <w:szCs w:val="22"/>
              </w:rPr>
              <w:t>Bank</w:t>
            </w:r>
          </w:p>
          <w:p w:rsidR="00977393" w:rsidRPr="002954F7" w:rsidRDefault="00977393" w:rsidP="00C42C57">
            <w:pPr>
              <w:spacing w:line="276" w:lineRule="auto"/>
              <w:rPr>
                <w:bCs/>
                <w:sz w:val="22"/>
                <w:szCs w:val="22"/>
              </w:rPr>
            </w:pPr>
            <w:r w:rsidRPr="002954F7">
              <w:rPr>
                <w:bCs/>
                <w:sz w:val="22"/>
                <w:szCs w:val="22"/>
              </w:rPr>
              <w:t>(Prior / Post)</w:t>
            </w:r>
          </w:p>
        </w:tc>
        <w:tc>
          <w:tcPr>
            <w:tcW w:w="1350" w:type="dxa"/>
            <w:tcBorders>
              <w:top w:val="single" w:sz="4" w:space="0" w:color="auto"/>
              <w:left w:val="single" w:sz="4" w:space="0" w:color="auto"/>
              <w:bottom w:val="single" w:sz="4" w:space="0" w:color="auto"/>
              <w:right w:val="single" w:sz="4" w:space="0" w:color="auto"/>
            </w:tcBorders>
            <w:vAlign w:val="center"/>
          </w:tcPr>
          <w:p w:rsidR="00977393" w:rsidRPr="002954F7" w:rsidRDefault="00977393" w:rsidP="00C42C57">
            <w:pPr>
              <w:spacing w:line="276" w:lineRule="auto"/>
              <w:rPr>
                <w:bCs/>
                <w:sz w:val="22"/>
                <w:szCs w:val="22"/>
              </w:rPr>
            </w:pPr>
            <w:r w:rsidRPr="002954F7">
              <w:rPr>
                <w:bCs/>
                <w:sz w:val="22"/>
                <w:szCs w:val="22"/>
              </w:rPr>
              <w:t>Expected</w:t>
            </w:r>
          </w:p>
          <w:p w:rsidR="00977393" w:rsidRPr="002954F7" w:rsidRDefault="00977393" w:rsidP="00C42C57">
            <w:pPr>
              <w:spacing w:line="276" w:lineRule="auto"/>
              <w:rPr>
                <w:bCs/>
                <w:sz w:val="22"/>
                <w:szCs w:val="22"/>
              </w:rPr>
            </w:pPr>
            <w:r w:rsidRPr="002954F7">
              <w:rPr>
                <w:bCs/>
                <w:sz w:val="22"/>
                <w:szCs w:val="22"/>
              </w:rPr>
              <w:t>Bid-Opening</w:t>
            </w:r>
          </w:p>
          <w:p w:rsidR="00977393" w:rsidRPr="002954F7" w:rsidRDefault="00977393" w:rsidP="00C42C57">
            <w:pPr>
              <w:spacing w:line="276" w:lineRule="auto"/>
              <w:rPr>
                <w:bCs/>
                <w:sz w:val="22"/>
                <w:szCs w:val="22"/>
              </w:rPr>
            </w:pPr>
            <w:r w:rsidRPr="002954F7">
              <w:rPr>
                <w:bCs/>
                <w:sz w:val="22"/>
                <w:szCs w:val="22"/>
              </w:rPr>
              <w:t>Date</w:t>
            </w:r>
          </w:p>
        </w:tc>
      </w:tr>
      <w:tr w:rsidR="00977393" w:rsidRPr="002954F7" w:rsidTr="00556B5E">
        <w:trPr>
          <w:trHeight w:val="503"/>
          <w:jc w:val="center"/>
        </w:trPr>
        <w:tc>
          <w:tcPr>
            <w:tcW w:w="63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1</w:t>
            </w:r>
          </w:p>
        </w:tc>
        <w:tc>
          <w:tcPr>
            <w:tcW w:w="144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Didactic materials</w:t>
            </w:r>
          </w:p>
        </w:tc>
        <w:tc>
          <w:tcPr>
            <w:tcW w:w="135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Pr>
                <w:bCs/>
              </w:rPr>
              <w:t>2,</w:t>
            </w:r>
            <w:r w:rsidRPr="00977393">
              <w:rPr>
                <w:bCs/>
              </w:rPr>
              <w:t>808,456</w:t>
            </w:r>
          </w:p>
        </w:tc>
        <w:tc>
          <w:tcPr>
            <w:tcW w:w="144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ICB</w:t>
            </w:r>
          </w:p>
        </w:tc>
        <w:tc>
          <w:tcPr>
            <w:tcW w:w="72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NO</w:t>
            </w:r>
          </w:p>
        </w:tc>
        <w:tc>
          <w:tcPr>
            <w:tcW w:w="1305"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NO</w:t>
            </w:r>
          </w:p>
        </w:tc>
        <w:tc>
          <w:tcPr>
            <w:tcW w:w="1395"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PRIOR</w:t>
            </w:r>
          </w:p>
        </w:tc>
        <w:tc>
          <w:tcPr>
            <w:tcW w:w="135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3Q - 2013</w:t>
            </w:r>
          </w:p>
        </w:tc>
      </w:tr>
      <w:tr w:rsidR="00977393" w:rsidRPr="002954F7" w:rsidTr="00556B5E">
        <w:trPr>
          <w:trHeight w:val="503"/>
          <w:jc w:val="center"/>
        </w:trPr>
        <w:tc>
          <w:tcPr>
            <w:tcW w:w="63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2</w:t>
            </w:r>
          </w:p>
        </w:tc>
        <w:tc>
          <w:tcPr>
            <w:tcW w:w="144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Printing services</w:t>
            </w:r>
          </w:p>
        </w:tc>
        <w:tc>
          <w:tcPr>
            <w:tcW w:w="135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Pr>
                <w:bCs/>
              </w:rPr>
              <w:t>1,</w:t>
            </w:r>
            <w:r w:rsidRPr="00977393">
              <w:rPr>
                <w:bCs/>
              </w:rPr>
              <w:t>194,000</w:t>
            </w:r>
          </w:p>
        </w:tc>
        <w:tc>
          <w:tcPr>
            <w:tcW w:w="144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ICB</w:t>
            </w:r>
          </w:p>
        </w:tc>
        <w:tc>
          <w:tcPr>
            <w:tcW w:w="72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NO</w:t>
            </w:r>
          </w:p>
        </w:tc>
        <w:tc>
          <w:tcPr>
            <w:tcW w:w="1305"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NO</w:t>
            </w:r>
          </w:p>
        </w:tc>
        <w:tc>
          <w:tcPr>
            <w:tcW w:w="1395"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rPr>
                <w:bCs/>
              </w:rPr>
            </w:pPr>
            <w:r w:rsidRPr="00977393">
              <w:rPr>
                <w:bCs/>
              </w:rPr>
              <w:t>PRIOR</w:t>
            </w:r>
          </w:p>
        </w:tc>
        <w:tc>
          <w:tcPr>
            <w:tcW w:w="1350" w:type="dxa"/>
            <w:tcBorders>
              <w:top w:val="single" w:sz="4" w:space="0" w:color="auto"/>
              <w:left w:val="single" w:sz="4" w:space="0" w:color="auto"/>
              <w:bottom w:val="single" w:sz="4" w:space="0" w:color="auto"/>
              <w:right w:val="single" w:sz="4" w:space="0" w:color="auto"/>
            </w:tcBorders>
            <w:vAlign w:val="center"/>
          </w:tcPr>
          <w:p w:rsidR="00977393" w:rsidRPr="00977393" w:rsidRDefault="00977393" w:rsidP="00C42C57">
            <w:pPr>
              <w:spacing w:line="276" w:lineRule="auto"/>
            </w:pPr>
            <w:r w:rsidRPr="00977393">
              <w:t>3Q - 2013</w:t>
            </w:r>
          </w:p>
        </w:tc>
      </w:tr>
    </w:tbl>
    <w:p w:rsidR="002954F7" w:rsidRDefault="002954F7" w:rsidP="00C2727E">
      <w:pPr>
        <w:spacing w:line="276" w:lineRule="auto"/>
        <w:jc w:val="both"/>
      </w:pPr>
    </w:p>
    <w:p w:rsidR="00263D08" w:rsidRDefault="006312CC" w:rsidP="005E2993">
      <w:pPr>
        <w:numPr>
          <w:ilvl w:val="3"/>
          <w:numId w:val="1"/>
        </w:numPr>
        <w:ind w:left="0" w:firstLine="0"/>
        <w:jc w:val="both"/>
      </w:pPr>
      <w:r w:rsidRPr="006312CC">
        <w:t xml:space="preserve">The following </w:t>
      </w:r>
      <w:r w:rsidRPr="00710641">
        <w:rPr>
          <w:bCs/>
        </w:rPr>
        <w:t>processes</w:t>
      </w:r>
      <w:r w:rsidRPr="006312CC">
        <w:t xml:space="preserve"> aimed at the procurement of </w:t>
      </w:r>
      <w:r w:rsidR="00701D0E">
        <w:t xml:space="preserve">Works, </w:t>
      </w:r>
      <w:r w:rsidRPr="006312CC">
        <w:t xml:space="preserve">Goods and </w:t>
      </w:r>
      <w:r w:rsidRPr="00EC792E">
        <w:rPr>
          <w:bCs/>
        </w:rPr>
        <w:t>Non</w:t>
      </w:r>
      <w:r w:rsidRPr="006312CC">
        <w:t xml:space="preserve">-Consultant Services </w:t>
      </w:r>
      <w:r w:rsidR="00636C8C">
        <w:t>would</w:t>
      </w:r>
      <w:r w:rsidRPr="006312CC">
        <w:t xml:space="preserve"> be subject to prior review by the </w:t>
      </w:r>
      <w:r w:rsidR="00ED6468">
        <w:t>Bank</w:t>
      </w:r>
      <w:r w:rsidRPr="006312CC">
        <w:t>:</w:t>
      </w:r>
    </w:p>
    <w:p w:rsidR="00C123CB" w:rsidRDefault="00C123CB" w:rsidP="00C123CB">
      <w:pPr>
        <w:jc w:val="both"/>
      </w:pPr>
    </w:p>
    <w:p w:rsidR="00263D08" w:rsidRDefault="006312CC" w:rsidP="005E2993">
      <w:pPr>
        <w:numPr>
          <w:ilvl w:val="0"/>
          <w:numId w:val="9"/>
        </w:numPr>
        <w:ind w:left="900" w:hanging="570"/>
        <w:jc w:val="both"/>
      </w:pPr>
      <w:r w:rsidRPr="006312CC">
        <w:t xml:space="preserve">All contracts estimated to cost above </w:t>
      </w:r>
      <w:r w:rsidR="004F1299">
        <w:t>US$</w:t>
      </w:r>
      <w:r w:rsidRPr="006312CC">
        <w:t>300,000.</w:t>
      </w:r>
    </w:p>
    <w:p w:rsidR="00263D08" w:rsidRDefault="006312CC" w:rsidP="005E2993">
      <w:pPr>
        <w:numPr>
          <w:ilvl w:val="0"/>
          <w:numId w:val="9"/>
        </w:numPr>
        <w:ind w:left="900" w:hanging="570"/>
        <w:jc w:val="both"/>
      </w:pPr>
      <w:r w:rsidRPr="006312CC">
        <w:t xml:space="preserve">The first two ICB processes regardless of amount, the first two NCB processes regardless of the applicable local law method and the first two shopping processes. </w:t>
      </w:r>
      <w:r w:rsidR="00C90FBB">
        <w:t xml:space="preserve"> </w:t>
      </w:r>
      <w:r w:rsidR="00C90FBB" w:rsidRPr="00C90FBB">
        <w:t xml:space="preserve">For the purposes of this stipulation, processes conducted in the framework of either PASEN II or </w:t>
      </w:r>
      <w:r w:rsidR="000C16FA">
        <w:t>the Project</w:t>
      </w:r>
      <w:r w:rsidR="00C90FBB" w:rsidRPr="00C90FBB">
        <w:t xml:space="preserve"> </w:t>
      </w:r>
      <w:r w:rsidR="00636C8C">
        <w:t>would</w:t>
      </w:r>
      <w:r w:rsidR="00C90FBB" w:rsidRPr="00C90FBB">
        <w:t xml:space="preserve"> count to meet the number of “two</w:t>
      </w:r>
      <w:r w:rsidR="00EE2ABC">
        <w:t>.”</w:t>
      </w:r>
    </w:p>
    <w:p w:rsidR="00263D08" w:rsidRDefault="006312CC" w:rsidP="005E2993">
      <w:pPr>
        <w:numPr>
          <w:ilvl w:val="0"/>
          <w:numId w:val="9"/>
        </w:numPr>
        <w:ind w:left="900" w:hanging="570"/>
        <w:jc w:val="both"/>
      </w:pPr>
      <w:r w:rsidRPr="006312CC">
        <w:t xml:space="preserve">For all direct contracting, the justification shall be submitted to the </w:t>
      </w:r>
      <w:r w:rsidR="00ED6468">
        <w:t>Bank</w:t>
      </w:r>
      <w:r w:rsidRPr="006312CC">
        <w:t xml:space="preserve"> jointly with the Procurement Plan, and the justification of the reasonableness of price along with the draft contract </w:t>
      </w:r>
      <w:r w:rsidR="00636C8C">
        <w:t>would</w:t>
      </w:r>
      <w:r w:rsidRPr="006312CC">
        <w:t xml:space="preserve"> be subject to prior review.</w:t>
      </w:r>
    </w:p>
    <w:p w:rsidR="006312CC" w:rsidRPr="006312CC" w:rsidRDefault="006312CC" w:rsidP="00C2727E">
      <w:pPr>
        <w:spacing w:line="276" w:lineRule="auto"/>
        <w:jc w:val="both"/>
      </w:pPr>
    </w:p>
    <w:p w:rsidR="00263D08" w:rsidRDefault="006312CC" w:rsidP="005E2993">
      <w:pPr>
        <w:numPr>
          <w:ilvl w:val="3"/>
          <w:numId w:val="1"/>
        </w:numPr>
        <w:ind w:left="0" w:firstLine="0"/>
        <w:jc w:val="both"/>
      </w:pPr>
      <w:r w:rsidRPr="006312CC">
        <w:t xml:space="preserve">The following Consultant Services processes </w:t>
      </w:r>
      <w:r w:rsidR="00636C8C">
        <w:t>would</w:t>
      </w:r>
      <w:r w:rsidRPr="006312CC">
        <w:t xml:space="preserve"> be subject to prior </w:t>
      </w:r>
      <w:r w:rsidRPr="00710641">
        <w:rPr>
          <w:bCs/>
        </w:rPr>
        <w:t>review</w:t>
      </w:r>
      <w:r w:rsidRPr="006312CC">
        <w:t xml:space="preserve"> by the </w:t>
      </w:r>
      <w:r w:rsidR="00ED6468">
        <w:t>Bank</w:t>
      </w:r>
      <w:r w:rsidRPr="006312CC">
        <w:t>:</w:t>
      </w:r>
    </w:p>
    <w:p w:rsidR="00263D08" w:rsidRDefault="006312CC" w:rsidP="005E2993">
      <w:pPr>
        <w:numPr>
          <w:ilvl w:val="0"/>
          <w:numId w:val="10"/>
        </w:numPr>
        <w:ind w:left="900" w:hanging="570"/>
        <w:jc w:val="both"/>
      </w:pPr>
      <w:r w:rsidRPr="006312CC">
        <w:t xml:space="preserve">All contracts estimated to cost above </w:t>
      </w:r>
      <w:r w:rsidR="004F1299">
        <w:t>US$</w:t>
      </w:r>
      <w:r w:rsidRPr="006312CC">
        <w:t>100,000.</w:t>
      </w:r>
    </w:p>
    <w:p w:rsidR="00263D08" w:rsidRDefault="006312CC" w:rsidP="005E2993">
      <w:pPr>
        <w:numPr>
          <w:ilvl w:val="0"/>
          <w:numId w:val="10"/>
        </w:numPr>
        <w:ind w:left="900" w:hanging="570"/>
        <w:jc w:val="both"/>
      </w:pPr>
      <w:r w:rsidRPr="006312CC">
        <w:t xml:space="preserve">The first two process following each selection method regardless of amount. </w:t>
      </w:r>
      <w:r w:rsidR="00C90FBB">
        <w:t xml:space="preserve"> </w:t>
      </w:r>
      <w:r w:rsidR="00C90FBB" w:rsidRPr="00C90FBB">
        <w:t>For the purposes of this stipulation, processes conduc</w:t>
      </w:r>
      <w:r w:rsidR="00C90FBB">
        <w:t xml:space="preserve">ted in the framework of either </w:t>
      </w:r>
      <w:r w:rsidR="00C90FBB" w:rsidRPr="00C90FBB">
        <w:t xml:space="preserve">PASEN II or </w:t>
      </w:r>
      <w:r w:rsidR="000C16FA">
        <w:t>the Project</w:t>
      </w:r>
      <w:r w:rsidR="00C90FBB" w:rsidRPr="00C90FBB">
        <w:t xml:space="preserve"> </w:t>
      </w:r>
      <w:r w:rsidR="00636C8C">
        <w:t>would</w:t>
      </w:r>
      <w:r w:rsidR="00C90FBB" w:rsidRPr="00C90FBB">
        <w:t xml:space="preserve"> count to meet the number of “two</w:t>
      </w:r>
      <w:r w:rsidR="00EE2ABC">
        <w:t>.”</w:t>
      </w:r>
    </w:p>
    <w:p w:rsidR="00263D08" w:rsidRDefault="006312CC" w:rsidP="005E2993">
      <w:pPr>
        <w:numPr>
          <w:ilvl w:val="0"/>
          <w:numId w:val="10"/>
        </w:numPr>
        <w:ind w:left="900" w:hanging="570"/>
        <w:jc w:val="both"/>
      </w:pPr>
      <w:r w:rsidRPr="006312CC">
        <w:t xml:space="preserve">For all direct contracting, the justification shall be submitted to the </w:t>
      </w:r>
      <w:r w:rsidR="00ED6468">
        <w:t>Bank</w:t>
      </w:r>
      <w:r w:rsidRPr="006312CC">
        <w:t xml:space="preserve"> jointly with the Procurement Plan, and the justification of the reasonableness of price along with the draft RFP plus the draft contract </w:t>
      </w:r>
      <w:r w:rsidR="00636C8C">
        <w:t>would</w:t>
      </w:r>
      <w:r w:rsidRPr="006312CC">
        <w:t xml:space="preserve"> be subject to prior review.</w:t>
      </w:r>
    </w:p>
    <w:p w:rsidR="00263D08" w:rsidRDefault="00263D08">
      <w:pPr>
        <w:ind w:left="900"/>
        <w:jc w:val="both"/>
      </w:pPr>
    </w:p>
    <w:p w:rsidR="00263D08" w:rsidRDefault="006312CC" w:rsidP="005E2993">
      <w:pPr>
        <w:numPr>
          <w:ilvl w:val="3"/>
          <w:numId w:val="1"/>
        </w:numPr>
        <w:ind w:left="0" w:firstLine="0"/>
        <w:jc w:val="both"/>
      </w:pPr>
      <w:r w:rsidRPr="006312CC">
        <w:t xml:space="preserve">In addition to the </w:t>
      </w:r>
      <w:r w:rsidRPr="00710641">
        <w:rPr>
          <w:bCs/>
        </w:rPr>
        <w:t>prior</w:t>
      </w:r>
      <w:r w:rsidRPr="006312CC">
        <w:t xml:space="preserve"> </w:t>
      </w:r>
      <w:r w:rsidRPr="00EC792E">
        <w:rPr>
          <w:bCs/>
        </w:rPr>
        <w:t>review</w:t>
      </w:r>
      <w:r w:rsidRPr="006312CC">
        <w:t xml:space="preserve"> supervision defined above, ex–post supervision missions </w:t>
      </w:r>
      <w:r w:rsidR="00636C8C">
        <w:t>would</w:t>
      </w:r>
      <w:r w:rsidRPr="006312CC">
        <w:t xml:space="preserve"> be conducted a</w:t>
      </w:r>
      <w:r w:rsidR="0033202A">
        <w:t>t least once a year</w:t>
      </w:r>
      <w:r w:rsidRPr="006312CC">
        <w:t>.</w:t>
      </w:r>
    </w:p>
    <w:p w:rsidR="00F45084" w:rsidRDefault="00F45084" w:rsidP="00F45084">
      <w:pPr>
        <w:jc w:val="both"/>
      </w:pPr>
    </w:p>
    <w:p w:rsidR="006312CC" w:rsidRDefault="006312CC" w:rsidP="007C0C91">
      <w:pPr>
        <w:spacing w:line="276" w:lineRule="auto"/>
        <w:jc w:val="both"/>
        <w:rPr>
          <w:b/>
        </w:rPr>
      </w:pPr>
      <w:r w:rsidRPr="007C0C91">
        <w:rPr>
          <w:b/>
        </w:rPr>
        <w:t>Environmental and Social (including safeguards)</w:t>
      </w:r>
    </w:p>
    <w:p w:rsidR="006A2BE5" w:rsidRPr="00D069CD" w:rsidRDefault="006A2BE5" w:rsidP="00D069CD">
      <w:pPr>
        <w:jc w:val="both"/>
        <w:rPr>
          <w:bCs/>
        </w:rPr>
      </w:pPr>
    </w:p>
    <w:p w:rsidR="008056D8" w:rsidRDefault="00D069CD" w:rsidP="00164B1B">
      <w:pPr>
        <w:numPr>
          <w:ilvl w:val="3"/>
          <w:numId w:val="1"/>
        </w:numPr>
        <w:ind w:left="0" w:firstLine="0"/>
        <w:jc w:val="both"/>
        <w:rPr>
          <w:bCs/>
        </w:rPr>
      </w:pPr>
      <w:r w:rsidRPr="00D66832">
        <w:rPr>
          <w:bCs/>
        </w:rPr>
        <w:t>The Project triggers OP/BP 4.10 (Indigenous Peoples).  During preparation of PASEN II, an Indigenous Peoples Plan was prepared and disclosed on MINED’s website and on the Bank’s website.  As pa</w:t>
      </w:r>
      <w:r w:rsidRPr="00AD2793">
        <w:rPr>
          <w:bCs/>
        </w:rPr>
        <w:t>rt of prepara</w:t>
      </w:r>
      <w:r w:rsidR="002B289C" w:rsidRPr="00AD2793">
        <w:rPr>
          <w:bCs/>
        </w:rPr>
        <w:t>tion of the Project, the Plan was</w:t>
      </w:r>
      <w:r w:rsidRPr="00AD2793">
        <w:rPr>
          <w:bCs/>
        </w:rPr>
        <w:t xml:space="preserve"> adapted to cover preschool and lower secondary education and the municipalities not inclu</w:t>
      </w:r>
      <w:r w:rsidR="002B289C" w:rsidRPr="00D77DC7">
        <w:rPr>
          <w:bCs/>
        </w:rPr>
        <w:t>ded in PASEN II</w:t>
      </w:r>
      <w:r w:rsidR="005B7E78" w:rsidRPr="00D77DC7">
        <w:rPr>
          <w:bCs/>
        </w:rPr>
        <w:t xml:space="preserve">. </w:t>
      </w:r>
      <w:r w:rsidR="00D77DC7">
        <w:rPr>
          <w:bCs/>
        </w:rPr>
        <w:t xml:space="preserve"> </w:t>
      </w:r>
      <w:r w:rsidR="005B7E78" w:rsidRPr="00D77DC7">
        <w:rPr>
          <w:bCs/>
        </w:rPr>
        <w:t xml:space="preserve">The draft of the </w:t>
      </w:r>
      <w:r w:rsidR="005B7E78" w:rsidRPr="00D77DC7">
        <w:rPr>
          <w:bCs/>
        </w:rPr>
        <w:lastRenderedPageBreak/>
        <w:t xml:space="preserve">IPP was disclosed on the Bank's website and locally </w:t>
      </w:r>
      <w:r w:rsidR="0064524D" w:rsidRPr="00D77DC7">
        <w:rPr>
          <w:bCs/>
        </w:rPr>
        <w:t>on MINED’s website on Mar</w:t>
      </w:r>
      <w:r w:rsidR="0064524D" w:rsidRPr="00F2731B">
        <w:rPr>
          <w:bCs/>
        </w:rPr>
        <w:t>ch 23, 2012</w:t>
      </w:r>
      <w:r w:rsidR="005B7E78" w:rsidRPr="00F2731B">
        <w:rPr>
          <w:bCs/>
        </w:rPr>
        <w:t xml:space="preserve"> prior to Appraisal.  It was</w:t>
      </w:r>
      <w:r w:rsidR="005B7E78" w:rsidRPr="00A4275B">
        <w:rPr>
          <w:bCs/>
        </w:rPr>
        <w:t xml:space="preserve"> finalized </w:t>
      </w:r>
      <w:r w:rsidR="0064524D" w:rsidRPr="00A4275B">
        <w:rPr>
          <w:bCs/>
        </w:rPr>
        <w:t>on June 15, 2012</w:t>
      </w:r>
      <w:r w:rsidR="005B7E78" w:rsidRPr="00901389">
        <w:rPr>
          <w:bCs/>
        </w:rPr>
        <w:t xml:space="preserve"> and disclosed again</w:t>
      </w:r>
      <w:r w:rsidR="00D66832" w:rsidRPr="00DD1508">
        <w:rPr>
          <w:bCs/>
        </w:rPr>
        <w:t xml:space="preserve"> locally on MINED’s website on June 30, 2012 and on the Bank’s website on March 8, 2013.</w:t>
      </w:r>
    </w:p>
    <w:p w:rsidR="000F404E" w:rsidRDefault="000F404E" w:rsidP="000F404E">
      <w:pPr>
        <w:jc w:val="both"/>
        <w:rPr>
          <w:bCs/>
        </w:rPr>
      </w:pPr>
    </w:p>
    <w:p w:rsidR="0078666F" w:rsidRPr="000F404E" w:rsidRDefault="008B314B" w:rsidP="000F404E">
      <w:pPr>
        <w:numPr>
          <w:ilvl w:val="3"/>
          <w:numId w:val="1"/>
        </w:numPr>
        <w:ind w:left="0" w:firstLine="0"/>
        <w:jc w:val="both"/>
        <w:rPr>
          <w:bCs/>
        </w:rPr>
      </w:pPr>
      <w:r w:rsidRPr="000F404E">
        <w:rPr>
          <w:bCs/>
        </w:rPr>
        <w:t>The Project triggers OP/BP 4.12 (Involuntary Resettlement).  A Resettlement Policy Framework (RPF) was prepared for the Project to address the issues related to land acquisition, potential displacement or restriction of access to resources.  The RPF requires that all civil works proposed to be carried out under the Project be screened to ensure that no involuntary taking of land or restriction of access to resources takes place under the Project.  The Project will only finance civil works proposed to be carried out in preschools and lower secondary education schools that are located on land that is properly registered and titled in the name of the Recipient in accordance with Nicaraguan laws and for which there are no pending or unresolved claims wit</w:t>
      </w:r>
      <w:r w:rsidR="000068D5" w:rsidRPr="000F404E">
        <w:rPr>
          <w:bCs/>
        </w:rPr>
        <w:t>hin the past five years of the e</w:t>
      </w:r>
      <w:r w:rsidRPr="000F404E">
        <w:rPr>
          <w:bCs/>
        </w:rPr>
        <w:t xml:space="preserve">ffectiveness date of the Grant Agreement financing the respective civil works. Voluntary land donations might occur under the Project.  In order to evaluate the voluntary nature of potential land donations and appropriately document it, the RPF includes a process to document and verify that all land donations are carried out voluntarily and that all donors have full prior knowledge of the consequences and benefits of their donation. This process also establishes the maximum area of land that may be subject to voluntary land donation as a percentage of the total area of land owned by a donor.  The draft RPF was disclosed on the Bank's website and on MINED’s website on March 23, 2012 prior to Appraisal.  It was finalized on June 15, 2012 and disclosed again locally on MINED’s website on June 30, 2012 and on the Bank’s Infoshop on March 8, 2013, and further revised and disclosed again locally on MINED’s website on </w:t>
      </w:r>
      <w:r w:rsidR="007E1614" w:rsidRPr="000F404E">
        <w:rPr>
          <w:bCs/>
        </w:rPr>
        <w:t>April 1</w:t>
      </w:r>
      <w:r w:rsidRPr="000F404E">
        <w:rPr>
          <w:bCs/>
        </w:rPr>
        <w:t>,</w:t>
      </w:r>
      <w:r w:rsidR="00665B3C">
        <w:rPr>
          <w:bCs/>
        </w:rPr>
        <w:t xml:space="preserve"> 2013 and on the Bank’s website</w:t>
      </w:r>
      <w:r w:rsidR="002D0ACA" w:rsidRPr="000F404E">
        <w:rPr>
          <w:bCs/>
        </w:rPr>
        <w:t xml:space="preserve"> on March 29, 2013</w:t>
      </w:r>
      <w:r w:rsidRPr="000F404E">
        <w:rPr>
          <w:bCs/>
        </w:rPr>
        <w:t>.</w:t>
      </w:r>
      <w:r w:rsidR="0078666F" w:rsidRPr="000F404E">
        <w:rPr>
          <w:bCs/>
        </w:rPr>
        <w:t xml:space="preserve">  </w:t>
      </w:r>
    </w:p>
    <w:p w:rsidR="00D069CD" w:rsidRDefault="00D069CD" w:rsidP="00D069CD">
      <w:pPr>
        <w:jc w:val="both"/>
        <w:rPr>
          <w:bCs/>
        </w:rPr>
      </w:pPr>
    </w:p>
    <w:p w:rsidR="00D069CD" w:rsidRPr="00D069CD" w:rsidRDefault="00D069CD" w:rsidP="00D069CD">
      <w:pPr>
        <w:jc w:val="both"/>
        <w:rPr>
          <w:b/>
          <w:bCs/>
          <w:lang w:val="en-GB"/>
        </w:rPr>
      </w:pPr>
      <w:r w:rsidRPr="00D069CD">
        <w:rPr>
          <w:b/>
          <w:bCs/>
          <w:lang w:val="en-GB"/>
        </w:rPr>
        <w:t>Environment (including safeguards)</w:t>
      </w:r>
    </w:p>
    <w:p w:rsidR="00D069CD" w:rsidRPr="00D069CD" w:rsidRDefault="00D069CD" w:rsidP="00D069CD">
      <w:pPr>
        <w:jc w:val="both"/>
        <w:rPr>
          <w:b/>
          <w:bCs/>
        </w:rPr>
      </w:pPr>
    </w:p>
    <w:p w:rsidR="00D069CD" w:rsidRPr="00D069CD" w:rsidRDefault="00D069CD" w:rsidP="005E2993">
      <w:pPr>
        <w:numPr>
          <w:ilvl w:val="3"/>
          <w:numId w:val="1"/>
        </w:numPr>
        <w:ind w:left="0" w:firstLine="0"/>
        <w:jc w:val="both"/>
        <w:rPr>
          <w:bCs/>
        </w:rPr>
      </w:pPr>
      <w:r w:rsidRPr="00D069CD">
        <w:rPr>
          <w:bCs/>
        </w:rPr>
        <w:t>The Project is rated Category “B” as it involves a large number of relatively small civil works spread across the country which are not expected to generate significant environmental impact.  The Project triggers the policy on Environmental Assessment (OP/BP 4.01) to address the potential environmental and social impacts related to site selection, construction and operation of the school facilities.  An Environmental Mana</w:t>
      </w:r>
      <w:r w:rsidR="00002036">
        <w:rPr>
          <w:bCs/>
        </w:rPr>
        <w:t>gement Framework (EMF) was</w:t>
      </w:r>
      <w:r w:rsidRPr="00D069CD">
        <w:rPr>
          <w:bCs/>
        </w:rPr>
        <w:t xml:space="preserve"> prepared to screen, assess, and mitigate environmental and social impacts of Projec</w:t>
      </w:r>
      <w:r w:rsidR="00002036">
        <w:rPr>
          <w:bCs/>
        </w:rPr>
        <w:t xml:space="preserve">t activities.  </w:t>
      </w:r>
      <w:r w:rsidR="005B7E78">
        <w:rPr>
          <w:bCs/>
        </w:rPr>
        <w:t>The d</w:t>
      </w:r>
      <w:r w:rsidR="005B7E78" w:rsidRPr="0024310C">
        <w:rPr>
          <w:bCs/>
        </w:rPr>
        <w:t xml:space="preserve">raft of the </w:t>
      </w:r>
      <w:r w:rsidR="005B7E78">
        <w:rPr>
          <w:bCs/>
        </w:rPr>
        <w:t>EMF</w:t>
      </w:r>
      <w:r w:rsidR="005B7E78" w:rsidRPr="0024310C">
        <w:rPr>
          <w:bCs/>
        </w:rPr>
        <w:t xml:space="preserve"> was disclosed on the Bank's website </w:t>
      </w:r>
      <w:r w:rsidR="0064524D" w:rsidRPr="0024310C">
        <w:rPr>
          <w:bCs/>
        </w:rPr>
        <w:t xml:space="preserve">and locally </w:t>
      </w:r>
      <w:r w:rsidR="0064524D">
        <w:rPr>
          <w:bCs/>
        </w:rPr>
        <w:t>on MINED’s website on March 23, 2012</w:t>
      </w:r>
      <w:r w:rsidR="0064524D" w:rsidRPr="0024310C">
        <w:rPr>
          <w:bCs/>
        </w:rPr>
        <w:t xml:space="preserve"> prior to Appraisal.  </w:t>
      </w:r>
      <w:r w:rsidR="0064524D">
        <w:rPr>
          <w:bCs/>
        </w:rPr>
        <w:t>It was</w:t>
      </w:r>
      <w:r w:rsidR="0064524D" w:rsidRPr="0024310C">
        <w:rPr>
          <w:bCs/>
        </w:rPr>
        <w:t xml:space="preserve"> finalized </w:t>
      </w:r>
      <w:r w:rsidR="0064524D">
        <w:rPr>
          <w:bCs/>
        </w:rPr>
        <w:t>on August 31, 2012</w:t>
      </w:r>
      <w:r w:rsidR="0064524D" w:rsidRPr="0024310C">
        <w:rPr>
          <w:bCs/>
        </w:rPr>
        <w:t xml:space="preserve"> and disclosed again</w:t>
      </w:r>
      <w:r w:rsidR="0064524D">
        <w:rPr>
          <w:bCs/>
        </w:rPr>
        <w:t xml:space="preserve"> </w:t>
      </w:r>
      <w:r w:rsidR="00D66832">
        <w:rPr>
          <w:bCs/>
        </w:rPr>
        <w:t>locally on MINED’s website on September 15, 2012 and on the Bank’s website on March 8, 2013</w:t>
      </w:r>
      <w:r w:rsidR="00D66832" w:rsidRPr="008F3FE7">
        <w:rPr>
          <w:bCs/>
        </w:rPr>
        <w:t>.</w:t>
      </w:r>
    </w:p>
    <w:p w:rsidR="00D069CD" w:rsidRPr="00D069CD" w:rsidRDefault="00D069CD" w:rsidP="00D069CD">
      <w:pPr>
        <w:jc w:val="both"/>
        <w:rPr>
          <w:bCs/>
        </w:rPr>
      </w:pPr>
    </w:p>
    <w:p w:rsidR="00D069CD" w:rsidRPr="00D069CD" w:rsidRDefault="00D069CD" w:rsidP="005E2993">
      <w:pPr>
        <w:numPr>
          <w:ilvl w:val="3"/>
          <w:numId w:val="1"/>
        </w:numPr>
        <w:ind w:left="0" w:firstLine="0"/>
        <w:jc w:val="both"/>
        <w:rPr>
          <w:bCs/>
        </w:rPr>
      </w:pPr>
      <w:r w:rsidRPr="00D069CD">
        <w:rPr>
          <w:bCs/>
        </w:rPr>
        <w:t>Pre-investment studies for all civil works would be carried out in accordance with Bank policies, and they would include appropriate environmental and safety considerations, such as: (i) selection of construction materials that minimize social and environmental impacts; (ii) environmental mitigation and institutional arrangement for supervision and oversight of environmental measures to be taken during implementation; (iii) waste disposal measures; (iv) construction site management criteria (proper safety protocols for construction workers, including the use of personal protective equipment); and (v) dust and noise control.</w:t>
      </w:r>
      <w:r w:rsidR="007D1611">
        <w:rPr>
          <w:bCs/>
        </w:rPr>
        <w:t xml:space="preserve">  Pre-investment studies are financed by the Bank-financed PASEN 2.  </w:t>
      </w:r>
      <w:r w:rsidRPr="00D069CD">
        <w:rPr>
          <w:bCs/>
        </w:rPr>
        <w:t xml:space="preserve"> </w:t>
      </w:r>
    </w:p>
    <w:p w:rsidR="00D069CD" w:rsidRPr="00D069CD" w:rsidRDefault="00D069CD" w:rsidP="00D069CD">
      <w:pPr>
        <w:jc w:val="both"/>
      </w:pPr>
    </w:p>
    <w:p w:rsidR="004728F8" w:rsidRDefault="00D069CD" w:rsidP="005E2993">
      <w:pPr>
        <w:numPr>
          <w:ilvl w:val="3"/>
          <w:numId w:val="1"/>
        </w:numPr>
        <w:ind w:left="0" w:firstLine="0"/>
        <w:jc w:val="both"/>
        <w:rPr>
          <w:bCs/>
        </w:rPr>
      </w:pPr>
      <w:r w:rsidRPr="00D069CD">
        <w:lastRenderedPageBreak/>
        <w:t>In light of the fact that Central America is a natural disaster-prone area, school infrastructure would be designed to withstand major natural disasters (i.e. earthquakes, floods, landslides) and provide adequate shelter in the case of such events.  As appropriate, each civil works contract would specify the required structural safety and exposure to natural hazards to be considered in the design and construction of school facilities.  A rigorous monitoring and quality assurance procedure would be included in the contracts to ensure compliance with environmental health and safety standards as outlined in the EMF.</w:t>
      </w:r>
    </w:p>
    <w:p w:rsidR="004728F8" w:rsidRPr="00F46C10" w:rsidRDefault="004728F8" w:rsidP="004728F8">
      <w:pPr>
        <w:pStyle w:val="ListParagraph"/>
        <w:ind w:left="0"/>
        <w:jc w:val="both"/>
        <w:rPr>
          <w:bCs/>
        </w:rPr>
      </w:pPr>
    </w:p>
    <w:p w:rsidR="006312CC" w:rsidRPr="00551912" w:rsidRDefault="006312CC" w:rsidP="00551912">
      <w:pPr>
        <w:spacing w:line="276" w:lineRule="auto"/>
        <w:jc w:val="both"/>
        <w:rPr>
          <w:b/>
        </w:rPr>
      </w:pPr>
      <w:r w:rsidRPr="00551912">
        <w:rPr>
          <w:b/>
        </w:rPr>
        <w:t>Monitoring &amp; Evaluation</w:t>
      </w:r>
    </w:p>
    <w:p w:rsidR="00263D08" w:rsidRDefault="00263D08" w:rsidP="00F153E0">
      <w:pPr>
        <w:ind w:left="2347"/>
        <w:jc w:val="both"/>
      </w:pPr>
    </w:p>
    <w:p w:rsidR="00DF5A7F" w:rsidRPr="00DF5A7F" w:rsidRDefault="006312CC" w:rsidP="005E2993">
      <w:pPr>
        <w:numPr>
          <w:ilvl w:val="3"/>
          <w:numId w:val="1"/>
        </w:numPr>
        <w:ind w:left="0" w:firstLine="0"/>
        <w:jc w:val="both"/>
        <w:rPr>
          <w:bCs/>
        </w:rPr>
      </w:pPr>
      <w:r w:rsidRPr="006312CC">
        <w:t xml:space="preserve">Data for the </w:t>
      </w:r>
      <w:r w:rsidR="002677F2">
        <w:t>Project</w:t>
      </w:r>
      <w:r w:rsidRPr="006312CC">
        <w:t xml:space="preserve">’s outcome and results indicators </w:t>
      </w:r>
      <w:r w:rsidR="00636C8C">
        <w:t>would</w:t>
      </w:r>
      <w:r w:rsidRPr="006312CC">
        <w:t xml:space="preserve"> come </w:t>
      </w:r>
      <w:r w:rsidR="00002036">
        <w:t xml:space="preserve">from </w:t>
      </w:r>
      <w:r w:rsidRPr="006312CC">
        <w:t>a v</w:t>
      </w:r>
      <w:r w:rsidR="00F153E0">
        <w:t>ariety of sources, including: (i</w:t>
      </w:r>
      <w:r w:rsidRPr="006312CC">
        <w:t>) the physica</w:t>
      </w:r>
      <w:r w:rsidR="00002036">
        <w:t>l and financial implementation Management Information System (MIS)</w:t>
      </w:r>
      <w:r w:rsidRPr="006312CC">
        <w:t xml:space="preserve"> to be</w:t>
      </w:r>
      <w:r w:rsidR="00F153E0">
        <w:t xml:space="preserve"> established for the </w:t>
      </w:r>
      <w:r w:rsidR="002677F2">
        <w:t>Project</w:t>
      </w:r>
      <w:r w:rsidR="00F153E0">
        <w:t>: (ii</w:t>
      </w:r>
      <w:r w:rsidRPr="006312CC">
        <w:t>) the annual collection of enrollment, repetition</w:t>
      </w:r>
      <w:r w:rsidR="00F153E0">
        <w:t>, dropout and retention data</w:t>
      </w:r>
      <w:r w:rsidR="000068D5">
        <w:t xml:space="preserve"> etc.</w:t>
      </w:r>
      <w:r w:rsidR="00F153E0">
        <w:t>; (iii</w:t>
      </w:r>
      <w:r w:rsidRPr="006312CC">
        <w:t xml:space="preserve">) targeted monitoring information collected in the </w:t>
      </w:r>
      <w:r w:rsidR="00DF5A7F">
        <w:t>43</w:t>
      </w:r>
      <w:r w:rsidRPr="006312CC">
        <w:t xml:space="preserve"> municipalities, for example concerning the percentage of students who receive </w:t>
      </w:r>
      <w:r w:rsidR="00DF5A7F">
        <w:t>textbooks</w:t>
      </w:r>
      <w:r w:rsidR="00002036">
        <w:t>, number of teachers trained</w:t>
      </w:r>
      <w:r w:rsidR="00F153E0">
        <w:t>; and (iv</w:t>
      </w:r>
      <w:r w:rsidRPr="006312CC">
        <w:t>) periodic student learning assessments.</w:t>
      </w:r>
      <w:r w:rsidR="00DF5A7F">
        <w:t xml:space="preserve">  </w:t>
      </w:r>
    </w:p>
    <w:p w:rsidR="00DF5A7F" w:rsidRPr="00DF5A7F" w:rsidRDefault="00DF5A7F" w:rsidP="00DF5A7F">
      <w:pPr>
        <w:jc w:val="both"/>
        <w:rPr>
          <w:bCs/>
        </w:rPr>
      </w:pPr>
    </w:p>
    <w:p w:rsidR="00263D08" w:rsidRPr="00DF5A7F" w:rsidRDefault="006312CC" w:rsidP="005E2993">
      <w:pPr>
        <w:numPr>
          <w:ilvl w:val="3"/>
          <w:numId w:val="1"/>
        </w:numPr>
        <w:ind w:left="0" w:firstLine="0"/>
        <w:jc w:val="both"/>
        <w:rPr>
          <w:bCs/>
        </w:rPr>
      </w:pPr>
      <w:r w:rsidRPr="006312CC">
        <w:t xml:space="preserve">The Division of Educational Statistics </w:t>
      </w:r>
      <w:r w:rsidR="00636C8C">
        <w:t>would</w:t>
      </w:r>
      <w:r w:rsidRPr="006312CC">
        <w:t xml:space="preserve"> be r</w:t>
      </w:r>
      <w:r w:rsidR="00345E94">
        <w:t>esp</w:t>
      </w:r>
      <w:r w:rsidRPr="006312CC">
        <w:t xml:space="preserve">onsible for data collection regarding enrollment, repetition, dropout and retention in the </w:t>
      </w:r>
      <w:r w:rsidR="00DF5A7F">
        <w:t>43</w:t>
      </w:r>
      <w:r w:rsidRPr="006312CC">
        <w:t xml:space="preserve"> </w:t>
      </w:r>
      <w:r w:rsidR="00636799">
        <w:t>selected</w:t>
      </w:r>
      <w:r w:rsidR="00636799" w:rsidRPr="006312CC">
        <w:t xml:space="preserve"> </w:t>
      </w:r>
      <w:r w:rsidRPr="006312CC">
        <w:t xml:space="preserve">municipalities. </w:t>
      </w:r>
      <w:r w:rsidRPr="00DF5A7F">
        <w:rPr>
          <w:bCs/>
        </w:rPr>
        <w:t xml:space="preserve">The </w:t>
      </w:r>
      <w:r w:rsidR="00EF0961" w:rsidRPr="00DF5A7F">
        <w:rPr>
          <w:bCs/>
        </w:rPr>
        <w:t>Directorate</w:t>
      </w:r>
      <w:r w:rsidRPr="00DF5A7F">
        <w:rPr>
          <w:bCs/>
        </w:rPr>
        <w:t xml:space="preserve">s for </w:t>
      </w:r>
      <w:r w:rsidR="00F75747">
        <w:rPr>
          <w:bCs/>
        </w:rPr>
        <w:t>Preschool</w:t>
      </w:r>
      <w:r w:rsidR="00DF5A7F">
        <w:rPr>
          <w:bCs/>
        </w:rPr>
        <w:t xml:space="preserve"> Education, Secondary Education</w:t>
      </w:r>
      <w:r w:rsidRPr="00DF5A7F">
        <w:rPr>
          <w:bCs/>
        </w:rPr>
        <w:t xml:space="preserve">, Teacher Training and </w:t>
      </w:r>
      <w:r w:rsidR="00DF5A7F">
        <w:rPr>
          <w:bCs/>
        </w:rPr>
        <w:t xml:space="preserve">Educational </w:t>
      </w:r>
      <w:r w:rsidRPr="00DF5A7F">
        <w:rPr>
          <w:bCs/>
        </w:rPr>
        <w:t xml:space="preserve">Infrastructure </w:t>
      </w:r>
      <w:r w:rsidR="00636C8C">
        <w:rPr>
          <w:bCs/>
        </w:rPr>
        <w:t>would</w:t>
      </w:r>
      <w:r w:rsidRPr="00DF5A7F">
        <w:rPr>
          <w:bCs/>
        </w:rPr>
        <w:t xml:space="preserve"> be r</w:t>
      </w:r>
      <w:r w:rsidR="00345E94">
        <w:rPr>
          <w:bCs/>
        </w:rPr>
        <w:t>esp</w:t>
      </w:r>
      <w:r w:rsidRPr="00DF5A7F">
        <w:rPr>
          <w:bCs/>
        </w:rPr>
        <w:t xml:space="preserve">onsible for providing </w:t>
      </w:r>
      <w:r w:rsidR="002677F2" w:rsidRPr="00DF5A7F">
        <w:rPr>
          <w:bCs/>
        </w:rPr>
        <w:t>Project</w:t>
      </w:r>
      <w:r w:rsidRPr="00DF5A7F">
        <w:rPr>
          <w:bCs/>
        </w:rPr>
        <w:t xml:space="preserve"> implementation monitoring data for their r</w:t>
      </w:r>
      <w:r w:rsidR="00345E94">
        <w:rPr>
          <w:bCs/>
        </w:rPr>
        <w:t>esp</w:t>
      </w:r>
      <w:r w:rsidRPr="00DF5A7F">
        <w:rPr>
          <w:bCs/>
        </w:rPr>
        <w:t xml:space="preserve">ective activities, which </w:t>
      </w:r>
      <w:r w:rsidR="00636C8C">
        <w:rPr>
          <w:bCs/>
        </w:rPr>
        <w:t>would</w:t>
      </w:r>
      <w:r w:rsidRPr="00DF5A7F">
        <w:rPr>
          <w:bCs/>
        </w:rPr>
        <w:t xml:space="preserve"> be synthesized into the </w:t>
      </w:r>
      <w:r w:rsidR="002677F2" w:rsidRPr="00DF5A7F">
        <w:rPr>
          <w:bCs/>
        </w:rPr>
        <w:t>Project</w:t>
      </w:r>
      <w:r w:rsidR="008E7475" w:rsidRPr="00DF5A7F">
        <w:rPr>
          <w:bCs/>
        </w:rPr>
        <w:t xml:space="preserve"> implementation MIS</w:t>
      </w:r>
      <w:r w:rsidR="005720A8" w:rsidRPr="00DF5A7F">
        <w:rPr>
          <w:bCs/>
        </w:rPr>
        <w:t>.</w:t>
      </w:r>
      <w:r w:rsidRPr="00DF5A7F">
        <w:rPr>
          <w:bCs/>
        </w:rPr>
        <w:t xml:space="preserve">  All these </w:t>
      </w:r>
      <w:r w:rsidR="00EF0961" w:rsidRPr="00DF5A7F">
        <w:rPr>
          <w:bCs/>
        </w:rPr>
        <w:t>Directorate</w:t>
      </w:r>
      <w:r w:rsidRPr="00DF5A7F">
        <w:rPr>
          <w:bCs/>
        </w:rPr>
        <w:t xml:space="preserve">s have the capacity to collect data, in coordination with MINED’s </w:t>
      </w:r>
      <w:r w:rsidR="00D45459" w:rsidRPr="00DF5A7F">
        <w:rPr>
          <w:bCs/>
        </w:rPr>
        <w:t>departmental</w:t>
      </w:r>
      <w:r w:rsidRPr="00DF5A7F">
        <w:rPr>
          <w:bCs/>
        </w:rPr>
        <w:t xml:space="preserve"> and municipal offices and </w:t>
      </w:r>
      <w:r w:rsidR="00636799">
        <w:t>selected</w:t>
      </w:r>
      <w:r w:rsidRPr="00DF5A7F">
        <w:rPr>
          <w:bCs/>
        </w:rPr>
        <w:t xml:space="preserve"> schools.</w:t>
      </w:r>
    </w:p>
    <w:p w:rsidR="00903380" w:rsidRPr="00903380" w:rsidRDefault="00903380" w:rsidP="00903380">
      <w:pPr>
        <w:pStyle w:val="ListParagraph"/>
        <w:rPr>
          <w:bCs/>
        </w:rPr>
      </w:pPr>
    </w:p>
    <w:p w:rsidR="00263D08" w:rsidRDefault="00EC2723" w:rsidP="005E2993">
      <w:pPr>
        <w:numPr>
          <w:ilvl w:val="3"/>
          <w:numId w:val="1"/>
        </w:numPr>
        <w:ind w:left="0" w:firstLine="0"/>
        <w:jc w:val="both"/>
        <w:rPr>
          <w:bCs/>
        </w:rPr>
      </w:pPr>
      <w:r>
        <w:rPr>
          <w:bCs/>
        </w:rPr>
        <w:t xml:space="preserve">Under PASEN II, </w:t>
      </w:r>
      <w:r w:rsidR="006312CC" w:rsidRPr="00903380">
        <w:rPr>
          <w:bCs/>
        </w:rPr>
        <w:t xml:space="preserve">the use of data to assess the </w:t>
      </w:r>
      <w:r w:rsidR="002677F2">
        <w:rPr>
          <w:bCs/>
        </w:rPr>
        <w:t>Project</w:t>
      </w:r>
      <w:r w:rsidR="006312CC" w:rsidRPr="00903380">
        <w:rPr>
          <w:bCs/>
        </w:rPr>
        <w:t>’s effe</w:t>
      </w:r>
      <w:r>
        <w:rPr>
          <w:bCs/>
        </w:rPr>
        <w:t xml:space="preserve">ctiveness during implementation </w:t>
      </w:r>
      <w:r w:rsidR="00636C8C">
        <w:rPr>
          <w:bCs/>
        </w:rPr>
        <w:t>would</w:t>
      </w:r>
      <w:r>
        <w:rPr>
          <w:bCs/>
        </w:rPr>
        <w:t xml:space="preserve"> be improved</w:t>
      </w:r>
      <w:r w:rsidR="006312CC" w:rsidRPr="00903380">
        <w:rPr>
          <w:bCs/>
        </w:rPr>
        <w:t xml:space="preserve"> with the strengthening of the Divisions </w:t>
      </w:r>
      <w:r w:rsidR="00C52507" w:rsidRPr="00C52507">
        <w:t>for</w:t>
      </w:r>
      <w:r w:rsidR="006312CC" w:rsidRPr="00903380">
        <w:rPr>
          <w:bCs/>
        </w:rPr>
        <w:t xml:space="preserve"> Planning, Educational Statistics, and Institutional M&amp;E under the General Directorate for Planning (Sub-Component 3.1).  The physical and financial </w:t>
      </w:r>
      <w:r w:rsidR="002677F2">
        <w:rPr>
          <w:bCs/>
        </w:rPr>
        <w:t>Project</w:t>
      </w:r>
      <w:r w:rsidR="006312CC" w:rsidRPr="00903380">
        <w:rPr>
          <w:bCs/>
        </w:rPr>
        <w:t xml:space="preserve"> implementation MIS system to be established under the superv</w:t>
      </w:r>
      <w:r w:rsidR="008E7475">
        <w:rPr>
          <w:bCs/>
        </w:rPr>
        <w:t>ision of the PC</w:t>
      </w:r>
      <w:r w:rsidR="006312CC" w:rsidRPr="00903380">
        <w:rPr>
          <w:bCs/>
        </w:rPr>
        <w:t xml:space="preserve"> </w:t>
      </w:r>
      <w:r w:rsidR="00636C8C">
        <w:rPr>
          <w:bCs/>
        </w:rPr>
        <w:t>would</w:t>
      </w:r>
      <w:r w:rsidR="006312CC" w:rsidRPr="00903380">
        <w:rPr>
          <w:bCs/>
        </w:rPr>
        <w:t xml:space="preserve"> provide additional specific information, against which progress in implementation of the Annual </w:t>
      </w:r>
      <w:r w:rsidR="008E7475">
        <w:rPr>
          <w:bCs/>
        </w:rPr>
        <w:t xml:space="preserve">Project </w:t>
      </w:r>
      <w:r w:rsidR="006312CC" w:rsidRPr="00903380">
        <w:rPr>
          <w:bCs/>
        </w:rPr>
        <w:t xml:space="preserve">Procurement Plan and Annual </w:t>
      </w:r>
      <w:r w:rsidR="008E7475">
        <w:rPr>
          <w:bCs/>
        </w:rPr>
        <w:t xml:space="preserve">Project </w:t>
      </w:r>
      <w:r w:rsidR="006312CC" w:rsidRPr="00903380">
        <w:rPr>
          <w:bCs/>
        </w:rPr>
        <w:t xml:space="preserve">Implementation Plan </w:t>
      </w:r>
      <w:r w:rsidR="00636C8C">
        <w:rPr>
          <w:bCs/>
        </w:rPr>
        <w:t>would</w:t>
      </w:r>
      <w:r w:rsidR="006312CC" w:rsidRPr="00903380">
        <w:rPr>
          <w:bCs/>
        </w:rPr>
        <w:t xml:space="preserve"> be measured.  As indicated in the Results Framework, data </w:t>
      </w:r>
      <w:r w:rsidR="00636C8C">
        <w:rPr>
          <w:bCs/>
        </w:rPr>
        <w:t>would</w:t>
      </w:r>
      <w:r w:rsidR="006312CC" w:rsidRPr="00903380">
        <w:rPr>
          <w:bCs/>
        </w:rPr>
        <w:t xml:space="preserve"> be collected and analyzed on a continuous basis, with implementation progress formally measured every six months.  </w:t>
      </w:r>
      <w:r w:rsidR="00AF0BE9" w:rsidRPr="00AF0BE9">
        <w:rPr>
          <w:bCs/>
        </w:rPr>
        <w:t>MINED would prepare semi-annual progress repor</w:t>
      </w:r>
      <w:r w:rsidR="00AF0BE9">
        <w:rPr>
          <w:bCs/>
        </w:rPr>
        <w:t xml:space="preserve">ts on the Projects implementation and annual reports on the ESS implementation to be discussed during bi-annual MINED-donors joint </w:t>
      </w:r>
      <w:r w:rsidR="000F1BBA">
        <w:rPr>
          <w:bCs/>
        </w:rPr>
        <w:t>sector review (JSR)</w:t>
      </w:r>
      <w:r w:rsidR="00AF0BE9">
        <w:rPr>
          <w:bCs/>
        </w:rPr>
        <w:t xml:space="preserve">. </w:t>
      </w:r>
      <w:r w:rsidR="00AF0BE9" w:rsidRPr="00AF0BE9">
        <w:rPr>
          <w:bCs/>
        </w:rPr>
        <w:t xml:space="preserve"> </w:t>
      </w:r>
      <w:r w:rsidR="006312CC" w:rsidRPr="00903380">
        <w:rPr>
          <w:bCs/>
        </w:rPr>
        <w:t xml:space="preserve">This data </w:t>
      </w:r>
      <w:r w:rsidR="00636C8C">
        <w:rPr>
          <w:bCs/>
        </w:rPr>
        <w:t>would</w:t>
      </w:r>
      <w:r w:rsidR="006312CC" w:rsidRPr="00903380">
        <w:rPr>
          <w:bCs/>
        </w:rPr>
        <w:t xml:space="preserve"> be reviewed with the </w:t>
      </w:r>
      <w:r w:rsidR="00ED6468">
        <w:rPr>
          <w:bCs/>
        </w:rPr>
        <w:t>Bank</w:t>
      </w:r>
      <w:r w:rsidR="006312CC" w:rsidRPr="00903380">
        <w:rPr>
          <w:bCs/>
        </w:rPr>
        <w:t xml:space="preserve">’s supervision team and corrective </w:t>
      </w:r>
      <w:r w:rsidR="002677F2">
        <w:rPr>
          <w:bCs/>
        </w:rPr>
        <w:t>Project</w:t>
      </w:r>
      <w:r w:rsidR="006312CC" w:rsidRPr="00903380">
        <w:rPr>
          <w:bCs/>
        </w:rPr>
        <w:t xml:space="preserve"> implementation measures </w:t>
      </w:r>
      <w:r w:rsidR="00636C8C">
        <w:rPr>
          <w:bCs/>
        </w:rPr>
        <w:t>would</w:t>
      </w:r>
      <w:r w:rsidR="006312CC" w:rsidRPr="00903380">
        <w:rPr>
          <w:bCs/>
        </w:rPr>
        <w:t xml:space="preserve"> be discussed and agreed to as necessary, and reflected in </w:t>
      </w:r>
      <w:r w:rsidR="00216409">
        <w:rPr>
          <w:bCs/>
        </w:rPr>
        <w:t>P</w:t>
      </w:r>
      <w:r w:rsidR="006312CC" w:rsidRPr="00903380">
        <w:rPr>
          <w:bCs/>
        </w:rPr>
        <w:t xml:space="preserve">roject </w:t>
      </w:r>
      <w:r w:rsidR="00216409">
        <w:rPr>
          <w:bCs/>
        </w:rPr>
        <w:t>Su</w:t>
      </w:r>
      <w:r w:rsidR="006312CC" w:rsidRPr="00903380">
        <w:rPr>
          <w:bCs/>
        </w:rPr>
        <w:t>pervision Aide Memoires (for monitoring during subsequent supervision missions).</w:t>
      </w:r>
    </w:p>
    <w:p w:rsidR="00E43526" w:rsidRDefault="00E43526" w:rsidP="00E43526">
      <w:pPr>
        <w:jc w:val="both"/>
        <w:rPr>
          <w:bCs/>
        </w:rPr>
      </w:pPr>
    </w:p>
    <w:p w:rsidR="00E43526" w:rsidRDefault="00E43526" w:rsidP="005E2993">
      <w:pPr>
        <w:numPr>
          <w:ilvl w:val="3"/>
          <w:numId w:val="1"/>
        </w:numPr>
        <w:ind w:left="0" w:firstLine="0"/>
        <w:jc w:val="both"/>
        <w:rPr>
          <w:bCs/>
        </w:rPr>
      </w:pPr>
      <w:r>
        <w:rPr>
          <w:bCs/>
        </w:rPr>
        <w:t xml:space="preserve">MINED would also report specifically on Project activities aimed to reduce gender inequity, particularly in relation with discriminatory practices and abuses in schools.  MINED would provide details on changes of behavior as a results of activities implemented and social awareness campaigns.  Relevant information would be shared with all stakeholders during JSR.     </w:t>
      </w:r>
    </w:p>
    <w:p w:rsidR="008E7475" w:rsidRDefault="008E7475" w:rsidP="008E7475">
      <w:pPr>
        <w:jc w:val="both"/>
        <w:rPr>
          <w:bCs/>
        </w:rPr>
      </w:pPr>
    </w:p>
    <w:p w:rsidR="00977393" w:rsidRPr="00903380" w:rsidRDefault="00977393" w:rsidP="008E7475">
      <w:pPr>
        <w:jc w:val="both"/>
        <w:rPr>
          <w:bCs/>
        </w:rPr>
      </w:pPr>
    </w:p>
    <w:p w:rsidR="006312CC" w:rsidRPr="004728F8" w:rsidRDefault="006312CC" w:rsidP="004728F8">
      <w:pPr>
        <w:rPr>
          <w:b/>
          <w:bCs/>
        </w:rPr>
      </w:pPr>
      <w:r w:rsidRPr="004728F8">
        <w:rPr>
          <w:b/>
          <w:bCs/>
        </w:rPr>
        <w:lastRenderedPageBreak/>
        <w:t>Role of Partners</w:t>
      </w:r>
    </w:p>
    <w:p w:rsidR="00263D08" w:rsidRDefault="00263D08">
      <w:pPr>
        <w:jc w:val="both"/>
      </w:pPr>
    </w:p>
    <w:p w:rsidR="00263D08" w:rsidRDefault="007C39C0" w:rsidP="005E2993">
      <w:pPr>
        <w:numPr>
          <w:ilvl w:val="3"/>
          <w:numId w:val="1"/>
        </w:numPr>
        <w:ind w:left="0" w:firstLine="0"/>
        <w:jc w:val="both"/>
      </w:pPr>
      <w:r>
        <w:t>Given that the EU and GPE are financing 100 percent of these Project costs, with no IDA financing involved, the Bank’s partners are in fact playing key financi</w:t>
      </w:r>
      <w:r w:rsidR="00EC2723">
        <w:t xml:space="preserve">al and technical roles in </w:t>
      </w:r>
      <w:r w:rsidR="00911C25">
        <w:t>the Project</w:t>
      </w:r>
      <w:r>
        <w:t>.  The Secondary Education Component was initially designed and costed by an EU consultant in collaboration with MINED and local EU staff in 2011</w:t>
      </w:r>
      <w:r w:rsidR="00914D2D">
        <w:t xml:space="preserve">, which was subsequently </w:t>
      </w:r>
      <w:proofErr w:type="gramStart"/>
      <w:r w:rsidR="00914D2D">
        <w:t>appraised</w:t>
      </w:r>
      <w:proofErr w:type="gramEnd"/>
      <w:r w:rsidR="00914D2D">
        <w:t xml:space="preserve"> and revised by Bank staff in collaboration with MINED and EU</w:t>
      </w:r>
      <w:r>
        <w:t xml:space="preserve">.  The </w:t>
      </w:r>
      <w:r w:rsidR="00F75747">
        <w:t>Preschool</w:t>
      </w:r>
      <w:r>
        <w:t xml:space="preserve"> Education Component was initially prepared by a</w:t>
      </w:r>
      <w:r w:rsidR="00EC2723">
        <w:t xml:space="preserve"> consultant supported by UNICEF</w:t>
      </w:r>
      <w:r>
        <w:t xml:space="preserve">, given its lead education sector donor agency role in Nicaragua and its interest in ECD.  </w:t>
      </w:r>
      <w:r w:rsidR="00AF4A54">
        <w:t xml:space="preserve">GPE technical staff have followed this preparation process and provided assistance with </w:t>
      </w:r>
      <w:r w:rsidR="001279DB">
        <w:t>Project</w:t>
      </w:r>
      <w:r w:rsidR="00AF4A54">
        <w:t xml:space="preserve"> templates and the review of the </w:t>
      </w:r>
      <w:r w:rsidR="009469DE">
        <w:t>ESS</w:t>
      </w:r>
      <w:r w:rsidR="00AF4A54">
        <w:t xml:space="preserve">.  </w:t>
      </w:r>
      <w:r w:rsidR="00EC2723">
        <w:t xml:space="preserve">The local education donors group has been very active in supporting and appraising the preparation of Nicaragua’s </w:t>
      </w:r>
      <w:r w:rsidR="00AF0BE9">
        <w:t>ESS</w:t>
      </w:r>
      <w:r w:rsidR="00EC2723">
        <w:t xml:space="preserve">, which is the core document around which </w:t>
      </w:r>
      <w:r w:rsidR="00911C25">
        <w:t>the Project</w:t>
      </w:r>
      <w:r w:rsidR="00EC2723">
        <w:t xml:space="preserve"> has been designed.  </w:t>
      </w:r>
      <w:r>
        <w:t xml:space="preserve">The Bank has thus developed very close partnerships with </w:t>
      </w:r>
      <w:r w:rsidR="00AF4A54">
        <w:t xml:space="preserve">the EU, GPE, UNICEF and other </w:t>
      </w:r>
      <w:r w:rsidR="00EC2723">
        <w:t xml:space="preserve">local </w:t>
      </w:r>
      <w:r w:rsidR="00AF4A54">
        <w:t xml:space="preserve">education sector partners.  These partnerships </w:t>
      </w:r>
      <w:r w:rsidR="00636C8C">
        <w:t>would</w:t>
      </w:r>
      <w:r w:rsidR="00AF4A54">
        <w:t xml:space="preserve"> be formalized through Administrative Agreements and the establishment of a </w:t>
      </w:r>
      <w:r w:rsidR="006312CC" w:rsidRPr="006312CC">
        <w:t>Multi-Donor Trust Fund</w:t>
      </w:r>
      <w:r w:rsidR="00AF4A54">
        <w:t xml:space="preserve"> (</w:t>
      </w:r>
      <w:r w:rsidR="006312CC" w:rsidRPr="006312CC">
        <w:t xml:space="preserve">anticipated </w:t>
      </w:r>
      <w:r w:rsidR="00FC3621" w:rsidRPr="006312CC">
        <w:t>being</w:t>
      </w:r>
      <w:r w:rsidR="006312CC" w:rsidRPr="006312CC">
        <w:t xml:space="preserve"> in place by </w:t>
      </w:r>
      <w:r w:rsidR="00AF0BE9">
        <w:t xml:space="preserve">September </w:t>
      </w:r>
      <w:r w:rsidR="006312CC" w:rsidRPr="006312CC">
        <w:t>2012</w:t>
      </w:r>
      <w:r w:rsidR="00AF4A54">
        <w:t>)</w:t>
      </w:r>
      <w:r w:rsidR="006312CC" w:rsidRPr="006312CC">
        <w:t xml:space="preserve">.  </w:t>
      </w:r>
      <w:r w:rsidR="00AF4A54">
        <w:t xml:space="preserve"> Thus</w:t>
      </w:r>
      <w:r w:rsidR="006312CC" w:rsidRPr="006312CC">
        <w:t xml:space="preserve">, the </w:t>
      </w:r>
      <w:r w:rsidR="00ED6468">
        <w:t>Bank</w:t>
      </w:r>
      <w:r w:rsidR="006312CC" w:rsidRPr="006312CC">
        <w:t xml:space="preserve">, EU and </w:t>
      </w:r>
      <w:r w:rsidR="008B6C61">
        <w:t xml:space="preserve">GPE </w:t>
      </w:r>
      <w:r w:rsidR="00636C8C">
        <w:t>would</w:t>
      </w:r>
      <w:r w:rsidR="006312CC" w:rsidRPr="006312CC">
        <w:t xml:space="preserve"> work closely with MINED to ensure harmonized </w:t>
      </w:r>
      <w:r w:rsidR="001279DB">
        <w:t>Project</w:t>
      </w:r>
      <w:r w:rsidR="006312CC" w:rsidRPr="006312CC">
        <w:t xml:space="preserve"> implementation, M&amp;E and supervision arrangements</w:t>
      </w:r>
      <w:r w:rsidR="00AF4A54">
        <w:t xml:space="preserve"> for both PASEN II and </w:t>
      </w:r>
      <w:r w:rsidR="000C16FA">
        <w:t>the Project</w:t>
      </w:r>
      <w:r w:rsidR="006312CC" w:rsidRPr="006312CC">
        <w:t>.</w:t>
      </w:r>
    </w:p>
    <w:p w:rsidR="00155660" w:rsidRDefault="00155660"/>
    <w:p w:rsidR="00155660" w:rsidRDefault="00155660">
      <w:pPr>
        <w:sectPr w:rsidR="00155660">
          <w:pgSz w:w="12240" w:h="15840"/>
          <w:pgMar w:top="1440" w:right="1440" w:bottom="1440" w:left="1440" w:header="720" w:footer="720" w:gutter="0"/>
          <w:cols w:space="720"/>
          <w:docGrid w:linePitch="360"/>
        </w:sectPr>
      </w:pPr>
    </w:p>
    <w:p w:rsidR="00EE6378" w:rsidRPr="003C7943" w:rsidRDefault="00EE6378" w:rsidP="00EE6378">
      <w:pPr>
        <w:pStyle w:val="Heading1"/>
        <w:ind w:right="187"/>
        <w:jc w:val="center"/>
      </w:pPr>
      <w:bookmarkStart w:id="41" w:name="_Toc354067289"/>
      <w:bookmarkStart w:id="42" w:name="_Toc243379500"/>
      <w:r w:rsidRPr="003C7943">
        <w:rPr>
          <w:bCs w:val="0"/>
        </w:rPr>
        <w:lastRenderedPageBreak/>
        <w:t>A</w:t>
      </w:r>
      <w:r>
        <w:rPr>
          <w:bCs w:val="0"/>
        </w:rPr>
        <w:t>nnex</w:t>
      </w:r>
      <w:r w:rsidRPr="003C7943">
        <w:rPr>
          <w:bCs w:val="0"/>
        </w:rPr>
        <w:t xml:space="preserve"> 4</w:t>
      </w:r>
      <w:r>
        <w:rPr>
          <w:bCs w:val="0"/>
        </w:rPr>
        <w:t xml:space="preserve">: </w:t>
      </w:r>
      <w:r w:rsidRPr="003C7943">
        <w:rPr>
          <w:bCs w:val="0"/>
        </w:rPr>
        <w:t>Operational Risk Assessment Framework (ORAF)</w:t>
      </w:r>
      <w:bookmarkEnd w:id="41"/>
    </w:p>
    <w:p w:rsidR="00817E60" w:rsidRDefault="00EE6378" w:rsidP="00EE6378">
      <w:pPr>
        <w:jc w:val="center"/>
        <w:rPr>
          <w:b/>
        </w:rPr>
      </w:pPr>
      <w:r w:rsidRPr="008A3771">
        <w:rPr>
          <w:b/>
        </w:rPr>
        <w:t xml:space="preserve">Nicaragua Education Sector </w:t>
      </w:r>
      <w:r w:rsidR="00F478A3">
        <w:rPr>
          <w:b/>
        </w:rPr>
        <w:t>Strategy Support Project</w:t>
      </w:r>
    </w:p>
    <w:p w:rsidR="00817E60" w:rsidRDefault="00817E60" w:rsidP="00622225">
      <w:pPr>
        <w:jc w:val="center"/>
        <w:rPr>
          <w:b/>
        </w:rPr>
      </w:pPr>
    </w:p>
    <w:tbl>
      <w:tblPr>
        <w:tblW w:w="1393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2"/>
        <w:gridCol w:w="2164"/>
        <w:gridCol w:w="7"/>
        <w:gridCol w:w="2160"/>
        <w:gridCol w:w="2070"/>
        <w:gridCol w:w="1800"/>
      </w:tblGrid>
      <w:tr w:rsidR="00817E60" w:rsidRPr="001C0A65" w:rsidTr="00BB4925">
        <w:tc>
          <w:tcPr>
            <w:tcW w:w="5732" w:type="dxa"/>
            <w:tcBorders>
              <w:top w:val="single" w:sz="4" w:space="0" w:color="000000"/>
              <w:right w:val="single" w:sz="4" w:space="0" w:color="auto"/>
            </w:tcBorders>
            <w:shd w:val="pct5" w:color="auto" w:fill="auto"/>
            <w:vAlign w:val="center"/>
          </w:tcPr>
          <w:p w:rsidR="00817E60" w:rsidRPr="001C0A65" w:rsidRDefault="00817E60" w:rsidP="005E2993">
            <w:pPr>
              <w:pStyle w:val="ListParagraph"/>
              <w:numPr>
                <w:ilvl w:val="3"/>
                <w:numId w:val="22"/>
              </w:numPr>
              <w:ind w:left="360"/>
              <w:rPr>
                <w:b/>
              </w:rPr>
            </w:pPr>
            <w:r w:rsidRPr="001C0A65">
              <w:rPr>
                <w:b/>
              </w:rPr>
              <w:t>Project Stakeholder Risks</w:t>
            </w:r>
          </w:p>
        </w:tc>
        <w:tc>
          <w:tcPr>
            <w:tcW w:w="2164" w:type="dxa"/>
            <w:tcBorders>
              <w:top w:val="single" w:sz="4" w:space="0" w:color="000000"/>
              <w:left w:val="single" w:sz="4" w:space="0" w:color="auto"/>
              <w:right w:val="single" w:sz="4" w:space="0" w:color="auto"/>
            </w:tcBorders>
            <w:shd w:val="pct5" w:color="auto" w:fill="auto"/>
          </w:tcPr>
          <w:p w:rsidR="00817E60" w:rsidRPr="001C0A65" w:rsidRDefault="00817E60" w:rsidP="00817E60">
            <w:pPr>
              <w:rPr>
                <w:b/>
              </w:rPr>
            </w:pPr>
            <w:r w:rsidRPr="001C0A65">
              <w:rPr>
                <w:b/>
              </w:rPr>
              <w:t xml:space="preserve"> Rating</w:t>
            </w:r>
          </w:p>
        </w:tc>
        <w:tc>
          <w:tcPr>
            <w:tcW w:w="6037" w:type="dxa"/>
            <w:gridSpan w:val="4"/>
            <w:tcBorders>
              <w:top w:val="single" w:sz="4" w:space="0" w:color="000000"/>
              <w:left w:val="single" w:sz="4" w:space="0" w:color="auto"/>
            </w:tcBorders>
            <w:shd w:val="pct5" w:color="auto" w:fill="auto"/>
          </w:tcPr>
          <w:p w:rsidR="00817E60" w:rsidRPr="001C0A65" w:rsidRDefault="00817E60" w:rsidP="00817E60">
            <w:pPr>
              <w:rPr>
                <w:b/>
              </w:rPr>
            </w:pPr>
            <w:r w:rsidRPr="001C0A65">
              <w:rPr>
                <w:b/>
              </w:rPr>
              <w:t>Moderate</w:t>
            </w:r>
            <w:r w:rsidR="00233F85" w:rsidRPr="001C0A65">
              <w:rPr>
                <w:b/>
              </w:rPr>
              <w:t xml:space="preserve"> (M)</w:t>
            </w:r>
          </w:p>
        </w:tc>
      </w:tr>
      <w:tr w:rsidR="00817E60" w:rsidRPr="001C0A65" w:rsidTr="00BB4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7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7E60" w:rsidRPr="001C0A65" w:rsidRDefault="00817E60" w:rsidP="00A07F51">
            <w:pPr>
              <w:jc w:val="both"/>
            </w:pPr>
            <w:r w:rsidRPr="001C0A65">
              <w:rPr>
                <w:b/>
              </w:rPr>
              <w:t>Description</w:t>
            </w:r>
            <w:r w:rsidR="00FC3621">
              <w:t>:</w:t>
            </w:r>
          </w:p>
          <w:p w:rsidR="004056E3" w:rsidRPr="001C0A65" w:rsidRDefault="004056E3" w:rsidP="00A07F51">
            <w:pPr>
              <w:jc w:val="both"/>
            </w:pPr>
          </w:p>
          <w:p w:rsidR="00817E60" w:rsidRPr="001C0A65" w:rsidRDefault="00817E60" w:rsidP="00A07F51">
            <w:pPr>
              <w:jc w:val="both"/>
            </w:pPr>
            <w:r w:rsidRPr="001C0A65">
              <w:t>There is a risk that political leaders and education stakeholders from outside of the targeted areas demand similar Project interventions in their communities.  Without additional financing from the government and other donors it may not be possible to meet their demands.</w:t>
            </w:r>
          </w:p>
        </w:tc>
        <w:tc>
          <w:tcPr>
            <w:tcW w:w="8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17E60" w:rsidRPr="001C0A65" w:rsidRDefault="00817E60" w:rsidP="00A07F51">
            <w:pPr>
              <w:jc w:val="both"/>
            </w:pPr>
            <w:r w:rsidRPr="001C0A65">
              <w:rPr>
                <w:b/>
              </w:rPr>
              <w:t>Risk Management</w:t>
            </w:r>
            <w:r w:rsidR="00FC3621">
              <w:t>:</w:t>
            </w:r>
          </w:p>
          <w:p w:rsidR="00FC3621" w:rsidRDefault="00FC3621" w:rsidP="00A07F51">
            <w:pPr>
              <w:jc w:val="both"/>
            </w:pPr>
          </w:p>
          <w:p w:rsidR="00817E60" w:rsidRPr="001C0A65" w:rsidRDefault="008D7F4A" w:rsidP="00A07F51">
            <w:pPr>
              <w:jc w:val="both"/>
            </w:pPr>
            <w:r w:rsidRPr="001C0A65">
              <w:t xml:space="preserve">The Project is </w:t>
            </w:r>
            <w:r w:rsidR="00817E60" w:rsidRPr="001C0A65">
              <w:t xml:space="preserve">fully aligned with the Education </w:t>
            </w:r>
            <w:r w:rsidRPr="001C0A65">
              <w:t>Sector Strategy</w:t>
            </w:r>
            <w:r w:rsidR="00817E60" w:rsidRPr="001C0A65">
              <w:t xml:space="preserve"> 2011-2015 and it </w:t>
            </w:r>
            <w:r w:rsidR="00636C8C" w:rsidRPr="001C0A65">
              <w:t>would</w:t>
            </w:r>
            <w:r w:rsidR="00817E60" w:rsidRPr="001C0A65">
              <w:t xml:space="preserve"> play a catalytic role to mobilize additional resources to meet the demand of stakeholders outside the Project targeted areas.  In addition, several highly visible activities such </w:t>
            </w:r>
            <w:r w:rsidR="00233F85" w:rsidRPr="001C0A65">
              <w:t xml:space="preserve">as </w:t>
            </w:r>
            <w:r w:rsidR="00817E60" w:rsidRPr="001C0A65">
              <w:t>the provis</w:t>
            </w:r>
            <w:r w:rsidR="00233F85" w:rsidRPr="001C0A65">
              <w:t>i</w:t>
            </w:r>
            <w:r w:rsidR="00817E60" w:rsidRPr="001C0A65">
              <w:t xml:space="preserve">on of </w:t>
            </w:r>
            <w:r w:rsidR="00233F85" w:rsidRPr="001C0A65">
              <w:t xml:space="preserve">learning materials in preschool and </w:t>
            </w:r>
            <w:r w:rsidRPr="001C0A65">
              <w:t xml:space="preserve">textbooks in </w:t>
            </w:r>
            <w:r w:rsidR="00233F85" w:rsidRPr="001C0A65">
              <w:t xml:space="preserve">lower secondary education </w:t>
            </w:r>
            <w:r w:rsidR="00636C8C" w:rsidRPr="001C0A65">
              <w:t>would</w:t>
            </w:r>
            <w:r w:rsidR="00233F85" w:rsidRPr="001C0A65">
              <w:t xml:space="preserve"> have a national scope.</w:t>
            </w:r>
            <w:r w:rsidR="00817E60" w:rsidRPr="001C0A65">
              <w:t xml:space="preserve">  </w:t>
            </w:r>
          </w:p>
        </w:tc>
      </w:tr>
      <w:tr w:rsidR="009D21DE" w:rsidRPr="001C0A65" w:rsidTr="00BB4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5732" w:type="dxa"/>
            <w:vMerge/>
            <w:tcBorders>
              <w:top w:val="single" w:sz="4" w:space="0" w:color="000000"/>
              <w:left w:val="single" w:sz="4" w:space="0" w:color="000000"/>
              <w:bottom w:val="single" w:sz="4" w:space="0" w:color="000000"/>
              <w:right w:val="single" w:sz="4" w:space="0" w:color="000000"/>
            </w:tcBorders>
            <w:shd w:val="clear" w:color="auto" w:fill="auto"/>
          </w:tcPr>
          <w:p w:rsidR="009D21DE" w:rsidRPr="001C0A65" w:rsidRDefault="009D21DE" w:rsidP="00817E60"/>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21DE" w:rsidRPr="001C0A65" w:rsidRDefault="009D21DE" w:rsidP="00FC3621">
            <w:pPr>
              <w:jc w:val="both"/>
            </w:pPr>
            <w:r w:rsidRPr="001C0A65">
              <w:rPr>
                <w:b/>
              </w:rPr>
              <w:t>Resp</w:t>
            </w:r>
            <w:r w:rsidRPr="001C0A65">
              <w:t>:  Ministry of Education (MINED)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DE" w:rsidRPr="001C0A65" w:rsidRDefault="009D21DE" w:rsidP="00FC3621">
            <w:pPr>
              <w:jc w:val="both"/>
            </w:pPr>
            <w:r w:rsidRPr="001C0A65">
              <w:rPr>
                <w:b/>
              </w:rPr>
              <w:t>Stage</w:t>
            </w:r>
            <w:r w:rsidRPr="001C0A65">
              <w:t>: implementation</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DE" w:rsidRPr="001C0A65" w:rsidRDefault="009D21DE" w:rsidP="00FC3621">
            <w:pPr>
              <w:jc w:val="both"/>
            </w:pPr>
            <w:r w:rsidRPr="001C0A65">
              <w:rPr>
                <w:b/>
              </w:rPr>
              <w:t>Due Date</w:t>
            </w:r>
            <w:r w:rsidR="00056054" w:rsidRPr="001C0A65">
              <w:t> :</w:t>
            </w:r>
            <w:r w:rsidR="00DC0A8E" w:rsidRPr="001C0A65" w:rsidDel="00DC0A8E">
              <w:t xml:space="preserve"> </w:t>
            </w:r>
            <w:r w:rsidR="00DC0A8E" w:rsidRPr="001C0A65">
              <w:t xml:space="preserve"> </w:t>
            </w:r>
            <w:r w:rsidR="00833A88">
              <w:t>April 30</w:t>
            </w:r>
            <w:r w:rsidR="00DC0A8E" w:rsidRPr="001C0A65">
              <w:t>, 201</w:t>
            </w:r>
            <w:r w:rsidR="00664FCA" w:rsidRPr="001C0A65">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1DE" w:rsidRPr="001C0A65" w:rsidRDefault="009D21DE" w:rsidP="00FC3621">
            <w:pPr>
              <w:jc w:val="both"/>
            </w:pPr>
            <w:r w:rsidRPr="001C0A65">
              <w:rPr>
                <w:b/>
              </w:rPr>
              <w:t>Status</w:t>
            </w:r>
            <w:r w:rsidRPr="001C0A65">
              <w:t>: in progress</w:t>
            </w:r>
          </w:p>
          <w:p w:rsidR="009D21DE" w:rsidRPr="001C0A65" w:rsidRDefault="009D21DE" w:rsidP="00FC3621">
            <w:pPr>
              <w:jc w:val="both"/>
            </w:pPr>
          </w:p>
        </w:tc>
      </w:tr>
    </w:tbl>
    <w:p w:rsidR="00A36B2C" w:rsidRDefault="00A36B2C">
      <w:r>
        <w:br w:type="page"/>
      </w:r>
    </w:p>
    <w:tbl>
      <w:tblPr>
        <w:tblW w:w="13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0"/>
        <w:gridCol w:w="2171"/>
        <w:gridCol w:w="2160"/>
        <w:gridCol w:w="2216"/>
        <w:gridCol w:w="1654"/>
      </w:tblGrid>
      <w:tr w:rsidR="004056E3" w:rsidRPr="001C0A65" w:rsidTr="00A36B2C">
        <w:tc>
          <w:tcPr>
            <w:tcW w:w="13591" w:type="dxa"/>
            <w:gridSpan w:val="5"/>
            <w:shd w:val="clear" w:color="auto" w:fill="auto"/>
            <w:vAlign w:val="center"/>
          </w:tcPr>
          <w:p w:rsidR="004056E3" w:rsidRPr="001C0A65" w:rsidRDefault="004056E3" w:rsidP="00FC3621">
            <w:pPr>
              <w:numPr>
                <w:ilvl w:val="0"/>
                <w:numId w:val="14"/>
              </w:numPr>
              <w:jc w:val="both"/>
              <w:rPr>
                <w:b/>
              </w:rPr>
            </w:pPr>
            <w:r w:rsidRPr="001C0A65">
              <w:rPr>
                <w:b/>
              </w:rPr>
              <w:lastRenderedPageBreak/>
              <w:t>Implementing Agency Risks (including fiduciary)</w:t>
            </w:r>
          </w:p>
        </w:tc>
      </w:tr>
      <w:tr w:rsidR="004056E3" w:rsidRPr="001C0A65" w:rsidTr="00A36B2C">
        <w:tc>
          <w:tcPr>
            <w:tcW w:w="5390" w:type="dxa"/>
            <w:tcBorders>
              <w:bottom w:val="single" w:sz="4" w:space="0" w:color="000000"/>
            </w:tcBorders>
            <w:shd w:val="pct5" w:color="auto" w:fill="auto"/>
            <w:vAlign w:val="center"/>
          </w:tcPr>
          <w:p w:rsidR="004056E3" w:rsidRPr="001C0A65" w:rsidRDefault="004056E3" w:rsidP="005E2993">
            <w:pPr>
              <w:pStyle w:val="ListParagraph"/>
              <w:numPr>
                <w:ilvl w:val="1"/>
                <w:numId w:val="34"/>
              </w:numPr>
              <w:rPr>
                <w:b/>
              </w:rPr>
            </w:pPr>
            <w:r w:rsidRPr="001C0A65">
              <w:rPr>
                <w:b/>
              </w:rPr>
              <w:t>Capacity</w:t>
            </w:r>
          </w:p>
        </w:tc>
        <w:tc>
          <w:tcPr>
            <w:tcW w:w="2171" w:type="dxa"/>
            <w:tcBorders>
              <w:bottom w:val="single" w:sz="4" w:space="0" w:color="000000"/>
              <w:right w:val="single" w:sz="4" w:space="0" w:color="auto"/>
            </w:tcBorders>
            <w:shd w:val="pct5" w:color="auto" w:fill="auto"/>
          </w:tcPr>
          <w:p w:rsidR="004056E3" w:rsidRPr="001C0A65" w:rsidRDefault="004056E3" w:rsidP="00FC3621">
            <w:pPr>
              <w:jc w:val="both"/>
              <w:rPr>
                <w:b/>
              </w:rPr>
            </w:pPr>
            <w:r w:rsidRPr="001C0A65">
              <w:rPr>
                <w:b/>
              </w:rPr>
              <w:t xml:space="preserve">Rating: </w:t>
            </w:r>
          </w:p>
        </w:tc>
        <w:tc>
          <w:tcPr>
            <w:tcW w:w="6030" w:type="dxa"/>
            <w:gridSpan w:val="3"/>
            <w:tcBorders>
              <w:left w:val="single" w:sz="4" w:space="0" w:color="auto"/>
              <w:bottom w:val="single" w:sz="4" w:space="0" w:color="000000"/>
            </w:tcBorders>
            <w:shd w:val="pct5" w:color="auto" w:fill="auto"/>
            <w:vAlign w:val="center"/>
          </w:tcPr>
          <w:p w:rsidR="004056E3" w:rsidRPr="001C0A65" w:rsidRDefault="004056E3" w:rsidP="00FC3621">
            <w:pPr>
              <w:jc w:val="both"/>
              <w:rPr>
                <w:b/>
              </w:rPr>
            </w:pPr>
            <w:r w:rsidRPr="001C0A65">
              <w:rPr>
                <w:b/>
              </w:rPr>
              <w:t>Substantial</w:t>
            </w:r>
            <w:r w:rsidR="001C3216" w:rsidRPr="001C0A65">
              <w:rPr>
                <w:b/>
              </w:rPr>
              <w:t xml:space="preserve"> (S)</w:t>
            </w:r>
          </w:p>
        </w:tc>
      </w:tr>
      <w:tr w:rsidR="004056E3" w:rsidRPr="001C0A65" w:rsidTr="00A3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5"/>
        </w:trPr>
        <w:tc>
          <w:tcPr>
            <w:tcW w:w="53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56E3" w:rsidRPr="001C0A65" w:rsidRDefault="004056E3" w:rsidP="00A07F51">
            <w:pPr>
              <w:jc w:val="both"/>
            </w:pPr>
            <w:r w:rsidRPr="001C0A65">
              <w:rPr>
                <w:b/>
              </w:rPr>
              <w:t>Description</w:t>
            </w:r>
            <w:r w:rsidRPr="001C0A65">
              <w:t xml:space="preserve">: </w:t>
            </w:r>
          </w:p>
          <w:p w:rsidR="004056E3" w:rsidRPr="001C0A65" w:rsidRDefault="004056E3" w:rsidP="00A07F51">
            <w:pPr>
              <w:jc w:val="both"/>
            </w:pPr>
          </w:p>
          <w:p w:rsidR="004056E3" w:rsidRPr="001C0A65" w:rsidRDefault="0004265A" w:rsidP="00A07F51">
            <w:pPr>
              <w:jc w:val="both"/>
              <w:rPr>
                <w:lang w:bidi="en-US"/>
              </w:rPr>
            </w:pPr>
            <w:r w:rsidRPr="001C0A65">
              <w:t>There is a risk that MINED may not have the necessary capacity to manage the Project effectively, due to high staff turnover, weaknesses remaining in financial management and procurement, especially</w:t>
            </w:r>
            <w:r w:rsidR="008D7F4A" w:rsidRPr="001C0A65">
              <w:t xml:space="preserve"> in execution of pre-investment</w:t>
            </w:r>
            <w:r w:rsidRPr="001C0A65">
              <w:t xml:space="preserve"> studies for educational infrastructure activities, the supervision of firms that </w:t>
            </w:r>
            <w:r w:rsidR="00636C8C" w:rsidRPr="001C0A65">
              <w:t>would</w:t>
            </w:r>
            <w:r w:rsidRPr="001C0A65">
              <w:t xml:space="preserve"> carry </w:t>
            </w:r>
            <w:r w:rsidR="008D7F4A" w:rsidRPr="001C0A65">
              <w:t xml:space="preserve">out </w:t>
            </w:r>
            <w:r w:rsidRPr="001C0A65">
              <w:t>the construction activities</w:t>
            </w:r>
            <w:r w:rsidR="00E83122" w:rsidRPr="001C0A65">
              <w:t>,</w:t>
            </w:r>
            <w:r w:rsidRPr="001C0A65">
              <w:t xml:space="preserve"> larg</w:t>
            </w:r>
            <w:r w:rsidR="001E28BB" w:rsidRPr="001C0A65">
              <w:t>e international competitive bidd</w:t>
            </w:r>
            <w:r w:rsidRPr="001C0A65">
              <w:t>ings for the purchase of learning materials, equipment and furniture</w:t>
            </w:r>
            <w:r w:rsidR="00E83122" w:rsidRPr="001C0A65">
              <w:rPr>
                <w:lang w:bidi="en-US"/>
              </w:rPr>
              <w:t>, and the management of a large and complex teacher professional development program.</w:t>
            </w:r>
          </w:p>
          <w:p w:rsidR="001E28BB" w:rsidRPr="001C0A65" w:rsidRDefault="001E28BB" w:rsidP="00A07F51">
            <w:pPr>
              <w:jc w:val="both"/>
            </w:pPr>
          </w:p>
        </w:tc>
        <w:tc>
          <w:tcPr>
            <w:tcW w:w="82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56E3" w:rsidRPr="001C0A65" w:rsidRDefault="004056E3" w:rsidP="00A07F51">
            <w:pPr>
              <w:jc w:val="both"/>
            </w:pPr>
            <w:r w:rsidRPr="001C0A65">
              <w:rPr>
                <w:b/>
              </w:rPr>
              <w:t>Risk Management</w:t>
            </w:r>
            <w:r w:rsidR="00FC3621">
              <w:t>:</w:t>
            </w:r>
            <w:r w:rsidRPr="001C0A65">
              <w:t xml:space="preserve"> </w:t>
            </w:r>
          </w:p>
          <w:p w:rsidR="004056E3" w:rsidRPr="001C0A65" w:rsidRDefault="004056E3" w:rsidP="00A07F51">
            <w:pPr>
              <w:jc w:val="both"/>
            </w:pPr>
          </w:p>
          <w:p w:rsidR="0004265A" w:rsidRPr="001C0A65" w:rsidRDefault="0004265A" w:rsidP="00A07F51">
            <w:pPr>
              <w:jc w:val="both"/>
            </w:pPr>
            <w:r w:rsidRPr="001C0A65">
              <w:t xml:space="preserve">The Project </w:t>
            </w:r>
            <w:r w:rsidR="00636C8C" w:rsidRPr="001C0A65">
              <w:t>would</w:t>
            </w:r>
            <w:r w:rsidRPr="001C0A65">
              <w:t xml:space="preserve"> target capacity building and systems support at MINED.  A fiduciary assessment was carried out during preparation of PASEN II</w:t>
            </w:r>
            <w:r w:rsidR="00E83122" w:rsidRPr="001C0A65">
              <w:t xml:space="preserve"> and updated during the preparation of the </w:t>
            </w:r>
            <w:r w:rsidR="000C16FA" w:rsidRPr="001C0A65">
              <w:t>Project</w:t>
            </w:r>
            <w:r w:rsidRPr="001C0A65">
              <w:t xml:space="preserve"> to identify the main areas in which MINED would strengthen its fiduciary capacity, as well as identify the best institutional arrangements for the implementation of the most challenging Project activities.  The </w:t>
            </w:r>
            <w:r w:rsidR="00ED6468" w:rsidRPr="001C0A65">
              <w:t>Bank</w:t>
            </w:r>
            <w:r w:rsidRPr="001C0A65">
              <w:t xml:space="preserve"> </w:t>
            </w:r>
            <w:r w:rsidR="00636C8C" w:rsidRPr="001C0A65">
              <w:t>would</w:t>
            </w:r>
            <w:r w:rsidRPr="001C0A65">
              <w:t xml:space="preserve"> require staffing of key positions in the Procurement and Finance Divisions which meet </w:t>
            </w:r>
            <w:r w:rsidR="00ED6468" w:rsidRPr="001C0A65">
              <w:t>Bank</w:t>
            </w:r>
            <w:r w:rsidRPr="001C0A65">
              <w:t xml:space="preserve"> requirements for fiduciary management.  In addition, the MINED prepared</w:t>
            </w:r>
            <w:r w:rsidRPr="001C0A65">
              <w:rPr>
                <w:bCs/>
              </w:rPr>
              <w:t xml:space="preserve"> a chapter on FM procedures in</w:t>
            </w:r>
            <w:r w:rsidR="004E3034" w:rsidRPr="001C0A65">
              <w:rPr>
                <w:bCs/>
              </w:rPr>
              <w:t>cluded in the Operations Manual.  MINED</w:t>
            </w:r>
            <w:r w:rsidRPr="001C0A65">
              <w:rPr>
                <w:bCs/>
              </w:rPr>
              <w:t xml:space="preserve"> </w:t>
            </w:r>
            <w:r w:rsidR="00636C8C" w:rsidRPr="001C0A65">
              <w:rPr>
                <w:bCs/>
              </w:rPr>
              <w:t>would</w:t>
            </w:r>
            <w:r w:rsidRPr="001C0A65">
              <w:rPr>
                <w:bCs/>
              </w:rPr>
              <w:t xml:space="preserve"> send relevant staff to attend specific FM &amp; Disbursement training, and </w:t>
            </w:r>
            <w:r w:rsidR="00636C8C" w:rsidRPr="001C0A65">
              <w:rPr>
                <w:bCs/>
              </w:rPr>
              <w:t>would</w:t>
            </w:r>
            <w:r w:rsidRPr="001C0A65">
              <w:rPr>
                <w:bCs/>
              </w:rPr>
              <w:t xml:space="preserve"> support the implementation of SIGFAPRO as a mitigation measure to improve budgeting, accounting, and internal control. </w:t>
            </w:r>
            <w:r w:rsidR="004E3034" w:rsidRPr="001C0A65">
              <w:rPr>
                <w:bCs/>
              </w:rPr>
              <w:t xml:space="preserve"> </w:t>
            </w:r>
            <w:r w:rsidR="00A07F51">
              <w:rPr>
                <w:bCs/>
              </w:rPr>
              <w:t>T</w:t>
            </w:r>
            <w:r w:rsidRPr="001C0A65">
              <w:rPr>
                <w:bCs/>
              </w:rPr>
              <w:t xml:space="preserve">he </w:t>
            </w:r>
            <w:r w:rsidR="00ED6468" w:rsidRPr="001C0A65">
              <w:rPr>
                <w:bCs/>
              </w:rPr>
              <w:t>Bank</w:t>
            </w:r>
            <w:r w:rsidRPr="001C0A65">
              <w:rPr>
                <w:bCs/>
              </w:rPr>
              <w:t xml:space="preserve"> would invite relevant MINED staff to attend specific FM &amp; Disbursement training.  To ensure fund flow and accurate reporting, the </w:t>
            </w:r>
            <w:r w:rsidR="00ED6468" w:rsidRPr="001C0A65">
              <w:rPr>
                <w:bCs/>
              </w:rPr>
              <w:t>Bank</w:t>
            </w:r>
            <w:r w:rsidRPr="001C0A65">
              <w:rPr>
                <w:bCs/>
              </w:rPr>
              <w:t xml:space="preserve"> would create segregated account in dollars, under traditional mechanism of replenishment by SOE method and also se</w:t>
            </w:r>
            <w:r w:rsidR="00684B1B" w:rsidRPr="001C0A65">
              <w:rPr>
                <w:bCs/>
              </w:rPr>
              <w:t>mi-annual financial reporting.</w:t>
            </w:r>
          </w:p>
          <w:p w:rsidR="0004265A" w:rsidRPr="001C0A65" w:rsidRDefault="0004265A" w:rsidP="00A07F51">
            <w:pPr>
              <w:jc w:val="both"/>
            </w:pPr>
          </w:p>
          <w:p w:rsidR="0004265A" w:rsidRPr="001C0A65" w:rsidRDefault="0004265A" w:rsidP="00A07F51">
            <w:pPr>
              <w:jc w:val="both"/>
            </w:pPr>
            <w:r w:rsidRPr="001C0A65">
              <w:t xml:space="preserve">The Project would support targeted strengthening of MINED’s </w:t>
            </w:r>
            <w:r w:rsidR="00684B1B" w:rsidRPr="001C0A65">
              <w:t xml:space="preserve">General </w:t>
            </w:r>
            <w:r w:rsidR="004E3034" w:rsidRPr="001C0A65">
              <w:t>Directorates in charge of the Project implementation, including</w:t>
            </w:r>
            <w:r w:rsidR="004E3034" w:rsidRPr="001C0A65">
              <w:rPr>
                <w:bCs/>
              </w:rPr>
              <w:t xml:space="preserve"> Preschool</w:t>
            </w:r>
            <w:r w:rsidR="00684B1B" w:rsidRPr="001C0A65">
              <w:rPr>
                <w:bCs/>
              </w:rPr>
              <w:t xml:space="preserve"> Education</w:t>
            </w:r>
            <w:r w:rsidR="004E3034" w:rsidRPr="001C0A65">
              <w:rPr>
                <w:bCs/>
              </w:rPr>
              <w:t>, Secondary</w:t>
            </w:r>
            <w:r w:rsidR="00684B1B" w:rsidRPr="001C0A65">
              <w:rPr>
                <w:bCs/>
              </w:rPr>
              <w:t xml:space="preserve"> Education</w:t>
            </w:r>
            <w:r w:rsidR="004E3034" w:rsidRPr="001C0A65">
              <w:rPr>
                <w:bCs/>
              </w:rPr>
              <w:t xml:space="preserve">, Teacher Training, and </w:t>
            </w:r>
            <w:r w:rsidR="00684B1B" w:rsidRPr="001C0A65">
              <w:rPr>
                <w:bCs/>
              </w:rPr>
              <w:t xml:space="preserve">School </w:t>
            </w:r>
            <w:r w:rsidR="004E3034" w:rsidRPr="001C0A65">
              <w:rPr>
                <w:bCs/>
              </w:rPr>
              <w:t xml:space="preserve">Infrastructure through </w:t>
            </w:r>
            <w:r w:rsidR="004E3034" w:rsidRPr="001C0A65">
              <w:rPr>
                <w:bCs/>
                <w:i/>
              </w:rPr>
              <w:t xml:space="preserve">inter alia: </w:t>
            </w:r>
            <w:r w:rsidR="004E3034" w:rsidRPr="001C0A65">
              <w:rPr>
                <w:bCs/>
              </w:rPr>
              <w:t>(i) technical assistance; (ii) training; (iii) basic office/ICT equipment; and (iv) some operational costs.</w:t>
            </w:r>
          </w:p>
        </w:tc>
      </w:tr>
      <w:tr w:rsidR="00664FCA" w:rsidRPr="001C0A65" w:rsidTr="00A36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5390" w:type="dxa"/>
            <w:vMerge/>
            <w:tcBorders>
              <w:top w:val="single" w:sz="4" w:space="0" w:color="000000"/>
              <w:left w:val="single" w:sz="4" w:space="0" w:color="000000"/>
              <w:bottom w:val="single" w:sz="4" w:space="0" w:color="000000"/>
              <w:right w:val="single" w:sz="4" w:space="0" w:color="000000"/>
            </w:tcBorders>
            <w:shd w:val="clear" w:color="auto" w:fill="auto"/>
          </w:tcPr>
          <w:p w:rsidR="00664FCA" w:rsidRPr="001C0A65" w:rsidRDefault="00664FCA" w:rsidP="00E503E0">
            <w:pPr>
              <w:jc w:val="both"/>
            </w:pPr>
          </w:p>
        </w:tc>
        <w:tc>
          <w:tcPr>
            <w:tcW w:w="2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FC3621">
            <w:pPr>
              <w:jc w:val="both"/>
            </w:pPr>
            <w:r w:rsidRPr="001C0A65">
              <w:rPr>
                <w:b/>
              </w:rPr>
              <w:t>Resp</w:t>
            </w:r>
            <w:r w:rsidRPr="001C0A65">
              <w:t>: MINED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Stage</w:t>
            </w:r>
            <w:r w:rsidRPr="001C0A65">
              <w:t>: implementation</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Due Date</w:t>
            </w:r>
            <w:r w:rsidRPr="001C0A65">
              <w:t> :</w:t>
            </w:r>
            <w:r w:rsidR="00FC3621">
              <w:t xml:space="preserve"> </w:t>
            </w:r>
            <w:r w:rsidR="00833A88">
              <w:t>April 30</w:t>
            </w:r>
            <w:r w:rsidRPr="001C0A65">
              <w:t>, 2016</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Status</w:t>
            </w:r>
            <w:r w:rsidRPr="001C0A65">
              <w:t>: in progress</w:t>
            </w:r>
          </w:p>
        </w:tc>
      </w:tr>
    </w:tbl>
    <w:p w:rsidR="00A36B2C" w:rsidRDefault="00A36B2C">
      <w:r>
        <w:br w:type="page"/>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5372"/>
        <w:gridCol w:w="28"/>
        <w:gridCol w:w="2053"/>
        <w:gridCol w:w="17"/>
        <w:gridCol w:w="73"/>
        <w:gridCol w:w="107"/>
        <w:gridCol w:w="1963"/>
        <w:gridCol w:w="197"/>
        <w:gridCol w:w="34"/>
        <w:gridCol w:w="1839"/>
        <w:gridCol w:w="107"/>
        <w:gridCol w:w="236"/>
        <w:gridCol w:w="1547"/>
        <w:gridCol w:w="17"/>
      </w:tblGrid>
      <w:tr w:rsidR="004056E3" w:rsidRPr="004056E3" w:rsidTr="00FC3621">
        <w:trPr>
          <w:gridAfter w:val="1"/>
          <w:wAfter w:w="17" w:type="dxa"/>
        </w:trPr>
        <w:tc>
          <w:tcPr>
            <w:tcW w:w="5390" w:type="dxa"/>
            <w:gridSpan w:val="2"/>
            <w:tcBorders>
              <w:top w:val="single" w:sz="4" w:space="0" w:color="000000"/>
              <w:bottom w:val="single" w:sz="4" w:space="0" w:color="000000"/>
            </w:tcBorders>
            <w:shd w:val="pct5" w:color="auto" w:fill="auto"/>
            <w:vAlign w:val="center"/>
          </w:tcPr>
          <w:p w:rsidR="004056E3" w:rsidRPr="00FC3621" w:rsidRDefault="009D21DE" w:rsidP="00FC3621">
            <w:pPr>
              <w:pStyle w:val="ListParagraph"/>
              <w:numPr>
                <w:ilvl w:val="0"/>
                <w:numId w:val="14"/>
              </w:numPr>
              <w:jc w:val="both"/>
              <w:rPr>
                <w:b/>
              </w:rPr>
            </w:pPr>
            <w:r w:rsidRPr="001C0A65">
              <w:lastRenderedPageBreak/>
              <w:br w:type="page"/>
            </w:r>
            <w:r w:rsidR="004056E3" w:rsidRPr="00FC3621">
              <w:rPr>
                <w:b/>
              </w:rPr>
              <w:t>Governance</w:t>
            </w:r>
          </w:p>
        </w:tc>
        <w:tc>
          <w:tcPr>
            <w:tcW w:w="2171" w:type="dxa"/>
            <w:gridSpan w:val="4"/>
            <w:tcBorders>
              <w:right w:val="single" w:sz="4" w:space="0" w:color="auto"/>
            </w:tcBorders>
            <w:shd w:val="pct5" w:color="auto" w:fill="auto"/>
          </w:tcPr>
          <w:p w:rsidR="004056E3" w:rsidRPr="001C0A65" w:rsidRDefault="004056E3" w:rsidP="00FC3621">
            <w:pPr>
              <w:jc w:val="both"/>
            </w:pPr>
            <w:r w:rsidRPr="001C0A65">
              <w:rPr>
                <w:b/>
              </w:rPr>
              <w:t>Rating</w:t>
            </w:r>
            <w:r w:rsidRPr="001C0A65">
              <w:t xml:space="preserve">: </w:t>
            </w:r>
          </w:p>
        </w:tc>
        <w:tc>
          <w:tcPr>
            <w:tcW w:w="6030" w:type="dxa"/>
            <w:gridSpan w:val="8"/>
            <w:tcBorders>
              <w:left w:val="single" w:sz="4" w:space="0" w:color="auto"/>
            </w:tcBorders>
            <w:shd w:val="pct5" w:color="auto" w:fill="auto"/>
            <w:vAlign w:val="center"/>
          </w:tcPr>
          <w:p w:rsidR="004056E3" w:rsidRPr="001C0A65" w:rsidRDefault="004056E3" w:rsidP="00FC3621">
            <w:pPr>
              <w:jc w:val="both"/>
              <w:rPr>
                <w:b/>
              </w:rPr>
            </w:pPr>
            <w:r w:rsidRPr="001C0A65">
              <w:rPr>
                <w:b/>
              </w:rPr>
              <w:t>Moderate</w:t>
            </w:r>
            <w:r w:rsidR="001C3216" w:rsidRPr="001C0A65">
              <w:rPr>
                <w:b/>
              </w:rPr>
              <w:t xml:space="preserve"> (M)</w:t>
            </w:r>
          </w:p>
        </w:tc>
      </w:tr>
      <w:tr w:rsidR="004056E3"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2339"/>
        </w:trPr>
        <w:tc>
          <w:tcPr>
            <w:tcW w:w="53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056E3" w:rsidRPr="002C6AB4" w:rsidRDefault="004056E3" w:rsidP="00A36B2C">
            <w:pPr>
              <w:jc w:val="both"/>
            </w:pPr>
            <w:r w:rsidRPr="002C6AB4">
              <w:rPr>
                <w:b/>
              </w:rPr>
              <w:t>Description</w:t>
            </w:r>
            <w:r w:rsidRPr="002C6AB4">
              <w:t>:</w:t>
            </w:r>
          </w:p>
          <w:p w:rsidR="00D67236" w:rsidRPr="002C6AB4" w:rsidRDefault="00D67236" w:rsidP="00A36B2C">
            <w:pPr>
              <w:jc w:val="both"/>
            </w:pPr>
          </w:p>
          <w:p w:rsidR="004056E3" w:rsidRPr="001C0A65" w:rsidRDefault="004056E3" w:rsidP="00A36B2C">
            <w:pPr>
              <w:jc w:val="both"/>
              <w:rPr>
                <w:rFonts w:asciiTheme="majorHAnsi" w:hAnsiTheme="majorHAnsi"/>
              </w:rPr>
            </w:pPr>
            <w:r w:rsidRPr="002C6AB4">
              <w:t xml:space="preserve">There is a risk of political interference in the decision-making process, institutional arrangements and targeting, particularly between the Presidency and MINED, that could create instability, result in a loss of </w:t>
            </w:r>
            <w:r w:rsidR="001279DB" w:rsidRPr="002C6AB4">
              <w:t>Project</w:t>
            </w:r>
            <w:r w:rsidRPr="002C6AB4">
              <w:t xml:space="preserve"> focus and/or delay implementation.</w:t>
            </w:r>
            <w:r w:rsidRPr="001C0A65">
              <w:rPr>
                <w:rFonts w:asciiTheme="majorHAnsi" w:hAnsiTheme="majorHAnsi"/>
              </w:rPr>
              <w:t xml:space="preserve">   </w:t>
            </w:r>
          </w:p>
        </w:tc>
        <w:tc>
          <w:tcPr>
            <w:tcW w:w="820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D67236" w:rsidRPr="001C0A65" w:rsidRDefault="004056E3" w:rsidP="00A36B2C">
            <w:pPr>
              <w:jc w:val="both"/>
            </w:pPr>
            <w:r w:rsidRPr="001C0A65">
              <w:rPr>
                <w:b/>
              </w:rPr>
              <w:t>Risk Management</w:t>
            </w:r>
            <w:r w:rsidRPr="001C0A65">
              <w:t xml:space="preserve">: </w:t>
            </w:r>
          </w:p>
          <w:p w:rsidR="00D67236" w:rsidRPr="001C0A65" w:rsidRDefault="00D67236" w:rsidP="00A36B2C">
            <w:pPr>
              <w:jc w:val="both"/>
            </w:pPr>
          </w:p>
          <w:p w:rsidR="004056E3" w:rsidRPr="002C6AB4" w:rsidRDefault="004056E3" w:rsidP="00A36B2C">
            <w:pPr>
              <w:jc w:val="both"/>
            </w:pPr>
            <w:r w:rsidRPr="002C6AB4">
              <w:t xml:space="preserve">During preparation, the </w:t>
            </w:r>
            <w:r w:rsidR="00ED6468" w:rsidRPr="002C6AB4">
              <w:t>Bank</w:t>
            </w:r>
            <w:r w:rsidR="00684B1B" w:rsidRPr="002C6AB4">
              <w:t xml:space="preserve"> team worked</w:t>
            </w:r>
            <w:r w:rsidRPr="002C6AB4">
              <w:t xml:space="preserve"> with a large counterpart including various technical division</w:t>
            </w:r>
            <w:r w:rsidR="00D67236" w:rsidRPr="002C6AB4">
              <w:t>s</w:t>
            </w:r>
            <w:r w:rsidRPr="002C6AB4">
              <w:t xml:space="preserve"> of MINED, the Minister and the President advisor as well as authorities of the Ministry of Finance to ensure a large consensus building and information sharing.</w:t>
            </w:r>
            <w:r w:rsidR="00684B1B" w:rsidRPr="002C6AB4">
              <w:t xml:space="preserve">  MINED would continue with the practice of reviewing external donor interventions through MINED’s steering committee.  One objective of this committee is to align many stakeholders and to approve key decisions related to donor interventions with the Education Sector Strategy and the annual investment plan of the GoN. </w:t>
            </w:r>
            <w:r w:rsidRPr="002C6AB4">
              <w:t xml:space="preserve"> Implementation arrangements </w:t>
            </w:r>
            <w:r w:rsidR="00636C8C" w:rsidRPr="002C6AB4">
              <w:t>would</w:t>
            </w:r>
            <w:r w:rsidRPr="002C6AB4">
              <w:t xml:space="preserve"> maintain a Project steering committee which </w:t>
            </w:r>
            <w:r w:rsidR="00636C8C" w:rsidRPr="002C6AB4">
              <w:t>would</w:t>
            </w:r>
            <w:r w:rsidRPr="002C6AB4">
              <w:t xml:space="preserve"> align many stakeholders and </w:t>
            </w:r>
            <w:r w:rsidR="00636C8C" w:rsidRPr="002C6AB4">
              <w:t>would</w:t>
            </w:r>
            <w:r w:rsidRPr="002C6AB4">
              <w:t xml:space="preserve"> approve key decisions related to Project activities and targeting outlined in annual working plans.  Detailed implementation plans including detailed budget, procurement plan and targets for key Project indicators agreed during preparation and regularly updated during preparation </w:t>
            </w:r>
            <w:r w:rsidR="00636C8C" w:rsidRPr="002C6AB4">
              <w:t>would</w:t>
            </w:r>
            <w:r w:rsidRPr="002C6AB4">
              <w:t xml:space="preserve"> contribute to limit the risk of political interference. </w:t>
            </w:r>
          </w:p>
        </w:tc>
      </w:tr>
      <w:tr w:rsidR="00664FCA"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290"/>
        </w:trPr>
        <w:tc>
          <w:tcPr>
            <w:tcW w:w="539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64FCA" w:rsidRPr="001C0A65" w:rsidRDefault="00664FCA" w:rsidP="00A36B2C">
            <w:pPr>
              <w:jc w:val="both"/>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Resp</w:t>
            </w:r>
            <w:r w:rsidRPr="001C0A65">
              <w:t>: MINED</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Stage</w:t>
            </w:r>
            <w:r w:rsidRPr="001C0A65">
              <w:t>: implementation</w:t>
            </w:r>
          </w:p>
        </w:tc>
        <w:tc>
          <w:tcPr>
            <w:tcW w:w="20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Due Date</w:t>
            </w:r>
            <w:r w:rsidRPr="001C0A65">
              <w:t> :</w:t>
            </w:r>
            <w:r w:rsidRPr="001C0A65" w:rsidDel="00DC0A8E">
              <w:t xml:space="preserve"> </w:t>
            </w:r>
            <w:r w:rsidR="00833A88">
              <w:t>April 30</w:t>
            </w:r>
            <w:r w:rsidRPr="001C0A65">
              <w:t>, 2016</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Status</w:t>
            </w:r>
            <w:r w:rsidRPr="001C0A65">
              <w:t>: in progress</w:t>
            </w:r>
          </w:p>
        </w:tc>
      </w:tr>
      <w:tr w:rsidR="00D67236" w:rsidRPr="004056E3" w:rsidTr="00FC3621">
        <w:trPr>
          <w:gridBefore w:val="1"/>
          <w:wBefore w:w="18" w:type="dxa"/>
        </w:trPr>
        <w:tc>
          <w:tcPr>
            <w:tcW w:w="13590" w:type="dxa"/>
            <w:gridSpan w:val="14"/>
            <w:shd w:val="clear" w:color="auto" w:fill="auto"/>
            <w:vAlign w:val="center"/>
          </w:tcPr>
          <w:p w:rsidR="00D67236" w:rsidRPr="001C0A65" w:rsidRDefault="00D67236" w:rsidP="005E2993">
            <w:pPr>
              <w:pStyle w:val="ListParagraph"/>
              <w:numPr>
                <w:ilvl w:val="0"/>
                <w:numId w:val="26"/>
              </w:numPr>
              <w:rPr>
                <w:b/>
              </w:rPr>
            </w:pPr>
            <w:r w:rsidRPr="001C0A65">
              <w:rPr>
                <w:b/>
              </w:rPr>
              <w:t>Project Risks</w:t>
            </w:r>
          </w:p>
        </w:tc>
      </w:tr>
      <w:tr w:rsidR="004056E3" w:rsidRPr="004056E3" w:rsidTr="00FC3621">
        <w:trPr>
          <w:gridBefore w:val="1"/>
          <w:wBefore w:w="18" w:type="dxa"/>
        </w:trPr>
        <w:tc>
          <w:tcPr>
            <w:tcW w:w="5400" w:type="dxa"/>
            <w:gridSpan w:val="2"/>
            <w:tcBorders>
              <w:bottom w:val="single" w:sz="4" w:space="0" w:color="auto"/>
            </w:tcBorders>
            <w:shd w:val="pct5" w:color="auto" w:fill="auto"/>
            <w:vAlign w:val="center"/>
          </w:tcPr>
          <w:p w:rsidR="004056E3" w:rsidRPr="001C0A65" w:rsidRDefault="004056E3" w:rsidP="005E2993">
            <w:pPr>
              <w:pStyle w:val="ListParagraph"/>
              <w:numPr>
                <w:ilvl w:val="1"/>
                <w:numId w:val="26"/>
              </w:numPr>
              <w:ind w:left="343" w:hanging="343"/>
              <w:rPr>
                <w:b/>
              </w:rPr>
            </w:pPr>
            <w:r w:rsidRPr="001C0A65">
              <w:rPr>
                <w:b/>
              </w:rPr>
              <w:t>Design</w:t>
            </w:r>
          </w:p>
        </w:tc>
        <w:tc>
          <w:tcPr>
            <w:tcW w:w="2070" w:type="dxa"/>
            <w:gridSpan w:val="2"/>
            <w:tcBorders>
              <w:bottom w:val="nil"/>
              <w:right w:val="single" w:sz="4" w:space="0" w:color="auto"/>
            </w:tcBorders>
            <w:shd w:val="pct5" w:color="auto" w:fill="auto"/>
          </w:tcPr>
          <w:p w:rsidR="004056E3" w:rsidRPr="001C0A65" w:rsidRDefault="004056E3" w:rsidP="004056E3">
            <w:pPr>
              <w:rPr>
                <w:b/>
              </w:rPr>
            </w:pPr>
            <w:r w:rsidRPr="001C0A65">
              <w:rPr>
                <w:b/>
              </w:rPr>
              <w:t>Rating:</w:t>
            </w:r>
          </w:p>
        </w:tc>
        <w:tc>
          <w:tcPr>
            <w:tcW w:w="6120" w:type="dxa"/>
            <w:gridSpan w:val="10"/>
            <w:tcBorders>
              <w:left w:val="single" w:sz="4" w:space="0" w:color="auto"/>
              <w:bottom w:val="nil"/>
            </w:tcBorders>
            <w:shd w:val="pct5" w:color="auto" w:fill="auto"/>
            <w:vAlign w:val="center"/>
          </w:tcPr>
          <w:p w:rsidR="004056E3" w:rsidRPr="001C0A65" w:rsidRDefault="004056E3" w:rsidP="004056E3">
            <w:pPr>
              <w:rPr>
                <w:b/>
              </w:rPr>
            </w:pPr>
            <w:r w:rsidRPr="001C0A65">
              <w:rPr>
                <w:b/>
              </w:rPr>
              <w:t>Substantial</w:t>
            </w:r>
            <w:r w:rsidR="00D67236" w:rsidRPr="001C0A65">
              <w:rPr>
                <w:b/>
              </w:rPr>
              <w:t xml:space="preserve"> (S)</w:t>
            </w:r>
          </w:p>
        </w:tc>
      </w:tr>
      <w:tr w:rsidR="004056E3"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340"/>
        </w:trPr>
        <w:tc>
          <w:tcPr>
            <w:tcW w:w="5400" w:type="dxa"/>
            <w:gridSpan w:val="2"/>
            <w:vMerge w:val="restart"/>
            <w:tcBorders>
              <w:top w:val="single" w:sz="4" w:space="0" w:color="000000"/>
              <w:left w:val="single" w:sz="4" w:space="0" w:color="000000"/>
              <w:right w:val="single" w:sz="4" w:space="0" w:color="000000"/>
            </w:tcBorders>
            <w:shd w:val="clear" w:color="auto" w:fill="auto"/>
          </w:tcPr>
          <w:p w:rsidR="004056E3" w:rsidRPr="002C6AB4" w:rsidRDefault="004056E3" w:rsidP="00A36B2C">
            <w:pPr>
              <w:jc w:val="both"/>
            </w:pPr>
            <w:r w:rsidRPr="002C6AB4">
              <w:rPr>
                <w:b/>
              </w:rPr>
              <w:t>Description</w:t>
            </w:r>
            <w:r w:rsidRPr="002C6AB4">
              <w:t>:</w:t>
            </w:r>
          </w:p>
          <w:p w:rsidR="001A6BF7" w:rsidRPr="002C6AB4" w:rsidRDefault="001A6BF7" w:rsidP="00A36B2C">
            <w:pPr>
              <w:jc w:val="both"/>
            </w:pPr>
          </w:p>
          <w:p w:rsidR="004056E3" w:rsidRPr="002C6AB4" w:rsidRDefault="001C119A" w:rsidP="00A36B2C">
            <w:pPr>
              <w:jc w:val="both"/>
            </w:pPr>
            <w:r w:rsidRPr="002C6AB4">
              <w:t xml:space="preserve">Despite interventions aimed at improving learning conditions in preschool and quality in lower secondary education, there is a risk that teachers </w:t>
            </w:r>
            <w:r w:rsidR="00636C8C" w:rsidRPr="002C6AB4">
              <w:t>would</w:t>
            </w:r>
            <w:r w:rsidRPr="002C6AB4">
              <w:t xml:space="preserve"> not change their teaching method</w:t>
            </w:r>
            <w:r w:rsidR="00684B1B" w:rsidRPr="002C6AB4">
              <w:t>s and/or</w:t>
            </w:r>
            <w:r w:rsidRPr="002C6AB4">
              <w:t xml:space="preserve"> they </w:t>
            </w:r>
            <w:r w:rsidR="00636C8C" w:rsidRPr="002C6AB4">
              <w:t>would</w:t>
            </w:r>
            <w:r w:rsidRPr="002C6AB4">
              <w:t xml:space="preserve"> not use</w:t>
            </w:r>
            <w:r w:rsidR="00684B1B" w:rsidRPr="002C6AB4">
              <w:t xml:space="preserve"> the </w:t>
            </w:r>
            <w:r w:rsidRPr="002C6AB4">
              <w:t xml:space="preserve">curriculum for preschool and </w:t>
            </w:r>
            <w:r w:rsidR="00684B1B" w:rsidRPr="002C6AB4">
              <w:t xml:space="preserve">lower secondary as well as </w:t>
            </w:r>
            <w:r w:rsidRPr="002C6AB4">
              <w:t>the learning materials (textbooks and teacher guides)</w:t>
            </w:r>
            <w:r w:rsidR="00684B1B" w:rsidRPr="002C6AB4">
              <w:t xml:space="preserve"> financed by the Project</w:t>
            </w:r>
            <w:r w:rsidRPr="002C6AB4">
              <w:t xml:space="preserve">. </w:t>
            </w:r>
          </w:p>
        </w:tc>
        <w:tc>
          <w:tcPr>
            <w:tcW w:w="8190" w:type="dxa"/>
            <w:gridSpan w:val="12"/>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1A6BF7" w:rsidRPr="002C6AB4" w:rsidRDefault="004056E3" w:rsidP="00E503E0">
            <w:pPr>
              <w:jc w:val="both"/>
            </w:pPr>
            <w:r w:rsidRPr="002C6AB4">
              <w:rPr>
                <w:b/>
              </w:rPr>
              <w:t>Risk Management</w:t>
            </w:r>
            <w:r w:rsidRPr="002C6AB4">
              <w:t xml:space="preserve">: </w:t>
            </w:r>
          </w:p>
          <w:p w:rsidR="001A6BF7" w:rsidRPr="002C6AB4" w:rsidRDefault="001A6BF7" w:rsidP="00E503E0">
            <w:pPr>
              <w:jc w:val="both"/>
              <w:rPr>
                <w:bCs/>
                <w:lang w:bidi="en-US"/>
              </w:rPr>
            </w:pPr>
          </w:p>
          <w:p w:rsidR="001A6BF7" w:rsidRPr="002C6AB4" w:rsidRDefault="00684B1B" w:rsidP="00E503E0">
            <w:pPr>
              <w:jc w:val="both"/>
              <w:rPr>
                <w:bCs/>
                <w:lang w:bidi="en-US"/>
              </w:rPr>
            </w:pPr>
            <w:r w:rsidRPr="002C6AB4">
              <w:rPr>
                <w:bCs/>
                <w:lang w:bidi="en-US"/>
              </w:rPr>
              <w:t>In preschool education, the</w:t>
            </w:r>
            <w:r w:rsidR="004056E3" w:rsidRPr="002C6AB4">
              <w:rPr>
                <w:bCs/>
                <w:lang w:bidi="en-US"/>
              </w:rPr>
              <w:t xml:space="preserve"> risk </w:t>
            </w:r>
            <w:r w:rsidR="00636C8C" w:rsidRPr="002C6AB4">
              <w:rPr>
                <w:bCs/>
                <w:lang w:bidi="en-US"/>
              </w:rPr>
              <w:t>would</w:t>
            </w:r>
            <w:r w:rsidR="004056E3" w:rsidRPr="002C6AB4">
              <w:rPr>
                <w:bCs/>
                <w:lang w:bidi="en-US"/>
              </w:rPr>
              <w:t xml:space="preserve"> be </w:t>
            </w:r>
            <w:r w:rsidR="001C119A" w:rsidRPr="002C6AB4">
              <w:rPr>
                <w:bCs/>
                <w:lang w:bidi="en-US"/>
              </w:rPr>
              <w:t xml:space="preserve">mitigated through the setting up of demonstration classrooms that </w:t>
            </w:r>
            <w:r w:rsidRPr="002C6AB4">
              <w:rPr>
                <w:bCs/>
                <w:lang w:bidi="en-US"/>
              </w:rPr>
              <w:t xml:space="preserve">preschool </w:t>
            </w:r>
            <w:r w:rsidR="001C119A" w:rsidRPr="002C6AB4">
              <w:rPr>
                <w:bCs/>
                <w:lang w:bidi="en-US"/>
              </w:rPr>
              <w:t xml:space="preserve">teachers </w:t>
            </w:r>
            <w:r w:rsidR="00636C8C" w:rsidRPr="002C6AB4">
              <w:rPr>
                <w:bCs/>
                <w:lang w:bidi="en-US"/>
              </w:rPr>
              <w:t>would</w:t>
            </w:r>
            <w:r w:rsidR="001C119A" w:rsidRPr="002C6AB4">
              <w:rPr>
                <w:bCs/>
                <w:lang w:bidi="en-US"/>
              </w:rPr>
              <w:t xml:space="preserve"> visit several times during the school year.  These demonstration classrooms </w:t>
            </w:r>
            <w:r w:rsidR="00636C8C" w:rsidRPr="002C6AB4">
              <w:rPr>
                <w:bCs/>
                <w:lang w:bidi="en-US"/>
              </w:rPr>
              <w:t>would</w:t>
            </w:r>
            <w:r w:rsidR="001C119A" w:rsidRPr="002C6AB4">
              <w:rPr>
                <w:bCs/>
                <w:lang w:bidi="en-US"/>
              </w:rPr>
              <w:t xml:space="preserve"> be used to better explain how teachers can put into practice what they would have been learned during their training.  </w:t>
            </w:r>
            <w:r w:rsidRPr="002C6AB4">
              <w:rPr>
                <w:bCs/>
                <w:lang w:bidi="en-US"/>
              </w:rPr>
              <w:t>For lower secondary education and preschool also, t</w:t>
            </w:r>
            <w:r w:rsidR="001C119A" w:rsidRPr="002C6AB4">
              <w:rPr>
                <w:bCs/>
                <w:lang w:bidi="en-US"/>
              </w:rPr>
              <w:t xml:space="preserve">he TEPCEs (monthly workshops) </w:t>
            </w:r>
            <w:r w:rsidR="00636C8C" w:rsidRPr="002C6AB4">
              <w:rPr>
                <w:bCs/>
                <w:lang w:bidi="en-US"/>
              </w:rPr>
              <w:t>would</w:t>
            </w:r>
            <w:r w:rsidR="001C119A" w:rsidRPr="002C6AB4">
              <w:rPr>
                <w:bCs/>
                <w:lang w:bidi="en-US"/>
              </w:rPr>
              <w:t xml:space="preserve"> be used to reinforce instruction and recommendations that newly certified teachers would have received during their training.</w:t>
            </w:r>
            <w:r w:rsidRPr="002C6AB4">
              <w:rPr>
                <w:bCs/>
                <w:lang w:bidi="en-US"/>
              </w:rPr>
              <w:t xml:space="preserve">  That </w:t>
            </w:r>
            <w:r w:rsidR="00636C8C" w:rsidRPr="002C6AB4">
              <w:rPr>
                <w:bCs/>
                <w:lang w:bidi="en-US"/>
              </w:rPr>
              <w:t>would</w:t>
            </w:r>
            <w:r w:rsidRPr="002C6AB4">
              <w:rPr>
                <w:bCs/>
                <w:lang w:bidi="en-US"/>
              </w:rPr>
              <w:t xml:space="preserve"> ensure the curriculum is understood and used accordingly by all teachers with the adequate supporting materials (textbooks and guides).</w:t>
            </w:r>
            <w:r w:rsidR="001C119A" w:rsidRPr="002C6AB4">
              <w:rPr>
                <w:bCs/>
                <w:lang w:bidi="en-US"/>
              </w:rPr>
              <w:t xml:space="preserve">  The Project would also finance the visit of training staff from the Teacher Training Institute</w:t>
            </w:r>
            <w:r w:rsidR="00205302" w:rsidRPr="002C6AB4">
              <w:rPr>
                <w:bCs/>
                <w:lang w:bidi="en-US"/>
              </w:rPr>
              <w:t>s (TTIs)</w:t>
            </w:r>
            <w:r w:rsidR="001C119A" w:rsidRPr="002C6AB4">
              <w:rPr>
                <w:bCs/>
                <w:lang w:bidi="en-US"/>
              </w:rPr>
              <w:t xml:space="preserve"> </w:t>
            </w:r>
            <w:r w:rsidR="001C119A" w:rsidRPr="002C6AB4">
              <w:rPr>
                <w:bCs/>
                <w:lang w:bidi="en-US"/>
              </w:rPr>
              <w:lastRenderedPageBreak/>
              <w:t xml:space="preserve">and from the Universities to preschool and lower secondary schools. </w:t>
            </w:r>
          </w:p>
          <w:p w:rsidR="001A6452" w:rsidRPr="002C6AB4" w:rsidRDefault="001A6452" w:rsidP="00E503E0">
            <w:pPr>
              <w:jc w:val="both"/>
              <w:rPr>
                <w:bCs/>
                <w:lang w:bidi="en-US"/>
              </w:rPr>
            </w:pPr>
          </w:p>
          <w:p w:rsidR="001A6452" w:rsidRPr="002C6AB4" w:rsidRDefault="001A6452" w:rsidP="00E503E0">
            <w:pPr>
              <w:jc w:val="both"/>
            </w:pPr>
            <w:r w:rsidRPr="002C6AB4">
              <w:rPr>
                <w:bCs/>
                <w:lang w:bidi="en-US"/>
              </w:rPr>
              <w:t>Facilities and equipment of the TTIs would be upgraded under PASEN II.  These improvements should provide better learning environment for the students who would attend training activities financed by the Project.   MINED would carry out these investments in 2012 and early 2013 before the start of teacher professional development activities.</w:t>
            </w:r>
          </w:p>
        </w:tc>
      </w:tr>
      <w:tr w:rsidR="00664FCA"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90"/>
        </w:trPr>
        <w:tc>
          <w:tcPr>
            <w:tcW w:w="5400" w:type="dxa"/>
            <w:gridSpan w:val="2"/>
            <w:vMerge/>
            <w:tcBorders>
              <w:left w:val="single" w:sz="4" w:space="0" w:color="000000"/>
              <w:right w:val="single" w:sz="4" w:space="0" w:color="000000"/>
            </w:tcBorders>
            <w:shd w:val="clear" w:color="auto" w:fill="auto"/>
          </w:tcPr>
          <w:p w:rsidR="00664FCA" w:rsidRPr="001C0A65" w:rsidRDefault="00664FCA" w:rsidP="00E503E0">
            <w:pPr>
              <w:jc w:val="both"/>
            </w:pPr>
          </w:p>
        </w:tc>
        <w:tc>
          <w:tcPr>
            <w:tcW w:w="2250" w:type="dxa"/>
            <w:gridSpan w:val="4"/>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Resp</w:t>
            </w:r>
            <w:r w:rsidRPr="001C0A65">
              <w:t>: MINED</w:t>
            </w:r>
          </w:p>
        </w:tc>
        <w:tc>
          <w:tcPr>
            <w:tcW w:w="2194"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Stage</w:t>
            </w:r>
            <w:r w:rsidRPr="001C0A65">
              <w:t>: implementation</w:t>
            </w:r>
          </w:p>
        </w:tc>
        <w:tc>
          <w:tcPr>
            <w:tcW w:w="2182"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Due Date</w:t>
            </w:r>
            <w:r w:rsidRPr="001C0A65">
              <w:t> :</w:t>
            </w:r>
            <w:r w:rsidRPr="001C0A65" w:rsidDel="00DC0A8E">
              <w:t xml:space="preserve"> </w:t>
            </w:r>
            <w:r w:rsidR="00833A88">
              <w:t>April 30</w:t>
            </w:r>
            <w:r w:rsidRPr="001C0A65">
              <w:t>, 2016</w:t>
            </w:r>
          </w:p>
        </w:tc>
        <w:tc>
          <w:tcPr>
            <w:tcW w:w="1564"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Status</w:t>
            </w:r>
            <w:r w:rsidRPr="001C0A65">
              <w:t>: in progress</w:t>
            </w:r>
          </w:p>
        </w:tc>
      </w:tr>
      <w:tr w:rsidR="004056E3" w:rsidRPr="004056E3" w:rsidTr="00FC3621">
        <w:trPr>
          <w:gridBefore w:val="1"/>
          <w:wBefore w:w="18" w:type="dxa"/>
        </w:trPr>
        <w:tc>
          <w:tcPr>
            <w:tcW w:w="5400" w:type="dxa"/>
            <w:gridSpan w:val="2"/>
            <w:tcBorders>
              <w:bottom w:val="single" w:sz="4" w:space="0" w:color="auto"/>
            </w:tcBorders>
            <w:shd w:val="pct5" w:color="auto" w:fill="auto"/>
            <w:vAlign w:val="center"/>
          </w:tcPr>
          <w:p w:rsidR="004056E3" w:rsidRPr="001C0A65" w:rsidRDefault="004056E3" w:rsidP="00E503E0">
            <w:pPr>
              <w:pStyle w:val="ListParagraph"/>
              <w:numPr>
                <w:ilvl w:val="1"/>
                <w:numId w:val="26"/>
              </w:numPr>
              <w:ind w:left="343" w:hanging="343"/>
              <w:jc w:val="both"/>
              <w:rPr>
                <w:b/>
              </w:rPr>
            </w:pPr>
            <w:r w:rsidRPr="001C0A65">
              <w:rPr>
                <w:b/>
              </w:rPr>
              <w:t>Social &amp; Environmental</w:t>
            </w:r>
          </w:p>
        </w:tc>
        <w:tc>
          <w:tcPr>
            <w:tcW w:w="2250" w:type="dxa"/>
            <w:gridSpan w:val="4"/>
            <w:tcBorders>
              <w:bottom w:val="single" w:sz="4" w:space="0" w:color="auto"/>
              <w:right w:val="single" w:sz="4" w:space="0" w:color="auto"/>
            </w:tcBorders>
            <w:shd w:val="pct5" w:color="auto" w:fill="auto"/>
          </w:tcPr>
          <w:p w:rsidR="004056E3" w:rsidRPr="001C0A65" w:rsidRDefault="004056E3" w:rsidP="00E503E0">
            <w:pPr>
              <w:jc w:val="both"/>
              <w:rPr>
                <w:b/>
              </w:rPr>
            </w:pPr>
            <w:r w:rsidRPr="001C0A65">
              <w:rPr>
                <w:b/>
              </w:rPr>
              <w:t xml:space="preserve">Rating: </w:t>
            </w:r>
          </w:p>
        </w:tc>
        <w:tc>
          <w:tcPr>
            <w:tcW w:w="5940" w:type="dxa"/>
            <w:gridSpan w:val="8"/>
            <w:tcBorders>
              <w:left w:val="single" w:sz="4" w:space="0" w:color="auto"/>
              <w:bottom w:val="single" w:sz="4" w:space="0" w:color="auto"/>
            </w:tcBorders>
            <w:shd w:val="pct5" w:color="auto" w:fill="auto"/>
            <w:vAlign w:val="center"/>
          </w:tcPr>
          <w:p w:rsidR="004056E3" w:rsidRPr="001C0A65" w:rsidRDefault="00E53ABE" w:rsidP="004056E3">
            <w:pPr>
              <w:rPr>
                <w:b/>
              </w:rPr>
            </w:pPr>
            <w:r w:rsidRPr="001C0A65">
              <w:rPr>
                <w:b/>
              </w:rPr>
              <w:t>Low (L</w:t>
            </w:r>
            <w:r w:rsidR="00926EDF" w:rsidRPr="001C0A65">
              <w:rPr>
                <w:b/>
              </w:rPr>
              <w:t>)</w:t>
            </w:r>
          </w:p>
        </w:tc>
      </w:tr>
      <w:tr w:rsidR="004056E3"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45"/>
        </w:trPr>
        <w:tc>
          <w:tcPr>
            <w:tcW w:w="5400" w:type="dxa"/>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4056E3" w:rsidRPr="002C6AB4" w:rsidRDefault="004056E3" w:rsidP="00E503E0">
            <w:pPr>
              <w:jc w:val="both"/>
            </w:pPr>
            <w:r w:rsidRPr="002C6AB4">
              <w:rPr>
                <w:b/>
              </w:rPr>
              <w:t>Description</w:t>
            </w:r>
            <w:r w:rsidRPr="002C6AB4">
              <w:t>:</w:t>
            </w:r>
          </w:p>
          <w:p w:rsidR="001176FA" w:rsidRPr="002C6AB4" w:rsidRDefault="001176FA" w:rsidP="00E503E0">
            <w:pPr>
              <w:jc w:val="both"/>
            </w:pPr>
          </w:p>
          <w:p w:rsidR="006A3814" w:rsidRPr="002C6AB4" w:rsidRDefault="004056E3" w:rsidP="00E503E0">
            <w:pPr>
              <w:jc w:val="both"/>
            </w:pPr>
            <w:r w:rsidRPr="002C6AB4">
              <w:t xml:space="preserve">There is a risk that the population </w:t>
            </w:r>
            <w:r w:rsidR="00636C8C" w:rsidRPr="002C6AB4">
              <w:t>would</w:t>
            </w:r>
            <w:r w:rsidRPr="002C6AB4">
              <w:t xml:space="preserve"> reject instructional materials which is not adapted to the Intercultural Bilingual Education (IBE).</w:t>
            </w:r>
          </w:p>
          <w:p w:rsidR="006A3814" w:rsidRPr="002C6AB4" w:rsidRDefault="006A3814" w:rsidP="00E503E0">
            <w:pPr>
              <w:jc w:val="both"/>
            </w:pPr>
          </w:p>
          <w:p w:rsidR="006A3814" w:rsidRPr="002C6AB4" w:rsidRDefault="006A3814" w:rsidP="00E503E0">
            <w:pPr>
              <w:jc w:val="both"/>
            </w:pPr>
          </w:p>
          <w:p w:rsidR="006A3814" w:rsidRPr="002C6AB4" w:rsidRDefault="006A3814" w:rsidP="00E503E0">
            <w:pPr>
              <w:jc w:val="both"/>
            </w:pPr>
          </w:p>
          <w:p w:rsidR="006A3814" w:rsidRDefault="006A3814" w:rsidP="00E503E0">
            <w:pPr>
              <w:jc w:val="both"/>
            </w:pPr>
          </w:p>
          <w:p w:rsidR="00E503E0" w:rsidRPr="002C6AB4" w:rsidRDefault="00E503E0" w:rsidP="00E503E0">
            <w:pPr>
              <w:jc w:val="both"/>
            </w:pPr>
          </w:p>
          <w:p w:rsidR="006A3814" w:rsidRPr="002C6AB4" w:rsidRDefault="006A3814" w:rsidP="00E503E0">
            <w:pPr>
              <w:jc w:val="both"/>
            </w:pPr>
            <w:r w:rsidRPr="002C6AB4">
              <w:t>There is a risk of environmental damage due to the civil work activities financed by the Project.</w:t>
            </w:r>
          </w:p>
          <w:p w:rsidR="006A3814" w:rsidRPr="002C6AB4" w:rsidRDefault="00C760BF" w:rsidP="00E503E0">
            <w:pPr>
              <w:jc w:val="both"/>
            </w:pPr>
            <w:r>
              <w:t xml:space="preserve"> </w:t>
            </w:r>
          </w:p>
          <w:p w:rsidR="006A3814" w:rsidRPr="002C6AB4" w:rsidRDefault="006A3814" w:rsidP="00E503E0">
            <w:pPr>
              <w:jc w:val="both"/>
            </w:pPr>
          </w:p>
          <w:p w:rsidR="006A3814" w:rsidRPr="002C6AB4" w:rsidRDefault="006A3814" w:rsidP="00E503E0">
            <w:pPr>
              <w:jc w:val="both"/>
            </w:pPr>
          </w:p>
          <w:p w:rsidR="006A3814" w:rsidRPr="002C6AB4" w:rsidRDefault="006A3814" w:rsidP="00E503E0">
            <w:pPr>
              <w:jc w:val="both"/>
            </w:pPr>
          </w:p>
          <w:p w:rsidR="006A3814" w:rsidRPr="002C6AB4" w:rsidRDefault="006A3814" w:rsidP="00E503E0">
            <w:pPr>
              <w:jc w:val="both"/>
            </w:pPr>
          </w:p>
          <w:p w:rsidR="006A3814" w:rsidRPr="002C6AB4" w:rsidRDefault="006A3814" w:rsidP="00E503E0">
            <w:pPr>
              <w:jc w:val="both"/>
            </w:pPr>
          </w:p>
          <w:p w:rsidR="006A3814" w:rsidRDefault="006A3814" w:rsidP="00E503E0">
            <w:pPr>
              <w:jc w:val="both"/>
            </w:pPr>
          </w:p>
          <w:p w:rsidR="00E503E0" w:rsidRDefault="00E503E0" w:rsidP="00E503E0">
            <w:pPr>
              <w:jc w:val="both"/>
            </w:pPr>
          </w:p>
          <w:p w:rsidR="006A3814" w:rsidRPr="002C6AB4" w:rsidRDefault="006A3814" w:rsidP="00E503E0">
            <w:pPr>
              <w:jc w:val="both"/>
            </w:pPr>
          </w:p>
          <w:p w:rsidR="006A3814" w:rsidRPr="002C6AB4" w:rsidRDefault="006A3814" w:rsidP="00E503E0">
            <w:pPr>
              <w:jc w:val="both"/>
            </w:pPr>
          </w:p>
          <w:p w:rsidR="004056E3" w:rsidRPr="002C6AB4" w:rsidRDefault="006A3814" w:rsidP="00E503E0">
            <w:pPr>
              <w:jc w:val="both"/>
            </w:pPr>
            <w:r w:rsidRPr="002C6AB4">
              <w:t xml:space="preserve">There is a risk of involuntary resettlement, especially </w:t>
            </w:r>
            <w:r w:rsidRPr="002C6AB4">
              <w:lastRenderedPageBreak/>
              <w:t>on lands donated for the Project.</w:t>
            </w:r>
            <w:r w:rsidR="004056E3" w:rsidRPr="002C6AB4">
              <w:t xml:space="preserve"> </w:t>
            </w:r>
          </w:p>
        </w:tc>
        <w:tc>
          <w:tcPr>
            <w:tcW w:w="8190" w:type="dxa"/>
            <w:gridSpan w:val="12"/>
            <w:tcBorders>
              <w:top w:val="single" w:sz="4" w:space="0" w:color="auto"/>
              <w:left w:val="single" w:sz="4" w:space="0" w:color="000000"/>
              <w:bottom w:val="single" w:sz="4" w:space="0" w:color="auto"/>
              <w:right w:val="single" w:sz="4" w:space="0" w:color="auto"/>
            </w:tcBorders>
            <w:shd w:val="clear" w:color="auto" w:fill="auto"/>
            <w:vAlign w:val="center"/>
          </w:tcPr>
          <w:p w:rsidR="004056E3" w:rsidRPr="002C6AB4" w:rsidRDefault="004056E3" w:rsidP="00E503E0">
            <w:pPr>
              <w:jc w:val="both"/>
            </w:pPr>
            <w:r w:rsidRPr="002C6AB4">
              <w:rPr>
                <w:b/>
              </w:rPr>
              <w:lastRenderedPageBreak/>
              <w:t>Risk Management</w:t>
            </w:r>
            <w:r w:rsidRPr="002C6AB4">
              <w:t xml:space="preserve">: </w:t>
            </w:r>
          </w:p>
          <w:p w:rsidR="001176FA" w:rsidRPr="002C6AB4" w:rsidRDefault="001176FA" w:rsidP="00E503E0">
            <w:pPr>
              <w:jc w:val="both"/>
            </w:pPr>
          </w:p>
          <w:p w:rsidR="004056E3" w:rsidRPr="002C6AB4" w:rsidRDefault="004056E3" w:rsidP="00E503E0">
            <w:pPr>
              <w:jc w:val="both"/>
            </w:pPr>
            <w:r w:rsidRPr="002C6AB4">
              <w:t xml:space="preserve">The Project </w:t>
            </w:r>
            <w:r w:rsidR="00636C8C" w:rsidRPr="002C6AB4">
              <w:t>would</w:t>
            </w:r>
            <w:r w:rsidRPr="002C6AB4">
              <w:t xml:space="preserve"> only distribute instructional materials in local languag</w:t>
            </w:r>
            <w:r w:rsidR="006A3814" w:rsidRPr="002C6AB4">
              <w:t xml:space="preserve">es complying with the norms for </w:t>
            </w:r>
            <w:r w:rsidRPr="002C6AB4">
              <w:t>IBE.  Consultation and information-sharing activiti</w:t>
            </w:r>
            <w:r w:rsidR="006A3814" w:rsidRPr="002C6AB4">
              <w:t>es with the municipalities and I</w:t>
            </w:r>
            <w:r w:rsidRPr="002C6AB4">
              <w:t xml:space="preserve">ndigenous organizations representing groups living where </w:t>
            </w:r>
            <w:r w:rsidR="001279DB" w:rsidRPr="002C6AB4">
              <w:t>Project</w:t>
            </w:r>
            <w:r w:rsidRPr="002C6AB4">
              <w:t xml:space="preserve"> activities </w:t>
            </w:r>
            <w:r w:rsidR="00D85FFB" w:rsidRPr="002C6AB4">
              <w:t>we</w:t>
            </w:r>
            <w:r w:rsidRPr="002C6AB4">
              <w:t xml:space="preserve">re proposed, </w:t>
            </w:r>
            <w:r w:rsidR="00664FCA" w:rsidRPr="002C6AB4">
              <w:t xml:space="preserve">were </w:t>
            </w:r>
            <w:r w:rsidRPr="002C6AB4">
              <w:t xml:space="preserve">carried out during </w:t>
            </w:r>
            <w:r w:rsidR="001279DB" w:rsidRPr="002C6AB4">
              <w:t>Project</w:t>
            </w:r>
            <w:r w:rsidRPr="002C6AB4">
              <w:t xml:space="preserve"> preparation, and incorporated into the operational manual.  This includes ensuring that stakeholders know who is responsible for the </w:t>
            </w:r>
            <w:r w:rsidR="001279DB" w:rsidRPr="002C6AB4">
              <w:t>Project</w:t>
            </w:r>
            <w:r w:rsidRPr="002C6AB4">
              <w:t xml:space="preserve"> at both central and local levels in case concerns arise.</w:t>
            </w:r>
          </w:p>
          <w:p w:rsidR="006A3814" w:rsidRPr="002C6AB4" w:rsidRDefault="006A3814" w:rsidP="00E503E0">
            <w:pPr>
              <w:jc w:val="both"/>
            </w:pPr>
          </w:p>
          <w:p w:rsidR="006A3814" w:rsidRPr="002C6AB4" w:rsidRDefault="006A3814" w:rsidP="00E503E0">
            <w:pPr>
              <w:jc w:val="both"/>
            </w:pPr>
            <w:r w:rsidRPr="002C6AB4">
              <w:t>The project prepare</w:t>
            </w:r>
            <w:r w:rsidR="002B05BD" w:rsidRPr="002C6AB4">
              <w:t>d</w:t>
            </w:r>
            <w:r w:rsidRPr="002C6AB4">
              <w:t xml:space="preserve"> an Environmental Management Framework (EMF) </w:t>
            </w:r>
            <w:r w:rsidRPr="002C6AB4">
              <w:rPr>
                <w:bCs/>
              </w:rPr>
              <w:t>to screen, assess, and mitigate environmental and social impacts of Project activities.  Pre-investment studies for all civil works would be carried out in accordance with Bank policies, and they would include appropriate environmental and safety considerations, such as: (i) selection of construction materials in the Atlantic coast that minimize social and environmental impacts; (ii) environmental mitigation and monitoring measures to be taken during implementation; (iii) waste disposal measures; (iv) construction site management criteria (proper safety protocols for construction workers, including the use of personal protective equipment); (v) dust and noise control; and (vi) institutional arrangement for supervision and oversight of environmental measures</w:t>
            </w:r>
            <w:r w:rsidRPr="002C6AB4">
              <w:t xml:space="preserve"> </w:t>
            </w:r>
          </w:p>
          <w:p w:rsidR="006A3814" w:rsidRPr="002C6AB4" w:rsidRDefault="006A3814" w:rsidP="00E503E0">
            <w:pPr>
              <w:jc w:val="both"/>
            </w:pPr>
          </w:p>
          <w:p w:rsidR="006A3814" w:rsidRPr="002C6AB4" w:rsidRDefault="006A3814" w:rsidP="00E503E0">
            <w:pPr>
              <w:jc w:val="both"/>
            </w:pPr>
            <w:r w:rsidRPr="002C6AB4">
              <w:t>The Project prepare</w:t>
            </w:r>
            <w:r w:rsidR="00A00D31" w:rsidRPr="002C6AB4">
              <w:t>d</w:t>
            </w:r>
            <w:r w:rsidRPr="002C6AB4">
              <w:t xml:space="preserve"> a Resettlement Policy Framework (RPF) </w:t>
            </w:r>
            <w:r w:rsidRPr="002C6AB4">
              <w:rPr>
                <w:bCs/>
              </w:rPr>
              <w:t xml:space="preserve">to address the </w:t>
            </w:r>
            <w:r w:rsidRPr="002C6AB4">
              <w:rPr>
                <w:bCs/>
              </w:rPr>
              <w:lastRenderedPageBreak/>
              <w:t>issues related to land acquisition, potential displacement or restriction of access to resources.  The RPF screen</w:t>
            </w:r>
            <w:r w:rsidR="00A00D31" w:rsidRPr="002C6AB4">
              <w:rPr>
                <w:bCs/>
              </w:rPr>
              <w:t>s</w:t>
            </w:r>
            <w:r w:rsidRPr="002C6AB4">
              <w:rPr>
                <w:bCs/>
              </w:rPr>
              <w:t xml:space="preserve"> all proposed new construction to ensure that no involuntary land acquisition, displacement or restriction of access to resources </w:t>
            </w:r>
            <w:r w:rsidR="00636C8C" w:rsidRPr="002C6AB4">
              <w:rPr>
                <w:bCs/>
              </w:rPr>
              <w:t>would</w:t>
            </w:r>
            <w:r w:rsidRPr="002C6AB4">
              <w:rPr>
                <w:bCs/>
              </w:rPr>
              <w:t xml:space="preserve"> be permitted under the Project.  Land donations might occur under the Project.  The RPF include</w:t>
            </w:r>
            <w:r w:rsidR="00A00D31" w:rsidRPr="002C6AB4">
              <w:rPr>
                <w:bCs/>
              </w:rPr>
              <w:t>s</w:t>
            </w:r>
            <w:r w:rsidRPr="002C6AB4">
              <w:rPr>
                <w:bCs/>
              </w:rPr>
              <w:t xml:space="preserve"> specific measures and limits on the extent of the land which people or communities could donate and also include</w:t>
            </w:r>
            <w:r w:rsidR="00A00D31" w:rsidRPr="002C6AB4">
              <w:rPr>
                <w:bCs/>
              </w:rPr>
              <w:t>s</w:t>
            </w:r>
            <w:r w:rsidRPr="002C6AB4">
              <w:rPr>
                <w:bCs/>
              </w:rPr>
              <w:t xml:space="preserve"> a process to document and verify how land donations were done.</w:t>
            </w:r>
          </w:p>
        </w:tc>
      </w:tr>
      <w:tr w:rsidR="00664FCA"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90"/>
        </w:trPr>
        <w:tc>
          <w:tcPr>
            <w:tcW w:w="5400" w:type="dxa"/>
            <w:gridSpan w:val="2"/>
            <w:vMerge/>
            <w:tcBorders>
              <w:top w:val="single" w:sz="4" w:space="0" w:color="auto"/>
              <w:left w:val="single" w:sz="4" w:space="0" w:color="000000"/>
              <w:right w:val="single" w:sz="4" w:space="0" w:color="000000"/>
            </w:tcBorders>
            <w:shd w:val="clear" w:color="auto" w:fill="auto"/>
          </w:tcPr>
          <w:p w:rsidR="00664FCA" w:rsidRPr="001C0A65" w:rsidRDefault="00664FCA" w:rsidP="00E503E0">
            <w:pPr>
              <w:jc w:val="both"/>
              <w:rPr>
                <w:b/>
              </w:rPr>
            </w:pPr>
          </w:p>
        </w:tc>
        <w:tc>
          <w:tcPr>
            <w:tcW w:w="2250" w:type="dxa"/>
            <w:gridSpan w:val="4"/>
            <w:tcBorders>
              <w:top w:val="single" w:sz="4" w:space="0" w:color="auto"/>
              <w:left w:val="single" w:sz="4" w:space="0" w:color="000000"/>
              <w:right w:val="single" w:sz="4" w:space="0" w:color="000000"/>
            </w:tcBorders>
            <w:shd w:val="clear" w:color="auto" w:fill="auto"/>
            <w:vAlign w:val="center"/>
          </w:tcPr>
          <w:p w:rsidR="00664FCA" w:rsidRPr="001C0A65" w:rsidRDefault="00664FCA" w:rsidP="00A36B2C">
            <w:pPr>
              <w:jc w:val="both"/>
              <w:rPr>
                <w:b/>
              </w:rPr>
            </w:pPr>
            <w:r w:rsidRPr="001C0A65">
              <w:rPr>
                <w:b/>
              </w:rPr>
              <w:t>Resp</w:t>
            </w:r>
            <w:r w:rsidRPr="001C0A65">
              <w:t>: MINED</w:t>
            </w:r>
          </w:p>
        </w:tc>
        <w:tc>
          <w:tcPr>
            <w:tcW w:w="2194" w:type="dxa"/>
            <w:gridSpan w:val="3"/>
            <w:tcBorders>
              <w:top w:val="single" w:sz="4" w:space="0" w:color="auto"/>
              <w:left w:val="single" w:sz="4" w:space="0" w:color="000000"/>
              <w:right w:val="single" w:sz="4" w:space="0" w:color="000000"/>
            </w:tcBorders>
            <w:shd w:val="clear" w:color="auto" w:fill="auto"/>
            <w:vAlign w:val="center"/>
          </w:tcPr>
          <w:p w:rsidR="00664FCA" w:rsidRPr="001C0A65" w:rsidRDefault="00664FCA" w:rsidP="00E503E0">
            <w:pPr>
              <w:jc w:val="both"/>
              <w:rPr>
                <w:b/>
              </w:rPr>
            </w:pPr>
            <w:r w:rsidRPr="001C0A65">
              <w:rPr>
                <w:b/>
              </w:rPr>
              <w:t xml:space="preserve">Stage: </w:t>
            </w:r>
            <w:r w:rsidRPr="001C0A65">
              <w:t>implementation</w:t>
            </w:r>
          </w:p>
        </w:tc>
        <w:tc>
          <w:tcPr>
            <w:tcW w:w="2182" w:type="dxa"/>
            <w:gridSpan w:val="3"/>
            <w:tcBorders>
              <w:top w:val="single" w:sz="4" w:space="0" w:color="auto"/>
              <w:left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Due Date</w:t>
            </w:r>
            <w:r w:rsidRPr="001C0A65">
              <w:t xml:space="preserve"> : </w:t>
            </w:r>
            <w:r w:rsidR="00833A88">
              <w:t>April 30</w:t>
            </w:r>
            <w:r w:rsidRPr="001C0A65">
              <w:t>, 2016</w:t>
            </w:r>
          </w:p>
        </w:tc>
        <w:tc>
          <w:tcPr>
            <w:tcW w:w="1564" w:type="dxa"/>
            <w:gridSpan w:val="2"/>
            <w:tcBorders>
              <w:top w:val="single" w:sz="4" w:space="0" w:color="auto"/>
              <w:left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Status</w:t>
            </w:r>
            <w:r w:rsidRPr="001C0A65">
              <w:t>: in progress</w:t>
            </w:r>
          </w:p>
        </w:tc>
      </w:tr>
      <w:tr w:rsidR="004056E3" w:rsidRPr="004056E3" w:rsidTr="00FC3621">
        <w:trPr>
          <w:gridBefore w:val="1"/>
          <w:wBefore w:w="18" w:type="dxa"/>
        </w:trPr>
        <w:tc>
          <w:tcPr>
            <w:tcW w:w="5400" w:type="dxa"/>
            <w:gridSpan w:val="2"/>
            <w:tcBorders>
              <w:bottom w:val="single" w:sz="4" w:space="0" w:color="000000"/>
            </w:tcBorders>
            <w:shd w:val="pct5" w:color="auto" w:fill="auto"/>
            <w:vAlign w:val="center"/>
          </w:tcPr>
          <w:p w:rsidR="004056E3" w:rsidRPr="001C0A65" w:rsidRDefault="004056E3" w:rsidP="00E503E0">
            <w:pPr>
              <w:pStyle w:val="ListParagraph"/>
              <w:numPr>
                <w:ilvl w:val="1"/>
                <w:numId w:val="26"/>
              </w:numPr>
              <w:ind w:left="343" w:hanging="343"/>
              <w:jc w:val="both"/>
              <w:rPr>
                <w:b/>
              </w:rPr>
            </w:pPr>
            <w:r w:rsidRPr="001C0A65">
              <w:rPr>
                <w:b/>
              </w:rPr>
              <w:t>Program &amp; Donor</w:t>
            </w:r>
          </w:p>
        </w:tc>
        <w:tc>
          <w:tcPr>
            <w:tcW w:w="2250" w:type="dxa"/>
            <w:gridSpan w:val="4"/>
            <w:tcBorders>
              <w:right w:val="single" w:sz="4" w:space="0" w:color="auto"/>
            </w:tcBorders>
            <w:shd w:val="pct5" w:color="auto" w:fill="auto"/>
          </w:tcPr>
          <w:p w:rsidR="004056E3" w:rsidRPr="001C0A65" w:rsidRDefault="004056E3" w:rsidP="00E503E0">
            <w:pPr>
              <w:jc w:val="both"/>
              <w:rPr>
                <w:b/>
              </w:rPr>
            </w:pPr>
            <w:r w:rsidRPr="001C0A65">
              <w:rPr>
                <w:b/>
              </w:rPr>
              <w:t xml:space="preserve">Rating: </w:t>
            </w:r>
          </w:p>
        </w:tc>
        <w:tc>
          <w:tcPr>
            <w:tcW w:w="5940" w:type="dxa"/>
            <w:gridSpan w:val="8"/>
            <w:tcBorders>
              <w:left w:val="single" w:sz="4" w:space="0" w:color="auto"/>
            </w:tcBorders>
            <w:shd w:val="pct5" w:color="auto" w:fill="auto"/>
            <w:vAlign w:val="center"/>
          </w:tcPr>
          <w:p w:rsidR="004056E3" w:rsidRPr="001C0A65" w:rsidRDefault="001C119A" w:rsidP="00E503E0">
            <w:pPr>
              <w:jc w:val="both"/>
              <w:rPr>
                <w:b/>
              </w:rPr>
            </w:pPr>
            <w:r w:rsidRPr="001C0A65">
              <w:rPr>
                <w:b/>
              </w:rPr>
              <w:t>Low</w:t>
            </w:r>
            <w:r w:rsidR="00926EDF" w:rsidRPr="001C0A65">
              <w:rPr>
                <w:b/>
              </w:rPr>
              <w:t xml:space="preserve"> (</w:t>
            </w:r>
            <w:r w:rsidRPr="001C0A65">
              <w:rPr>
                <w:b/>
              </w:rPr>
              <w:t>L</w:t>
            </w:r>
            <w:r w:rsidR="00926EDF" w:rsidRPr="001C0A65">
              <w:rPr>
                <w:b/>
              </w:rPr>
              <w:t>)</w:t>
            </w:r>
          </w:p>
        </w:tc>
      </w:tr>
      <w:tr w:rsidR="004056E3"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45"/>
        </w:trPr>
        <w:tc>
          <w:tcPr>
            <w:tcW w:w="54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26EDF" w:rsidRPr="002C6AB4" w:rsidRDefault="00926EDF" w:rsidP="00E503E0">
            <w:pPr>
              <w:jc w:val="both"/>
            </w:pPr>
            <w:r w:rsidRPr="002C6AB4">
              <w:rPr>
                <w:b/>
              </w:rPr>
              <w:t>Description</w:t>
            </w:r>
            <w:r w:rsidRPr="002C6AB4">
              <w:t>:</w:t>
            </w:r>
          </w:p>
          <w:p w:rsidR="00926EDF" w:rsidRPr="002C6AB4" w:rsidRDefault="00926EDF" w:rsidP="00E503E0">
            <w:pPr>
              <w:jc w:val="both"/>
            </w:pPr>
          </w:p>
          <w:p w:rsidR="004056E3" w:rsidRPr="002C6AB4" w:rsidRDefault="004056E3" w:rsidP="00E503E0">
            <w:pPr>
              <w:jc w:val="both"/>
            </w:pPr>
            <w:r w:rsidRPr="002C6AB4">
              <w:t xml:space="preserve">There is a risk that the Project investments </w:t>
            </w:r>
            <w:r w:rsidR="00636C8C" w:rsidRPr="002C6AB4">
              <w:t>would</w:t>
            </w:r>
            <w:r w:rsidRPr="002C6AB4">
              <w:t xml:space="preserve"> not be fully synergized with other donor programs during implementation.  </w:t>
            </w:r>
          </w:p>
          <w:p w:rsidR="00D9747C" w:rsidRPr="002C6AB4" w:rsidRDefault="00D9747C" w:rsidP="00E503E0">
            <w:pPr>
              <w:jc w:val="both"/>
            </w:pPr>
          </w:p>
          <w:p w:rsidR="00D9747C" w:rsidRDefault="00D9747C" w:rsidP="00E503E0">
            <w:pPr>
              <w:jc w:val="both"/>
            </w:pPr>
          </w:p>
          <w:p w:rsidR="00E503E0" w:rsidRPr="002C6AB4" w:rsidRDefault="00E503E0" w:rsidP="00E503E0">
            <w:pPr>
              <w:jc w:val="both"/>
            </w:pPr>
          </w:p>
          <w:p w:rsidR="00D9747C" w:rsidRPr="002C6AB4" w:rsidRDefault="00D9747C" w:rsidP="00E503E0">
            <w:pPr>
              <w:jc w:val="both"/>
            </w:pPr>
          </w:p>
          <w:p w:rsidR="00D9747C" w:rsidRPr="002C6AB4" w:rsidRDefault="00D9747C" w:rsidP="00E503E0">
            <w:pPr>
              <w:jc w:val="both"/>
            </w:pPr>
            <w:r w:rsidRPr="002C6AB4">
              <w:t>There is a risk that the European Union financing does not come through, or that the Bank and the Republic of Nicaragua do not agree on the terms of the Grant Agreement for Components 2 and 4.</w:t>
            </w:r>
          </w:p>
        </w:tc>
        <w:tc>
          <w:tcPr>
            <w:tcW w:w="8190" w:type="dxa"/>
            <w:gridSpan w:val="12"/>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926EDF" w:rsidRPr="002C6AB4" w:rsidRDefault="004056E3" w:rsidP="00E503E0">
            <w:pPr>
              <w:jc w:val="both"/>
            </w:pPr>
            <w:r w:rsidRPr="002C6AB4">
              <w:rPr>
                <w:b/>
              </w:rPr>
              <w:t>Risk Management</w:t>
            </w:r>
            <w:r w:rsidRPr="002C6AB4">
              <w:t xml:space="preserve">: </w:t>
            </w:r>
          </w:p>
          <w:p w:rsidR="00926EDF" w:rsidRPr="002C6AB4" w:rsidRDefault="00926EDF" w:rsidP="00E503E0">
            <w:pPr>
              <w:jc w:val="both"/>
            </w:pPr>
          </w:p>
          <w:p w:rsidR="004056E3" w:rsidRPr="002C6AB4" w:rsidRDefault="001C119A" w:rsidP="00E503E0">
            <w:pPr>
              <w:jc w:val="both"/>
            </w:pPr>
            <w:r w:rsidRPr="002C6AB4">
              <w:t xml:space="preserve">MINED </w:t>
            </w:r>
            <w:r w:rsidR="00636C8C" w:rsidRPr="002C6AB4">
              <w:t>would</w:t>
            </w:r>
            <w:r w:rsidRPr="002C6AB4">
              <w:t xml:space="preserve"> continue to play a leadership and coordination role in the education sector.  MINED </w:t>
            </w:r>
            <w:r w:rsidR="00636C8C" w:rsidRPr="002C6AB4">
              <w:t>would</w:t>
            </w:r>
            <w:r w:rsidRPr="002C6AB4">
              <w:t xml:space="preserve"> organize two joint-missions </w:t>
            </w:r>
            <w:r w:rsidR="000F1BBA" w:rsidRPr="002C6AB4">
              <w:t xml:space="preserve">(JSR) </w:t>
            </w:r>
            <w:r w:rsidRPr="002C6AB4">
              <w:t xml:space="preserve">per year to supervise the Project including all the other donors involved in the sector. </w:t>
            </w:r>
            <w:r w:rsidR="004056E3" w:rsidRPr="002C6AB4">
              <w:t xml:space="preserve"> </w:t>
            </w:r>
            <w:r w:rsidR="00ED6468" w:rsidRPr="002C6AB4">
              <w:t>Bank</w:t>
            </w:r>
            <w:r w:rsidR="004056E3" w:rsidRPr="002C6AB4">
              <w:t xml:space="preserve"> team </w:t>
            </w:r>
            <w:r w:rsidR="00636C8C" w:rsidRPr="002C6AB4">
              <w:t>would</w:t>
            </w:r>
            <w:r w:rsidRPr="002C6AB4">
              <w:t xml:space="preserve"> </w:t>
            </w:r>
            <w:r w:rsidR="004056E3" w:rsidRPr="002C6AB4">
              <w:t>continue to reinforce dialogue with donor counterparts and participate actively in the education sector technical round table to promote coordina</w:t>
            </w:r>
            <w:r w:rsidR="00A36B2C">
              <w:t>tion and information sharing.</w:t>
            </w:r>
          </w:p>
          <w:p w:rsidR="00D9747C" w:rsidRPr="002C6AB4" w:rsidRDefault="00D9747C" w:rsidP="00E503E0">
            <w:pPr>
              <w:jc w:val="both"/>
            </w:pPr>
          </w:p>
          <w:p w:rsidR="00D9747C" w:rsidRPr="002C6AB4" w:rsidRDefault="00D9747C" w:rsidP="00E503E0">
            <w:pPr>
              <w:jc w:val="both"/>
            </w:pPr>
            <w:r w:rsidRPr="002C6AB4">
              <w:t>The Project would be restructured including a change of the PDO to limit the scope of the Project to Components 1 and 3 financed by the GPE.</w:t>
            </w:r>
          </w:p>
          <w:p w:rsidR="00D9747C" w:rsidRPr="002C6AB4" w:rsidRDefault="00D9747C" w:rsidP="00E503E0">
            <w:pPr>
              <w:jc w:val="both"/>
            </w:pPr>
          </w:p>
        </w:tc>
      </w:tr>
      <w:tr w:rsidR="00664FCA"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90"/>
        </w:trPr>
        <w:tc>
          <w:tcPr>
            <w:tcW w:w="5400" w:type="dxa"/>
            <w:gridSpan w:val="2"/>
            <w:vMerge/>
            <w:tcBorders>
              <w:left w:val="single" w:sz="4" w:space="0" w:color="000000"/>
              <w:bottom w:val="single" w:sz="4" w:space="0" w:color="000000"/>
              <w:right w:val="single" w:sz="4" w:space="0" w:color="000000"/>
            </w:tcBorders>
            <w:shd w:val="clear" w:color="auto" w:fill="auto"/>
          </w:tcPr>
          <w:p w:rsidR="00664FCA" w:rsidRPr="001C0A65" w:rsidRDefault="00664FCA" w:rsidP="00E503E0">
            <w:pPr>
              <w:jc w:val="both"/>
            </w:pPr>
          </w:p>
        </w:tc>
        <w:tc>
          <w:tcPr>
            <w:tcW w:w="2250" w:type="dxa"/>
            <w:gridSpan w:val="4"/>
            <w:tcBorders>
              <w:top w:val="single" w:sz="4" w:space="0" w:color="A6A6A6" w:themeColor="background1" w:themeShade="A6"/>
              <w:left w:val="single" w:sz="4" w:space="0" w:color="000000"/>
              <w:bottom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Resp</w:t>
            </w:r>
            <w:r w:rsidRPr="001C0A65">
              <w:t>: Bank and MINED</w:t>
            </w:r>
          </w:p>
        </w:tc>
        <w:tc>
          <w:tcPr>
            <w:tcW w:w="2194" w:type="dxa"/>
            <w:gridSpan w:val="3"/>
            <w:tcBorders>
              <w:top w:val="single" w:sz="4" w:space="0" w:color="A6A6A6" w:themeColor="background1" w:themeShade="A6"/>
              <w:left w:val="single" w:sz="4" w:space="0" w:color="000000"/>
              <w:bottom w:val="single" w:sz="4" w:space="0" w:color="000000"/>
              <w:right w:val="single" w:sz="4" w:space="0" w:color="000000"/>
            </w:tcBorders>
            <w:shd w:val="clear" w:color="auto" w:fill="auto"/>
            <w:vAlign w:val="center"/>
          </w:tcPr>
          <w:p w:rsidR="00664FCA" w:rsidRPr="001C0A65" w:rsidRDefault="00664FCA" w:rsidP="00E503E0">
            <w:pPr>
              <w:jc w:val="both"/>
              <w:rPr>
                <w:b/>
              </w:rPr>
            </w:pPr>
            <w:r w:rsidRPr="001C0A65">
              <w:rPr>
                <w:b/>
              </w:rPr>
              <w:t xml:space="preserve">Stage: </w:t>
            </w:r>
            <w:r w:rsidRPr="001C0A65">
              <w:t>implementation</w:t>
            </w:r>
          </w:p>
        </w:tc>
        <w:tc>
          <w:tcPr>
            <w:tcW w:w="2182" w:type="dxa"/>
            <w:gridSpan w:val="3"/>
            <w:tcBorders>
              <w:top w:val="single" w:sz="4" w:space="0" w:color="A6A6A6" w:themeColor="background1" w:themeShade="A6"/>
              <w:left w:val="single" w:sz="4" w:space="0" w:color="000000"/>
              <w:bottom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Due Date</w:t>
            </w:r>
            <w:r w:rsidRPr="001C0A65">
              <w:t> :</w:t>
            </w:r>
            <w:r w:rsidRPr="001C0A65" w:rsidDel="00DC0A8E">
              <w:t xml:space="preserve"> </w:t>
            </w:r>
            <w:r w:rsidR="00833A88">
              <w:t>April 30</w:t>
            </w:r>
            <w:r w:rsidRPr="001C0A65">
              <w:t>, 2016</w:t>
            </w:r>
          </w:p>
        </w:tc>
        <w:tc>
          <w:tcPr>
            <w:tcW w:w="1564" w:type="dxa"/>
            <w:gridSpan w:val="2"/>
            <w:tcBorders>
              <w:top w:val="single" w:sz="4" w:space="0" w:color="A6A6A6" w:themeColor="background1" w:themeShade="A6"/>
              <w:left w:val="single" w:sz="4" w:space="0" w:color="000000"/>
              <w:bottom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Status</w:t>
            </w:r>
            <w:r w:rsidRPr="001C0A65">
              <w:t>: in progress</w:t>
            </w:r>
          </w:p>
        </w:tc>
      </w:tr>
      <w:tr w:rsidR="004056E3" w:rsidRPr="004056E3" w:rsidTr="00FC3621">
        <w:trPr>
          <w:gridBefore w:val="1"/>
          <w:wBefore w:w="18" w:type="dxa"/>
          <w:trHeight w:val="98"/>
        </w:trPr>
        <w:tc>
          <w:tcPr>
            <w:tcW w:w="5400" w:type="dxa"/>
            <w:gridSpan w:val="2"/>
            <w:shd w:val="clear" w:color="auto" w:fill="F2F2F2" w:themeFill="background1" w:themeFillShade="F2"/>
            <w:vAlign w:val="center"/>
          </w:tcPr>
          <w:p w:rsidR="004056E3" w:rsidRPr="001C0A65" w:rsidRDefault="001C119A" w:rsidP="00E503E0">
            <w:pPr>
              <w:pStyle w:val="ListParagraph"/>
              <w:numPr>
                <w:ilvl w:val="1"/>
                <w:numId w:val="26"/>
              </w:numPr>
              <w:ind w:left="343" w:hanging="343"/>
              <w:jc w:val="both"/>
              <w:rPr>
                <w:b/>
              </w:rPr>
            </w:pPr>
            <w:r w:rsidRPr="001C0A65">
              <w:br w:type="page"/>
            </w:r>
            <w:r w:rsidR="004056E3" w:rsidRPr="001C0A65">
              <w:rPr>
                <w:b/>
              </w:rPr>
              <w:t>Delivery Monitoring &amp; Sustainability</w:t>
            </w:r>
          </w:p>
        </w:tc>
        <w:tc>
          <w:tcPr>
            <w:tcW w:w="2250" w:type="dxa"/>
            <w:gridSpan w:val="4"/>
            <w:tcBorders>
              <w:right w:val="single" w:sz="4" w:space="0" w:color="auto"/>
            </w:tcBorders>
            <w:shd w:val="pct5" w:color="auto" w:fill="auto"/>
          </w:tcPr>
          <w:p w:rsidR="004056E3" w:rsidRPr="001C0A65" w:rsidRDefault="004056E3" w:rsidP="00E503E0">
            <w:pPr>
              <w:jc w:val="both"/>
              <w:rPr>
                <w:b/>
              </w:rPr>
            </w:pPr>
            <w:r w:rsidRPr="001C0A65">
              <w:rPr>
                <w:b/>
              </w:rPr>
              <w:t>Rating:</w:t>
            </w:r>
          </w:p>
        </w:tc>
        <w:tc>
          <w:tcPr>
            <w:tcW w:w="5940" w:type="dxa"/>
            <w:gridSpan w:val="8"/>
            <w:tcBorders>
              <w:left w:val="single" w:sz="4" w:space="0" w:color="auto"/>
            </w:tcBorders>
            <w:shd w:val="pct5" w:color="auto" w:fill="auto"/>
            <w:vAlign w:val="center"/>
          </w:tcPr>
          <w:p w:rsidR="004056E3" w:rsidRPr="001C0A65" w:rsidRDefault="00E85F1F" w:rsidP="00E503E0">
            <w:pPr>
              <w:jc w:val="both"/>
              <w:rPr>
                <w:b/>
              </w:rPr>
            </w:pPr>
            <w:r w:rsidRPr="001C0A65">
              <w:rPr>
                <w:b/>
              </w:rPr>
              <w:t>Substantial (S</w:t>
            </w:r>
            <w:r w:rsidR="00926EDF" w:rsidRPr="001C0A65">
              <w:rPr>
                <w:b/>
              </w:rPr>
              <w:t>)</w:t>
            </w:r>
          </w:p>
        </w:tc>
      </w:tr>
      <w:tr w:rsidR="004056E3" w:rsidRPr="004056E3" w:rsidTr="00507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1520"/>
        </w:trPr>
        <w:tc>
          <w:tcPr>
            <w:tcW w:w="5400" w:type="dxa"/>
            <w:gridSpan w:val="2"/>
            <w:vMerge w:val="restart"/>
            <w:tcBorders>
              <w:top w:val="single" w:sz="4" w:space="0" w:color="000000"/>
              <w:left w:val="single" w:sz="4" w:space="0" w:color="000000"/>
              <w:right w:val="single" w:sz="4" w:space="0" w:color="000000"/>
            </w:tcBorders>
            <w:shd w:val="clear" w:color="auto" w:fill="auto"/>
          </w:tcPr>
          <w:p w:rsidR="004056E3" w:rsidRPr="002C6AB4" w:rsidRDefault="004056E3" w:rsidP="00E503E0">
            <w:pPr>
              <w:jc w:val="both"/>
            </w:pPr>
            <w:r w:rsidRPr="002C6AB4">
              <w:rPr>
                <w:b/>
              </w:rPr>
              <w:t>Description</w:t>
            </w:r>
            <w:r w:rsidRPr="002C6AB4">
              <w:t>:</w:t>
            </w:r>
          </w:p>
          <w:p w:rsidR="00926EDF" w:rsidRPr="002C6AB4" w:rsidRDefault="00926EDF" w:rsidP="00E503E0">
            <w:pPr>
              <w:jc w:val="both"/>
            </w:pPr>
          </w:p>
          <w:p w:rsidR="000F1BBA" w:rsidRPr="002C6AB4" w:rsidRDefault="004056E3" w:rsidP="00E503E0">
            <w:pPr>
              <w:jc w:val="both"/>
            </w:pPr>
            <w:r w:rsidRPr="002C6AB4">
              <w:t>There is a risk that</w:t>
            </w:r>
            <w:r w:rsidR="00DC4595" w:rsidRPr="002C6AB4">
              <w:t xml:space="preserve"> the</w:t>
            </w:r>
            <w:r w:rsidRPr="002C6AB4">
              <w:t xml:space="preserve"> </w:t>
            </w:r>
            <w:r w:rsidR="00DC4595" w:rsidRPr="002C6AB4">
              <w:t xml:space="preserve">secondary enrolment rate would not increase as expected due to a low primary completion rate in areas targeted by the Project. </w:t>
            </w:r>
          </w:p>
          <w:p w:rsidR="000F1BBA" w:rsidRPr="002C6AB4" w:rsidRDefault="000F1BBA" w:rsidP="00E503E0">
            <w:pPr>
              <w:jc w:val="both"/>
            </w:pPr>
          </w:p>
          <w:p w:rsidR="000F1BBA" w:rsidRPr="002C6AB4" w:rsidRDefault="000F1BBA" w:rsidP="00E503E0">
            <w:pPr>
              <w:jc w:val="both"/>
            </w:pPr>
          </w:p>
          <w:p w:rsidR="000F1BBA" w:rsidRPr="002C6AB4" w:rsidRDefault="000F1BBA" w:rsidP="00E503E0">
            <w:pPr>
              <w:jc w:val="both"/>
            </w:pPr>
          </w:p>
          <w:p w:rsidR="004056E3" w:rsidRPr="002C6AB4" w:rsidRDefault="000F1BBA" w:rsidP="00E503E0">
            <w:pPr>
              <w:jc w:val="both"/>
            </w:pPr>
            <w:r w:rsidRPr="002C6AB4">
              <w:lastRenderedPageBreak/>
              <w:t>There is a risk that the Ministry of Finance would not increase the level of public financing of education to pay for the additional recurrent costs generated by the Project investments.</w:t>
            </w:r>
            <w:r w:rsidR="00DC4595" w:rsidRPr="002C6AB4">
              <w:t xml:space="preserve"> </w:t>
            </w:r>
            <w:r w:rsidR="004056E3" w:rsidRPr="002C6AB4">
              <w:rPr>
                <w:bCs/>
                <w:lang w:bidi="en-US"/>
              </w:rPr>
              <w:t xml:space="preserve"> </w:t>
            </w:r>
            <w:r w:rsidR="004056E3" w:rsidRPr="002C6AB4">
              <w:t xml:space="preserve"> </w:t>
            </w:r>
          </w:p>
        </w:tc>
        <w:tc>
          <w:tcPr>
            <w:tcW w:w="8190" w:type="dxa"/>
            <w:gridSpan w:val="12"/>
            <w:tcBorders>
              <w:top w:val="single" w:sz="4" w:space="0" w:color="000000"/>
              <w:left w:val="single" w:sz="4" w:space="0" w:color="000000"/>
              <w:bottom w:val="single" w:sz="4" w:space="0" w:color="A6A6A6" w:themeColor="background1" w:themeShade="A6"/>
              <w:right w:val="single" w:sz="4" w:space="0" w:color="000000"/>
            </w:tcBorders>
            <w:shd w:val="clear" w:color="auto" w:fill="auto"/>
          </w:tcPr>
          <w:p w:rsidR="001C119A" w:rsidRPr="002C6AB4" w:rsidRDefault="004056E3" w:rsidP="00E503E0">
            <w:pPr>
              <w:jc w:val="both"/>
            </w:pPr>
            <w:r w:rsidRPr="002C6AB4">
              <w:rPr>
                <w:b/>
              </w:rPr>
              <w:lastRenderedPageBreak/>
              <w:t>Risk Management</w:t>
            </w:r>
            <w:r w:rsidRPr="002C6AB4">
              <w:t xml:space="preserve">: </w:t>
            </w:r>
          </w:p>
          <w:p w:rsidR="001C119A" w:rsidRPr="002C6AB4" w:rsidRDefault="001C119A" w:rsidP="00E503E0">
            <w:pPr>
              <w:jc w:val="both"/>
            </w:pPr>
          </w:p>
          <w:p w:rsidR="000F1BBA" w:rsidRPr="002C6AB4" w:rsidRDefault="00DC4595" w:rsidP="00E503E0">
            <w:pPr>
              <w:jc w:val="both"/>
              <w:rPr>
                <w:bCs/>
                <w:lang w:bidi="en-US"/>
              </w:rPr>
            </w:pPr>
            <w:r w:rsidRPr="002C6AB4">
              <w:rPr>
                <w:bCs/>
                <w:lang w:bidi="en-US"/>
              </w:rPr>
              <w:t>25 of the 43 municipalities targeted by the</w:t>
            </w:r>
            <w:r w:rsidR="00E85F1F" w:rsidRPr="002C6AB4">
              <w:rPr>
                <w:bCs/>
                <w:lang w:bidi="en-US"/>
              </w:rPr>
              <w:t xml:space="preserve"> Project</w:t>
            </w:r>
            <w:r w:rsidRPr="002C6AB4">
              <w:rPr>
                <w:bCs/>
                <w:lang w:bidi="en-US"/>
              </w:rPr>
              <w:t xml:space="preserve"> are municipalities benefiting from education investments expected to boost the primary completion rate</w:t>
            </w:r>
            <w:r w:rsidR="009F6511" w:rsidRPr="002C6AB4">
              <w:rPr>
                <w:bCs/>
                <w:lang w:bidi="en-US"/>
              </w:rPr>
              <w:t xml:space="preserve"> under PASEN II</w:t>
            </w:r>
            <w:r w:rsidRPr="002C6AB4">
              <w:rPr>
                <w:bCs/>
                <w:lang w:bidi="en-US"/>
              </w:rPr>
              <w:t>.  Moreover, the organization of education service delivery by “</w:t>
            </w:r>
            <w:r w:rsidRPr="002C6AB4">
              <w:rPr>
                <w:bCs/>
                <w:i/>
                <w:lang w:bidi="en-US"/>
              </w:rPr>
              <w:t>nucleos educativos</w:t>
            </w:r>
            <w:r w:rsidRPr="002C6AB4">
              <w:rPr>
                <w:bCs/>
                <w:lang w:bidi="en-US"/>
              </w:rPr>
              <w:t xml:space="preserve">” will encourage education continuity from preschool to secondary education.  The Project is expected to have positive rippled effects through the education cycle. </w:t>
            </w:r>
          </w:p>
          <w:p w:rsidR="004056E3" w:rsidRPr="002C6AB4" w:rsidRDefault="000F1BBA" w:rsidP="00E503E0">
            <w:pPr>
              <w:jc w:val="both"/>
            </w:pPr>
            <w:r w:rsidRPr="002C6AB4">
              <w:rPr>
                <w:bCs/>
                <w:lang w:bidi="en-US"/>
              </w:rPr>
              <w:lastRenderedPageBreak/>
              <w:t>The donors through the JSR would review with MINED and M</w:t>
            </w:r>
            <w:r w:rsidR="004F6184" w:rsidRPr="002C6AB4">
              <w:rPr>
                <w:bCs/>
                <w:lang w:bidi="en-US"/>
              </w:rPr>
              <w:t xml:space="preserve">inistry of Finance the medium-term financing framework for the sector.  Donors would ensure that public financing of education would continue to increase gradually and key new recurrent expenditures included in MINED’s budget.  JSR would also play an important role to mobilize new funding for the sector.  </w:t>
            </w:r>
            <w:r w:rsidR="004056E3" w:rsidRPr="002C6AB4">
              <w:t xml:space="preserve"> </w:t>
            </w:r>
          </w:p>
        </w:tc>
      </w:tr>
      <w:tr w:rsidR="00664FCA" w:rsidRPr="004056E3" w:rsidTr="00FC3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440"/>
        </w:trPr>
        <w:tc>
          <w:tcPr>
            <w:tcW w:w="5400" w:type="dxa"/>
            <w:gridSpan w:val="2"/>
            <w:vMerge/>
            <w:tcBorders>
              <w:left w:val="single" w:sz="4" w:space="0" w:color="000000"/>
              <w:right w:val="single" w:sz="4" w:space="0" w:color="000000"/>
            </w:tcBorders>
            <w:shd w:val="clear" w:color="auto" w:fill="auto"/>
          </w:tcPr>
          <w:p w:rsidR="00664FCA" w:rsidRPr="001C0A65" w:rsidRDefault="00664FCA" w:rsidP="00E503E0">
            <w:pPr>
              <w:jc w:val="both"/>
            </w:pPr>
          </w:p>
        </w:tc>
        <w:tc>
          <w:tcPr>
            <w:tcW w:w="2250" w:type="dxa"/>
            <w:gridSpan w:val="4"/>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A36B2C">
            <w:pPr>
              <w:jc w:val="both"/>
            </w:pPr>
            <w:r w:rsidRPr="001C0A65">
              <w:t>Resp: MINED</w:t>
            </w:r>
          </w:p>
        </w:tc>
        <w:tc>
          <w:tcPr>
            <w:tcW w:w="216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E503E0">
            <w:pPr>
              <w:jc w:val="both"/>
              <w:rPr>
                <w:b/>
              </w:rPr>
            </w:pPr>
            <w:r w:rsidRPr="001C0A65">
              <w:rPr>
                <w:b/>
              </w:rPr>
              <w:t xml:space="preserve">Stage: </w:t>
            </w:r>
            <w:r w:rsidRPr="001C0A65">
              <w:t>implementation</w:t>
            </w:r>
          </w:p>
        </w:tc>
        <w:tc>
          <w:tcPr>
            <w:tcW w:w="1980"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A36B2C">
            <w:pPr>
              <w:jc w:val="both"/>
            </w:pPr>
            <w:r w:rsidRPr="001C0A65">
              <w:rPr>
                <w:b/>
              </w:rPr>
              <w:t>Due Date</w:t>
            </w:r>
            <w:r w:rsidRPr="001C0A65">
              <w:t xml:space="preserve"> : </w:t>
            </w:r>
            <w:r w:rsidR="00833A88">
              <w:t>April 30</w:t>
            </w:r>
            <w:r w:rsidRPr="001C0A65">
              <w:t>, 2016</w:t>
            </w:r>
          </w:p>
        </w:tc>
        <w:tc>
          <w:tcPr>
            <w:tcW w:w="1800"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664FCA" w:rsidRPr="001C0A65" w:rsidRDefault="00664FCA" w:rsidP="00E503E0">
            <w:pPr>
              <w:jc w:val="both"/>
            </w:pPr>
            <w:r w:rsidRPr="001C0A65">
              <w:rPr>
                <w:b/>
              </w:rPr>
              <w:t>Status</w:t>
            </w:r>
            <w:r w:rsidRPr="001C0A65">
              <w:t>: in progress</w:t>
            </w:r>
          </w:p>
        </w:tc>
      </w:tr>
      <w:tr w:rsidR="00D56036" w:rsidRPr="004056E3" w:rsidTr="00FC3621">
        <w:trPr>
          <w:gridBefore w:val="1"/>
          <w:wBefore w:w="18" w:type="dxa"/>
        </w:trPr>
        <w:tc>
          <w:tcPr>
            <w:tcW w:w="13590" w:type="dxa"/>
            <w:gridSpan w:val="14"/>
            <w:tcBorders>
              <w:bottom w:val="single" w:sz="4" w:space="0" w:color="000000"/>
            </w:tcBorders>
            <w:shd w:val="clear" w:color="auto" w:fill="auto"/>
            <w:vAlign w:val="center"/>
          </w:tcPr>
          <w:p w:rsidR="00D56036" w:rsidRPr="001C0A65" w:rsidRDefault="00D56036" w:rsidP="00E503E0">
            <w:pPr>
              <w:jc w:val="both"/>
              <w:rPr>
                <w:b/>
              </w:rPr>
            </w:pPr>
            <w:r w:rsidRPr="001C0A65">
              <w:rPr>
                <w:b/>
              </w:rPr>
              <w:t>Implementation Risk Rating</w:t>
            </w:r>
            <w:r w:rsidRPr="001C0A65">
              <w:t>: Substantial (S)</w:t>
            </w:r>
          </w:p>
        </w:tc>
      </w:tr>
    </w:tbl>
    <w:p w:rsidR="004056E3" w:rsidRPr="004056E3" w:rsidRDefault="004056E3" w:rsidP="004056E3">
      <w:pPr>
        <w:rPr>
          <w:b/>
        </w:rPr>
      </w:pPr>
    </w:p>
    <w:bookmarkEnd w:id="42"/>
    <w:p w:rsidR="00C84988" w:rsidRPr="008E69A1" w:rsidRDefault="00C84988" w:rsidP="008E69A1">
      <w:pPr>
        <w:rPr>
          <w:b/>
        </w:rPr>
        <w:sectPr w:rsidR="00C84988" w:rsidRPr="008E69A1">
          <w:pgSz w:w="15840" w:h="12240" w:orient="landscape"/>
          <w:pgMar w:top="1440" w:right="1440" w:bottom="1440" w:left="1440" w:header="720" w:footer="720" w:gutter="0"/>
          <w:cols w:space="720"/>
          <w:docGrid w:linePitch="360"/>
        </w:sectPr>
      </w:pPr>
    </w:p>
    <w:p w:rsidR="009E37D1" w:rsidRPr="00306EF7" w:rsidRDefault="00EA6E56" w:rsidP="002A30D9">
      <w:pPr>
        <w:pStyle w:val="Heading1"/>
        <w:jc w:val="center"/>
        <w:rPr>
          <w:lang w:val="en-GB"/>
        </w:rPr>
      </w:pPr>
      <w:bookmarkStart w:id="43" w:name="_Toc354067290"/>
      <w:r>
        <w:rPr>
          <w:lang w:val="en-GB"/>
        </w:rPr>
        <w:lastRenderedPageBreak/>
        <w:t xml:space="preserve">Annex </w:t>
      </w:r>
      <w:r w:rsidR="00D432EA">
        <w:rPr>
          <w:lang w:val="en-GB"/>
        </w:rPr>
        <w:t>5</w:t>
      </w:r>
      <w:r w:rsidR="009E37D1" w:rsidRPr="00306EF7">
        <w:rPr>
          <w:lang w:val="en-GB"/>
        </w:rPr>
        <w:t>: Implementation Support Plan</w:t>
      </w:r>
      <w:bookmarkEnd w:id="43"/>
    </w:p>
    <w:p w:rsidR="009F754B" w:rsidRPr="00306EF7" w:rsidRDefault="009F754B" w:rsidP="00456AB1">
      <w:pPr>
        <w:jc w:val="both"/>
        <w:rPr>
          <w:sz w:val="22"/>
          <w:szCs w:val="22"/>
        </w:rPr>
      </w:pPr>
    </w:p>
    <w:p w:rsidR="00EC2E72" w:rsidRDefault="00EC2E72" w:rsidP="00264EC7">
      <w:pPr>
        <w:ind w:left="360"/>
        <w:rPr>
          <w:sz w:val="22"/>
          <w:szCs w:val="22"/>
        </w:rPr>
      </w:pPr>
    </w:p>
    <w:p w:rsidR="00C61221" w:rsidRDefault="00EC2E72" w:rsidP="005E2993">
      <w:pPr>
        <w:pStyle w:val="ListParagraph"/>
        <w:numPr>
          <w:ilvl w:val="0"/>
          <w:numId w:val="4"/>
        </w:numPr>
        <w:tabs>
          <w:tab w:val="left" w:pos="0"/>
        </w:tabs>
        <w:ind w:left="0" w:firstLine="0"/>
        <w:jc w:val="both"/>
      </w:pPr>
      <w:r w:rsidRPr="008244A4">
        <w:t>The Im</w:t>
      </w:r>
      <w:r w:rsidR="00EF43AF">
        <w:t xml:space="preserve">plementation Support Plan (ISP) </w:t>
      </w:r>
      <w:r w:rsidRPr="008244A4">
        <w:t xml:space="preserve">describes how the </w:t>
      </w:r>
      <w:r w:rsidR="00ED6468">
        <w:t>Bank</w:t>
      </w:r>
      <w:r w:rsidRPr="008244A4">
        <w:t xml:space="preserve"> </w:t>
      </w:r>
      <w:r>
        <w:t>would</w:t>
      </w:r>
      <w:r w:rsidRPr="008244A4">
        <w:t xml:space="preserve"> support the implementation of the risk mitigation measures (identified in the ORAF) and provide the technical advice necessary to facilitate achieving the PDO (linked to results/outcomes identified in the result framework)</w:t>
      </w:r>
      <w:r w:rsidR="005A41B7">
        <w:t>, along with other partners</w:t>
      </w:r>
      <w:r w:rsidR="00CE2740">
        <w:t>.</w:t>
      </w:r>
      <w:r w:rsidRPr="008244A4">
        <w:t xml:space="preserve"> </w:t>
      </w:r>
      <w:r w:rsidR="00CE2740">
        <w:t xml:space="preserve"> </w:t>
      </w:r>
      <w:r w:rsidRPr="008244A4">
        <w:t xml:space="preserve">The </w:t>
      </w:r>
      <w:r w:rsidR="00EF43AF" w:rsidRPr="008244A4">
        <w:t>I</w:t>
      </w:r>
      <w:r w:rsidR="00EF43AF">
        <w:t>SP</w:t>
      </w:r>
      <w:r w:rsidRPr="008244A4">
        <w:t xml:space="preserve"> also identifies the minimum requirements to meet the </w:t>
      </w:r>
      <w:r w:rsidR="00ED6468">
        <w:t>Bank</w:t>
      </w:r>
      <w:r w:rsidRPr="008244A4">
        <w:t xml:space="preserve">’s fiduciary obligations.  </w:t>
      </w:r>
    </w:p>
    <w:p w:rsidR="00EC2E72" w:rsidRDefault="00EC2E72" w:rsidP="00FD68A7">
      <w:pPr>
        <w:tabs>
          <w:tab w:val="left" w:pos="0"/>
        </w:tabs>
        <w:jc w:val="both"/>
      </w:pPr>
      <w:r w:rsidRPr="008244A4">
        <w:t xml:space="preserve"> </w:t>
      </w:r>
    </w:p>
    <w:p w:rsidR="00C61221" w:rsidRDefault="00FD68A7" w:rsidP="005E2993">
      <w:pPr>
        <w:pStyle w:val="ListParagraph"/>
        <w:numPr>
          <w:ilvl w:val="0"/>
          <w:numId w:val="4"/>
        </w:numPr>
        <w:tabs>
          <w:tab w:val="left" w:pos="0"/>
        </w:tabs>
        <w:ind w:left="0" w:firstLine="0"/>
        <w:jc w:val="both"/>
      </w:pPr>
      <w:r>
        <w:t>T</w:t>
      </w:r>
      <w:r w:rsidR="00EC2E72" w:rsidRPr="008244A4">
        <w:t xml:space="preserve">he </w:t>
      </w:r>
      <w:r w:rsidR="00ED6468">
        <w:t>Bank</w:t>
      </w:r>
      <w:r w:rsidR="00EC2E72" w:rsidRPr="008244A4">
        <w:t xml:space="preserve">’s implementation support </w:t>
      </w:r>
      <w:r w:rsidR="00EC2E72">
        <w:t>would</w:t>
      </w:r>
      <w:r w:rsidR="00EC2E72" w:rsidRPr="008244A4">
        <w:t xml:space="preserve"> be focused on capacity</w:t>
      </w:r>
      <w:r w:rsidR="00A324C9">
        <w:t xml:space="preserve"> </w:t>
      </w:r>
      <w:r w:rsidR="002750EE">
        <w:t>building and strengthening MINED’s</w:t>
      </w:r>
      <w:r w:rsidR="00EC2E72" w:rsidRPr="008244A4">
        <w:t xml:space="preserve"> own systems for program implementation, monitoring maintenance and strategic planning.</w:t>
      </w:r>
      <w:r w:rsidR="00EC2E72">
        <w:t xml:space="preserve"> </w:t>
      </w:r>
      <w:r w:rsidR="00804506">
        <w:t xml:space="preserve"> </w:t>
      </w:r>
      <w:r w:rsidR="00EC2E72" w:rsidRPr="008244A4">
        <w:t>The prop</w:t>
      </w:r>
      <w:r w:rsidR="00804506">
        <w:t>osed ISP</w:t>
      </w:r>
      <w:r w:rsidR="00EC2E72" w:rsidRPr="008244A4">
        <w:t xml:space="preserve"> includes a range of technical support, including acti</w:t>
      </w:r>
      <w:r w:rsidR="002750EE">
        <w:t>vities to be carried out by MINED</w:t>
      </w:r>
      <w:r w:rsidR="00EC2E72" w:rsidRPr="008244A4">
        <w:t xml:space="preserve">, the </w:t>
      </w:r>
      <w:r w:rsidR="00ED6468">
        <w:t>Bank</w:t>
      </w:r>
      <w:r w:rsidR="005A41B7">
        <w:t>, other partners (e.g. EU)</w:t>
      </w:r>
      <w:r w:rsidR="00EC2E72" w:rsidRPr="008244A4">
        <w:t xml:space="preserve"> and third party technical and fiduciary specialists.  Funding for third party implementation support would come </w:t>
      </w:r>
      <w:r w:rsidR="00EC2E72" w:rsidRPr="005D1AA2">
        <w:t xml:space="preserve">from </w:t>
      </w:r>
      <w:r w:rsidR="00EC2E72" w:rsidRPr="008244A4">
        <w:t xml:space="preserve">the </w:t>
      </w:r>
      <w:r w:rsidR="00ED6468">
        <w:t>Bank</w:t>
      </w:r>
      <w:r w:rsidR="00EC2E72" w:rsidRPr="008244A4">
        <w:t xml:space="preserve">’s supervision budget, </w:t>
      </w:r>
      <w:r w:rsidR="00EC2E72">
        <w:t>Project</w:t>
      </w:r>
      <w:r w:rsidR="002750EE">
        <w:t xml:space="preserve"> partners</w:t>
      </w:r>
      <w:r w:rsidR="00EC2E72" w:rsidRPr="008244A4">
        <w:t xml:space="preserve"> with separate external funding sources </w:t>
      </w:r>
      <w:r w:rsidR="002750EE">
        <w:t>(e.g. UNICEF</w:t>
      </w:r>
      <w:r w:rsidR="00804506">
        <w:t>) and other Trust Funds.</w:t>
      </w:r>
      <w:r w:rsidR="00EC2E72" w:rsidRPr="008244A4">
        <w:t xml:space="preserve">  Below is a description of the different types of implementation support activities.</w:t>
      </w:r>
    </w:p>
    <w:p w:rsidR="00EC2E72" w:rsidRDefault="00EC2E72" w:rsidP="00EC2E72">
      <w:pPr>
        <w:tabs>
          <w:tab w:val="left" w:pos="0"/>
        </w:tabs>
        <w:jc w:val="both"/>
      </w:pPr>
    </w:p>
    <w:p w:rsidR="00954439" w:rsidRDefault="00EC2E72" w:rsidP="005E2993">
      <w:pPr>
        <w:pStyle w:val="ListParagraph"/>
        <w:numPr>
          <w:ilvl w:val="0"/>
          <w:numId w:val="4"/>
        </w:numPr>
        <w:tabs>
          <w:tab w:val="left" w:pos="0"/>
        </w:tabs>
        <w:ind w:left="0" w:firstLine="0"/>
        <w:jc w:val="both"/>
      </w:pPr>
      <w:r w:rsidRPr="00804506">
        <w:rPr>
          <w:u w:val="single"/>
        </w:rPr>
        <w:t>Project Supervision Missions</w:t>
      </w:r>
      <w:r w:rsidR="00804506">
        <w:t>.</w:t>
      </w:r>
      <w:r w:rsidRPr="008244A4">
        <w:t xml:space="preserve"> The most important implementation support from the </w:t>
      </w:r>
      <w:r w:rsidR="00ED6468">
        <w:t>Bank</w:t>
      </w:r>
      <w:r w:rsidRPr="008244A4">
        <w:t xml:space="preserve"> </w:t>
      </w:r>
      <w:r>
        <w:t>would</w:t>
      </w:r>
      <w:r w:rsidRPr="008244A4">
        <w:t xml:space="preserve"> be provided through supervision missions conducted every six months, i</w:t>
      </w:r>
      <w:r w:rsidR="00B45F40">
        <w:t>n collaboration with MINED</w:t>
      </w:r>
      <w:r w:rsidR="00954439">
        <w:t xml:space="preserve"> and other donors, especially the EU and the Lead Education Donor in Nicaragua (presently UNICEF)</w:t>
      </w:r>
      <w:r w:rsidRPr="008244A4">
        <w:t>.  At least one of these mission</w:t>
      </w:r>
      <w:r>
        <w:t>s</w:t>
      </w:r>
      <w:r w:rsidRPr="008244A4">
        <w:t xml:space="preserve"> each year </w:t>
      </w:r>
      <w:r>
        <w:t>would</w:t>
      </w:r>
      <w:r w:rsidR="00B45F40">
        <w:t xml:space="preserve"> include field visits to one of the </w:t>
      </w:r>
      <w:r w:rsidR="00636799">
        <w:t>selected</w:t>
      </w:r>
      <w:r w:rsidR="00B45F40">
        <w:t xml:space="preserve"> municipalities</w:t>
      </w:r>
      <w:r w:rsidR="00FC36F3">
        <w:t>, and the EU would be invited to participate, as well</w:t>
      </w:r>
      <w:r w:rsidRPr="008244A4">
        <w:t>.</w:t>
      </w:r>
      <w:r w:rsidR="00954439">
        <w:t xml:space="preserve">  MINED would prepare a detailed six-month implementation report to be shared with the Bank, the EU and Lead Education Donor a few weeks prior to the supervision mission.  The Bank will provide technical assistance as requested by MINED to help prepare these reports. </w:t>
      </w:r>
      <w:r w:rsidRPr="008244A4">
        <w:t xml:space="preserve"> </w:t>
      </w:r>
      <w:r w:rsidR="00954439">
        <w:t>Each year</w:t>
      </w:r>
      <w:r w:rsidR="00F0685A">
        <w:t>,</w:t>
      </w:r>
      <w:r w:rsidR="00954439">
        <w:t xml:space="preserve"> MINED would prepare an annual report on the ESS implementation progress.  The findings of the annual report will be discussed during the education sector round table with local stakeholders (including the civil society).  During the round table, MINED would present its forecast for the upcoming year and would update the ESS implementation plan and medium-term financial framework.</w:t>
      </w:r>
    </w:p>
    <w:p w:rsidR="00954439" w:rsidRDefault="00954439" w:rsidP="00954439">
      <w:pPr>
        <w:pStyle w:val="ListParagraph"/>
        <w:tabs>
          <w:tab w:val="left" w:pos="0"/>
        </w:tabs>
        <w:ind w:left="0"/>
        <w:jc w:val="both"/>
      </w:pPr>
      <w:r>
        <w:t xml:space="preserve">  </w:t>
      </w:r>
    </w:p>
    <w:p w:rsidR="00C61221" w:rsidRDefault="00EC2E72" w:rsidP="005E2993">
      <w:pPr>
        <w:pStyle w:val="ListParagraph"/>
        <w:numPr>
          <w:ilvl w:val="0"/>
          <w:numId w:val="4"/>
        </w:numPr>
        <w:tabs>
          <w:tab w:val="left" w:pos="0"/>
        </w:tabs>
        <w:ind w:left="0" w:firstLine="0"/>
        <w:jc w:val="both"/>
      </w:pPr>
      <w:r w:rsidRPr="008244A4">
        <w:t xml:space="preserve">Supervision missions </w:t>
      </w:r>
      <w:r>
        <w:t>would</w:t>
      </w:r>
      <w:r w:rsidRPr="008244A4">
        <w:t xml:space="preserve"> provide the </w:t>
      </w:r>
      <w:r w:rsidR="00ED6468">
        <w:t>Bank</w:t>
      </w:r>
      <w:r w:rsidRPr="008244A4">
        <w:t xml:space="preserve"> with extensive information regarding </w:t>
      </w:r>
      <w:r>
        <w:t>Project</w:t>
      </w:r>
      <w:r w:rsidRPr="008244A4">
        <w:t xml:space="preserve"> implementation submitted prior to the mission, and </w:t>
      </w:r>
      <w:r>
        <w:t>would</w:t>
      </w:r>
      <w:r w:rsidRPr="008244A4">
        <w:t xml:space="preserve"> lead to the identification of key implementation issues and bottlenecks as well as the necessary correctiv</w:t>
      </w:r>
      <w:r w:rsidR="00B45F40">
        <w:t>e measures agreed between MINED</w:t>
      </w:r>
      <w:r w:rsidRPr="008244A4">
        <w:t xml:space="preserve"> and the </w:t>
      </w:r>
      <w:r w:rsidR="00ED6468">
        <w:t>Bank</w:t>
      </w:r>
      <w:r w:rsidRPr="008244A4">
        <w:t xml:space="preserve">.  </w:t>
      </w:r>
      <w:r w:rsidR="00FC36F3">
        <w:t xml:space="preserve">The Supervision Mission teams would also meet with the Local Education Donors Group (representing the GPE) to share and discuss the findings of each Mission.  </w:t>
      </w:r>
      <w:r w:rsidRPr="008244A4">
        <w:t xml:space="preserve">All Supervision Aide-memoires </w:t>
      </w:r>
      <w:r>
        <w:t>would</w:t>
      </w:r>
      <w:r w:rsidRPr="008244A4">
        <w:t xml:space="preserve"> be posted on the </w:t>
      </w:r>
      <w:r>
        <w:t>Project</w:t>
      </w:r>
      <w:r w:rsidRPr="008244A4">
        <w:t xml:space="preserve"> website for full transparency.</w:t>
      </w:r>
      <w:r w:rsidR="00FC36F3">
        <w:t xml:space="preserve">   </w:t>
      </w:r>
    </w:p>
    <w:p w:rsidR="00CE2740" w:rsidRDefault="00CE2740">
      <w:pPr>
        <w:tabs>
          <w:tab w:val="left" w:pos="0"/>
        </w:tabs>
        <w:jc w:val="both"/>
      </w:pPr>
    </w:p>
    <w:p w:rsidR="005A41B7" w:rsidRDefault="005A41B7" w:rsidP="005E2993">
      <w:pPr>
        <w:pStyle w:val="ListParagraph"/>
        <w:numPr>
          <w:ilvl w:val="0"/>
          <w:numId w:val="4"/>
        </w:numPr>
        <w:tabs>
          <w:tab w:val="left" w:pos="0"/>
        </w:tabs>
        <w:ind w:left="0" w:firstLine="0"/>
        <w:jc w:val="both"/>
      </w:pPr>
      <w:r w:rsidRPr="00CE2740">
        <w:rPr>
          <w:u w:val="single"/>
        </w:rPr>
        <w:t>Local Technical and Fiduciary Support</w:t>
      </w:r>
      <w:r w:rsidRPr="00CE2740">
        <w:t>.  A local education specialist w</w:t>
      </w:r>
      <w:r w:rsidR="00CE2740" w:rsidRPr="00CE2740">
        <w:t>ould</w:t>
      </w:r>
      <w:r w:rsidRPr="00CE2740">
        <w:t xml:space="preserve"> be hired to work full-time in the Managua Country Office to provide technical support for the </w:t>
      </w:r>
      <w:r w:rsidR="00CD4365" w:rsidRPr="00CE2740">
        <w:t xml:space="preserve">annual planning and </w:t>
      </w:r>
      <w:r w:rsidRPr="00CE2740">
        <w:t xml:space="preserve">implementation of both the </w:t>
      </w:r>
      <w:r w:rsidR="000C16FA">
        <w:t>Project</w:t>
      </w:r>
      <w:r w:rsidR="00F0685A">
        <w:t xml:space="preserve"> and PASEN II, and </w:t>
      </w:r>
      <w:r w:rsidRPr="00CE2740">
        <w:t xml:space="preserve">liaise with other education partners in the field.  In consultations with the </w:t>
      </w:r>
      <w:r w:rsidR="00F0685A">
        <w:t>Task Team Leader (</w:t>
      </w:r>
      <w:r w:rsidRPr="00CE2740">
        <w:t>TTL</w:t>
      </w:r>
      <w:r w:rsidR="00F0685A">
        <w:t>)</w:t>
      </w:r>
      <w:r w:rsidRPr="00CE2740">
        <w:t xml:space="preserve">, this specialist </w:t>
      </w:r>
      <w:r w:rsidR="00636C8C">
        <w:t>would</w:t>
      </w:r>
      <w:r w:rsidRPr="00CE2740">
        <w:t xml:space="preserve"> </w:t>
      </w:r>
      <w:r w:rsidR="00CD4365" w:rsidRPr="00CE2740">
        <w:t xml:space="preserve">also work with local </w:t>
      </w:r>
      <w:r w:rsidR="00ED6468">
        <w:t>Bank</w:t>
      </w:r>
      <w:r w:rsidR="00CD4365" w:rsidRPr="00CE2740">
        <w:t xml:space="preserve"> FM and Procurement staff to ensure MINED receives timely fiduciary support.</w:t>
      </w:r>
    </w:p>
    <w:p w:rsidR="00EC2E72" w:rsidRPr="008244A4" w:rsidRDefault="00EC2E72" w:rsidP="00EC2E72">
      <w:pPr>
        <w:tabs>
          <w:tab w:val="left" w:pos="0"/>
        </w:tabs>
        <w:jc w:val="both"/>
      </w:pPr>
    </w:p>
    <w:p w:rsidR="00C61221" w:rsidRDefault="00EC2E72" w:rsidP="005E2993">
      <w:pPr>
        <w:pStyle w:val="ListParagraph"/>
        <w:numPr>
          <w:ilvl w:val="0"/>
          <w:numId w:val="4"/>
        </w:numPr>
        <w:tabs>
          <w:tab w:val="left" w:pos="0"/>
        </w:tabs>
        <w:ind w:left="0" w:firstLine="0"/>
        <w:jc w:val="both"/>
      </w:pPr>
      <w:r w:rsidRPr="00521CBD">
        <w:rPr>
          <w:u w:val="single"/>
        </w:rPr>
        <w:lastRenderedPageBreak/>
        <w:t>Internal Audit</w:t>
      </w:r>
      <w:r w:rsidR="00521CBD">
        <w:t xml:space="preserve">. </w:t>
      </w:r>
      <w:r w:rsidR="00B45F40">
        <w:t xml:space="preserve"> MINED</w:t>
      </w:r>
      <w:r w:rsidRPr="008244A4">
        <w:t xml:space="preserve"> </w:t>
      </w:r>
      <w:r>
        <w:t>would</w:t>
      </w:r>
      <w:r w:rsidRPr="008244A4">
        <w:t xml:space="preserve"> strengthen its internal audit provisions and capabilities to include </w:t>
      </w:r>
      <w:r w:rsidR="00911C25">
        <w:t>the Project</w:t>
      </w:r>
      <w:r w:rsidRPr="008244A4">
        <w:t xml:space="preserve">.  Internal audit staff </w:t>
      </w:r>
      <w:r>
        <w:t>would</w:t>
      </w:r>
      <w:r w:rsidRPr="008244A4">
        <w:t xml:space="preserve"> receive training from the </w:t>
      </w:r>
      <w:r w:rsidR="00ED6468">
        <w:t>Bank</w:t>
      </w:r>
      <w:r w:rsidRPr="008244A4">
        <w:t xml:space="preserve"> in the application of appropriate financial management and procurement procedures.  A key aspect of their work </w:t>
      </w:r>
      <w:r>
        <w:t>would</w:t>
      </w:r>
      <w:r w:rsidRPr="008244A4">
        <w:t xml:space="preserve"> be to assess compliance with the </w:t>
      </w:r>
      <w:r w:rsidR="007B4E72">
        <w:t xml:space="preserve">Project </w:t>
      </w:r>
      <w:r w:rsidR="00EF43AF">
        <w:t>OM</w:t>
      </w:r>
      <w:r w:rsidRPr="008244A4">
        <w:t xml:space="preserve"> developed for </w:t>
      </w:r>
      <w:r w:rsidR="00911C25">
        <w:t>the Project</w:t>
      </w:r>
      <w:r w:rsidRPr="008244A4">
        <w:t xml:space="preserve">.  The </w:t>
      </w:r>
      <w:r w:rsidR="00EF43AF">
        <w:t>Terms of Reference</w:t>
      </w:r>
      <w:r w:rsidRPr="008244A4">
        <w:t xml:space="preserve"> of internal audit and qualifications of the accountants </w:t>
      </w:r>
      <w:r>
        <w:t>would</w:t>
      </w:r>
      <w:r w:rsidRPr="008244A4">
        <w:t xml:space="preserve"> be agreed with the </w:t>
      </w:r>
      <w:r w:rsidR="00ED6468">
        <w:t>Bank</w:t>
      </w:r>
      <w:r w:rsidRPr="008244A4">
        <w:t>.</w:t>
      </w:r>
      <w:r w:rsidR="00521CBD">
        <w:t xml:space="preserve">  </w:t>
      </w:r>
      <w:r w:rsidR="00092954">
        <w:t>Under PASEN II</w:t>
      </w:r>
      <w:r w:rsidR="00521CBD">
        <w:t xml:space="preserve">, the Project </w:t>
      </w:r>
      <w:r w:rsidR="00636C8C">
        <w:t>would</w:t>
      </w:r>
      <w:r w:rsidR="00521CBD">
        <w:t xml:space="preserve"> finance a</w:t>
      </w:r>
      <w:r w:rsidR="00EF43AF">
        <w:t>n</w:t>
      </w:r>
      <w:r w:rsidR="00521CBD">
        <w:t xml:space="preserve"> </w:t>
      </w:r>
      <w:r w:rsidR="00EF43AF">
        <w:t>expenditures a</w:t>
      </w:r>
      <w:r w:rsidR="00521CBD">
        <w:t>nalyst, whose r</w:t>
      </w:r>
      <w:r w:rsidR="00C603B0">
        <w:t>esp</w:t>
      </w:r>
      <w:r w:rsidR="00521CBD">
        <w:t xml:space="preserve">onsibilities </w:t>
      </w:r>
      <w:r w:rsidR="00636C8C">
        <w:t>would</w:t>
      </w:r>
      <w:r w:rsidR="00521CBD">
        <w:t xml:space="preserve"> include improving internal control mechanism arrangements</w:t>
      </w:r>
      <w:r w:rsidR="00092954">
        <w:t xml:space="preserve"> for both PASEN II and </w:t>
      </w:r>
      <w:r w:rsidR="000C16FA">
        <w:t>the Project</w:t>
      </w:r>
      <w:r w:rsidR="00521CBD">
        <w:t>.</w:t>
      </w:r>
      <w:r w:rsidRPr="008244A4">
        <w:t xml:space="preserve"> </w:t>
      </w:r>
    </w:p>
    <w:p w:rsidR="00EC2E72" w:rsidRPr="008244A4" w:rsidRDefault="00EC2E72" w:rsidP="00EC2E72">
      <w:pPr>
        <w:tabs>
          <w:tab w:val="left" w:pos="0"/>
        </w:tabs>
        <w:jc w:val="both"/>
      </w:pPr>
    </w:p>
    <w:p w:rsidR="00C61221" w:rsidRDefault="00EC2E72" w:rsidP="005E2993">
      <w:pPr>
        <w:pStyle w:val="ListParagraph"/>
        <w:numPr>
          <w:ilvl w:val="0"/>
          <w:numId w:val="4"/>
        </w:numPr>
        <w:tabs>
          <w:tab w:val="left" w:pos="0"/>
        </w:tabs>
        <w:ind w:left="0" w:firstLine="0"/>
        <w:jc w:val="both"/>
      </w:pPr>
      <w:r w:rsidRPr="00521CBD">
        <w:rPr>
          <w:u w:val="single"/>
        </w:rPr>
        <w:t>External Audit</w:t>
      </w:r>
      <w:r w:rsidR="00521CBD">
        <w:t>.</w:t>
      </w:r>
      <w:r w:rsidRPr="008244A4">
        <w:t xml:space="preserve"> </w:t>
      </w:r>
      <w:r w:rsidR="00521CBD">
        <w:t xml:space="preserve"> </w:t>
      </w:r>
      <w:r w:rsidRPr="008244A4">
        <w:t xml:space="preserve">The </w:t>
      </w:r>
      <w:r>
        <w:t>Project</w:t>
      </w:r>
      <w:r w:rsidRPr="008244A4">
        <w:t xml:space="preserve"> </w:t>
      </w:r>
      <w:r>
        <w:t>would</w:t>
      </w:r>
      <w:r w:rsidRPr="008244A4">
        <w:t xml:space="preserve"> finance an external audit on an annual basis, according to terms of reference acceptable to the </w:t>
      </w:r>
      <w:r w:rsidR="00ED6468">
        <w:t>Bank</w:t>
      </w:r>
      <w:r w:rsidRPr="008244A4">
        <w:t xml:space="preserve">.  Auditors’ reports </w:t>
      </w:r>
      <w:r>
        <w:t>would</w:t>
      </w:r>
      <w:r w:rsidRPr="008244A4">
        <w:t xml:space="preserve"> be shared with </w:t>
      </w:r>
      <w:r w:rsidR="00EF43AF">
        <w:t>MINED, Ministry of Finance</w:t>
      </w:r>
      <w:r w:rsidRPr="008244A4">
        <w:t xml:space="preserve"> and the </w:t>
      </w:r>
      <w:r w:rsidR="00ED6468">
        <w:t>Bank</w:t>
      </w:r>
      <w:r w:rsidRPr="008244A4">
        <w:t xml:space="preserve">, and </w:t>
      </w:r>
      <w:r>
        <w:t>would</w:t>
      </w:r>
      <w:r w:rsidRPr="008244A4">
        <w:t xml:space="preserve"> be posted on the </w:t>
      </w:r>
      <w:r>
        <w:t>Project</w:t>
      </w:r>
      <w:r w:rsidRPr="008244A4">
        <w:t xml:space="preserve"> website, with specific review and agreement on corrective actions undertaken during the </w:t>
      </w:r>
      <w:r>
        <w:t>Project</w:t>
      </w:r>
      <w:r w:rsidRPr="008244A4">
        <w:t xml:space="preserve"> supervision missions each year. </w:t>
      </w:r>
    </w:p>
    <w:p w:rsidR="00EC2E72" w:rsidRPr="008244A4" w:rsidRDefault="00EC2E72" w:rsidP="00EC2E72">
      <w:pPr>
        <w:tabs>
          <w:tab w:val="left" w:pos="0"/>
        </w:tabs>
        <w:jc w:val="both"/>
        <w:rPr>
          <w:u w:val="single"/>
        </w:rPr>
      </w:pPr>
    </w:p>
    <w:p w:rsidR="00C61221" w:rsidRDefault="00EC2E72" w:rsidP="005E2993">
      <w:pPr>
        <w:pStyle w:val="ListParagraph"/>
        <w:numPr>
          <w:ilvl w:val="0"/>
          <w:numId w:val="4"/>
        </w:numPr>
        <w:tabs>
          <w:tab w:val="left" w:pos="0"/>
        </w:tabs>
        <w:ind w:left="0" w:firstLine="0"/>
        <w:jc w:val="both"/>
      </w:pPr>
      <w:r w:rsidRPr="00521CBD">
        <w:rPr>
          <w:u w:val="single"/>
        </w:rPr>
        <w:t>Social Audit</w:t>
      </w:r>
      <w:r w:rsidR="00521CBD">
        <w:t xml:space="preserve">.  </w:t>
      </w:r>
      <w:r w:rsidR="00B45F40">
        <w:t>Indigenous groups in the Autonomous Atlantic Regions</w:t>
      </w:r>
      <w:r w:rsidRPr="008244A4">
        <w:t xml:space="preserve"> </w:t>
      </w:r>
      <w:r>
        <w:t>would</w:t>
      </w:r>
      <w:r w:rsidRPr="008244A4">
        <w:t xml:space="preserve"> be regularly engaged in external consultations rega</w:t>
      </w:r>
      <w:r w:rsidR="00B45F40">
        <w:t xml:space="preserve">rding both the learning materials and </w:t>
      </w:r>
      <w:r w:rsidR="00E07A21">
        <w:t>in-service teacher training</w:t>
      </w:r>
      <w:r w:rsidR="00B45F40">
        <w:t xml:space="preserve"> activities</w:t>
      </w:r>
      <w:r w:rsidRPr="008244A4">
        <w:t xml:space="preserve">. Specific efforts </w:t>
      </w:r>
      <w:r>
        <w:t>would</w:t>
      </w:r>
      <w:r w:rsidRPr="008244A4">
        <w:t xml:space="preserve"> be made to reach out to local media channels to report on </w:t>
      </w:r>
      <w:r>
        <w:t>Project</w:t>
      </w:r>
      <w:r w:rsidRPr="008244A4">
        <w:t xml:space="preserve"> implementation activities to increase the public’s awareness and transparency.  P</w:t>
      </w:r>
      <w:r w:rsidR="00B45F40">
        <w:t>arents of</w:t>
      </w:r>
      <w:r w:rsidRPr="008244A4">
        <w:t xml:space="preserve"> students </w:t>
      </w:r>
      <w:r>
        <w:t>would</w:t>
      </w:r>
      <w:r w:rsidRPr="008244A4">
        <w:t xml:space="preserve"> also be provided with </w:t>
      </w:r>
      <w:r>
        <w:t>Project</w:t>
      </w:r>
      <w:r w:rsidRPr="008244A4">
        <w:t xml:space="preserve"> information and invited to inquire about/comment on </w:t>
      </w:r>
      <w:r>
        <w:t>Project</w:t>
      </w:r>
      <w:r w:rsidR="00B45F40">
        <w:t xml:space="preserve"> activities</w:t>
      </w:r>
      <w:r w:rsidRPr="008244A4">
        <w:t xml:space="preserve">. </w:t>
      </w:r>
    </w:p>
    <w:p w:rsidR="00EC2E72" w:rsidRPr="00F25786" w:rsidRDefault="00EC2E72" w:rsidP="00EC2E72">
      <w:pPr>
        <w:tabs>
          <w:tab w:val="left" w:pos="0"/>
        </w:tabs>
        <w:jc w:val="both"/>
      </w:pPr>
    </w:p>
    <w:p w:rsidR="00C61221" w:rsidRDefault="00EC2E72" w:rsidP="005E2993">
      <w:pPr>
        <w:pStyle w:val="ListParagraph"/>
        <w:numPr>
          <w:ilvl w:val="0"/>
          <w:numId w:val="4"/>
        </w:numPr>
        <w:tabs>
          <w:tab w:val="left" w:pos="0"/>
        </w:tabs>
        <w:ind w:left="0" w:firstLine="0"/>
        <w:jc w:val="both"/>
      </w:pPr>
      <w:r w:rsidRPr="00B75958">
        <w:rPr>
          <w:u w:val="single"/>
        </w:rPr>
        <w:t xml:space="preserve">Composition of the </w:t>
      </w:r>
      <w:r w:rsidR="00ED6468">
        <w:rPr>
          <w:u w:val="single"/>
        </w:rPr>
        <w:t>Bank</w:t>
      </w:r>
      <w:r w:rsidRPr="00B75958">
        <w:rPr>
          <w:u w:val="single"/>
        </w:rPr>
        <w:t xml:space="preserve"> Implementation Support Team</w:t>
      </w:r>
      <w:r w:rsidR="00B75958">
        <w:t>.</w:t>
      </w:r>
      <w:r w:rsidRPr="008244A4">
        <w:t xml:space="preserve">  The </w:t>
      </w:r>
      <w:r w:rsidR="00ED6468">
        <w:t>Bank</w:t>
      </w:r>
      <w:r w:rsidR="00EF43AF">
        <w:t xml:space="preserve">’s team consists of </w:t>
      </w:r>
      <w:r w:rsidRPr="008244A4">
        <w:t>a</w:t>
      </w:r>
      <w:r w:rsidR="00EF43AF">
        <w:t xml:space="preserve"> senior</w:t>
      </w:r>
      <w:r w:rsidR="00FC36F3">
        <w:t xml:space="preserve"> </w:t>
      </w:r>
      <w:r w:rsidR="00EF43AF">
        <w:t>education s</w:t>
      </w:r>
      <w:r w:rsidRPr="008244A4">
        <w:t>pecialist</w:t>
      </w:r>
      <w:r w:rsidR="00FC36F3">
        <w:t>/TTL</w:t>
      </w:r>
      <w:r w:rsidRPr="008244A4">
        <w:t xml:space="preserve">, </w:t>
      </w:r>
      <w:r w:rsidR="00EF43AF">
        <w:t>local education s</w:t>
      </w:r>
      <w:r w:rsidR="00FC36F3">
        <w:t xml:space="preserve">pecialist, </w:t>
      </w:r>
      <w:r w:rsidR="00EF43AF">
        <w:t>operations officer, social development s</w:t>
      </w:r>
      <w:r w:rsidRPr="008244A4">
        <w:t xml:space="preserve">pecialist, </w:t>
      </w:r>
      <w:r w:rsidR="00EF43AF">
        <w:t>environmental s</w:t>
      </w:r>
      <w:r>
        <w:t xml:space="preserve">pecialist, </w:t>
      </w:r>
      <w:r w:rsidR="00EF43AF">
        <w:t>engineer/architect, financial m</w:t>
      </w:r>
      <w:r w:rsidRPr="008244A4">
        <w:t>anagement</w:t>
      </w:r>
      <w:r w:rsidR="00EF43AF">
        <w:t xml:space="preserve"> specialist</w:t>
      </w:r>
      <w:r w:rsidRPr="008244A4">
        <w:t xml:space="preserve"> and </w:t>
      </w:r>
      <w:r w:rsidR="00EF43AF">
        <w:t>procurement specialist</w:t>
      </w:r>
      <w:r w:rsidR="00B45F40">
        <w:t>.  MINED</w:t>
      </w:r>
      <w:r w:rsidRPr="008244A4">
        <w:t xml:space="preserve"> </w:t>
      </w:r>
      <w:r w:rsidR="00636C8C">
        <w:t>would</w:t>
      </w:r>
      <w:r w:rsidRPr="008244A4">
        <w:t xml:space="preserve"> also be encouraged </w:t>
      </w:r>
      <w:r w:rsidR="00992ED4">
        <w:t>to nominate several members from</w:t>
      </w:r>
      <w:r w:rsidRPr="008244A4">
        <w:t xml:space="preserve"> its</w:t>
      </w:r>
      <w:r w:rsidR="00D31CBE">
        <w:t xml:space="preserve"> </w:t>
      </w:r>
      <w:r w:rsidRPr="008244A4">
        <w:t>staff to participate in the supervis</w:t>
      </w:r>
      <w:r w:rsidR="00B45F40">
        <w:t>ion missions</w:t>
      </w:r>
      <w:r w:rsidRPr="008244A4">
        <w:t xml:space="preserve">.  </w:t>
      </w:r>
    </w:p>
    <w:p w:rsidR="00EC2E72" w:rsidRPr="008244A4" w:rsidRDefault="00EC2E72" w:rsidP="00EC2E72">
      <w:pPr>
        <w:tabs>
          <w:tab w:val="left" w:pos="0"/>
        </w:tabs>
        <w:jc w:val="both"/>
      </w:pPr>
    </w:p>
    <w:p w:rsidR="00F0685A" w:rsidRDefault="00EC2E72" w:rsidP="00664FCA">
      <w:pPr>
        <w:pStyle w:val="ListParagraph"/>
        <w:numPr>
          <w:ilvl w:val="0"/>
          <w:numId w:val="4"/>
        </w:numPr>
        <w:tabs>
          <w:tab w:val="left" w:pos="0"/>
        </w:tabs>
        <w:ind w:left="0" w:firstLine="0"/>
        <w:jc w:val="both"/>
      </w:pPr>
      <w:r w:rsidRPr="00B75958">
        <w:rPr>
          <w:u w:val="single"/>
        </w:rPr>
        <w:t>Conclusion</w:t>
      </w:r>
      <w:r w:rsidR="00B75958">
        <w:t>.</w:t>
      </w:r>
      <w:r w:rsidRPr="008244A4">
        <w:t xml:space="preserve"> </w:t>
      </w:r>
      <w:r w:rsidR="00B75958">
        <w:t xml:space="preserve"> </w:t>
      </w:r>
      <w:r w:rsidRPr="008244A4">
        <w:t xml:space="preserve">Viewed in their entirety, these provisions for implementation support of the </w:t>
      </w:r>
      <w:r>
        <w:t>Project</w:t>
      </w:r>
      <w:r w:rsidRPr="008244A4">
        <w:t xml:space="preserve"> include internal controls, external audits, third-party monitoring, impact evaluations, social audit, and supervision by </w:t>
      </w:r>
      <w:r w:rsidR="00ED6468">
        <w:t>Bank</w:t>
      </w:r>
      <w:r w:rsidRPr="008244A4">
        <w:t xml:space="preserve"> specialists, which together constitute a comprehensive, multi-dimensional strategy to ensure that funds provided through the </w:t>
      </w:r>
      <w:proofErr w:type="gramStart"/>
      <w:r>
        <w:t>Project</w:t>
      </w:r>
      <w:proofErr w:type="gramEnd"/>
      <w:r w:rsidRPr="008244A4">
        <w:t xml:space="preserve"> are utilized effectively for maximum development impact.</w:t>
      </w:r>
      <w:r w:rsidR="00D31CBE">
        <w:t xml:space="preserve">  This ISP should be considered in conjunction with the technical assistance, training, equipment</w:t>
      </w:r>
      <w:r w:rsidR="00755680">
        <w:t>, financing of operational costs and other implementation support activities to be financed by the Project, detailed in Annex 3.</w:t>
      </w:r>
      <w:r w:rsidR="00EF43AF">
        <w:t xml:space="preserve">  </w:t>
      </w:r>
      <w:r w:rsidRPr="008244A4">
        <w:t>The main focus in terms of support to implementation during:</w:t>
      </w:r>
    </w:p>
    <w:p w:rsidR="00EC2E72" w:rsidRDefault="00EC2E72" w:rsidP="00EC2E72"/>
    <w:p w:rsidR="00AE09F4" w:rsidRDefault="00AE09F4" w:rsidP="00EC2E72"/>
    <w:p w:rsidR="00AE09F4" w:rsidRDefault="00AE09F4" w:rsidP="00EC2E72"/>
    <w:p w:rsidR="00AE09F4" w:rsidRDefault="00AE09F4" w:rsidP="00EC2E72"/>
    <w:p w:rsidR="00AE09F4" w:rsidRDefault="00AE09F4" w:rsidP="00EC2E72"/>
    <w:p w:rsidR="00AE09F4" w:rsidRDefault="00AE09F4" w:rsidP="00EC2E72"/>
    <w:p w:rsidR="00AE09F4" w:rsidRDefault="00AE09F4" w:rsidP="00EC2E72"/>
    <w:p w:rsidR="00AE09F4" w:rsidRDefault="00AE09F4" w:rsidP="00EC2E72"/>
    <w:p w:rsidR="00AE09F4" w:rsidRDefault="00AE09F4" w:rsidP="00EC2E72"/>
    <w:p w:rsidR="00AE09F4" w:rsidRPr="008244A4" w:rsidRDefault="00AE09F4" w:rsidP="00EC2E72"/>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2700"/>
        <w:gridCol w:w="2340"/>
        <w:gridCol w:w="1620"/>
        <w:gridCol w:w="1710"/>
      </w:tblGrid>
      <w:tr w:rsidR="007C49D2" w:rsidRPr="008244A4" w:rsidTr="008706FE">
        <w:tc>
          <w:tcPr>
            <w:tcW w:w="1188" w:type="dxa"/>
            <w:vAlign w:val="center"/>
          </w:tcPr>
          <w:p w:rsidR="00EC2E72" w:rsidRPr="00EA28EF" w:rsidRDefault="00EC2E72" w:rsidP="00CB4FAA">
            <w:pPr>
              <w:jc w:val="center"/>
              <w:rPr>
                <w:b/>
              </w:rPr>
            </w:pPr>
            <w:r w:rsidRPr="00EA28EF">
              <w:rPr>
                <w:b/>
              </w:rPr>
              <w:lastRenderedPageBreak/>
              <w:t>Time</w:t>
            </w:r>
          </w:p>
        </w:tc>
        <w:tc>
          <w:tcPr>
            <w:tcW w:w="2700" w:type="dxa"/>
            <w:vAlign w:val="center"/>
          </w:tcPr>
          <w:p w:rsidR="00EC2E72" w:rsidRPr="00EA28EF" w:rsidRDefault="00EC2E72" w:rsidP="00CB4FAA">
            <w:pPr>
              <w:jc w:val="center"/>
              <w:rPr>
                <w:b/>
              </w:rPr>
            </w:pPr>
            <w:r w:rsidRPr="00EA28EF">
              <w:rPr>
                <w:b/>
              </w:rPr>
              <w:t>Focus</w:t>
            </w:r>
          </w:p>
        </w:tc>
        <w:tc>
          <w:tcPr>
            <w:tcW w:w="2340" w:type="dxa"/>
            <w:vAlign w:val="center"/>
          </w:tcPr>
          <w:p w:rsidR="00EC2E72" w:rsidRPr="00EA28EF" w:rsidRDefault="00EC2E72" w:rsidP="00CB4FAA">
            <w:pPr>
              <w:jc w:val="center"/>
              <w:rPr>
                <w:b/>
              </w:rPr>
            </w:pPr>
            <w:r w:rsidRPr="00EA28EF">
              <w:rPr>
                <w:b/>
              </w:rPr>
              <w:t>Skills Needed</w:t>
            </w:r>
          </w:p>
        </w:tc>
        <w:tc>
          <w:tcPr>
            <w:tcW w:w="1620" w:type="dxa"/>
            <w:vAlign w:val="center"/>
          </w:tcPr>
          <w:p w:rsidR="00EC2E72" w:rsidRPr="00EA28EF" w:rsidRDefault="00EC2E72" w:rsidP="00CB4FAA">
            <w:pPr>
              <w:jc w:val="center"/>
              <w:rPr>
                <w:b/>
              </w:rPr>
            </w:pPr>
            <w:r w:rsidRPr="00EA28EF">
              <w:rPr>
                <w:b/>
              </w:rPr>
              <w:t>Resource Estimate</w:t>
            </w:r>
          </w:p>
        </w:tc>
        <w:tc>
          <w:tcPr>
            <w:tcW w:w="1710" w:type="dxa"/>
            <w:vAlign w:val="center"/>
          </w:tcPr>
          <w:p w:rsidR="00EC2E72" w:rsidRPr="00EA28EF" w:rsidRDefault="00EC2E72" w:rsidP="00CB4FAA">
            <w:pPr>
              <w:jc w:val="center"/>
              <w:rPr>
                <w:b/>
              </w:rPr>
            </w:pPr>
            <w:r w:rsidRPr="00EA28EF">
              <w:rPr>
                <w:b/>
              </w:rPr>
              <w:t>Partner Role</w:t>
            </w:r>
          </w:p>
        </w:tc>
      </w:tr>
      <w:tr w:rsidR="007C49D2" w:rsidRPr="008244A4" w:rsidTr="008706FE">
        <w:tc>
          <w:tcPr>
            <w:tcW w:w="1188" w:type="dxa"/>
          </w:tcPr>
          <w:p w:rsidR="00EC2E72" w:rsidRPr="008244A4" w:rsidRDefault="00EC2E72" w:rsidP="00EC2E72">
            <w:r w:rsidRPr="008244A4">
              <w:t>First twelve months</w:t>
            </w:r>
          </w:p>
        </w:tc>
        <w:tc>
          <w:tcPr>
            <w:tcW w:w="2700" w:type="dxa"/>
          </w:tcPr>
          <w:p w:rsidR="00EC2E72" w:rsidRPr="008244A4" w:rsidRDefault="00775015" w:rsidP="00EC2E72">
            <w:r>
              <w:t>Preparation of a</w:t>
            </w:r>
            <w:r w:rsidR="00EC2E72" w:rsidRPr="008244A4">
              <w:t>nnua</w:t>
            </w:r>
            <w:r>
              <w:t>l Project i</w:t>
            </w:r>
            <w:r w:rsidR="00D7718B">
              <w:t>mplementation p</w:t>
            </w:r>
            <w:r w:rsidR="00B45F40">
              <w:t>lans</w:t>
            </w:r>
            <w:r w:rsidR="00EC2E72" w:rsidRPr="008244A4">
              <w:t xml:space="preserve">; </w:t>
            </w:r>
            <w:r w:rsidR="007C49D2">
              <w:t xml:space="preserve">development of </w:t>
            </w:r>
            <w:r w:rsidR="001279DB">
              <w:t>Project</w:t>
            </w:r>
            <w:r w:rsidR="007C49D2">
              <w:t xml:space="preserve"> physical and financial implementation MIS;</w:t>
            </w:r>
          </w:p>
          <w:p w:rsidR="00EC2E72" w:rsidRPr="008244A4" w:rsidRDefault="00EC2E72" w:rsidP="004F547A">
            <w:r w:rsidRPr="008244A4">
              <w:t xml:space="preserve">Dissemination and training in application of </w:t>
            </w:r>
            <w:r w:rsidR="00ED6468">
              <w:t>Bank</w:t>
            </w:r>
            <w:r w:rsidRPr="008244A4">
              <w:t xml:space="preserve"> procurement and FM guidelines; recruitment of external auditors; preparation, launch and completion of</w:t>
            </w:r>
            <w:r w:rsidR="00B45F40">
              <w:t xml:space="preserve"> pre-inv</w:t>
            </w:r>
            <w:r w:rsidR="004F547A">
              <w:t>estment studies for civil works.</w:t>
            </w:r>
          </w:p>
        </w:tc>
        <w:tc>
          <w:tcPr>
            <w:tcW w:w="2340" w:type="dxa"/>
          </w:tcPr>
          <w:p w:rsidR="00EC2E72" w:rsidRPr="008244A4" w:rsidRDefault="00D7718B" w:rsidP="00EC2E72">
            <w:r>
              <w:t>Education s</w:t>
            </w:r>
            <w:r w:rsidR="00EC2E72" w:rsidRPr="008244A4">
              <w:t>pecialists;</w:t>
            </w:r>
          </w:p>
          <w:p w:rsidR="00EC2E72" w:rsidRPr="008244A4" w:rsidRDefault="002C6AB4" w:rsidP="00775015">
            <w:r>
              <w:t>E</w:t>
            </w:r>
            <w:r w:rsidR="00775015">
              <w:t xml:space="preserve">ducation </w:t>
            </w:r>
            <w:r w:rsidR="00D7718B">
              <w:t>e</w:t>
            </w:r>
            <w:r w:rsidR="00EC2E72" w:rsidRPr="008244A4">
              <w:t>conomist;</w:t>
            </w:r>
          </w:p>
          <w:p w:rsidR="00EC2E72" w:rsidRPr="008244A4" w:rsidRDefault="002C6AB4" w:rsidP="00EC2E72">
            <w:r>
              <w:t>O</w:t>
            </w:r>
            <w:r w:rsidR="00EC2E72" w:rsidRPr="008244A4">
              <w:t>per</w:t>
            </w:r>
            <w:r w:rsidR="00D7718B">
              <w:t>ations o</w:t>
            </w:r>
            <w:r w:rsidR="00EC2E72" w:rsidRPr="008244A4">
              <w:t>fficer;</w:t>
            </w:r>
          </w:p>
          <w:p w:rsidR="00EC2E72" w:rsidRPr="008244A4" w:rsidRDefault="002C6AB4" w:rsidP="00EC2E72">
            <w:r>
              <w:t>FM and P</w:t>
            </w:r>
            <w:r w:rsidR="00EC2E72" w:rsidRPr="008244A4">
              <w:t>rocurement  specialists</w:t>
            </w:r>
          </w:p>
        </w:tc>
        <w:tc>
          <w:tcPr>
            <w:tcW w:w="1620" w:type="dxa"/>
          </w:tcPr>
          <w:p w:rsidR="00EC2E72" w:rsidRPr="008244A4" w:rsidRDefault="00B75958" w:rsidP="00EC2E72">
            <w:r>
              <w:t>US$10</w:t>
            </w:r>
            <w:r w:rsidR="00EC2E72" w:rsidRPr="008244A4">
              <w:t>0,000</w:t>
            </w:r>
          </w:p>
        </w:tc>
        <w:tc>
          <w:tcPr>
            <w:tcW w:w="1710" w:type="dxa"/>
          </w:tcPr>
          <w:p w:rsidR="00EC2E72" w:rsidRPr="008244A4" w:rsidRDefault="00EC2E72" w:rsidP="00EC2E72"/>
        </w:tc>
      </w:tr>
      <w:tr w:rsidR="007C49D2" w:rsidRPr="008244A4" w:rsidTr="008706FE">
        <w:tc>
          <w:tcPr>
            <w:tcW w:w="1188" w:type="dxa"/>
            <w:vAlign w:val="center"/>
          </w:tcPr>
          <w:p w:rsidR="00EC2E72" w:rsidRPr="008244A4" w:rsidRDefault="00EC2E72" w:rsidP="00CB4FAA">
            <w:r w:rsidRPr="008244A4">
              <w:t>First twelve months</w:t>
            </w:r>
          </w:p>
        </w:tc>
        <w:tc>
          <w:tcPr>
            <w:tcW w:w="2700" w:type="dxa"/>
            <w:vAlign w:val="center"/>
          </w:tcPr>
          <w:p w:rsidR="00EC2E72" w:rsidRPr="008244A4" w:rsidRDefault="00EC2E72" w:rsidP="00CB4FAA">
            <w:r w:rsidRPr="008244A4">
              <w:t>Supervision and training</w:t>
            </w:r>
          </w:p>
        </w:tc>
        <w:tc>
          <w:tcPr>
            <w:tcW w:w="2340" w:type="dxa"/>
            <w:vAlign w:val="center"/>
          </w:tcPr>
          <w:p w:rsidR="00EC2E72" w:rsidRPr="008244A4" w:rsidRDefault="00EC2E72" w:rsidP="00CB4FAA">
            <w:r>
              <w:t>Social</w:t>
            </w:r>
            <w:r w:rsidR="00D7718B">
              <w:t xml:space="preserve"> s</w:t>
            </w:r>
            <w:r w:rsidRPr="008244A4">
              <w:t>afeguards</w:t>
            </w:r>
          </w:p>
        </w:tc>
        <w:tc>
          <w:tcPr>
            <w:tcW w:w="1620" w:type="dxa"/>
            <w:vAlign w:val="center"/>
          </w:tcPr>
          <w:p w:rsidR="00EC2E72" w:rsidRPr="008244A4" w:rsidRDefault="00EC2E72" w:rsidP="00CB4FAA">
            <w:r w:rsidRPr="008244A4">
              <w:t>2 SWs</w:t>
            </w:r>
          </w:p>
        </w:tc>
        <w:tc>
          <w:tcPr>
            <w:tcW w:w="1710" w:type="dxa"/>
            <w:vAlign w:val="center"/>
          </w:tcPr>
          <w:p w:rsidR="00EC2E72" w:rsidRPr="008244A4" w:rsidRDefault="00EC2E72" w:rsidP="00CB4FAA">
            <w:r w:rsidRPr="008244A4">
              <w:t>NA</w:t>
            </w:r>
          </w:p>
        </w:tc>
      </w:tr>
      <w:tr w:rsidR="007C49D2" w:rsidRPr="008244A4" w:rsidTr="008706FE">
        <w:tc>
          <w:tcPr>
            <w:tcW w:w="1188" w:type="dxa"/>
          </w:tcPr>
          <w:p w:rsidR="00EC2E72" w:rsidRPr="008244A4" w:rsidRDefault="00EC2E72" w:rsidP="00EC2E72">
            <w:r w:rsidRPr="008244A4">
              <w:t>12-48 months</w:t>
            </w:r>
          </w:p>
        </w:tc>
        <w:tc>
          <w:tcPr>
            <w:tcW w:w="2700" w:type="dxa"/>
          </w:tcPr>
          <w:p w:rsidR="00EC2E72" w:rsidRPr="008244A4" w:rsidRDefault="00775015" w:rsidP="004F477F">
            <w:r>
              <w:t>Preparation of a</w:t>
            </w:r>
            <w:r w:rsidR="007C49D2">
              <w:t xml:space="preserve">nnual </w:t>
            </w:r>
            <w:r>
              <w:t>implementation and procurement p</w:t>
            </w:r>
            <w:r w:rsidR="00D7718B">
              <w:t>lans; review of progress on results m</w:t>
            </w:r>
            <w:r w:rsidR="007C49D2">
              <w:t xml:space="preserve">atrix; </w:t>
            </w:r>
            <w:r w:rsidR="00D7718B">
              <w:t>p</w:t>
            </w:r>
            <w:r w:rsidR="00EC2E72" w:rsidRPr="008244A4">
              <w:t>rocurement of all</w:t>
            </w:r>
            <w:r w:rsidR="00B45F40">
              <w:t xml:space="preserve"> inputs</w:t>
            </w:r>
            <w:r w:rsidR="00D7718B">
              <w:t>; r</w:t>
            </w:r>
            <w:r w:rsidR="00EC2E72" w:rsidRPr="008244A4">
              <w:t>eview of social safeguards and implementation of c</w:t>
            </w:r>
            <w:r w:rsidR="00B45F40">
              <w:t>orrective measures, if required</w:t>
            </w:r>
            <w:r w:rsidR="00EC2E72" w:rsidRPr="008244A4">
              <w:t xml:space="preserve">; close monitoring of compliance with </w:t>
            </w:r>
            <w:r w:rsidR="00ED6468">
              <w:t>Bank</w:t>
            </w:r>
            <w:r w:rsidR="00EC2E72" w:rsidRPr="008244A4">
              <w:t xml:space="preserve"> fiduciary guidelines; submission of annual external audit reports on a timely basis.</w:t>
            </w:r>
          </w:p>
        </w:tc>
        <w:tc>
          <w:tcPr>
            <w:tcW w:w="2340" w:type="dxa"/>
          </w:tcPr>
          <w:p w:rsidR="00EC2E72" w:rsidRPr="008244A4" w:rsidRDefault="00EC2E72" w:rsidP="00EC2E72">
            <w:r w:rsidRPr="008244A4">
              <w:t>Education specialists;</w:t>
            </w:r>
          </w:p>
          <w:p w:rsidR="00EC2E72" w:rsidRPr="008244A4" w:rsidRDefault="00EC2E72" w:rsidP="00EC2E72">
            <w:r w:rsidRPr="008244A4">
              <w:t>Education economist;</w:t>
            </w:r>
            <w:r w:rsidR="00D7718B">
              <w:t xml:space="preserve"> Environmental s</w:t>
            </w:r>
            <w:r>
              <w:t xml:space="preserve">pecialist; </w:t>
            </w:r>
          </w:p>
          <w:p w:rsidR="00EC2E72" w:rsidRPr="008244A4" w:rsidRDefault="00D7718B" w:rsidP="00EC2E72">
            <w:r>
              <w:t>Operations o</w:t>
            </w:r>
            <w:r w:rsidR="00EC2E72" w:rsidRPr="008244A4">
              <w:t>fficer;</w:t>
            </w:r>
          </w:p>
          <w:p w:rsidR="00EC2E72" w:rsidRPr="008244A4" w:rsidRDefault="002C6AB4" w:rsidP="00EC2E72">
            <w:r>
              <w:t>FM and P</w:t>
            </w:r>
            <w:r w:rsidR="00EC2E72" w:rsidRPr="008244A4">
              <w:t>rocurement  specialist</w:t>
            </w:r>
          </w:p>
        </w:tc>
        <w:tc>
          <w:tcPr>
            <w:tcW w:w="1620" w:type="dxa"/>
          </w:tcPr>
          <w:p w:rsidR="00EC2E72" w:rsidRPr="008244A4" w:rsidRDefault="00EC2E72" w:rsidP="00EC2E72">
            <w:r w:rsidRPr="008244A4">
              <w:t>US$80,000/year</w:t>
            </w:r>
          </w:p>
        </w:tc>
        <w:tc>
          <w:tcPr>
            <w:tcW w:w="1710" w:type="dxa"/>
          </w:tcPr>
          <w:p w:rsidR="00EC2E72" w:rsidRPr="008244A4" w:rsidRDefault="00EC2E72" w:rsidP="00EC2E72">
            <w:r w:rsidRPr="008244A4">
              <w:t xml:space="preserve">Ongoing </w:t>
            </w:r>
          </w:p>
        </w:tc>
      </w:tr>
      <w:tr w:rsidR="007C49D2" w:rsidRPr="008244A4" w:rsidTr="008706FE">
        <w:tc>
          <w:tcPr>
            <w:tcW w:w="1188" w:type="dxa"/>
            <w:vAlign w:val="center"/>
          </w:tcPr>
          <w:p w:rsidR="00EC2E72" w:rsidRPr="008244A4" w:rsidRDefault="00EC2E72" w:rsidP="00CB4FAA">
            <w:r w:rsidRPr="008244A4">
              <w:t>12-48 months</w:t>
            </w:r>
          </w:p>
        </w:tc>
        <w:tc>
          <w:tcPr>
            <w:tcW w:w="2700" w:type="dxa"/>
            <w:vAlign w:val="center"/>
          </w:tcPr>
          <w:p w:rsidR="00EC2E72" w:rsidRPr="008244A4" w:rsidRDefault="00EC2E72" w:rsidP="00CB4FAA">
            <w:r w:rsidRPr="008244A4">
              <w:t>Monitoring and reporting</w:t>
            </w:r>
          </w:p>
        </w:tc>
        <w:tc>
          <w:tcPr>
            <w:tcW w:w="2340" w:type="dxa"/>
            <w:vAlign w:val="center"/>
          </w:tcPr>
          <w:p w:rsidR="00EC2E72" w:rsidRPr="008244A4" w:rsidRDefault="00EC2E72" w:rsidP="00CB4FAA">
            <w:r w:rsidRPr="008244A4">
              <w:t xml:space="preserve">Environmental </w:t>
            </w:r>
            <w:r>
              <w:t xml:space="preserve">and Social </w:t>
            </w:r>
            <w:r w:rsidRPr="008244A4">
              <w:t>Safeguards</w:t>
            </w:r>
          </w:p>
        </w:tc>
        <w:tc>
          <w:tcPr>
            <w:tcW w:w="1620" w:type="dxa"/>
            <w:vAlign w:val="center"/>
          </w:tcPr>
          <w:p w:rsidR="00EC2E72" w:rsidRPr="008244A4" w:rsidRDefault="00EC2E72" w:rsidP="00CB4FAA">
            <w:r w:rsidRPr="008244A4">
              <w:t>4 SWs</w:t>
            </w:r>
          </w:p>
        </w:tc>
        <w:tc>
          <w:tcPr>
            <w:tcW w:w="1710" w:type="dxa"/>
            <w:vAlign w:val="center"/>
          </w:tcPr>
          <w:p w:rsidR="00EC2E72" w:rsidRPr="008244A4" w:rsidRDefault="00EC2E72" w:rsidP="00CB4FAA">
            <w:r w:rsidRPr="008244A4">
              <w:t>NA</w:t>
            </w:r>
          </w:p>
        </w:tc>
      </w:tr>
    </w:tbl>
    <w:p w:rsidR="00EC2E72" w:rsidRDefault="00EC2E72" w:rsidP="00EC2E72"/>
    <w:p w:rsidR="00AE09F4" w:rsidRDefault="00AE09F4" w:rsidP="00EC2E72"/>
    <w:p w:rsidR="00AE09F4" w:rsidRDefault="00AE09F4" w:rsidP="00EC2E72"/>
    <w:p w:rsidR="00AE09F4" w:rsidRDefault="00AE09F4" w:rsidP="00EC2E72"/>
    <w:p w:rsidR="00AE09F4" w:rsidRDefault="00AE09F4" w:rsidP="00EC2E72"/>
    <w:p w:rsidR="00AE09F4" w:rsidRDefault="00AE09F4" w:rsidP="00EC2E72"/>
    <w:p w:rsidR="00AE09F4" w:rsidRPr="008244A4" w:rsidRDefault="00AE09F4" w:rsidP="00EC2E72"/>
    <w:p w:rsidR="00EC2E72" w:rsidRDefault="00EC2E72" w:rsidP="00EC2E72">
      <w:r w:rsidRPr="008244A4">
        <w:lastRenderedPageBreak/>
        <w:t>Skills Mix Required</w:t>
      </w:r>
    </w:p>
    <w:p w:rsidR="00EC2E72" w:rsidRPr="008244A4" w:rsidRDefault="00EC2E72" w:rsidP="00EC2E72"/>
    <w:tbl>
      <w:tblPr>
        <w:tblW w:w="8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430"/>
        <w:gridCol w:w="2484"/>
      </w:tblGrid>
      <w:tr w:rsidR="00F0685A" w:rsidRPr="008244A4" w:rsidTr="00F56DCB">
        <w:tc>
          <w:tcPr>
            <w:tcW w:w="3348" w:type="dxa"/>
          </w:tcPr>
          <w:p w:rsidR="00F0685A" w:rsidRPr="00EA28EF" w:rsidRDefault="00F0685A" w:rsidP="00EA28EF">
            <w:pPr>
              <w:jc w:val="center"/>
              <w:rPr>
                <w:b/>
              </w:rPr>
            </w:pPr>
            <w:r w:rsidRPr="00EA28EF">
              <w:rPr>
                <w:b/>
              </w:rPr>
              <w:t>Skills Needed</w:t>
            </w:r>
          </w:p>
        </w:tc>
        <w:tc>
          <w:tcPr>
            <w:tcW w:w="2430" w:type="dxa"/>
          </w:tcPr>
          <w:p w:rsidR="00F0685A" w:rsidRPr="00EA28EF" w:rsidRDefault="00F0685A" w:rsidP="00EA28EF">
            <w:pPr>
              <w:jc w:val="center"/>
              <w:rPr>
                <w:b/>
              </w:rPr>
            </w:pPr>
            <w:r w:rsidRPr="00EA28EF">
              <w:rPr>
                <w:b/>
              </w:rPr>
              <w:t>Number of Staff Weeks</w:t>
            </w:r>
          </w:p>
        </w:tc>
        <w:tc>
          <w:tcPr>
            <w:tcW w:w="2484" w:type="dxa"/>
          </w:tcPr>
          <w:p w:rsidR="00F0685A" w:rsidRPr="00EA28EF" w:rsidRDefault="00F0685A" w:rsidP="00EA28EF">
            <w:pPr>
              <w:jc w:val="center"/>
              <w:rPr>
                <w:b/>
              </w:rPr>
            </w:pPr>
            <w:r w:rsidRPr="00EA28EF">
              <w:rPr>
                <w:b/>
              </w:rPr>
              <w:t>Number of Trips</w:t>
            </w:r>
          </w:p>
        </w:tc>
      </w:tr>
      <w:tr w:rsidR="00F0685A" w:rsidRPr="008244A4" w:rsidTr="00F56DCB">
        <w:tc>
          <w:tcPr>
            <w:tcW w:w="3348" w:type="dxa"/>
          </w:tcPr>
          <w:p w:rsidR="00F0685A" w:rsidRPr="008244A4" w:rsidRDefault="00D7718B" w:rsidP="00EC2E72">
            <w:r>
              <w:t>Education s</w:t>
            </w:r>
            <w:r w:rsidR="00F0685A" w:rsidRPr="008244A4">
              <w:t>pecialist</w:t>
            </w:r>
            <w:r>
              <w:t xml:space="preserve"> and task team l</w:t>
            </w:r>
            <w:r w:rsidR="00EF43AF">
              <w:t>eader</w:t>
            </w:r>
          </w:p>
        </w:tc>
        <w:tc>
          <w:tcPr>
            <w:tcW w:w="2430" w:type="dxa"/>
          </w:tcPr>
          <w:p w:rsidR="00F0685A" w:rsidRPr="008244A4" w:rsidRDefault="00F0685A" w:rsidP="00EA28EF">
            <w:pPr>
              <w:jc w:val="center"/>
            </w:pPr>
            <w:r w:rsidRPr="008244A4">
              <w:t>7</w:t>
            </w:r>
          </w:p>
        </w:tc>
        <w:tc>
          <w:tcPr>
            <w:tcW w:w="2484" w:type="dxa"/>
          </w:tcPr>
          <w:p w:rsidR="00F0685A" w:rsidRPr="008244A4" w:rsidRDefault="00F0685A" w:rsidP="00556B5E">
            <w:pPr>
              <w:jc w:val="center"/>
            </w:pPr>
            <w:r>
              <w:t>2</w:t>
            </w:r>
            <w:r w:rsidRPr="008244A4">
              <w:t>/year</w:t>
            </w:r>
          </w:p>
        </w:tc>
      </w:tr>
      <w:tr w:rsidR="00F0685A" w:rsidRPr="008244A4" w:rsidTr="00F56DCB">
        <w:tc>
          <w:tcPr>
            <w:tcW w:w="3348" w:type="dxa"/>
          </w:tcPr>
          <w:p w:rsidR="00F0685A" w:rsidRPr="008244A4" w:rsidRDefault="00D7718B" w:rsidP="00EC2E72">
            <w:r>
              <w:t>Education s</w:t>
            </w:r>
            <w:r w:rsidR="00F0685A">
              <w:t>pecialist</w:t>
            </w:r>
          </w:p>
        </w:tc>
        <w:tc>
          <w:tcPr>
            <w:tcW w:w="2430" w:type="dxa"/>
          </w:tcPr>
          <w:p w:rsidR="00F0685A" w:rsidRPr="008244A4" w:rsidRDefault="00F0685A" w:rsidP="003C393D">
            <w:pPr>
              <w:jc w:val="center"/>
            </w:pPr>
            <w:r>
              <w:t>4</w:t>
            </w:r>
          </w:p>
        </w:tc>
        <w:tc>
          <w:tcPr>
            <w:tcW w:w="2484" w:type="dxa"/>
          </w:tcPr>
          <w:p w:rsidR="00F0685A" w:rsidRPr="008244A4" w:rsidRDefault="00F0685A" w:rsidP="00556B5E">
            <w:pPr>
              <w:jc w:val="center"/>
            </w:pPr>
            <w:r>
              <w:t>2</w:t>
            </w:r>
            <w:r w:rsidRPr="008244A4">
              <w:t>/year</w:t>
            </w:r>
          </w:p>
        </w:tc>
      </w:tr>
      <w:tr w:rsidR="00F0685A" w:rsidRPr="008244A4" w:rsidTr="00F56DCB">
        <w:tc>
          <w:tcPr>
            <w:tcW w:w="3348" w:type="dxa"/>
          </w:tcPr>
          <w:p w:rsidR="00F0685A" w:rsidRPr="008244A4" w:rsidRDefault="00D7718B" w:rsidP="00EC2E72">
            <w:r>
              <w:t>Operations o</w:t>
            </w:r>
            <w:r w:rsidR="00F0685A" w:rsidRPr="008244A4">
              <w:t>fficer</w:t>
            </w:r>
          </w:p>
        </w:tc>
        <w:tc>
          <w:tcPr>
            <w:tcW w:w="2430" w:type="dxa"/>
          </w:tcPr>
          <w:p w:rsidR="00F0685A" w:rsidRPr="008244A4" w:rsidRDefault="00F0685A" w:rsidP="00EA28EF">
            <w:pPr>
              <w:jc w:val="center"/>
            </w:pPr>
            <w:r w:rsidRPr="008244A4">
              <w:t>3</w:t>
            </w:r>
          </w:p>
        </w:tc>
        <w:tc>
          <w:tcPr>
            <w:tcW w:w="2484" w:type="dxa"/>
          </w:tcPr>
          <w:p w:rsidR="00F0685A" w:rsidRPr="008244A4" w:rsidRDefault="00F0685A" w:rsidP="00556B5E">
            <w:pPr>
              <w:jc w:val="center"/>
            </w:pPr>
            <w:r w:rsidRPr="008244A4">
              <w:t>1</w:t>
            </w:r>
            <w:r>
              <w:t>/</w:t>
            </w:r>
            <w:r w:rsidRPr="008244A4">
              <w:t>year</w:t>
            </w:r>
          </w:p>
        </w:tc>
      </w:tr>
      <w:tr w:rsidR="00F0685A" w:rsidRPr="008244A4" w:rsidTr="00F56DCB">
        <w:tc>
          <w:tcPr>
            <w:tcW w:w="3348" w:type="dxa"/>
          </w:tcPr>
          <w:p w:rsidR="00F0685A" w:rsidRPr="008244A4" w:rsidRDefault="00D7718B" w:rsidP="00EC2E72">
            <w:r>
              <w:t>FM s</w:t>
            </w:r>
            <w:r w:rsidR="00F0685A" w:rsidRPr="008244A4">
              <w:t>pecialist</w:t>
            </w:r>
          </w:p>
        </w:tc>
        <w:tc>
          <w:tcPr>
            <w:tcW w:w="2430" w:type="dxa"/>
          </w:tcPr>
          <w:p w:rsidR="00F0685A" w:rsidRPr="008244A4" w:rsidRDefault="00F0685A" w:rsidP="00EA28EF">
            <w:pPr>
              <w:jc w:val="center"/>
            </w:pPr>
            <w:r w:rsidRPr="008244A4">
              <w:t>5</w:t>
            </w:r>
          </w:p>
        </w:tc>
        <w:tc>
          <w:tcPr>
            <w:tcW w:w="2484" w:type="dxa"/>
          </w:tcPr>
          <w:p w:rsidR="00F0685A" w:rsidRPr="008244A4" w:rsidRDefault="00F0685A" w:rsidP="00556B5E">
            <w:pPr>
              <w:jc w:val="center"/>
            </w:pPr>
            <w:r w:rsidRPr="008244A4">
              <w:t>2/year</w:t>
            </w:r>
          </w:p>
        </w:tc>
      </w:tr>
      <w:tr w:rsidR="00F0685A" w:rsidRPr="008244A4" w:rsidTr="00F56DCB">
        <w:tc>
          <w:tcPr>
            <w:tcW w:w="3348" w:type="dxa"/>
          </w:tcPr>
          <w:p w:rsidR="00F0685A" w:rsidRPr="008244A4" w:rsidRDefault="00D7718B" w:rsidP="00EC2E72">
            <w:r>
              <w:t>Procurement s</w:t>
            </w:r>
            <w:r w:rsidR="00F0685A" w:rsidRPr="008244A4">
              <w:t>pecialist</w:t>
            </w:r>
          </w:p>
        </w:tc>
        <w:tc>
          <w:tcPr>
            <w:tcW w:w="2430" w:type="dxa"/>
          </w:tcPr>
          <w:p w:rsidR="00F0685A" w:rsidRPr="008244A4" w:rsidRDefault="00F0685A" w:rsidP="00EA28EF">
            <w:pPr>
              <w:jc w:val="center"/>
            </w:pPr>
            <w:r w:rsidRPr="008244A4">
              <w:t>5</w:t>
            </w:r>
          </w:p>
        </w:tc>
        <w:tc>
          <w:tcPr>
            <w:tcW w:w="2484" w:type="dxa"/>
          </w:tcPr>
          <w:p w:rsidR="00F0685A" w:rsidRPr="008244A4" w:rsidRDefault="00F0685A" w:rsidP="00556B5E">
            <w:pPr>
              <w:jc w:val="center"/>
            </w:pPr>
            <w:r w:rsidRPr="008244A4">
              <w:t>2/year</w:t>
            </w:r>
          </w:p>
        </w:tc>
      </w:tr>
      <w:tr w:rsidR="00F0685A" w:rsidRPr="008244A4" w:rsidTr="00F56DCB">
        <w:tc>
          <w:tcPr>
            <w:tcW w:w="3348" w:type="dxa"/>
          </w:tcPr>
          <w:p w:rsidR="00F0685A" w:rsidRPr="008244A4" w:rsidRDefault="00D7718B" w:rsidP="00EC2E72">
            <w:r>
              <w:t>Social development s</w:t>
            </w:r>
            <w:r w:rsidR="00F0685A" w:rsidRPr="008244A4">
              <w:t>pecialist</w:t>
            </w:r>
          </w:p>
        </w:tc>
        <w:tc>
          <w:tcPr>
            <w:tcW w:w="2430" w:type="dxa"/>
          </w:tcPr>
          <w:p w:rsidR="00F0685A" w:rsidRPr="008244A4" w:rsidRDefault="00F0685A" w:rsidP="00EA28EF">
            <w:pPr>
              <w:jc w:val="center"/>
            </w:pPr>
            <w:r w:rsidRPr="008244A4">
              <w:t>2</w:t>
            </w:r>
          </w:p>
        </w:tc>
        <w:tc>
          <w:tcPr>
            <w:tcW w:w="2484" w:type="dxa"/>
          </w:tcPr>
          <w:p w:rsidR="00F0685A" w:rsidRPr="008244A4" w:rsidRDefault="00F0685A" w:rsidP="00556B5E">
            <w:pPr>
              <w:jc w:val="center"/>
            </w:pPr>
            <w:r>
              <w:t>2</w:t>
            </w:r>
            <w:r w:rsidRPr="008244A4">
              <w:t>/year</w:t>
            </w:r>
          </w:p>
        </w:tc>
      </w:tr>
      <w:tr w:rsidR="00F0685A" w:rsidRPr="008244A4" w:rsidTr="00F56DCB">
        <w:tc>
          <w:tcPr>
            <w:tcW w:w="3348" w:type="dxa"/>
          </w:tcPr>
          <w:p w:rsidR="00F0685A" w:rsidRPr="008244A4" w:rsidRDefault="00D7718B" w:rsidP="00EC2E72">
            <w:r>
              <w:t>Environmental s</w:t>
            </w:r>
            <w:r w:rsidR="00F0685A" w:rsidRPr="008244A4">
              <w:t>pecialist</w:t>
            </w:r>
          </w:p>
        </w:tc>
        <w:tc>
          <w:tcPr>
            <w:tcW w:w="2430" w:type="dxa"/>
          </w:tcPr>
          <w:p w:rsidR="00F0685A" w:rsidRPr="008244A4" w:rsidRDefault="00F0685A" w:rsidP="00EA28EF">
            <w:pPr>
              <w:jc w:val="center"/>
            </w:pPr>
            <w:r w:rsidRPr="008244A4">
              <w:t>2</w:t>
            </w:r>
          </w:p>
        </w:tc>
        <w:tc>
          <w:tcPr>
            <w:tcW w:w="2484" w:type="dxa"/>
          </w:tcPr>
          <w:p w:rsidR="00F0685A" w:rsidRPr="00EA28EF" w:rsidRDefault="00F0685A" w:rsidP="00556B5E">
            <w:pPr>
              <w:pStyle w:val="ListParagraph"/>
              <w:ind w:left="0"/>
              <w:jc w:val="center"/>
              <w:rPr>
                <w:sz w:val="22"/>
                <w:szCs w:val="22"/>
              </w:rPr>
            </w:pPr>
            <w:r>
              <w:t>2/</w:t>
            </w:r>
            <w:r w:rsidRPr="008244A4">
              <w:t>year</w:t>
            </w:r>
          </w:p>
        </w:tc>
      </w:tr>
    </w:tbl>
    <w:p w:rsidR="00954439" w:rsidRDefault="00954439" w:rsidP="00EC2E72"/>
    <w:p w:rsidR="00AA19E1" w:rsidRDefault="006978E9">
      <w:pPr>
        <w:spacing w:after="200" w:line="276" w:lineRule="auto"/>
        <w:rPr>
          <w:b/>
        </w:rPr>
      </w:pPr>
      <w:r>
        <w:br w:type="page"/>
      </w:r>
    </w:p>
    <w:p w:rsidR="00B61A6D" w:rsidRDefault="00B61A6D" w:rsidP="002A30D9">
      <w:pPr>
        <w:pStyle w:val="Heading1"/>
        <w:jc w:val="center"/>
      </w:pPr>
      <w:bookmarkStart w:id="44" w:name="_Toc354067291"/>
      <w:r>
        <w:lastRenderedPageBreak/>
        <w:t xml:space="preserve">Annex </w:t>
      </w:r>
      <w:r w:rsidR="00F8424F">
        <w:t>6</w:t>
      </w:r>
      <w:r>
        <w:t>: Economic and Financial Analysis</w:t>
      </w:r>
      <w:bookmarkEnd w:id="44"/>
      <w:r>
        <w:t xml:space="preserve"> </w:t>
      </w:r>
    </w:p>
    <w:p w:rsidR="00B61A6D" w:rsidRDefault="00B61A6D" w:rsidP="00B61A6D"/>
    <w:p w:rsidR="006B3EE5" w:rsidRDefault="006B3EE5" w:rsidP="005E2993">
      <w:pPr>
        <w:pStyle w:val="ListParagraph"/>
        <w:numPr>
          <w:ilvl w:val="0"/>
          <w:numId w:val="16"/>
        </w:numPr>
        <w:tabs>
          <w:tab w:val="left" w:pos="0"/>
        </w:tabs>
        <w:ind w:left="0" w:firstLine="0"/>
        <w:jc w:val="both"/>
      </w:pPr>
      <w:r w:rsidRPr="002E7A65">
        <w:t>Nicaragua faces strong challenges in the education sector that may be affecting negatively its growth potential and the well</w:t>
      </w:r>
      <w:r>
        <w:t>-</w:t>
      </w:r>
      <w:r w:rsidRPr="002E7A65">
        <w:t>being of its citizens.</w:t>
      </w:r>
      <w:r>
        <w:t xml:space="preserve"> </w:t>
      </w:r>
      <w:r w:rsidR="000B2C37">
        <w:t xml:space="preserve"> </w:t>
      </w:r>
      <w:r>
        <w:t xml:space="preserve">Despite recent improvements, its working age population has on average finished just 6.7 years of schooling, and in rural areas this figure is even lower (4.4 years of completed schooling on average). </w:t>
      </w:r>
    </w:p>
    <w:p w:rsidR="006B3EE5" w:rsidRDefault="006B3EE5" w:rsidP="006B3EE5">
      <w:pPr>
        <w:pStyle w:val="ListParagraph"/>
        <w:tabs>
          <w:tab w:val="left" w:pos="0"/>
        </w:tabs>
        <w:ind w:left="0"/>
        <w:jc w:val="both"/>
      </w:pPr>
      <w:r>
        <w:t xml:space="preserve"> </w:t>
      </w:r>
    </w:p>
    <w:p w:rsidR="006B3EE5" w:rsidRDefault="006B3EE5" w:rsidP="005E2993">
      <w:pPr>
        <w:pStyle w:val="ListParagraph"/>
        <w:numPr>
          <w:ilvl w:val="0"/>
          <w:numId w:val="16"/>
        </w:numPr>
        <w:tabs>
          <w:tab w:val="left" w:pos="0"/>
        </w:tabs>
        <w:ind w:left="0" w:firstLine="0"/>
        <w:jc w:val="both"/>
      </w:pPr>
      <w:r>
        <w:t xml:space="preserve">The economic analysis focuses on the expected outcomes and related benefits generated by the Project from: (i) an increase of enrollment of children in preschool (3-5 years old) and lower secondary education (12-14 years old) in 43 </w:t>
      </w:r>
      <w:r w:rsidR="00636799">
        <w:t>selected</w:t>
      </w:r>
      <w:r>
        <w:t xml:space="preserve"> municipalities; and (ii) at the national level, an improvement of </w:t>
      </w:r>
      <w:r w:rsidR="00F0685A">
        <w:t>preschool</w:t>
      </w:r>
      <w:r>
        <w:t xml:space="preserve"> and secondary learning conditions, quality and completion rates. </w:t>
      </w:r>
      <w:r w:rsidR="000B2C37">
        <w:t xml:space="preserve"> </w:t>
      </w:r>
      <w:r>
        <w:t xml:space="preserve">On the one hand, the Project would support an increase of the supply of education services in preschool and lower secondary education through the construction and rehabilitation of school infrastructures in 43 municipalities.  On the other hand, the Project would support </w:t>
      </w:r>
      <w:r w:rsidRPr="0044296B">
        <w:t>system</w:t>
      </w:r>
      <w:r>
        <w:t>-</w:t>
      </w:r>
      <w:r w:rsidRPr="0044296B">
        <w:t xml:space="preserve">wide interventions related to teacher training and better provision of </w:t>
      </w:r>
      <w:r>
        <w:t xml:space="preserve">learning </w:t>
      </w:r>
      <w:r w:rsidRPr="0044296B">
        <w:t>materials and textbooks</w:t>
      </w:r>
      <w:r>
        <w:t xml:space="preserve"> for preschool</w:t>
      </w:r>
      <w:r w:rsidR="000B2C37">
        <w:t xml:space="preserve"> and lower secondary education.</w:t>
      </w:r>
    </w:p>
    <w:p w:rsidR="006B3EE5" w:rsidRDefault="006B3EE5" w:rsidP="006B3EE5">
      <w:pPr>
        <w:pStyle w:val="ListParagraph"/>
      </w:pPr>
    </w:p>
    <w:p w:rsidR="006B3EE5" w:rsidRDefault="006B3EE5" w:rsidP="005E2993">
      <w:pPr>
        <w:pStyle w:val="ListParagraph"/>
        <w:numPr>
          <w:ilvl w:val="0"/>
          <w:numId w:val="16"/>
        </w:numPr>
        <w:tabs>
          <w:tab w:val="left" w:pos="0"/>
        </w:tabs>
        <w:ind w:left="0" w:firstLine="0"/>
        <w:jc w:val="both"/>
      </w:pPr>
      <w:r>
        <w:t>The</w:t>
      </w:r>
      <w:r w:rsidRPr="00B30970">
        <w:t xml:space="preserve"> economic analysis done under conservative ass</w:t>
      </w:r>
      <w:r>
        <w:t>umptions and standard practices</w:t>
      </w:r>
      <w:r w:rsidRPr="00B30970">
        <w:t xml:space="preserve"> shows a solid </w:t>
      </w:r>
      <w:r w:rsidR="00EF43AF">
        <w:t>Internal Rate of Return (</w:t>
      </w:r>
      <w:r w:rsidRPr="00B30970">
        <w:t>IRR</w:t>
      </w:r>
      <w:r w:rsidR="00EF43AF">
        <w:t>)</w:t>
      </w:r>
      <w:r w:rsidRPr="00B30970">
        <w:t xml:space="preserve"> of 1</w:t>
      </w:r>
      <w:r>
        <w:t>1</w:t>
      </w:r>
      <w:r w:rsidRPr="00B30970">
        <w:t xml:space="preserve"> percent</w:t>
      </w:r>
      <w:r w:rsidR="000C16FA">
        <w:t xml:space="preserve"> for the P</w:t>
      </w:r>
      <w:r w:rsidRPr="00B30970">
        <w:t xml:space="preserve">roject. </w:t>
      </w:r>
      <w:r>
        <w:t xml:space="preserve"> </w:t>
      </w:r>
      <w:r w:rsidR="00ED6468" w:rsidRPr="00ED6468">
        <w:t xml:space="preserve">This IRR should be considered as a lower bound, as the analysis; (i) does not consider many positive externalities of education; (ii) ignores the likely positive earnings impact of improved cognitive skills derived from different </w:t>
      </w:r>
      <w:r w:rsidR="00C25990">
        <w:t>Component</w:t>
      </w:r>
      <w:r w:rsidR="00ED6468" w:rsidRPr="00ED6468">
        <w:t xml:space="preserve">s of the Project; (iii) does not quantify likely positive interactions between different Project </w:t>
      </w:r>
      <w:r w:rsidR="00C25990">
        <w:t>Component</w:t>
      </w:r>
      <w:r w:rsidR="00ED6468" w:rsidRPr="00ED6468">
        <w:t>s, and between the Project and PASEN II; and (iv) limits the direct impact of the Project to just five years.</w:t>
      </w:r>
    </w:p>
    <w:p w:rsidR="006B3EE5" w:rsidRDefault="006B3EE5" w:rsidP="006B3EE5">
      <w:pPr>
        <w:pStyle w:val="ListParagraph"/>
        <w:ind w:left="0"/>
        <w:jc w:val="both"/>
      </w:pPr>
    </w:p>
    <w:p w:rsidR="006B3EE5" w:rsidRDefault="006B3EE5" w:rsidP="005E2993">
      <w:pPr>
        <w:pStyle w:val="ListParagraph"/>
        <w:numPr>
          <w:ilvl w:val="0"/>
          <w:numId w:val="16"/>
        </w:numPr>
        <w:tabs>
          <w:tab w:val="left" w:pos="0"/>
        </w:tabs>
        <w:ind w:left="0" w:firstLine="0"/>
        <w:jc w:val="both"/>
      </w:pPr>
      <w:r>
        <w:t xml:space="preserve">Low education attainment in Nicaragua is related to low retention (high dropout and high repetition), particularly in rural areas during the early years of education. </w:t>
      </w:r>
      <w:r w:rsidR="000B2C37">
        <w:t xml:space="preserve"> </w:t>
      </w:r>
      <w:r>
        <w:t xml:space="preserve">Low retention is related to lack of school readiness for students entering primary education, outdated teaching practices and curricula, inadequate school infrastructure and socio-economic factors. </w:t>
      </w:r>
      <w:r w:rsidR="000B2C37">
        <w:t xml:space="preserve"> </w:t>
      </w:r>
      <w:r>
        <w:t xml:space="preserve">Just 60 percent of the young rural population in Nicaragua finishes primary school, in comparison to 90 percent in urban areas. </w:t>
      </w:r>
      <w:r w:rsidR="000B2C37">
        <w:t xml:space="preserve"> </w:t>
      </w:r>
      <w:r>
        <w:t xml:space="preserve">High dropout and repetition rates make it harder for students to advance across the education system, creating a vicious circle of inefficiency. </w:t>
      </w:r>
      <w:r w:rsidR="000B2C37">
        <w:t xml:space="preserve"> </w:t>
      </w:r>
      <w:r>
        <w:t>For example, more than 20 percent of the students in grade</w:t>
      </w:r>
      <w:r w:rsidR="00173BA7">
        <w:t xml:space="preserve"> 1</w:t>
      </w:r>
      <w:r>
        <w:t xml:space="preserve"> are 10 or more years old. Viewed another way, youth aged 6-20 attend school for 10 years on average, but complete just 8 years of schooling. This translates into an 80 percent efficiency rate for the country as a whole, and it is even lower in rural areas (53 percent).</w:t>
      </w:r>
      <w:r w:rsidRPr="00B30970">
        <w:t xml:space="preserve"> There are strong differences between selected municipalities and the average results for the country given different patterns of repetition and dropout. </w:t>
      </w:r>
      <w:r w:rsidR="000B2C37">
        <w:t xml:space="preserve"> </w:t>
      </w:r>
      <w:r w:rsidRPr="00B30970">
        <w:t xml:space="preserve">In the selected municipalities, students entering the education system </w:t>
      </w:r>
      <w:r>
        <w:t xml:space="preserve">complete on average just </w:t>
      </w:r>
      <w:r w:rsidRPr="00B30970">
        <w:t xml:space="preserve">6.4 years of education, while the average for the country is 8.1 years of education. (See Figure </w:t>
      </w:r>
      <w:r w:rsidR="00A10D18">
        <w:t>6.</w:t>
      </w:r>
      <w:r w:rsidRPr="00B30970">
        <w:t>1 for differences in progress across the education system).</w:t>
      </w:r>
    </w:p>
    <w:p w:rsidR="006B3EE5" w:rsidRDefault="006B3EE5" w:rsidP="006B3EE5">
      <w:pPr>
        <w:pStyle w:val="ListParagraph"/>
        <w:tabs>
          <w:tab w:val="left" w:pos="0"/>
        </w:tabs>
        <w:ind w:left="0"/>
        <w:jc w:val="both"/>
      </w:pPr>
    </w:p>
    <w:p w:rsidR="006B3EE5" w:rsidRDefault="006B3EE5" w:rsidP="006B3EE5">
      <w:pPr>
        <w:pStyle w:val="ListParagraph"/>
        <w:tabs>
          <w:tab w:val="left" w:pos="0"/>
        </w:tabs>
        <w:jc w:val="both"/>
        <w:rPr>
          <w:b/>
        </w:rPr>
      </w:pPr>
    </w:p>
    <w:p w:rsidR="006B3EE5" w:rsidRDefault="006B3EE5" w:rsidP="006B3EE5">
      <w:pPr>
        <w:pStyle w:val="ListParagraph"/>
        <w:tabs>
          <w:tab w:val="left" w:pos="0"/>
        </w:tabs>
        <w:jc w:val="both"/>
        <w:rPr>
          <w:b/>
        </w:rPr>
      </w:pPr>
    </w:p>
    <w:p w:rsidR="006B3EE5" w:rsidRDefault="006B3EE5" w:rsidP="006B3EE5">
      <w:pPr>
        <w:pStyle w:val="ListParagraph"/>
        <w:tabs>
          <w:tab w:val="left" w:pos="0"/>
        </w:tabs>
        <w:jc w:val="both"/>
        <w:rPr>
          <w:b/>
        </w:rPr>
      </w:pPr>
    </w:p>
    <w:p w:rsidR="00F0685A" w:rsidRDefault="00F0685A" w:rsidP="006B3EE5">
      <w:pPr>
        <w:pStyle w:val="ListParagraph"/>
        <w:tabs>
          <w:tab w:val="left" w:pos="0"/>
        </w:tabs>
        <w:jc w:val="both"/>
        <w:rPr>
          <w:b/>
        </w:rPr>
      </w:pPr>
    </w:p>
    <w:p w:rsidR="006B3EE5" w:rsidRDefault="006B3EE5" w:rsidP="006B3EE5">
      <w:pPr>
        <w:pStyle w:val="ListParagraph"/>
        <w:tabs>
          <w:tab w:val="left" w:pos="0"/>
        </w:tabs>
        <w:jc w:val="both"/>
        <w:rPr>
          <w:b/>
        </w:rPr>
      </w:pPr>
    </w:p>
    <w:p w:rsidR="006B3EE5" w:rsidRDefault="006B3EE5" w:rsidP="006B3EE5">
      <w:pPr>
        <w:pStyle w:val="ListParagraph"/>
        <w:tabs>
          <w:tab w:val="left" w:pos="0"/>
        </w:tabs>
        <w:jc w:val="both"/>
        <w:rPr>
          <w:b/>
        </w:rPr>
      </w:pPr>
    </w:p>
    <w:p w:rsidR="006B3EE5" w:rsidRPr="0044296B" w:rsidRDefault="00857376" w:rsidP="006B3EE5">
      <w:pPr>
        <w:pStyle w:val="ListParagraph"/>
        <w:tabs>
          <w:tab w:val="left" w:pos="0"/>
        </w:tabs>
        <w:rPr>
          <w:b/>
        </w:rPr>
      </w:pPr>
      <w:r>
        <w:rPr>
          <w:b/>
        </w:rPr>
        <w:t>Figure 6.1</w:t>
      </w:r>
    </w:p>
    <w:p w:rsidR="006B3EE5" w:rsidRPr="0044296B" w:rsidRDefault="006B3EE5" w:rsidP="006B3EE5">
      <w:pPr>
        <w:pStyle w:val="ListParagraph"/>
        <w:tabs>
          <w:tab w:val="left" w:pos="0"/>
        </w:tabs>
        <w:jc w:val="both"/>
        <w:rPr>
          <w:b/>
        </w:rPr>
      </w:pPr>
      <w:r w:rsidRPr="0044296B">
        <w:rPr>
          <w:b/>
        </w:rPr>
        <w:t>Education Attainment by Grade of School Age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6"/>
        <w:gridCol w:w="2160"/>
      </w:tblGrid>
      <w:tr w:rsidR="006B3EE5">
        <w:tc>
          <w:tcPr>
            <w:tcW w:w="7416" w:type="dxa"/>
          </w:tcPr>
          <w:p w:rsidR="006B3EE5" w:rsidRDefault="006B3EE5" w:rsidP="000B2C37">
            <w:r w:rsidRPr="0044296B">
              <w:rPr>
                <w:noProof/>
              </w:rPr>
              <w:drawing>
                <wp:inline distT="0" distB="0" distL="0" distR="0" wp14:anchorId="51A6ACDF" wp14:editId="0242D49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160" w:type="dxa"/>
          </w:tcPr>
          <w:p w:rsidR="006B3EE5" w:rsidRDefault="006B3EE5" w:rsidP="000B2C37">
            <w:pPr>
              <w:jc w:val="center"/>
            </w:pPr>
          </w:p>
        </w:tc>
      </w:tr>
    </w:tbl>
    <w:p w:rsidR="006B3EE5" w:rsidRDefault="006B3EE5" w:rsidP="005E2993">
      <w:pPr>
        <w:pStyle w:val="ListParagraph"/>
        <w:numPr>
          <w:ilvl w:val="0"/>
          <w:numId w:val="16"/>
        </w:numPr>
        <w:tabs>
          <w:tab w:val="left" w:pos="0"/>
        </w:tabs>
        <w:ind w:left="0" w:firstLine="0"/>
        <w:jc w:val="both"/>
      </w:pPr>
      <w:r>
        <w:t xml:space="preserve">The Gross Enrollment Rate for </w:t>
      </w:r>
      <w:r w:rsidR="00F0685A">
        <w:t>preschool</w:t>
      </w:r>
      <w:r>
        <w:t xml:space="preserve"> is only 58 percent, while in the selected</w:t>
      </w:r>
      <w:r w:rsidR="004133E9">
        <w:t xml:space="preserve"> </w:t>
      </w:r>
      <w:r>
        <w:t>43 municipalities is 41</w:t>
      </w:r>
      <w:r w:rsidR="00496E1E">
        <w:t>.7</w:t>
      </w:r>
      <w:r>
        <w:t xml:space="preserve"> percent.</w:t>
      </w:r>
      <w:r w:rsidR="000B2C37">
        <w:t xml:space="preserve"> </w:t>
      </w:r>
      <w:r>
        <w:t xml:space="preserve"> The low enrollment affects school readiness of students entering first grade, increasing the likelihood of repeating a school grade or dropping out.</w:t>
      </w:r>
      <w:r w:rsidR="000B2C37">
        <w:t xml:space="preserve"> </w:t>
      </w:r>
      <w:r>
        <w:t xml:space="preserve"> Different combinations of demand and supply factors determine the low enrollment rate.  On the demand side, parents gave the following reasons in the latest household survey for why their children aged 3-5 were not enrolled in school: (a) parents do not perceive its positive value (38</w:t>
      </w:r>
      <w:r w:rsidR="006D3ABC">
        <w:t xml:space="preserve"> percent</w:t>
      </w:r>
      <w:r>
        <w:t xml:space="preserve"> of parents in urban areas and 36</w:t>
      </w:r>
      <w:r w:rsidR="006D3ABC">
        <w:t xml:space="preserve"> percent</w:t>
      </w:r>
      <w:r>
        <w:t xml:space="preserve"> of parents in urban areas mentioned “no need for it”); (b) parents are poorly informed on the relevant age (29</w:t>
      </w:r>
      <w:r w:rsidR="006D3ABC">
        <w:t xml:space="preserve"> percent</w:t>
      </w:r>
      <w:r>
        <w:t xml:space="preserve"> of parents in urban areas and 26</w:t>
      </w:r>
      <w:r w:rsidR="006D3ABC">
        <w:t xml:space="preserve"> percent</w:t>
      </w:r>
      <w:r>
        <w:t xml:space="preserve"> of parents in rural areas mentioned “that the kid was not old enough”; and (c) financial factors (13</w:t>
      </w:r>
      <w:r w:rsidR="006D3ABC">
        <w:t xml:space="preserve"> percent</w:t>
      </w:r>
      <w:r>
        <w:t xml:space="preserve"> in urban areas and 4</w:t>
      </w:r>
      <w:r w:rsidR="006D3ABC">
        <w:t xml:space="preserve"> percent</w:t>
      </w:r>
      <w:r>
        <w:t xml:space="preserve"> in rural areas).  In rural areas, supply-side factors seem to be a major determinant of enrollment; 24 percent of parents not sending their kids to preschool mentioned that school was simply far from home (see Table </w:t>
      </w:r>
      <w:r w:rsidR="00A10D18">
        <w:t>6.</w:t>
      </w:r>
      <w:r>
        <w:t xml:space="preserve">1). </w:t>
      </w:r>
    </w:p>
    <w:p w:rsidR="006B3EE5" w:rsidRDefault="006B3EE5" w:rsidP="006B3EE5">
      <w:pPr>
        <w:pStyle w:val="ListParagraph"/>
        <w:tabs>
          <w:tab w:val="left" w:pos="0"/>
        </w:tabs>
        <w:ind w:left="0"/>
        <w:jc w:val="both"/>
      </w:pPr>
    </w:p>
    <w:p w:rsidR="006B3EE5" w:rsidRPr="00F56393" w:rsidRDefault="006B3EE5" w:rsidP="006B3EE5">
      <w:pPr>
        <w:pStyle w:val="ListParagraph"/>
        <w:tabs>
          <w:tab w:val="left" w:pos="0"/>
        </w:tabs>
        <w:ind w:left="0"/>
        <w:jc w:val="center"/>
        <w:rPr>
          <w:b/>
        </w:rPr>
      </w:pPr>
      <w:r w:rsidRPr="00F56393">
        <w:rPr>
          <w:b/>
        </w:rPr>
        <w:t xml:space="preserve">Table </w:t>
      </w:r>
      <w:r w:rsidR="00857376">
        <w:rPr>
          <w:b/>
        </w:rPr>
        <w:t>6.</w:t>
      </w:r>
      <w:r w:rsidRPr="00F56393">
        <w:rPr>
          <w:b/>
        </w:rPr>
        <w:t>1</w:t>
      </w:r>
    </w:p>
    <w:tbl>
      <w:tblPr>
        <w:tblW w:w="4055" w:type="dxa"/>
        <w:jc w:val="center"/>
        <w:tblInd w:w="108" w:type="dxa"/>
        <w:tblLook w:val="04A0" w:firstRow="1" w:lastRow="0" w:firstColumn="1" w:lastColumn="0" w:noHBand="0" w:noVBand="1"/>
      </w:tblPr>
      <w:tblGrid>
        <w:gridCol w:w="2356"/>
        <w:gridCol w:w="883"/>
        <w:gridCol w:w="816"/>
      </w:tblGrid>
      <w:tr w:rsidR="006B3EE5" w:rsidRPr="000B2C37">
        <w:trPr>
          <w:trHeight w:val="300"/>
          <w:jc w:val="center"/>
        </w:trPr>
        <w:tc>
          <w:tcPr>
            <w:tcW w:w="4055" w:type="dxa"/>
            <w:gridSpan w:val="3"/>
            <w:tcBorders>
              <w:top w:val="nil"/>
              <w:left w:val="nil"/>
              <w:bottom w:val="nil"/>
              <w:right w:val="nil"/>
            </w:tcBorders>
            <w:shd w:val="clear" w:color="auto" w:fill="auto"/>
            <w:noWrap/>
            <w:vAlign w:val="bottom"/>
          </w:tcPr>
          <w:p w:rsidR="006B3EE5" w:rsidRPr="000B2C37" w:rsidRDefault="006B3EE5" w:rsidP="000B2C37">
            <w:pPr>
              <w:rPr>
                <w:b/>
                <w:bCs/>
                <w:color w:val="000000"/>
              </w:rPr>
            </w:pPr>
            <w:r w:rsidRPr="000B2C37">
              <w:rPr>
                <w:b/>
                <w:bCs/>
                <w:color w:val="000000"/>
              </w:rPr>
              <w:t xml:space="preserve">Reasons for not attending </w:t>
            </w:r>
            <w:r w:rsidR="00F0685A">
              <w:rPr>
                <w:b/>
                <w:bCs/>
                <w:color w:val="000000"/>
              </w:rPr>
              <w:t>Preschool</w:t>
            </w:r>
          </w:p>
        </w:tc>
      </w:tr>
      <w:tr w:rsidR="00857376" w:rsidRPr="000B2C37">
        <w:trPr>
          <w:trHeight w:val="300"/>
          <w:jc w:val="center"/>
        </w:trPr>
        <w:tc>
          <w:tcPr>
            <w:tcW w:w="4055" w:type="dxa"/>
            <w:gridSpan w:val="3"/>
            <w:tcBorders>
              <w:top w:val="nil"/>
              <w:left w:val="nil"/>
              <w:bottom w:val="nil"/>
              <w:right w:val="nil"/>
            </w:tcBorders>
            <w:shd w:val="clear" w:color="auto" w:fill="auto"/>
            <w:noWrap/>
            <w:vAlign w:val="bottom"/>
          </w:tcPr>
          <w:p w:rsidR="00857376" w:rsidRPr="000B2C37" w:rsidRDefault="00857376" w:rsidP="00857376">
            <w:pPr>
              <w:jc w:val="center"/>
              <w:rPr>
                <w:b/>
                <w:bCs/>
                <w:color w:val="000000"/>
              </w:rPr>
            </w:pPr>
            <w:r w:rsidRPr="000B2C37">
              <w:rPr>
                <w:b/>
                <w:bCs/>
                <w:color w:val="000000"/>
              </w:rPr>
              <w:t>Nicaragua 2009</w:t>
            </w:r>
          </w:p>
        </w:tc>
      </w:tr>
      <w:tr w:rsidR="006B3EE5" w:rsidRPr="000B2C37">
        <w:trPr>
          <w:trHeight w:val="300"/>
          <w:jc w:val="center"/>
        </w:trPr>
        <w:tc>
          <w:tcPr>
            <w:tcW w:w="2356" w:type="dxa"/>
            <w:tcBorders>
              <w:top w:val="single" w:sz="4" w:space="0" w:color="auto"/>
              <w:left w:val="nil"/>
              <w:bottom w:val="single" w:sz="4" w:space="0" w:color="auto"/>
              <w:right w:val="nil"/>
            </w:tcBorders>
            <w:shd w:val="clear" w:color="auto" w:fill="auto"/>
            <w:noWrap/>
            <w:vAlign w:val="bottom"/>
          </w:tcPr>
          <w:p w:rsidR="006B3EE5" w:rsidRPr="000B2C37" w:rsidRDefault="006B3EE5" w:rsidP="000B2C37">
            <w:pPr>
              <w:rPr>
                <w:b/>
                <w:bCs/>
                <w:color w:val="000000"/>
              </w:rPr>
            </w:pPr>
            <w:r w:rsidRPr="000B2C37">
              <w:rPr>
                <w:b/>
                <w:bCs/>
                <w:color w:val="000000"/>
              </w:rPr>
              <w:t> </w:t>
            </w:r>
          </w:p>
        </w:tc>
        <w:tc>
          <w:tcPr>
            <w:tcW w:w="883" w:type="dxa"/>
            <w:tcBorders>
              <w:top w:val="single" w:sz="4" w:space="0" w:color="auto"/>
              <w:left w:val="nil"/>
              <w:bottom w:val="single" w:sz="4" w:space="0" w:color="auto"/>
              <w:right w:val="nil"/>
            </w:tcBorders>
            <w:shd w:val="clear" w:color="auto" w:fill="auto"/>
            <w:noWrap/>
            <w:vAlign w:val="bottom"/>
          </w:tcPr>
          <w:p w:rsidR="006B3EE5" w:rsidRPr="000B2C37" w:rsidRDefault="006B3EE5" w:rsidP="000B2C37">
            <w:pPr>
              <w:jc w:val="center"/>
              <w:rPr>
                <w:b/>
                <w:bCs/>
                <w:color w:val="000000"/>
              </w:rPr>
            </w:pPr>
            <w:r w:rsidRPr="000B2C37">
              <w:rPr>
                <w:b/>
                <w:bCs/>
                <w:color w:val="000000"/>
              </w:rPr>
              <w:t>Urban</w:t>
            </w:r>
          </w:p>
        </w:tc>
        <w:tc>
          <w:tcPr>
            <w:tcW w:w="816" w:type="dxa"/>
            <w:tcBorders>
              <w:top w:val="single" w:sz="4" w:space="0" w:color="auto"/>
              <w:left w:val="nil"/>
              <w:bottom w:val="single" w:sz="4" w:space="0" w:color="auto"/>
              <w:right w:val="nil"/>
            </w:tcBorders>
            <w:shd w:val="clear" w:color="auto" w:fill="auto"/>
            <w:noWrap/>
            <w:vAlign w:val="bottom"/>
          </w:tcPr>
          <w:p w:rsidR="006B3EE5" w:rsidRPr="000B2C37" w:rsidRDefault="006B3EE5" w:rsidP="000B2C37">
            <w:pPr>
              <w:jc w:val="center"/>
              <w:rPr>
                <w:b/>
                <w:bCs/>
                <w:color w:val="000000"/>
              </w:rPr>
            </w:pPr>
            <w:r w:rsidRPr="000B2C37">
              <w:rPr>
                <w:b/>
                <w:bCs/>
                <w:color w:val="000000"/>
              </w:rPr>
              <w:t>Rural</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Not old enough</w:t>
            </w:r>
          </w:p>
        </w:tc>
        <w:tc>
          <w:tcPr>
            <w:tcW w:w="883"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29%</w:t>
            </w:r>
          </w:p>
        </w:tc>
        <w:tc>
          <w:tcPr>
            <w:tcW w:w="816"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26%</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Does not need it</w:t>
            </w:r>
          </w:p>
        </w:tc>
        <w:tc>
          <w:tcPr>
            <w:tcW w:w="883"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38%</w:t>
            </w:r>
          </w:p>
        </w:tc>
        <w:tc>
          <w:tcPr>
            <w:tcW w:w="816"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36%</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Far from home</w:t>
            </w:r>
          </w:p>
        </w:tc>
        <w:tc>
          <w:tcPr>
            <w:tcW w:w="883"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3%</w:t>
            </w:r>
          </w:p>
        </w:tc>
        <w:tc>
          <w:tcPr>
            <w:tcW w:w="816"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24%</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Family problems</w:t>
            </w:r>
          </w:p>
        </w:tc>
        <w:tc>
          <w:tcPr>
            <w:tcW w:w="883"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6%</w:t>
            </w:r>
          </w:p>
        </w:tc>
        <w:tc>
          <w:tcPr>
            <w:tcW w:w="816"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4%</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Financial factors</w:t>
            </w:r>
          </w:p>
        </w:tc>
        <w:tc>
          <w:tcPr>
            <w:tcW w:w="883"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13%</w:t>
            </w:r>
          </w:p>
        </w:tc>
        <w:tc>
          <w:tcPr>
            <w:tcW w:w="816"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4%</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Others</w:t>
            </w:r>
          </w:p>
        </w:tc>
        <w:tc>
          <w:tcPr>
            <w:tcW w:w="883"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11%</w:t>
            </w:r>
          </w:p>
        </w:tc>
        <w:tc>
          <w:tcPr>
            <w:tcW w:w="816" w:type="dxa"/>
            <w:tcBorders>
              <w:top w:val="nil"/>
              <w:left w:val="nil"/>
              <w:bottom w:val="nil"/>
              <w:right w:val="nil"/>
            </w:tcBorders>
            <w:shd w:val="clear" w:color="auto" w:fill="auto"/>
            <w:noWrap/>
            <w:vAlign w:val="bottom"/>
          </w:tcPr>
          <w:p w:rsidR="006B3EE5" w:rsidRPr="000B2C37" w:rsidRDefault="006B3EE5" w:rsidP="000B2C37">
            <w:pPr>
              <w:jc w:val="right"/>
              <w:rPr>
                <w:color w:val="000000"/>
              </w:rPr>
            </w:pPr>
            <w:r w:rsidRPr="000B2C37">
              <w:rPr>
                <w:color w:val="000000"/>
              </w:rPr>
              <w:t>7%</w:t>
            </w:r>
          </w:p>
        </w:tc>
      </w:tr>
      <w:tr w:rsidR="006B3EE5" w:rsidRPr="000B2C37">
        <w:trPr>
          <w:trHeight w:val="300"/>
          <w:jc w:val="center"/>
        </w:trPr>
        <w:tc>
          <w:tcPr>
            <w:tcW w:w="2356" w:type="dxa"/>
            <w:tcBorders>
              <w:top w:val="nil"/>
              <w:left w:val="nil"/>
              <w:bottom w:val="nil"/>
              <w:right w:val="nil"/>
            </w:tcBorders>
            <w:shd w:val="clear" w:color="auto" w:fill="auto"/>
            <w:noWrap/>
            <w:vAlign w:val="bottom"/>
          </w:tcPr>
          <w:p w:rsidR="006B3EE5" w:rsidRPr="000B2C37" w:rsidRDefault="006B3EE5" w:rsidP="000B2C37">
            <w:pPr>
              <w:rPr>
                <w:color w:val="000000"/>
              </w:rPr>
            </w:pPr>
          </w:p>
        </w:tc>
        <w:tc>
          <w:tcPr>
            <w:tcW w:w="883" w:type="dxa"/>
            <w:tcBorders>
              <w:top w:val="nil"/>
              <w:left w:val="nil"/>
              <w:bottom w:val="nil"/>
              <w:right w:val="nil"/>
            </w:tcBorders>
            <w:shd w:val="clear" w:color="auto" w:fill="auto"/>
            <w:noWrap/>
            <w:vAlign w:val="bottom"/>
          </w:tcPr>
          <w:p w:rsidR="006B3EE5" w:rsidRPr="000B2C37" w:rsidRDefault="006B3EE5" w:rsidP="000B2C37">
            <w:pPr>
              <w:rPr>
                <w:color w:val="000000"/>
              </w:rPr>
            </w:pPr>
          </w:p>
        </w:tc>
        <w:tc>
          <w:tcPr>
            <w:tcW w:w="816" w:type="dxa"/>
            <w:tcBorders>
              <w:top w:val="nil"/>
              <w:left w:val="nil"/>
              <w:bottom w:val="nil"/>
              <w:right w:val="nil"/>
            </w:tcBorders>
            <w:shd w:val="clear" w:color="auto" w:fill="auto"/>
            <w:noWrap/>
            <w:vAlign w:val="bottom"/>
          </w:tcPr>
          <w:p w:rsidR="006B3EE5" w:rsidRPr="000B2C37" w:rsidRDefault="006B3EE5" w:rsidP="000B2C37">
            <w:pPr>
              <w:rPr>
                <w:color w:val="000000"/>
              </w:rPr>
            </w:pPr>
          </w:p>
        </w:tc>
      </w:tr>
      <w:tr w:rsidR="006B3EE5" w:rsidRPr="000B2C37">
        <w:trPr>
          <w:trHeight w:val="300"/>
          <w:jc w:val="center"/>
        </w:trPr>
        <w:tc>
          <w:tcPr>
            <w:tcW w:w="3239" w:type="dxa"/>
            <w:gridSpan w:val="2"/>
            <w:tcBorders>
              <w:top w:val="nil"/>
              <w:left w:val="nil"/>
              <w:bottom w:val="nil"/>
              <w:right w:val="nil"/>
            </w:tcBorders>
            <w:shd w:val="clear" w:color="auto" w:fill="auto"/>
            <w:noWrap/>
            <w:vAlign w:val="bottom"/>
          </w:tcPr>
          <w:p w:rsidR="006B3EE5" w:rsidRPr="000B2C37" w:rsidRDefault="006B3EE5" w:rsidP="000B2C37">
            <w:pPr>
              <w:rPr>
                <w:color w:val="000000"/>
                <w:sz w:val="20"/>
                <w:szCs w:val="20"/>
              </w:rPr>
            </w:pPr>
            <w:r w:rsidRPr="000B2C37">
              <w:rPr>
                <w:color w:val="000000"/>
                <w:sz w:val="20"/>
                <w:szCs w:val="20"/>
              </w:rPr>
              <w:t>Note: Children 3 to 5 years old.</w:t>
            </w:r>
          </w:p>
        </w:tc>
        <w:tc>
          <w:tcPr>
            <w:tcW w:w="816" w:type="dxa"/>
            <w:tcBorders>
              <w:top w:val="nil"/>
              <w:left w:val="nil"/>
              <w:bottom w:val="nil"/>
              <w:right w:val="nil"/>
            </w:tcBorders>
            <w:shd w:val="clear" w:color="auto" w:fill="auto"/>
            <w:noWrap/>
            <w:vAlign w:val="bottom"/>
          </w:tcPr>
          <w:p w:rsidR="006B3EE5" w:rsidRPr="000B2C37" w:rsidRDefault="006B3EE5" w:rsidP="000B2C37">
            <w:pPr>
              <w:rPr>
                <w:color w:val="000000"/>
              </w:rPr>
            </w:pPr>
          </w:p>
        </w:tc>
      </w:tr>
      <w:tr w:rsidR="006B3EE5" w:rsidRPr="000B2C37">
        <w:trPr>
          <w:trHeight w:val="300"/>
          <w:jc w:val="center"/>
        </w:trPr>
        <w:tc>
          <w:tcPr>
            <w:tcW w:w="3239" w:type="dxa"/>
            <w:gridSpan w:val="2"/>
            <w:tcBorders>
              <w:top w:val="nil"/>
              <w:left w:val="nil"/>
              <w:bottom w:val="nil"/>
              <w:right w:val="nil"/>
            </w:tcBorders>
            <w:shd w:val="clear" w:color="auto" w:fill="auto"/>
            <w:noWrap/>
            <w:vAlign w:val="bottom"/>
          </w:tcPr>
          <w:p w:rsidR="006B3EE5" w:rsidRDefault="006B3EE5" w:rsidP="000B2C37">
            <w:pPr>
              <w:rPr>
                <w:color w:val="000000"/>
                <w:sz w:val="20"/>
                <w:szCs w:val="20"/>
              </w:rPr>
            </w:pPr>
            <w:r w:rsidRPr="000B2C37">
              <w:rPr>
                <w:color w:val="000000"/>
                <w:sz w:val="20"/>
                <w:szCs w:val="20"/>
              </w:rPr>
              <w:t>Data Source: EMNV 2009</w:t>
            </w:r>
          </w:p>
          <w:p w:rsidR="00C07CF2" w:rsidRPr="000B2C37" w:rsidRDefault="00C07CF2" w:rsidP="000B2C37">
            <w:pPr>
              <w:rPr>
                <w:color w:val="000000"/>
                <w:sz w:val="20"/>
                <w:szCs w:val="20"/>
              </w:rPr>
            </w:pPr>
          </w:p>
        </w:tc>
        <w:tc>
          <w:tcPr>
            <w:tcW w:w="816" w:type="dxa"/>
            <w:tcBorders>
              <w:top w:val="nil"/>
              <w:left w:val="nil"/>
              <w:bottom w:val="nil"/>
              <w:right w:val="nil"/>
            </w:tcBorders>
            <w:shd w:val="clear" w:color="auto" w:fill="auto"/>
            <w:noWrap/>
            <w:vAlign w:val="bottom"/>
          </w:tcPr>
          <w:p w:rsidR="006B3EE5" w:rsidRPr="000B2C37" w:rsidRDefault="006B3EE5" w:rsidP="000B2C37">
            <w:pPr>
              <w:rPr>
                <w:color w:val="000000"/>
              </w:rPr>
            </w:pPr>
          </w:p>
        </w:tc>
      </w:tr>
    </w:tbl>
    <w:p w:rsidR="006B3EE5" w:rsidRDefault="006B3EE5" w:rsidP="005E2993">
      <w:pPr>
        <w:pStyle w:val="ListParagraph"/>
        <w:numPr>
          <w:ilvl w:val="0"/>
          <w:numId w:val="16"/>
        </w:numPr>
        <w:tabs>
          <w:tab w:val="left" w:pos="0"/>
        </w:tabs>
        <w:ind w:left="0" w:firstLine="0"/>
        <w:jc w:val="both"/>
      </w:pPr>
      <w:r>
        <w:lastRenderedPageBreak/>
        <w:t xml:space="preserve">Gross enrollment in lower secondary education is 80 percent and 48.6 percent in the 43 selected municipalities. </w:t>
      </w:r>
      <w:r w:rsidR="000B2C37">
        <w:t xml:space="preserve"> </w:t>
      </w:r>
      <w:r>
        <w:t>Supply and demand factors economic factors affect the decision to start secondary and finish it.</w:t>
      </w:r>
      <w:r w:rsidR="000B2C37">
        <w:t xml:space="preserve"> </w:t>
      </w:r>
      <w:r>
        <w:t xml:space="preserve"> Demand factors seem to dominate the decision to start secondary education, as students mentioned lack of resour</w:t>
      </w:r>
      <w:r w:rsidR="000B2C37">
        <w:t>ces and need to work (33</w:t>
      </w:r>
      <w:r w:rsidR="006D3ABC">
        <w:t xml:space="preserve"> percent</w:t>
      </w:r>
      <w:r>
        <w:t xml:space="preserve"> and 20</w:t>
      </w:r>
      <w:r w:rsidR="006D3ABC">
        <w:t xml:space="preserve"> percent</w:t>
      </w:r>
      <w:r>
        <w:t xml:space="preserve">, respectively). On the supply side, dropouts mentioned: school is far and </w:t>
      </w:r>
      <w:r w:rsidR="00EF43AF">
        <w:t xml:space="preserve">relevant </w:t>
      </w:r>
      <w:r>
        <w:t>grade</w:t>
      </w:r>
      <w:r w:rsidR="00EF43AF">
        <w:t xml:space="preserve"> is</w:t>
      </w:r>
      <w:r>
        <w:t xml:space="preserve"> not offered (18</w:t>
      </w:r>
      <w:r w:rsidR="006D3ABC">
        <w:t xml:space="preserve"> percent</w:t>
      </w:r>
      <w:r>
        <w:t xml:space="preserve"> and 6</w:t>
      </w:r>
      <w:r w:rsidR="006D3ABC">
        <w:t xml:space="preserve"> percent</w:t>
      </w:r>
      <w:r>
        <w:t xml:space="preserve">, respectively). Additionally, 15 percent of students mentioned “not interested” as the main factor related to their decision to drop out of school, which is likely related to a perceived low perceived value of secondary education (likely related to poor quality of supply or irrelevant curricula), which affect the demand. </w:t>
      </w:r>
      <w:r w:rsidR="000B2C37">
        <w:t xml:space="preserve"> </w:t>
      </w:r>
      <w:r>
        <w:t>Among those that started secondary education, 36 percent cited “not interested” as the main reason to have dropped out of secondary education, and 39 percent cited economic problem</w:t>
      </w:r>
      <w:r w:rsidR="000B2C37">
        <w:t>s (27</w:t>
      </w:r>
      <w:r w:rsidR="006D3ABC">
        <w:t xml:space="preserve"> percent</w:t>
      </w:r>
      <w:r>
        <w:t xml:space="preserve"> mentioned lack of resources and 12</w:t>
      </w:r>
      <w:r w:rsidR="006D3ABC">
        <w:t xml:space="preserve"> percent</w:t>
      </w:r>
      <w:r>
        <w:t xml:space="preserve"> mentioned school is far) (see Table </w:t>
      </w:r>
      <w:r w:rsidR="006923F3">
        <w:t>6.</w:t>
      </w:r>
      <w:r>
        <w:t>2).</w:t>
      </w:r>
    </w:p>
    <w:p w:rsidR="006B3EE5" w:rsidRDefault="006B3EE5" w:rsidP="006B3EE5">
      <w:pPr>
        <w:pStyle w:val="ListParagraph"/>
        <w:tabs>
          <w:tab w:val="left" w:pos="0"/>
        </w:tabs>
        <w:ind w:left="0"/>
        <w:jc w:val="both"/>
      </w:pPr>
    </w:p>
    <w:p w:rsidR="006B3EE5" w:rsidRPr="00F56393" w:rsidRDefault="006B3EE5" w:rsidP="006B3EE5">
      <w:pPr>
        <w:pStyle w:val="ListParagraph"/>
        <w:tabs>
          <w:tab w:val="left" w:pos="0"/>
        </w:tabs>
        <w:ind w:left="0"/>
        <w:jc w:val="center"/>
        <w:rPr>
          <w:b/>
        </w:rPr>
      </w:pPr>
      <w:r w:rsidRPr="00F56393">
        <w:rPr>
          <w:b/>
        </w:rPr>
        <w:t xml:space="preserve">Table </w:t>
      </w:r>
      <w:r w:rsidR="00857376">
        <w:rPr>
          <w:b/>
        </w:rPr>
        <w:t>6.</w:t>
      </w:r>
      <w:r w:rsidRPr="00F56393">
        <w:rPr>
          <w:b/>
        </w:rPr>
        <w:t>2</w:t>
      </w:r>
    </w:p>
    <w:tbl>
      <w:tblPr>
        <w:tblW w:w="5543" w:type="dxa"/>
        <w:jc w:val="center"/>
        <w:tblInd w:w="108" w:type="dxa"/>
        <w:tblLook w:val="04A0" w:firstRow="1" w:lastRow="0" w:firstColumn="1" w:lastColumn="0" w:noHBand="0" w:noVBand="1"/>
      </w:tblPr>
      <w:tblGrid>
        <w:gridCol w:w="3950"/>
        <w:gridCol w:w="736"/>
        <w:gridCol w:w="857"/>
      </w:tblGrid>
      <w:tr w:rsidR="006B3EE5" w:rsidRPr="000B2C37">
        <w:trPr>
          <w:trHeight w:val="300"/>
          <w:jc w:val="center"/>
        </w:trPr>
        <w:tc>
          <w:tcPr>
            <w:tcW w:w="5543" w:type="dxa"/>
            <w:gridSpan w:val="3"/>
            <w:tcBorders>
              <w:top w:val="nil"/>
              <w:left w:val="nil"/>
              <w:bottom w:val="nil"/>
              <w:right w:val="nil"/>
            </w:tcBorders>
            <w:shd w:val="clear" w:color="auto" w:fill="auto"/>
            <w:noWrap/>
            <w:vAlign w:val="bottom"/>
          </w:tcPr>
          <w:p w:rsidR="006B3EE5" w:rsidRPr="000B2C37" w:rsidRDefault="006B3EE5" w:rsidP="001663F8">
            <w:pPr>
              <w:jc w:val="center"/>
              <w:rPr>
                <w:b/>
                <w:bCs/>
                <w:color w:val="000000"/>
              </w:rPr>
            </w:pPr>
            <w:r w:rsidRPr="000B2C37">
              <w:rPr>
                <w:b/>
                <w:bCs/>
                <w:color w:val="000000"/>
              </w:rPr>
              <w:t>Explaining Drop Out behavior from school -</w:t>
            </w:r>
            <w:r w:rsidR="00453247">
              <w:rPr>
                <w:b/>
                <w:bCs/>
                <w:color w:val="000000"/>
              </w:rPr>
              <w:t xml:space="preserve"> </w:t>
            </w:r>
            <w:r w:rsidRPr="000B2C37">
              <w:rPr>
                <w:b/>
                <w:bCs/>
                <w:color w:val="000000"/>
              </w:rPr>
              <w:t>Secondary Education</w:t>
            </w:r>
          </w:p>
        </w:tc>
      </w:tr>
      <w:tr w:rsidR="001663F8" w:rsidRPr="000B2C37">
        <w:trPr>
          <w:trHeight w:val="300"/>
          <w:jc w:val="center"/>
        </w:trPr>
        <w:tc>
          <w:tcPr>
            <w:tcW w:w="5543" w:type="dxa"/>
            <w:gridSpan w:val="3"/>
            <w:tcBorders>
              <w:top w:val="nil"/>
              <w:left w:val="nil"/>
              <w:bottom w:val="nil"/>
              <w:right w:val="nil"/>
            </w:tcBorders>
            <w:shd w:val="clear" w:color="auto" w:fill="auto"/>
            <w:noWrap/>
            <w:vAlign w:val="bottom"/>
          </w:tcPr>
          <w:p w:rsidR="001663F8" w:rsidRPr="000B2C37" w:rsidRDefault="001663F8" w:rsidP="001663F8">
            <w:pPr>
              <w:jc w:val="center"/>
              <w:rPr>
                <w:b/>
                <w:bCs/>
                <w:color w:val="000000"/>
              </w:rPr>
            </w:pPr>
            <w:r w:rsidRPr="000B2C37">
              <w:rPr>
                <w:b/>
                <w:bCs/>
                <w:color w:val="000000"/>
              </w:rPr>
              <w:t xml:space="preserve">Nicaragua - Rural areas </w:t>
            </w:r>
            <w:r w:rsidR="00046972">
              <w:rPr>
                <w:b/>
                <w:bCs/>
                <w:color w:val="000000"/>
              </w:rPr>
              <w:t>–</w:t>
            </w:r>
            <w:r w:rsidRPr="000B2C37">
              <w:rPr>
                <w:b/>
                <w:bCs/>
                <w:color w:val="000000"/>
              </w:rPr>
              <w:t xml:space="preserve"> 2009</w:t>
            </w:r>
          </w:p>
        </w:tc>
      </w:tr>
      <w:tr w:rsidR="006B3EE5" w:rsidRPr="000B2C37">
        <w:trPr>
          <w:trHeight w:val="300"/>
          <w:jc w:val="center"/>
        </w:trPr>
        <w:tc>
          <w:tcPr>
            <w:tcW w:w="3950" w:type="dxa"/>
            <w:tcBorders>
              <w:top w:val="single" w:sz="4" w:space="0" w:color="auto"/>
              <w:left w:val="nil"/>
              <w:bottom w:val="single" w:sz="4" w:space="0" w:color="auto"/>
              <w:right w:val="nil"/>
            </w:tcBorders>
            <w:shd w:val="clear" w:color="auto" w:fill="auto"/>
            <w:noWrap/>
            <w:vAlign w:val="bottom"/>
          </w:tcPr>
          <w:p w:rsidR="006B3EE5" w:rsidRPr="000B2C37" w:rsidRDefault="006B3EE5" w:rsidP="000B2C37">
            <w:pPr>
              <w:rPr>
                <w:b/>
                <w:bCs/>
                <w:color w:val="000000"/>
              </w:rPr>
            </w:pPr>
            <w:r w:rsidRPr="000B2C37">
              <w:rPr>
                <w:b/>
                <w:bCs/>
                <w:color w:val="000000"/>
              </w:rPr>
              <w:t> </w:t>
            </w:r>
          </w:p>
        </w:tc>
        <w:tc>
          <w:tcPr>
            <w:tcW w:w="736" w:type="dxa"/>
            <w:tcBorders>
              <w:top w:val="single" w:sz="4" w:space="0" w:color="auto"/>
              <w:left w:val="nil"/>
              <w:bottom w:val="single" w:sz="4" w:space="0" w:color="auto"/>
              <w:right w:val="nil"/>
            </w:tcBorders>
            <w:shd w:val="clear" w:color="auto" w:fill="auto"/>
            <w:noWrap/>
            <w:vAlign w:val="bottom"/>
          </w:tcPr>
          <w:p w:rsidR="006B3EE5" w:rsidRPr="000B2C37" w:rsidRDefault="006B3EE5" w:rsidP="000B2C37">
            <w:pPr>
              <w:jc w:val="center"/>
              <w:rPr>
                <w:b/>
                <w:bCs/>
                <w:color w:val="000000"/>
              </w:rPr>
            </w:pPr>
            <w:r w:rsidRPr="000B2C37">
              <w:rPr>
                <w:b/>
                <w:bCs/>
                <w:color w:val="000000"/>
              </w:rPr>
              <w:t>Start</w:t>
            </w:r>
          </w:p>
        </w:tc>
        <w:tc>
          <w:tcPr>
            <w:tcW w:w="857" w:type="dxa"/>
            <w:tcBorders>
              <w:top w:val="single" w:sz="4" w:space="0" w:color="auto"/>
              <w:left w:val="nil"/>
              <w:bottom w:val="single" w:sz="4" w:space="0" w:color="auto"/>
              <w:right w:val="nil"/>
            </w:tcBorders>
            <w:shd w:val="clear" w:color="auto" w:fill="auto"/>
            <w:noWrap/>
            <w:vAlign w:val="bottom"/>
          </w:tcPr>
          <w:p w:rsidR="006B3EE5" w:rsidRPr="000B2C37" w:rsidRDefault="006B3EE5" w:rsidP="000B2C37">
            <w:pPr>
              <w:jc w:val="center"/>
              <w:rPr>
                <w:b/>
                <w:bCs/>
                <w:color w:val="000000"/>
              </w:rPr>
            </w:pPr>
            <w:r w:rsidRPr="000B2C37">
              <w:rPr>
                <w:b/>
                <w:bCs/>
                <w:color w:val="000000"/>
              </w:rPr>
              <w:t>Finish</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Not interested</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15%</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36%</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Household chores</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0%</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5%</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Work</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20%</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12%</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Grade not offered</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6%</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0%</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School is far</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18%</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12%</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Security concerns</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0%</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1%</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Pregnancy</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0%</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2%</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Care of infants</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2%</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2%</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rPr>
            </w:pPr>
            <w:r w:rsidRPr="000B2C37">
              <w:rPr>
                <w:color w:val="000000"/>
              </w:rPr>
              <w:t>Problems at the family level</w:t>
            </w:r>
          </w:p>
        </w:tc>
        <w:tc>
          <w:tcPr>
            <w:tcW w:w="736"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7%</w:t>
            </w:r>
          </w:p>
        </w:tc>
        <w:tc>
          <w:tcPr>
            <w:tcW w:w="857" w:type="dxa"/>
            <w:tcBorders>
              <w:top w:val="nil"/>
              <w:left w:val="nil"/>
              <w:bottom w:val="nil"/>
              <w:right w:val="nil"/>
            </w:tcBorders>
            <w:shd w:val="clear" w:color="auto" w:fill="auto"/>
            <w:noWrap/>
            <w:vAlign w:val="bottom"/>
          </w:tcPr>
          <w:p w:rsidR="006B3EE5" w:rsidRPr="000B2C37" w:rsidRDefault="006B3EE5" w:rsidP="000B2C37">
            <w:pPr>
              <w:jc w:val="center"/>
              <w:rPr>
                <w:color w:val="000000"/>
              </w:rPr>
            </w:pPr>
            <w:r w:rsidRPr="000B2C37">
              <w:rPr>
                <w:color w:val="000000"/>
              </w:rPr>
              <w:t>2%</w:t>
            </w:r>
          </w:p>
        </w:tc>
      </w:tr>
      <w:tr w:rsidR="006B3EE5" w:rsidRPr="000B2C37">
        <w:trPr>
          <w:trHeight w:val="300"/>
          <w:jc w:val="center"/>
        </w:trPr>
        <w:tc>
          <w:tcPr>
            <w:tcW w:w="3950" w:type="dxa"/>
            <w:tcBorders>
              <w:top w:val="nil"/>
              <w:left w:val="nil"/>
              <w:bottom w:val="single" w:sz="4" w:space="0" w:color="auto"/>
              <w:right w:val="nil"/>
            </w:tcBorders>
            <w:shd w:val="clear" w:color="auto" w:fill="auto"/>
            <w:noWrap/>
            <w:vAlign w:val="bottom"/>
          </w:tcPr>
          <w:p w:rsidR="006B3EE5" w:rsidRPr="000B2C37" w:rsidRDefault="006B3EE5" w:rsidP="000B2C37">
            <w:pPr>
              <w:rPr>
                <w:color w:val="000000"/>
              </w:rPr>
            </w:pPr>
            <w:r w:rsidRPr="000B2C37">
              <w:rPr>
                <w:color w:val="000000"/>
              </w:rPr>
              <w:t>Lack of resources</w:t>
            </w:r>
          </w:p>
        </w:tc>
        <w:tc>
          <w:tcPr>
            <w:tcW w:w="736" w:type="dxa"/>
            <w:tcBorders>
              <w:top w:val="nil"/>
              <w:left w:val="nil"/>
              <w:bottom w:val="single" w:sz="4" w:space="0" w:color="auto"/>
              <w:right w:val="nil"/>
            </w:tcBorders>
            <w:shd w:val="clear" w:color="auto" w:fill="auto"/>
            <w:noWrap/>
            <w:vAlign w:val="bottom"/>
          </w:tcPr>
          <w:p w:rsidR="006B3EE5" w:rsidRPr="000B2C37" w:rsidRDefault="006B3EE5" w:rsidP="000B2C37">
            <w:pPr>
              <w:jc w:val="center"/>
              <w:rPr>
                <w:color w:val="000000"/>
              </w:rPr>
            </w:pPr>
            <w:r w:rsidRPr="000B2C37">
              <w:rPr>
                <w:color w:val="000000"/>
              </w:rPr>
              <w:t>33%</w:t>
            </w:r>
          </w:p>
        </w:tc>
        <w:tc>
          <w:tcPr>
            <w:tcW w:w="857" w:type="dxa"/>
            <w:tcBorders>
              <w:top w:val="nil"/>
              <w:left w:val="nil"/>
              <w:bottom w:val="single" w:sz="4" w:space="0" w:color="auto"/>
              <w:right w:val="nil"/>
            </w:tcBorders>
            <w:shd w:val="clear" w:color="auto" w:fill="auto"/>
            <w:noWrap/>
            <w:vAlign w:val="bottom"/>
          </w:tcPr>
          <w:p w:rsidR="006B3EE5" w:rsidRPr="000B2C37" w:rsidRDefault="006B3EE5" w:rsidP="000B2C37">
            <w:pPr>
              <w:jc w:val="center"/>
              <w:rPr>
                <w:color w:val="000000"/>
              </w:rPr>
            </w:pPr>
            <w:r w:rsidRPr="000B2C37">
              <w:rPr>
                <w:color w:val="000000"/>
              </w:rPr>
              <w:t>27%</w:t>
            </w:r>
          </w:p>
        </w:tc>
      </w:tr>
      <w:tr w:rsidR="006B3EE5" w:rsidRPr="000B2C37">
        <w:trPr>
          <w:trHeight w:val="300"/>
          <w:jc w:val="center"/>
        </w:trPr>
        <w:tc>
          <w:tcPr>
            <w:tcW w:w="5543" w:type="dxa"/>
            <w:gridSpan w:val="3"/>
            <w:tcBorders>
              <w:top w:val="nil"/>
              <w:left w:val="nil"/>
              <w:bottom w:val="nil"/>
              <w:right w:val="nil"/>
            </w:tcBorders>
            <w:shd w:val="clear" w:color="auto" w:fill="auto"/>
            <w:noWrap/>
            <w:vAlign w:val="bottom"/>
          </w:tcPr>
          <w:p w:rsidR="006B3EE5" w:rsidRPr="000B2C37" w:rsidRDefault="006B3EE5" w:rsidP="000B2C37">
            <w:pPr>
              <w:rPr>
                <w:color w:val="000000"/>
                <w:sz w:val="20"/>
                <w:szCs w:val="20"/>
              </w:rPr>
            </w:pPr>
            <w:r w:rsidRPr="000B2C37">
              <w:rPr>
                <w:color w:val="000000"/>
                <w:sz w:val="20"/>
                <w:szCs w:val="20"/>
              </w:rPr>
              <w:t xml:space="preserve">Note: Reason mentioned by kids by the relevant age-grade achievement. </w:t>
            </w:r>
          </w:p>
        </w:tc>
      </w:tr>
      <w:tr w:rsidR="006B3EE5" w:rsidRPr="000B2C37">
        <w:trPr>
          <w:trHeight w:val="300"/>
          <w:jc w:val="center"/>
        </w:trPr>
        <w:tc>
          <w:tcPr>
            <w:tcW w:w="3950" w:type="dxa"/>
            <w:tcBorders>
              <w:top w:val="nil"/>
              <w:left w:val="nil"/>
              <w:bottom w:val="nil"/>
              <w:right w:val="nil"/>
            </w:tcBorders>
            <w:shd w:val="clear" w:color="auto" w:fill="auto"/>
            <w:noWrap/>
            <w:vAlign w:val="bottom"/>
          </w:tcPr>
          <w:p w:rsidR="006B3EE5" w:rsidRPr="000B2C37" w:rsidRDefault="006B3EE5" w:rsidP="000B2C37">
            <w:pPr>
              <w:rPr>
                <w:color w:val="000000"/>
                <w:sz w:val="20"/>
                <w:szCs w:val="20"/>
              </w:rPr>
            </w:pPr>
            <w:r w:rsidRPr="000B2C37">
              <w:rPr>
                <w:color w:val="000000"/>
                <w:sz w:val="20"/>
                <w:szCs w:val="20"/>
              </w:rPr>
              <w:t>Data Source EMNV 2009</w:t>
            </w:r>
          </w:p>
        </w:tc>
        <w:tc>
          <w:tcPr>
            <w:tcW w:w="736" w:type="dxa"/>
            <w:tcBorders>
              <w:top w:val="nil"/>
              <w:left w:val="nil"/>
              <w:bottom w:val="nil"/>
              <w:right w:val="nil"/>
            </w:tcBorders>
            <w:shd w:val="clear" w:color="auto" w:fill="auto"/>
            <w:noWrap/>
            <w:vAlign w:val="bottom"/>
          </w:tcPr>
          <w:p w:rsidR="006B3EE5" w:rsidRPr="000B2C37" w:rsidRDefault="006B3EE5" w:rsidP="000B2C37">
            <w:pPr>
              <w:rPr>
                <w:color w:val="000000"/>
              </w:rPr>
            </w:pPr>
          </w:p>
        </w:tc>
        <w:tc>
          <w:tcPr>
            <w:tcW w:w="857" w:type="dxa"/>
            <w:tcBorders>
              <w:top w:val="nil"/>
              <w:left w:val="nil"/>
              <w:bottom w:val="nil"/>
              <w:right w:val="nil"/>
            </w:tcBorders>
            <w:shd w:val="clear" w:color="auto" w:fill="auto"/>
            <w:noWrap/>
            <w:vAlign w:val="bottom"/>
          </w:tcPr>
          <w:p w:rsidR="006B3EE5" w:rsidRPr="000B2C37" w:rsidRDefault="006B3EE5" w:rsidP="000B2C37">
            <w:pPr>
              <w:rPr>
                <w:color w:val="000000"/>
              </w:rPr>
            </w:pPr>
          </w:p>
        </w:tc>
      </w:tr>
    </w:tbl>
    <w:p w:rsidR="006B3EE5" w:rsidRDefault="006B3EE5" w:rsidP="006B3EE5">
      <w:pPr>
        <w:pStyle w:val="ListParagraph"/>
        <w:tabs>
          <w:tab w:val="left" w:pos="0"/>
        </w:tabs>
        <w:ind w:left="0"/>
        <w:jc w:val="both"/>
      </w:pPr>
    </w:p>
    <w:p w:rsidR="006B3EE5" w:rsidRDefault="006B3EE5" w:rsidP="006B3EE5">
      <w:pPr>
        <w:pStyle w:val="ListParagraph"/>
        <w:tabs>
          <w:tab w:val="left" w:pos="0"/>
        </w:tabs>
        <w:ind w:left="0"/>
        <w:jc w:val="both"/>
        <w:rPr>
          <w:b/>
        </w:rPr>
      </w:pPr>
      <w:r w:rsidRPr="00BE5974">
        <w:rPr>
          <w:b/>
        </w:rPr>
        <w:t>Cost Benefit Analysis</w:t>
      </w:r>
    </w:p>
    <w:p w:rsidR="006B3EE5" w:rsidRDefault="006B3EE5" w:rsidP="005E2993">
      <w:pPr>
        <w:pStyle w:val="ListParagraph"/>
        <w:numPr>
          <w:ilvl w:val="0"/>
          <w:numId w:val="16"/>
        </w:numPr>
        <w:tabs>
          <w:tab w:val="left" w:pos="0"/>
        </w:tabs>
        <w:ind w:left="0" w:firstLine="0"/>
        <w:jc w:val="both"/>
      </w:pPr>
      <w:r w:rsidRPr="00BE5974">
        <w:t>In order to construct the cost benefit analysis</w:t>
      </w:r>
      <w:r>
        <w:t xml:space="preserve"> of </w:t>
      </w:r>
      <w:r w:rsidR="000C16FA">
        <w:t>the Project</w:t>
      </w:r>
      <w:r w:rsidRPr="00BE5974">
        <w:t xml:space="preserve">, the economic analysis uses </w:t>
      </w:r>
      <w:r>
        <w:t>administrative dat</w:t>
      </w:r>
      <w:r w:rsidR="00EF43AF">
        <w:t>a from MINED</w:t>
      </w:r>
      <w:r>
        <w:t xml:space="preserve"> (cost of education per pupil, current gross enrollment rates, rate</w:t>
      </w:r>
      <w:r w:rsidR="00173BA7">
        <w:t xml:space="preserve"> of completion at </w:t>
      </w:r>
      <w:r>
        <w:t>grade</w:t>
      </w:r>
      <w:r w:rsidR="00173BA7">
        <w:t xml:space="preserve"> 9</w:t>
      </w:r>
      <w:r>
        <w:t>), household surveys (salaries by years of education, patterns of school attainment across grades), and estimates of the</w:t>
      </w:r>
      <w:r w:rsidR="00EF43AF">
        <w:t xml:space="preserve"> impact of the</w:t>
      </w:r>
      <w:r>
        <w:t xml:space="preserve"> Project on key outputs (changes in gross enro</w:t>
      </w:r>
      <w:r w:rsidR="00173BA7">
        <w:t xml:space="preserve">llment rates and completion of </w:t>
      </w:r>
      <w:r>
        <w:t>grade</w:t>
      </w:r>
      <w:r w:rsidR="00173BA7">
        <w:t xml:space="preserve"> 9</w:t>
      </w:r>
      <w:r>
        <w:t xml:space="preserve">). </w:t>
      </w:r>
    </w:p>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t xml:space="preserve">The analysis uses per pupil costs from administrative information of the MINED.  </w:t>
      </w:r>
      <w:r w:rsidR="00F0685A">
        <w:t>Preschool</w:t>
      </w:r>
      <w:r>
        <w:t xml:space="preserve"> costs are derived from the weighted average of students attending</w:t>
      </w:r>
      <w:r w:rsidR="000B2C37">
        <w:t xml:space="preserve"> formal preschool institutions and community based pre</w:t>
      </w:r>
      <w:r>
        <w:t xml:space="preserve">school institutions. </w:t>
      </w:r>
      <w:r w:rsidR="000B2C37">
        <w:t xml:space="preserve"> </w:t>
      </w:r>
      <w:r>
        <w:t>Primary unit costs are higher than secondary and tertiary, likely reflecting relatively low student</w:t>
      </w:r>
      <w:r w:rsidR="000B2C37">
        <w:t>-</w:t>
      </w:r>
      <w:r>
        <w:t xml:space="preserve">teacher ratios in primary schools in rural areas (see Table </w:t>
      </w:r>
      <w:r w:rsidR="006923F3">
        <w:t>6.</w:t>
      </w:r>
      <w:r>
        <w:t xml:space="preserve">3). </w:t>
      </w:r>
    </w:p>
    <w:p w:rsidR="006B3EE5" w:rsidRDefault="006B3EE5" w:rsidP="006B3EE5">
      <w:pPr>
        <w:tabs>
          <w:tab w:val="left" w:pos="0"/>
        </w:tabs>
        <w:jc w:val="both"/>
      </w:pPr>
    </w:p>
    <w:p w:rsidR="00AC53AB" w:rsidRDefault="00AC53AB" w:rsidP="006B3EE5">
      <w:pPr>
        <w:tabs>
          <w:tab w:val="left" w:pos="0"/>
        </w:tabs>
        <w:jc w:val="both"/>
      </w:pPr>
    </w:p>
    <w:p w:rsidR="006B3EE5" w:rsidRDefault="006B3EE5" w:rsidP="006B3EE5">
      <w:pPr>
        <w:tabs>
          <w:tab w:val="left" w:pos="0"/>
        </w:tabs>
        <w:jc w:val="both"/>
      </w:pPr>
    </w:p>
    <w:tbl>
      <w:tblPr>
        <w:tblW w:w="4898" w:type="dxa"/>
        <w:jc w:val="center"/>
        <w:tblInd w:w="108" w:type="dxa"/>
        <w:tblLook w:val="04A0" w:firstRow="1" w:lastRow="0" w:firstColumn="1" w:lastColumn="0" w:noHBand="0" w:noVBand="1"/>
      </w:tblPr>
      <w:tblGrid>
        <w:gridCol w:w="2036"/>
        <w:gridCol w:w="2862"/>
      </w:tblGrid>
      <w:tr w:rsidR="006B3EE5" w:rsidRPr="00BE5974">
        <w:trPr>
          <w:trHeight w:val="300"/>
          <w:jc w:val="center"/>
        </w:trPr>
        <w:tc>
          <w:tcPr>
            <w:tcW w:w="4898" w:type="dxa"/>
            <w:gridSpan w:val="2"/>
            <w:tcBorders>
              <w:top w:val="nil"/>
              <w:left w:val="nil"/>
              <w:bottom w:val="nil"/>
              <w:right w:val="nil"/>
            </w:tcBorders>
            <w:shd w:val="clear" w:color="auto" w:fill="auto"/>
            <w:noWrap/>
            <w:vAlign w:val="bottom"/>
          </w:tcPr>
          <w:p w:rsidR="006B3EE5" w:rsidRPr="00BE5974" w:rsidRDefault="006B3EE5" w:rsidP="000B2C37">
            <w:pPr>
              <w:rPr>
                <w:b/>
                <w:bCs/>
                <w:color w:val="000000"/>
              </w:rPr>
            </w:pPr>
            <w:r>
              <w:rPr>
                <w:b/>
                <w:bCs/>
                <w:color w:val="000000"/>
              </w:rPr>
              <w:t xml:space="preserve">Table </w:t>
            </w:r>
            <w:r w:rsidR="00857376">
              <w:rPr>
                <w:b/>
                <w:bCs/>
                <w:color w:val="000000"/>
              </w:rPr>
              <w:t>6.</w:t>
            </w:r>
            <w:r>
              <w:rPr>
                <w:b/>
                <w:bCs/>
                <w:color w:val="000000"/>
              </w:rPr>
              <w:t xml:space="preserve">3: </w:t>
            </w:r>
            <w:r w:rsidRPr="00BE5974">
              <w:rPr>
                <w:b/>
                <w:bCs/>
                <w:color w:val="000000"/>
              </w:rPr>
              <w:t>Nicaragua: Unit Cost per Student</w:t>
            </w:r>
          </w:p>
        </w:tc>
      </w:tr>
      <w:tr w:rsidR="006B3EE5" w:rsidRPr="00BE5974">
        <w:trPr>
          <w:trHeight w:val="300"/>
          <w:jc w:val="center"/>
        </w:trPr>
        <w:tc>
          <w:tcPr>
            <w:tcW w:w="2036" w:type="dxa"/>
            <w:tcBorders>
              <w:top w:val="single" w:sz="4" w:space="0" w:color="auto"/>
              <w:left w:val="nil"/>
              <w:bottom w:val="single" w:sz="4" w:space="0" w:color="auto"/>
              <w:right w:val="nil"/>
            </w:tcBorders>
            <w:shd w:val="clear" w:color="auto" w:fill="auto"/>
            <w:noWrap/>
            <w:vAlign w:val="bottom"/>
          </w:tcPr>
          <w:p w:rsidR="006B3EE5" w:rsidRPr="00BE5974" w:rsidRDefault="006B3EE5" w:rsidP="000B2C37">
            <w:pPr>
              <w:rPr>
                <w:b/>
                <w:bCs/>
                <w:color w:val="000000"/>
              </w:rPr>
            </w:pPr>
            <w:r w:rsidRPr="00BE5974">
              <w:rPr>
                <w:b/>
                <w:bCs/>
                <w:color w:val="000000"/>
              </w:rPr>
              <w:t>Level</w:t>
            </w:r>
          </w:p>
        </w:tc>
        <w:tc>
          <w:tcPr>
            <w:tcW w:w="2862" w:type="dxa"/>
            <w:tcBorders>
              <w:top w:val="single" w:sz="4" w:space="0" w:color="auto"/>
              <w:left w:val="nil"/>
              <w:bottom w:val="single" w:sz="4" w:space="0" w:color="auto"/>
              <w:right w:val="nil"/>
            </w:tcBorders>
            <w:shd w:val="clear" w:color="auto" w:fill="auto"/>
            <w:noWrap/>
            <w:vAlign w:val="bottom"/>
          </w:tcPr>
          <w:p w:rsidR="006B3EE5" w:rsidRPr="00BE5974" w:rsidRDefault="006B3EE5" w:rsidP="000B2C37">
            <w:pPr>
              <w:jc w:val="right"/>
              <w:rPr>
                <w:b/>
                <w:bCs/>
                <w:color w:val="000000"/>
              </w:rPr>
            </w:pPr>
            <w:r w:rsidRPr="00BE5974">
              <w:rPr>
                <w:b/>
                <w:bCs/>
                <w:color w:val="000000"/>
              </w:rPr>
              <w:t>Cost</w:t>
            </w:r>
          </w:p>
        </w:tc>
      </w:tr>
      <w:tr w:rsidR="006B3EE5" w:rsidRPr="00BE5974">
        <w:trPr>
          <w:trHeight w:val="300"/>
          <w:jc w:val="center"/>
        </w:trPr>
        <w:tc>
          <w:tcPr>
            <w:tcW w:w="2036" w:type="dxa"/>
            <w:tcBorders>
              <w:top w:val="nil"/>
              <w:left w:val="nil"/>
              <w:bottom w:val="nil"/>
              <w:right w:val="nil"/>
            </w:tcBorders>
            <w:shd w:val="clear" w:color="auto" w:fill="auto"/>
            <w:noWrap/>
            <w:vAlign w:val="bottom"/>
          </w:tcPr>
          <w:p w:rsidR="006B3EE5" w:rsidRPr="00BE5974" w:rsidRDefault="006B3EE5" w:rsidP="000B2C37">
            <w:pPr>
              <w:rPr>
                <w:color w:val="000000"/>
              </w:rPr>
            </w:pPr>
            <w:r w:rsidRPr="00BE5974">
              <w:rPr>
                <w:color w:val="000000"/>
              </w:rPr>
              <w:t>Pre school</w:t>
            </w:r>
          </w:p>
        </w:tc>
        <w:tc>
          <w:tcPr>
            <w:tcW w:w="2862" w:type="dxa"/>
            <w:tcBorders>
              <w:top w:val="nil"/>
              <w:left w:val="nil"/>
              <w:bottom w:val="nil"/>
              <w:right w:val="nil"/>
            </w:tcBorders>
            <w:shd w:val="clear" w:color="auto" w:fill="auto"/>
            <w:noWrap/>
            <w:vAlign w:val="bottom"/>
          </w:tcPr>
          <w:p w:rsidR="006B3EE5" w:rsidRPr="00BE5974" w:rsidRDefault="006B3EE5" w:rsidP="000B2C37">
            <w:pPr>
              <w:jc w:val="right"/>
              <w:rPr>
                <w:color w:val="000000"/>
              </w:rPr>
            </w:pPr>
            <w:r>
              <w:rPr>
                <w:color w:val="000000"/>
              </w:rPr>
              <w:t>8</w:t>
            </w:r>
            <w:r w:rsidRPr="00BE5974">
              <w:rPr>
                <w:color w:val="000000"/>
              </w:rPr>
              <w:t>0</w:t>
            </w:r>
          </w:p>
        </w:tc>
      </w:tr>
      <w:tr w:rsidR="006B3EE5" w:rsidRPr="00BE5974">
        <w:trPr>
          <w:trHeight w:val="300"/>
          <w:jc w:val="center"/>
        </w:trPr>
        <w:tc>
          <w:tcPr>
            <w:tcW w:w="2036" w:type="dxa"/>
            <w:tcBorders>
              <w:top w:val="nil"/>
              <w:left w:val="nil"/>
              <w:bottom w:val="nil"/>
              <w:right w:val="nil"/>
            </w:tcBorders>
            <w:shd w:val="clear" w:color="auto" w:fill="auto"/>
            <w:noWrap/>
            <w:vAlign w:val="bottom"/>
          </w:tcPr>
          <w:p w:rsidR="006B3EE5" w:rsidRPr="00BE5974" w:rsidRDefault="006B3EE5" w:rsidP="000B2C37">
            <w:pPr>
              <w:rPr>
                <w:color w:val="000000"/>
              </w:rPr>
            </w:pPr>
            <w:r w:rsidRPr="00BE5974">
              <w:rPr>
                <w:color w:val="000000"/>
              </w:rPr>
              <w:t>Primary</w:t>
            </w:r>
          </w:p>
        </w:tc>
        <w:tc>
          <w:tcPr>
            <w:tcW w:w="2862" w:type="dxa"/>
            <w:tcBorders>
              <w:top w:val="nil"/>
              <w:left w:val="nil"/>
              <w:bottom w:val="nil"/>
              <w:right w:val="nil"/>
            </w:tcBorders>
            <w:shd w:val="clear" w:color="auto" w:fill="auto"/>
            <w:noWrap/>
            <w:vAlign w:val="bottom"/>
          </w:tcPr>
          <w:p w:rsidR="006B3EE5" w:rsidRPr="00BE5974" w:rsidRDefault="006B3EE5" w:rsidP="000B2C37">
            <w:pPr>
              <w:jc w:val="right"/>
              <w:rPr>
                <w:color w:val="000000"/>
              </w:rPr>
            </w:pPr>
            <w:r w:rsidRPr="00BE5974">
              <w:rPr>
                <w:color w:val="000000"/>
              </w:rPr>
              <w:t>182</w:t>
            </w:r>
          </w:p>
        </w:tc>
      </w:tr>
      <w:tr w:rsidR="006B3EE5" w:rsidRPr="00BE5974">
        <w:trPr>
          <w:trHeight w:val="315"/>
          <w:jc w:val="center"/>
        </w:trPr>
        <w:tc>
          <w:tcPr>
            <w:tcW w:w="2036" w:type="dxa"/>
            <w:tcBorders>
              <w:top w:val="nil"/>
              <w:left w:val="nil"/>
              <w:bottom w:val="nil"/>
              <w:right w:val="nil"/>
            </w:tcBorders>
            <w:shd w:val="clear" w:color="auto" w:fill="auto"/>
            <w:noWrap/>
            <w:vAlign w:val="bottom"/>
          </w:tcPr>
          <w:p w:rsidR="006B3EE5" w:rsidRPr="00BE5974" w:rsidRDefault="006B3EE5" w:rsidP="000B2C37">
            <w:pPr>
              <w:rPr>
                <w:color w:val="000000"/>
              </w:rPr>
            </w:pPr>
            <w:r w:rsidRPr="00BE5974">
              <w:rPr>
                <w:color w:val="000000"/>
              </w:rPr>
              <w:t>Lower Secondary</w:t>
            </w:r>
          </w:p>
        </w:tc>
        <w:tc>
          <w:tcPr>
            <w:tcW w:w="2862" w:type="dxa"/>
            <w:tcBorders>
              <w:top w:val="nil"/>
              <w:left w:val="nil"/>
              <w:bottom w:val="nil"/>
              <w:right w:val="nil"/>
            </w:tcBorders>
            <w:shd w:val="clear" w:color="auto" w:fill="auto"/>
            <w:noWrap/>
            <w:vAlign w:val="bottom"/>
          </w:tcPr>
          <w:p w:rsidR="006B3EE5" w:rsidRPr="00BE5974" w:rsidRDefault="006B3EE5" w:rsidP="000B2C37">
            <w:pPr>
              <w:jc w:val="right"/>
              <w:rPr>
                <w:color w:val="000000"/>
              </w:rPr>
            </w:pPr>
            <w:r w:rsidRPr="00BE5974">
              <w:rPr>
                <w:color w:val="000000"/>
              </w:rPr>
              <w:t>109</w:t>
            </w:r>
          </w:p>
        </w:tc>
      </w:tr>
      <w:tr w:rsidR="006B3EE5" w:rsidRPr="00BE5974">
        <w:trPr>
          <w:trHeight w:val="315"/>
          <w:jc w:val="center"/>
        </w:trPr>
        <w:tc>
          <w:tcPr>
            <w:tcW w:w="2036" w:type="dxa"/>
            <w:tcBorders>
              <w:top w:val="nil"/>
              <w:left w:val="nil"/>
              <w:bottom w:val="nil"/>
              <w:right w:val="nil"/>
            </w:tcBorders>
            <w:shd w:val="clear" w:color="auto" w:fill="auto"/>
            <w:noWrap/>
            <w:vAlign w:val="bottom"/>
          </w:tcPr>
          <w:p w:rsidR="006B3EE5" w:rsidRPr="00BE5974" w:rsidRDefault="006B3EE5" w:rsidP="000B2C37">
            <w:pPr>
              <w:rPr>
                <w:color w:val="000000"/>
              </w:rPr>
            </w:pPr>
            <w:r w:rsidRPr="00BE5974">
              <w:rPr>
                <w:color w:val="000000"/>
              </w:rPr>
              <w:t>Upper Secondary</w:t>
            </w:r>
          </w:p>
        </w:tc>
        <w:tc>
          <w:tcPr>
            <w:tcW w:w="2862" w:type="dxa"/>
            <w:tcBorders>
              <w:top w:val="nil"/>
              <w:left w:val="nil"/>
              <w:bottom w:val="nil"/>
              <w:right w:val="nil"/>
            </w:tcBorders>
            <w:shd w:val="clear" w:color="auto" w:fill="auto"/>
            <w:noWrap/>
            <w:vAlign w:val="bottom"/>
          </w:tcPr>
          <w:p w:rsidR="006B3EE5" w:rsidRPr="00BE5974" w:rsidRDefault="006B3EE5" w:rsidP="000B2C37">
            <w:pPr>
              <w:jc w:val="right"/>
              <w:rPr>
                <w:color w:val="000000"/>
              </w:rPr>
            </w:pPr>
            <w:r w:rsidRPr="00BE5974">
              <w:rPr>
                <w:color w:val="000000"/>
              </w:rPr>
              <w:t>101</w:t>
            </w:r>
          </w:p>
        </w:tc>
      </w:tr>
      <w:tr w:rsidR="006B3EE5" w:rsidRPr="00BE5974">
        <w:trPr>
          <w:trHeight w:val="300"/>
          <w:jc w:val="center"/>
        </w:trPr>
        <w:tc>
          <w:tcPr>
            <w:tcW w:w="2036" w:type="dxa"/>
            <w:tcBorders>
              <w:top w:val="nil"/>
              <w:left w:val="nil"/>
              <w:bottom w:val="single" w:sz="4" w:space="0" w:color="auto"/>
              <w:right w:val="nil"/>
            </w:tcBorders>
            <w:shd w:val="clear" w:color="auto" w:fill="auto"/>
            <w:noWrap/>
            <w:vAlign w:val="bottom"/>
          </w:tcPr>
          <w:p w:rsidR="006B3EE5" w:rsidRPr="00BE5974" w:rsidRDefault="006B3EE5" w:rsidP="000B2C37">
            <w:pPr>
              <w:rPr>
                <w:color w:val="000000"/>
              </w:rPr>
            </w:pPr>
            <w:r w:rsidRPr="00BE5974">
              <w:rPr>
                <w:color w:val="000000"/>
              </w:rPr>
              <w:t>Tertiary</w:t>
            </w:r>
          </w:p>
        </w:tc>
        <w:tc>
          <w:tcPr>
            <w:tcW w:w="2862" w:type="dxa"/>
            <w:tcBorders>
              <w:top w:val="nil"/>
              <w:left w:val="nil"/>
              <w:bottom w:val="single" w:sz="4" w:space="0" w:color="auto"/>
              <w:right w:val="nil"/>
            </w:tcBorders>
            <w:shd w:val="clear" w:color="auto" w:fill="auto"/>
            <w:noWrap/>
            <w:vAlign w:val="bottom"/>
          </w:tcPr>
          <w:p w:rsidR="006B3EE5" w:rsidRPr="00BE5974" w:rsidRDefault="006B3EE5" w:rsidP="000B2C37">
            <w:pPr>
              <w:jc w:val="right"/>
              <w:rPr>
                <w:color w:val="000000"/>
              </w:rPr>
            </w:pPr>
            <w:r w:rsidRPr="00BE5974">
              <w:rPr>
                <w:color w:val="000000"/>
              </w:rPr>
              <w:t>300</w:t>
            </w:r>
          </w:p>
        </w:tc>
      </w:tr>
      <w:tr w:rsidR="006B3EE5" w:rsidRPr="000B2C37">
        <w:trPr>
          <w:trHeight w:val="300"/>
          <w:jc w:val="center"/>
        </w:trPr>
        <w:tc>
          <w:tcPr>
            <w:tcW w:w="4898" w:type="dxa"/>
            <w:gridSpan w:val="2"/>
            <w:tcBorders>
              <w:top w:val="nil"/>
              <w:left w:val="nil"/>
              <w:bottom w:val="nil"/>
              <w:right w:val="nil"/>
            </w:tcBorders>
            <w:shd w:val="clear" w:color="auto" w:fill="auto"/>
            <w:noWrap/>
            <w:vAlign w:val="bottom"/>
          </w:tcPr>
          <w:p w:rsidR="006B3EE5" w:rsidRPr="000B2C37" w:rsidRDefault="006B3EE5" w:rsidP="000B2C37">
            <w:pPr>
              <w:rPr>
                <w:color w:val="000000"/>
                <w:sz w:val="20"/>
                <w:szCs w:val="20"/>
              </w:rPr>
            </w:pPr>
            <w:r w:rsidRPr="000B2C37">
              <w:rPr>
                <w:color w:val="000000"/>
                <w:sz w:val="20"/>
                <w:szCs w:val="20"/>
              </w:rPr>
              <w:t>Source: MINED Administrative Data</w:t>
            </w:r>
          </w:p>
          <w:p w:rsidR="006B3EE5" w:rsidRPr="000B2C37" w:rsidRDefault="006B3EE5" w:rsidP="000B2C37">
            <w:pPr>
              <w:rPr>
                <w:color w:val="000000"/>
                <w:sz w:val="20"/>
                <w:szCs w:val="20"/>
              </w:rPr>
            </w:pPr>
          </w:p>
        </w:tc>
      </w:tr>
    </w:tbl>
    <w:p w:rsidR="006B3EE5" w:rsidRDefault="006B3EE5" w:rsidP="005E2993">
      <w:pPr>
        <w:pStyle w:val="ListParagraph"/>
        <w:numPr>
          <w:ilvl w:val="0"/>
          <w:numId w:val="16"/>
        </w:numPr>
        <w:tabs>
          <w:tab w:val="left" w:pos="0"/>
        </w:tabs>
        <w:ind w:left="0" w:firstLine="0"/>
        <w:jc w:val="both"/>
      </w:pPr>
      <w:r>
        <w:t xml:space="preserve">Household surveys provide information on the evolution of income by years of education. </w:t>
      </w:r>
      <w:r w:rsidR="001663F8">
        <w:t xml:space="preserve"> </w:t>
      </w:r>
      <w:r>
        <w:t xml:space="preserve">As presented in Figure </w:t>
      </w:r>
      <w:r w:rsidR="002C6AB4">
        <w:t>6.</w:t>
      </w:r>
      <w:r>
        <w:t xml:space="preserve">2, there are marked differences between education levels, with income of those that have finished tertiary education almost three times as high of those with secondary education. </w:t>
      </w:r>
      <w:r w:rsidR="001663F8">
        <w:t xml:space="preserve"> </w:t>
      </w:r>
      <w:r>
        <w:t>Income gains between finishing primary and secondary education are small (which may be related to student la</w:t>
      </w:r>
      <w:r w:rsidR="006923F3">
        <w:t>ck of interest observed in Figure</w:t>
      </w:r>
      <w:r>
        <w:t xml:space="preserve"> </w:t>
      </w:r>
      <w:r w:rsidR="006923F3">
        <w:t>6.</w:t>
      </w:r>
      <w:r>
        <w:t>2).</w:t>
      </w:r>
    </w:p>
    <w:p w:rsidR="006B3EE5" w:rsidRPr="008060E4" w:rsidRDefault="006B3EE5" w:rsidP="006B3EE5">
      <w:pPr>
        <w:pStyle w:val="ListParagraph"/>
        <w:tabs>
          <w:tab w:val="left" w:pos="0"/>
        </w:tabs>
        <w:ind w:left="0"/>
        <w:jc w:val="both"/>
      </w:pPr>
      <w:r>
        <w:t xml:space="preserve"> </w:t>
      </w:r>
    </w:p>
    <w:p w:rsidR="006B3EE5" w:rsidRPr="00BE5974" w:rsidRDefault="006B3EE5" w:rsidP="006B3EE5">
      <w:pPr>
        <w:jc w:val="center"/>
        <w:rPr>
          <w:b/>
        </w:rPr>
      </w:pPr>
      <w:r w:rsidRPr="00BE5974">
        <w:rPr>
          <w:b/>
        </w:rPr>
        <w:t xml:space="preserve">Figure </w:t>
      </w:r>
      <w:r w:rsidR="00857376">
        <w:rPr>
          <w:b/>
        </w:rPr>
        <w:t>6.</w:t>
      </w:r>
      <w:r w:rsidRPr="00BE5974">
        <w:rPr>
          <w:b/>
        </w:rPr>
        <w:t>2</w:t>
      </w:r>
      <w:r>
        <w:rPr>
          <w:b/>
        </w:rPr>
        <w:t xml:space="preserve">: </w:t>
      </w:r>
      <w:r w:rsidRPr="00BE5974">
        <w:rPr>
          <w:b/>
        </w:rPr>
        <w:t>Salary by Education Attainment</w:t>
      </w:r>
    </w:p>
    <w:p w:rsidR="006B3EE5" w:rsidRDefault="006B3EE5" w:rsidP="006B3EE5">
      <w:pPr>
        <w:jc w:val="center"/>
      </w:pPr>
      <w:r w:rsidRPr="00325944">
        <w:rPr>
          <w:noProof/>
        </w:rPr>
        <w:drawing>
          <wp:inline distT="0" distB="0" distL="0" distR="0" wp14:anchorId="58E13ADA" wp14:editId="539BB349">
            <wp:extent cx="4428876" cy="2353587"/>
            <wp:effectExtent l="0" t="0" r="10160" b="2794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3EE5" w:rsidRDefault="006B3EE5" w:rsidP="006B3EE5">
      <w:pPr>
        <w:jc w:val="center"/>
      </w:pPr>
      <w:r>
        <w:t>Source: Household Data, 2009</w:t>
      </w:r>
    </w:p>
    <w:p w:rsidR="006B3EE5" w:rsidRDefault="006B3EE5" w:rsidP="006B3EE5">
      <w:pPr>
        <w:jc w:val="center"/>
      </w:pPr>
    </w:p>
    <w:p w:rsidR="006B3EE5" w:rsidRDefault="006B3EE5" w:rsidP="005E2993">
      <w:pPr>
        <w:pStyle w:val="ListParagraph"/>
        <w:numPr>
          <w:ilvl w:val="0"/>
          <w:numId w:val="16"/>
        </w:numPr>
        <w:tabs>
          <w:tab w:val="left" w:pos="0"/>
        </w:tabs>
        <w:ind w:left="0" w:firstLine="0"/>
        <w:jc w:val="both"/>
      </w:pPr>
      <w:r>
        <w:t>Two different methodologies are employed to compute the number of beneficiaries, depending if the intervention is related to the increase in enrollment in the 43 selected municipalities, or if the intervention is related to the improvement in quality nationwide.</w:t>
      </w:r>
    </w:p>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rsidRPr="008060E4">
        <w:rPr>
          <w:b/>
        </w:rPr>
        <w:t>Increase in enrollment</w:t>
      </w:r>
      <w:r>
        <w:t xml:space="preserve">. The </w:t>
      </w:r>
      <w:r w:rsidR="001279DB">
        <w:t>Project</w:t>
      </w:r>
      <w:r>
        <w:t xml:space="preserve"> </w:t>
      </w:r>
      <w:r w:rsidR="00636C8C">
        <w:t>would</w:t>
      </w:r>
      <w:r w:rsidR="00F0685A">
        <w:t xml:space="preserve"> increase the supply of preschool and lower s</w:t>
      </w:r>
      <w:r>
        <w:t>econdary education in 43 selected municipalities that should increase enrollment.  In</w:t>
      </w:r>
      <w:r w:rsidR="00F0685A">
        <w:t xml:space="preserve"> the case of preschool</w:t>
      </w:r>
      <w:r>
        <w:t>, the target is to increase gross enrollment for the relevant age group from 41.7 percent (base line) to</w:t>
      </w:r>
      <w:r w:rsidR="001663F8">
        <w:t xml:space="preserve"> 53 percent (at the end of the 5</w:t>
      </w:r>
      <w:r w:rsidRPr="008060E4">
        <w:rPr>
          <w:vertAlign w:val="superscript"/>
        </w:rPr>
        <w:t>th</w:t>
      </w:r>
      <w:r>
        <w:t xml:space="preserve"> year). This </w:t>
      </w:r>
      <w:r w:rsidR="00636C8C">
        <w:t>would</w:t>
      </w:r>
      <w:r>
        <w:t xml:space="preserve"> allow</w:t>
      </w:r>
      <w:r w:rsidR="00F0685A">
        <w:t xml:space="preserve"> 16,472 new students to attend preschool. In the case of lower s</w:t>
      </w:r>
      <w:r>
        <w:t xml:space="preserve">econdary, the target is to increase gross enrollment for the relevant age group from 49.6 percent to 59 percent. This </w:t>
      </w:r>
      <w:r w:rsidR="00636C8C">
        <w:t>would</w:t>
      </w:r>
      <w:r>
        <w:t xml:space="preserve"> allow</w:t>
      </w:r>
      <w:r w:rsidR="00F0685A">
        <w:t xml:space="preserve"> 13,052 new students to attend lower s</w:t>
      </w:r>
      <w:r>
        <w:t xml:space="preserve">econdary (see Table </w:t>
      </w:r>
      <w:r w:rsidR="00D7718B">
        <w:t>6.</w:t>
      </w:r>
      <w:r>
        <w:t>4).</w:t>
      </w:r>
    </w:p>
    <w:p w:rsidR="00453247" w:rsidRDefault="00453247" w:rsidP="00453247">
      <w:pPr>
        <w:pStyle w:val="ListParagraph"/>
      </w:pPr>
    </w:p>
    <w:p w:rsidR="002241D0" w:rsidRDefault="002241D0" w:rsidP="00453247">
      <w:pPr>
        <w:pStyle w:val="ListParagraph"/>
      </w:pPr>
    </w:p>
    <w:p w:rsidR="006B3EE5" w:rsidRPr="00F56393" w:rsidRDefault="006B3EE5" w:rsidP="001663F8">
      <w:pPr>
        <w:pStyle w:val="ListParagraph"/>
        <w:tabs>
          <w:tab w:val="left" w:pos="0"/>
        </w:tabs>
        <w:ind w:left="0"/>
        <w:jc w:val="center"/>
        <w:rPr>
          <w:b/>
        </w:rPr>
      </w:pPr>
      <w:r w:rsidRPr="00F56393">
        <w:rPr>
          <w:b/>
        </w:rPr>
        <w:lastRenderedPageBreak/>
        <w:t xml:space="preserve">Table </w:t>
      </w:r>
      <w:r w:rsidR="00857376">
        <w:rPr>
          <w:b/>
        </w:rPr>
        <w:t>6.</w:t>
      </w:r>
      <w:r w:rsidRPr="00F56393">
        <w:rPr>
          <w:b/>
        </w:rPr>
        <w:t>4</w:t>
      </w:r>
      <w:r w:rsidR="001663F8">
        <w:rPr>
          <w:b/>
        </w:rPr>
        <w:t xml:space="preserve">: </w:t>
      </w:r>
      <w:r w:rsidR="001663F8" w:rsidRPr="001663F8">
        <w:rPr>
          <w:b/>
          <w:bCs/>
        </w:rPr>
        <w:t xml:space="preserve">Students benefiting from the </w:t>
      </w:r>
      <w:r w:rsidR="001279DB">
        <w:rPr>
          <w:b/>
          <w:bCs/>
        </w:rPr>
        <w:t>Project</w:t>
      </w:r>
      <w:r w:rsidR="001663F8" w:rsidRPr="001663F8">
        <w:rPr>
          <w:b/>
          <w:bCs/>
        </w:rPr>
        <w:t>: Increase in Enrollment</w:t>
      </w:r>
    </w:p>
    <w:tbl>
      <w:tblPr>
        <w:tblW w:w="9540" w:type="dxa"/>
        <w:tblInd w:w="108" w:type="dxa"/>
        <w:tblLook w:val="04A0" w:firstRow="1" w:lastRow="0" w:firstColumn="1" w:lastColumn="0" w:noHBand="0" w:noVBand="1"/>
      </w:tblPr>
      <w:tblGrid>
        <w:gridCol w:w="1785"/>
        <w:gridCol w:w="1275"/>
        <w:gridCol w:w="1710"/>
        <w:gridCol w:w="1530"/>
        <w:gridCol w:w="1620"/>
        <w:gridCol w:w="1620"/>
      </w:tblGrid>
      <w:tr w:rsidR="006B3EE5" w:rsidRPr="001663F8">
        <w:trPr>
          <w:trHeight w:val="255"/>
        </w:trPr>
        <w:tc>
          <w:tcPr>
            <w:tcW w:w="1785" w:type="dxa"/>
            <w:tcBorders>
              <w:top w:val="single" w:sz="4" w:space="0" w:color="auto"/>
              <w:left w:val="nil"/>
              <w:bottom w:val="nil"/>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275" w:type="dxa"/>
            <w:tcBorders>
              <w:top w:val="single" w:sz="4" w:space="0" w:color="auto"/>
              <w:left w:val="nil"/>
              <w:bottom w:val="nil"/>
              <w:right w:val="nil"/>
            </w:tcBorders>
            <w:shd w:val="clear" w:color="auto" w:fill="auto"/>
            <w:noWrap/>
            <w:vAlign w:val="bottom"/>
          </w:tcPr>
          <w:p w:rsidR="006B3EE5" w:rsidRPr="001663F8" w:rsidRDefault="006B3EE5" w:rsidP="000B2C37">
            <w:pPr>
              <w:rPr>
                <w:b/>
                <w:bCs/>
                <w:color w:val="000000"/>
              </w:rPr>
            </w:pPr>
            <w:r w:rsidRPr="001663F8">
              <w:rPr>
                <w:b/>
                <w:bCs/>
                <w:color w:val="000000"/>
              </w:rPr>
              <w:t>Year</w:t>
            </w:r>
          </w:p>
        </w:tc>
        <w:tc>
          <w:tcPr>
            <w:tcW w:w="1710"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Target</w:t>
            </w:r>
          </w:p>
        </w:tc>
        <w:tc>
          <w:tcPr>
            <w:tcW w:w="1530"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Population</w:t>
            </w:r>
          </w:p>
        </w:tc>
        <w:tc>
          <w:tcPr>
            <w:tcW w:w="1620"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Target</w:t>
            </w:r>
          </w:p>
        </w:tc>
        <w:tc>
          <w:tcPr>
            <w:tcW w:w="1620"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Expected</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71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Gross</w:t>
            </w:r>
          </w:p>
        </w:tc>
        <w:tc>
          <w:tcPr>
            <w:tcW w:w="153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Age</w:t>
            </w:r>
          </w:p>
        </w:tc>
        <w:tc>
          <w:tcPr>
            <w:tcW w:w="162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 xml:space="preserve">Number </w:t>
            </w:r>
          </w:p>
        </w:tc>
        <w:tc>
          <w:tcPr>
            <w:tcW w:w="162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Flow 1/</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71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Enrollment</w:t>
            </w:r>
          </w:p>
        </w:tc>
        <w:tc>
          <w:tcPr>
            <w:tcW w:w="1530" w:type="dxa"/>
            <w:tcBorders>
              <w:top w:val="nil"/>
              <w:left w:val="nil"/>
              <w:bottom w:val="nil"/>
              <w:right w:val="nil"/>
            </w:tcBorders>
            <w:shd w:val="clear" w:color="auto" w:fill="auto"/>
            <w:noWrap/>
            <w:vAlign w:val="bottom"/>
          </w:tcPr>
          <w:p w:rsidR="006B3EE5" w:rsidRPr="001663F8" w:rsidRDefault="006B3EE5" w:rsidP="001663F8">
            <w:pPr>
              <w:jc w:val="center"/>
              <w:rPr>
                <w:b/>
                <w:bCs/>
                <w:color w:val="000000"/>
              </w:rPr>
            </w:pPr>
            <w:r w:rsidRPr="001663F8">
              <w:rPr>
                <w:b/>
                <w:bCs/>
                <w:color w:val="000000"/>
              </w:rPr>
              <w:t>Cohort</w:t>
            </w:r>
          </w:p>
        </w:tc>
        <w:tc>
          <w:tcPr>
            <w:tcW w:w="162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Students</w:t>
            </w:r>
          </w:p>
        </w:tc>
        <w:tc>
          <w:tcPr>
            <w:tcW w:w="162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p>
        </w:tc>
      </w:tr>
      <w:tr w:rsidR="006B3EE5" w:rsidRPr="001663F8">
        <w:trPr>
          <w:trHeight w:val="255"/>
        </w:trPr>
        <w:tc>
          <w:tcPr>
            <w:tcW w:w="1785"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275"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710" w:type="dxa"/>
            <w:tcBorders>
              <w:top w:val="nil"/>
              <w:left w:val="nil"/>
              <w:bottom w:val="single" w:sz="4" w:space="0" w:color="auto"/>
              <w:right w:val="nil"/>
            </w:tcBorders>
            <w:shd w:val="clear" w:color="auto" w:fill="auto"/>
            <w:noWrap/>
            <w:vAlign w:val="bottom"/>
          </w:tcPr>
          <w:p w:rsidR="006B3EE5" w:rsidRPr="001663F8" w:rsidRDefault="001663F8" w:rsidP="001663F8">
            <w:pPr>
              <w:jc w:val="center"/>
              <w:rPr>
                <w:b/>
                <w:bCs/>
                <w:color w:val="000000"/>
              </w:rPr>
            </w:pPr>
            <w:r>
              <w:rPr>
                <w:b/>
                <w:bCs/>
                <w:color w:val="000000"/>
              </w:rPr>
              <w:t>A</w:t>
            </w:r>
          </w:p>
        </w:tc>
        <w:tc>
          <w:tcPr>
            <w:tcW w:w="1530" w:type="dxa"/>
            <w:tcBorders>
              <w:top w:val="nil"/>
              <w:left w:val="nil"/>
              <w:bottom w:val="single" w:sz="4" w:space="0" w:color="auto"/>
              <w:right w:val="nil"/>
            </w:tcBorders>
            <w:shd w:val="clear" w:color="auto" w:fill="auto"/>
            <w:noWrap/>
            <w:vAlign w:val="bottom"/>
          </w:tcPr>
          <w:p w:rsidR="006B3EE5" w:rsidRPr="001663F8" w:rsidRDefault="001663F8" w:rsidP="000B2C37">
            <w:pPr>
              <w:jc w:val="center"/>
              <w:rPr>
                <w:b/>
                <w:bCs/>
                <w:color w:val="000000"/>
              </w:rPr>
            </w:pPr>
            <w:r>
              <w:rPr>
                <w:b/>
                <w:bCs/>
                <w:color w:val="000000"/>
              </w:rPr>
              <w:t>B</w:t>
            </w:r>
          </w:p>
        </w:tc>
        <w:tc>
          <w:tcPr>
            <w:tcW w:w="1620" w:type="dxa"/>
            <w:tcBorders>
              <w:top w:val="nil"/>
              <w:left w:val="nil"/>
              <w:bottom w:val="single" w:sz="4" w:space="0" w:color="auto"/>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C=A*B</w:t>
            </w:r>
          </w:p>
        </w:tc>
        <w:tc>
          <w:tcPr>
            <w:tcW w:w="1620" w:type="dxa"/>
            <w:tcBorders>
              <w:top w:val="nil"/>
              <w:left w:val="nil"/>
              <w:bottom w:val="single" w:sz="4" w:space="0" w:color="auto"/>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 </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F0685A" w:rsidP="000B2C37">
            <w:pPr>
              <w:rPr>
                <w:color w:val="000000"/>
              </w:rPr>
            </w:pPr>
            <w:r>
              <w:rPr>
                <w:color w:val="000000"/>
              </w:rPr>
              <w:t>Preschool</w:t>
            </w: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Base</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41.7</w:t>
            </w:r>
          </w:p>
        </w:tc>
        <w:tc>
          <w:tcPr>
            <w:tcW w:w="153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51984</w:t>
            </w:r>
          </w:p>
        </w:tc>
        <w:tc>
          <w:tcPr>
            <w:tcW w:w="1620" w:type="dxa"/>
            <w:tcBorders>
              <w:top w:val="nil"/>
              <w:left w:val="nil"/>
              <w:bottom w:val="nil"/>
              <w:right w:val="nil"/>
            </w:tcBorders>
            <w:shd w:val="clear" w:color="auto" w:fill="auto"/>
            <w:noWrap/>
            <w:vAlign w:val="bottom"/>
          </w:tcPr>
          <w:p w:rsidR="006B3EE5" w:rsidRPr="001663F8" w:rsidRDefault="006B3EE5" w:rsidP="000B2C37">
            <w:pPr>
              <w:rPr>
                <w:color w:val="000000"/>
              </w:rPr>
            </w:pP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1</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42.7</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124550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53183</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1199</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2</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43.7</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124550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54428</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1246</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3</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47.0</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124550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58539</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4110</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4</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50.0</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124550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62275</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4935</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5</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53.0</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124550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66012</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4982</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b/>
                <w:bCs/>
                <w:color w:val="000000"/>
              </w:rPr>
            </w:pPr>
            <w:r w:rsidRPr="001663F8">
              <w:rPr>
                <w:b/>
                <w:bCs/>
                <w:color w:val="000000"/>
              </w:rPr>
              <w:t>Total</w:t>
            </w:r>
          </w:p>
        </w:tc>
        <w:tc>
          <w:tcPr>
            <w:tcW w:w="1275"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71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53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62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b/>
                <w:bCs/>
                <w:color w:val="000000"/>
              </w:rPr>
            </w:pPr>
            <w:r w:rsidRPr="001663F8">
              <w:rPr>
                <w:b/>
                <w:bCs/>
                <w:color w:val="000000"/>
              </w:rPr>
              <w:t>16472</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Lower Secondary</w:t>
            </w: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Base</w:t>
            </w:r>
          </w:p>
        </w:tc>
        <w:tc>
          <w:tcPr>
            <w:tcW w:w="171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53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54302</w:t>
            </w:r>
          </w:p>
        </w:tc>
        <w:tc>
          <w:tcPr>
            <w:tcW w:w="162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1</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49.6</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111000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55056</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754</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2</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50.6</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111000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56166</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1110</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3</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53.0</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111000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58830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2664</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4</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56.0</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111000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62160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4084</w:t>
            </w:r>
          </w:p>
        </w:tc>
      </w:tr>
      <w:tr w:rsidR="006B3EE5" w:rsidRPr="001663F8">
        <w:trPr>
          <w:trHeight w:val="255"/>
        </w:trPr>
        <w:tc>
          <w:tcPr>
            <w:tcW w:w="1785"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5</w:t>
            </w:r>
          </w:p>
        </w:tc>
        <w:tc>
          <w:tcPr>
            <w:tcW w:w="171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59.0</w:t>
            </w:r>
          </w:p>
        </w:tc>
        <w:tc>
          <w:tcPr>
            <w:tcW w:w="153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111000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65490</w:t>
            </w:r>
          </w:p>
        </w:tc>
        <w:tc>
          <w:tcPr>
            <w:tcW w:w="1620" w:type="dxa"/>
            <w:tcBorders>
              <w:top w:val="nil"/>
              <w:left w:val="nil"/>
              <w:bottom w:val="nil"/>
              <w:right w:val="nil"/>
            </w:tcBorders>
            <w:shd w:val="clear" w:color="auto" w:fill="auto"/>
            <w:noWrap/>
            <w:vAlign w:val="bottom"/>
          </w:tcPr>
          <w:p w:rsidR="006B3EE5" w:rsidRPr="001663F8" w:rsidRDefault="006B3EE5" w:rsidP="000B2C37">
            <w:pPr>
              <w:jc w:val="right"/>
              <w:rPr>
                <w:color w:val="000000"/>
              </w:rPr>
            </w:pPr>
            <w:r w:rsidRPr="001663F8">
              <w:rPr>
                <w:color w:val="000000"/>
              </w:rPr>
              <w:t>4440</w:t>
            </w:r>
          </w:p>
        </w:tc>
      </w:tr>
      <w:tr w:rsidR="006B3EE5" w:rsidRPr="001663F8">
        <w:trPr>
          <w:trHeight w:val="255"/>
        </w:trPr>
        <w:tc>
          <w:tcPr>
            <w:tcW w:w="1785"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r w:rsidRPr="001663F8">
              <w:rPr>
                <w:b/>
                <w:bCs/>
                <w:color w:val="000000"/>
              </w:rPr>
              <w:t>Total</w:t>
            </w:r>
          </w:p>
        </w:tc>
        <w:tc>
          <w:tcPr>
            <w:tcW w:w="1275"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p>
        </w:tc>
        <w:tc>
          <w:tcPr>
            <w:tcW w:w="1710"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p>
        </w:tc>
        <w:tc>
          <w:tcPr>
            <w:tcW w:w="1530"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p>
        </w:tc>
        <w:tc>
          <w:tcPr>
            <w:tcW w:w="1620"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p>
        </w:tc>
        <w:tc>
          <w:tcPr>
            <w:tcW w:w="1620" w:type="dxa"/>
            <w:tcBorders>
              <w:top w:val="nil"/>
              <w:left w:val="nil"/>
              <w:bottom w:val="single" w:sz="4" w:space="0" w:color="auto"/>
              <w:right w:val="nil"/>
            </w:tcBorders>
            <w:shd w:val="clear" w:color="auto" w:fill="auto"/>
            <w:noWrap/>
            <w:vAlign w:val="bottom"/>
          </w:tcPr>
          <w:p w:rsidR="006B3EE5" w:rsidRPr="001663F8" w:rsidRDefault="006B3EE5" w:rsidP="000B2C37">
            <w:pPr>
              <w:jc w:val="right"/>
              <w:rPr>
                <w:b/>
                <w:bCs/>
                <w:color w:val="000000"/>
              </w:rPr>
            </w:pPr>
            <w:r w:rsidRPr="001663F8">
              <w:rPr>
                <w:b/>
                <w:bCs/>
                <w:color w:val="000000"/>
              </w:rPr>
              <w:t>13052</w:t>
            </w:r>
          </w:p>
        </w:tc>
      </w:tr>
      <w:tr w:rsidR="001663F8" w:rsidRPr="00557EDB">
        <w:trPr>
          <w:trHeight w:val="255"/>
        </w:trPr>
        <w:tc>
          <w:tcPr>
            <w:tcW w:w="9540" w:type="dxa"/>
            <w:gridSpan w:val="6"/>
            <w:tcBorders>
              <w:top w:val="single" w:sz="4" w:space="0" w:color="auto"/>
              <w:left w:val="nil"/>
              <w:bottom w:val="nil"/>
              <w:right w:val="nil"/>
            </w:tcBorders>
            <w:shd w:val="clear" w:color="auto" w:fill="auto"/>
            <w:noWrap/>
            <w:vAlign w:val="bottom"/>
          </w:tcPr>
          <w:p w:rsidR="001663F8" w:rsidRPr="00557EDB" w:rsidRDefault="001663F8" w:rsidP="000B2C37">
            <w:pPr>
              <w:rPr>
                <w:color w:val="000000"/>
                <w:sz w:val="20"/>
                <w:szCs w:val="20"/>
              </w:rPr>
            </w:pPr>
            <w:r w:rsidRPr="00557EDB">
              <w:rPr>
                <w:color w:val="000000"/>
                <w:sz w:val="20"/>
                <w:szCs w:val="20"/>
              </w:rPr>
              <w:t xml:space="preserve">1/ Expected flow is adjusted to allow exit from </w:t>
            </w:r>
            <w:r w:rsidR="00F0685A">
              <w:rPr>
                <w:color w:val="000000"/>
                <w:sz w:val="20"/>
                <w:szCs w:val="20"/>
              </w:rPr>
              <w:t>Preschool</w:t>
            </w:r>
            <w:r w:rsidRPr="00557EDB">
              <w:rPr>
                <w:color w:val="000000"/>
                <w:sz w:val="20"/>
                <w:szCs w:val="20"/>
              </w:rPr>
              <w:t xml:space="preserve"> after 3 years.</w:t>
            </w:r>
          </w:p>
        </w:tc>
      </w:tr>
    </w:tbl>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rsidRPr="00B94DA9">
        <w:rPr>
          <w:b/>
        </w:rPr>
        <w:t>Improvements in quality</w:t>
      </w:r>
      <w:r>
        <w:t xml:space="preserve">. Activities of the </w:t>
      </w:r>
      <w:r w:rsidR="001279DB">
        <w:t>Project</w:t>
      </w:r>
      <w:r>
        <w:t xml:space="preserve"> as teacher certification/training and better school materials are expected to improve the quality of education in Nicaragua (country wide). </w:t>
      </w:r>
      <w:r w:rsidR="001663F8">
        <w:t xml:space="preserve"> </w:t>
      </w:r>
      <w:r>
        <w:t xml:space="preserve">Given that activities </w:t>
      </w:r>
      <w:r w:rsidR="00636C8C">
        <w:t>would</w:t>
      </w:r>
      <w:r>
        <w:t xml:space="preserve"> be completed through the life of the </w:t>
      </w:r>
      <w:r w:rsidR="001279DB">
        <w:t>Project</w:t>
      </w:r>
      <w:r>
        <w:t xml:space="preserve">, the economic analysis assumes a progressive impact of </w:t>
      </w:r>
      <w:r w:rsidR="001279DB">
        <w:t>Project</w:t>
      </w:r>
      <w:r>
        <w:t xml:space="preserve"> activities. As presented in T</w:t>
      </w:r>
      <w:r w:rsidR="00C07CF2">
        <w:t xml:space="preserve">able </w:t>
      </w:r>
      <w:r w:rsidR="006923F3">
        <w:t>6.</w:t>
      </w:r>
      <w:r w:rsidR="00C07CF2">
        <w:t>5, 243,134 students in pres</w:t>
      </w:r>
      <w:r>
        <w:t xml:space="preserve">chool and 329,900 </w:t>
      </w:r>
      <w:r w:rsidR="00EF43AF">
        <w:t>students in lower s</w:t>
      </w:r>
      <w:r>
        <w:t>econdary are expected to benefit from the Project.</w:t>
      </w:r>
    </w:p>
    <w:p w:rsidR="00046972" w:rsidRDefault="00046972"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D7718B" w:rsidRDefault="00D7718B" w:rsidP="00046972">
      <w:pPr>
        <w:pStyle w:val="ListParagraph"/>
        <w:tabs>
          <w:tab w:val="left" w:pos="0"/>
        </w:tabs>
        <w:ind w:left="0"/>
        <w:jc w:val="both"/>
      </w:pPr>
    </w:p>
    <w:p w:rsidR="001663F8" w:rsidRPr="001663F8" w:rsidRDefault="006B3EE5" w:rsidP="001663F8">
      <w:pPr>
        <w:jc w:val="both"/>
        <w:rPr>
          <w:b/>
          <w:bCs/>
          <w:color w:val="000000"/>
        </w:rPr>
      </w:pPr>
      <w:r w:rsidRPr="00F56393">
        <w:rPr>
          <w:b/>
        </w:rPr>
        <w:lastRenderedPageBreak/>
        <w:t xml:space="preserve">Table </w:t>
      </w:r>
      <w:r w:rsidR="00857376">
        <w:rPr>
          <w:b/>
        </w:rPr>
        <w:t>6.</w:t>
      </w:r>
      <w:r w:rsidRPr="00F56393">
        <w:rPr>
          <w:b/>
        </w:rPr>
        <w:t>5</w:t>
      </w:r>
      <w:r w:rsidR="001663F8">
        <w:rPr>
          <w:b/>
        </w:rPr>
        <w:t xml:space="preserve">: </w:t>
      </w:r>
      <w:r w:rsidR="001663F8" w:rsidRPr="001663F8">
        <w:rPr>
          <w:b/>
          <w:bCs/>
        </w:rPr>
        <w:t>Students Benefiting from the Project:</w:t>
      </w:r>
      <w:r w:rsidR="001663F8">
        <w:rPr>
          <w:b/>
          <w:bCs/>
        </w:rPr>
        <w:t xml:space="preserve"> </w:t>
      </w:r>
      <w:r w:rsidR="001663F8" w:rsidRPr="001663F8">
        <w:rPr>
          <w:b/>
          <w:bCs/>
          <w:color w:val="000000"/>
        </w:rPr>
        <w:t>Improvement in Quality</w:t>
      </w:r>
    </w:p>
    <w:tbl>
      <w:tblPr>
        <w:tblW w:w="9609" w:type="dxa"/>
        <w:tblInd w:w="108" w:type="dxa"/>
        <w:tblLook w:val="04A0" w:firstRow="1" w:lastRow="0" w:firstColumn="1" w:lastColumn="0" w:noHBand="0" w:noVBand="1"/>
      </w:tblPr>
      <w:tblGrid>
        <w:gridCol w:w="1560"/>
        <w:gridCol w:w="1275"/>
        <w:gridCol w:w="1575"/>
        <w:gridCol w:w="1710"/>
        <w:gridCol w:w="1980"/>
        <w:gridCol w:w="1509"/>
      </w:tblGrid>
      <w:tr w:rsidR="006B3EE5" w:rsidRPr="001663F8" w:rsidTr="00664FCA">
        <w:trPr>
          <w:trHeight w:val="255"/>
        </w:trPr>
        <w:tc>
          <w:tcPr>
            <w:tcW w:w="1560" w:type="dxa"/>
            <w:tcBorders>
              <w:top w:val="single" w:sz="4" w:space="0" w:color="auto"/>
              <w:left w:val="nil"/>
              <w:bottom w:val="nil"/>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275" w:type="dxa"/>
            <w:tcBorders>
              <w:top w:val="single" w:sz="4" w:space="0" w:color="auto"/>
              <w:left w:val="nil"/>
              <w:bottom w:val="nil"/>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575"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Base stock</w:t>
            </w:r>
          </w:p>
        </w:tc>
        <w:tc>
          <w:tcPr>
            <w:tcW w:w="1710"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 xml:space="preserve">Stock </w:t>
            </w:r>
          </w:p>
        </w:tc>
        <w:tc>
          <w:tcPr>
            <w:tcW w:w="1980"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Progressiveness</w:t>
            </w:r>
          </w:p>
        </w:tc>
        <w:tc>
          <w:tcPr>
            <w:tcW w:w="1509" w:type="dxa"/>
            <w:tcBorders>
              <w:top w:val="single" w:sz="4" w:space="0" w:color="auto"/>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Number of</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b/>
                <w:bCs/>
                <w:color w:val="000000"/>
              </w:rPr>
            </w:pPr>
          </w:p>
        </w:tc>
        <w:tc>
          <w:tcPr>
            <w:tcW w:w="1575"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of students</w:t>
            </w:r>
          </w:p>
        </w:tc>
        <w:tc>
          <w:tcPr>
            <w:tcW w:w="171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adjusting new</w:t>
            </w:r>
          </w:p>
        </w:tc>
        <w:tc>
          <w:tcPr>
            <w:tcW w:w="1980"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 xml:space="preserve">of </w:t>
            </w:r>
            <w:r w:rsidR="001279DB">
              <w:rPr>
                <w:b/>
                <w:bCs/>
                <w:color w:val="000000"/>
              </w:rPr>
              <w:t>Project</w:t>
            </w:r>
          </w:p>
        </w:tc>
        <w:tc>
          <w:tcPr>
            <w:tcW w:w="1509" w:type="dxa"/>
            <w:tcBorders>
              <w:top w:val="nil"/>
              <w:left w:val="nil"/>
              <w:bottom w:val="nil"/>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beneficiaries</w:t>
            </w:r>
          </w:p>
        </w:tc>
      </w:tr>
      <w:tr w:rsidR="006B3EE5" w:rsidRPr="001663F8" w:rsidTr="00664FCA">
        <w:trPr>
          <w:trHeight w:val="255"/>
        </w:trPr>
        <w:tc>
          <w:tcPr>
            <w:tcW w:w="1560"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275" w:type="dxa"/>
            <w:tcBorders>
              <w:top w:val="nil"/>
              <w:left w:val="nil"/>
              <w:bottom w:val="single" w:sz="4" w:space="0" w:color="auto"/>
              <w:right w:val="nil"/>
            </w:tcBorders>
            <w:shd w:val="clear" w:color="auto" w:fill="auto"/>
            <w:noWrap/>
            <w:vAlign w:val="bottom"/>
          </w:tcPr>
          <w:p w:rsidR="006B3EE5" w:rsidRPr="001663F8" w:rsidRDefault="006B3EE5" w:rsidP="000B2C37">
            <w:pPr>
              <w:rPr>
                <w:b/>
                <w:bCs/>
                <w:color w:val="000000"/>
              </w:rPr>
            </w:pPr>
            <w:r w:rsidRPr="001663F8">
              <w:rPr>
                <w:b/>
                <w:bCs/>
                <w:color w:val="000000"/>
              </w:rPr>
              <w:t> </w:t>
            </w:r>
          </w:p>
        </w:tc>
        <w:tc>
          <w:tcPr>
            <w:tcW w:w="1575" w:type="dxa"/>
            <w:tcBorders>
              <w:top w:val="nil"/>
              <w:left w:val="nil"/>
              <w:bottom w:val="single" w:sz="4" w:space="0" w:color="auto"/>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per grade 1/</w:t>
            </w:r>
          </w:p>
        </w:tc>
        <w:tc>
          <w:tcPr>
            <w:tcW w:w="1710" w:type="dxa"/>
            <w:tcBorders>
              <w:top w:val="nil"/>
              <w:left w:val="nil"/>
              <w:bottom w:val="single" w:sz="4" w:space="0" w:color="auto"/>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enrollment 2/</w:t>
            </w:r>
          </w:p>
        </w:tc>
        <w:tc>
          <w:tcPr>
            <w:tcW w:w="1980" w:type="dxa"/>
            <w:tcBorders>
              <w:top w:val="nil"/>
              <w:left w:val="nil"/>
              <w:bottom w:val="single" w:sz="4" w:space="0" w:color="auto"/>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impact</w:t>
            </w:r>
          </w:p>
        </w:tc>
        <w:tc>
          <w:tcPr>
            <w:tcW w:w="1509" w:type="dxa"/>
            <w:tcBorders>
              <w:top w:val="nil"/>
              <w:left w:val="nil"/>
              <w:bottom w:val="single" w:sz="4" w:space="0" w:color="auto"/>
              <w:right w:val="nil"/>
            </w:tcBorders>
            <w:shd w:val="clear" w:color="auto" w:fill="auto"/>
            <w:noWrap/>
            <w:vAlign w:val="bottom"/>
          </w:tcPr>
          <w:p w:rsidR="006B3EE5" w:rsidRPr="001663F8" w:rsidRDefault="006B3EE5" w:rsidP="000B2C37">
            <w:pPr>
              <w:jc w:val="center"/>
              <w:rPr>
                <w:b/>
                <w:bCs/>
                <w:color w:val="000000"/>
              </w:rPr>
            </w:pPr>
            <w:r w:rsidRPr="001663F8">
              <w:rPr>
                <w:b/>
                <w:bCs/>
                <w:color w:val="000000"/>
              </w:rPr>
              <w:t> </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F0685A" w:rsidP="000B2C37">
            <w:pPr>
              <w:rPr>
                <w:color w:val="000000"/>
              </w:rPr>
            </w:pPr>
            <w:r>
              <w:rPr>
                <w:color w:val="000000"/>
              </w:rPr>
              <w:t>Preschool</w:t>
            </w: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1</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77000</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78199</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20%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15640</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2</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77000</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78246</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40%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31298</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3</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77000</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81110</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60%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48666</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4</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77000</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81935</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65548</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5</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77000</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81982</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81982</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1663F8" w:rsidP="000B2C37">
            <w:pPr>
              <w:rPr>
                <w:b/>
                <w:color w:val="000000"/>
              </w:rPr>
            </w:pPr>
            <w:r w:rsidRPr="001663F8">
              <w:rPr>
                <w:b/>
                <w:color w:val="000000"/>
              </w:rPr>
              <w:t>Total</w:t>
            </w:r>
          </w:p>
        </w:tc>
        <w:tc>
          <w:tcPr>
            <w:tcW w:w="1275" w:type="dxa"/>
            <w:tcBorders>
              <w:top w:val="nil"/>
              <w:left w:val="nil"/>
              <w:bottom w:val="nil"/>
              <w:right w:val="nil"/>
            </w:tcBorders>
            <w:shd w:val="clear" w:color="auto" w:fill="auto"/>
            <w:noWrap/>
            <w:vAlign w:val="bottom"/>
          </w:tcPr>
          <w:p w:rsidR="006B3EE5" w:rsidRPr="001663F8" w:rsidRDefault="006B3EE5" w:rsidP="000B2C37">
            <w:pPr>
              <w:rPr>
                <w:b/>
                <w:color w:val="000000"/>
              </w:rPr>
            </w:pPr>
          </w:p>
        </w:tc>
        <w:tc>
          <w:tcPr>
            <w:tcW w:w="1575" w:type="dxa"/>
            <w:tcBorders>
              <w:top w:val="nil"/>
              <w:left w:val="nil"/>
              <w:bottom w:val="nil"/>
              <w:right w:val="nil"/>
            </w:tcBorders>
            <w:shd w:val="clear" w:color="auto" w:fill="auto"/>
            <w:noWrap/>
            <w:vAlign w:val="bottom"/>
          </w:tcPr>
          <w:p w:rsidR="006B3EE5" w:rsidRPr="001663F8" w:rsidRDefault="006B3EE5" w:rsidP="000B2C37">
            <w:pPr>
              <w:rPr>
                <w:b/>
                <w:color w:val="000000"/>
              </w:rPr>
            </w:pPr>
          </w:p>
        </w:tc>
        <w:tc>
          <w:tcPr>
            <w:tcW w:w="1710" w:type="dxa"/>
            <w:tcBorders>
              <w:top w:val="nil"/>
              <w:left w:val="nil"/>
              <w:bottom w:val="nil"/>
              <w:right w:val="nil"/>
            </w:tcBorders>
            <w:shd w:val="clear" w:color="auto" w:fill="auto"/>
            <w:noWrap/>
            <w:vAlign w:val="bottom"/>
          </w:tcPr>
          <w:p w:rsidR="006B3EE5" w:rsidRPr="001663F8" w:rsidRDefault="006B3EE5" w:rsidP="000B2C37">
            <w:pPr>
              <w:rPr>
                <w:b/>
                <w:color w:val="000000"/>
              </w:rPr>
            </w:pPr>
          </w:p>
        </w:tc>
        <w:tc>
          <w:tcPr>
            <w:tcW w:w="1980" w:type="dxa"/>
            <w:tcBorders>
              <w:top w:val="nil"/>
              <w:left w:val="nil"/>
              <w:bottom w:val="nil"/>
              <w:right w:val="nil"/>
            </w:tcBorders>
            <w:shd w:val="clear" w:color="auto" w:fill="auto"/>
            <w:noWrap/>
            <w:vAlign w:val="bottom"/>
          </w:tcPr>
          <w:p w:rsidR="006B3EE5" w:rsidRPr="001663F8" w:rsidRDefault="006B3EE5" w:rsidP="000B2C37">
            <w:pPr>
              <w:rPr>
                <w:b/>
                <w:color w:val="000000"/>
              </w:rPr>
            </w:pP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b/>
                <w:color w:val="000000"/>
              </w:rPr>
            </w:pPr>
            <w:r w:rsidRPr="001663F8">
              <w:rPr>
                <w:b/>
                <w:color w:val="000000"/>
              </w:rPr>
              <w:t>243134</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Lower Secondary</w:t>
            </w: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1</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106667</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107421</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20%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21484</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2</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106667</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107777</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40%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43111</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3</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106667</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109331</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60%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65598</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4</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106667</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110751</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88601</w:t>
            </w:r>
          </w:p>
        </w:tc>
      </w:tr>
      <w:tr w:rsidR="006B3EE5" w:rsidRPr="001663F8" w:rsidTr="00664FCA">
        <w:trPr>
          <w:trHeight w:val="255"/>
        </w:trPr>
        <w:tc>
          <w:tcPr>
            <w:tcW w:w="1560" w:type="dxa"/>
            <w:tcBorders>
              <w:top w:val="nil"/>
              <w:left w:val="nil"/>
              <w:bottom w:val="nil"/>
              <w:right w:val="nil"/>
            </w:tcBorders>
            <w:shd w:val="clear" w:color="auto" w:fill="auto"/>
            <w:noWrap/>
            <w:vAlign w:val="bottom"/>
          </w:tcPr>
          <w:p w:rsidR="006B3EE5" w:rsidRPr="001663F8" w:rsidRDefault="006B3EE5" w:rsidP="000B2C37">
            <w:pPr>
              <w:rPr>
                <w:color w:val="000000"/>
              </w:rPr>
            </w:pPr>
          </w:p>
        </w:tc>
        <w:tc>
          <w:tcPr>
            <w:tcW w:w="1275" w:type="dxa"/>
            <w:tcBorders>
              <w:top w:val="nil"/>
              <w:left w:val="nil"/>
              <w:bottom w:val="nil"/>
              <w:right w:val="nil"/>
            </w:tcBorders>
            <w:shd w:val="clear" w:color="auto" w:fill="auto"/>
            <w:noWrap/>
            <w:vAlign w:val="bottom"/>
          </w:tcPr>
          <w:p w:rsidR="006B3EE5" w:rsidRPr="001663F8" w:rsidRDefault="006B3EE5" w:rsidP="000B2C37">
            <w:pPr>
              <w:rPr>
                <w:color w:val="000000"/>
              </w:rPr>
            </w:pPr>
            <w:r w:rsidRPr="001663F8">
              <w:rPr>
                <w:color w:val="000000"/>
              </w:rPr>
              <w:t>End year 5</w:t>
            </w:r>
          </w:p>
        </w:tc>
        <w:tc>
          <w:tcPr>
            <w:tcW w:w="1575"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106667</w:t>
            </w:r>
          </w:p>
        </w:tc>
        <w:tc>
          <w:tcPr>
            <w:tcW w:w="171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111107</w:t>
            </w:r>
          </w:p>
        </w:tc>
        <w:tc>
          <w:tcPr>
            <w:tcW w:w="1980"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100%</w:t>
            </w:r>
          </w:p>
        </w:tc>
        <w:tc>
          <w:tcPr>
            <w:tcW w:w="1509" w:type="dxa"/>
            <w:tcBorders>
              <w:top w:val="nil"/>
              <w:left w:val="nil"/>
              <w:bottom w:val="nil"/>
              <w:right w:val="nil"/>
            </w:tcBorders>
            <w:shd w:val="clear" w:color="auto" w:fill="auto"/>
            <w:noWrap/>
            <w:vAlign w:val="bottom"/>
          </w:tcPr>
          <w:p w:rsidR="006B3EE5" w:rsidRPr="001663F8" w:rsidRDefault="006B3EE5" w:rsidP="002241D0">
            <w:pPr>
              <w:jc w:val="center"/>
              <w:rPr>
                <w:color w:val="000000"/>
              </w:rPr>
            </w:pPr>
            <w:r w:rsidRPr="001663F8">
              <w:rPr>
                <w:color w:val="000000"/>
              </w:rPr>
              <w:t>111107</w:t>
            </w:r>
          </w:p>
        </w:tc>
      </w:tr>
      <w:tr w:rsidR="006B3EE5" w:rsidRPr="001663F8" w:rsidTr="00664FCA">
        <w:trPr>
          <w:trHeight w:val="255"/>
        </w:trPr>
        <w:tc>
          <w:tcPr>
            <w:tcW w:w="1560" w:type="dxa"/>
            <w:tcBorders>
              <w:top w:val="nil"/>
              <w:left w:val="nil"/>
              <w:bottom w:val="single" w:sz="4" w:space="0" w:color="auto"/>
              <w:right w:val="nil"/>
            </w:tcBorders>
            <w:shd w:val="clear" w:color="auto" w:fill="auto"/>
            <w:noWrap/>
            <w:vAlign w:val="bottom"/>
          </w:tcPr>
          <w:p w:rsidR="006B3EE5" w:rsidRPr="001663F8" w:rsidRDefault="006B3EE5" w:rsidP="000B2C37">
            <w:pPr>
              <w:rPr>
                <w:b/>
                <w:color w:val="000000"/>
              </w:rPr>
            </w:pPr>
            <w:r w:rsidRPr="001663F8">
              <w:rPr>
                <w:b/>
                <w:color w:val="000000"/>
              </w:rPr>
              <w:t> </w:t>
            </w:r>
            <w:r w:rsidR="001663F8" w:rsidRPr="001663F8">
              <w:rPr>
                <w:b/>
                <w:color w:val="000000"/>
              </w:rPr>
              <w:t>Total</w:t>
            </w:r>
          </w:p>
        </w:tc>
        <w:tc>
          <w:tcPr>
            <w:tcW w:w="1275" w:type="dxa"/>
            <w:tcBorders>
              <w:top w:val="nil"/>
              <w:left w:val="nil"/>
              <w:bottom w:val="single" w:sz="4" w:space="0" w:color="auto"/>
              <w:right w:val="nil"/>
            </w:tcBorders>
            <w:shd w:val="clear" w:color="auto" w:fill="auto"/>
            <w:noWrap/>
            <w:vAlign w:val="bottom"/>
          </w:tcPr>
          <w:p w:rsidR="006B3EE5" w:rsidRPr="001663F8" w:rsidRDefault="006B3EE5" w:rsidP="000B2C37">
            <w:pPr>
              <w:rPr>
                <w:b/>
                <w:color w:val="000000"/>
              </w:rPr>
            </w:pPr>
            <w:r w:rsidRPr="001663F8">
              <w:rPr>
                <w:b/>
                <w:color w:val="000000"/>
              </w:rPr>
              <w:t> </w:t>
            </w:r>
          </w:p>
        </w:tc>
        <w:tc>
          <w:tcPr>
            <w:tcW w:w="1575" w:type="dxa"/>
            <w:tcBorders>
              <w:top w:val="nil"/>
              <w:left w:val="nil"/>
              <w:bottom w:val="single" w:sz="4" w:space="0" w:color="auto"/>
              <w:right w:val="nil"/>
            </w:tcBorders>
            <w:shd w:val="clear" w:color="auto" w:fill="auto"/>
            <w:noWrap/>
            <w:vAlign w:val="bottom"/>
          </w:tcPr>
          <w:p w:rsidR="006B3EE5" w:rsidRPr="001663F8" w:rsidRDefault="006B3EE5" w:rsidP="002241D0">
            <w:pPr>
              <w:jc w:val="center"/>
              <w:rPr>
                <w:b/>
                <w:color w:val="000000"/>
              </w:rPr>
            </w:pPr>
          </w:p>
        </w:tc>
        <w:tc>
          <w:tcPr>
            <w:tcW w:w="1710" w:type="dxa"/>
            <w:tcBorders>
              <w:top w:val="nil"/>
              <w:left w:val="nil"/>
              <w:bottom w:val="single" w:sz="4" w:space="0" w:color="auto"/>
              <w:right w:val="nil"/>
            </w:tcBorders>
            <w:shd w:val="clear" w:color="auto" w:fill="auto"/>
            <w:noWrap/>
            <w:vAlign w:val="bottom"/>
          </w:tcPr>
          <w:p w:rsidR="006B3EE5" w:rsidRPr="001663F8" w:rsidRDefault="006B3EE5" w:rsidP="002241D0">
            <w:pPr>
              <w:jc w:val="center"/>
              <w:rPr>
                <w:b/>
                <w:color w:val="000000"/>
              </w:rPr>
            </w:pPr>
          </w:p>
        </w:tc>
        <w:tc>
          <w:tcPr>
            <w:tcW w:w="1980" w:type="dxa"/>
            <w:tcBorders>
              <w:top w:val="nil"/>
              <w:left w:val="nil"/>
              <w:bottom w:val="single" w:sz="4" w:space="0" w:color="auto"/>
              <w:right w:val="nil"/>
            </w:tcBorders>
            <w:shd w:val="clear" w:color="auto" w:fill="auto"/>
            <w:noWrap/>
            <w:vAlign w:val="bottom"/>
          </w:tcPr>
          <w:p w:rsidR="006B3EE5" w:rsidRPr="001663F8" w:rsidRDefault="006B3EE5" w:rsidP="002241D0">
            <w:pPr>
              <w:jc w:val="center"/>
              <w:rPr>
                <w:b/>
                <w:color w:val="000000"/>
              </w:rPr>
            </w:pPr>
          </w:p>
        </w:tc>
        <w:tc>
          <w:tcPr>
            <w:tcW w:w="1509" w:type="dxa"/>
            <w:tcBorders>
              <w:top w:val="nil"/>
              <w:left w:val="nil"/>
              <w:bottom w:val="single" w:sz="4" w:space="0" w:color="auto"/>
              <w:right w:val="nil"/>
            </w:tcBorders>
            <w:shd w:val="clear" w:color="auto" w:fill="auto"/>
            <w:noWrap/>
            <w:vAlign w:val="bottom"/>
          </w:tcPr>
          <w:p w:rsidR="006B3EE5" w:rsidRPr="001663F8" w:rsidRDefault="006B3EE5" w:rsidP="002241D0">
            <w:pPr>
              <w:jc w:val="center"/>
              <w:rPr>
                <w:b/>
                <w:color w:val="000000"/>
              </w:rPr>
            </w:pPr>
            <w:r w:rsidRPr="001663F8">
              <w:rPr>
                <w:b/>
                <w:color w:val="000000"/>
              </w:rPr>
              <w:t>329900</w:t>
            </w:r>
          </w:p>
        </w:tc>
      </w:tr>
      <w:tr w:rsidR="006B3EE5" w:rsidRPr="001663F8">
        <w:trPr>
          <w:trHeight w:val="255"/>
        </w:trPr>
        <w:tc>
          <w:tcPr>
            <w:tcW w:w="9609" w:type="dxa"/>
            <w:gridSpan w:val="6"/>
            <w:tcBorders>
              <w:top w:val="nil"/>
              <w:left w:val="nil"/>
              <w:bottom w:val="nil"/>
              <w:right w:val="nil"/>
            </w:tcBorders>
            <w:shd w:val="clear" w:color="auto" w:fill="auto"/>
            <w:noWrap/>
            <w:vAlign w:val="bottom"/>
          </w:tcPr>
          <w:p w:rsidR="006B3EE5" w:rsidRPr="001663F8" w:rsidRDefault="006B3EE5" w:rsidP="00DC4ABE">
            <w:pPr>
              <w:rPr>
                <w:color w:val="000000"/>
                <w:sz w:val="20"/>
                <w:szCs w:val="20"/>
              </w:rPr>
            </w:pPr>
            <w:r w:rsidRPr="001663F8">
              <w:rPr>
                <w:color w:val="000000"/>
                <w:sz w:val="20"/>
                <w:szCs w:val="20"/>
              </w:rPr>
              <w:t>1/ The tota</w:t>
            </w:r>
            <w:r w:rsidR="00DC4ABE">
              <w:rPr>
                <w:color w:val="000000"/>
                <w:sz w:val="20"/>
                <w:szCs w:val="20"/>
              </w:rPr>
              <w:t xml:space="preserve">l stock of students in 2011 </w:t>
            </w:r>
            <w:proofErr w:type="gramStart"/>
            <w:r w:rsidR="00DC4ABE">
              <w:rPr>
                <w:color w:val="000000"/>
                <w:sz w:val="20"/>
                <w:szCs w:val="20"/>
              </w:rPr>
              <w:t>was</w:t>
            </w:r>
            <w:proofErr w:type="gramEnd"/>
            <w:r w:rsidR="00DC4ABE">
              <w:rPr>
                <w:color w:val="000000"/>
                <w:sz w:val="20"/>
                <w:szCs w:val="20"/>
              </w:rPr>
              <w:t xml:space="preserve">: (i) </w:t>
            </w:r>
            <w:r w:rsidRPr="001663F8">
              <w:rPr>
                <w:color w:val="000000"/>
                <w:sz w:val="20"/>
                <w:szCs w:val="20"/>
              </w:rPr>
              <w:t>231,000</w:t>
            </w:r>
            <w:r w:rsidR="00DC4ABE">
              <w:rPr>
                <w:color w:val="000000"/>
                <w:sz w:val="20"/>
                <w:szCs w:val="20"/>
              </w:rPr>
              <w:t xml:space="preserve"> in preschool</w:t>
            </w:r>
            <w:r w:rsidRPr="001663F8">
              <w:rPr>
                <w:color w:val="000000"/>
                <w:sz w:val="20"/>
                <w:szCs w:val="20"/>
              </w:rPr>
              <w:t xml:space="preserve">; and </w:t>
            </w:r>
            <w:r w:rsidR="00DC4ABE">
              <w:rPr>
                <w:color w:val="000000"/>
                <w:sz w:val="20"/>
                <w:szCs w:val="20"/>
              </w:rPr>
              <w:t xml:space="preserve">(ii) 320,000 </w:t>
            </w:r>
            <w:r w:rsidRPr="001663F8">
              <w:rPr>
                <w:color w:val="000000"/>
                <w:sz w:val="20"/>
                <w:szCs w:val="20"/>
              </w:rPr>
              <w:t xml:space="preserve">in </w:t>
            </w:r>
            <w:r w:rsidR="00DC4ABE">
              <w:rPr>
                <w:color w:val="000000"/>
                <w:sz w:val="20"/>
                <w:szCs w:val="20"/>
              </w:rPr>
              <w:t>l</w:t>
            </w:r>
            <w:r w:rsidRPr="001663F8">
              <w:rPr>
                <w:color w:val="000000"/>
                <w:sz w:val="20"/>
                <w:szCs w:val="20"/>
              </w:rPr>
              <w:t xml:space="preserve">ower </w:t>
            </w:r>
            <w:r w:rsidR="00DC4ABE">
              <w:rPr>
                <w:color w:val="000000"/>
                <w:sz w:val="20"/>
                <w:szCs w:val="20"/>
              </w:rPr>
              <w:t>s</w:t>
            </w:r>
            <w:r w:rsidRPr="001663F8">
              <w:rPr>
                <w:color w:val="000000"/>
                <w:sz w:val="20"/>
                <w:szCs w:val="20"/>
              </w:rPr>
              <w:t>econdary</w:t>
            </w:r>
            <w:r w:rsidR="00DC4ABE">
              <w:rPr>
                <w:color w:val="000000"/>
                <w:sz w:val="20"/>
                <w:szCs w:val="20"/>
              </w:rPr>
              <w:t>.</w:t>
            </w:r>
            <w:r w:rsidRPr="001663F8">
              <w:rPr>
                <w:color w:val="000000"/>
                <w:sz w:val="20"/>
                <w:szCs w:val="20"/>
              </w:rPr>
              <w:t xml:space="preserve"> </w:t>
            </w:r>
          </w:p>
        </w:tc>
      </w:tr>
    </w:tbl>
    <w:p w:rsidR="006B3EE5" w:rsidRDefault="006B3EE5" w:rsidP="006B3EE5">
      <w:pPr>
        <w:tabs>
          <w:tab w:val="left" w:pos="0"/>
        </w:tabs>
        <w:jc w:val="both"/>
      </w:pPr>
    </w:p>
    <w:p w:rsidR="006B3EE5" w:rsidRDefault="006B3EE5" w:rsidP="005E2993">
      <w:pPr>
        <w:pStyle w:val="ListParagraph"/>
        <w:numPr>
          <w:ilvl w:val="0"/>
          <w:numId w:val="16"/>
        </w:numPr>
        <w:tabs>
          <w:tab w:val="left" w:pos="0"/>
        </w:tabs>
        <w:ind w:left="0" w:firstLine="0"/>
        <w:jc w:val="both"/>
      </w:pPr>
      <w:r>
        <w:t xml:space="preserve">In order to estimate the expected costs and benefits of the </w:t>
      </w:r>
      <w:r w:rsidR="001279DB">
        <w:t>Project</w:t>
      </w:r>
      <w:r w:rsidR="00AE09F4">
        <w:t xml:space="preserve"> (see Table 6.6)</w:t>
      </w:r>
      <w:r>
        <w:t xml:space="preserve">, the economic analysis transforms expected changes in gross enrollment and quality improvements into their equivalent in terms of years of completed education, and calculates changes in expected benefits and expected costs. </w:t>
      </w:r>
      <w:r w:rsidR="00DC4ABE">
        <w:t xml:space="preserve"> </w:t>
      </w:r>
      <w:r>
        <w:t xml:space="preserve">The four impacts of the </w:t>
      </w:r>
      <w:r w:rsidR="001279DB">
        <w:t>Project</w:t>
      </w:r>
      <w:r>
        <w:t xml:space="preserve"> are analyzed in detail, and then pu</w:t>
      </w:r>
      <w:r w:rsidR="00F0685A">
        <w:t xml:space="preserve">t together to report </w:t>
      </w:r>
      <w:r w:rsidR="00EF43AF">
        <w:t>a single IRR</w:t>
      </w:r>
      <w:r>
        <w:t xml:space="preserve">. </w:t>
      </w:r>
      <w:r w:rsidR="00DC4ABE">
        <w:t xml:space="preserve"> </w:t>
      </w:r>
      <w:r>
        <w:t>It is important to notice (i) that more years of education attainment increase expected income, (ii) more years of education increases costs per capita, but that evolution is partially compensated by improvements in efficiency (reductions in repetition and dropout rates), and (iii) time horizons (and therefore calculations of net present value) are different for preschool interventions and lower secondary interventions, as the former may produce benefits in 12 years while the latter may produce benefits in as little</w:t>
      </w:r>
      <w:r w:rsidR="00F0685A">
        <w:t xml:space="preserve"> as one</w:t>
      </w:r>
      <w:r>
        <w:t xml:space="preserve"> year. </w:t>
      </w:r>
    </w:p>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rPr>
          <w:b/>
        </w:rPr>
        <w:t>Impact 1: Increase in the preschool enrollment in targeted municipalities</w:t>
      </w:r>
      <w:r>
        <w:t xml:space="preserve">.  The </w:t>
      </w:r>
      <w:r w:rsidR="001279DB">
        <w:t>Project</w:t>
      </w:r>
      <w:r>
        <w:t xml:space="preserve">, through investments in infrastructure, </w:t>
      </w:r>
      <w:r w:rsidR="00636C8C">
        <w:t>would</w:t>
      </w:r>
      <w:r>
        <w:t xml:space="preserve"> increase the supply of preschool services in targeted municipalities.  It is expected that gross enrollment </w:t>
      </w:r>
      <w:r w:rsidR="00F0685A">
        <w:t>rate for pres</w:t>
      </w:r>
      <w:r>
        <w:t xml:space="preserve">chool in those municipalities </w:t>
      </w:r>
      <w:r w:rsidR="00636C8C">
        <w:t>would</w:t>
      </w:r>
      <w:r>
        <w:t xml:space="preserve"> increase from 41.7 percent to 53 percent. </w:t>
      </w:r>
      <w:r w:rsidR="00DC4ABE">
        <w:t xml:space="preserve"> </w:t>
      </w:r>
      <w:r>
        <w:t xml:space="preserve">Participation and attendance to preschool is likely to increase transition into primary education and student performance thereafter. </w:t>
      </w:r>
      <w:r w:rsidR="00DC4ABE">
        <w:t xml:space="preserve"> </w:t>
      </w:r>
      <w:r>
        <w:t xml:space="preserve">With a conservative reduction of 15 percent in repetition and dropout rates due to </w:t>
      </w:r>
      <w:r w:rsidR="00F0685A">
        <w:t>preschool</w:t>
      </w:r>
      <w:r>
        <w:t xml:space="preserve"> attendance, it is expected that the average years of schooling in targeted municipalities </w:t>
      </w:r>
      <w:r w:rsidR="00636C8C">
        <w:t>would</w:t>
      </w:r>
      <w:r>
        <w:t xml:space="preserve"> increase from 6.1 to 6.9 years.</w:t>
      </w:r>
      <w:r w:rsidR="00DC4ABE">
        <w:t xml:space="preserve"> </w:t>
      </w:r>
      <w:r>
        <w:t xml:space="preserve"> This evolution, given current labor market income structure, represents an increase in lifelong earnings of US$922 (measured at age 3 with a discount rate of 5 percent).  Higher education attainment implies more education costs, which are partially compensated by improvements in efficiency.  The increase of cost due</w:t>
      </w:r>
      <w:r w:rsidR="00F0685A">
        <w:t xml:space="preserve"> to improved attendance are US$</w:t>
      </w:r>
      <w:r>
        <w:t>279 (measured at age 3 with a discount rate of 5 percent).</w:t>
      </w:r>
    </w:p>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rPr>
          <w:b/>
        </w:rPr>
        <w:t xml:space="preserve">Impact 2: Increase in lower secondary enrollment </w:t>
      </w:r>
      <w:r w:rsidRPr="00D32750">
        <w:rPr>
          <w:b/>
        </w:rPr>
        <w:t xml:space="preserve">in </w:t>
      </w:r>
      <w:r>
        <w:rPr>
          <w:b/>
        </w:rPr>
        <w:t>targeted</w:t>
      </w:r>
      <w:r w:rsidRPr="00D32750">
        <w:rPr>
          <w:b/>
        </w:rPr>
        <w:t xml:space="preserve"> municipalities</w:t>
      </w:r>
      <w:r>
        <w:t xml:space="preserve">.  The </w:t>
      </w:r>
      <w:r w:rsidR="001279DB">
        <w:t>Project</w:t>
      </w:r>
      <w:r>
        <w:t xml:space="preserve"> </w:t>
      </w:r>
      <w:r w:rsidR="00636C8C">
        <w:t>would</w:t>
      </w:r>
      <w:r>
        <w:t xml:space="preserve"> also support the construction and rehabilitation of lower secondary schools, therefore increasing supply of secondary education services that </w:t>
      </w:r>
      <w:r w:rsidR="00636C8C">
        <w:t>would</w:t>
      </w:r>
      <w:r>
        <w:t xml:space="preserve"> allow growth in the gross </w:t>
      </w:r>
      <w:r>
        <w:lastRenderedPageBreak/>
        <w:t xml:space="preserve">enrollment rate in targeted municipalities from 48.6 percent to 59 percent. </w:t>
      </w:r>
      <w:r w:rsidR="00DC4ABE">
        <w:t xml:space="preserve"> </w:t>
      </w:r>
      <w:r>
        <w:t xml:space="preserve">Given current patterns of school attendance, this evolution in gross enrollment </w:t>
      </w:r>
      <w:r w:rsidR="00636C8C">
        <w:t>would</w:t>
      </w:r>
      <w:r>
        <w:t xml:space="preserve"> imply a rise in years of education from 6.4 to 6.6 for all students in targeted municipalities, but from 10 to 10.6 years for those that have reached lower secondary. </w:t>
      </w:r>
      <w:r w:rsidR="00DC4ABE">
        <w:t xml:space="preserve"> </w:t>
      </w:r>
      <w:r>
        <w:t>This evolution, given current labor market patterns, represents an increase in lifelong earnings of US$3,</w:t>
      </w:r>
      <w:r w:rsidR="00173BA7">
        <w:t xml:space="preserve">153 (measured as student leave </w:t>
      </w:r>
      <w:r>
        <w:t>grade</w:t>
      </w:r>
      <w:r w:rsidR="00173BA7">
        <w:t xml:space="preserve"> 6</w:t>
      </w:r>
      <w:r>
        <w:t xml:space="preserve">, discounted at a rate of 5 percent).  Higher education attainment implies more education costs, which are partially compensated by improvements in efficiency. </w:t>
      </w:r>
      <w:r w:rsidR="00DC4ABE">
        <w:t xml:space="preserve"> </w:t>
      </w:r>
      <w:r>
        <w:t>The increase of cost du</w:t>
      </w:r>
      <w:r w:rsidR="00DC4ABE">
        <w:t>e to improved attendance is US$</w:t>
      </w:r>
      <w:r w:rsidR="00173BA7">
        <w:t xml:space="preserve">307 (measured as student leave </w:t>
      </w:r>
      <w:r>
        <w:t>grade</w:t>
      </w:r>
      <w:r w:rsidR="00173BA7">
        <w:t xml:space="preserve"> 6</w:t>
      </w:r>
      <w:r>
        <w:t>, discounted at a rate of 5 percent).</w:t>
      </w:r>
    </w:p>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rPr>
          <w:b/>
        </w:rPr>
        <w:t xml:space="preserve">Impact 3: </w:t>
      </w:r>
      <w:r w:rsidRPr="00BA3557">
        <w:rPr>
          <w:b/>
        </w:rPr>
        <w:t>National activities on ECD</w:t>
      </w:r>
      <w:r>
        <w:t xml:space="preserve">. </w:t>
      </w:r>
      <w:r w:rsidR="00DC4ABE">
        <w:t xml:space="preserve"> </w:t>
      </w:r>
      <w:r>
        <w:t xml:space="preserve">Some of the activities to improve ECD </w:t>
      </w:r>
      <w:r w:rsidR="00636C8C">
        <w:t>would</w:t>
      </w:r>
      <w:r>
        <w:t xml:space="preserve"> cover teachers beyond the targeted municipalities.</w:t>
      </w:r>
      <w:r w:rsidR="00DC4ABE">
        <w:t xml:space="preserve"> </w:t>
      </w:r>
      <w:r>
        <w:t xml:space="preserve"> This analysis estimates that improved teacher effectiveness </w:t>
      </w:r>
      <w:r w:rsidR="00636C8C">
        <w:t>would</w:t>
      </w:r>
      <w:r>
        <w:t xml:space="preserve"> reduce preschool repetition and dropout by 5 percent, such that average education attainment </w:t>
      </w:r>
      <w:r w:rsidR="00636C8C">
        <w:t>would</w:t>
      </w:r>
      <w:r>
        <w:t xml:space="preserve"> increase from 8.1 to 8.4 years of schooling. </w:t>
      </w:r>
      <w:r w:rsidR="00DC4ABE">
        <w:t xml:space="preserve"> </w:t>
      </w:r>
      <w:r>
        <w:t xml:space="preserve">This evolution, given current labor market patterns, represents an increase in lifelong earnings of US$392 (measured at age 3 with a discount rate of 5 percent). </w:t>
      </w:r>
      <w:r w:rsidR="00DC4ABE">
        <w:t xml:space="preserve"> </w:t>
      </w:r>
      <w:r>
        <w:t xml:space="preserve">Higher education attainment implies more education costs, which are partially compensated by improvements in efficiency. </w:t>
      </w:r>
      <w:r w:rsidR="00DC4ABE">
        <w:t xml:space="preserve"> </w:t>
      </w:r>
      <w:r>
        <w:t xml:space="preserve">The increase of cost due to improved attendance </w:t>
      </w:r>
      <w:r w:rsidR="00103FF5">
        <w:t>is</w:t>
      </w:r>
      <w:r>
        <w:t xml:space="preserve"> US$19 (measured at age 3 with a discount rate of 5 percent).</w:t>
      </w:r>
    </w:p>
    <w:p w:rsidR="006B3EE5" w:rsidRDefault="006B3EE5" w:rsidP="006B3EE5">
      <w:pPr>
        <w:pStyle w:val="ListParagraph"/>
        <w:tabs>
          <w:tab w:val="left" w:pos="0"/>
        </w:tabs>
        <w:ind w:left="0"/>
        <w:jc w:val="both"/>
      </w:pPr>
    </w:p>
    <w:p w:rsidR="006B3EE5" w:rsidRDefault="006B3EE5" w:rsidP="005E2993">
      <w:pPr>
        <w:pStyle w:val="ListParagraph"/>
        <w:numPr>
          <w:ilvl w:val="0"/>
          <w:numId w:val="16"/>
        </w:numPr>
        <w:tabs>
          <w:tab w:val="left" w:pos="0"/>
        </w:tabs>
        <w:ind w:left="0" w:firstLine="0"/>
        <w:jc w:val="both"/>
      </w:pPr>
      <w:r>
        <w:rPr>
          <w:b/>
        </w:rPr>
        <w:t>Impact 4: I</w:t>
      </w:r>
      <w:r w:rsidRPr="00BA3557">
        <w:rPr>
          <w:b/>
        </w:rPr>
        <w:t xml:space="preserve">mprovement </w:t>
      </w:r>
      <w:r>
        <w:rPr>
          <w:b/>
        </w:rPr>
        <w:t xml:space="preserve">in the quality and completion of </w:t>
      </w:r>
      <w:r w:rsidRPr="00BA3557">
        <w:rPr>
          <w:b/>
        </w:rPr>
        <w:t>lower secondary</w:t>
      </w:r>
      <w:r>
        <w:rPr>
          <w:b/>
        </w:rPr>
        <w:t xml:space="preserve"> education</w:t>
      </w:r>
      <w:r>
        <w:t>. Th</w:t>
      </w:r>
      <w:r w:rsidR="00173BA7">
        <w:t>e Project aims to increase the g</w:t>
      </w:r>
      <w:r>
        <w:t>rade 9 completion rate at the national level from 52 percent to 60 percent. The improvement of teacher effectiveness and the distribution of learning materials are expected to impact learning outcomes and reduce repetition and dropout.  Given current trend</w:t>
      </w:r>
      <w:r w:rsidR="00EF43AF">
        <w:t>s in education attainment, the eight</w:t>
      </w:r>
      <w:r>
        <w:t xml:space="preserve"> percentage-point </w:t>
      </w:r>
      <w:r w:rsidR="00F0685A">
        <w:t>increases</w:t>
      </w:r>
      <w:r>
        <w:t xml:space="preserve"> in the completion rate </w:t>
      </w:r>
      <w:r w:rsidR="00636C8C">
        <w:t>would</w:t>
      </w:r>
      <w:r>
        <w:t xml:space="preserve"> increase the average years of education from 8.1 to 8.4. </w:t>
      </w:r>
      <w:r w:rsidR="00DC4ABE">
        <w:t xml:space="preserve"> </w:t>
      </w:r>
      <w:r>
        <w:t xml:space="preserve">Nonetheless, the years of schooling for those who complete lower secondary education </w:t>
      </w:r>
      <w:r w:rsidR="00636C8C">
        <w:t>would</w:t>
      </w:r>
      <w:r>
        <w:t xml:space="preserve"> increase from 11.5 to 11.9.</w:t>
      </w:r>
      <w:r w:rsidR="00DC4ABE">
        <w:t xml:space="preserve"> </w:t>
      </w:r>
      <w:r>
        <w:t xml:space="preserve"> This evolution, given current labor market patterns, represents an increase in lifelong earnings of US$</w:t>
      </w:r>
      <w:r w:rsidR="00173BA7">
        <w:t xml:space="preserve">468 (measured as student leave </w:t>
      </w:r>
      <w:r>
        <w:t>grade</w:t>
      </w:r>
      <w:r w:rsidR="00173BA7">
        <w:t xml:space="preserve"> 6</w:t>
      </w:r>
      <w:r>
        <w:t>, discounted at a rate of 5 percent).  Higher education attainment implies more education costs, which are partially compensated by improvements in efficiency.  The increase of cost due to improved attendance is US</w:t>
      </w:r>
      <w:r w:rsidR="00173BA7">
        <w:t xml:space="preserve">$25 (measured as student leave </w:t>
      </w:r>
      <w:r>
        <w:t>grade</w:t>
      </w:r>
      <w:r w:rsidR="00173BA7">
        <w:t xml:space="preserve"> 6</w:t>
      </w:r>
      <w:r>
        <w:t>, discounted at a rate of 5 percent).</w:t>
      </w:r>
    </w:p>
    <w:p w:rsidR="006B3EE5" w:rsidRDefault="006B3EE5"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p w:rsidR="006923F3" w:rsidRDefault="006923F3" w:rsidP="006B3EE5"/>
    <w:tbl>
      <w:tblPr>
        <w:tblW w:w="9936" w:type="dxa"/>
        <w:tblInd w:w="108" w:type="dxa"/>
        <w:tblLook w:val="04A0" w:firstRow="1" w:lastRow="0" w:firstColumn="1" w:lastColumn="0" w:noHBand="0" w:noVBand="1"/>
      </w:tblPr>
      <w:tblGrid>
        <w:gridCol w:w="3176"/>
        <w:gridCol w:w="856"/>
        <w:gridCol w:w="1136"/>
        <w:gridCol w:w="1536"/>
        <w:gridCol w:w="1556"/>
        <w:gridCol w:w="1676"/>
      </w:tblGrid>
      <w:tr w:rsidR="00DC4ABE" w:rsidRPr="00DC4ABE">
        <w:trPr>
          <w:trHeight w:val="300"/>
        </w:trPr>
        <w:tc>
          <w:tcPr>
            <w:tcW w:w="9936" w:type="dxa"/>
            <w:gridSpan w:val="6"/>
            <w:tcBorders>
              <w:top w:val="nil"/>
              <w:left w:val="nil"/>
              <w:bottom w:val="nil"/>
              <w:right w:val="nil"/>
            </w:tcBorders>
            <w:shd w:val="clear" w:color="auto" w:fill="auto"/>
            <w:noWrap/>
            <w:vAlign w:val="bottom"/>
          </w:tcPr>
          <w:p w:rsidR="00DC4ABE" w:rsidRDefault="00DC4ABE" w:rsidP="00DC4ABE">
            <w:pPr>
              <w:jc w:val="center"/>
              <w:rPr>
                <w:b/>
                <w:bCs/>
                <w:color w:val="000000"/>
              </w:rPr>
            </w:pPr>
            <w:r>
              <w:rPr>
                <w:b/>
                <w:bCs/>
                <w:color w:val="000000"/>
              </w:rPr>
              <w:lastRenderedPageBreak/>
              <w:t>Table 6</w:t>
            </w:r>
            <w:r w:rsidR="00857376">
              <w:rPr>
                <w:b/>
                <w:bCs/>
                <w:color w:val="000000"/>
              </w:rPr>
              <w:t>.6</w:t>
            </w:r>
            <w:r>
              <w:rPr>
                <w:b/>
                <w:bCs/>
                <w:color w:val="000000"/>
              </w:rPr>
              <w:t xml:space="preserve">: Impact of the Project </w:t>
            </w:r>
          </w:p>
          <w:p w:rsidR="00DC4ABE" w:rsidRPr="00DC4ABE" w:rsidRDefault="00DC4ABE" w:rsidP="00DC4ABE">
            <w:pPr>
              <w:jc w:val="center"/>
              <w:rPr>
                <w:b/>
                <w:bCs/>
                <w:color w:val="000000"/>
              </w:rPr>
            </w:pPr>
            <w:r w:rsidRPr="00DC4ABE">
              <w:rPr>
                <w:b/>
                <w:bCs/>
                <w:color w:val="000000"/>
              </w:rPr>
              <w:t>(Present value in US$ of changes in costs and benefits-discount rate 5 percent)</w:t>
            </w:r>
          </w:p>
        </w:tc>
      </w:tr>
      <w:tr w:rsidR="006B3EE5" w:rsidRPr="00DC4ABE">
        <w:trPr>
          <w:trHeight w:val="300"/>
        </w:trPr>
        <w:tc>
          <w:tcPr>
            <w:tcW w:w="3176" w:type="dxa"/>
            <w:tcBorders>
              <w:top w:val="single" w:sz="4" w:space="0" w:color="auto"/>
              <w:left w:val="nil"/>
              <w:bottom w:val="nil"/>
              <w:right w:val="nil"/>
            </w:tcBorders>
            <w:shd w:val="clear" w:color="auto" w:fill="auto"/>
            <w:noWrap/>
            <w:vAlign w:val="bottom"/>
          </w:tcPr>
          <w:p w:rsidR="006B3EE5" w:rsidRPr="00DC4ABE" w:rsidRDefault="006B3EE5" w:rsidP="000B2C37">
            <w:pPr>
              <w:rPr>
                <w:b/>
                <w:bCs/>
                <w:color w:val="000000"/>
              </w:rPr>
            </w:pPr>
            <w:r w:rsidRPr="00DC4ABE">
              <w:rPr>
                <w:b/>
                <w:bCs/>
                <w:color w:val="000000"/>
              </w:rPr>
              <w:t xml:space="preserve"> </w:t>
            </w:r>
          </w:p>
        </w:tc>
        <w:tc>
          <w:tcPr>
            <w:tcW w:w="1992" w:type="dxa"/>
            <w:gridSpan w:val="2"/>
            <w:tcBorders>
              <w:top w:val="single" w:sz="4" w:space="0" w:color="auto"/>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Individual level</w:t>
            </w:r>
          </w:p>
        </w:tc>
        <w:tc>
          <w:tcPr>
            <w:tcW w:w="4768" w:type="dxa"/>
            <w:gridSpan w:val="3"/>
            <w:tcBorders>
              <w:top w:val="single" w:sz="4" w:space="0" w:color="auto"/>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Aggregate level</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b/>
                <w:bCs/>
                <w:color w:val="000000"/>
              </w:rPr>
            </w:pPr>
          </w:p>
        </w:tc>
        <w:tc>
          <w:tcPr>
            <w:tcW w:w="85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Direct</w:t>
            </w:r>
          </w:p>
        </w:tc>
        <w:tc>
          <w:tcPr>
            <w:tcW w:w="113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Life time</w:t>
            </w:r>
          </w:p>
        </w:tc>
        <w:tc>
          <w:tcPr>
            <w:tcW w:w="153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Beneficiaries</w:t>
            </w:r>
          </w:p>
        </w:tc>
        <w:tc>
          <w:tcPr>
            <w:tcW w:w="155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 xml:space="preserve">Increase in </w:t>
            </w:r>
          </w:p>
        </w:tc>
        <w:tc>
          <w:tcPr>
            <w:tcW w:w="167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 xml:space="preserve">Increase in </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b/>
                <w:bCs/>
                <w:color w:val="000000"/>
              </w:rPr>
            </w:pPr>
          </w:p>
        </w:tc>
        <w:tc>
          <w:tcPr>
            <w:tcW w:w="85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Cost</w:t>
            </w:r>
          </w:p>
        </w:tc>
        <w:tc>
          <w:tcPr>
            <w:tcW w:w="113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earnings</w:t>
            </w: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direct costs</w:t>
            </w:r>
          </w:p>
        </w:tc>
        <w:tc>
          <w:tcPr>
            <w:tcW w:w="167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life time earnings</w:t>
            </w:r>
          </w:p>
        </w:tc>
      </w:tr>
      <w:tr w:rsidR="006B3EE5" w:rsidRPr="00DC4ABE">
        <w:trPr>
          <w:trHeight w:val="300"/>
        </w:trPr>
        <w:tc>
          <w:tcPr>
            <w:tcW w:w="3176" w:type="dxa"/>
            <w:tcBorders>
              <w:top w:val="nil"/>
              <w:left w:val="nil"/>
              <w:bottom w:val="single" w:sz="4" w:space="0" w:color="auto"/>
              <w:right w:val="nil"/>
            </w:tcBorders>
            <w:shd w:val="clear" w:color="auto" w:fill="auto"/>
            <w:noWrap/>
            <w:vAlign w:val="bottom"/>
          </w:tcPr>
          <w:p w:rsidR="006B3EE5" w:rsidRPr="00DC4ABE" w:rsidRDefault="006B3EE5" w:rsidP="000B2C37">
            <w:pPr>
              <w:rPr>
                <w:b/>
                <w:bCs/>
                <w:color w:val="000000"/>
              </w:rPr>
            </w:pPr>
            <w:r w:rsidRPr="00DC4ABE">
              <w:rPr>
                <w:b/>
                <w:bCs/>
                <w:color w:val="000000"/>
              </w:rPr>
              <w:t> </w:t>
            </w:r>
          </w:p>
        </w:tc>
        <w:tc>
          <w:tcPr>
            <w:tcW w:w="856" w:type="dxa"/>
            <w:tcBorders>
              <w:top w:val="nil"/>
              <w:left w:val="nil"/>
              <w:bottom w:val="single" w:sz="4" w:space="0" w:color="auto"/>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(A)</w:t>
            </w:r>
          </w:p>
        </w:tc>
        <w:tc>
          <w:tcPr>
            <w:tcW w:w="1136" w:type="dxa"/>
            <w:tcBorders>
              <w:top w:val="nil"/>
              <w:left w:val="nil"/>
              <w:bottom w:val="single" w:sz="4" w:space="0" w:color="auto"/>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(B)</w:t>
            </w:r>
          </w:p>
        </w:tc>
        <w:tc>
          <w:tcPr>
            <w:tcW w:w="1536" w:type="dxa"/>
            <w:tcBorders>
              <w:top w:val="nil"/>
              <w:left w:val="nil"/>
              <w:bottom w:val="single" w:sz="4" w:space="0" w:color="auto"/>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(C )</w:t>
            </w:r>
          </w:p>
        </w:tc>
        <w:tc>
          <w:tcPr>
            <w:tcW w:w="1556" w:type="dxa"/>
            <w:tcBorders>
              <w:top w:val="nil"/>
              <w:left w:val="nil"/>
              <w:bottom w:val="single" w:sz="4" w:space="0" w:color="auto"/>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(A)*(C )</w:t>
            </w:r>
          </w:p>
        </w:tc>
        <w:tc>
          <w:tcPr>
            <w:tcW w:w="1676" w:type="dxa"/>
            <w:tcBorders>
              <w:top w:val="nil"/>
              <w:left w:val="nil"/>
              <w:bottom w:val="single" w:sz="4" w:space="0" w:color="auto"/>
              <w:right w:val="nil"/>
            </w:tcBorders>
            <w:shd w:val="clear" w:color="auto" w:fill="auto"/>
            <w:noWrap/>
            <w:vAlign w:val="bottom"/>
          </w:tcPr>
          <w:p w:rsidR="006B3EE5" w:rsidRPr="00DC4ABE" w:rsidRDefault="006B3EE5" w:rsidP="000B2C37">
            <w:pPr>
              <w:jc w:val="center"/>
              <w:rPr>
                <w:b/>
                <w:bCs/>
                <w:color w:val="000000"/>
              </w:rPr>
            </w:pPr>
            <w:r w:rsidRPr="00DC4ABE">
              <w:rPr>
                <w:b/>
                <w:bCs/>
                <w:color w:val="000000"/>
              </w:rPr>
              <w:t>(B)*(C )</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b/>
                <w:bCs/>
                <w:color w:val="000000"/>
              </w:rPr>
            </w:pPr>
            <w:r w:rsidRPr="00DC4ABE">
              <w:rPr>
                <w:b/>
                <w:bCs/>
                <w:color w:val="000000"/>
              </w:rPr>
              <w:t>Improve in access</w:t>
            </w:r>
          </w:p>
        </w:tc>
        <w:tc>
          <w:tcPr>
            <w:tcW w:w="85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p>
        </w:tc>
        <w:tc>
          <w:tcPr>
            <w:tcW w:w="1676" w:type="dxa"/>
            <w:tcBorders>
              <w:top w:val="nil"/>
              <w:left w:val="nil"/>
              <w:bottom w:val="nil"/>
              <w:right w:val="nil"/>
            </w:tcBorders>
            <w:shd w:val="clear" w:color="auto" w:fill="auto"/>
            <w:noWrap/>
            <w:vAlign w:val="bottom"/>
          </w:tcPr>
          <w:p w:rsidR="006B3EE5" w:rsidRPr="00DC4ABE" w:rsidRDefault="006B3EE5" w:rsidP="000B2C37">
            <w:pPr>
              <w:jc w:val="center"/>
              <w:rPr>
                <w:b/>
                <w:bCs/>
                <w:color w:val="000000"/>
              </w:rPr>
            </w:pP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F0685A" w:rsidP="000B2C37">
            <w:pPr>
              <w:rPr>
                <w:color w:val="000000"/>
              </w:rPr>
            </w:pPr>
            <w:r>
              <w:rPr>
                <w:color w:val="000000"/>
              </w:rPr>
              <w:t>Preschool</w:t>
            </w:r>
          </w:p>
        </w:tc>
        <w:tc>
          <w:tcPr>
            <w:tcW w:w="8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279</w:t>
            </w:r>
          </w:p>
        </w:tc>
        <w:tc>
          <w:tcPr>
            <w:tcW w:w="11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922</w:t>
            </w:r>
          </w:p>
        </w:tc>
        <w:tc>
          <w:tcPr>
            <w:tcW w:w="15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16,472</w:t>
            </w:r>
          </w:p>
        </w:tc>
        <w:tc>
          <w:tcPr>
            <w:tcW w:w="15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4,592,268</w:t>
            </w:r>
          </w:p>
        </w:tc>
        <w:tc>
          <w:tcPr>
            <w:tcW w:w="167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15,180,874</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r w:rsidRPr="00DC4ABE">
              <w:rPr>
                <w:color w:val="000000"/>
              </w:rPr>
              <w:t>Lower Secondary</w:t>
            </w:r>
          </w:p>
        </w:tc>
        <w:tc>
          <w:tcPr>
            <w:tcW w:w="8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307</w:t>
            </w:r>
          </w:p>
        </w:tc>
        <w:tc>
          <w:tcPr>
            <w:tcW w:w="11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3153</w:t>
            </w:r>
          </w:p>
        </w:tc>
        <w:tc>
          <w:tcPr>
            <w:tcW w:w="15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13,052</w:t>
            </w:r>
          </w:p>
        </w:tc>
        <w:tc>
          <w:tcPr>
            <w:tcW w:w="15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4,011,035</w:t>
            </w:r>
          </w:p>
        </w:tc>
        <w:tc>
          <w:tcPr>
            <w:tcW w:w="167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41,152,364</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8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6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b/>
                <w:bCs/>
                <w:color w:val="000000"/>
              </w:rPr>
            </w:pPr>
            <w:r w:rsidRPr="00DC4ABE">
              <w:rPr>
                <w:b/>
                <w:bCs/>
                <w:color w:val="000000"/>
              </w:rPr>
              <w:t>Improve in quality</w:t>
            </w:r>
          </w:p>
        </w:tc>
        <w:tc>
          <w:tcPr>
            <w:tcW w:w="8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6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F0685A" w:rsidP="000B2C37">
            <w:pPr>
              <w:rPr>
                <w:color w:val="000000"/>
              </w:rPr>
            </w:pPr>
            <w:r>
              <w:rPr>
                <w:color w:val="000000"/>
              </w:rPr>
              <w:t>Preschool</w:t>
            </w:r>
          </w:p>
        </w:tc>
        <w:tc>
          <w:tcPr>
            <w:tcW w:w="8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19</w:t>
            </w:r>
          </w:p>
        </w:tc>
        <w:tc>
          <w:tcPr>
            <w:tcW w:w="11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392</w:t>
            </w:r>
          </w:p>
        </w:tc>
        <w:tc>
          <w:tcPr>
            <w:tcW w:w="15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243,134</w:t>
            </w:r>
          </w:p>
        </w:tc>
        <w:tc>
          <w:tcPr>
            <w:tcW w:w="15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4,544,256</w:t>
            </w:r>
          </w:p>
        </w:tc>
        <w:tc>
          <w:tcPr>
            <w:tcW w:w="167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95,244,440</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r w:rsidRPr="00DC4ABE">
              <w:rPr>
                <w:color w:val="000000"/>
              </w:rPr>
              <w:t>Lower Secondary</w:t>
            </w:r>
          </w:p>
        </w:tc>
        <w:tc>
          <w:tcPr>
            <w:tcW w:w="8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25</w:t>
            </w:r>
          </w:p>
        </w:tc>
        <w:tc>
          <w:tcPr>
            <w:tcW w:w="11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468</w:t>
            </w:r>
          </w:p>
        </w:tc>
        <w:tc>
          <w:tcPr>
            <w:tcW w:w="153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329,900</w:t>
            </w:r>
          </w:p>
        </w:tc>
        <w:tc>
          <w:tcPr>
            <w:tcW w:w="15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8,408,292</w:t>
            </w:r>
          </w:p>
        </w:tc>
        <w:tc>
          <w:tcPr>
            <w:tcW w:w="167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154,309,548</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8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6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r>
      <w:tr w:rsidR="006B3EE5" w:rsidRPr="00DC4ABE">
        <w:trPr>
          <w:trHeight w:val="300"/>
        </w:trPr>
        <w:tc>
          <w:tcPr>
            <w:tcW w:w="3176" w:type="dxa"/>
            <w:tcBorders>
              <w:top w:val="nil"/>
              <w:left w:val="nil"/>
              <w:bottom w:val="single" w:sz="4" w:space="0" w:color="auto"/>
              <w:right w:val="nil"/>
            </w:tcBorders>
            <w:shd w:val="clear" w:color="auto" w:fill="auto"/>
            <w:noWrap/>
            <w:vAlign w:val="bottom"/>
          </w:tcPr>
          <w:p w:rsidR="006B3EE5" w:rsidRPr="00DC4ABE" w:rsidRDefault="006B3EE5" w:rsidP="000B2C37">
            <w:pPr>
              <w:rPr>
                <w:color w:val="000000"/>
              </w:rPr>
            </w:pPr>
            <w:r w:rsidRPr="00DC4ABE">
              <w:rPr>
                <w:color w:val="000000"/>
              </w:rPr>
              <w:t xml:space="preserve">Total (without </w:t>
            </w:r>
            <w:r w:rsidR="001279DB">
              <w:rPr>
                <w:color w:val="000000"/>
              </w:rPr>
              <w:t>Project</w:t>
            </w:r>
            <w:r w:rsidRPr="00DC4ABE">
              <w:rPr>
                <w:color w:val="000000"/>
              </w:rPr>
              <w:t>)</w:t>
            </w:r>
          </w:p>
        </w:tc>
        <w:tc>
          <w:tcPr>
            <w:tcW w:w="856" w:type="dxa"/>
            <w:tcBorders>
              <w:top w:val="nil"/>
              <w:left w:val="nil"/>
              <w:bottom w:val="single" w:sz="4" w:space="0" w:color="auto"/>
              <w:right w:val="nil"/>
            </w:tcBorders>
            <w:shd w:val="clear" w:color="auto" w:fill="auto"/>
            <w:noWrap/>
            <w:vAlign w:val="bottom"/>
          </w:tcPr>
          <w:p w:rsidR="006B3EE5" w:rsidRPr="00DC4ABE" w:rsidRDefault="006B3EE5" w:rsidP="000B2C37">
            <w:pPr>
              <w:rPr>
                <w:color w:val="000000"/>
              </w:rPr>
            </w:pPr>
            <w:r w:rsidRPr="00DC4ABE">
              <w:rPr>
                <w:color w:val="000000"/>
              </w:rPr>
              <w:t> </w:t>
            </w:r>
          </w:p>
        </w:tc>
        <w:tc>
          <w:tcPr>
            <w:tcW w:w="1136" w:type="dxa"/>
            <w:tcBorders>
              <w:top w:val="nil"/>
              <w:left w:val="nil"/>
              <w:bottom w:val="single" w:sz="4" w:space="0" w:color="auto"/>
              <w:right w:val="nil"/>
            </w:tcBorders>
            <w:shd w:val="clear" w:color="auto" w:fill="auto"/>
            <w:noWrap/>
            <w:vAlign w:val="bottom"/>
          </w:tcPr>
          <w:p w:rsidR="006B3EE5" w:rsidRPr="00DC4ABE" w:rsidRDefault="006B3EE5" w:rsidP="000B2C37">
            <w:pPr>
              <w:rPr>
                <w:color w:val="000000"/>
              </w:rPr>
            </w:pPr>
            <w:r w:rsidRPr="00DC4ABE">
              <w:rPr>
                <w:color w:val="000000"/>
              </w:rPr>
              <w:t> </w:t>
            </w:r>
          </w:p>
        </w:tc>
        <w:tc>
          <w:tcPr>
            <w:tcW w:w="1536" w:type="dxa"/>
            <w:tcBorders>
              <w:top w:val="nil"/>
              <w:left w:val="nil"/>
              <w:bottom w:val="single" w:sz="4" w:space="0" w:color="auto"/>
              <w:right w:val="nil"/>
            </w:tcBorders>
            <w:shd w:val="clear" w:color="auto" w:fill="auto"/>
            <w:noWrap/>
            <w:vAlign w:val="bottom"/>
          </w:tcPr>
          <w:p w:rsidR="006B3EE5" w:rsidRPr="00DC4ABE" w:rsidRDefault="006B3EE5" w:rsidP="000B2C37">
            <w:pPr>
              <w:rPr>
                <w:color w:val="000000"/>
              </w:rPr>
            </w:pPr>
            <w:r w:rsidRPr="00DC4ABE">
              <w:rPr>
                <w:color w:val="000000"/>
              </w:rPr>
              <w:t> </w:t>
            </w:r>
          </w:p>
        </w:tc>
        <w:tc>
          <w:tcPr>
            <w:tcW w:w="1556" w:type="dxa"/>
            <w:tcBorders>
              <w:top w:val="nil"/>
              <w:left w:val="nil"/>
              <w:bottom w:val="single" w:sz="4" w:space="0" w:color="auto"/>
              <w:right w:val="nil"/>
            </w:tcBorders>
            <w:shd w:val="clear" w:color="auto" w:fill="auto"/>
            <w:noWrap/>
            <w:vAlign w:val="bottom"/>
          </w:tcPr>
          <w:p w:rsidR="006B3EE5" w:rsidRPr="00DC4ABE" w:rsidRDefault="006B3EE5" w:rsidP="000B2C37">
            <w:pPr>
              <w:jc w:val="right"/>
              <w:rPr>
                <w:color w:val="000000"/>
              </w:rPr>
            </w:pPr>
            <w:r w:rsidRPr="00DC4ABE">
              <w:rPr>
                <w:color w:val="000000"/>
              </w:rPr>
              <w:t>21,555,851</w:t>
            </w:r>
          </w:p>
        </w:tc>
        <w:tc>
          <w:tcPr>
            <w:tcW w:w="1676" w:type="dxa"/>
            <w:tcBorders>
              <w:top w:val="nil"/>
              <w:left w:val="nil"/>
              <w:bottom w:val="single" w:sz="4" w:space="0" w:color="auto"/>
              <w:right w:val="nil"/>
            </w:tcBorders>
            <w:shd w:val="clear" w:color="auto" w:fill="auto"/>
            <w:noWrap/>
            <w:vAlign w:val="bottom"/>
          </w:tcPr>
          <w:p w:rsidR="006B3EE5" w:rsidRPr="00DC4ABE" w:rsidRDefault="006B3EE5" w:rsidP="000B2C37">
            <w:pPr>
              <w:jc w:val="right"/>
              <w:rPr>
                <w:color w:val="000000"/>
              </w:rPr>
            </w:pPr>
            <w:r w:rsidRPr="00DC4ABE">
              <w:rPr>
                <w:color w:val="000000"/>
              </w:rPr>
              <w:t>305,887,225</w:t>
            </w: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r w:rsidRPr="00DC4ABE">
              <w:rPr>
                <w:color w:val="000000"/>
              </w:rPr>
              <w:t>Project cost 1/</w:t>
            </w:r>
          </w:p>
        </w:tc>
        <w:tc>
          <w:tcPr>
            <w:tcW w:w="8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27,480,000</w:t>
            </w:r>
          </w:p>
        </w:tc>
        <w:tc>
          <w:tcPr>
            <w:tcW w:w="16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8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676" w:type="dxa"/>
            <w:tcBorders>
              <w:top w:val="nil"/>
              <w:left w:val="nil"/>
              <w:bottom w:val="nil"/>
              <w:right w:val="nil"/>
            </w:tcBorders>
            <w:shd w:val="clear" w:color="auto" w:fill="auto"/>
            <w:noWrap/>
            <w:vAlign w:val="bottom"/>
          </w:tcPr>
          <w:p w:rsidR="006B3EE5" w:rsidRPr="00DC4ABE" w:rsidRDefault="006B3EE5" w:rsidP="000B2C37">
            <w:pPr>
              <w:rPr>
                <w:color w:val="000000"/>
              </w:rPr>
            </w:pPr>
          </w:p>
        </w:tc>
      </w:tr>
      <w:tr w:rsidR="006B3EE5" w:rsidRPr="00DC4ABE">
        <w:trPr>
          <w:trHeight w:val="300"/>
        </w:trPr>
        <w:tc>
          <w:tcPr>
            <w:tcW w:w="3176" w:type="dxa"/>
            <w:tcBorders>
              <w:top w:val="nil"/>
              <w:left w:val="nil"/>
              <w:bottom w:val="nil"/>
              <w:right w:val="nil"/>
            </w:tcBorders>
            <w:shd w:val="clear" w:color="auto" w:fill="auto"/>
            <w:noWrap/>
            <w:vAlign w:val="bottom"/>
          </w:tcPr>
          <w:p w:rsidR="006B3EE5" w:rsidRPr="00DC4ABE" w:rsidRDefault="006B3EE5" w:rsidP="000B2C37">
            <w:pPr>
              <w:rPr>
                <w:color w:val="000000"/>
              </w:rPr>
            </w:pPr>
            <w:r w:rsidRPr="00DC4ABE">
              <w:rPr>
                <w:color w:val="000000"/>
              </w:rPr>
              <w:t xml:space="preserve">Total </w:t>
            </w:r>
          </w:p>
        </w:tc>
        <w:tc>
          <w:tcPr>
            <w:tcW w:w="85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1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36" w:type="dxa"/>
            <w:tcBorders>
              <w:top w:val="nil"/>
              <w:left w:val="nil"/>
              <w:bottom w:val="nil"/>
              <w:right w:val="nil"/>
            </w:tcBorders>
            <w:shd w:val="clear" w:color="auto" w:fill="auto"/>
            <w:noWrap/>
            <w:vAlign w:val="bottom"/>
          </w:tcPr>
          <w:p w:rsidR="006B3EE5" w:rsidRPr="00DC4ABE" w:rsidRDefault="006B3EE5" w:rsidP="000B2C37">
            <w:pPr>
              <w:rPr>
                <w:color w:val="000000"/>
              </w:rPr>
            </w:pPr>
          </w:p>
        </w:tc>
        <w:tc>
          <w:tcPr>
            <w:tcW w:w="155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49,035,851</w:t>
            </w:r>
          </w:p>
        </w:tc>
        <w:tc>
          <w:tcPr>
            <w:tcW w:w="1676" w:type="dxa"/>
            <w:tcBorders>
              <w:top w:val="nil"/>
              <w:left w:val="nil"/>
              <w:bottom w:val="nil"/>
              <w:right w:val="nil"/>
            </w:tcBorders>
            <w:shd w:val="clear" w:color="auto" w:fill="auto"/>
            <w:noWrap/>
            <w:vAlign w:val="bottom"/>
          </w:tcPr>
          <w:p w:rsidR="006B3EE5" w:rsidRPr="00DC4ABE" w:rsidRDefault="006B3EE5" w:rsidP="000B2C37">
            <w:pPr>
              <w:jc w:val="right"/>
              <w:rPr>
                <w:color w:val="000000"/>
              </w:rPr>
            </w:pPr>
            <w:r w:rsidRPr="00DC4ABE">
              <w:rPr>
                <w:color w:val="000000"/>
              </w:rPr>
              <w:t>305,887,225</w:t>
            </w:r>
          </w:p>
        </w:tc>
      </w:tr>
      <w:tr w:rsidR="00DC4ABE" w:rsidRPr="00DC4ABE">
        <w:trPr>
          <w:trHeight w:val="300"/>
        </w:trPr>
        <w:tc>
          <w:tcPr>
            <w:tcW w:w="9936" w:type="dxa"/>
            <w:gridSpan w:val="6"/>
            <w:tcBorders>
              <w:top w:val="nil"/>
              <w:left w:val="nil"/>
              <w:bottom w:val="nil"/>
              <w:right w:val="nil"/>
            </w:tcBorders>
            <w:shd w:val="clear" w:color="auto" w:fill="auto"/>
            <w:noWrap/>
            <w:vAlign w:val="bottom"/>
          </w:tcPr>
          <w:p w:rsidR="00DC4ABE" w:rsidRPr="00DC4ABE" w:rsidRDefault="00DC4ABE" w:rsidP="000B2C37">
            <w:pPr>
              <w:rPr>
                <w:color w:val="000000"/>
                <w:sz w:val="20"/>
                <w:szCs w:val="20"/>
              </w:rPr>
            </w:pPr>
            <w:r w:rsidRPr="00DC4ABE">
              <w:rPr>
                <w:color w:val="000000"/>
                <w:sz w:val="20"/>
                <w:szCs w:val="20"/>
              </w:rPr>
              <w:t xml:space="preserve">1/ Infrastructure investment has been adjustment by use during the </w:t>
            </w:r>
            <w:r w:rsidR="001279DB">
              <w:rPr>
                <w:color w:val="000000"/>
                <w:sz w:val="20"/>
                <w:szCs w:val="20"/>
              </w:rPr>
              <w:t>Project</w:t>
            </w:r>
            <w:r w:rsidRPr="00DC4ABE">
              <w:rPr>
                <w:color w:val="000000"/>
                <w:sz w:val="20"/>
                <w:szCs w:val="20"/>
              </w:rPr>
              <w:t>.</w:t>
            </w:r>
          </w:p>
        </w:tc>
      </w:tr>
    </w:tbl>
    <w:p w:rsidR="006B3EE5" w:rsidRDefault="006B3EE5" w:rsidP="006B3EE5"/>
    <w:p w:rsidR="006B3EE5" w:rsidRPr="008060E4" w:rsidRDefault="006B3EE5" w:rsidP="005E2993">
      <w:pPr>
        <w:pStyle w:val="ListParagraph"/>
        <w:numPr>
          <w:ilvl w:val="0"/>
          <w:numId w:val="16"/>
        </w:numPr>
        <w:tabs>
          <w:tab w:val="left" w:pos="0"/>
        </w:tabs>
        <w:ind w:left="0" w:firstLine="0"/>
        <w:jc w:val="both"/>
      </w:pPr>
      <w:r w:rsidRPr="00503905">
        <w:t>Finally, to produce the cost-benefit analysis, the economic analysis assumes a 20</w:t>
      </w:r>
      <w:r>
        <w:t>-</w:t>
      </w:r>
      <w:r w:rsidRPr="00503905">
        <w:t>year life of the infrastructure to be built</w:t>
      </w:r>
      <w:r>
        <w:t xml:space="preserve">, for a total of US$ 34.4 million. </w:t>
      </w:r>
      <w:r w:rsidR="00DC4ABE">
        <w:t xml:space="preserve"> </w:t>
      </w:r>
      <w:r w:rsidRPr="00503905">
        <w:t xml:space="preserve">Following standard practices, the </w:t>
      </w:r>
      <w:r w:rsidR="001279DB">
        <w:t>Project</w:t>
      </w:r>
      <w:r w:rsidRPr="00503905">
        <w:t xml:space="preserve"> only </w:t>
      </w:r>
      <w:r w:rsidRPr="000B2C37">
        <w:t>incorporates</w:t>
      </w:r>
      <w:r w:rsidRPr="00503905">
        <w:t xml:space="preserve"> the use of infrastructure the life of the </w:t>
      </w:r>
      <w:r w:rsidR="001279DB">
        <w:t>Project</w:t>
      </w:r>
      <w:r w:rsidRPr="00503905">
        <w:t>.</w:t>
      </w:r>
      <w:r w:rsidR="00DC4ABE">
        <w:t xml:space="preserve"> </w:t>
      </w:r>
      <w:r w:rsidRPr="00503905">
        <w:t xml:space="preserve"> Given the required construction time, this analysis assumes that </w:t>
      </w:r>
      <w:r>
        <w:t xml:space="preserve">the newly built </w:t>
      </w:r>
      <w:r w:rsidRPr="00503905">
        <w:t xml:space="preserve">infrastructure </w:t>
      </w:r>
      <w:r w:rsidR="00636C8C">
        <w:t>would</w:t>
      </w:r>
      <w:r w:rsidRPr="00503905">
        <w:t xml:space="preserve"> be</w:t>
      </w:r>
      <w:r>
        <w:t xml:space="preserve"> in </w:t>
      </w:r>
      <w:r w:rsidRPr="00503905">
        <w:t>use</w:t>
      </w:r>
      <w:r>
        <w:t xml:space="preserve"> by the second year of the Project implementation</w:t>
      </w:r>
      <w:r w:rsidRPr="00503905">
        <w:t>.</w:t>
      </w:r>
    </w:p>
    <w:p w:rsidR="002241D0" w:rsidRDefault="002241D0" w:rsidP="006B3EE5">
      <w:pPr>
        <w:pStyle w:val="ListParagraph"/>
        <w:tabs>
          <w:tab w:val="left" w:pos="0"/>
        </w:tabs>
        <w:ind w:left="0"/>
        <w:jc w:val="both"/>
        <w:rPr>
          <w:b/>
        </w:rPr>
      </w:pPr>
    </w:p>
    <w:p w:rsidR="006B3EE5" w:rsidRPr="007A5222" w:rsidRDefault="006B3EE5" w:rsidP="006B3EE5">
      <w:pPr>
        <w:pStyle w:val="ListParagraph"/>
        <w:tabs>
          <w:tab w:val="left" w:pos="0"/>
        </w:tabs>
        <w:ind w:left="0"/>
        <w:jc w:val="both"/>
        <w:rPr>
          <w:b/>
        </w:rPr>
      </w:pPr>
      <w:r w:rsidRPr="007A5222">
        <w:rPr>
          <w:b/>
        </w:rPr>
        <w:t>Net Present Value of the Project</w:t>
      </w:r>
      <w:r w:rsidR="00F0685A">
        <w:rPr>
          <w:b/>
        </w:rPr>
        <w:t xml:space="preserve"> and Internal Rate of Return</w:t>
      </w:r>
    </w:p>
    <w:p w:rsidR="006B3EE5" w:rsidRDefault="006B3EE5" w:rsidP="005E2993">
      <w:pPr>
        <w:pStyle w:val="ListParagraph"/>
        <w:numPr>
          <w:ilvl w:val="0"/>
          <w:numId w:val="16"/>
        </w:numPr>
        <w:tabs>
          <w:tab w:val="left" w:pos="0"/>
        </w:tabs>
        <w:ind w:left="0" w:firstLine="0"/>
        <w:jc w:val="both"/>
      </w:pPr>
      <w:r w:rsidRPr="008060E4">
        <w:t>Combining expected payoff per student and number of beneficiari</w:t>
      </w:r>
      <w:r w:rsidR="00F0685A">
        <w:t xml:space="preserve">es, the Net Present Value </w:t>
      </w:r>
      <w:r w:rsidRPr="008060E4">
        <w:t xml:space="preserve">of the expected benefit of the </w:t>
      </w:r>
      <w:r w:rsidR="001279DB">
        <w:t>Project</w:t>
      </w:r>
      <w:r w:rsidRPr="008060E4">
        <w:t xml:space="preserve"> is US$305 million and the increase in costs due to improvements in enrollment is almost US$22 million (in both cases discounted at 5 percent discount rate). </w:t>
      </w:r>
    </w:p>
    <w:p w:rsidR="00636042" w:rsidRDefault="00636042" w:rsidP="00636042">
      <w:pPr>
        <w:pStyle w:val="ListParagraph"/>
        <w:tabs>
          <w:tab w:val="left" w:pos="0"/>
        </w:tabs>
        <w:ind w:left="0"/>
        <w:jc w:val="both"/>
      </w:pPr>
    </w:p>
    <w:p w:rsidR="00636042" w:rsidRPr="00636042" w:rsidRDefault="00636042" w:rsidP="00636042">
      <w:pPr>
        <w:pStyle w:val="ListParagraph"/>
        <w:tabs>
          <w:tab w:val="left" w:pos="0"/>
        </w:tabs>
        <w:ind w:left="0"/>
        <w:jc w:val="both"/>
        <w:rPr>
          <w:b/>
        </w:rPr>
      </w:pPr>
      <w:r w:rsidRPr="00636042">
        <w:rPr>
          <w:b/>
        </w:rPr>
        <w:t xml:space="preserve">Review </w:t>
      </w:r>
      <w:r w:rsidR="0028524E">
        <w:rPr>
          <w:b/>
        </w:rPr>
        <w:t xml:space="preserve">of </w:t>
      </w:r>
      <w:r w:rsidRPr="00636042">
        <w:rPr>
          <w:b/>
        </w:rPr>
        <w:t>Education Expenditures</w:t>
      </w:r>
      <w:r w:rsidR="0028524E">
        <w:rPr>
          <w:b/>
        </w:rPr>
        <w:t xml:space="preserve"> Related to Project Costs</w:t>
      </w:r>
    </w:p>
    <w:p w:rsidR="007D1330" w:rsidRDefault="0028524E" w:rsidP="005E2993">
      <w:pPr>
        <w:pStyle w:val="ListParagraph"/>
        <w:numPr>
          <w:ilvl w:val="0"/>
          <w:numId w:val="16"/>
        </w:numPr>
        <w:tabs>
          <w:tab w:val="left" w:pos="0"/>
        </w:tabs>
        <w:ind w:left="0" w:firstLine="0"/>
        <w:jc w:val="both"/>
      </w:pPr>
      <w:r w:rsidRPr="0028524E">
        <w:t>In 2010 a public expenditure review (PER) in the education sector covering the period 2002-2010 was carried out, followed by the preparation of the ESS in 2011, enabling analysis of both historical and Projected expenditures, particularly in primary education.   The PER showed increased spending on education, especially over the past five years, in absolute terms and as a percentage of GDP.  In addition, during the period 2006-2010, the percentage of total education spending allocated to primary education increased from 48 to 55 percent.  The ESS 2011-2015 and M</w:t>
      </w:r>
      <w:r w:rsidR="00F0685A">
        <w:t>edium-Term Expenditure Framework p</w:t>
      </w:r>
      <w:r w:rsidRPr="0028524E">
        <w:t xml:space="preserve">rojects further increases in total education spending, from 3.5 to 3.7 percent of GDP, and from 16 to 18 percent of total domestic recurrent spending.  This translates into annual increases in total education spending of 3 percent in absolute terms, such that preschool and secondary education spending is expected to increase by </w:t>
      </w:r>
      <w:r w:rsidRPr="0028524E">
        <w:lastRenderedPageBreak/>
        <w:t>approximately US$1.3 million per year through 2015.  From a financial perspective, the GoN’s increasing commitment to financing human capital development, particularly primary education, is evident.  Not surprisingly</w:t>
      </w:r>
      <w:r w:rsidR="00523DD7">
        <w:t>,</w:t>
      </w:r>
      <w:r w:rsidRPr="0028524E">
        <w:t xml:space="preserve"> between 80 and 85 percent of MINED’s budget is allocated to salary expenditures.  This leaves relatively little to finance school inputs and training.  Capital expenditures are limited and depend largely on donor financing.  Finally, based on an analysis of the 2005 MINED budget and latest household survey, the recent Public Expenditure Review showed the progressivity of public expenditures in education, especially for the pre- and primary education levels.</w:t>
      </w:r>
    </w:p>
    <w:p w:rsidR="007D1330" w:rsidRDefault="007D1330" w:rsidP="007D1330">
      <w:pPr>
        <w:pStyle w:val="ListParagraph"/>
        <w:tabs>
          <w:tab w:val="left" w:pos="0"/>
        </w:tabs>
        <w:ind w:left="0"/>
        <w:jc w:val="both"/>
      </w:pPr>
    </w:p>
    <w:p w:rsidR="0028524E" w:rsidRPr="0028524E" w:rsidRDefault="007D1330" w:rsidP="005E2993">
      <w:pPr>
        <w:pStyle w:val="ListParagraph"/>
        <w:numPr>
          <w:ilvl w:val="0"/>
          <w:numId w:val="16"/>
        </w:numPr>
        <w:tabs>
          <w:tab w:val="left" w:pos="0"/>
        </w:tabs>
        <w:ind w:left="0" w:firstLine="0"/>
        <w:jc w:val="both"/>
      </w:pPr>
      <w:r w:rsidRPr="007D1330">
        <w:rPr>
          <w:bCs/>
        </w:rPr>
        <w:t xml:space="preserve">In addition, new funding from IDA through PASEN II and from the Project, the GoN is also currently negotiating with several other donors to further reduce the financing gap, such as: (i) the Inter-American Development Bank for a US$20 million Project to support Early Childhood Development (age 0-6 years); (ii) the Japanese International Cooperation Agency to support school construction and teacher training in primary education; and (iii) the EU for a US$20 million </w:t>
      </w:r>
      <w:r w:rsidR="00BD42FA">
        <w:rPr>
          <w:bCs/>
        </w:rPr>
        <w:t>Grant</w:t>
      </w:r>
      <w:r w:rsidRPr="007D1330">
        <w:rPr>
          <w:bCs/>
        </w:rPr>
        <w:t xml:space="preserve"> to support vocational and technical training.  These three additional contributions would reduce the financing gap to approximately US$125 million.  However, education infrastructure remains insufficiently funded, particularly at the primary level.  Structural reforms are also needed in teacher education and teacher career management across all levels of education.  These important areas are currently beyond the reach of PASEN II and of the Project.</w:t>
      </w:r>
      <w:r w:rsidR="0028524E" w:rsidRPr="0028524E">
        <w:t xml:space="preserve"> </w:t>
      </w:r>
    </w:p>
    <w:p w:rsidR="0028524E" w:rsidRPr="0028524E" w:rsidRDefault="0028524E" w:rsidP="0028524E">
      <w:pPr>
        <w:pStyle w:val="ListParagraph"/>
        <w:tabs>
          <w:tab w:val="left" w:pos="0"/>
        </w:tabs>
        <w:ind w:left="0"/>
        <w:jc w:val="both"/>
      </w:pPr>
    </w:p>
    <w:p w:rsidR="00BF572B" w:rsidRDefault="0028524E" w:rsidP="00A2199F">
      <w:pPr>
        <w:pStyle w:val="ListParagraph"/>
        <w:numPr>
          <w:ilvl w:val="0"/>
          <w:numId w:val="16"/>
        </w:numPr>
        <w:tabs>
          <w:tab w:val="left" w:pos="0"/>
        </w:tabs>
        <w:ind w:left="0" w:firstLine="0"/>
        <w:jc w:val="both"/>
      </w:pPr>
      <w:r w:rsidRPr="0028524E">
        <w:t xml:space="preserve">Project unit costs are quite reasonable, largely based on costs previously obtained through competitive bidding processes under PASEN I </w:t>
      </w:r>
      <w:r w:rsidRPr="0028524E">
        <w:rPr>
          <w:bCs/>
        </w:rPr>
        <w:t>(P078990) (Credit No. IDA 3978-NI)</w:t>
      </w:r>
      <w:r w:rsidRPr="0028524E">
        <w:t xml:space="preserve"> and the EFA Fund (TF057311) (e.g. textbooks).  Taking into consideration Proj</w:t>
      </w:r>
      <w:r w:rsidR="00453247">
        <w:t>ect costs for Components 1 and 3</w:t>
      </w:r>
      <w:r w:rsidRPr="0028524E">
        <w:t xml:space="preserve"> (which directly benefit students in the classroom) and preschool and lower secondary enrollments, assuming </w:t>
      </w:r>
      <w:r w:rsidR="00B31B3C">
        <w:t>P</w:t>
      </w:r>
      <w:r w:rsidRPr="0028524E">
        <w:t>roject investments pro</w:t>
      </w:r>
      <w:r w:rsidR="00EF43AF">
        <w:t>vide benefits for a minimum of five</w:t>
      </w:r>
      <w:r w:rsidRPr="0028524E">
        <w:t xml:space="preserve"> years, the investment cost per student of the Project is calculated at US$19.71 per year, which represents approximately 18 percent of current per student spending</w:t>
      </w:r>
      <w:r w:rsidR="00453247">
        <w:t>.</w:t>
      </w:r>
    </w:p>
    <w:sectPr w:rsidR="00BF572B" w:rsidSect="00C84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BC" w:rsidRDefault="004D25BC" w:rsidP="00366978">
      <w:r>
        <w:separator/>
      </w:r>
    </w:p>
  </w:endnote>
  <w:endnote w:type="continuationSeparator" w:id="0">
    <w:p w:rsidR="004D25BC" w:rsidRDefault="004D25BC" w:rsidP="0036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367"/>
      <w:docPartObj>
        <w:docPartGallery w:val="Page Numbers (Bottom of Page)"/>
        <w:docPartUnique/>
      </w:docPartObj>
    </w:sdtPr>
    <w:sdtEndPr/>
    <w:sdtContent>
      <w:p w:rsidR="00F2685A" w:rsidRDefault="00F2685A">
        <w:pPr>
          <w:pStyle w:val="Footer"/>
          <w:jc w:val="center"/>
        </w:pPr>
        <w:r>
          <w:fldChar w:fldCharType="begin"/>
        </w:r>
        <w:r>
          <w:instrText xml:space="preserve"> PAGE   \* MERGEFORMAT </w:instrText>
        </w:r>
        <w:r>
          <w:fldChar w:fldCharType="separate"/>
        </w:r>
        <w:r w:rsidR="00C64F38">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A" w:rsidRDefault="00F2685A">
    <w:pPr>
      <w:pStyle w:val="Footer"/>
      <w:jc w:val="center"/>
    </w:pPr>
    <w:r>
      <w:fldChar w:fldCharType="begin"/>
    </w:r>
    <w:r>
      <w:instrText xml:space="preserve"> PAGE   \* MERGEFORMAT </w:instrText>
    </w:r>
    <w:r>
      <w:fldChar w:fldCharType="separate"/>
    </w:r>
    <w:r>
      <w:rPr>
        <w:noProof/>
      </w:rPr>
      <w:t>1</w:t>
    </w:r>
    <w:r>
      <w:rPr>
        <w:noProof/>
      </w:rPr>
      <w:fldChar w:fldCharType="end"/>
    </w:r>
  </w:p>
  <w:p w:rsidR="00F2685A" w:rsidRDefault="00F26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BC" w:rsidRDefault="004D25BC" w:rsidP="00366978">
      <w:r>
        <w:separator/>
      </w:r>
    </w:p>
  </w:footnote>
  <w:footnote w:type="continuationSeparator" w:id="0">
    <w:p w:rsidR="004D25BC" w:rsidRDefault="004D25BC" w:rsidP="00366978">
      <w:r>
        <w:continuationSeparator/>
      </w:r>
    </w:p>
  </w:footnote>
  <w:footnote w:id="1">
    <w:p w:rsidR="00F2685A" w:rsidRPr="00D420C8" w:rsidRDefault="00F2685A" w:rsidP="00BF7645">
      <w:pPr>
        <w:pStyle w:val="FootnoteText"/>
      </w:pPr>
      <w:r w:rsidRPr="00D420C8">
        <w:rPr>
          <w:rStyle w:val="FootnoteReference"/>
        </w:rPr>
        <w:footnoteRef/>
      </w:r>
      <w:r w:rsidRPr="00D420C8">
        <w:t xml:space="preserve"> </w:t>
      </w:r>
      <w:proofErr w:type="gramStart"/>
      <w:r w:rsidRPr="00D420C8">
        <w:t>VIII Nicaragua’s Population Census and IV Nicaragua’s Household Census.</w:t>
      </w:r>
      <w:proofErr w:type="gramEnd"/>
      <w:r w:rsidRPr="00D420C8">
        <w:t xml:space="preserve"> </w:t>
      </w:r>
      <w:proofErr w:type="gramStart"/>
      <w:r w:rsidRPr="00D420C8">
        <w:t>INIDE, 2005</w:t>
      </w:r>
      <w:r>
        <w:t>.</w:t>
      </w:r>
      <w:proofErr w:type="gramEnd"/>
    </w:p>
  </w:footnote>
  <w:footnote w:id="2">
    <w:p w:rsidR="00F2685A" w:rsidRPr="00D420C8" w:rsidRDefault="00F2685A" w:rsidP="00F0278F">
      <w:pPr>
        <w:pStyle w:val="FootnoteText"/>
      </w:pPr>
      <w:r w:rsidRPr="00D420C8">
        <w:rPr>
          <w:rStyle w:val="FootnoteReference"/>
        </w:rPr>
        <w:footnoteRef/>
      </w:r>
      <w:r w:rsidRPr="00D420C8">
        <w:t xml:space="preserve"> This is an official figure as reported by the Ministry of Educa</w:t>
      </w:r>
      <w:r>
        <w:t xml:space="preserve">tion (MINED).  MINED counts </w:t>
      </w:r>
      <w:r w:rsidRPr="00D420C8">
        <w:t xml:space="preserve">the children aged 6-11 attending school independently of the education level in which they are enrolled divided by the total population between 6 and 11 years.  This number is superior to the primary net enrollment estimated at 87 percent in 2010.  Net and gross enrollment rates are likely over-estimated, due to many errors in the collection of the 2005 population census data, especially for the Atlantic regions and some predominantly rural municipalities with many difficult to reach populated areas. </w:t>
      </w:r>
    </w:p>
  </w:footnote>
  <w:footnote w:id="3">
    <w:p w:rsidR="00F2685A" w:rsidRPr="00D420C8" w:rsidRDefault="00F2685A" w:rsidP="00995DB2">
      <w:pPr>
        <w:pStyle w:val="FootnoteText"/>
        <w:jc w:val="both"/>
      </w:pPr>
      <w:r w:rsidRPr="00D420C8">
        <w:rPr>
          <w:rStyle w:val="FootnoteReference"/>
        </w:rPr>
        <w:footnoteRef/>
      </w:r>
      <w:r w:rsidRPr="00D420C8">
        <w:t xml:space="preserve"> Community-based preschools are organized in any accommodations made available by the communities (it can be the house of a parent a</w:t>
      </w:r>
      <w:r>
        <w:t xml:space="preserve">nd/or a community facility) and </w:t>
      </w:r>
      <w:r w:rsidRPr="00D420C8">
        <w:t xml:space="preserve">are run by an educator selected by the community who receives a monthly stipend paid by MINED.  </w:t>
      </w:r>
    </w:p>
  </w:footnote>
  <w:footnote w:id="4">
    <w:p w:rsidR="00F2685A" w:rsidRPr="00D420C8" w:rsidRDefault="00F2685A" w:rsidP="00995DB2">
      <w:pPr>
        <w:pStyle w:val="FootnoteText"/>
      </w:pPr>
      <w:r w:rsidRPr="00D420C8">
        <w:rPr>
          <w:rStyle w:val="FootnoteReference"/>
        </w:rPr>
        <w:footnoteRef/>
      </w:r>
      <w:r w:rsidRPr="00D420C8">
        <w:t xml:space="preserve"> </w:t>
      </w:r>
      <w:r w:rsidRPr="00D420C8">
        <w:rPr>
          <w:bCs/>
        </w:rPr>
        <w:t>Internationally, Nicaragua ranked below the regional average on UNESCO’s Second Regional Comparative and Explanatory Study (Segundo Estudio Regional Comparativo y Explanatorio, SERCE) in 2006 (Nicaragua is with the group of countries</w:t>
      </w:r>
      <w:r w:rsidRPr="00D420C8">
        <w:t xml:space="preserve"> that exhibited mean scores in third grade Mathematics and reading lower than the regional average).</w:t>
      </w:r>
    </w:p>
  </w:footnote>
  <w:footnote w:id="5">
    <w:p w:rsidR="00F2685A" w:rsidRPr="006D6964" w:rsidRDefault="00F2685A" w:rsidP="00995DB2">
      <w:pPr>
        <w:pStyle w:val="FootnoteText"/>
      </w:pPr>
      <w:r w:rsidRPr="00D420C8">
        <w:rPr>
          <w:rStyle w:val="FootnoteReference"/>
        </w:rPr>
        <w:footnoteRef/>
      </w:r>
      <w:r w:rsidRPr="00D420C8">
        <w:t xml:space="preserve"> </w:t>
      </w:r>
      <w:r w:rsidRPr="006D6964">
        <w:t>The exact number of primary schools not offering the full primary cycle is not known.  The number fluctuates from one year to another depending on the number of teachers and number of students enrolled and the type of multi-grade organization adopted by the school director.</w:t>
      </w:r>
    </w:p>
  </w:footnote>
  <w:footnote w:id="6">
    <w:p w:rsidR="00F2685A" w:rsidRPr="00D420C8" w:rsidRDefault="00F2685A" w:rsidP="001050F5">
      <w:pPr>
        <w:pStyle w:val="FootnoteText"/>
      </w:pPr>
      <w:r w:rsidRPr="006D6964">
        <w:rPr>
          <w:rStyle w:val="FootnoteReference"/>
        </w:rPr>
        <w:footnoteRef/>
      </w:r>
      <w:r w:rsidRPr="006D6964">
        <w:t xml:space="preserve"> </w:t>
      </w:r>
      <w:proofErr w:type="gramStart"/>
      <w:r w:rsidRPr="006D6964">
        <w:t xml:space="preserve">World </w:t>
      </w:r>
      <w:r w:rsidRPr="006D6964">
        <w:rPr>
          <w:bCs/>
        </w:rPr>
        <w:t>Bank (2011).</w:t>
      </w:r>
      <w:proofErr w:type="gramEnd"/>
      <w:r w:rsidRPr="006D6964">
        <w:rPr>
          <w:bCs/>
        </w:rPr>
        <w:t xml:space="preserve"> Better Jobs in Nicaragua: The Role of Human Capital (Draft Report). Country Note prepared for the Regional Study on </w:t>
      </w:r>
      <w:r w:rsidRPr="006D6964">
        <w:rPr>
          <w:bCs/>
          <w:i/>
          <w:iCs/>
        </w:rPr>
        <w:t>Turning Crisis into Opportunity: Human Capital and Social Policies to Promote Good Quality Job Creation in Central America</w:t>
      </w:r>
      <w:r w:rsidRPr="006D6964">
        <w:rPr>
          <w:bCs/>
        </w:rPr>
        <w:t>. Washington D.C</w:t>
      </w:r>
    </w:p>
  </w:footnote>
  <w:footnote w:id="7">
    <w:p w:rsidR="00F2685A" w:rsidRPr="006D6964" w:rsidRDefault="00F2685A" w:rsidP="000E01B6">
      <w:pPr>
        <w:pStyle w:val="FootnoteText"/>
      </w:pPr>
      <w:r w:rsidRPr="00586527">
        <w:rPr>
          <w:rStyle w:val="FootnoteReference"/>
        </w:rPr>
        <w:footnoteRef/>
      </w:r>
      <w:r w:rsidRPr="00586527">
        <w:t xml:space="preserve"> </w:t>
      </w:r>
      <w:r w:rsidRPr="006D6964">
        <w:t xml:space="preserve">Second Support to the Education Sector Project (P126357, Cr. 5036-NI) </w:t>
      </w:r>
    </w:p>
  </w:footnote>
  <w:footnote w:id="8">
    <w:p w:rsidR="00F2685A" w:rsidRPr="006D6964" w:rsidRDefault="00F2685A" w:rsidP="000E01B6">
      <w:pPr>
        <w:pStyle w:val="FootnoteText"/>
      </w:pPr>
      <w:r w:rsidRPr="006D6964">
        <w:rPr>
          <w:rStyle w:val="FootnoteReference"/>
        </w:rPr>
        <w:footnoteRef/>
      </w:r>
      <w:r w:rsidRPr="006D6964">
        <w:t xml:space="preserve"> There are 153 municipalities in Nicaragua.</w:t>
      </w:r>
    </w:p>
  </w:footnote>
  <w:footnote w:id="9">
    <w:p w:rsidR="00F2685A" w:rsidRPr="006D6964" w:rsidRDefault="00F2685A" w:rsidP="00B03889">
      <w:pPr>
        <w:pStyle w:val="FootnoteText"/>
        <w:rPr>
          <w:lang w:val="es-ES_tradnl"/>
        </w:rPr>
      </w:pPr>
      <w:r w:rsidRPr="006D6964">
        <w:rPr>
          <w:rStyle w:val="FootnoteReference"/>
        </w:rPr>
        <w:footnoteRef/>
      </w:r>
      <w:r w:rsidRPr="006D6964">
        <w:rPr>
          <w:lang w:val="es-ES_tradnl"/>
        </w:rPr>
        <w:t xml:space="preserve"> PASEN I (P078990, Cr. 3978-NI)</w:t>
      </w:r>
    </w:p>
  </w:footnote>
  <w:footnote w:id="10">
    <w:p w:rsidR="00F2685A" w:rsidRPr="00453DCE" w:rsidRDefault="00F2685A" w:rsidP="00410B01">
      <w:pPr>
        <w:pStyle w:val="FootnoteText"/>
      </w:pPr>
      <w:r w:rsidRPr="006D6964">
        <w:rPr>
          <w:rStyle w:val="FootnoteReference"/>
        </w:rPr>
        <w:footnoteRef/>
      </w:r>
      <w:r w:rsidRPr="006D6964">
        <w:rPr>
          <w:lang w:val="es-ES_tradnl"/>
        </w:rPr>
        <w:t xml:space="preserve"> APRENDE I (P050613, Cr. IDA-3281-NI) and II (P007783, Cr. </w:t>
      </w:r>
      <w:r w:rsidRPr="00453DCE">
        <w:t>IDA-2689-NI)</w:t>
      </w:r>
    </w:p>
  </w:footnote>
  <w:footnote w:id="11">
    <w:p w:rsidR="00F2685A" w:rsidRPr="006D6964" w:rsidRDefault="00F2685A" w:rsidP="00410B01">
      <w:pPr>
        <w:pStyle w:val="FootnoteText"/>
      </w:pPr>
      <w:r w:rsidRPr="006D6964">
        <w:rPr>
          <w:rStyle w:val="FootnoteReference"/>
        </w:rPr>
        <w:footnoteRef/>
      </w:r>
      <w:r w:rsidRPr="006D6964">
        <w:t xml:space="preserve"> The Education for All Catalytic Fund Grant (P078990, TF057311)</w:t>
      </w:r>
    </w:p>
  </w:footnote>
  <w:footnote w:id="12">
    <w:p w:rsidR="00F2685A" w:rsidRPr="00586527" w:rsidRDefault="00F2685A" w:rsidP="00410B01">
      <w:pPr>
        <w:tabs>
          <w:tab w:val="left" w:pos="-1440"/>
          <w:tab w:val="left" w:pos="-720"/>
        </w:tabs>
        <w:suppressAutoHyphens/>
        <w:ind w:left="720" w:right="144" w:hanging="720"/>
        <w:rPr>
          <w:spacing w:val="-3"/>
          <w:sz w:val="20"/>
          <w:szCs w:val="20"/>
        </w:rPr>
      </w:pPr>
      <w:r w:rsidRPr="006D6964">
        <w:rPr>
          <w:rStyle w:val="FootnoteReference"/>
          <w:sz w:val="20"/>
          <w:szCs w:val="20"/>
        </w:rPr>
        <w:footnoteRef/>
      </w:r>
      <w:r w:rsidRPr="006D6964">
        <w:rPr>
          <w:sz w:val="20"/>
          <w:szCs w:val="20"/>
        </w:rPr>
        <w:t xml:space="preserve"> The </w:t>
      </w:r>
      <w:r w:rsidRPr="006D6964">
        <w:rPr>
          <w:spacing w:val="-3"/>
          <w:sz w:val="20"/>
          <w:szCs w:val="20"/>
        </w:rPr>
        <w:t>JSDF Grant for the Food Emergency Support Program for School Children Project, (TF097212</w:t>
      </w:r>
      <w:r w:rsidRPr="00586527">
        <w:rPr>
          <w:spacing w:val="-3"/>
          <w:sz w:val="20"/>
          <w:szCs w:val="20"/>
        </w:rPr>
        <w:t xml:space="preserve">) </w:t>
      </w:r>
    </w:p>
  </w:footnote>
  <w:footnote w:id="13">
    <w:p w:rsidR="00F2685A" w:rsidRDefault="00F2685A">
      <w:pPr>
        <w:pStyle w:val="FootnoteText"/>
      </w:pPr>
      <w:r>
        <w:rPr>
          <w:rStyle w:val="FootnoteReference"/>
        </w:rPr>
        <w:footnoteRef/>
      </w:r>
      <w:r>
        <w:t xml:space="preserve"> </w:t>
      </w:r>
      <w:r w:rsidRPr="007635ED">
        <w:rPr>
          <w:bCs/>
        </w:rPr>
        <w:t xml:space="preserve">Eligible Expenditures under the Project will be finance at a 100% exclusive of taxes.  For this Project, as it has been the case for other projects financed by the World Bank, the Government </w:t>
      </w:r>
      <w:r>
        <w:rPr>
          <w:bCs/>
        </w:rPr>
        <w:t>will follow internal procedure to obtain a tax exemption.</w:t>
      </w:r>
    </w:p>
  </w:footnote>
  <w:footnote w:id="14">
    <w:p w:rsidR="00F2685A" w:rsidRPr="00586527" w:rsidRDefault="00F2685A">
      <w:pPr>
        <w:pStyle w:val="FootnoteText"/>
        <w:rPr>
          <w:rStyle w:val="FootnoteReference"/>
        </w:rPr>
      </w:pPr>
      <w:r w:rsidRPr="00586527">
        <w:rPr>
          <w:rStyle w:val="FootnoteReference"/>
        </w:rPr>
        <w:footnoteRef/>
      </w:r>
      <w:r w:rsidRPr="00586527">
        <w:t xml:space="preserve"> </w:t>
      </w:r>
      <w:proofErr w:type="gramStart"/>
      <w:r w:rsidRPr="006D6964">
        <w:t>Barbara Bruns, Deon Filmer, and Harry Patrinos.</w:t>
      </w:r>
      <w:proofErr w:type="gramEnd"/>
      <w:r w:rsidRPr="006D6964">
        <w:t xml:space="preserve"> </w:t>
      </w:r>
      <w:proofErr w:type="gramStart"/>
      <w:r w:rsidRPr="006D6964">
        <w:t>“Making the School Work: New Evidence on Accountability Reform.”</w:t>
      </w:r>
      <w:proofErr w:type="gramEnd"/>
      <w:r w:rsidRPr="006D6964">
        <w:t xml:space="preserve"> </w:t>
      </w:r>
      <w:proofErr w:type="gramStart"/>
      <w:r w:rsidRPr="006D6964">
        <w:t>Bank, 2011.</w:t>
      </w:r>
      <w:proofErr w:type="gramEnd"/>
      <w:r w:rsidRPr="00586527">
        <w:rPr>
          <w:rStyle w:val="FootnoteReference"/>
        </w:rPr>
        <w:t xml:space="preserve"> </w:t>
      </w:r>
    </w:p>
  </w:footnote>
  <w:footnote w:id="15">
    <w:p w:rsidR="00F2685A" w:rsidRPr="006D6964" w:rsidRDefault="00F2685A" w:rsidP="00EE5A5B">
      <w:pPr>
        <w:pStyle w:val="FootnoteText"/>
      </w:pPr>
      <w:r w:rsidRPr="006D6964">
        <w:rPr>
          <w:rStyle w:val="FootnoteReference"/>
        </w:rPr>
        <w:footnoteRef/>
      </w:r>
      <w:r w:rsidRPr="006D6964">
        <w:t xml:space="preserve"> For a detailed description of the line units participating in the Project and their functions, refer to Annex 3. </w:t>
      </w:r>
    </w:p>
  </w:footnote>
  <w:footnote w:id="16">
    <w:p w:rsidR="00F2685A" w:rsidRPr="006D6964" w:rsidRDefault="00F2685A">
      <w:pPr>
        <w:pStyle w:val="FootnoteText"/>
      </w:pPr>
      <w:r>
        <w:rPr>
          <w:rStyle w:val="FootnoteReference"/>
        </w:rPr>
        <w:footnoteRef/>
      </w:r>
      <w:r>
        <w:t xml:space="preserve"> </w:t>
      </w:r>
      <w:r w:rsidRPr="006D6964">
        <w:t xml:space="preserve">In April 2012, the GoN negotiated a US$20 million </w:t>
      </w:r>
      <w:r>
        <w:t>P</w:t>
      </w:r>
      <w:r w:rsidRPr="006D6964">
        <w:t xml:space="preserve">roject from the Inter-American Development Bank to support visits to households to benefit children from 0 to 6 years and to develop parental skills in 37 municipalities.  </w:t>
      </w:r>
    </w:p>
  </w:footnote>
  <w:footnote w:id="17">
    <w:p w:rsidR="00F2685A" w:rsidRPr="003629DC" w:rsidRDefault="00F2685A" w:rsidP="00975E89">
      <w:pPr>
        <w:pStyle w:val="FootnoteText"/>
      </w:pPr>
      <w:r w:rsidRPr="003629DC">
        <w:rPr>
          <w:rStyle w:val="FootnoteReference"/>
        </w:rPr>
        <w:footnoteRef/>
      </w:r>
      <w:r w:rsidRPr="003629DC">
        <w:t xml:space="preserve"> </w:t>
      </w:r>
      <w:r w:rsidRPr="006D6964">
        <w:t>Component 2 would be financed by the European Union and administered by the Bank.</w:t>
      </w:r>
    </w:p>
  </w:footnote>
  <w:footnote w:id="18">
    <w:p w:rsidR="00F2685A" w:rsidRPr="003629DC" w:rsidRDefault="00F2685A">
      <w:pPr>
        <w:pStyle w:val="FootnoteText"/>
      </w:pPr>
      <w:r w:rsidRPr="003629DC">
        <w:rPr>
          <w:rStyle w:val="FootnoteReference"/>
        </w:rPr>
        <w:footnoteRef/>
      </w:r>
      <w:r w:rsidRPr="003629DC">
        <w:t xml:space="preserve"> </w:t>
      </w:r>
      <w:r w:rsidRPr="006D6964">
        <w:t>A due diligence procedure is included in the Bank-approved Manual of Operations and in the Resettlement Policy Framework (RPF) to verify the ownership of the land where civil works activities would be financed by the Project</w:t>
      </w:r>
      <w:r w:rsidRPr="003629DC">
        <w:t>.</w:t>
      </w:r>
    </w:p>
  </w:footnote>
  <w:footnote w:id="19">
    <w:p w:rsidR="00F2685A" w:rsidRPr="006D6964" w:rsidRDefault="00F2685A">
      <w:pPr>
        <w:pStyle w:val="FootnoteText"/>
      </w:pPr>
      <w:r w:rsidRPr="003629DC">
        <w:rPr>
          <w:rStyle w:val="FootnoteReference"/>
        </w:rPr>
        <w:footnoteRef/>
      </w:r>
      <w:r w:rsidRPr="003629DC">
        <w:t xml:space="preserve"> </w:t>
      </w:r>
      <w:r w:rsidRPr="006D6964">
        <w:rPr>
          <w:color w:val="000000"/>
        </w:rPr>
        <w:t>The Government/MINED does not actually know the correct percentage of land that is donated and untitled as opposed to the land that is donated and for which title has been legally issued to the Government/MINED.</w:t>
      </w:r>
    </w:p>
  </w:footnote>
  <w:footnote w:id="20">
    <w:p w:rsidR="00F2685A" w:rsidRPr="006D6964" w:rsidRDefault="00F2685A" w:rsidP="004065AE">
      <w:pPr>
        <w:pStyle w:val="FootnoteText"/>
        <w:jc w:val="both"/>
      </w:pPr>
      <w:r w:rsidRPr="003629DC">
        <w:rPr>
          <w:rStyle w:val="FootnoteReference"/>
        </w:rPr>
        <w:footnoteRef/>
      </w:r>
      <w:r w:rsidRPr="003629DC">
        <w:t xml:space="preserve"> </w:t>
      </w:r>
      <w:r w:rsidRPr="006D6964">
        <w:rPr>
          <w:bCs/>
        </w:rPr>
        <w:t>Textbooks are in the process of being piloted and validated in a sample of urban and rural schools, using teacher focus groups, school-based field observations, and interviews with parents, pedagogical advisors and local educational councils</w:t>
      </w:r>
      <w:r>
        <w:rPr>
          <w:bCs/>
        </w:rPr>
        <w:t>, financed by the GoN prior to P</w:t>
      </w:r>
      <w:r w:rsidRPr="006D6964">
        <w:rPr>
          <w:bCs/>
        </w:rPr>
        <w:t>roject effectiveness.</w:t>
      </w:r>
    </w:p>
  </w:footnote>
  <w:footnote w:id="21">
    <w:p w:rsidR="00F2685A" w:rsidRDefault="00F2685A">
      <w:pPr>
        <w:pStyle w:val="FootnoteText"/>
      </w:pPr>
      <w:r>
        <w:rPr>
          <w:rStyle w:val="FootnoteReference"/>
        </w:rPr>
        <w:footnoteRef/>
      </w:r>
      <w:r>
        <w:t xml:space="preserve"> </w:t>
      </w:r>
      <w:r w:rsidRPr="006D6964">
        <w:t>The Project Coordinator was appointed by MINED in April 2012 with support staff</w:t>
      </w:r>
      <w:r>
        <w:t xml:space="preserve">. </w:t>
      </w:r>
    </w:p>
  </w:footnote>
  <w:footnote w:id="22">
    <w:p w:rsidR="00F2685A" w:rsidRPr="00AC4E59" w:rsidRDefault="00F2685A">
      <w:pPr>
        <w:pStyle w:val="FootnoteText"/>
      </w:pPr>
      <w:r w:rsidRPr="00AC4E59">
        <w:rPr>
          <w:rStyle w:val="FootnoteReference"/>
        </w:rPr>
        <w:footnoteRef/>
      </w:r>
      <w:r w:rsidRPr="00AC4E59">
        <w:t xml:space="preserve"> </w:t>
      </w:r>
      <w:r w:rsidRPr="006D6964">
        <w:t>Project Implementation Plan (PIP) also known as Short-term Plan (</w:t>
      </w:r>
      <w:r w:rsidRPr="006D6964">
        <w:rPr>
          <w:i/>
        </w:rPr>
        <w:t xml:space="preserve">Plan de Corto Plaza, </w:t>
      </w:r>
      <w:r w:rsidRPr="006D6964">
        <w:t>PC</w:t>
      </w:r>
      <w:r>
        <w:t>P) is prepared by MINED in the f</w:t>
      </w:r>
      <w:r w:rsidRPr="006D6964">
        <w:t>all of each year.  The content and format of the PIP are detailed in the OM.  The Bank would review and approve the PIP on an annual basis, usually during a supervision mission.</w:t>
      </w:r>
    </w:p>
  </w:footnote>
  <w:footnote w:id="23">
    <w:p w:rsidR="00F2685A" w:rsidRPr="006D6964" w:rsidRDefault="00F2685A" w:rsidP="00106DA5">
      <w:pPr>
        <w:pStyle w:val="FootnoteText"/>
      </w:pPr>
      <w:r>
        <w:rPr>
          <w:rStyle w:val="FootnoteReference"/>
        </w:rPr>
        <w:footnoteRef/>
      </w:r>
      <w:r>
        <w:t xml:space="preserve"> </w:t>
      </w:r>
      <w:r w:rsidRPr="006D6964">
        <w:t>OP 10.02 “For operations for which the invitation to negotiate is issued on or after July 1, 2010, the Bank requires that the borrower disclose the audited financial statements in a manner acceptable to the Bank; following the Bank's formal receipt of these statements from the borrower, the Bank makes them available to the public in accordance with “The Bank Policy on Access to Information.”</w:t>
      </w:r>
    </w:p>
  </w:footnote>
  <w:footnote w:id="24">
    <w:p w:rsidR="00F2685A" w:rsidRPr="0033202A" w:rsidRDefault="00F2685A" w:rsidP="00506D72">
      <w:pPr>
        <w:pStyle w:val="FootnoteText"/>
      </w:pPr>
      <w:r w:rsidRPr="0033202A">
        <w:rPr>
          <w:rStyle w:val="FootnoteReference"/>
        </w:rPr>
        <w:footnoteRef/>
      </w:r>
      <w:r w:rsidRPr="0033202A">
        <w:t xml:space="preserve"> </w:t>
      </w:r>
      <w:r w:rsidRPr="006D6964">
        <w:t>This column presents the estimated completion date, and is not an indication of legal conditions.</w:t>
      </w:r>
    </w:p>
    <w:p w:rsidR="00F2685A" w:rsidRDefault="00F2685A" w:rsidP="00506D72">
      <w:pPr>
        <w:pStyle w:val="FootnoteText"/>
      </w:pPr>
    </w:p>
  </w:footnote>
  <w:footnote w:id="25">
    <w:p w:rsidR="00F2685A" w:rsidRPr="00BD42FA" w:rsidRDefault="00F2685A" w:rsidP="00FC596A">
      <w:pPr>
        <w:pStyle w:val="FootnoteText"/>
        <w:rPr>
          <w:lang w:val="es-ES"/>
        </w:rPr>
      </w:pPr>
      <w:r w:rsidRPr="00BD42FA">
        <w:rPr>
          <w:rStyle w:val="FootnoteReference"/>
        </w:rPr>
        <w:footnoteRef/>
      </w:r>
      <w:r w:rsidRPr="00BD42FA">
        <w:rPr>
          <w:lang w:val="es-ES"/>
        </w:rPr>
        <w:t xml:space="preserve"> Dirección General de Contrataciones del Estado.</w:t>
      </w:r>
    </w:p>
  </w:footnote>
  <w:footnote w:id="26">
    <w:p w:rsidR="00F2685A" w:rsidRPr="00BD42FA" w:rsidRDefault="00F2685A" w:rsidP="00FC596A">
      <w:pPr>
        <w:pStyle w:val="FootnoteText"/>
      </w:pPr>
      <w:r w:rsidRPr="00BD42FA">
        <w:rPr>
          <w:rStyle w:val="FootnoteReference"/>
        </w:rPr>
        <w:footnoteRef/>
      </w:r>
      <w:r w:rsidRPr="00BD42FA">
        <w:t xml:space="preserve"> Mainly, ensuring that bids are publicly opened and that bidding terms are slightly increased.</w:t>
      </w:r>
    </w:p>
  </w:footnote>
  <w:footnote w:id="27">
    <w:p w:rsidR="00F2685A" w:rsidRPr="00BD42FA" w:rsidRDefault="00F2685A" w:rsidP="00977393">
      <w:pPr>
        <w:pStyle w:val="FootnoteText"/>
        <w:rPr>
          <w:lang w:val="es-ES"/>
        </w:rPr>
      </w:pPr>
      <w:r w:rsidRPr="00BD42FA">
        <w:rPr>
          <w:rStyle w:val="FootnoteReference"/>
        </w:rPr>
        <w:footnoteRef/>
      </w:r>
      <w:r w:rsidRPr="00BD42FA">
        <w:rPr>
          <w:lang w:val="es-ES"/>
        </w:rPr>
        <w:t xml:space="preserve"> </w:t>
      </w:r>
      <w:r w:rsidRPr="00BD42FA">
        <w:rPr>
          <w:i/>
          <w:lang w:val="es-ES"/>
        </w:rPr>
        <w:t>Licitación Pública</w:t>
      </w:r>
      <w:r w:rsidRPr="00BD42FA">
        <w:rPr>
          <w:lang w:val="es-ES"/>
        </w:rPr>
        <w:t>.</w:t>
      </w:r>
    </w:p>
  </w:footnote>
  <w:footnote w:id="28">
    <w:p w:rsidR="00F2685A" w:rsidRPr="00BD42FA" w:rsidRDefault="00F2685A" w:rsidP="00977393">
      <w:pPr>
        <w:pStyle w:val="FootnoteText"/>
        <w:rPr>
          <w:lang w:val="es-ES"/>
        </w:rPr>
      </w:pPr>
      <w:r w:rsidRPr="00BD42FA">
        <w:rPr>
          <w:rStyle w:val="FootnoteReference"/>
        </w:rPr>
        <w:footnoteRef/>
      </w:r>
      <w:r w:rsidRPr="00BD42FA">
        <w:rPr>
          <w:lang w:val="es-ES"/>
        </w:rPr>
        <w:t xml:space="preserve"> </w:t>
      </w:r>
      <w:r w:rsidRPr="00BD42FA">
        <w:rPr>
          <w:i/>
          <w:lang w:val="es-ES"/>
        </w:rPr>
        <w:t>Licitación Selectiva</w:t>
      </w:r>
      <w:r w:rsidRPr="00BD42FA">
        <w:rPr>
          <w:lang w:val="es-ES"/>
        </w:rPr>
        <w:t>.</w:t>
      </w:r>
    </w:p>
  </w:footnote>
  <w:footnote w:id="29">
    <w:p w:rsidR="00F2685A" w:rsidRPr="00BD42FA" w:rsidRDefault="00F2685A" w:rsidP="00977393">
      <w:pPr>
        <w:pStyle w:val="FootnoteText"/>
        <w:rPr>
          <w:lang w:val="es-ES"/>
        </w:rPr>
      </w:pPr>
      <w:r w:rsidRPr="00BD42FA">
        <w:rPr>
          <w:rStyle w:val="FootnoteReference"/>
        </w:rPr>
        <w:footnoteRef/>
      </w:r>
      <w:r w:rsidRPr="00BD42FA">
        <w:rPr>
          <w:lang w:val="es-ES"/>
        </w:rPr>
        <w:t xml:space="preserve"> </w:t>
      </w:r>
      <w:r w:rsidRPr="00BD42FA">
        <w:rPr>
          <w:i/>
          <w:lang w:val="es-ES"/>
        </w:rPr>
        <w:t>Compra menor</w:t>
      </w:r>
      <w:r w:rsidRPr="00BD42FA">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23A"/>
    <w:multiLevelType w:val="hybridMultilevel"/>
    <w:tmpl w:val="1780C782"/>
    <w:lvl w:ilvl="0" w:tplc="EC60E6BA">
      <w:start w:val="58"/>
      <w:numFmt w:val="decimal"/>
      <w:lvlText w:val="%1."/>
      <w:lvlJc w:val="left"/>
      <w:pPr>
        <w:ind w:left="26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E4130"/>
    <w:multiLevelType w:val="multilevel"/>
    <w:tmpl w:val="CA607EC4"/>
    <w:lvl w:ilvl="0">
      <w:start w:val="3"/>
      <w:numFmt w:val="decimal"/>
      <w:lvlText w:val="%1."/>
      <w:lvlJc w:val="left"/>
      <w:pPr>
        <w:ind w:left="360" w:hanging="360"/>
      </w:pPr>
      <w:rPr>
        <w:rFonts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23268AC"/>
    <w:multiLevelType w:val="hybridMultilevel"/>
    <w:tmpl w:val="C3C0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B1F86"/>
    <w:multiLevelType w:val="multilevel"/>
    <w:tmpl w:val="FF9A4916"/>
    <w:lvl w:ilvl="0">
      <w:start w:val="1"/>
      <w:numFmt w:val="decimal"/>
      <w:lvlText w:val="%1."/>
      <w:lvlJc w:val="left"/>
      <w:pPr>
        <w:ind w:left="360" w:hanging="360"/>
      </w:pPr>
      <w:rPr>
        <w:rFonts w:ascii="Times New Roman" w:eastAsia="MS Mincho" w:hAnsi="Times New Roman" w:cs="Times New Roman" w:hint="default"/>
        <w:b w:val="0"/>
        <w:i w:val="0"/>
        <w:color w:val="auto"/>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65D53BD"/>
    <w:multiLevelType w:val="multilevel"/>
    <w:tmpl w:val="8B1AEC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2402D6"/>
    <w:multiLevelType w:val="multilevel"/>
    <w:tmpl w:val="C7E67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E3113"/>
    <w:multiLevelType w:val="multilevel"/>
    <w:tmpl w:val="C2F0FF2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9BD532B"/>
    <w:multiLevelType w:val="hybridMultilevel"/>
    <w:tmpl w:val="0534E122"/>
    <w:lvl w:ilvl="0" w:tplc="C5F0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12018"/>
    <w:multiLevelType w:val="hybridMultilevel"/>
    <w:tmpl w:val="DFFC8B06"/>
    <w:lvl w:ilvl="0" w:tplc="EF3A41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17B3B"/>
    <w:multiLevelType w:val="multilevel"/>
    <w:tmpl w:val="57F4BCAE"/>
    <w:lvl w:ilvl="0">
      <w:start w:val="1"/>
      <w:numFmt w:val="decimal"/>
      <w:lvlText w:val="%1."/>
      <w:lvlJc w:val="left"/>
      <w:pPr>
        <w:ind w:left="1800" w:hanging="360"/>
      </w:pPr>
      <w:rPr>
        <w:rFonts w:cs="Times New Roman" w:hint="default"/>
      </w:rPr>
    </w:lvl>
    <w:lvl w:ilvl="1">
      <w:start w:val="1"/>
      <w:numFmt w:val="upperLetter"/>
      <w:lvlText w:val="%2."/>
      <w:lvlJc w:val="left"/>
      <w:pPr>
        <w:ind w:left="2700" w:hanging="360"/>
      </w:pPr>
      <w:rPr>
        <w:rFonts w:cs="Times New Roman" w:hint="default"/>
      </w:rPr>
    </w:lvl>
    <w:lvl w:ilvl="2">
      <w:start w:val="1"/>
      <w:numFmt w:val="decimal"/>
      <w:lvlText w:val="%3."/>
      <w:lvlJc w:val="lef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0">
    <w:nsid w:val="0AF92E0A"/>
    <w:multiLevelType w:val="multilevel"/>
    <w:tmpl w:val="8B1AEC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0308AA"/>
    <w:multiLevelType w:val="hybridMultilevel"/>
    <w:tmpl w:val="CD1E7766"/>
    <w:lvl w:ilvl="0" w:tplc="4A68CAF8">
      <w:start w:val="1"/>
      <w:numFmt w:val="decimal"/>
      <w:lvlText w:val="%1."/>
      <w:lvlJc w:val="left"/>
      <w:pPr>
        <w:ind w:left="2910" w:hanging="75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360" w:hanging="360"/>
      </w:pPr>
    </w:lvl>
    <w:lvl w:ilvl="3" w:tplc="0E0AE87C">
      <w:start w:val="1"/>
      <w:numFmt w:val="decimal"/>
      <w:lvlText w:val="%4."/>
      <w:lvlJc w:val="left"/>
      <w:pPr>
        <w:ind w:left="45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1365A2"/>
    <w:multiLevelType w:val="hybridMultilevel"/>
    <w:tmpl w:val="07E8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E7902"/>
    <w:multiLevelType w:val="hybridMultilevel"/>
    <w:tmpl w:val="41BE78F2"/>
    <w:lvl w:ilvl="0" w:tplc="494A0FCA">
      <w:start w:val="1"/>
      <w:numFmt w:val="decimal"/>
      <w:lvlText w:val="%1."/>
      <w:lvlJc w:val="left"/>
      <w:pPr>
        <w:ind w:left="45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B97F45"/>
    <w:multiLevelType w:val="multilevel"/>
    <w:tmpl w:val="2DA213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A1B25F0"/>
    <w:multiLevelType w:val="multilevel"/>
    <w:tmpl w:val="3236A7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B960EBA"/>
    <w:multiLevelType w:val="multilevel"/>
    <w:tmpl w:val="8B1AEC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F564CD9"/>
    <w:multiLevelType w:val="hybridMultilevel"/>
    <w:tmpl w:val="09C65192"/>
    <w:lvl w:ilvl="0" w:tplc="6CE8852A">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nsid w:val="25992288"/>
    <w:multiLevelType w:val="hybridMultilevel"/>
    <w:tmpl w:val="E670019C"/>
    <w:lvl w:ilvl="0" w:tplc="81367A68">
      <w:start w:val="1"/>
      <w:numFmt w:val="decimal"/>
      <w:lvlText w:val="%1."/>
      <w:lvlJc w:val="left"/>
      <w:pPr>
        <w:ind w:left="2610" w:hanging="360"/>
      </w:pPr>
      <w:rPr>
        <w:rFonts w:hint="default"/>
        <w:b w:val="0"/>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77561DF"/>
    <w:multiLevelType w:val="multilevel"/>
    <w:tmpl w:val="EE2CB80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7BA3212"/>
    <w:multiLevelType w:val="hybridMultilevel"/>
    <w:tmpl w:val="22E045C4"/>
    <w:lvl w:ilvl="0" w:tplc="7428B76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B67B6F"/>
    <w:multiLevelType w:val="multilevel"/>
    <w:tmpl w:val="415013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8E1205"/>
    <w:multiLevelType w:val="hybridMultilevel"/>
    <w:tmpl w:val="11286E5E"/>
    <w:lvl w:ilvl="0" w:tplc="0409000F">
      <w:start w:val="1"/>
      <w:numFmt w:val="decimal"/>
      <w:lvlText w:val="(%1)"/>
      <w:lvlJc w:val="left"/>
      <w:pPr>
        <w:ind w:left="5760" w:hanging="72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2D597D06"/>
    <w:multiLevelType w:val="multilevel"/>
    <w:tmpl w:val="541E77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2B535D"/>
    <w:multiLevelType w:val="hybridMultilevel"/>
    <w:tmpl w:val="D0BE9A46"/>
    <w:lvl w:ilvl="0" w:tplc="C5F0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673566"/>
    <w:multiLevelType w:val="hybridMultilevel"/>
    <w:tmpl w:val="00FC3FD2"/>
    <w:lvl w:ilvl="0" w:tplc="A612A0B6">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2AA598F"/>
    <w:multiLevelType w:val="multilevel"/>
    <w:tmpl w:val="8B1AEC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075C63"/>
    <w:multiLevelType w:val="multilevel"/>
    <w:tmpl w:val="729EAD64"/>
    <w:lvl w:ilvl="0">
      <w:start w:val="2"/>
      <w:numFmt w:val="bullet"/>
      <w:lvlText w:val="-"/>
      <w:lvlJc w:val="left"/>
      <w:pPr>
        <w:ind w:left="1800" w:hanging="360"/>
      </w:pPr>
      <w:rPr>
        <w:rFonts w:ascii="Times New Roman" w:eastAsia="Times New Roman" w:hAnsi="Times New Roman" w:cs="Times New Roman" w:hint="default"/>
      </w:rPr>
    </w:lvl>
    <w:lvl w:ilvl="1">
      <w:start w:val="1"/>
      <w:numFmt w:val="upperLetter"/>
      <w:lvlText w:val="%2."/>
      <w:lvlJc w:val="left"/>
      <w:pPr>
        <w:ind w:left="2700" w:hanging="360"/>
      </w:pPr>
      <w:rPr>
        <w:rFonts w:hint="default"/>
      </w:rPr>
    </w:lvl>
    <w:lvl w:ilvl="2">
      <w:start w:val="1"/>
      <w:numFmt w:val="decimal"/>
      <w:lvlText w:val="%3."/>
      <w:lvlJc w:val="lef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nsid w:val="34740A37"/>
    <w:multiLevelType w:val="multilevel"/>
    <w:tmpl w:val="44D02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65E61CA"/>
    <w:multiLevelType w:val="hybridMultilevel"/>
    <w:tmpl w:val="A27E2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956725"/>
    <w:multiLevelType w:val="hybridMultilevel"/>
    <w:tmpl w:val="6632E16C"/>
    <w:lvl w:ilvl="0" w:tplc="C5F0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9C5C0A"/>
    <w:multiLevelType w:val="hybridMultilevel"/>
    <w:tmpl w:val="60421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D326A54"/>
    <w:multiLevelType w:val="multilevel"/>
    <w:tmpl w:val="C73CC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ECD09B1"/>
    <w:multiLevelType w:val="hybridMultilevel"/>
    <w:tmpl w:val="08BED1BA"/>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422B2046"/>
    <w:multiLevelType w:val="multilevel"/>
    <w:tmpl w:val="FF9E145E"/>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3723454"/>
    <w:multiLevelType w:val="multilevel"/>
    <w:tmpl w:val="937A2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84C4280"/>
    <w:multiLevelType w:val="hybridMultilevel"/>
    <w:tmpl w:val="53FE975A"/>
    <w:lvl w:ilvl="0" w:tplc="4D228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017F4A"/>
    <w:multiLevelType w:val="multilevel"/>
    <w:tmpl w:val="24CCF890"/>
    <w:lvl w:ilvl="0">
      <w:start w:val="1"/>
      <w:numFmt w:val="decimal"/>
      <w:lvlText w:val="%1."/>
      <w:lvlJc w:val="left"/>
      <w:pPr>
        <w:ind w:left="1800" w:hanging="360"/>
      </w:pPr>
      <w:rPr>
        <w:rFonts w:cs="Times New Roman" w:hint="default"/>
      </w:rPr>
    </w:lvl>
    <w:lvl w:ilvl="1">
      <w:start w:val="1"/>
      <w:numFmt w:val="upperLetter"/>
      <w:lvlText w:val="%2."/>
      <w:lvlJc w:val="left"/>
      <w:pPr>
        <w:ind w:left="2700" w:hanging="360"/>
      </w:pPr>
      <w:rPr>
        <w:rFonts w:cs="Times New Roman" w:hint="default"/>
      </w:rPr>
    </w:lvl>
    <w:lvl w:ilvl="2">
      <w:start w:val="1"/>
      <w:numFmt w:val="decimal"/>
      <w:lvlText w:val="%3."/>
      <w:lvlJc w:val="lef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39">
    <w:nsid w:val="490A4AD3"/>
    <w:multiLevelType w:val="hybridMultilevel"/>
    <w:tmpl w:val="7302A07E"/>
    <w:lvl w:ilvl="0" w:tplc="67FED2B6">
      <w:start w:val="1"/>
      <w:numFmt w:val="lowerRoman"/>
      <w:lvlText w:val="(%1)"/>
      <w:lvlJc w:val="left"/>
      <w:pPr>
        <w:ind w:left="690" w:hanging="360"/>
      </w:pPr>
      <w:rPr>
        <w:rFont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0">
    <w:nsid w:val="4D6F5E50"/>
    <w:multiLevelType w:val="hybridMultilevel"/>
    <w:tmpl w:val="C61EF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6F40A92"/>
    <w:multiLevelType w:val="hybridMultilevel"/>
    <w:tmpl w:val="43545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52440"/>
    <w:multiLevelType w:val="multilevel"/>
    <w:tmpl w:val="CEE83C0E"/>
    <w:lvl w:ilvl="0">
      <w:start w:val="5"/>
      <w:numFmt w:val="decimal"/>
      <w:lvlText w:val="%1."/>
      <w:lvlJc w:val="left"/>
      <w:pPr>
        <w:ind w:left="720" w:hanging="360"/>
      </w:pPr>
      <w:rPr>
        <w:rFonts w:ascii="Times New Roman" w:eastAsia="MS Mincho" w:hAnsi="Times New Roman" w:cs="Times New Roman" w:hint="default"/>
        <w:b w:val="0"/>
        <w:i w:val="0"/>
        <w:color w:val="auto"/>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DA415B2"/>
    <w:multiLevelType w:val="hybridMultilevel"/>
    <w:tmpl w:val="020AA23C"/>
    <w:lvl w:ilvl="0" w:tplc="67FED2B6">
      <w:start w:val="1"/>
      <w:numFmt w:val="lowerRoman"/>
      <w:lvlText w:val="(%1)"/>
      <w:lvlJc w:val="left"/>
      <w:pPr>
        <w:ind w:left="690" w:hanging="360"/>
      </w:pPr>
      <w:rPr>
        <w:rFont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4">
    <w:nsid w:val="60BD0EB3"/>
    <w:multiLevelType w:val="hybridMultilevel"/>
    <w:tmpl w:val="BA0E42FC"/>
    <w:lvl w:ilvl="0" w:tplc="28407F2C">
      <w:start w:val="6"/>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9A19D3"/>
    <w:multiLevelType w:val="hybridMultilevel"/>
    <w:tmpl w:val="28D6FA42"/>
    <w:lvl w:ilvl="0" w:tplc="051C3B16">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64515172"/>
    <w:multiLevelType w:val="hybridMultilevel"/>
    <w:tmpl w:val="59884896"/>
    <w:lvl w:ilvl="0" w:tplc="877E6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702777C"/>
    <w:multiLevelType w:val="hybridMultilevel"/>
    <w:tmpl w:val="EA9A95CA"/>
    <w:lvl w:ilvl="0" w:tplc="04090017">
      <w:start w:val="1"/>
      <w:numFmt w:val="lowerLetter"/>
      <w:lvlText w:val="%1)"/>
      <w:lvlJc w:val="left"/>
      <w:pPr>
        <w:ind w:left="720" w:hanging="360"/>
      </w:pPr>
    </w:lvl>
    <w:lvl w:ilvl="1" w:tplc="FD8217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E47477"/>
    <w:multiLevelType w:val="multilevel"/>
    <w:tmpl w:val="B87E3F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805607A"/>
    <w:multiLevelType w:val="hybridMultilevel"/>
    <w:tmpl w:val="B9022C6E"/>
    <w:lvl w:ilvl="0" w:tplc="2BB2C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5E343B"/>
    <w:multiLevelType w:val="multilevel"/>
    <w:tmpl w:val="729EAD64"/>
    <w:lvl w:ilvl="0">
      <w:start w:val="2"/>
      <w:numFmt w:val="bullet"/>
      <w:lvlText w:val="-"/>
      <w:lvlJc w:val="left"/>
      <w:pPr>
        <w:ind w:left="1800" w:hanging="360"/>
      </w:pPr>
      <w:rPr>
        <w:rFonts w:ascii="Times New Roman" w:eastAsia="Times New Roman" w:hAnsi="Times New Roman" w:cs="Times New Roman" w:hint="default"/>
      </w:rPr>
    </w:lvl>
    <w:lvl w:ilvl="1">
      <w:start w:val="1"/>
      <w:numFmt w:val="upperLetter"/>
      <w:lvlText w:val="%2."/>
      <w:lvlJc w:val="left"/>
      <w:pPr>
        <w:ind w:left="2700" w:hanging="360"/>
      </w:pPr>
      <w:rPr>
        <w:rFonts w:hint="default"/>
      </w:rPr>
    </w:lvl>
    <w:lvl w:ilvl="2">
      <w:start w:val="1"/>
      <w:numFmt w:val="decimal"/>
      <w:lvlText w:val="%3."/>
      <w:lvlJc w:val="lef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1">
    <w:nsid w:val="6CCB7AD5"/>
    <w:multiLevelType w:val="hybridMultilevel"/>
    <w:tmpl w:val="6AF25D88"/>
    <w:lvl w:ilvl="0" w:tplc="7428B76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CD3C77"/>
    <w:multiLevelType w:val="multilevel"/>
    <w:tmpl w:val="B3E03D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nsid w:val="74F769FC"/>
    <w:multiLevelType w:val="hybridMultilevel"/>
    <w:tmpl w:val="83E8C884"/>
    <w:lvl w:ilvl="0" w:tplc="67FED2B6">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E82063"/>
    <w:multiLevelType w:val="multilevel"/>
    <w:tmpl w:val="3CEA27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A374FB3"/>
    <w:multiLevelType w:val="multilevel"/>
    <w:tmpl w:val="729EAD64"/>
    <w:lvl w:ilvl="0">
      <w:start w:val="2"/>
      <w:numFmt w:val="bullet"/>
      <w:lvlText w:val="-"/>
      <w:lvlJc w:val="left"/>
      <w:pPr>
        <w:ind w:left="1800" w:hanging="360"/>
      </w:pPr>
      <w:rPr>
        <w:rFonts w:ascii="Times New Roman" w:eastAsia="Times New Roman" w:hAnsi="Times New Roman" w:cs="Times New Roman" w:hint="default"/>
      </w:rPr>
    </w:lvl>
    <w:lvl w:ilvl="1">
      <w:start w:val="1"/>
      <w:numFmt w:val="upperLetter"/>
      <w:lvlText w:val="%2."/>
      <w:lvlJc w:val="left"/>
      <w:pPr>
        <w:ind w:left="2700" w:hanging="360"/>
      </w:pPr>
      <w:rPr>
        <w:rFonts w:hint="default"/>
      </w:rPr>
    </w:lvl>
    <w:lvl w:ilvl="2">
      <w:start w:val="1"/>
      <w:numFmt w:val="decimal"/>
      <w:lvlText w:val="%3."/>
      <w:lvlJc w:val="lef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6">
    <w:nsid w:val="7ADE742C"/>
    <w:multiLevelType w:val="hybridMultilevel"/>
    <w:tmpl w:val="B9022C6E"/>
    <w:lvl w:ilvl="0" w:tplc="2BB2C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D3F82"/>
    <w:multiLevelType w:val="multilevel"/>
    <w:tmpl w:val="327AE7C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2"/>
  </w:num>
  <w:num w:numId="3">
    <w:abstractNumId w:val="26"/>
  </w:num>
  <w:num w:numId="4">
    <w:abstractNumId w:val="30"/>
  </w:num>
  <w:num w:numId="5">
    <w:abstractNumId w:val="17"/>
  </w:num>
  <w:num w:numId="6">
    <w:abstractNumId w:val="50"/>
  </w:num>
  <w:num w:numId="7">
    <w:abstractNumId w:val="3"/>
  </w:num>
  <w:num w:numId="8">
    <w:abstractNumId w:val="53"/>
  </w:num>
  <w:num w:numId="9">
    <w:abstractNumId w:val="43"/>
  </w:num>
  <w:num w:numId="10">
    <w:abstractNumId w:val="39"/>
  </w:num>
  <w:num w:numId="11">
    <w:abstractNumId w:val="20"/>
  </w:num>
  <w:num w:numId="12">
    <w:abstractNumId w:val="19"/>
  </w:num>
  <w:num w:numId="13">
    <w:abstractNumId w:val="45"/>
  </w:num>
  <w:num w:numId="14">
    <w:abstractNumId w:val="5"/>
  </w:num>
  <w:num w:numId="15">
    <w:abstractNumId w:val="35"/>
  </w:num>
  <w:num w:numId="16">
    <w:abstractNumId w:val="37"/>
  </w:num>
  <w:num w:numId="17">
    <w:abstractNumId w:val="38"/>
  </w:num>
  <w:num w:numId="18">
    <w:abstractNumId w:val="9"/>
  </w:num>
  <w:num w:numId="19">
    <w:abstractNumId w:val="28"/>
  </w:num>
  <w:num w:numId="20">
    <w:abstractNumId w:val="55"/>
  </w:num>
  <w:num w:numId="21">
    <w:abstractNumId w:val="1"/>
  </w:num>
  <w:num w:numId="22">
    <w:abstractNumId w:val="42"/>
  </w:num>
  <w:num w:numId="23">
    <w:abstractNumId w:val="44"/>
  </w:num>
  <w:num w:numId="24">
    <w:abstractNumId w:val="18"/>
  </w:num>
  <w:num w:numId="25">
    <w:abstractNumId w:val="12"/>
  </w:num>
  <w:num w:numId="26">
    <w:abstractNumId w:val="14"/>
  </w:num>
  <w:num w:numId="27">
    <w:abstractNumId w:val="6"/>
  </w:num>
  <w:num w:numId="28">
    <w:abstractNumId w:val="21"/>
  </w:num>
  <w:num w:numId="29">
    <w:abstractNumId w:val="41"/>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8"/>
  </w:num>
  <w:num w:numId="34">
    <w:abstractNumId w:val="29"/>
  </w:num>
  <w:num w:numId="35">
    <w:abstractNumId w:val="0"/>
  </w:num>
  <w:num w:numId="36">
    <w:abstractNumId w:val="48"/>
  </w:num>
  <w:num w:numId="37">
    <w:abstractNumId w:val="54"/>
  </w:num>
  <w:num w:numId="38">
    <w:abstractNumId w:val="4"/>
  </w:num>
  <w:num w:numId="39">
    <w:abstractNumId w:val="27"/>
  </w:num>
  <w:num w:numId="40">
    <w:abstractNumId w:val="16"/>
  </w:num>
  <w:num w:numId="41">
    <w:abstractNumId w:val="10"/>
  </w:num>
  <w:num w:numId="42">
    <w:abstractNumId w:val="31"/>
  </w:num>
  <w:num w:numId="43">
    <w:abstractNumId w:val="24"/>
  </w:num>
  <w:num w:numId="44">
    <w:abstractNumId w:val="13"/>
  </w:num>
  <w:num w:numId="45">
    <w:abstractNumId w:val="36"/>
  </w:num>
  <w:num w:numId="46">
    <w:abstractNumId w:val="57"/>
  </w:num>
  <w:num w:numId="47">
    <w:abstractNumId w:val="33"/>
  </w:num>
  <w:num w:numId="48">
    <w:abstractNumId w:val="23"/>
  </w:num>
  <w:num w:numId="49">
    <w:abstractNumId w:val="15"/>
  </w:num>
  <w:num w:numId="50">
    <w:abstractNumId w:val="52"/>
  </w:num>
  <w:num w:numId="51">
    <w:abstractNumId w:val="47"/>
  </w:num>
  <w:num w:numId="52">
    <w:abstractNumId w:val="7"/>
  </w:num>
  <w:num w:numId="53">
    <w:abstractNumId w:val="25"/>
  </w:num>
  <w:num w:numId="54">
    <w:abstractNumId w:val="2"/>
  </w:num>
  <w:num w:numId="55">
    <w:abstractNumId w:val="40"/>
  </w:num>
  <w:num w:numId="56">
    <w:abstractNumId w:val="32"/>
  </w:num>
  <w:num w:numId="57">
    <w:abstractNumId w:val="34"/>
  </w:num>
  <w:num w:numId="58">
    <w:abstractNumId w:val="56"/>
  </w:num>
  <w:num w:numId="59">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proofState w:grammar="clean"/>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D1"/>
    <w:rsid w:val="00001268"/>
    <w:rsid w:val="00002036"/>
    <w:rsid w:val="0000220E"/>
    <w:rsid w:val="000025FE"/>
    <w:rsid w:val="000026BA"/>
    <w:rsid w:val="00002EB5"/>
    <w:rsid w:val="00003577"/>
    <w:rsid w:val="00004CD1"/>
    <w:rsid w:val="000054E6"/>
    <w:rsid w:val="00005869"/>
    <w:rsid w:val="000068D5"/>
    <w:rsid w:val="0000765D"/>
    <w:rsid w:val="00007A6D"/>
    <w:rsid w:val="00007AE2"/>
    <w:rsid w:val="00007D09"/>
    <w:rsid w:val="0001059E"/>
    <w:rsid w:val="000106E2"/>
    <w:rsid w:val="00011293"/>
    <w:rsid w:val="000118AE"/>
    <w:rsid w:val="00011E80"/>
    <w:rsid w:val="000122A8"/>
    <w:rsid w:val="00012557"/>
    <w:rsid w:val="00013AC7"/>
    <w:rsid w:val="00013AF6"/>
    <w:rsid w:val="00013AF8"/>
    <w:rsid w:val="000140D9"/>
    <w:rsid w:val="0001477B"/>
    <w:rsid w:val="00014AF4"/>
    <w:rsid w:val="00015A14"/>
    <w:rsid w:val="00016CF0"/>
    <w:rsid w:val="000172C6"/>
    <w:rsid w:val="00017527"/>
    <w:rsid w:val="00017ACF"/>
    <w:rsid w:val="00020D3F"/>
    <w:rsid w:val="00021C06"/>
    <w:rsid w:val="00021DF5"/>
    <w:rsid w:val="00022BAF"/>
    <w:rsid w:val="00023B4B"/>
    <w:rsid w:val="0002414D"/>
    <w:rsid w:val="00024AE4"/>
    <w:rsid w:val="00024B15"/>
    <w:rsid w:val="00024BD3"/>
    <w:rsid w:val="00024FC5"/>
    <w:rsid w:val="00026138"/>
    <w:rsid w:val="00027528"/>
    <w:rsid w:val="0002769C"/>
    <w:rsid w:val="000300AC"/>
    <w:rsid w:val="00030C5B"/>
    <w:rsid w:val="00030F0D"/>
    <w:rsid w:val="0003127F"/>
    <w:rsid w:val="00031431"/>
    <w:rsid w:val="00033002"/>
    <w:rsid w:val="000345E0"/>
    <w:rsid w:val="00035FF7"/>
    <w:rsid w:val="00036167"/>
    <w:rsid w:val="00036387"/>
    <w:rsid w:val="000363CE"/>
    <w:rsid w:val="00037283"/>
    <w:rsid w:val="00037F47"/>
    <w:rsid w:val="0004037D"/>
    <w:rsid w:val="000406BE"/>
    <w:rsid w:val="00040AF9"/>
    <w:rsid w:val="000411D3"/>
    <w:rsid w:val="000414D7"/>
    <w:rsid w:val="0004191F"/>
    <w:rsid w:val="000419F8"/>
    <w:rsid w:val="00041D5A"/>
    <w:rsid w:val="00042437"/>
    <w:rsid w:val="0004265A"/>
    <w:rsid w:val="000426C1"/>
    <w:rsid w:val="00042B46"/>
    <w:rsid w:val="00042C94"/>
    <w:rsid w:val="0004354C"/>
    <w:rsid w:val="00043B9C"/>
    <w:rsid w:val="00043BCE"/>
    <w:rsid w:val="0004449E"/>
    <w:rsid w:val="00044F6F"/>
    <w:rsid w:val="00044F9A"/>
    <w:rsid w:val="000457A9"/>
    <w:rsid w:val="00045EE9"/>
    <w:rsid w:val="00046972"/>
    <w:rsid w:val="000479AC"/>
    <w:rsid w:val="000479DA"/>
    <w:rsid w:val="00050125"/>
    <w:rsid w:val="0005032B"/>
    <w:rsid w:val="00050A3B"/>
    <w:rsid w:val="00051A70"/>
    <w:rsid w:val="00051EF8"/>
    <w:rsid w:val="00051FDD"/>
    <w:rsid w:val="00053189"/>
    <w:rsid w:val="00053D26"/>
    <w:rsid w:val="00053F73"/>
    <w:rsid w:val="0005412A"/>
    <w:rsid w:val="00054450"/>
    <w:rsid w:val="00055481"/>
    <w:rsid w:val="00056054"/>
    <w:rsid w:val="000564D8"/>
    <w:rsid w:val="00056BDA"/>
    <w:rsid w:val="00056C64"/>
    <w:rsid w:val="00056D56"/>
    <w:rsid w:val="000572EC"/>
    <w:rsid w:val="000576C9"/>
    <w:rsid w:val="00057E14"/>
    <w:rsid w:val="00057F4D"/>
    <w:rsid w:val="000602E4"/>
    <w:rsid w:val="00060818"/>
    <w:rsid w:val="00060CBB"/>
    <w:rsid w:val="00061DE4"/>
    <w:rsid w:val="00062C2D"/>
    <w:rsid w:val="00062DEE"/>
    <w:rsid w:val="00063844"/>
    <w:rsid w:val="000639F0"/>
    <w:rsid w:val="00064436"/>
    <w:rsid w:val="00065ECA"/>
    <w:rsid w:val="00065ED1"/>
    <w:rsid w:val="000668B0"/>
    <w:rsid w:val="00066E8F"/>
    <w:rsid w:val="0006716D"/>
    <w:rsid w:val="0006797E"/>
    <w:rsid w:val="00071962"/>
    <w:rsid w:val="00071F65"/>
    <w:rsid w:val="00072F7C"/>
    <w:rsid w:val="00073273"/>
    <w:rsid w:val="0007374C"/>
    <w:rsid w:val="00073A0B"/>
    <w:rsid w:val="0007504B"/>
    <w:rsid w:val="00075224"/>
    <w:rsid w:val="0007563D"/>
    <w:rsid w:val="00075C30"/>
    <w:rsid w:val="000761F7"/>
    <w:rsid w:val="00076899"/>
    <w:rsid w:val="00076C30"/>
    <w:rsid w:val="00076FB5"/>
    <w:rsid w:val="00077564"/>
    <w:rsid w:val="00077B6B"/>
    <w:rsid w:val="00080723"/>
    <w:rsid w:val="00081849"/>
    <w:rsid w:val="00082515"/>
    <w:rsid w:val="00082A1F"/>
    <w:rsid w:val="00084E14"/>
    <w:rsid w:val="00085A36"/>
    <w:rsid w:val="00086036"/>
    <w:rsid w:val="000874AF"/>
    <w:rsid w:val="0008798C"/>
    <w:rsid w:val="000879A2"/>
    <w:rsid w:val="00087C6D"/>
    <w:rsid w:val="000907E3"/>
    <w:rsid w:val="000908CC"/>
    <w:rsid w:val="00091BC4"/>
    <w:rsid w:val="00092954"/>
    <w:rsid w:val="00092A70"/>
    <w:rsid w:val="00092AA3"/>
    <w:rsid w:val="00093C61"/>
    <w:rsid w:val="00093D67"/>
    <w:rsid w:val="000941E4"/>
    <w:rsid w:val="00095107"/>
    <w:rsid w:val="0009515A"/>
    <w:rsid w:val="0009671E"/>
    <w:rsid w:val="00096B44"/>
    <w:rsid w:val="000A0A6E"/>
    <w:rsid w:val="000A32FE"/>
    <w:rsid w:val="000A407C"/>
    <w:rsid w:val="000A438B"/>
    <w:rsid w:val="000A4DD1"/>
    <w:rsid w:val="000A539A"/>
    <w:rsid w:val="000A5A82"/>
    <w:rsid w:val="000A5AE1"/>
    <w:rsid w:val="000B002A"/>
    <w:rsid w:val="000B035B"/>
    <w:rsid w:val="000B0469"/>
    <w:rsid w:val="000B0A07"/>
    <w:rsid w:val="000B0BF6"/>
    <w:rsid w:val="000B0D33"/>
    <w:rsid w:val="000B2279"/>
    <w:rsid w:val="000B263C"/>
    <w:rsid w:val="000B2A69"/>
    <w:rsid w:val="000B2C37"/>
    <w:rsid w:val="000B4607"/>
    <w:rsid w:val="000B48CB"/>
    <w:rsid w:val="000B538E"/>
    <w:rsid w:val="000B5705"/>
    <w:rsid w:val="000B6772"/>
    <w:rsid w:val="000B6A56"/>
    <w:rsid w:val="000B6F8A"/>
    <w:rsid w:val="000B7985"/>
    <w:rsid w:val="000B7B55"/>
    <w:rsid w:val="000C0EAF"/>
    <w:rsid w:val="000C107D"/>
    <w:rsid w:val="000C1268"/>
    <w:rsid w:val="000C16FA"/>
    <w:rsid w:val="000C1E5B"/>
    <w:rsid w:val="000C2496"/>
    <w:rsid w:val="000C2667"/>
    <w:rsid w:val="000C2DDE"/>
    <w:rsid w:val="000C2F31"/>
    <w:rsid w:val="000C5EE4"/>
    <w:rsid w:val="000C61A1"/>
    <w:rsid w:val="000C639F"/>
    <w:rsid w:val="000C64F8"/>
    <w:rsid w:val="000C7A06"/>
    <w:rsid w:val="000D0524"/>
    <w:rsid w:val="000D0663"/>
    <w:rsid w:val="000D1C4A"/>
    <w:rsid w:val="000D2CCB"/>
    <w:rsid w:val="000D2D10"/>
    <w:rsid w:val="000D2EEE"/>
    <w:rsid w:val="000D3FD8"/>
    <w:rsid w:val="000D4FC2"/>
    <w:rsid w:val="000D533A"/>
    <w:rsid w:val="000D5689"/>
    <w:rsid w:val="000D5911"/>
    <w:rsid w:val="000D62E0"/>
    <w:rsid w:val="000D655F"/>
    <w:rsid w:val="000D6C7B"/>
    <w:rsid w:val="000D7140"/>
    <w:rsid w:val="000D74B1"/>
    <w:rsid w:val="000D75A0"/>
    <w:rsid w:val="000D76B0"/>
    <w:rsid w:val="000D7DA0"/>
    <w:rsid w:val="000E01B6"/>
    <w:rsid w:val="000E16B7"/>
    <w:rsid w:val="000E1C8E"/>
    <w:rsid w:val="000E263C"/>
    <w:rsid w:val="000E3A77"/>
    <w:rsid w:val="000E3A91"/>
    <w:rsid w:val="000E42BE"/>
    <w:rsid w:val="000E45D5"/>
    <w:rsid w:val="000E5808"/>
    <w:rsid w:val="000E5873"/>
    <w:rsid w:val="000E6A8D"/>
    <w:rsid w:val="000E6E0E"/>
    <w:rsid w:val="000E7751"/>
    <w:rsid w:val="000F13B2"/>
    <w:rsid w:val="000F16B5"/>
    <w:rsid w:val="000F19CB"/>
    <w:rsid w:val="000F1BBA"/>
    <w:rsid w:val="000F2EEC"/>
    <w:rsid w:val="000F404E"/>
    <w:rsid w:val="000F4274"/>
    <w:rsid w:val="000F43E5"/>
    <w:rsid w:val="000F5153"/>
    <w:rsid w:val="000F585F"/>
    <w:rsid w:val="000F761E"/>
    <w:rsid w:val="000F7C3F"/>
    <w:rsid w:val="000F7DDC"/>
    <w:rsid w:val="001007A1"/>
    <w:rsid w:val="001007B1"/>
    <w:rsid w:val="001007FB"/>
    <w:rsid w:val="00101526"/>
    <w:rsid w:val="00102812"/>
    <w:rsid w:val="001032D7"/>
    <w:rsid w:val="00103809"/>
    <w:rsid w:val="00103981"/>
    <w:rsid w:val="00103E0F"/>
    <w:rsid w:val="00103FF5"/>
    <w:rsid w:val="00103FF9"/>
    <w:rsid w:val="001050F5"/>
    <w:rsid w:val="0010515F"/>
    <w:rsid w:val="001062BE"/>
    <w:rsid w:val="00106DA5"/>
    <w:rsid w:val="00110AA7"/>
    <w:rsid w:val="00110AC6"/>
    <w:rsid w:val="00111398"/>
    <w:rsid w:val="0011178B"/>
    <w:rsid w:val="00111B8C"/>
    <w:rsid w:val="00111FBD"/>
    <w:rsid w:val="0011250E"/>
    <w:rsid w:val="001128E1"/>
    <w:rsid w:val="00112975"/>
    <w:rsid w:val="00112987"/>
    <w:rsid w:val="00112ABE"/>
    <w:rsid w:val="0011303E"/>
    <w:rsid w:val="00113388"/>
    <w:rsid w:val="0011356B"/>
    <w:rsid w:val="0011398D"/>
    <w:rsid w:val="00113A30"/>
    <w:rsid w:val="00113DB6"/>
    <w:rsid w:val="00114C45"/>
    <w:rsid w:val="00114D5F"/>
    <w:rsid w:val="00114EDB"/>
    <w:rsid w:val="001161E1"/>
    <w:rsid w:val="00116F52"/>
    <w:rsid w:val="001176FA"/>
    <w:rsid w:val="00117909"/>
    <w:rsid w:val="00117D03"/>
    <w:rsid w:val="00120582"/>
    <w:rsid w:val="00120E25"/>
    <w:rsid w:val="00124A4B"/>
    <w:rsid w:val="00124AA7"/>
    <w:rsid w:val="00124FA7"/>
    <w:rsid w:val="0012558C"/>
    <w:rsid w:val="0012583F"/>
    <w:rsid w:val="00125AA9"/>
    <w:rsid w:val="00125CED"/>
    <w:rsid w:val="00126788"/>
    <w:rsid w:val="00126D39"/>
    <w:rsid w:val="001279DB"/>
    <w:rsid w:val="00127A7A"/>
    <w:rsid w:val="00127B03"/>
    <w:rsid w:val="00127B68"/>
    <w:rsid w:val="00127BC4"/>
    <w:rsid w:val="00131015"/>
    <w:rsid w:val="00131276"/>
    <w:rsid w:val="001334F1"/>
    <w:rsid w:val="00133AD7"/>
    <w:rsid w:val="00134BE5"/>
    <w:rsid w:val="001351EB"/>
    <w:rsid w:val="001360F8"/>
    <w:rsid w:val="0013694B"/>
    <w:rsid w:val="001370CA"/>
    <w:rsid w:val="00137E35"/>
    <w:rsid w:val="00137F9E"/>
    <w:rsid w:val="00141807"/>
    <w:rsid w:val="0014199A"/>
    <w:rsid w:val="00141E9F"/>
    <w:rsid w:val="00142A7F"/>
    <w:rsid w:val="00143E6D"/>
    <w:rsid w:val="00144F18"/>
    <w:rsid w:val="00145074"/>
    <w:rsid w:val="0014638E"/>
    <w:rsid w:val="00146521"/>
    <w:rsid w:val="0014700A"/>
    <w:rsid w:val="0014713A"/>
    <w:rsid w:val="00147658"/>
    <w:rsid w:val="0014767B"/>
    <w:rsid w:val="0015014A"/>
    <w:rsid w:val="0015029B"/>
    <w:rsid w:val="001503A1"/>
    <w:rsid w:val="00150C5B"/>
    <w:rsid w:val="001519D7"/>
    <w:rsid w:val="00151E71"/>
    <w:rsid w:val="0015240F"/>
    <w:rsid w:val="001524BF"/>
    <w:rsid w:val="00152502"/>
    <w:rsid w:val="00152A9C"/>
    <w:rsid w:val="00154611"/>
    <w:rsid w:val="00154F5D"/>
    <w:rsid w:val="0015528B"/>
    <w:rsid w:val="0015534B"/>
    <w:rsid w:val="00155660"/>
    <w:rsid w:val="00155F7A"/>
    <w:rsid w:val="0015658B"/>
    <w:rsid w:val="00156628"/>
    <w:rsid w:val="00157399"/>
    <w:rsid w:val="00157CBA"/>
    <w:rsid w:val="00160B86"/>
    <w:rsid w:val="00161055"/>
    <w:rsid w:val="00161357"/>
    <w:rsid w:val="0016192F"/>
    <w:rsid w:val="00162268"/>
    <w:rsid w:val="00162BC0"/>
    <w:rsid w:val="00163043"/>
    <w:rsid w:val="0016311D"/>
    <w:rsid w:val="0016453A"/>
    <w:rsid w:val="00164B1B"/>
    <w:rsid w:val="001654A1"/>
    <w:rsid w:val="00165637"/>
    <w:rsid w:val="00165D86"/>
    <w:rsid w:val="001661A8"/>
    <w:rsid w:val="001663F8"/>
    <w:rsid w:val="0016777A"/>
    <w:rsid w:val="00170EE2"/>
    <w:rsid w:val="00172377"/>
    <w:rsid w:val="001727C7"/>
    <w:rsid w:val="00173BA7"/>
    <w:rsid w:val="001741E1"/>
    <w:rsid w:val="00174618"/>
    <w:rsid w:val="001747D0"/>
    <w:rsid w:val="00174EAA"/>
    <w:rsid w:val="00174F89"/>
    <w:rsid w:val="00175CC1"/>
    <w:rsid w:val="0017604F"/>
    <w:rsid w:val="00176F79"/>
    <w:rsid w:val="0017713F"/>
    <w:rsid w:val="00177343"/>
    <w:rsid w:val="00181545"/>
    <w:rsid w:val="00181BB6"/>
    <w:rsid w:val="00182509"/>
    <w:rsid w:val="00182557"/>
    <w:rsid w:val="0018262A"/>
    <w:rsid w:val="00183313"/>
    <w:rsid w:val="00183D04"/>
    <w:rsid w:val="0018428F"/>
    <w:rsid w:val="0018487D"/>
    <w:rsid w:val="00184F55"/>
    <w:rsid w:val="001859F7"/>
    <w:rsid w:val="00185F6A"/>
    <w:rsid w:val="0018604B"/>
    <w:rsid w:val="00186231"/>
    <w:rsid w:val="00187329"/>
    <w:rsid w:val="0019028C"/>
    <w:rsid w:val="00190901"/>
    <w:rsid w:val="00191112"/>
    <w:rsid w:val="00191B16"/>
    <w:rsid w:val="00191CAE"/>
    <w:rsid w:val="00191FD5"/>
    <w:rsid w:val="00192769"/>
    <w:rsid w:val="00193949"/>
    <w:rsid w:val="0019445D"/>
    <w:rsid w:val="00194F7B"/>
    <w:rsid w:val="001950E5"/>
    <w:rsid w:val="001960AD"/>
    <w:rsid w:val="001A02FA"/>
    <w:rsid w:val="001A0B22"/>
    <w:rsid w:val="001A0B91"/>
    <w:rsid w:val="001A1062"/>
    <w:rsid w:val="001A118F"/>
    <w:rsid w:val="001A155E"/>
    <w:rsid w:val="001A1EB9"/>
    <w:rsid w:val="001A2A71"/>
    <w:rsid w:val="001A3691"/>
    <w:rsid w:val="001A3A27"/>
    <w:rsid w:val="001A3F41"/>
    <w:rsid w:val="001A4603"/>
    <w:rsid w:val="001A528D"/>
    <w:rsid w:val="001A52CE"/>
    <w:rsid w:val="001A620F"/>
    <w:rsid w:val="001A6452"/>
    <w:rsid w:val="001A6BF7"/>
    <w:rsid w:val="001A6C5E"/>
    <w:rsid w:val="001B1362"/>
    <w:rsid w:val="001B1B6D"/>
    <w:rsid w:val="001B2328"/>
    <w:rsid w:val="001B3334"/>
    <w:rsid w:val="001B4167"/>
    <w:rsid w:val="001B444E"/>
    <w:rsid w:val="001B45F8"/>
    <w:rsid w:val="001B554A"/>
    <w:rsid w:val="001B6E3D"/>
    <w:rsid w:val="001B7179"/>
    <w:rsid w:val="001B76C7"/>
    <w:rsid w:val="001C0A65"/>
    <w:rsid w:val="001C119A"/>
    <w:rsid w:val="001C1CE1"/>
    <w:rsid w:val="001C2FA3"/>
    <w:rsid w:val="001C3216"/>
    <w:rsid w:val="001C35DD"/>
    <w:rsid w:val="001C3B79"/>
    <w:rsid w:val="001C46AB"/>
    <w:rsid w:val="001C4B06"/>
    <w:rsid w:val="001C5032"/>
    <w:rsid w:val="001C54FF"/>
    <w:rsid w:val="001C618D"/>
    <w:rsid w:val="001C78CC"/>
    <w:rsid w:val="001C7D1F"/>
    <w:rsid w:val="001D0620"/>
    <w:rsid w:val="001D0F03"/>
    <w:rsid w:val="001D10C0"/>
    <w:rsid w:val="001D1AC8"/>
    <w:rsid w:val="001D1C6B"/>
    <w:rsid w:val="001D23D9"/>
    <w:rsid w:val="001D2481"/>
    <w:rsid w:val="001D2EED"/>
    <w:rsid w:val="001D3566"/>
    <w:rsid w:val="001D364B"/>
    <w:rsid w:val="001D39CD"/>
    <w:rsid w:val="001D46E0"/>
    <w:rsid w:val="001D4F42"/>
    <w:rsid w:val="001D517B"/>
    <w:rsid w:val="001D5AD3"/>
    <w:rsid w:val="001D5D36"/>
    <w:rsid w:val="001D67DB"/>
    <w:rsid w:val="001D6F34"/>
    <w:rsid w:val="001D742D"/>
    <w:rsid w:val="001D75FE"/>
    <w:rsid w:val="001D7F1C"/>
    <w:rsid w:val="001E03AE"/>
    <w:rsid w:val="001E12E5"/>
    <w:rsid w:val="001E1466"/>
    <w:rsid w:val="001E1607"/>
    <w:rsid w:val="001E2333"/>
    <w:rsid w:val="001E28BB"/>
    <w:rsid w:val="001E298A"/>
    <w:rsid w:val="001E3CC0"/>
    <w:rsid w:val="001E58F5"/>
    <w:rsid w:val="001E5C3E"/>
    <w:rsid w:val="001E63E0"/>
    <w:rsid w:val="001E647B"/>
    <w:rsid w:val="001F0910"/>
    <w:rsid w:val="001F0DF4"/>
    <w:rsid w:val="001F15D4"/>
    <w:rsid w:val="001F175C"/>
    <w:rsid w:val="001F1EF8"/>
    <w:rsid w:val="001F24C2"/>
    <w:rsid w:val="001F2831"/>
    <w:rsid w:val="001F2ADD"/>
    <w:rsid w:val="001F2FB4"/>
    <w:rsid w:val="001F35FA"/>
    <w:rsid w:val="001F3CF3"/>
    <w:rsid w:val="001F49A5"/>
    <w:rsid w:val="001F53C6"/>
    <w:rsid w:val="001F5484"/>
    <w:rsid w:val="001F5D95"/>
    <w:rsid w:val="001F67CC"/>
    <w:rsid w:val="001F71E7"/>
    <w:rsid w:val="001F785C"/>
    <w:rsid w:val="001F7F16"/>
    <w:rsid w:val="0020176A"/>
    <w:rsid w:val="00202215"/>
    <w:rsid w:val="002029D8"/>
    <w:rsid w:val="00202DFB"/>
    <w:rsid w:val="00202EAD"/>
    <w:rsid w:val="00203590"/>
    <w:rsid w:val="00203F96"/>
    <w:rsid w:val="00204896"/>
    <w:rsid w:val="00204A04"/>
    <w:rsid w:val="00204BF3"/>
    <w:rsid w:val="00204FF3"/>
    <w:rsid w:val="00205302"/>
    <w:rsid w:val="00205D5F"/>
    <w:rsid w:val="00206C8B"/>
    <w:rsid w:val="002077E1"/>
    <w:rsid w:val="0021040B"/>
    <w:rsid w:val="0021116E"/>
    <w:rsid w:val="00211909"/>
    <w:rsid w:val="00211AEF"/>
    <w:rsid w:val="00211C6F"/>
    <w:rsid w:val="00211CBC"/>
    <w:rsid w:val="00211F88"/>
    <w:rsid w:val="002122CE"/>
    <w:rsid w:val="0021239A"/>
    <w:rsid w:val="00212716"/>
    <w:rsid w:val="002129F4"/>
    <w:rsid w:val="00213B74"/>
    <w:rsid w:val="00213DD9"/>
    <w:rsid w:val="00213FFA"/>
    <w:rsid w:val="0021486D"/>
    <w:rsid w:val="002157F5"/>
    <w:rsid w:val="00215E74"/>
    <w:rsid w:val="00216409"/>
    <w:rsid w:val="00216BAD"/>
    <w:rsid w:val="00217112"/>
    <w:rsid w:val="00217460"/>
    <w:rsid w:val="00220462"/>
    <w:rsid w:val="002215A3"/>
    <w:rsid w:val="00221D9B"/>
    <w:rsid w:val="00221FD3"/>
    <w:rsid w:val="002241D0"/>
    <w:rsid w:val="0022433A"/>
    <w:rsid w:val="002247E6"/>
    <w:rsid w:val="002248BE"/>
    <w:rsid w:val="0022497C"/>
    <w:rsid w:val="00224C41"/>
    <w:rsid w:val="00224E5D"/>
    <w:rsid w:val="00224E8F"/>
    <w:rsid w:val="002251A3"/>
    <w:rsid w:val="0022623C"/>
    <w:rsid w:val="00226270"/>
    <w:rsid w:val="002265A6"/>
    <w:rsid w:val="00226A15"/>
    <w:rsid w:val="00226B12"/>
    <w:rsid w:val="0023098B"/>
    <w:rsid w:val="0023101D"/>
    <w:rsid w:val="002324D9"/>
    <w:rsid w:val="00232C45"/>
    <w:rsid w:val="00233054"/>
    <w:rsid w:val="002339D2"/>
    <w:rsid w:val="00233F85"/>
    <w:rsid w:val="002344AA"/>
    <w:rsid w:val="002344C3"/>
    <w:rsid w:val="00234948"/>
    <w:rsid w:val="00234B5C"/>
    <w:rsid w:val="00235DFF"/>
    <w:rsid w:val="00235FD3"/>
    <w:rsid w:val="00237692"/>
    <w:rsid w:val="00237D50"/>
    <w:rsid w:val="0024020D"/>
    <w:rsid w:val="0024139D"/>
    <w:rsid w:val="00241FC2"/>
    <w:rsid w:val="0024209B"/>
    <w:rsid w:val="00242BD0"/>
    <w:rsid w:val="0024379C"/>
    <w:rsid w:val="00243C46"/>
    <w:rsid w:val="00244231"/>
    <w:rsid w:val="00244A79"/>
    <w:rsid w:val="002450A2"/>
    <w:rsid w:val="002454DB"/>
    <w:rsid w:val="00246C69"/>
    <w:rsid w:val="00246FDC"/>
    <w:rsid w:val="0024761E"/>
    <w:rsid w:val="002501DA"/>
    <w:rsid w:val="00250F55"/>
    <w:rsid w:val="00251534"/>
    <w:rsid w:val="002516FC"/>
    <w:rsid w:val="00251BD7"/>
    <w:rsid w:val="00251C5B"/>
    <w:rsid w:val="00253C4F"/>
    <w:rsid w:val="00253DAC"/>
    <w:rsid w:val="00254290"/>
    <w:rsid w:val="00254C2D"/>
    <w:rsid w:val="00254C4A"/>
    <w:rsid w:val="0025560D"/>
    <w:rsid w:val="00255B04"/>
    <w:rsid w:val="00255C47"/>
    <w:rsid w:val="002567AD"/>
    <w:rsid w:val="002567F0"/>
    <w:rsid w:val="002577EE"/>
    <w:rsid w:val="00257C4F"/>
    <w:rsid w:val="00261D4C"/>
    <w:rsid w:val="00262B00"/>
    <w:rsid w:val="00263C7A"/>
    <w:rsid w:val="00263D08"/>
    <w:rsid w:val="00263F9A"/>
    <w:rsid w:val="002647F0"/>
    <w:rsid w:val="00264CB1"/>
    <w:rsid w:val="00264EC7"/>
    <w:rsid w:val="00265238"/>
    <w:rsid w:val="00266295"/>
    <w:rsid w:val="002665EB"/>
    <w:rsid w:val="002677F2"/>
    <w:rsid w:val="002707A7"/>
    <w:rsid w:val="002715DB"/>
    <w:rsid w:val="002717C2"/>
    <w:rsid w:val="00271941"/>
    <w:rsid w:val="00271F7C"/>
    <w:rsid w:val="0027207B"/>
    <w:rsid w:val="00272C1F"/>
    <w:rsid w:val="002730F5"/>
    <w:rsid w:val="00273569"/>
    <w:rsid w:val="002737AB"/>
    <w:rsid w:val="00273ED8"/>
    <w:rsid w:val="0027480C"/>
    <w:rsid w:val="002750EE"/>
    <w:rsid w:val="00275746"/>
    <w:rsid w:val="00276A86"/>
    <w:rsid w:val="00277665"/>
    <w:rsid w:val="00277810"/>
    <w:rsid w:val="002801CA"/>
    <w:rsid w:val="00280508"/>
    <w:rsid w:val="00280533"/>
    <w:rsid w:val="00281193"/>
    <w:rsid w:val="00281F4D"/>
    <w:rsid w:val="002830E9"/>
    <w:rsid w:val="0028328D"/>
    <w:rsid w:val="00284A3D"/>
    <w:rsid w:val="00284F80"/>
    <w:rsid w:val="0028524E"/>
    <w:rsid w:val="002858D7"/>
    <w:rsid w:val="002859FA"/>
    <w:rsid w:val="00285E7E"/>
    <w:rsid w:val="002864C7"/>
    <w:rsid w:val="00286F07"/>
    <w:rsid w:val="0028746D"/>
    <w:rsid w:val="00287AB4"/>
    <w:rsid w:val="00290715"/>
    <w:rsid w:val="00290927"/>
    <w:rsid w:val="00290AF3"/>
    <w:rsid w:val="00290DE7"/>
    <w:rsid w:val="002911B6"/>
    <w:rsid w:val="00291508"/>
    <w:rsid w:val="002915F9"/>
    <w:rsid w:val="00292AE6"/>
    <w:rsid w:val="00292D62"/>
    <w:rsid w:val="002930B9"/>
    <w:rsid w:val="002946E0"/>
    <w:rsid w:val="00294F76"/>
    <w:rsid w:val="002953F4"/>
    <w:rsid w:val="002954F7"/>
    <w:rsid w:val="0029582E"/>
    <w:rsid w:val="00295C05"/>
    <w:rsid w:val="00296085"/>
    <w:rsid w:val="002966A2"/>
    <w:rsid w:val="002969C8"/>
    <w:rsid w:val="00296D30"/>
    <w:rsid w:val="00296EAA"/>
    <w:rsid w:val="00296FB5"/>
    <w:rsid w:val="002974F9"/>
    <w:rsid w:val="002A1067"/>
    <w:rsid w:val="002A10D4"/>
    <w:rsid w:val="002A1276"/>
    <w:rsid w:val="002A1C96"/>
    <w:rsid w:val="002A2544"/>
    <w:rsid w:val="002A2999"/>
    <w:rsid w:val="002A2D66"/>
    <w:rsid w:val="002A2E4B"/>
    <w:rsid w:val="002A30D9"/>
    <w:rsid w:val="002A3573"/>
    <w:rsid w:val="002A36E2"/>
    <w:rsid w:val="002A416A"/>
    <w:rsid w:val="002A4457"/>
    <w:rsid w:val="002A496F"/>
    <w:rsid w:val="002A57F5"/>
    <w:rsid w:val="002A6179"/>
    <w:rsid w:val="002A62E9"/>
    <w:rsid w:val="002A6B7D"/>
    <w:rsid w:val="002B0049"/>
    <w:rsid w:val="002B05BD"/>
    <w:rsid w:val="002B0B1A"/>
    <w:rsid w:val="002B0C6C"/>
    <w:rsid w:val="002B18B3"/>
    <w:rsid w:val="002B19C6"/>
    <w:rsid w:val="002B289C"/>
    <w:rsid w:val="002B3B2C"/>
    <w:rsid w:val="002B4062"/>
    <w:rsid w:val="002B4094"/>
    <w:rsid w:val="002B4FBA"/>
    <w:rsid w:val="002B5F67"/>
    <w:rsid w:val="002B651E"/>
    <w:rsid w:val="002B7471"/>
    <w:rsid w:val="002B7814"/>
    <w:rsid w:val="002B7962"/>
    <w:rsid w:val="002B7D9B"/>
    <w:rsid w:val="002C024E"/>
    <w:rsid w:val="002C040D"/>
    <w:rsid w:val="002C12AC"/>
    <w:rsid w:val="002C1401"/>
    <w:rsid w:val="002C1438"/>
    <w:rsid w:val="002C24A4"/>
    <w:rsid w:val="002C2BEE"/>
    <w:rsid w:val="002C2C00"/>
    <w:rsid w:val="002C3068"/>
    <w:rsid w:val="002C30F2"/>
    <w:rsid w:val="002C3FDF"/>
    <w:rsid w:val="002C4CAB"/>
    <w:rsid w:val="002C4DDC"/>
    <w:rsid w:val="002C57AD"/>
    <w:rsid w:val="002C5842"/>
    <w:rsid w:val="002C5B2F"/>
    <w:rsid w:val="002C6AB4"/>
    <w:rsid w:val="002C7038"/>
    <w:rsid w:val="002C7325"/>
    <w:rsid w:val="002C7562"/>
    <w:rsid w:val="002C7603"/>
    <w:rsid w:val="002C7C98"/>
    <w:rsid w:val="002D0630"/>
    <w:rsid w:val="002D065A"/>
    <w:rsid w:val="002D08AD"/>
    <w:rsid w:val="002D0ACA"/>
    <w:rsid w:val="002D0F65"/>
    <w:rsid w:val="002D17FF"/>
    <w:rsid w:val="002D1BA2"/>
    <w:rsid w:val="002D24A7"/>
    <w:rsid w:val="002D260B"/>
    <w:rsid w:val="002D266B"/>
    <w:rsid w:val="002D2C36"/>
    <w:rsid w:val="002D3016"/>
    <w:rsid w:val="002D302D"/>
    <w:rsid w:val="002D308B"/>
    <w:rsid w:val="002D35FE"/>
    <w:rsid w:val="002D3673"/>
    <w:rsid w:val="002D3926"/>
    <w:rsid w:val="002D4287"/>
    <w:rsid w:val="002D52E1"/>
    <w:rsid w:val="002D53BD"/>
    <w:rsid w:val="002D64A3"/>
    <w:rsid w:val="002D672E"/>
    <w:rsid w:val="002D6791"/>
    <w:rsid w:val="002D6BD3"/>
    <w:rsid w:val="002E0F8C"/>
    <w:rsid w:val="002E1381"/>
    <w:rsid w:val="002E15FB"/>
    <w:rsid w:val="002E1772"/>
    <w:rsid w:val="002E1A51"/>
    <w:rsid w:val="002E24DA"/>
    <w:rsid w:val="002E2573"/>
    <w:rsid w:val="002E28AB"/>
    <w:rsid w:val="002E3838"/>
    <w:rsid w:val="002E3E09"/>
    <w:rsid w:val="002E5182"/>
    <w:rsid w:val="002E54AE"/>
    <w:rsid w:val="002E5690"/>
    <w:rsid w:val="002E61C3"/>
    <w:rsid w:val="002E6511"/>
    <w:rsid w:val="002E680E"/>
    <w:rsid w:val="002E6AB5"/>
    <w:rsid w:val="002E70E5"/>
    <w:rsid w:val="002E749E"/>
    <w:rsid w:val="002E7CCC"/>
    <w:rsid w:val="002E7D2A"/>
    <w:rsid w:val="002F0310"/>
    <w:rsid w:val="002F0556"/>
    <w:rsid w:val="002F06F9"/>
    <w:rsid w:val="002F07A2"/>
    <w:rsid w:val="002F094A"/>
    <w:rsid w:val="002F0E2D"/>
    <w:rsid w:val="002F1134"/>
    <w:rsid w:val="002F19BB"/>
    <w:rsid w:val="002F1AA7"/>
    <w:rsid w:val="002F281D"/>
    <w:rsid w:val="002F2DF9"/>
    <w:rsid w:val="002F2F66"/>
    <w:rsid w:val="002F32AC"/>
    <w:rsid w:val="002F3F4E"/>
    <w:rsid w:val="002F4435"/>
    <w:rsid w:val="002F601D"/>
    <w:rsid w:val="002F63E5"/>
    <w:rsid w:val="002F6953"/>
    <w:rsid w:val="002F6D94"/>
    <w:rsid w:val="002F719F"/>
    <w:rsid w:val="003015A1"/>
    <w:rsid w:val="003015A9"/>
    <w:rsid w:val="00301D71"/>
    <w:rsid w:val="00301DB4"/>
    <w:rsid w:val="00302004"/>
    <w:rsid w:val="00302F08"/>
    <w:rsid w:val="00303135"/>
    <w:rsid w:val="00303EA6"/>
    <w:rsid w:val="00304DC6"/>
    <w:rsid w:val="00305568"/>
    <w:rsid w:val="003058CD"/>
    <w:rsid w:val="00306246"/>
    <w:rsid w:val="00306E38"/>
    <w:rsid w:val="00306EF7"/>
    <w:rsid w:val="003074B6"/>
    <w:rsid w:val="0031006F"/>
    <w:rsid w:val="003100B8"/>
    <w:rsid w:val="003116A2"/>
    <w:rsid w:val="0031191D"/>
    <w:rsid w:val="00312764"/>
    <w:rsid w:val="00312E32"/>
    <w:rsid w:val="00313CFD"/>
    <w:rsid w:val="00315ECB"/>
    <w:rsid w:val="00315F0E"/>
    <w:rsid w:val="00317301"/>
    <w:rsid w:val="00317B94"/>
    <w:rsid w:val="00317BCC"/>
    <w:rsid w:val="00320328"/>
    <w:rsid w:val="0032080B"/>
    <w:rsid w:val="00320A00"/>
    <w:rsid w:val="00320A23"/>
    <w:rsid w:val="00320B64"/>
    <w:rsid w:val="0032118C"/>
    <w:rsid w:val="00321D3B"/>
    <w:rsid w:val="00322759"/>
    <w:rsid w:val="00322D28"/>
    <w:rsid w:val="003231AB"/>
    <w:rsid w:val="00324152"/>
    <w:rsid w:val="0032479B"/>
    <w:rsid w:val="00325136"/>
    <w:rsid w:val="00325180"/>
    <w:rsid w:val="003251BD"/>
    <w:rsid w:val="003253E1"/>
    <w:rsid w:val="00325404"/>
    <w:rsid w:val="00325DD4"/>
    <w:rsid w:val="00326632"/>
    <w:rsid w:val="003268AE"/>
    <w:rsid w:val="00327775"/>
    <w:rsid w:val="00327D82"/>
    <w:rsid w:val="00330DF4"/>
    <w:rsid w:val="0033202A"/>
    <w:rsid w:val="00332D05"/>
    <w:rsid w:val="00332E81"/>
    <w:rsid w:val="00333AAE"/>
    <w:rsid w:val="0033420C"/>
    <w:rsid w:val="0033480B"/>
    <w:rsid w:val="00335239"/>
    <w:rsid w:val="00335A7E"/>
    <w:rsid w:val="00335B18"/>
    <w:rsid w:val="00335BC7"/>
    <w:rsid w:val="00335F56"/>
    <w:rsid w:val="00337582"/>
    <w:rsid w:val="003375D2"/>
    <w:rsid w:val="00337670"/>
    <w:rsid w:val="0033776D"/>
    <w:rsid w:val="0034028B"/>
    <w:rsid w:val="00340734"/>
    <w:rsid w:val="00340E50"/>
    <w:rsid w:val="00341A1F"/>
    <w:rsid w:val="0034314B"/>
    <w:rsid w:val="0034317F"/>
    <w:rsid w:val="0034395C"/>
    <w:rsid w:val="00343A4F"/>
    <w:rsid w:val="00343ED7"/>
    <w:rsid w:val="003447D0"/>
    <w:rsid w:val="00345E94"/>
    <w:rsid w:val="003474F5"/>
    <w:rsid w:val="00347AB9"/>
    <w:rsid w:val="003507EA"/>
    <w:rsid w:val="00350DBF"/>
    <w:rsid w:val="00351A0B"/>
    <w:rsid w:val="00351B27"/>
    <w:rsid w:val="00352277"/>
    <w:rsid w:val="003523C7"/>
    <w:rsid w:val="00352984"/>
    <w:rsid w:val="0035321A"/>
    <w:rsid w:val="003533C2"/>
    <w:rsid w:val="003536BB"/>
    <w:rsid w:val="00353777"/>
    <w:rsid w:val="00353D0C"/>
    <w:rsid w:val="0035528D"/>
    <w:rsid w:val="00355DF5"/>
    <w:rsid w:val="00356223"/>
    <w:rsid w:val="0035687C"/>
    <w:rsid w:val="00356FA9"/>
    <w:rsid w:val="003574C0"/>
    <w:rsid w:val="00357600"/>
    <w:rsid w:val="0036257F"/>
    <w:rsid w:val="00362796"/>
    <w:rsid w:val="003629DC"/>
    <w:rsid w:val="00363388"/>
    <w:rsid w:val="0036343F"/>
    <w:rsid w:val="00363F2B"/>
    <w:rsid w:val="00364588"/>
    <w:rsid w:val="003651FF"/>
    <w:rsid w:val="00366978"/>
    <w:rsid w:val="003671BD"/>
    <w:rsid w:val="003671EC"/>
    <w:rsid w:val="00367580"/>
    <w:rsid w:val="00367697"/>
    <w:rsid w:val="003676C6"/>
    <w:rsid w:val="00367767"/>
    <w:rsid w:val="0036787E"/>
    <w:rsid w:val="00367E58"/>
    <w:rsid w:val="0037044F"/>
    <w:rsid w:val="00370AAE"/>
    <w:rsid w:val="00371168"/>
    <w:rsid w:val="00372597"/>
    <w:rsid w:val="00372D1A"/>
    <w:rsid w:val="003732C7"/>
    <w:rsid w:val="00373C72"/>
    <w:rsid w:val="00374A2C"/>
    <w:rsid w:val="00374E5A"/>
    <w:rsid w:val="003750F2"/>
    <w:rsid w:val="00376358"/>
    <w:rsid w:val="0037649C"/>
    <w:rsid w:val="003773F0"/>
    <w:rsid w:val="0037757A"/>
    <w:rsid w:val="00382BC7"/>
    <w:rsid w:val="00382EC6"/>
    <w:rsid w:val="00383C5A"/>
    <w:rsid w:val="003843D6"/>
    <w:rsid w:val="003847C2"/>
    <w:rsid w:val="00384E05"/>
    <w:rsid w:val="00384E3B"/>
    <w:rsid w:val="003859FD"/>
    <w:rsid w:val="00385ABC"/>
    <w:rsid w:val="00385DBA"/>
    <w:rsid w:val="00386E73"/>
    <w:rsid w:val="00386EE6"/>
    <w:rsid w:val="003870F1"/>
    <w:rsid w:val="00390116"/>
    <w:rsid w:val="00390651"/>
    <w:rsid w:val="00391055"/>
    <w:rsid w:val="00391544"/>
    <w:rsid w:val="00391A02"/>
    <w:rsid w:val="003922EF"/>
    <w:rsid w:val="00392F0B"/>
    <w:rsid w:val="00392F4C"/>
    <w:rsid w:val="003932FC"/>
    <w:rsid w:val="00393423"/>
    <w:rsid w:val="003936EB"/>
    <w:rsid w:val="003937BF"/>
    <w:rsid w:val="003937EC"/>
    <w:rsid w:val="0039400D"/>
    <w:rsid w:val="003949D9"/>
    <w:rsid w:val="00395884"/>
    <w:rsid w:val="00395B1B"/>
    <w:rsid w:val="00395FEB"/>
    <w:rsid w:val="003960DA"/>
    <w:rsid w:val="00396741"/>
    <w:rsid w:val="00396BBF"/>
    <w:rsid w:val="00397AD4"/>
    <w:rsid w:val="00397B48"/>
    <w:rsid w:val="00397C17"/>
    <w:rsid w:val="003A072D"/>
    <w:rsid w:val="003A0B8E"/>
    <w:rsid w:val="003A1B4F"/>
    <w:rsid w:val="003A2087"/>
    <w:rsid w:val="003A28D3"/>
    <w:rsid w:val="003A47B1"/>
    <w:rsid w:val="003A66BA"/>
    <w:rsid w:val="003A6F78"/>
    <w:rsid w:val="003A7018"/>
    <w:rsid w:val="003A7195"/>
    <w:rsid w:val="003B0293"/>
    <w:rsid w:val="003B077F"/>
    <w:rsid w:val="003B0B2F"/>
    <w:rsid w:val="003B114D"/>
    <w:rsid w:val="003B17A1"/>
    <w:rsid w:val="003B1E24"/>
    <w:rsid w:val="003B2165"/>
    <w:rsid w:val="003B2B5E"/>
    <w:rsid w:val="003B2F54"/>
    <w:rsid w:val="003B4513"/>
    <w:rsid w:val="003B559D"/>
    <w:rsid w:val="003B55E1"/>
    <w:rsid w:val="003B6788"/>
    <w:rsid w:val="003B6CC2"/>
    <w:rsid w:val="003B6CE8"/>
    <w:rsid w:val="003B73C0"/>
    <w:rsid w:val="003C045C"/>
    <w:rsid w:val="003C08FC"/>
    <w:rsid w:val="003C0EA4"/>
    <w:rsid w:val="003C138C"/>
    <w:rsid w:val="003C1ACC"/>
    <w:rsid w:val="003C1D91"/>
    <w:rsid w:val="003C26A6"/>
    <w:rsid w:val="003C2AE7"/>
    <w:rsid w:val="003C2AFF"/>
    <w:rsid w:val="003C303A"/>
    <w:rsid w:val="003C393D"/>
    <w:rsid w:val="003C4978"/>
    <w:rsid w:val="003C6E24"/>
    <w:rsid w:val="003C70CD"/>
    <w:rsid w:val="003D1380"/>
    <w:rsid w:val="003D28DA"/>
    <w:rsid w:val="003D2905"/>
    <w:rsid w:val="003D371E"/>
    <w:rsid w:val="003D3754"/>
    <w:rsid w:val="003D3C18"/>
    <w:rsid w:val="003D4214"/>
    <w:rsid w:val="003D576C"/>
    <w:rsid w:val="003D5BA7"/>
    <w:rsid w:val="003D6628"/>
    <w:rsid w:val="003D6C2D"/>
    <w:rsid w:val="003D71F9"/>
    <w:rsid w:val="003D762F"/>
    <w:rsid w:val="003D790D"/>
    <w:rsid w:val="003D79C3"/>
    <w:rsid w:val="003D7D52"/>
    <w:rsid w:val="003E0141"/>
    <w:rsid w:val="003E1C80"/>
    <w:rsid w:val="003E3337"/>
    <w:rsid w:val="003E348D"/>
    <w:rsid w:val="003E3DF3"/>
    <w:rsid w:val="003E3DF4"/>
    <w:rsid w:val="003E565D"/>
    <w:rsid w:val="003E5A9D"/>
    <w:rsid w:val="003E5DB3"/>
    <w:rsid w:val="003E5E40"/>
    <w:rsid w:val="003E5F81"/>
    <w:rsid w:val="003E67C4"/>
    <w:rsid w:val="003E6D14"/>
    <w:rsid w:val="003E7A56"/>
    <w:rsid w:val="003E7BD1"/>
    <w:rsid w:val="003E7ECB"/>
    <w:rsid w:val="003E7EE8"/>
    <w:rsid w:val="003F0FB3"/>
    <w:rsid w:val="003F11C9"/>
    <w:rsid w:val="003F15DE"/>
    <w:rsid w:val="003F1770"/>
    <w:rsid w:val="003F2766"/>
    <w:rsid w:val="003F2F51"/>
    <w:rsid w:val="003F382A"/>
    <w:rsid w:val="003F3F90"/>
    <w:rsid w:val="003F42BC"/>
    <w:rsid w:val="003F57E8"/>
    <w:rsid w:val="003F6A14"/>
    <w:rsid w:val="003F747C"/>
    <w:rsid w:val="003F7A49"/>
    <w:rsid w:val="003F7C55"/>
    <w:rsid w:val="003F7C81"/>
    <w:rsid w:val="00401689"/>
    <w:rsid w:val="00401831"/>
    <w:rsid w:val="00401B1F"/>
    <w:rsid w:val="00402068"/>
    <w:rsid w:val="004020EA"/>
    <w:rsid w:val="0040253F"/>
    <w:rsid w:val="00402561"/>
    <w:rsid w:val="004027C6"/>
    <w:rsid w:val="0040316F"/>
    <w:rsid w:val="0040327B"/>
    <w:rsid w:val="004032C4"/>
    <w:rsid w:val="004036A7"/>
    <w:rsid w:val="0040474F"/>
    <w:rsid w:val="004056E3"/>
    <w:rsid w:val="00405A4B"/>
    <w:rsid w:val="004065AE"/>
    <w:rsid w:val="00406940"/>
    <w:rsid w:val="00407528"/>
    <w:rsid w:val="0041001F"/>
    <w:rsid w:val="0041023C"/>
    <w:rsid w:val="00410B01"/>
    <w:rsid w:val="004111A5"/>
    <w:rsid w:val="00411234"/>
    <w:rsid w:val="00411DD5"/>
    <w:rsid w:val="004133E9"/>
    <w:rsid w:val="004139B3"/>
    <w:rsid w:val="00414137"/>
    <w:rsid w:val="00414E93"/>
    <w:rsid w:val="00414FE0"/>
    <w:rsid w:val="0041503C"/>
    <w:rsid w:val="004154CA"/>
    <w:rsid w:val="00415B15"/>
    <w:rsid w:val="00416241"/>
    <w:rsid w:val="00420CBF"/>
    <w:rsid w:val="00421348"/>
    <w:rsid w:val="00421843"/>
    <w:rsid w:val="0042253A"/>
    <w:rsid w:val="00422933"/>
    <w:rsid w:val="0042378F"/>
    <w:rsid w:val="004238B1"/>
    <w:rsid w:val="00424634"/>
    <w:rsid w:val="00425807"/>
    <w:rsid w:val="00425981"/>
    <w:rsid w:val="004263EF"/>
    <w:rsid w:val="00426D43"/>
    <w:rsid w:val="0042706C"/>
    <w:rsid w:val="00427229"/>
    <w:rsid w:val="00427714"/>
    <w:rsid w:val="0042782D"/>
    <w:rsid w:val="0042787C"/>
    <w:rsid w:val="00430BFF"/>
    <w:rsid w:val="00430CA2"/>
    <w:rsid w:val="00431220"/>
    <w:rsid w:val="00432E79"/>
    <w:rsid w:val="004339B3"/>
    <w:rsid w:val="00433B6C"/>
    <w:rsid w:val="004341A3"/>
    <w:rsid w:val="00434500"/>
    <w:rsid w:val="0043467E"/>
    <w:rsid w:val="0043496E"/>
    <w:rsid w:val="00434B45"/>
    <w:rsid w:val="00434DB4"/>
    <w:rsid w:val="0043503F"/>
    <w:rsid w:val="00435254"/>
    <w:rsid w:val="00435804"/>
    <w:rsid w:val="0043591F"/>
    <w:rsid w:val="00435AE8"/>
    <w:rsid w:val="00436360"/>
    <w:rsid w:val="00437AF5"/>
    <w:rsid w:val="00440747"/>
    <w:rsid w:val="00441445"/>
    <w:rsid w:val="00441A4C"/>
    <w:rsid w:val="004425CF"/>
    <w:rsid w:val="00442D1D"/>
    <w:rsid w:val="004431B2"/>
    <w:rsid w:val="00443272"/>
    <w:rsid w:val="004432D7"/>
    <w:rsid w:val="00443382"/>
    <w:rsid w:val="00444020"/>
    <w:rsid w:val="00444420"/>
    <w:rsid w:val="0044458A"/>
    <w:rsid w:val="004452BB"/>
    <w:rsid w:val="00445690"/>
    <w:rsid w:val="004469FB"/>
    <w:rsid w:val="0044786A"/>
    <w:rsid w:val="00447B6B"/>
    <w:rsid w:val="00450C1A"/>
    <w:rsid w:val="004514BD"/>
    <w:rsid w:val="0045241C"/>
    <w:rsid w:val="00453247"/>
    <w:rsid w:val="0045399E"/>
    <w:rsid w:val="00453DCE"/>
    <w:rsid w:val="00454C2C"/>
    <w:rsid w:val="0045594C"/>
    <w:rsid w:val="004559D0"/>
    <w:rsid w:val="00455F46"/>
    <w:rsid w:val="00456AB1"/>
    <w:rsid w:val="00456F71"/>
    <w:rsid w:val="004573A0"/>
    <w:rsid w:val="00457790"/>
    <w:rsid w:val="00457A70"/>
    <w:rsid w:val="00460452"/>
    <w:rsid w:val="0046061E"/>
    <w:rsid w:val="00460651"/>
    <w:rsid w:val="0046078A"/>
    <w:rsid w:val="00460D98"/>
    <w:rsid w:val="00461E83"/>
    <w:rsid w:val="00462C91"/>
    <w:rsid w:val="00462E41"/>
    <w:rsid w:val="004639BD"/>
    <w:rsid w:val="004639EA"/>
    <w:rsid w:val="00464138"/>
    <w:rsid w:val="0046475F"/>
    <w:rsid w:val="00464D22"/>
    <w:rsid w:val="00464DED"/>
    <w:rsid w:val="00465A06"/>
    <w:rsid w:val="0046689B"/>
    <w:rsid w:val="00466949"/>
    <w:rsid w:val="0046720A"/>
    <w:rsid w:val="00467E0E"/>
    <w:rsid w:val="00470322"/>
    <w:rsid w:val="00470C72"/>
    <w:rsid w:val="00470DA2"/>
    <w:rsid w:val="00471504"/>
    <w:rsid w:val="00471D3C"/>
    <w:rsid w:val="004728F8"/>
    <w:rsid w:val="00472903"/>
    <w:rsid w:val="004729D8"/>
    <w:rsid w:val="00472E3C"/>
    <w:rsid w:val="0047397E"/>
    <w:rsid w:val="00474F08"/>
    <w:rsid w:val="00475388"/>
    <w:rsid w:val="004763C7"/>
    <w:rsid w:val="004764D3"/>
    <w:rsid w:val="00476C15"/>
    <w:rsid w:val="004771C6"/>
    <w:rsid w:val="0047748B"/>
    <w:rsid w:val="00477C0A"/>
    <w:rsid w:val="0048003B"/>
    <w:rsid w:val="0048009E"/>
    <w:rsid w:val="00480788"/>
    <w:rsid w:val="00480DDC"/>
    <w:rsid w:val="00481043"/>
    <w:rsid w:val="0048172E"/>
    <w:rsid w:val="0048197F"/>
    <w:rsid w:val="00482810"/>
    <w:rsid w:val="00483E63"/>
    <w:rsid w:val="004841EF"/>
    <w:rsid w:val="004849AD"/>
    <w:rsid w:val="0048580D"/>
    <w:rsid w:val="00485A4B"/>
    <w:rsid w:val="00485EB9"/>
    <w:rsid w:val="00486065"/>
    <w:rsid w:val="0048698B"/>
    <w:rsid w:val="00486ED9"/>
    <w:rsid w:val="00487216"/>
    <w:rsid w:val="0048779B"/>
    <w:rsid w:val="0048791A"/>
    <w:rsid w:val="00487D77"/>
    <w:rsid w:val="00487DC1"/>
    <w:rsid w:val="00487E00"/>
    <w:rsid w:val="0049045C"/>
    <w:rsid w:val="00490E05"/>
    <w:rsid w:val="004911A9"/>
    <w:rsid w:val="004927D9"/>
    <w:rsid w:val="004929B5"/>
    <w:rsid w:val="004929FB"/>
    <w:rsid w:val="00492C73"/>
    <w:rsid w:val="00492DE2"/>
    <w:rsid w:val="00493C17"/>
    <w:rsid w:val="00494B9B"/>
    <w:rsid w:val="0049637A"/>
    <w:rsid w:val="00496E1E"/>
    <w:rsid w:val="004A0AFF"/>
    <w:rsid w:val="004A114C"/>
    <w:rsid w:val="004A11AE"/>
    <w:rsid w:val="004A198B"/>
    <w:rsid w:val="004A2C76"/>
    <w:rsid w:val="004A3535"/>
    <w:rsid w:val="004A48A0"/>
    <w:rsid w:val="004A4B60"/>
    <w:rsid w:val="004A4B85"/>
    <w:rsid w:val="004A558D"/>
    <w:rsid w:val="004A59EF"/>
    <w:rsid w:val="004A5CB0"/>
    <w:rsid w:val="004A6172"/>
    <w:rsid w:val="004A618C"/>
    <w:rsid w:val="004A6F65"/>
    <w:rsid w:val="004A71DF"/>
    <w:rsid w:val="004A73EC"/>
    <w:rsid w:val="004A7BCA"/>
    <w:rsid w:val="004B0217"/>
    <w:rsid w:val="004B0501"/>
    <w:rsid w:val="004B0AD9"/>
    <w:rsid w:val="004B0F54"/>
    <w:rsid w:val="004B1EE1"/>
    <w:rsid w:val="004B201F"/>
    <w:rsid w:val="004B225D"/>
    <w:rsid w:val="004B2518"/>
    <w:rsid w:val="004B2E58"/>
    <w:rsid w:val="004B4F38"/>
    <w:rsid w:val="004B4F48"/>
    <w:rsid w:val="004B5B04"/>
    <w:rsid w:val="004B5F82"/>
    <w:rsid w:val="004B7002"/>
    <w:rsid w:val="004B78B7"/>
    <w:rsid w:val="004B7B94"/>
    <w:rsid w:val="004C166E"/>
    <w:rsid w:val="004C194C"/>
    <w:rsid w:val="004C1B03"/>
    <w:rsid w:val="004C3F45"/>
    <w:rsid w:val="004C415C"/>
    <w:rsid w:val="004C4331"/>
    <w:rsid w:val="004C56FC"/>
    <w:rsid w:val="004C620C"/>
    <w:rsid w:val="004C7AC4"/>
    <w:rsid w:val="004C7B09"/>
    <w:rsid w:val="004D13A0"/>
    <w:rsid w:val="004D1C19"/>
    <w:rsid w:val="004D24D4"/>
    <w:rsid w:val="004D25BC"/>
    <w:rsid w:val="004D2D71"/>
    <w:rsid w:val="004D319D"/>
    <w:rsid w:val="004D3C3B"/>
    <w:rsid w:val="004D5785"/>
    <w:rsid w:val="004D61B6"/>
    <w:rsid w:val="004D65BF"/>
    <w:rsid w:val="004D6CCE"/>
    <w:rsid w:val="004D7CF4"/>
    <w:rsid w:val="004E0875"/>
    <w:rsid w:val="004E0ACC"/>
    <w:rsid w:val="004E1560"/>
    <w:rsid w:val="004E167F"/>
    <w:rsid w:val="004E189B"/>
    <w:rsid w:val="004E1AA8"/>
    <w:rsid w:val="004E3034"/>
    <w:rsid w:val="004E34A7"/>
    <w:rsid w:val="004E3616"/>
    <w:rsid w:val="004E3F8A"/>
    <w:rsid w:val="004E4579"/>
    <w:rsid w:val="004E4785"/>
    <w:rsid w:val="004E6DB3"/>
    <w:rsid w:val="004E6DC3"/>
    <w:rsid w:val="004E7686"/>
    <w:rsid w:val="004E7750"/>
    <w:rsid w:val="004F000A"/>
    <w:rsid w:val="004F07BC"/>
    <w:rsid w:val="004F090A"/>
    <w:rsid w:val="004F1056"/>
    <w:rsid w:val="004F1299"/>
    <w:rsid w:val="004F3611"/>
    <w:rsid w:val="004F3682"/>
    <w:rsid w:val="004F41D0"/>
    <w:rsid w:val="004F477F"/>
    <w:rsid w:val="004F547A"/>
    <w:rsid w:val="004F5DF6"/>
    <w:rsid w:val="004F6184"/>
    <w:rsid w:val="004F6F22"/>
    <w:rsid w:val="004F7180"/>
    <w:rsid w:val="004F77F1"/>
    <w:rsid w:val="004F79F3"/>
    <w:rsid w:val="005006E3"/>
    <w:rsid w:val="00500A54"/>
    <w:rsid w:val="00501E43"/>
    <w:rsid w:val="005028FC"/>
    <w:rsid w:val="005039B7"/>
    <w:rsid w:val="00504DF7"/>
    <w:rsid w:val="005050BB"/>
    <w:rsid w:val="00506461"/>
    <w:rsid w:val="00506D72"/>
    <w:rsid w:val="0050704D"/>
    <w:rsid w:val="005122A5"/>
    <w:rsid w:val="0051340E"/>
    <w:rsid w:val="0051375A"/>
    <w:rsid w:val="005139BE"/>
    <w:rsid w:val="00513A87"/>
    <w:rsid w:val="0051408A"/>
    <w:rsid w:val="00515CED"/>
    <w:rsid w:val="0051611D"/>
    <w:rsid w:val="0051711A"/>
    <w:rsid w:val="00517BAC"/>
    <w:rsid w:val="00517E45"/>
    <w:rsid w:val="005200AA"/>
    <w:rsid w:val="005203E6"/>
    <w:rsid w:val="00520CE0"/>
    <w:rsid w:val="00521C36"/>
    <w:rsid w:val="00521CBD"/>
    <w:rsid w:val="00521DD5"/>
    <w:rsid w:val="00522A08"/>
    <w:rsid w:val="0052327C"/>
    <w:rsid w:val="00523DD7"/>
    <w:rsid w:val="00524A1F"/>
    <w:rsid w:val="005276C6"/>
    <w:rsid w:val="0053021F"/>
    <w:rsid w:val="00530892"/>
    <w:rsid w:val="00532079"/>
    <w:rsid w:val="00533261"/>
    <w:rsid w:val="00533732"/>
    <w:rsid w:val="00534071"/>
    <w:rsid w:val="0053448E"/>
    <w:rsid w:val="005347C1"/>
    <w:rsid w:val="00534FEC"/>
    <w:rsid w:val="00535676"/>
    <w:rsid w:val="00535885"/>
    <w:rsid w:val="005358F7"/>
    <w:rsid w:val="00535913"/>
    <w:rsid w:val="0053605F"/>
    <w:rsid w:val="0053610D"/>
    <w:rsid w:val="00536EE0"/>
    <w:rsid w:val="00536FB3"/>
    <w:rsid w:val="005372C5"/>
    <w:rsid w:val="005400C9"/>
    <w:rsid w:val="00540754"/>
    <w:rsid w:val="0054079E"/>
    <w:rsid w:val="00540A84"/>
    <w:rsid w:val="005413BE"/>
    <w:rsid w:val="005419A0"/>
    <w:rsid w:val="00542002"/>
    <w:rsid w:val="00542CC1"/>
    <w:rsid w:val="0054386B"/>
    <w:rsid w:val="005439EC"/>
    <w:rsid w:val="0054449E"/>
    <w:rsid w:val="005445A0"/>
    <w:rsid w:val="00545136"/>
    <w:rsid w:val="005452DE"/>
    <w:rsid w:val="005453CF"/>
    <w:rsid w:val="00546D55"/>
    <w:rsid w:val="005471E0"/>
    <w:rsid w:val="00547437"/>
    <w:rsid w:val="00547D17"/>
    <w:rsid w:val="00547F0D"/>
    <w:rsid w:val="005509D8"/>
    <w:rsid w:val="00551006"/>
    <w:rsid w:val="005515C3"/>
    <w:rsid w:val="00551912"/>
    <w:rsid w:val="005554EF"/>
    <w:rsid w:val="005556DE"/>
    <w:rsid w:val="00556383"/>
    <w:rsid w:val="00556B5E"/>
    <w:rsid w:val="005573C0"/>
    <w:rsid w:val="00557570"/>
    <w:rsid w:val="00557EDB"/>
    <w:rsid w:val="00557FF0"/>
    <w:rsid w:val="005606C2"/>
    <w:rsid w:val="00560A2D"/>
    <w:rsid w:val="00560AA3"/>
    <w:rsid w:val="00561031"/>
    <w:rsid w:val="00561735"/>
    <w:rsid w:val="005619BC"/>
    <w:rsid w:val="00561B8C"/>
    <w:rsid w:val="00562A63"/>
    <w:rsid w:val="00562E80"/>
    <w:rsid w:val="0056385F"/>
    <w:rsid w:val="005638FD"/>
    <w:rsid w:val="00563CFC"/>
    <w:rsid w:val="00563D87"/>
    <w:rsid w:val="005641E4"/>
    <w:rsid w:val="005646DB"/>
    <w:rsid w:val="00564940"/>
    <w:rsid w:val="00564BF4"/>
    <w:rsid w:val="005663DA"/>
    <w:rsid w:val="00566769"/>
    <w:rsid w:val="00567F36"/>
    <w:rsid w:val="00570709"/>
    <w:rsid w:val="0057074E"/>
    <w:rsid w:val="0057075F"/>
    <w:rsid w:val="005714F3"/>
    <w:rsid w:val="005720A8"/>
    <w:rsid w:val="00572911"/>
    <w:rsid w:val="00572F62"/>
    <w:rsid w:val="0057317B"/>
    <w:rsid w:val="005732C0"/>
    <w:rsid w:val="0057351B"/>
    <w:rsid w:val="00573B10"/>
    <w:rsid w:val="00573ED0"/>
    <w:rsid w:val="0057420F"/>
    <w:rsid w:val="00575DF2"/>
    <w:rsid w:val="00575F39"/>
    <w:rsid w:val="00576437"/>
    <w:rsid w:val="005767B4"/>
    <w:rsid w:val="005767E0"/>
    <w:rsid w:val="00576D3D"/>
    <w:rsid w:val="00576E97"/>
    <w:rsid w:val="0057710D"/>
    <w:rsid w:val="00577963"/>
    <w:rsid w:val="00580264"/>
    <w:rsid w:val="00580997"/>
    <w:rsid w:val="00581394"/>
    <w:rsid w:val="005813EF"/>
    <w:rsid w:val="0058240A"/>
    <w:rsid w:val="00582B61"/>
    <w:rsid w:val="00583687"/>
    <w:rsid w:val="005838D9"/>
    <w:rsid w:val="0058399D"/>
    <w:rsid w:val="0058498B"/>
    <w:rsid w:val="00585004"/>
    <w:rsid w:val="00585565"/>
    <w:rsid w:val="0058604A"/>
    <w:rsid w:val="00586527"/>
    <w:rsid w:val="00586C32"/>
    <w:rsid w:val="00586D97"/>
    <w:rsid w:val="00587B05"/>
    <w:rsid w:val="00587D3E"/>
    <w:rsid w:val="00590F0F"/>
    <w:rsid w:val="00590FDB"/>
    <w:rsid w:val="00591174"/>
    <w:rsid w:val="00591223"/>
    <w:rsid w:val="005932EF"/>
    <w:rsid w:val="005950A8"/>
    <w:rsid w:val="0059607F"/>
    <w:rsid w:val="00596DC0"/>
    <w:rsid w:val="00597427"/>
    <w:rsid w:val="005979C0"/>
    <w:rsid w:val="00597FE6"/>
    <w:rsid w:val="005A03CB"/>
    <w:rsid w:val="005A10FE"/>
    <w:rsid w:val="005A1346"/>
    <w:rsid w:val="005A137C"/>
    <w:rsid w:val="005A191F"/>
    <w:rsid w:val="005A1DF3"/>
    <w:rsid w:val="005A2AD8"/>
    <w:rsid w:val="005A313A"/>
    <w:rsid w:val="005A373D"/>
    <w:rsid w:val="005A40F9"/>
    <w:rsid w:val="005A41B7"/>
    <w:rsid w:val="005A490F"/>
    <w:rsid w:val="005A589F"/>
    <w:rsid w:val="005A5F95"/>
    <w:rsid w:val="005A5FB0"/>
    <w:rsid w:val="005A6065"/>
    <w:rsid w:val="005A64B9"/>
    <w:rsid w:val="005A6BA7"/>
    <w:rsid w:val="005A6BF2"/>
    <w:rsid w:val="005A6F67"/>
    <w:rsid w:val="005A730A"/>
    <w:rsid w:val="005B016C"/>
    <w:rsid w:val="005B0318"/>
    <w:rsid w:val="005B0D92"/>
    <w:rsid w:val="005B15FE"/>
    <w:rsid w:val="005B1AD2"/>
    <w:rsid w:val="005B2EC0"/>
    <w:rsid w:val="005B3949"/>
    <w:rsid w:val="005B4519"/>
    <w:rsid w:val="005B4CC9"/>
    <w:rsid w:val="005B5001"/>
    <w:rsid w:val="005B504A"/>
    <w:rsid w:val="005B53BE"/>
    <w:rsid w:val="005B5B14"/>
    <w:rsid w:val="005B6AFD"/>
    <w:rsid w:val="005B7E78"/>
    <w:rsid w:val="005C0EC4"/>
    <w:rsid w:val="005C1367"/>
    <w:rsid w:val="005C241A"/>
    <w:rsid w:val="005C26BC"/>
    <w:rsid w:val="005C35B4"/>
    <w:rsid w:val="005C3CA9"/>
    <w:rsid w:val="005C4590"/>
    <w:rsid w:val="005C4814"/>
    <w:rsid w:val="005C4E73"/>
    <w:rsid w:val="005C501A"/>
    <w:rsid w:val="005C5628"/>
    <w:rsid w:val="005C59C3"/>
    <w:rsid w:val="005C5D84"/>
    <w:rsid w:val="005C611D"/>
    <w:rsid w:val="005C691B"/>
    <w:rsid w:val="005D05C3"/>
    <w:rsid w:val="005D0824"/>
    <w:rsid w:val="005D2D41"/>
    <w:rsid w:val="005D3AE9"/>
    <w:rsid w:val="005D3DD7"/>
    <w:rsid w:val="005D3E4F"/>
    <w:rsid w:val="005D46ED"/>
    <w:rsid w:val="005D5D70"/>
    <w:rsid w:val="005D618E"/>
    <w:rsid w:val="005D6B43"/>
    <w:rsid w:val="005D7B1A"/>
    <w:rsid w:val="005D7F31"/>
    <w:rsid w:val="005E09C7"/>
    <w:rsid w:val="005E2678"/>
    <w:rsid w:val="005E279C"/>
    <w:rsid w:val="005E2993"/>
    <w:rsid w:val="005E2A66"/>
    <w:rsid w:val="005E2C8E"/>
    <w:rsid w:val="005E2E40"/>
    <w:rsid w:val="005E357A"/>
    <w:rsid w:val="005E3DF5"/>
    <w:rsid w:val="005E3E79"/>
    <w:rsid w:val="005E3EE7"/>
    <w:rsid w:val="005E46AB"/>
    <w:rsid w:val="005E50C5"/>
    <w:rsid w:val="005E679B"/>
    <w:rsid w:val="005E7174"/>
    <w:rsid w:val="005E758A"/>
    <w:rsid w:val="005E7F95"/>
    <w:rsid w:val="005F0BDA"/>
    <w:rsid w:val="005F0F4F"/>
    <w:rsid w:val="005F11BB"/>
    <w:rsid w:val="005F123A"/>
    <w:rsid w:val="005F195B"/>
    <w:rsid w:val="005F2749"/>
    <w:rsid w:val="005F28C6"/>
    <w:rsid w:val="005F3066"/>
    <w:rsid w:val="005F31E9"/>
    <w:rsid w:val="005F3CFF"/>
    <w:rsid w:val="005F4735"/>
    <w:rsid w:val="005F4DA4"/>
    <w:rsid w:val="005F54EB"/>
    <w:rsid w:val="005F60AC"/>
    <w:rsid w:val="005F7CDA"/>
    <w:rsid w:val="006002E4"/>
    <w:rsid w:val="006005B4"/>
    <w:rsid w:val="006006DB"/>
    <w:rsid w:val="006007F0"/>
    <w:rsid w:val="00600E88"/>
    <w:rsid w:val="0060167A"/>
    <w:rsid w:val="00602DF3"/>
    <w:rsid w:val="00602E40"/>
    <w:rsid w:val="006042F7"/>
    <w:rsid w:val="00604BD4"/>
    <w:rsid w:val="0060511A"/>
    <w:rsid w:val="00605ABA"/>
    <w:rsid w:val="00605E5A"/>
    <w:rsid w:val="0060603F"/>
    <w:rsid w:val="0060689E"/>
    <w:rsid w:val="00607F6B"/>
    <w:rsid w:val="006109A2"/>
    <w:rsid w:val="00612992"/>
    <w:rsid w:val="00612BEB"/>
    <w:rsid w:val="00613548"/>
    <w:rsid w:val="006136FC"/>
    <w:rsid w:val="006138E5"/>
    <w:rsid w:val="00615157"/>
    <w:rsid w:val="00615519"/>
    <w:rsid w:val="00615CC0"/>
    <w:rsid w:val="00615E70"/>
    <w:rsid w:val="00616356"/>
    <w:rsid w:val="006166D1"/>
    <w:rsid w:val="0061786E"/>
    <w:rsid w:val="00617AF6"/>
    <w:rsid w:val="00620755"/>
    <w:rsid w:val="00620CE7"/>
    <w:rsid w:val="006211B3"/>
    <w:rsid w:val="00622225"/>
    <w:rsid w:val="00622542"/>
    <w:rsid w:val="006255DB"/>
    <w:rsid w:val="00625C2E"/>
    <w:rsid w:val="00625E1A"/>
    <w:rsid w:val="00626276"/>
    <w:rsid w:val="00627908"/>
    <w:rsid w:val="006309DC"/>
    <w:rsid w:val="00630E73"/>
    <w:rsid w:val="006312CC"/>
    <w:rsid w:val="00631D33"/>
    <w:rsid w:val="00632163"/>
    <w:rsid w:val="006327B4"/>
    <w:rsid w:val="0063304D"/>
    <w:rsid w:val="00633449"/>
    <w:rsid w:val="00633F94"/>
    <w:rsid w:val="00634257"/>
    <w:rsid w:val="00635333"/>
    <w:rsid w:val="00635705"/>
    <w:rsid w:val="00635B31"/>
    <w:rsid w:val="00636042"/>
    <w:rsid w:val="006362E0"/>
    <w:rsid w:val="00636799"/>
    <w:rsid w:val="00636A95"/>
    <w:rsid w:val="00636C8C"/>
    <w:rsid w:val="006370F3"/>
    <w:rsid w:val="00640933"/>
    <w:rsid w:val="00640BDC"/>
    <w:rsid w:val="006411A7"/>
    <w:rsid w:val="0064163F"/>
    <w:rsid w:val="006417B1"/>
    <w:rsid w:val="00642D9E"/>
    <w:rsid w:val="00642FB4"/>
    <w:rsid w:val="00642FCB"/>
    <w:rsid w:val="006436DE"/>
    <w:rsid w:val="00643D49"/>
    <w:rsid w:val="00643EB6"/>
    <w:rsid w:val="0064524D"/>
    <w:rsid w:val="00645254"/>
    <w:rsid w:val="00645699"/>
    <w:rsid w:val="006458E7"/>
    <w:rsid w:val="00645AA4"/>
    <w:rsid w:val="006461EC"/>
    <w:rsid w:val="006462B5"/>
    <w:rsid w:val="00647E03"/>
    <w:rsid w:val="006500B6"/>
    <w:rsid w:val="00650B31"/>
    <w:rsid w:val="006518D2"/>
    <w:rsid w:val="0065264F"/>
    <w:rsid w:val="00652B99"/>
    <w:rsid w:val="00652D54"/>
    <w:rsid w:val="006557F1"/>
    <w:rsid w:val="0065593B"/>
    <w:rsid w:val="0065619A"/>
    <w:rsid w:val="00656C4A"/>
    <w:rsid w:val="00656DD4"/>
    <w:rsid w:val="006579E3"/>
    <w:rsid w:val="00660885"/>
    <w:rsid w:val="00660EC6"/>
    <w:rsid w:val="00661477"/>
    <w:rsid w:val="006615BF"/>
    <w:rsid w:val="00662AFF"/>
    <w:rsid w:val="00662E72"/>
    <w:rsid w:val="0066400F"/>
    <w:rsid w:val="006645CA"/>
    <w:rsid w:val="00664703"/>
    <w:rsid w:val="00664F59"/>
    <w:rsid w:val="00664FCA"/>
    <w:rsid w:val="00665A86"/>
    <w:rsid w:val="00665B3C"/>
    <w:rsid w:val="00665EA9"/>
    <w:rsid w:val="00666B68"/>
    <w:rsid w:val="00667867"/>
    <w:rsid w:val="0066787C"/>
    <w:rsid w:val="00671714"/>
    <w:rsid w:val="0067220F"/>
    <w:rsid w:val="0067228A"/>
    <w:rsid w:val="00672839"/>
    <w:rsid w:val="00672B14"/>
    <w:rsid w:val="006730B4"/>
    <w:rsid w:val="0067497F"/>
    <w:rsid w:val="00675195"/>
    <w:rsid w:val="00676858"/>
    <w:rsid w:val="00676E2B"/>
    <w:rsid w:val="00677044"/>
    <w:rsid w:val="0068004D"/>
    <w:rsid w:val="00680FA7"/>
    <w:rsid w:val="00681AAE"/>
    <w:rsid w:val="00681BEB"/>
    <w:rsid w:val="006825B7"/>
    <w:rsid w:val="006828FC"/>
    <w:rsid w:val="006831E9"/>
    <w:rsid w:val="00683889"/>
    <w:rsid w:val="00683F13"/>
    <w:rsid w:val="00684236"/>
    <w:rsid w:val="00684420"/>
    <w:rsid w:val="00684B1B"/>
    <w:rsid w:val="00684E61"/>
    <w:rsid w:val="00685541"/>
    <w:rsid w:val="00687317"/>
    <w:rsid w:val="006875F4"/>
    <w:rsid w:val="00687A6F"/>
    <w:rsid w:val="00691046"/>
    <w:rsid w:val="00691126"/>
    <w:rsid w:val="006914B0"/>
    <w:rsid w:val="006919D6"/>
    <w:rsid w:val="00691D0A"/>
    <w:rsid w:val="00691E90"/>
    <w:rsid w:val="006923F3"/>
    <w:rsid w:val="0069249D"/>
    <w:rsid w:val="00692985"/>
    <w:rsid w:val="0069333F"/>
    <w:rsid w:val="0069478F"/>
    <w:rsid w:val="0069492C"/>
    <w:rsid w:val="006950EB"/>
    <w:rsid w:val="006965C1"/>
    <w:rsid w:val="0069674F"/>
    <w:rsid w:val="00696B89"/>
    <w:rsid w:val="0069784D"/>
    <w:rsid w:val="006978E9"/>
    <w:rsid w:val="006A0DD3"/>
    <w:rsid w:val="006A100A"/>
    <w:rsid w:val="006A11A1"/>
    <w:rsid w:val="006A1B4B"/>
    <w:rsid w:val="006A1DFA"/>
    <w:rsid w:val="006A2BE5"/>
    <w:rsid w:val="006A3814"/>
    <w:rsid w:val="006A3C66"/>
    <w:rsid w:val="006A3E94"/>
    <w:rsid w:val="006A4115"/>
    <w:rsid w:val="006A4327"/>
    <w:rsid w:val="006A4EAD"/>
    <w:rsid w:val="006A53D8"/>
    <w:rsid w:val="006A559B"/>
    <w:rsid w:val="006A5DA5"/>
    <w:rsid w:val="006A5DE5"/>
    <w:rsid w:val="006A61CB"/>
    <w:rsid w:val="006A6DB6"/>
    <w:rsid w:val="006A7130"/>
    <w:rsid w:val="006A7EBD"/>
    <w:rsid w:val="006B046F"/>
    <w:rsid w:val="006B0984"/>
    <w:rsid w:val="006B1068"/>
    <w:rsid w:val="006B2BDA"/>
    <w:rsid w:val="006B3143"/>
    <w:rsid w:val="006B3923"/>
    <w:rsid w:val="006B398A"/>
    <w:rsid w:val="006B3A2D"/>
    <w:rsid w:val="006B3EE5"/>
    <w:rsid w:val="006B4E36"/>
    <w:rsid w:val="006B57B5"/>
    <w:rsid w:val="006B5DF2"/>
    <w:rsid w:val="006B6250"/>
    <w:rsid w:val="006B6511"/>
    <w:rsid w:val="006B6E15"/>
    <w:rsid w:val="006B7253"/>
    <w:rsid w:val="006B7ECD"/>
    <w:rsid w:val="006C1014"/>
    <w:rsid w:val="006C2467"/>
    <w:rsid w:val="006C2961"/>
    <w:rsid w:val="006C2FBD"/>
    <w:rsid w:val="006C307B"/>
    <w:rsid w:val="006C35EF"/>
    <w:rsid w:val="006C3700"/>
    <w:rsid w:val="006C3976"/>
    <w:rsid w:val="006C3DD5"/>
    <w:rsid w:val="006C4F43"/>
    <w:rsid w:val="006C56A0"/>
    <w:rsid w:val="006C79E0"/>
    <w:rsid w:val="006D0322"/>
    <w:rsid w:val="006D0E05"/>
    <w:rsid w:val="006D1E77"/>
    <w:rsid w:val="006D1FA4"/>
    <w:rsid w:val="006D2F55"/>
    <w:rsid w:val="006D2FC1"/>
    <w:rsid w:val="006D30A1"/>
    <w:rsid w:val="006D3572"/>
    <w:rsid w:val="006D3ABC"/>
    <w:rsid w:val="006D3C00"/>
    <w:rsid w:val="006D488B"/>
    <w:rsid w:val="006D48AD"/>
    <w:rsid w:val="006D5E48"/>
    <w:rsid w:val="006D6964"/>
    <w:rsid w:val="006D6D68"/>
    <w:rsid w:val="006E0993"/>
    <w:rsid w:val="006E0F20"/>
    <w:rsid w:val="006E1951"/>
    <w:rsid w:val="006E2120"/>
    <w:rsid w:val="006E33F3"/>
    <w:rsid w:val="006E5231"/>
    <w:rsid w:val="006E52D4"/>
    <w:rsid w:val="006E5592"/>
    <w:rsid w:val="006E5EDE"/>
    <w:rsid w:val="006E6383"/>
    <w:rsid w:val="006E6B18"/>
    <w:rsid w:val="006E7708"/>
    <w:rsid w:val="006F0A05"/>
    <w:rsid w:val="006F0FFE"/>
    <w:rsid w:val="006F2039"/>
    <w:rsid w:val="006F23F7"/>
    <w:rsid w:val="006F30ED"/>
    <w:rsid w:val="006F3392"/>
    <w:rsid w:val="006F40C4"/>
    <w:rsid w:val="006F556E"/>
    <w:rsid w:val="006F5BA0"/>
    <w:rsid w:val="006F60A9"/>
    <w:rsid w:val="006F62E3"/>
    <w:rsid w:val="006F6687"/>
    <w:rsid w:val="006F7473"/>
    <w:rsid w:val="0070037D"/>
    <w:rsid w:val="00700856"/>
    <w:rsid w:val="00700F6E"/>
    <w:rsid w:val="00701D0E"/>
    <w:rsid w:val="00703ED9"/>
    <w:rsid w:val="007043FA"/>
    <w:rsid w:val="00704DB4"/>
    <w:rsid w:val="007057AB"/>
    <w:rsid w:val="0070596E"/>
    <w:rsid w:val="00705BE2"/>
    <w:rsid w:val="007067D7"/>
    <w:rsid w:val="00707866"/>
    <w:rsid w:val="007100E6"/>
    <w:rsid w:val="00710381"/>
    <w:rsid w:val="00710641"/>
    <w:rsid w:val="00712EF4"/>
    <w:rsid w:val="00712FEA"/>
    <w:rsid w:val="00713515"/>
    <w:rsid w:val="00713B4D"/>
    <w:rsid w:val="00714204"/>
    <w:rsid w:val="0071431B"/>
    <w:rsid w:val="0071466D"/>
    <w:rsid w:val="007147D0"/>
    <w:rsid w:val="00714830"/>
    <w:rsid w:val="00715190"/>
    <w:rsid w:val="00715CC0"/>
    <w:rsid w:val="0071671D"/>
    <w:rsid w:val="007177F8"/>
    <w:rsid w:val="0071796A"/>
    <w:rsid w:val="00717B5E"/>
    <w:rsid w:val="00717BE4"/>
    <w:rsid w:val="00717DC8"/>
    <w:rsid w:val="00720044"/>
    <w:rsid w:val="007219AC"/>
    <w:rsid w:val="00721D68"/>
    <w:rsid w:val="00722495"/>
    <w:rsid w:val="00722C5E"/>
    <w:rsid w:val="007233D6"/>
    <w:rsid w:val="007246EE"/>
    <w:rsid w:val="00724EE7"/>
    <w:rsid w:val="00724FD1"/>
    <w:rsid w:val="00725900"/>
    <w:rsid w:val="00725D25"/>
    <w:rsid w:val="007266F6"/>
    <w:rsid w:val="00726A2C"/>
    <w:rsid w:val="00726CDA"/>
    <w:rsid w:val="00727317"/>
    <w:rsid w:val="007273BC"/>
    <w:rsid w:val="00727792"/>
    <w:rsid w:val="00730815"/>
    <w:rsid w:val="00730A8D"/>
    <w:rsid w:val="00730EB2"/>
    <w:rsid w:val="00731AE8"/>
    <w:rsid w:val="00733044"/>
    <w:rsid w:val="00733765"/>
    <w:rsid w:val="00733F53"/>
    <w:rsid w:val="00734809"/>
    <w:rsid w:val="007351E0"/>
    <w:rsid w:val="0073591E"/>
    <w:rsid w:val="00735DDE"/>
    <w:rsid w:val="0073601F"/>
    <w:rsid w:val="0073742C"/>
    <w:rsid w:val="00737A25"/>
    <w:rsid w:val="00737DB9"/>
    <w:rsid w:val="00737FEE"/>
    <w:rsid w:val="00740429"/>
    <w:rsid w:val="00740EBD"/>
    <w:rsid w:val="0074109B"/>
    <w:rsid w:val="007411FE"/>
    <w:rsid w:val="0074331D"/>
    <w:rsid w:val="007436F2"/>
    <w:rsid w:val="00743850"/>
    <w:rsid w:val="007441BA"/>
    <w:rsid w:val="007445A0"/>
    <w:rsid w:val="00744656"/>
    <w:rsid w:val="00744CFA"/>
    <w:rsid w:val="00745794"/>
    <w:rsid w:val="00745A3A"/>
    <w:rsid w:val="0074612A"/>
    <w:rsid w:val="007462A1"/>
    <w:rsid w:val="007477EF"/>
    <w:rsid w:val="00747EBA"/>
    <w:rsid w:val="00747FCA"/>
    <w:rsid w:val="007507E9"/>
    <w:rsid w:val="00751364"/>
    <w:rsid w:val="00751B1F"/>
    <w:rsid w:val="00751CE6"/>
    <w:rsid w:val="00751D41"/>
    <w:rsid w:val="007526AD"/>
    <w:rsid w:val="007529ED"/>
    <w:rsid w:val="00752DDA"/>
    <w:rsid w:val="00752EE5"/>
    <w:rsid w:val="00752F9F"/>
    <w:rsid w:val="00754C32"/>
    <w:rsid w:val="00754DAF"/>
    <w:rsid w:val="00755036"/>
    <w:rsid w:val="0075523A"/>
    <w:rsid w:val="0075538D"/>
    <w:rsid w:val="007553A4"/>
    <w:rsid w:val="00755680"/>
    <w:rsid w:val="00756921"/>
    <w:rsid w:val="007571D0"/>
    <w:rsid w:val="00757414"/>
    <w:rsid w:val="00757749"/>
    <w:rsid w:val="00757F2E"/>
    <w:rsid w:val="00760071"/>
    <w:rsid w:val="00760131"/>
    <w:rsid w:val="007604E6"/>
    <w:rsid w:val="007616E0"/>
    <w:rsid w:val="00761F34"/>
    <w:rsid w:val="00762005"/>
    <w:rsid w:val="00762488"/>
    <w:rsid w:val="0076282A"/>
    <w:rsid w:val="00762AD5"/>
    <w:rsid w:val="00763982"/>
    <w:rsid w:val="00764602"/>
    <w:rsid w:val="007662CB"/>
    <w:rsid w:val="007669BB"/>
    <w:rsid w:val="00767059"/>
    <w:rsid w:val="00767381"/>
    <w:rsid w:val="00767CC8"/>
    <w:rsid w:val="00767D1A"/>
    <w:rsid w:val="007703A7"/>
    <w:rsid w:val="00770E4C"/>
    <w:rsid w:val="00772E36"/>
    <w:rsid w:val="007738F3"/>
    <w:rsid w:val="00773952"/>
    <w:rsid w:val="0077404D"/>
    <w:rsid w:val="00774699"/>
    <w:rsid w:val="00774B95"/>
    <w:rsid w:val="00775015"/>
    <w:rsid w:val="00775F53"/>
    <w:rsid w:val="007760D2"/>
    <w:rsid w:val="00776799"/>
    <w:rsid w:val="00776839"/>
    <w:rsid w:val="00776A24"/>
    <w:rsid w:val="00777335"/>
    <w:rsid w:val="007802CD"/>
    <w:rsid w:val="007847B2"/>
    <w:rsid w:val="007848C4"/>
    <w:rsid w:val="007849E9"/>
    <w:rsid w:val="00784A9A"/>
    <w:rsid w:val="0078532C"/>
    <w:rsid w:val="00785691"/>
    <w:rsid w:val="00786205"/>
    <w:rsid w:val="0078666F"/>
    <w:rsid w:val="00786682"/>
    <w:rsid w:val="00786F33"/>
    <w:rsid w:val="0078712F"/>
    <w:rsid w:val="00787209"/>
    <w:rsid w:val="007876BC"/>
    <w:rsid w:val="00787795"/>
    <w:rsid w:val="00787D1F"/>
    <w:rsid w:val="007902DD"/>
    <w:rsid w:val="00790C6A"/>
    <w:rsid w:val="0079278E"/>
    <w:rsid w:val="00793161"/>
    <w:rsid w:val="00793C7E"/>
    <w:rsid w:val="00794548"/>
    <w:rsid w:val="0079493C"/>
    <w:rsid w:val="00794CBF"/>
    <w:rsid w:val="00795860"/>
    <w:rsid w:val="007959FF"/>
    <w:rsid w:val="0079678E"/>
    <w:rsid w:val="00797207"/>
    <w:rsid w:val="00797FEF"/>
    <w:rsid w:val="007A02B4"/>
    <w:rsid w:val="007A0FB2"/>
    <w:rsid w:val="007A1DC7"/>
    <w:rsid w:val="007A2011"/>
    <w:rsid w:val="007A3120"/>
    <w:rsid w:val="007A3F7C"/>
    <w:rsid w:val="007A402D"/>
    <w:rsid w:val="007A4931"/>
    <w:rsid w:val="007A55AF"/>
    <w:rsid w:val="007A5E3B"/>
    <w:rsid w:val="007A623F"/>
    <w:rsid w:val="007A737C"/>
    <w:rsid w:val="007B0301"/>
    <w:rsid w:val="007B0AAE"/>
    <w:rsid w:val="007B0BC1"/>
    <w:rsid w:val="007B0E2E"/>
    <w:rsid w:val="007B16DA"/>
    <w:rsid w:val="007B2302"/>
    <w:rsid w:val="007B2BBB"/>
    <w:rsid w:val="007B3078"/>
    <w:rsid w:val="007B3B54"/>
    <w:rsid w:val="007B4357"/>
    <w:rsid w:val="007B4668"/>
    <w:rsid w:val="007B46FB"/>
    <w:rsid w:val="007B4E72"/>
    <w:rsid w:val="007B5FCC"/>
    <w:rsid w:val="007B6243"/>
    <w:rsid w:val="007B741B"/>
    <w:rsid w:val="007B7CB2"/>
    <w:rsid w:val="007B7EF7"/>
    <w:rsid w:val="007C0029"/>
    <w:rsid w:val="007C0269"/>
    <w:rsid w:val="007C0C91"/>
    <w:rsid w:val="007C0FC9"/>
    <w:rsid w:val="007C15FD"/>
    <w:rsid w:val="007C19D8"/>
    <w:rsid w:val="007C39B3"/>
    <w:rsid w:val="007C39C0"/>
    <w:rsid w:val="007C3B1E"/>
    <w:rsid w:val="007C3B44"/>
    <w:rsid w:val="007C3F08"/>
    <w:rsid w:val="007C404E"/>
    <w:rsid w:val="007C46EE"/>
    <w:rsid w:val="007C4747"/>
    <w:rsid w:val="007C49D2"/>
    <w:rsid w:val="007C4B90"/>
    <w:rsid w:val="007C4C2A"/>
    <w:rsid w:val="007C7651"/>
    <w:rsid w:val="007C7C6B"/>
    <w:rsid w:val="007C7CD8"/>
    <w:rsid w:val="007C7D76"/>
    <w:rsid w:val="007D06D4"/>
    <w:rsid w:val="007D07DB"/>
    <w:rsid w:val="007D1330"/>
    <w:rsid w:val="007D1611"/>
    <w:rsid w:val="007D1740"/>
    <w:rsid w:val="007D2419"/>
    <w:rsid w:val="007D34BD"/>
    <w:rsid w:val="007D3806"/>
    <w:rsid w:val="007D488F"/>
    <w:rsid w:val="007D4925"/>
    <w:rsid w:val="007D4E6B"/>
    <w:rsid w:val="007D5F38"/>
    <w:rsid w:val="007E0015"/>
    <w:rsid w:val="007E052E"/>
    <w:rsid w:val="007E0B94"/>
    <w:rsid w:val="007E1139"/>
    <w:rsid w:val="007E1614"/>
    <w:rsid w:val="007E17DC"/>
    <w:rsid w:val="007E1908"/>
    <w:rsid w:val="007E1CE1"/>
    <w:rsid w:val="007E23F4"/>
    <w:rsid w:val="007E267B"/>
    <w:rsid w:val="007E2DAB"/>
    <w:rsid w:val="007E2E67"/>
    <w:rsid w:val="007E3E0F"/>
    <w:rsid w:val="007E49C1"/>
    <w:rsid w:val="007E5B45"/>
    <w:rsid w:val="007E6D4A"/>
    <w:rsid w:val="007E7208"/>
    <w:rsid w:val="007E7385"/>
    <w:rsid w:val="007E76B8"/>
    <w:rsid w:val="007E7AEA"/>
    <w:rsid w:val="007E7EE7"/>
    <w:rsid w:val="007F05FA"/>
    <w:rsid w:val="007F1086"/>
    <w:rsid w:val="007F3F37"/>
    <w:rsid w:val="007F5BB1"/>
    <w:rsid w:val="007F6350"/>
    <w:rsid w:val="007F6467"/>
    <w:rsid w:val="007F6583"/>
    <w:rsid w:val="00800134"/>
    <w:rsid w:val="008008AA"/>
    <w:rsid w:val="008008C0"/>
    <w:rsid w:val="008017C8"/>
    <w:rsid w:val="008020EA"/>
    <w:rsid w:val="0080430D"/>
    <w:rsid w:val="00804506"/>
    <w:rsid w:val="008056D8"/>
    <w:rsid w:val="008058CB"/>
    <w:rsid w:val="0080601C"/>
    <w:rsid w:val="008061BF"/>
    <w:rsid w:val="008063AF"/>
    <w:rsid w:val="00806AAD"/>
    <w:rsid w:val="0080747B"/>
    <w:rsid w:val="0080772A"/>
    <w:rsid w:val="00807811"/>
    <w:rsid w:val="008106AB"/>
    <w:rsid w:val="008109C0"/>
    <w:rsid w:val="00810AD5"/>
    <w:rsid w:val="00810B2E"/>
    <w:rsid w:val="00811808"/>
    <w:rsid w:val="008126B1"/>
    <w:rsid w:val="00812D61"/>
    <w:rsid w:val="00813966"/>
    <w:rsid w:val="00813AEF"/>
    <w:rsid w:val="0081401A"/>
    <w:rsid w:val="00814588"/>
    <w:rsid w:val="008145DD"/>
    <w:rsid w:val="00814B30"/>
    <w:rsid w:val="008151C8"/>
    <w:rsid w:val="00815758"/>
    <w:rsid w:val="0081576F"/>
    <w:rsid w:val="00816F56"/>
    <w:rsid w:val="00817E60"/>
    <w:rsid w:val="0082056B"/>
    <w:rsid w:val="008208B6"/>
    <w:rsid w:val="00820B16"/>
    <w:rsid w:val="00820E74"/>
    <w:rsid w:val="0082147F"/>
    <w:rsid w:val="0082180E"/>
    <w:rsid w:val="00822230"/>
    <w:rsid w:val="00823937"/>
    <w:rsid w:val="0082413A"/>
    <w:rsid w:val="0082428B"/>
    <w:rsid w:val="00824C3D"/>
    <w:rsid w:val="008252E7"/>
    <w:rsid w:val="00825682"/>
    <w:rsid w:val="0082644E"/>
    <w:rsid w:val="00826739"/>
    <w:rsid w:val="00826BBB"/>
    <w:rsid w:val="00826E0D"/>
    <w:rsid w:val="00826FBF"/>
    <w:rsid w:val="00827DD2"/>
    <w:rsid w:val="00827FAA"/>
    <w:rsid w:val="00832475"/>
    <w:rsid w:val="00832587"/>
    <w:rsid w:val="008333F9"/>
    <w:rsid w:val="00833A88"/>
    <w:rsid w:val="00833C1C"/>
    <w:rsid w:val="00834025"/>
    <w:rsid w:val="00834BD1"/>
    <w:rsid w:val="00834E38"/>
    <w:rsid w:val="00834F6B"/>
    <w:rsid w:val="0083540C"/>
    <w:rsid w:val="00836FB2"/>
    <w:rsid w:val="00837D3E"/>
    <w:rsid w:val="00837E3A"/>
    <w:rsid w:val="008401E9"/>
    <w:rsid w:val="008413E4"/>
    <w:rsid w:val="00841FE4"/>
    <w:rsid w:val="0084220F"/>
    <w:rsid w:val="00842768"/>
    <w:rsid w:val="00842D4A"/>
    <w:rsid w:val="00843B0D"/>
    <w:rsid w:val="00843BD9"/>
    <w:rsid w:val="00844DBE"/>
    <w:rsid w:val="0084512C"/>
    <w:rsid w:val="00845D2D"/>
    <w:rsid w:val="00846637"/>
    <w:rsid w:val="0084742F"/>
    <w:rsid w:val="008475E3"/>
    <w:rsid w:val="0084770C"/>
    <w:rsid w:val="00847D18"/>
    <w:rsid w:val="00847DA0"/>
    <w:rsid w:val="008500B2"/>
    <w:rsid w:val="00850E55"/>
    <w:rsid w:val="0085236D"/>
    <w:rsid w:val="008527C1"/>
    <w:rsid w:val="008533E1"/>
    <w:rsid w:val="008535F6"/>
    <w:rsid w:val="00854968"/>
    <w:rsid w:val="00854A43"/>
    <w:rsid w:val="0085587E"/>
    <w:rsid w:val="0085620D"/>
    <w:rsid w:val="008567E4"/>
    <w:rsid w:val="00857376"/>
    <w:rsid w:val="00857954"/>
    <w:rsid w:val="0086009A"/>
    <w:rsid w:val="008604B9"/>
    <w:rsid w:val="00860CFA"/>
    <w:rsid w:val="00861C3E"/>
    <w:rsid w:val="00863819"/>
    <w:rsid w:val="0086497E"/>
    <w:rsid w:val="00864BE6"/>
    <w:rsid w:val="00865EFC"/>
    <w:rsid w:val="00866405"/>
    <w:rsid w:val="00867022"/>
    <w:rsid w:val="00867A60"/>
    <w:rsid w:val="00867FFE"/>
    <w:rsid w:val="0087015A"/>
    <w:rsid w:val="00870438"/>
    <w:rsid w:val="008706FE"/>
    <w:rsid w:val="00871E6E"/>
    <w:rsid w:val="00871F0F"/>
    <w:rsid w:val="0087200B"/>
    <w:rsid w:val="008727C6"/>
    <w:rsid w:val="00872986"/>
    <w:rsid w:val="00872D56"/>
    <w:rsid w:val="0087397A"/>
    <w:rsid w:val="008743DA"/>
    <w:rsid w:val="00874593"/>
    <w:rsid w:val="00874A76"/>
    <w:rsid w:val="00874CF2"/>
    <w:rsid w:val="00874DA2"/>
    <w:rsid w:val="00876422"/>
    <w:rsid w:val="0088004E"/>
    <w:rsid w:val="00880CE2"/>
    <w:rsid w:val="00881EB8"/>
    <w:rsid w:val="008823FB"/>
    <w:rsid w:val="00884E4D"/>
    <w:rsid w:val="00886092"/>
    <w:rsid w:val="008863B6"/>
    <w:rsid w:val="00886D0B"/>
    <w:rsid w:val="0088704D"/>
    <w:rsid w:val="00887351"/>
    <w:rsid w:val="00887A54"/>
    <w:rsid w:val="00887BBD"/>
    <w:rsid w:val="0089030E"/>
    <w:rsid w:val="00890DA8"/>
    <w:rsid w:val="00891F8C"/>
    <w:rsid w:val="008935A5"/>
    <w:rsid w:val="008938A7"/>
    <w:rsid w:val="008939F2"/>
    <w:rsid w:val="00893B5B"/>
    <w:rsid w:val="008946EB"/>
    <w:rsid w:val="0089494D"/>
    <w:rsid w:val="00894C72"/>
    <w:rsid w:val="00895537"/>
    <w:rsid w:val="00895D79"/>
    <w:rsid w:val="008966C9"/>
    <w:rsid w:val="00896A8C"/>
    <w:rsid w:val="00896B04"/>
    <w:rsid w:val="00896F57"/>
    <w:rsid w:val="00897748"/>
    <w:rsid w:val="00897A3E"/>
    <w:rsid w:val="008A1471"/>
    <w:rsid w:val="008A1A2D"/>
    <w:rsid w:val="008A28C3"/>
    <w:rsid w:val="008A2EB2"/>
    <w:rsid w:val="008A2EDD"/>
    <w:rsid w:val="008A3349"/>
    <w:rsid w:val="008A3678"/>
    <w:rsid w:val="008A36A8"/>
    <w:rsid w:val="008A3873"/>
    <w:rsid w:val="008A3E6C"/>
    <w:rsid w:val="008A3FC7"/>
    <w:rsid w:val="008A473E"/>
    <w:rsid w:val="008A5A5D"/>
    <w:rsid w:val="008B007C"/>
    <w:rsid w:val="008B084A"/>
    <w:rsid w:val="008B1A84"/>
    <w:rsid w:val="008B1C3D"/>
    <w:rsid w:val="008B224F"/>
    <w:rsid w:val="008B2723"/>
    <w:rsid w:val="008B2A57"/>
    <w:rsid w:val="008B314B"/>
    <w:rsid w:val="008B42B4"/>
    <w:rsid w:val="008B4F17"/>
    <w:rsid w:val="008B5161"/>
    <w:rsid w:val="008B5C8D"/>
    <w:rsid w:val="008B5EBA"/>
    <w:rsid w:val="008B6672"/>
    <w:rsid w:val="008B6BAB"/>
    <w:rsid w:val="008B6C61"/>
    <w:rsid w:val="008B6E3F"/>
    <w:rsid w:val="008B7552"/>
    <w:rsid w:val="008C126D"/>
    <w:rsid w:val="008C135A"/>
    <w:rsid w:val="008C19E1"/>
    <w:rsid w:val="008C29C6"/>
    <w:rsid w:val="008C2F47"/>
    <w:rsid w:val="008C3203"/>
    <w:rsid w:val="008C4008"/>
    <w:rsid w:val="008C4297"/>
    <w:rsid w:val="008C48F8"/>
    <w:rsid w:val="008C4A27"/>
    <w:rsid w:val="008C4B2C"/>
    <w:rsid w:val="008C58A9"/>
    <w:rsid w:val="008C5B64"/>
    <w:rsid w:val="008C635C"/>
    <w:rsid w:val="008C65C2"/>
    <w:rsid w:val="008C6DC4"/>
    <w:rsid w:val="008C7288"/>
    <w:rsid w:val="008C7B1C"/>
    <w:rsid w:val="008C7CC0"/>
    <w:rsid w:val="008D2A88"/>
    <w:rsid w:val="008D2DCC"/>
    <w:rsid w:val="008D32B3"/>
    <w:rsid w:val="008D3BDF"/>
    <w:rsid w:val="008D468E"/>
    <w:rsid w:val="008D4C5C"/>
    <w:rsid w:val="008D55A9"/>
    <w:rsid w:val="008D6424"/>
    <w:rsid w:val="008D66A3"/>
    <w:rsid w:val="008D6D7C"/>
    <w:rsid w:val="008D7AA8"/>
    <w:rsid w:val="008D7EBD"/>
    <w:rsid w:val="008D7F4A"/>
    <w:rsid w:val="008E0054"/>
    <w:rsid w:val="008E0098"/>
    <w:rsid w:val="008E042B"/>
    <w:rsid w:val="008E0A04"/>
    <w:rsid w:val="008E10C0"/>
    <w:rsid w:val="008E1614"/>
    <w:rsid w:val="008E195C"/>
    <w:rsid w:val="008E1D59"/>
    <w:rsid w:val="008E24DD"/>
    <w:rsid w:val="008E26B1"/>
    <w:rsid w:val="008E2AD3"/>
    <w:rsid w:val="008E2E5D"/>
    <w:rsid w:val="008E35A1"/>
    <w:rsid w:val="008E4768"/>
    <w:rsid w:val="008E486A"/>
    <w:rsid w:val="008E4A0A"/>
    <w:rsid w:val="008E4C1C"/>
    <w:rsid w:val="008E58CA"/>
    <w:rsid w:val="008E6094"/>
    <w:rsid w:val="008E60EC"/>
    <w:rsid w:val="008E62A9"/>
    <w:rsid w:val="008E69A1"/>
    <w:rsid w:val="008E6CF5"/>
    <w:rsid w:val="008E70E1"/>
    <w:rsid w:val="008E7439"/>
    <w:rsid w:val="008E7475"/>
    <w:rsid w:val="008E7522"/>
    <w:rsid w:val="008E7D28"/>
    <w:rsid w:val="008F0436"/>
    <w:rsid w:val="008F0F78"/>
    <w:rsid w:val="008F308F"/>
    <w:rsid w:val="008F34DB"/>
    <w:rsid w:val="008F36F4"/>
    <w:rsid w:val="008F3E04"/>
    <w:rsid w:val="008F3FE7"/>
    <w:rsid w:val="008F4368"/>
    <w:rsid w:val="008F43C5"/>
    <w:rsid w:val="008F486B"/>
    <w:rsid w:val="008F4895"/>
    <w:rsid w:val="008F4CC4"/>
    <w:rsid w:val="008F4D07"/>
    <w:rsid w:val="008F58E7"/>
    <w:rsid w:val="008F5BAE"/>
    <w:rsid w:val="008F629A"/>
    <w:rsid w:val="008F638E"/>
    <w:rsid w:val="008F6635"/>
    <w:rsid w:val="008F678C"/>
    <w:rsid w:val="008F70FB"/>
    <w:rsid w:val="008F75C3"/>
    <w:rsid w:val="008F7762"/>
    <w:rsid w:val="00901389"/>
    <w:rsid w:val="00901424"/>
    <w:rsid w:val="0090187F"/>
    <w:rsid w:val="009019C3"/>
    <w:rsid w:val="0090262F"/>
    <w:rsid w:val="00903380"/>
    <w:rsid w:val="00903553"/>
    <w:rsid w:val="00904D99"/>
    <w:rsid w:val="009053CA"/>
    <w:rsid w:val="00907456"/>
    <w:rsid w:val="00907A0A"/>
    <w:rsid w:val="00910DCA"/>
    <w:rsid w:val="00910E97"/>
    <w:rsid w:val="009117C7"/>
    <w:rsid w:val="00911959"/>
    <w:rsid w:val="00911C25"/>
    <w:rsid w:val="00912042"/>
    <w:rsid w:val="0091226E"/>
    <w:rsid w:val="00912B45"/>
    <w:rsid w:val="0091330F"/>
    <w:rsid w:val="00913589"/>
    <w:rsid w:val="00913828"/>
    <w:rsid w:val="0091386F"/>
    <w:rsid w:val="00914745"/>
    <w:rsid w:val="00914D2D"/>
    <w:rsid w:val="00916C00"/>
    <w:rsid w:val="00916E10"/>
    <w:rsid w:val="009175FC"/>
    <w:rsid w:val="00917DF4"/>
    <w:rsid w:val="00920554"/>
    <w:rsid w:val="00920729"/>
    <w:rsid w:val="009209B7"/>
    <w:rsid w:val="009220EF"/>
    <w:rsid w:val="0092241E"/>
    <w:rsid w:val="009224C6"/>
    <w:rsid w:val="00923DC8"/>
    <w:rsid w:val="00924CEA"/>
    <w:rsid w:val="009250FD"/>
    <w:rsid w:val="00925258"/>
    <w:rsid w:val="00926EDF"/>
    <w:rsid w:val="009270BF"/>
    <w:rsid w:val="0092711F"/>
    <w:rsid w:val="00930C5A"/>
    <w:rsid w:val="00931446"/>
    <w:rsid w:val="00931AA5"/>
    <w:rsid w:val="00931C5F"/>
    <w:rsid w:val="009328D9"/>
    <w:rsid w:val="0093373A"/>
    <w:rsid w:val="0093429A"/>
    <w:rsid w:val="00934A0C"/>
    <w:rsid w:val="00934B6E"/>
    <w:rsid w:val="00934C19"/>
    <w:rsid w:val="00934CC9"/>
    <w:rsid w:val="00935258"/>
    <w:rsid w:val="00935DA4"/>
    <w:rsid w:val="0093708A"/>
    <w:rsid w:val="00937475"/>
    <w:rsid w:val="00940322"/>
    <w:rsid w:val="00940513"/>
    <w:rsid w:val="00940748"/>
    <w:rsid w:val="0094112D"/>
    <w:rsid w:val="00941549"/>
    <w:rsid w:val="00943ACD"/>
    <w:rsid w:val="0094434F"/>
    <w:rsid w:val="00944840"/>
    <w:rsid w:val="009450FA"/>
    <w:rsid w:val="00945618"/>
    <w:rsid w:val="009461D0"/>
    <w:rsid w:val="0094634A"/>
    <w:rsid w:val="009469DE"/>
    <w:rsid w:val="00946C23"/>
    <w:rsid w:val="00946C89"/>
    <w:rsid w:val="009477E0"/>
    <w:rsid w:val="009507ED"/>
    <w:rsid w:val="00950A7D"/>
    <w:rsid w:val="00950E2F"/>
    <w:rsid w:val="00951169"/>
    <w:rsid w:val="00952575"/>
    <w:rsid w:val="00952649"/>
    <w:rsid w:val="00952962"/>
    <w:rsid w:val="00952A37"/>
    <w:rsid w:val="00952CF7"/>
    <w:rsid w:val="00954439"/>
    <w:rsid w:val="009545FD"/>
    <w:rsid w:val="00954958"/>
    <w:rsid w:val="00954B12"/>
    <w:rsid w:val="0095527A"/>
    <w:rsid w:val="009562F0"/>
    <w:rsid w:val="00956664"/>
    <w:rsid w:val="00956903"/>
    <w:rsid w:val="00957D5E"/>
    <w:rsid w:val="00957DE8"/>
    <w:rsid w:val="00960D7D"/>
    <w:rsid w:val="00960F33"/>
    <w:rsid w:val="009611E8"/>
    <w:rsid w:val="00961320"/>
    <w:rsid w:val="009617C7"/>
    <w:rsid w:val="009630A4"/>
    <w:rsid w:val="009635D6"/>
    <w:rsid w:val="009654BE"/>
    <w:rsid w:val="009657FF"/>
    <w:rsid w:val="00966353"/>
    <w:rsid w:val="00967270"/>
    <w:rsid w:val="00967304"/>
    <w:rsid w:val="00967767"/>
    <w:rsid w:val="00967852"/>
    <w:rsid w:val="009702D5"/>
    <w:rsid w:val="0097280F"/>
    <w:rsid w:val="0097314B"/>
    <w:rsid w:val="0097596B"/>
    <w:rsid w:val="00975E89"/>
    <w:rsid w:val="009760B1"/>
    <w:rsid w:val="0097640E"/>
    <w:rsid w:val="00976AC9"/>
    <w:rsid w:val="00977393"/>
    <w:rsid w:val="009800B1"/>
    <w:rsid w:val="0098098F"/>
    <w:rsid w:val="0098136D"/>
    <w:rsid w:val="0098166A"/>
    <w:rsid w:val="00982630"/>
    <w:rsid w:val="009829C3"/>
    <w:rsid w:val="0098463B"/>
    <w:rsid w:val="00984677"/>
    <w:rsid w:val="00984AE8"/>
    <w:rsid w:val="00985E1C"/>
    <w:rsid w:val="00986731"/>
    <w:rsid w:val="009867FA"/>
    <w:rsid w:val="00987133"/>
    <w:rsid w:val="00987549"/>
    <w:rsid w:val="00987C06"/>
    <w:rsid w:val="009900D3"/>
    <w:rsid w:val="0099080E"/>
    <w:rsid w:val="00991135"/>
    <w:rsid w:val="00991D99"/>
    <w:rsid w:val="009920D2"/>
    <w:rsid w:val="0099212B"/>
    <w:rsid w:val="0099245A"/>
    <w:rsid w:val="00992ED4"/>
    <w:rsid w:val="00992FB0"/>
    <w:rsid w:val="009941C1"/>
    <w:rsid w:val="0099429E"/>
    <w:rsid w:val="00994AEF"/>
    <w:rsid w:val="00994D12"/>
    <w:rsid w:val="009950A4"/>
    <w:rsid w:val="009954F6"/>
    <w:rsid w:val="00995B51"/>
    <w:rsid w:val="00995DB2"/>
    <w:rsid w:val="00996B0B"/>
    <w:rsid w:val="00996B62"/>
    <w:rsid w:val="00996F69"/>
    <w:rsid w:val="009A056E"/>
    <w:rsid w:val="009A19D4"/>
    <w:rsid w:val="009A22DD"/>
    <w:rsid w:val="009A28A7"/>
    <w:rsid w:val="009A2EAF"/>
    <w:rsid w:val="009A3009"/>
    <w:rsid w:val="009A3B6D"/>
    <w:rsid w:val="009A3BCB"/>
    <w:rsid w:val="009A708A"/>
    <w:rsid w:val="009A734E"/>
    <w:rsid w:val="009A7C4A"/>
    <w:rsid w:val="009B0ABE"/>
    <w:rsid w:val="009B1D5D"/>
    <w:rsid w:val="009B2F57"/>
    <w:rsid w:val="009B33F8"/>
    <w:rsid w:val="009B41C0"/>
    <w:rsid w:val="009B4A68"/>
    <w:rsid w:val="009B5705"/>
    <w:rsid w:val="009B5802"/>
    <w:rsid w:val="009B716A"/>
    <w:rsid w:val="009B721F"/>
    <w:rsid w:val="009B7477"/>
    <w:rsid w:val="009B7723"/>
    <w:rsid w:val="009B7AB7"/>
    <w:rsid w:val="009B7EE3"/>
    <w:rsid w:val="009C0247"/>
    <w:rsid w:val="009C0ABB"/>
    <w:rsid w:val="009C0C95"/>
    <w:rsid w:val="009C0F4D"/>
    <w:rsid w:val="009C106F"/>
    <w:rsid w:val="009C123E"/>
    <w:rsid w:val="009C2336"/>
    <w:rsid w:val="009C26D9"/>
    <w:rsid w:val="009C340E"/>
    <w:rsid w:val="009C4E29"/>
    <w:rsid w:val="009C5886"/>
    <w:rsid w:val="009C5BBC"/>
    <w:rsid w:val="009C5D54"/>
    <w:rsid w:val="009C5E22"/>
    <w:rsid w:val="009C5FC7"/>
    <w:rsid w:val="009C60F2"/>
    <w:rsid w:val="009C6106"/>
    <w:rsid w:val="009C61C8"/>
    <w:rsid w:val="009C6652"/>
    <w:rsid w:val="009C6661"/>
    <w:rsid w:val="009D0C0C"/>
    <w:rsid w:val="009D0CD3"/>
    <w:rsid w:val="009D131C"/>
    <w:rsid w:val="009D14A9"/>
    <w:rsid w:val="009D1F4C"/>
    <w:rsid w:val="009D21DE"/>
    <w:rsid w:val="009D2426"/>
    <w:rsid w:val="009D242E"/>
    <w:rsid w:val="009D2A50"/>
    <w:rsid w:val="009D3203"/>
    <w:rsid w:val="009D37E7"/>
    <w:rsid w:val="009D4918"/>
    <w:rsid w:val="009D5083"/>
    <w:rsid w:val="009D5B7A"/>
    <w:rsid w:val="009D5DF7"/>
    <w:rsid w:val="009D69D5"/>
    <w:rsid w:val="009D6EFF"/>
    <w:rsid w:val="009D70D7"/>
    <w:rsid w:val="009D7978"/>
    <w:rsid w:val="009E11D8"/>
    <w:rsid w:val="009E26B7"/>
    <w:rsid w:val="009E2D4C"/>
    <w:rsid w:val="009E37D1"/>
    <w:rsid w:val="009E3B17"/>
    <w:rsid w:val="009E3D8C"/>
    <w:rsid w:val="009E40A0"/>
    <w:rsid w:val="009E4190"/>
    <w:rsid w:val="009E6581"/>
    <w:rsid w:val="009F058D"/>
    <w:rsid w:val="009F18FE"/>
    <w:rsid w:val="009F1D8D"/>
    <w:rsid w:val="009F2044"/>
    <w:rsid w:val="009F36FB"/>
    <w:rsid w:val="009F3E00"/>
    <w:rsid w:val="009F50A3"/>
    <w:rsid w:val="009F571E"/>
    <w:rsid w:val="009F6511"/>
    <w:rsid w:val="009F754B"/>
    <w:rsid w:val="00A00501"/>
    <w:rsid w:val="00A00D31"/>
    <w:rsid w:val="00A01089"/>
    <w:rsid w:val="00A01285"/>
    <w:rsid w:val="00A01320"/>
    <w:rsid w:val="00A01643"/>
    <w:rsid w:val="00A016DA"/>
    <w:rsid w:val="00A01763"/>
    <w:rsid w:val="00A025A7"/>
    <w:rsid w:val="00A031CB"/>
    <w:rsid w:val="00A04A0D"/>
    <w:rsid w:val="00A057D6"/>
    <w:rsid w:val="00A05AE5"/>
    <w:rsid w:val="00A060CD"/>
    <w:rsid w:val="00A060E2"/>
    <w:rsid w:val="00A06407"/>
    <w:rsid w:val="00A06571"/>
    <w:rsid w:val="00A06A6B"/>
    <w:rsid w:val="00A06D06"/>
    <w:rsid w:val="00A07F51"/>
    <w:rsid w:val="00A10716"/>
    <w:rsid w:val="00A10D18"/>
    <w:rsid w:val="00A11003"/>
    <w:rsid w:val="00A11EA9"/>
    <w:rsid w:val="00A127DB"/>
    <w:rsid w:val="00A12BA5"/>
    <w:rsid w:val="00A12C0E"/>
    <w:rsid w:val="00A12D39"/>
    <w:rsid w:val="00A14033"/>
    <w:rsid w:val="00A14452"/>
    <w:rsid w:val="00A1464C"/>
    <w:rsid w:val="00A150A6"/>
    <w:rsid w:val="00A15267"/>
    <w:rsid w:val="00A153CB"/>
    <w:rsid w:val="00A1588F"/>
    <w:rsid w:val="00A158E5"/>
    <w:rsid w:val="00A15B86"/>
    <w:rsid w:val="00A15F4C"/>
    <w:rsid w:val="00A15F76"/>
    <w:rsid w:val="00A16098"/>
    <w:rsid w:val="00A16616"/>
    <w:rsid w:val="00A17C5B"/>
    <w:rsid w:val="00A20462"/>
    <w:rsid w:val="00A20A6B"/>
    <w:rsid w:val="00A2199F"/>
    <w:rsid w:val="00A21BC3"/>
    <w:rsid w:val="00A21C89"/>
    <w:rsid w:val="00A229CE"/>
    <w:rsid w:val="00A230AA"/>
    <w:rsid w:val="00A2327C"/>
    <w:rsid w:val="00A23315"/>
    <w:rsid w:val="00A234E3"/>
    <w:rsid w:val="00A24830"/>
    <w:rsid w:val="00A2551B"/>
    <w:rsid w:val="00A2616C"/>
    <w:rsid w:val="00A3091A"/>
    <w:rsid w:val="00A30D28"/>
    <w:rsid w:val="00A31049"/>
    <w:rsid w:val="00A31962"/>
    <w:rsid w:val="00A319F4"/>
    <w:rsid w:val="00A324C9"/>
    <w:rsid w:val="00A327FC"/>
    <w:rsid w:val="00A34043"/>
    <w:rsid w:val="00A34742"/>
    <w:rsid w:val="00A35A18"/>
    <w:rsid w:val="00A36548"/>
    <w:rsid w:val="00A36B2C"/>
    <w:rsid w:val="00A371B0"/>
    <w:rsid w:val="00A3795B"/>
    <w:rsid w:val="00A41164"/>
    <w:rsid w:val="00A41287"/>
    <w:rsid w:val="00A41BC1"/>
    <w:rsid w:val="00A41E9A"/>
    <w:rsid w:val="00A4275B"/>
    <w:rsid w:val="00A42978"/>
    <w:rsid w:val="00A42A57"/>
    <w:rsid w:val="00A43667"/>
    <w:rsid w:val="00A438CA"/>
    <w:rsid w:val="00A43935"/>
    <w:rsid w:val="00A441BB"/>
    <w:rsid w:val="00A44242"/>
    <w:rsid w:val="00A44331"/>
    <w:rsid w:val="00A44361"/>
    <w:rsid w:val="00A44601"/>
    <w:rsid w:val="00A453F4"/>
    <w:rsid w:val="00A45AB2"/>
    <w:rsid w:val="00A45C09"/>
    <w:rsid w:val="00A466F8"/>
    <w:rsid w:val="00A467CF"/>
    <w:rsid w:val="00A474EC"/>
    <w:rsid w:val="00A50CB0"/>
    <w:rsid w:val="00A5109F"/>
    <w:rsid w:val="00A5141F"/>
    <w:rsid w:val="00A51668"/>
    <w:rsid w:val="00A51AE8"/>
    <w:rsid w:val="00A51B3E"/>
    <w:rsid w:val="00A51E3E"/>
    <w:rsid w:val="00A51F5F"/>
    <w:rsid w:val="00A53D0F"/>
    <w:rsid w:val="00A54131"/>
    <w:rsid w:val="00A54EE1"/>
    <w:rsid w:val="00A55082"/>
    <w:rsid w:val="00A550B7"/>
    <w:rsid w:val="00A562A3"/>
    <w:rsid w:val="00A569E9"/>
    <w:rsid w:val="00A572EE"/>
    <w:rsid w:val="00A57523"/>
    <w:rsid w:val="00A57C8F"/>
    <w:rsid w:val="00A60616"/>
    <w:rsid w:val="00A61110"/>
    <w:rsid w:val="00A61144"/>
    <w:rsid w:val="00A62414"/>
    <w:rsid w:val="00A62AB7"/>
    <w:rsid w:val="00A62F54"/>
    <w:rsid w:val="00A63055"/>
    <w:rsid w:val="00A633A6"/>
    <w:rsid w:val="00A63716"/>
    <w:rsid w:val="00A6412E"/>
    <w:rsid w:val="00A642A7"/>
    <w:rsid w:val="00A64D8A"/>
    <w:rsid w:val="00A6542F"/>
    <w:rsid w:val="00A658D3"/>
    <w:rsid w:val="00A66959"/>
    <w:rsid w:val="00A67714"/>
    <w:rsid w:val="00A70635"/>
    <w:rsid w:val="00A707DA"/>
    <w:rsid w:val="00A709D3"/>
    <w:rsid w:val="00A70E56"/>
    <w:rsid w:val="00A713ED"/>
    <w:rsid w:val="00A72040"/>
    <w:rsid w:val="00A721D5"/>
    <w:rsid w:val="00A72AF3"/>
    <w:rsid w:val="00A73438"/>
    <w:rsid w:val="00A734E4"/>
    <w:rsid w:val="00A7377E"/>
    <w:rsid w:val="00A74DCE"/>
    <w:rsid w:val="00A757B9"/>
    <w:rsid w:val="00A765A6"/>
    <w:rsid w:val="00A766B2"/>
    <w:rsid w:val="00A779F8"/>
    <w:rsid w:val="00A77E6F"/>
    <w:rsid w:val="00A80038"/>
    <w:rsid w:val="00A807D5"/>
    <w:rsid w:val="00A80E40"/>
    <w:rsid w:val="00A81043"/>
    <w:rsid w:val="00A81A71"/>
    <w:rsid w:val="00A82A18"/>
    <w:rsid w:val="00A82B80"/>
    <w:rsid w:val="00A83155"/>
    <w:rsid w:val="00A831B8"/>
    <w:rsid w:val="00A834C7"/>
    <w:rsid w:val="00A846EB"/>
    <w:rsid w:val="00A8495B"/>
    <w:rsid w:val="00A84F5A"/>
    <w:rsid w:val="00A8604B"/>
    <w:rsid w:val="00A865C2"/>
    <w:rsid w:val="00A8692E"/>
    <w:rsid w:val="00A86FF9"/>
    <w:rsid w:val="00A8714F"/>
    <w:rsid w:val="00A87973"/>
    <w:rsid w:val="00A90248"/>
    <w:rsid w:val="00A90779"/>
    <w:rsid w:val="00A90B5A"/>
    <w:rsid w:val="00A911A3"/>
    <w:rsid w:val="00A9151C"/>
    <w:rsid w:val="00A923B4"/>
    <w:rsid w:val="00A92D4C"/>
    <w:rsid w:val="00A93E23"/>
    <w:rsid w:val="00A9437E"/>
    <w:rsid w:val="00A94AB3"/>
    <w:rsid w:val="00A94E51"/>
    <w:rsid w:val="00A950AB"/>
    <w:rsid w:val="00A9553A"/>
    <w:rsid w:val="00A95A71"/>
    <w:rsid w:val="00A97FB5"/>
    <w:rsid w:val="00AA000C"/>
    <w:rsid w:val="00AA00E2"/>
    <w:rsid w:val="00AA04F4"/>
    <w:rsid w:val="00AA15BB"/>
    <w:rsid w:val="00AA19E1"/>
    <w:rsid w:val="00AA2219"/>
    <w:rsid w:val="00AA293C"/>
    <w:rsid w:val="00AA2D04"/>
    <w:rsid w:val="00AA4318"/>
    <w:rsid w:val="00AA4460"/>
    <w:rsid w:val="00AA566B"/>
    <w:rsid w:val="00AA6FD4"/>
    <w:rsid w:val="00AA719F"/>
    <w:rsid w:val="00AA7A69"/>
    <w:rsid w:val="00AB019A"/>
    <w:rsid w:val="00AB0329"/>
    <w:rsid w:val="00AB0FE4"/>
    <w:rsid w:val="00AB1D67"/>
    <w:rsid w:val="00AB20A8"/>
    <w:rsid w:val="00AB2173"/>
    <w:rsid w:val="00AB2AF5"/>
    <w:rsid w:val="00AB2B43"/>
    <w:rsid w:val="00AB32BB"/>
    <w:rsid w:val="00AB495E"/>
    <w:rsid w:val="00AB4B30"/>
    <w:rsid w:val="00AB4B4E"/>
    <w:rsid w:val="00AB524C"/>
    <w:rsid w:val="00AB593C"/>
    <w:rsid w:val="00AB5E29"/>
    <w:rsid w:val="00AB6081"/>
    <w:rsid w:val="00AB61C1"/>
    <w:rsid w:val="00AB62B4"/>
    <w:rsid w:val="00AB685B"/>
    <w:rsid w:val="00AB6AFB"/>
    <w:rsid w:val="00AB7B2D"/>
    <w:rsid w:val="00AC01C2"/>
    <w:rsid w:val="00AC0ED2"/>
    <w:rsid w:val="00AC103A"/>
    <w:rsid w:val="00AC1228"/>
    <w:rsid w:val="00AC16AB"/>
    <w:rsid w:val="00AC1EE3"/>
    <w:rsid w:val="00AC21DD"/>
    <w:rsid w:val="00AC27D8"/>
    <w:rsid w:val="00AC2A78"/>
    <w:rsid w:val="00AC32B5"/>
    <w:rsid w:val="00AC3AC7"/>
    <w:rsid w:val="00AC3E54"/>
    <w:rsid w:val="00AC4E59"/>
    <w:rsid w:val="00AC53AB"/>
    <w:rsid w:val="00AC57C9"/>
    <w:rsid w:val="00AC62D5"/>
    <w:rsid w:val="00AC67ED"/>
    <w:rsid w:val="00AC73C5"/>
    <w:rsid w:val="00AC7A02"/>
    <w:rsid w:val="00AD000A"/>
    <w:rsid w:val="00AD1777"/>
    <w:rsid w:val="00AD1DCC"/>
    <w:rsid w:val="00AD2786"/>
    <w:rsid w:val="00AD2793"/>
    <w:rsid w:val="00AD32B3"/>
    <w:rsid w:val="00AD36E4"/>
    <w:rsid w:val="00AD3FB5"/>
    <w:rsid w:val="00AD401B"/>
    <w:rsid w:val="00AD4DC9"/>
    <w:rsid w:val="00AD576B"/>
    <w:rsid w:val="00AD6CAB"/>
    <w:rsid w:val="00AD6EBD"/>
    <w:rsid w:val="00AD6EC2"/>
    <w:rsid w:val="00AD73E3"/>
    <w:rsid w:val="00AD795F"/>
    <w:rsid w:val="00AD7BA5"/>
    <w:rsid w:val="00AD7D06"/>
    <w:rsid w:val="00AE0098"/>
    <w:rsid w:val="00AE09A6"/>
    <w:rsid w:val="00AE09F4"/>
    <w:rsid w:val="00AE2446"/>
    <w:rsid w:val="00AE5574"/>
    <w:rsid w:val="00AE55AC"/>
    <w:rsid w:val="00AE593A"/>
    <w:rsid w:val="00AE5DA3"/>
    <w:rsid w:val="00AE6BFD"/>
    <w:rsid w:val="00AE7E3E"/>
    <w:rsid w:val="00AE7ECE"/>
    <w:rsid w:val="00AF0965"/>
    <w:rsid w:val="00AF09BA"/>
    <w:rsid w:val="00AF0B24"/>
    <w:rsid w:val="00AF0BE9"/>
    <w:rsid w:val="00AF0CC4"/>
    <w:rsid w:val="00AF0DBD"/>
    <w:rsid w:val="00AF0DD2"/>
    <w:rsid w:val="00AF1870"/>
    <w:rsid w:val="00AF38DE"/>
    <w:rsid w:val="00AF41A9"/>
    <w:rsid w:val="00AF4A54"/>
    <w:rsid w:val="00AF4BE6"/>
    <w:rsid w:val="00AF4F9E"/>
    <w:rsid w:val="00AF5B53"/>
    <w:rsid w:val="00AF5F00"/>
    <w:rsid w:val="00AF6E44"/>
    <w:rsid w:val="00AF7029"/>
    <w:rsid w:val="00B01098"/>
    <w:rsid w:val="00B021CA"/>
    <w:rsid w:val="00B03889"/>
    <w:rsid w:val="00B03CBE"/>
    <w:rsid w:val="00B03DB7"/>
    <w:rsid w:val="00B03F3E"/>
    <w:rsid w:val="00B04235"/>
    <w:rsid w:val="00B04DF0"/>
    <w:rsid w:val="00B05072"/>
    <w:rsid w:val="00B05210"/>
    <w:rsid w:val="00B06C0F"/>
    <w:rsid w:val="00B06E5D"/>
    <w:rsid w:val="00B06F5E"/>
    <w:rsid w:val="00B1007F"/>
    <w:rsid w:val="00B1211D"/>
    <w:rsid w:val="00B12514"/>
    <w:rsid w:val="00B12583"/>
    <w:rsid w:val="00B125BC"/>
    <w:rsid w:val="00B12EF9"/>
    <w:rsid w:val="00B13CF5"/>
    <w:rsid w:val="00B13D97"/>
    <w:rsid w:val="00B13EF5"/>
    <w:rsid w:val="00B142A2"/>
    <w:rsid w:val="00B161BC"/>
    <w:rsid w:val="00B1746D"/>
    <w:rsid w:val="00B1759A"/>
    <w:rsid w:val="00B17A41"/>
    <w:rsid w:val="00B17E43"/>
    <w:rsid w:val="00B20A8D"/>
    <w:rsid w:val="00B21114"/>
    <w:rsid w:val="00B21DF1"/>
    <w:rsid w:val="00B21E43"/>
    <w:rsid w:val="00B22A9C"/>
    <w:rsid w:val="00B22F3D"/>
    <w:rsid w:val="00B22FAF"/>
    <w:rsid w:val="00B22FF0"/>
    <w:rsid w:val="00B2354D"/>
    <w:rsid w:val="00B237EF"/>
    <w:rsid w:val="00B23C14"/>
    <w:rsid w:val="00B23DFF"/>
    <w:rsid w:val="00B242A4"/>
    <w:rsid w:val="00B24C56"/>
    <w:rsid w:val="00B2552A"/>
    <w:rsid w:val="00B25ADA"/>
    <w:rsid w:val="00B27096"/>
    <w:rsid w:val="00B277FF"/>
    <w:rsid w:val="00B27FEE"/>
    <w:rsid w:val="00B301E0"/>
    <w:rsid w:val="00B30297"/>
    <w:rsid w:val="00B31B3C"/>
    <w:rsid w:val="00B31DA6"/>
    <w:rsid w:val="00B321A6"/>
    <w:rsid w:val="00B3271D"/>
    <w:rsid w:val="00B33424"/>
    <w:rsid w:val="00B33B28"/>
    <w:rsid w:val="00B33C71"/>
    <w:rsid w:val="00B34BBA"/>
    <w:rsid w:val="00B37D44"/>
    <w:rsid w:val="00B40648"/>
    <w:rsid w:val="00B417EC"/>
    <w:rsid w:val="00B41ECC"/>
    <w:rsid w:val="00B42473"/>
    <w:rsid w:val="00B42B5A"/>
    <w:rsid w:val="00B4394B"/>
    <w:rsid w:val="00B449C4"/>
    <w:rsid w:val="00B4512D"/>
    <w:rsid w:val="00B45867"/>
    <w:rsid w:val="00B45F40"/>
    <w:rsid w:val="00B45F5E"/>
    <w:rsid w:val="00B47151"/>
    <w:rsid w:val="00B47BF1"/>
    <w:rsid w:val="00B47C62"/>
    <w:rsid w:val="00B47E3F"/>
    <w:rsid w:val="00B50319"/>
    <w:rsid w:val="00B51CE2"/>
    <w:rsid w:val="00B53493"/>
    <w:rsid w:val="00B536EE"/>
    <w:rsid w:val="00B53C5B"/>
    <w:rsid w:val="00B53FF0"/>
    <w:rsid w:val="00B5510E"/>
    <w:rsid w:val="00B55D37"/>
    <w:rsid w:val="00B5732D"/>
    <w:rsid w:val="00B576BB"/>
    <w:rsid w:val="00B57A7A"/>
    <w:rsid w:val="00B60E78"/>
    <w:rsid w:val="00B6106A"/>
    <w:rsid w:val="00B6149F"/>
    <w:rsid w:val="00B61A6D"/>
    <w:rsid w:val="00B61C6A"/>
    <w:rsid w:val="00B62B04"/>
    <w:rsid w:val="00B62C40"/>
    <w:rsid w:val="00B63053"/>
    <w:rsid w:val="00B63513"/>
    <w:rsid w:val="00B6384A"/>
    <w:rsid w:val="00B6471F"/>
    <w:rsid w:val="00B649F4"/>
    <w:rsid w:val="00B64F95"/>
    <w:rsid w:val="00B651E5"/>
    <w:rsid w:val="00B65AE6"/>
    <w:rsid w:val="00B6738A"/>
    <w:rsid w:val="00B67684"/>
    <w:rsid w:val="00B67FD8"/>
    <w:rsid w:val="00B70B4D"/>
    <w:rsid w:val="00B70EB6"/>
    <w:rsid w:val="00B71013"/>
    <w:rsid w:val="00B71C3B"/>
    <w:rsid w:val="00B71CC7"/>
    <w:rsid w:val="00B723CB"/>
    <w:rsid w:val="00B72497"/>
    <w:rsid w:val="00B72653"/>
    <w:rsid w:val="00B72EF4"/>
    <w:rsid w:val="00B730D7"/>
    <w:rsid w:val="00B750D6"/>
    <w:rsid w:val="00B75958"/>
    <w:rsid w:val="00B75B4F"/>
    <w:rsid w:val="00B75E9C"/>
    <w:rsid w:val="00B75E9F"/>
    <w:rsid w:val="00B76780"/>
    <w:rsid w:val="00B77C09"/>
    <w:rsid w:val="00B809FE"/>
    <w:rsid w:val="00B810EA"/>
    <w:rsid w:val="00B81536"/>
    <w:rsid w:val="00B81847"/>
    <w:rsid w:val="00B82073"/>
    <w:rsid w:val="00B82421"/>
    <w:rsid w:val="00B82967"/>
    <w:rsid w:val="00B82973"/>
    <w:rsid w:val="00B83805"/>
    <w:rsid w:val="00B83C47"/>
    <w:rsid w:val="00B83ECF"/>
    <w:rsid w:val="00B843F6"/>
    <w:rsid w:val="00B84FDA"/>
    <w:rsid w:val="00B85BE3"/>
    <w:rsid w:val="00B861BB"/>
    <w:rsid w:val="00B8687D"/>
    <w:rsid w:val="00B86B28"/>
    <w:rsid w:val="00B8786E"/>
    <w:rsid w:val="00B87DAA"/>
    <w:rsid w:val="00B905C8"/>
    <w:rsid w:val="00B90FDF"/>
    <w:rsid w:val="00B91052"/>
    <w:rsid w:val="00B91AC7"/>
    <w:rsid w:val="00B9204D"/>
    <w:rsid w:val="00B922C0"/>
    <w:rsid w:val="00B926E2"/>
    <w:rsid w:val="00B937FE"/>
    <w:rsid w:val="00B94D6F"/>
    <w:rsid w:val="00B94EA3"/>
    <w:rsid w:val="00B95200"/>
    <w:rsid w:val="00B95509"/>
    <w:rsid w:val="00B9585B"/>
    <w:rsid w:val="00B95D9D"/>
    <w:rsid w:val="00B95DF7"/>
    <w:rsid w:val="00B96274"/>
    <w:rsid w:val="00B96FF6"/>
    <w:rsid w:val="00B972B1"/>
    <w:rsid w:val="00BA0199"/>
    <w:rsid w:val="00BA08B9"/>
    <w:rsid w:val="00BA0A15"/>
    <w:rsid w:val="00BA0A6F"/>
    <w:rsid w:val="00BA0FA2"/>
    <w:rsid w:val="00BA1F17"/>
    <w:rsid w:val="00BA2560"/>
    <w:rsid w:val="00BA4AA4"/>
    <w:rsid w:val="00BA5108"/>
    <w:rsid w:val="00BA52DD"/>
    <w:rsid w:val="00BA5B33"/>
    <w:rsid w:val="00BA6B35"/>
    <w:rsid w:val="00BB0EF0"/>
    <w:rsid w:val="00BB17D8"/>
    <w:rsid w:val="00BB1C37"/>
    <w:rsid w:val="00BB2192"/>
    <w:rsid w:val="00BB4925"/>
    <w:rsid w:val="00BB5A6F"/>
    <w:rsid w:val="00BB5ED2"/>
    <w:rsid w:val="00BB77E4"/>
    <w:rsid w:val="00BB7871"/>
    <w:rsid w:val="00BB7D55"/>
    <w:rsid w:val="00BB7ED6"/>
    <w:rsid w:val="00BC1E03"/>
    <w:rsid w:val="00BC207E"/>
    <w:rsid w:val="00BC2857"/>
    <w:rsid w:val="00BC286E"/>
    <w:rsid w:val="00BC6D38"/>
    <w:rsid w:val="00BC7172"/>
    <w:rsid w:val="00BD1450"/>
    <w:rsid w:val="00BD282C"/>
    <w:rsid w:val="00BD31DC"/>
    <w:rsid w:val="00BD33A1"/>
    <w:rsid w:val="00BD42FA"/>
    <w:rsid w:val="00BD4EAD"/>
    <w:rsid w:val="00BD61A2"/>
    <w:rsid w:val="00BD6326"/>
    <w:rsid w:val="00BD64F9"/>
    <w:rsid w:val="00BD690C"/>
    <w:rsid w:val="00BD73FC"/>
    <w:rsid w:val="00BD7700"/>
    <w:rsid w:val="00BE0050"/>
    <w:rsid w:val="00BE02AC"/>
    <w:rsid w:val="00BE0A1E"/>
    <w:rsid w:val="00BE157F"/>
    <w:rsid w:val="00BE1D85"/>
    <w:rsid w:val="00BE3777"/>
    <w:rsid w:val="00BE3F91"/>
    <w:rsid w:val="00BE4433"/>
    <w:rsid w:val="00BE50FC"/>
    <w:rsid w:val="00BE5587"/>
    <w:rsid w:val="00BE5644"/>
    <w:rsid w:val="00BE5B05"/>
    <w:rsid w:val="00BE7177"/>
    <w:rsid w:val="00BE760E"/>
    <w:rsid w:val="00BE7C37"/>
    <w:rsid w:val="00BF03F0"/>
    <w:rsid w:val="00BF0F7B"/>
    <w:rsid w:val="00BF1780"/>
    <w:rsid w:val="00BF3915"/>
    <w:rsid w:val="00BF4A02"/>
    <w:rsid w:val="00BF572B"/>
    <w:rsid w:val="00BF5B27"/>
    <w:rsid w:val="00BF5E31"/>
    <w:rsid w:val="00BF6159"/>
    <w:rsid w:val="00BF6162"/>
    <w:rsid w:val="00BF6566"/>
    <w:rsid w:val="00BF65CA"/>
    <w:rsid w:val="00BF66C7"/>
    <w:rsid w:val="00BF6AE4"/>
    <w:rsid w:val="00BF6E59"/>
    <w:rsid w:val="00BF737D"/>
    <w:rsid w:val="00BF754F"/>
    <w:rsid w:val="00BF7645"/>
    <w:rsid w:val="00BF76C7"/>
    <w:rsid w:val="00C00FB3"/>
    <w:rsid w:val="00C0137B"/>
    <w:rsid w:val="00C01F5E"/>
    <w:rsid w:val="00C02318"/>
    <w:rsid w:val="00C02374"/>
    <w:rsid w:val="00C033A5"/>
    <w:rsid w:val="00C033CE"/>
    <w:rsid w:val="00C03D09"/>
    <w:rsid w:val="00C03D51"/>
    <w:rsid w:val="00C03DD0"/>
    <w:rsid w:val="00C03F33"/>
    <w:rsid w:val="00C04429"/>
    <w:rsid w:val="00C04AFD"/>
    <w:rsid w:val="00C054DE"/>
    <w:rsid w:val="00C05F1D"/>
    <w:rsid w:val="00C0673C"/>
    <w:rsid w:val="00C068D7"/>
    <w:rsid w:val="00C06B13"/>
    <w:rsid w:val="00C07CF2"/>
    <w:rsid w:val="00C10936"/>
    <w:rsid w:val="00C10E20"/>
    <w:rsid w:val="00C10FBB"/>
    <w:rsid w:val="00C11B7B"/>
    <w:rsid w:val="00C123CB"/>
    <w:rsid w:val="00C1243C"/>
    <w:rsid w:val="00C129B4"/>
    <w:rsid w:val="00C139A7"/>
    <w:rsid w:val="00C13EC2"/>
    <w:rsid w:val="00C13EE7"/>
    <w:rsid w:val="00C14257"/>
    <w:rsid w:val="00C1429E"/>
    <w:rsid w:val="00C15BF2"/>
    <w:rsid w:val="00C161C6"/>
    <w:rsid w:val="00C165FE"/>
    <w:rsid w:val="00C16AD0"/>
    <w:rsid w:val="00C17007"/>
    <w:rsid w:val="00C175CC"/>
    <w:rsid w:val="00C17C2A"/>
    <w:rsid w:val="00C20F5C"/>
    <w:rsid w:val="00C21116"/>
    <w:rsid w:val="00C21311"/>
    <w:rsid w:val="00C214C1"/>
    <w:rsid w:val="00C243A3"/>
    <w:rsid w:val="00C24661"/>
    <w:rsid w:val="00C248C9"/>
    <w:rsid w:val="00C24BA3"/>
    <w:rsid w:val="00C25990"/>
    <w:rsid w:val="00C26D43"/>
    <w:rsid w:val="00C26E77"/>
    <w:rsid w:val="00C2727E"/>
    <w:rsid w:val="00C2748F"/>
    <w:rsid w:val="00C27783"/>
    <w:rsid w:val="00C27CFE"/>
    <w:rsid w:val="00C30DC5"/>
    <w:rsid w:val="00C3104E"/>
    <w:rsid w:val="00C31662"/>
    <w:rsid w:val="00C31FE0"/>
    <w:rsid w:val="00C32893"/>
    <w:rsid w:val="00C32AF1"/>
    <w:rsid w:val="00C3341B"/>
    <w:rsid w:val="00C33574"/>
    <w:rsid w:val="00C339B2"/>
    <w:rsid w:val="00C33E58"/>
    <w:rsid w:val="00C340B0"/>
    <w:rsid w:val="00C35FE2"/>
    <w:rsid w:val="00C36416"/>
    <w:rsid w:val="00C36FBD"/>
    <w:rsid w:val="00C37070"/>
    <w:rsid w:val="00C3711E"/>
    <w:rsid w:val="00C402AD"/>
    <w:rsid w:val="00C4033F"/>
    <w:rsid w:val="00C41EA7"/>
    <w:rsid w:val="00C4254B"/>
    <w:rsid w:val="00C42C57"/>
    <w:rsid w:val="00C42DF4"/>
    <w:rsid w:val="00C430B0"/>
    <w:rsid w:val="00C43C75"/>
    <w:rsid w:val="00C44471"/>
    <w:rsid w:val="00C45683"/>
    <w:rsid w:val="00C46346"/>
    <w:rsid w:val="00C504A4"/>
    <w:rsid w:val="00C50855"/>
    <w:rsid w:val="00C517F6"/>
    <w:rsid w:val="00C5210A"/>
    <w:rsid w:val="00C5211D"/>
    <w:rsid w:val="00C5214E"/>
    <w:rsid w:val="00C52507"/>
    <w:rsid w:val="00C52EA8"/>
    <w:rsid w:val="00C5426E"/>
    <w:rsid w:val="00C54372"/>
    <w:rsid w:val="00C549C3"/>
    <w:rsid w:val="00C54A4C"/>
    <w:rsid w:val="00C55601"/>
    <w:rsid w:val="00C55911"/>
    <w:rsid w:val="00C559A8"/>
    <w:rsid w:val="00C55D10"/>
    <w:rsid w:val="00C560F8"/>
    <w:rsid w:val="00C5638D"/>
    <w:rsid w:val="00C573D5"/>
    <w:rsid w:val="00C57AAC"/>
    <w:rsid w:val="00C603A1"/>
    <w:rsid w:val="00C603B0"/>
    <w:rsid w:val="00C61221"/>
    <w:rsid w:val="00C61CCF"/>
    <w:rsid w:val="00C61FD1"/>
    <w:rsid w:val="00C62C69"/>
    <w:rsid w:val="00C6404B"/>
    <w:rsid w:val="00C64AA8"/>
    <w:rsid w:val="00C64F38"/>
    <w:rsid w:val="00C651D8"/>
    <w:rsid w:val="00C66B39"/>
    <w:rsid w:val="00C67B81"/>
    <w:rsid w:val="00C67EFC"/>
    <w:rsid w:val="00C70208"/>
    <w:rsid w:val="00C702F3"/>
    <w:rsid w:val="00C70807"/>
    <w:rsid w:val="00C71CE0"/>
    <w:rsid w:val="00C73335"/>
    <w:rsid w:val="00C73430"/>
    <w:rsid w:val="00C734F6"/>
    <w:rsid w:val="00C7398C"/>
    <w:rsid w:val="00C73CC3"/>
    <w:rsid w:val="00C73DA3"/>
    <w:rsid w:val="00C7413E"/>
    <w:rsid w:val="00C742EE"/>
    <w:rsid w:val="00C74858"/>
    <w:rsid w:val="00C74C90"/>
    <w:rsid w:val="00C74E7E"/>
    <w:rsid w:val="00C760BF"/>
    <w:rsid w:val="00C76BB1"/>
    <w:rsid w:val="00C779ED"/>
    <w:rsid w:val="00C80158"/>
    <w:rsid w:val="00C8062B"/>
    <w:rsid w:val="00C80742"/>
    <w:rsid w:val="00C80A2F"/>
    <w:rsid w:val="00C80C53"/>
    <w:rsid w:val="00C812D2"/>
    <w:rsid w:val="00C814FB"/>
    <w:rsid w:val="00C8186F"/>
    <w:rsid w:val="00C81F3C"/>
    <w:rsid w:val="00C82183"/>
    <w:rsid w:val="00C83B13"/>
    <w:rsid w:val="00C84988"/>
    <w:rsid w:val="00C849BB"/>
    <w:rsid w:val="00C84A2B"/>
    <w:rsid w:val="00C85A33"/>
    <w:rsid w:val="00C85E54"/>
    <w:rsid w:val="00C8608F"/>
    <w:rsid w:val="00C860C0"/>
    <w:rsid w:val="00C86B3B"/>
    <w:rsid w:val="00C86EEA"/>
    <w:rsid w:val="00C872C8"/>
    <w:rsid w:val="00C87410"/>
    <w:rsid w:val="00C8790A"/>
    <w:rsid w:val="00C906D6"/>
    <w:rsid w:val="00C90C4A"/>
    <w:rsid w:val="00C90FBB"/>
    <w:rsid w:val="00C91072"/>
    <w:rsid w:val="00C91819"/>
    <w:rsid w:val="00C95565"/>
    <w:rsid w:val="00C956D2"/>
    <w:rsid w:val="00C95746"/>
    <w:rsid w:val="00C95C8D"/>
    <w:rsid w:val="00C95EC2"/>
    <w:rsid w:val="00C968B8"/>
    <w:rsid w:val="00C96F3A"/>
    <w:rsid w:val="00C97905"/>
    <w:rsid w:val="00C97B92"/>
    <w:rsid w:val="00C97DB6"/>
    <w:rsid w:val="00CA05A8"/>
    <w:rsid w:val="00CA0733"/>
    <w:rsid w:val="00CA091C"/>
    <w:rsid w:val="00CA0B1E"/>
    <w:rsid w:val="00CA18E4"/>
    <w:rsid w:val="00CA2380"/>
    <w:rsid w:val="00CA2ADA"/>
    <w:rsid w:val="00CA32AC"/>
    <w:rsid w:val="00CA332B"/>
    <w:rsid w:val="00CA3481"/>
    <w:rsid w:val="00CA423E"/>
    <w:rsid w:val="00CA44B7"/>
    <w:rsid w:val="00CA50B6"/>
    <w:rsid w:val="00CA5A76"/>
    <w:rsid w:val="00CA5EEA"/>
    <w:rsid w:val="00CA6343"/>
    <w:rsid w:val="00CA64F4"/>
    <w:rsid w:val="00CA6812"/>
    <w:rsid w:val="00CA68AB"/>
    <w:rsid w:val="00CB0511"/>
    <w:rsid w:val="00CB1F3A"/>
    <w:rsid w:val="00CB2C49"/>
    <w:rsid w:val="00CB389B"/>
    <w:rsid w:val="00CB3CAB"/>
    <w:rsid w:val="00CB4DF4"/>
    <w:rsid w:val="00CB4FAA"/>
    <w:rsid w:val="00CB5D00"/>
    <w:rsid w:val="00CB65CA"/>
    <w:rsid w:val="00CB69E6"/>
    <w:rsid w:val="00CB7124"/>
    <w:rsid w:val="00CB77F3"/>
    <w:rsid w:val="00CC01F2"/>
    <w:rsid w:val="00CC051D"/>
    <w:rsid w:val="00CC1117"/>
    <w:rsid w:val="00CC1180"/>
    <w:rsid w:val="00CC1211"/>
    <w:rsid w:val="00CC1EEB"/>
    <w:rsid w:val="00CC2B3A"/>
    <w:rsid w:val="00CC2CDE"/>
    <w:rsid w:val="00CC3BCF"/>
    <w:rsid w:val="00CC4789"/>
    <w:rsid w:val="00CC4E3B"/>
    <w:rsid w:val="00CC4F78"/>
    <w:rsid w:val="00CC4F92"/>
    <w:rsid w:val="00CC5096"/>
    <w:rsid w:val="00CC5DCD"/>
    <w:rsid w:val="00CC6112"/>
    <w:rsid w:val="00CC652D"/>
    <w:rsid w:val="00CC660B"/>
    <w:rsid w:val="00CC7115"/>
    <w:rsid w:val="00CD1605"/>
    <w:rsid w:val="00CD25A4"/>
    <w:rsid w:val="00CD2F4D"/>
    <w:rsid w:val="00CD2FDA"/>
    <w:rsid w:val="00CD3438"/>
    <w:rsid w:val="00CD34FB"/>
    <w:rsid w:val="00CD4365"/>
    <w:rsid w:val="00CD4D61"/>
    <w:rsid w:val="00CD57B9"/>
    <w:rsid w:val="00CE0B56"/>
    <w:rsid w:val="00CE16DD"/>
    <w:rsid w:val="00CE2740"/>
    <w:rsid w:val="00CE29AD"/>
    <w:rsid w:val="00CE315B"/>
    <w:rsid w:val="00CE316C"/>
    <w:rsid w:val="00CE346F"/>
    <w:rsid w:val="00CE3827"/>
    <w:rsid w:val="00CE3AAC"/>
    <w:rsid w:val="00CE40C6"/>
    <w:rsid w:val="00CE4C0C"/>
    <w:rsid w:val="00CE58E3"/>
    <w:rsid w:val="00CE681B"/>
    <w:rsid w:val="00CE6C85"/>
    <w:rsid w:val="00CE729E"/>
    <w:rsid w:val="00CE77A5"/>
    <w:rsid w:val="00CF0943"/>
    <w:rsid w:val="00CF1139"/>
    <w:rsid w:val="00CF1525"/>
    <w:rsid w:val="00CF1BE9"/>
    <w:rsid w:val="00CF259F"/>
    <w:rsid w:val="00CF3506"/>
    <w:rsid w:val="00CF4071"/>
    <w:rsid w:val="00CF4168"/>
    <w:rsid w:val="00CF4AB1"/>
    <w:rsid w:val="00CF4AEE"/>
    <w:rsid w:val="00CF619F"/>
    <w:rsid w:val="00CF63AB"/>
    <w:rsid w:val="00CF6574"/>
    <w:rsid w:val="00CF71A2"/>
    <w:rsid w:val="00CF7FC4"/>
    <w:rsid w:val="00D00694"/>
    <w:rsid w:val="00D00B56"/>
    <w:rsid w:val="00D00FB2"/>
    <w:rsid w:val="00D0118E"/>
    <w:rsid w:val="00D0161B"/>
    <w:rsid w:val="00D01899"/>
    <w:rsid w:val="00D0252C"/>
    <w:rsid w:val="00D03F36"/>
    <w:rsid w:val="00D0445F"/>
    <w:rsid w:val="00D04D58"/>
    <w:rsid w:val="00D058BB"/>
    <w:rsid w:val="00D06733"/>
    <w:rsid w:val="00D069CD"/>
    <w:rsid w:val="00D074DC"/>
    <w:rsid w:val="00D101DB"/>
    <w:rsid w:val="00D1133F"/>
    <w:rsid w:val="00D115BA"/>
    <w:rsid w:val="00D11811"/>
    <w:rsid w:val="00D1278C"/>
    <w:rsid w:val="00D1324A"/>
    <w:rsid w:val="00D144D9"/>
    <w:rsid w:val="00D145CF"/>
    <w:rsid w:val="00D14885"/>
    <w:rsid w:val="00D148F4"/>
    <w:rsid w:val="00D14A25"/>
    <w:rsid w:val="00D151FF"/>
    <w:rsid w:val="00D156F7"/>
    <w:rsid w:val="00D1573C"/>
    <w:rsid w:val="00D15D2B"/>
    <w:rsid w:val="00D15F80"/>
    <w:rsid w:val="00D160DD"/>
    <w:rsid w:val="00D16B4E"/>
    <w:rsid w:val="00D1702D"/>
    <w:rsid w:val="00D17B37"/>
    <w:rsid w:val="00D2054C"/>
    <w:rsid w:val="00D207AE"/>
    <w:rsid w:val="00D20A15"/>
    <w:rsid w:val="00D20A63"/>
    <w:rsid w:val="00D20C69"/>
    <w:rsid w:val="00D21CC7"/>
    <w:rsid w:val="00D22B28"/>
    <w:rsid w:val="00D22EFA"/>
    <w:rsid w:val="00D22F65"/>
    <w:rsid w:val="00D237B5"/>
    <w:rsid w:val="00D2505C"/>
    <w:rsid w:val="00D25987"/>
    <w:rsid w:val="00D270D8"/>
    <w:rsid w:val="00D276C4"/>
    <w:rsid w:val="00D300AC"/>
    <w:rsid w:val="00D3081D"/>
    <w:rsid w:val="00D30DA9"/>
    <w:rsid w:val="00D30EEE"/>
    <w:rsid w:val="00D31AF4"/>
    <w:rsid w:val="00D31CBE"/>
    <w:rsid w:val="00D31CEB"/>
    <w:rsid w:val="00D31F3C"/>
    <w:rsid w:val="00D329E7"/>
    <w:rsid w:val="00D32FA6"/>
    <w:rsid w:val="00D3433F"/>
    <w:rsid w:val="00D34986"/>
    <w:rsid w:val="00D34C0D"/>
    <w:rsid w:val="00D34E21"/>
    <w:rsid w:val="00D34F66"/>
    <w:rsid w:val="00D35500"/>
    <w:rsid w:val="00D35C08"/>
    <w:rsid w:val="00D362C3"/>
    <w:rsid w:val="00D362FD"/>
    <w:rsid w:val="00D36329"/>
    <w:rsid w:val="00D371ED"/>
    <w:rsid w:val="00D3724F"/>
    <w:rsid w:val="00D3734F"/>
    <w:rsid w:val="00D3766A"/>
    <w:rsid w:val="00D37957"/>
    <w:rsid w:val="00D40127"/>
    <w:rsid w:val="00D4116E"/>
    <w:rsid w:val="00D4154E"/>
    <w:rsid w:val="00D420C8"/>
    <w:rsid w:val="00D4284A"/>
    <w:rsid w:val="00D429AB"/>
    <w:rsid w:val="00D43258"/>
    <w:rsid w:val="00D432EA"/>
    <w:rsid w:val="00D438E0"/>
    <w:rsid w:val="00D44B0D"/>
    <w:rsid w:val="00D45385"/>
    <w:rsid w:val="00D45459"/>
    <w:rsid w:val="00D4598D"/>
    <w:rsid w:val="00D45D6B"/>
    <w:rsid w:val="00D460A7"/>
    <w:rsid w:val="00D4626A"/>
    <w:rsid w:val="00D468D8"/>
    <w:rsid w:val="00D468FC"/>
    <w:rsid w:val="00D46962"/>
    <w:rsid w:val="00D46E82"/>
    <w:rsid w:val="00D47173"/>
    <w:rsid w:val="00D47418"/>
    <w:rsid w:val="00D47E66"/>
    <w:rsid w:val="00D50C49"/>
    <w:rsid w:val="00D50DD2"/>
    <w:rsid w:val="00D5178B"/>
    <w:rsid w:val="00D51893"/>
    <w:rsid w:val="00D51EAB"/>
    <w:rsid w:val="00D52124"/>
    <w:rsid w:val="00D53BD7"/>
    <w:rsid w:val="00D54C15"/>
    <w:rsid w:val="00D54E8B"/>
    <w:rsid w:val="00D56036"/>
    <w:rsid w:val="00D564A9"/>
    <w:rsid w:val="00D56B4E"/>
    <w:rsid w:val="00D60141"/>
    <w:rsid w:val="00D60430"/>
    <w:rsid w:val="00D6062F"/>
    <w:rsid w:val="00D609E2"/>
    <w:rsid w:val="00D60CC1"/>
    <w:rsid w:val="00D60F61"/>
    <w:rsid w:val="00D623A5"/>
    <w:rsid w:val="00D623C7"/>
    <w:rsid w:val="00D625AC"/>
    <w:rsid w:val="00D633B1"/>
    <w:rsid w:val="00D633FF"/>
    <w:rsid w:val="00D6347E"/>
    <w:rsid w:val="00D63E11"/>
    <w:rsid w:val="00D66052"/>
    <w:rsid w:val="00D66832"/>
    <w:rsid w:val="00D6720D"/>
    <w:rsid w:val="00D67236"/>
    <w:rsid w:val="00D677D8"/>
    <w:rsid w:val="00D67873"/>
    <w:rsid w:val="00D67BB4"/>
    <w:rsid w:val="00D701DF"/>
    <w:rsid w:val="00D711C4"/>
    <w:rsid w:val="00D714AE"/>
    <w:rsid w:val="00D722AB"/>
    <w:rsid w:val="00D738E2"/>
    <w:rsid w:val="00D74FAF"/>
    <w:rsid w:val="00D76348"/>
    <w:rsid w:val="00D7718B"/>
    <w:rsid w:val="00D773D8"/>
    <w:rsid w:val="00D77DC7"/>
    <w:rsid w:val="00D80018"/>
    <w:rsid w:val="00D8063C"/>
    <w:rsid w:val="00D80963"/>
    <w:rsid w:val="00D811C3"/>
    <w:rsid w:val="00D81966"/>
    <w:rsid w:val="00D8199B"/>
    <w:rsid w:val="00D81B9A"/>
    <w:rsid w:val="00D82683"/>
    <w:rsid w:val="00D82C1C"/>
    <w:rsid w:val="00D82EAA"/>
    <w:rsid w:val="00D847CD"/>
    <w:rsid w:val="00D85067"/>
    <w:rsid w:val="00D8539F"/>
    <w:rsid w:val="00D8579B"/>
    <w:rsid w:val="00D85956"/>
    <w:rsid w:val="00D85FFB"/>
    <w:rsid w:val="00D86700"/>
    <w:rsid w:val="00D8676A"/>
    <w:rsid w:val="00D879C0"/>
    <w:rsid w:val="00D87C4D"/>
    <w:rsid w:val="00D87DAC"/>
    <w:rsid w:val="00D90075"/>
    <w:rsid w:val="00D90A53"/>
    <w:rsid w:val="00D90F15"/>
    <w:rsid w:val="00D91429"/>
    <w:rsid w:val="00D9142A"/>
    <w:rsid w:val="00D9147C"/>
    <w:rsid w:val="00D91B52"/>
    <w:rsid w:val="00D92665"/>
    <w:rsid w:val="00D928BD"/>
    <w:rsid w:val="00D929E6"/>
    <w:rsid w:val="00D92D95"/>
    <w:rsid w:val="00D92F91"/>
    <w:rsid w:val="00D93481"/>
    <w:rsid w:val="00D93B8D"/>
    <w:rsid w:val="00D9490D"/>
    <w:rsid w:val="00D9531D"/>
    <w:rsid w:val="00D957EC"/>
    <w:rsid w:val="00D961E3"/>
    <w:rsid w:val="00D96B0E"/>
    <w:rsid w:val="00D9747C"/>
    <w:rsid w:val="00D978E2"/>
    <w:rsid w:val="00DA0577"/>
    <w:rsid w:val="00DA0AEB"/>
    <w:rsid w:val="00DA0BE2"/>
    <w:rsid w:val="00DA0F91"/>
    <w:rsid w:val="00DA2CD8"/>
    <w:rsid w:val="00DA3524"/>
    <w:rsid w:val="00DA382B"/>
    <w:rsid w:val="00DA3A7F"/>
    <w:rsid w:val="00DA3BE5"/>
    <w:rsid w:val="00DA3E01"/>
    <w:rsid w:val="00DA5A03"/>
    <w:rsid w:val="00DA5FC9"/>
    <w:rsid w:val="00DA613C"/>
    <w:rsid w:val="00DA632F"/>
    <w:rsid w:val="00DA6635"/>
    <w:rsid w:val="00DA6BC4"/>
    <w:rsid w:val="00DA7CBE"/>
    <w:rsid w:val="00DB09A9"/>
    <w:rsid w:val="00DB1A4D"/>
    <w:rsid w:val="00DB3868"/>
    <w:rsid w:val="00DB49FC"/>
    <w:rsid w:val="00DB5177"/>
    <w:rsid w:val="00DB59F9"/>
    <w:rsid w:val="00DB71AE"/>
    <w:rsid w:val="00DB7333"/>
    <w:rsid w:val="00DB7C73"/>
    <w:rsid w:val="00DC0313"/>
    <w:rsid w:val="00DC0924"/>
    <w:rsid w:val="00DC0A8E"/>
    <w:rsid w:val="00DC0CFF"/>
    <w:rsid w:val="00DC11CF"/>
    <w:rsid w:val="00DC3202"/>
    <w:rsid w:val="00DC4595"/>
    <w:rsid w:val="00DC4ABE"/>
    <w:rsid w:val="00DC51A8"/>
    <w:rsid w:val="00DC5330"/>
    <w:rsid w:val="00DC6484"/>
    <w:rsid w:val="00DC7218"/>
    <w:rsid w:val="00DC7338"/>
    <w:rsid w:val="00DD05E8"/>
    <w:rsid w:val="00DD0ADC"/>
    <w:rsid w:val="00DD12D2"/>
    <w:rsid w:val="00DD1508"/>
    <w:rsid w:val="00DD29E4"/>
    <w:rsid w:val="00DD36C7"/>
    <w:rsid w:val="00DD3DF7"/>
    <w:rsid w:val="00DD3EAA"/>
    <w:rsid w:val="00DD57CB"/>
    <w:rsid w:val="00DD5B12"/>
    <w:rsid w:val="00DD606C"/>
    <w:rsid w:val="00DD670F"/>
    <w:rsid w:val="00DD6DC8"/>
    <w:rsid w:val="00DD70FE"/>
    <w:rsid w:val="00DD7425"/>
    <w:rsid w:val="00DD75D6"/>
    <w:rsid w:val="00DE2069"/>
    <w:rsid w:val="00DE253E"/>
    <w:rsid w:val="00DE30B2"/>
    <w:rsid w:val="00DE3654"/>
    <w:rsid w:val="00DE4247"/>
    <w:rsid w:val="00DE4C2F"/>
    <w:rsid w:val="00DE4DB5"/>
    <w:rsid w:val="00DE4DF8"/>
    <w:rsid w:val="00DE537A"/>
    <w:rsid w:val="00DE5D87"/>
    <w:rsid w:val="00DE7ED9"/>
    <w:rsid w:val="00DE7F41"/>
    <w:rsid w:val="00DF08B9"/>
    <w:rsid w:val="00DF095D"/>
    <w:rsid w:val="00DF162D"/>
    <w:rsid w:val="00DF1B06"/>
    <w:rsid w:val="00DF3612"/>
    <w:rsid w:val="00DF42EB"/>
    <w:rsid w:val="00DF50D3"/>
    <w:rsid w:val="00DF5A7F"/>
    <w:rsid w:val="00DF5C66"/>
    <w:rsid w:val="00DF6301"/>
    <w:rsid w:val="00DF71EC"/>
    <w:rsid w:val="00DF7205"/>
    <w:rsid w:val="00DF79FE"/>
    <w:rsid w:val="00DF7AC4"/>
    <w:rsid w:val="00E0225C"/>
    <w:rsid w:val="00E0270D"/>
    <w:rsid w:val="00E02CD7"/>
    <w:rsid w:val="00E0336F"/>
    <w:rsid w:val="00E039DB"/>
    <w:rsid w:val="00E043BD"/>
    <w:rsid w:val="00E048BD"/>
    <w:rsid w:val="00E04BE8"/>
    <w:rsid w:val="00E0672F"/>
    <w:rsid w:val="00E07504"/>
    <w:rsid w:val="00E07A21"/>
    <w:rsid w:val="00E07E90"/>
    <w:rsid w:val="00E109C5"/>
    <w:rsid w:val="00E110DF"/>
    <w:rsid w:val="00E115BA"/>
    <w:rsid w:val="00E11740"/>
    <w:rsid w:val="00E117D5"/>
    <w:rsid w:val="00E11871"/>
    <w:rsid w:val="00E11C61"/>
    <w:rsid w:val="00E11D25"/>
    <w:rsid w:val="00E12ED3"/>
    <w:rsid w:val="00E1313F"/>
    <w:rsid w:val="00E14BE8"/>
    <w:rsid w:val="00E14CE4"/>
    <w:rsid w:val="00E1542C"/>
    <w:rsid w:val="00E1586B"/>
    <w:rsid w:val="00E15F07"/>
    <w:rsid w:val="00E163DE"/>
    <w:rsid w:val="00E20257"/>
    <w:rsid w:val="00E20B27"/>
    <w:rsid w:val="00E20FE5"/>
    <w:rsid w:val="00E2243E"/>
    <w:rsid w:val="00E2331B"/>
    <w:rsid w:val="00E24193"/>
    <w:rsid w:val="00E244A9"/>
    <w:rsid w:val="00E24754"/>
    <w:rsid w:val="00E24F51"/>
    <w:rsid w:val="00E25B6C"/>
    <w:rsid w:val="00E262F3"/>
    <w:rsid w:val="00E2679E"/>
    <w:rsid w:val="00E26933"/>
    <w:rsid w:val="00E27166"/>
    <w:rsid w:val="00E27A81"/>
    <w:rsid w:val="00E30115"/>
    <w:rsid w:val="00E30332"/>
    <w:rsid w:val="00E303C1"/>
    <w:rsid w:val="00E3083C"/>
    <w:rsid w:val="00E3087D"/>
    <w:rsid w:val="00E31276"/>
    <w:rsid w:val="00E31363"/>
    <w:rsid w:val="00E324C3"/>
    <w:rsid w:val="00E329CA"/>
    <w:rsid w:val="00E32CC5"/>
    <w:rsid w:val="00E32DE2"/>
    <w:rsid w:val="00E33188"/>
    <w:rsid w:val="00E336AF"/>
    <w:rsid w:val="00E34260"/>
    <w:rsid w:val="00E3447D"/>
    <w:rsid w:val="00E346BA"/>
    <w:rsid w:val="00E34856"/>
    <w:rsid w:val="00E34BFC"/>
    <w:rsid w:val="00E36706"/>
    <w:rsid w:val="00E37AA0"/>
    <w:rsid w:val="00E37ACA"/>
    <w:rsid w:val="00E37BC7"/>
    <w:rsid w:val="00E40032"/>
    <w:rsid w:val="00E40C42"/>
    <w:rsid w:val="00E43526"/>
    <w:rsid w:val="00E44361"/>
    <w:rsid w:val="00E44887"/>
    <w:rsid w:val="00E44E1C"/>
    <w:rsid w:val="00E457CA"/>
    <w:rsid w:val="00E45C1F"/>
    <w:rsid w:val="00E45DAB"/>
    <w:rsid w:val="00E461BC"/>
    <w:rsid w:val="00E46CCB"/>
    <w:rsid w:val="00E4738D"/>
    <w:rsid w:val="00E4775F"/>
    <w:rsid w:val="00E503E0"/>
    <w:rsid w:val="00E50444"/>
    <w:rsid w:val="00E506C5"/>
    <w:rsid w:val="00E50827"/>
    <w:rsid w:val="00E5102B"/>
    <w:rsid w:val="00E511D1"/>
    <w:rsid w:val="00E5185F"/>
    <w:rsid w:val="00E520E2"/>
    <w:rsid w:val="00E5321C"/>
    <w:rsid w:val="00E53ABE"/>
    <w:rsid w:val="00E54C86"/>
    <w:rsid w:val="00E55198"/>
    <w:rsid w:val="00E5581A"/>
    <w:rsid w:val="00E55FB1"/>
    <w:rsid w:val="00E562CE"/>
    <w:rsid w:val="00E5659C"/>
    <w:rsid w:val="00E56731"/>
    <w:rsid w:val="00E56A8F"/>
    <w:rsid w:val="00E574F9"/>
    <w:rsid w:val="00E5798B"/>
    <w:rsid w:val="00E57C20"/>
    <w:rsid w:val="00E57E1C"/>
    <w:rsid w:val="00E60790"/>
    <w:rsid w:val="00E61029"/>
    <w:rsid w:val="00E61499"/>
    <w:rsid w:val="00E6189B"/>
    <w:rsid w:val="00E61B23"/>
    <w:rsid w:val="00E61F83"/>
    <w:rsid w:val="00E62462"/>
    <w:rsid w:val="00E62A27"/>
    <w:rsid w:val="00E62E03"/>
    <w:rsid w:val="00E63655"/>
    <w:rsid w:val="00E64700"/>
    <w:rsid w:val="00E64703"/>
    <w:rsid w:val="00E6481B"/>
    <w:rsid w:val="00E64B31"/>
    <w:rsid w:val="00E657D4"/>
    <w:rsid w:val="00E65EB7"/>
    <w:rsid w:val="00E66029"/>
    <w:rsid w:val="00E660EC"/>
    <w:rsid w:val="00E6664B"/>
    <w:rsid w:val="00E6695C"/>
    <w:rsid w:val="00E67E72"/>
    <w:rsid w:val="00E702FF"/>
    <w:rsid w:val="00E70DE9"/>
    <w:rsid w:val="00E70DFD"/>
    <w:rsid w:val="00E70E5F"/>
    <w:rsid w:val="00E71525"/>
    <w:rsid w:val="00E71AB2"/>
    <w:rsid w:val="00E72277"/>
    <w:rsid w:val="00E723E5"/>
    <w:rsid w:val="00E728A3"/>
    <w:rsid w:val="00E72E65"/>
    <w:rsid w:val="00E73080"/>
    <w:rsid w:val="00E73130"/>
    <w:rsid w:val="00E731AA"/>
    <w:rsid w:val="00E73550"/>
    <w:rsid w:val="00E740D2"/>
    <w:rsid w:val="00E74E38"/>
    <w:rsid w:val="00E74F90"/>
    <w:rsid w:val="00E75595"/>
    <w:rsid w:val="00E76144"/>
    <w:rsid w:val="00E76C2D"/>
    <w:rsid w:val="00E7715E"/>
    <w:rsid w:val="00E806FA"/>
    <w:rsid w:val="00E808B9"/>
    <w:rsid w:val="00E80A34"/>
    <w:rsid w:val="00E80BD7"/>
    <w:rsid w:val="00E814D2"/>
    <w:rsid w:val="00E816E3"/>
    <w:rsid w:val="00E81D00"/>
    <w:rsid w:val="00E81DC2"/>
    <w:rsid w:val="00E82EBA"/>
    <w:rsid w:val="00E83122"/>
    <w:rsid w:val="00E83B92"/>
    <w:rsid w:val="00E83BF1"/>
    <w:rsid w:val="00E847A9"/>
    <w:rsid w:val="00E85192"/>
    <w:rsid w:val="00E85CC8"/>
    <w:rsid w:val="00E85E46"/>
    <w:rsid w:val="00E85F1F"/>
    <w:rsid w:val="00E86051"/>
    <w:rsid w:val="00E863B8"/>
    <w:rsid w:val="00E8690F"/>
    <w:rsid w:val="00E8713D"/>
    <w:rsid w:val="00E87CFA"/>
    <w:rsid w:val="00E9065E"/>
    <w:rsid w:val="00E9082B"/>
    <w:rsid w:val="00E90F88"/>
    <w:rsid w:val="00E91893"/>
    <w:rsid w:val="00E91CF6"/>
    <w:rsid w:val="00E92592"/>
    <w:rsid w:val="00E92D24"/>
    <w:rsid w:val="00E92E39"/>
    <w:rsid w:val="00E92E7C"/>
    <w:rsid w:val="00E93E8F"/>
    <w:rsid w:val="00E93F66"/>
    <w:rsid w:val="00E94868"/>
    <w:rsid w:val="00E94D06"/>
    <w:rsid w:val="00E9698A"/>
    <w:rsid w:val="00E97D71"/>
    <w:rsid w:val="00EA062D"/>
    <w:rsid w:val="00EA090D"/>
    <w:rsid w:val="00EA0A6C"/>
    <w:rsid w:val="00EA0DB5"/>
    <w:rsid w:val="00EA0FA3"/>
    <w:rsid w:val="00EA1372"/>
    <w:rsid w:val="00EA1FC3"/>
    <w:rsid w:val="00EA2473"/>
    <w:rsid w:val="00EA26AF"/>
    <w:rsid w:val="00EA28EF"/>
    <w:rsid w:val="00EA2EA9"/>
    <w:rsid w:val="00EA3FF4"/>
    <w:rsid w:val="00EA49F2"/>
    <w:rsid w:val="00EA5483"/>
    <w:rsid w:val="00EA5D33"/>
    <w:rsid w:val="00EA5E06"/>
    <w:rsid w:val="00EA6003"/>
    <w:rsid w:val="00EA67B6"/>
    <w:rsid w:val="00EA6D97"/>
    <w:rsid w:val="00EA6E56"/>
    <w:rsid w:val="00EA7406"/>
    <w:rsid w:val="00EA7424"/>
    <w:rsid w:val="00EB048C"/>
    <w:rsid w:val="00EB1A28"/>
    <w:rsid w:val="00EB1CD0"/>
    <w:rsid w:val="00EB25AF"/>
    <w:rsid w:val="00EB274D"/>
    <w:rsid w:val="00EB2C20"/>
    <w:rsid w:val="00EB2FB8"/>
    <w:rsid w:val="00EB3376"/>
    <w:rsid w:val="00EB412C"/>
    <w:rsid w:val="00EB42BF"/>
    <w:rsid w:val="00EB4C0D"/>
    <w:rsid w:val="00EB596B"/>
    <w:rsid w:val="00EB5BCD"/>
    <w:rsid w:val="00EB5D7C"/>
    <w:rsid w:val="00EB5FB9"/>
    <w:rsid w:val="00EB6B75"/>
    <w:rsid w:val="00EB6F71"/>
    <w:rsid w:val="00EB7455"/>
    <w:rsid w:val="00EC00BE"/>
    <w:rsid w:val="00EC198B"/>
    <w:rsid w:val="00EC2534"/>
    <w:rsid w:val="00EC2723"/>
    <w:rsid w:val="00EC27C7"/>
    <w:rsid w:val="00EC290F"/>
    <w:rsid w:val="00EC2E72"/>
    <w:rsid w:val="00EC3F17"/>
    <w:rsid w:val="00EC4B95"/>
    <w:rsid w:val="00EC50BC"/>
    <w:rsid w:val="00EC649C"/>
    <w:rsid w:val="00EC64C8"/>
    <w:rsid w:val="00EC6EE0"/>
    <w:rsid w:val="00EC7018"/>
    <w:rsid w:val="00EC76EC"/>
    <w:rsid w:val="00EC7801"/>
    <w:rsid w:val="00EC7872"/>
    <w:rsid w:val="00EC792E"/>
    <w:rsid w:val="00ED159D"/>
    <w:rsid w:val="00ED2132"/>
    <w:rsid w:val="00ED2476"/>
    <w:rsid w:val="00ED25D7"/>
    <w:rsid w:val="00ED2B7C"/>
    <w:rsid w:val="00ED309E"/>
    <w:rsid w:val="00ED373D"/>
    <w:rsid w:val="00ED3856"/>
    <w:rsid w:val="00ED3A4D"/>
    <w:rsid w:val="00ED6073"/>
    <w:rsid w:val="00ED6468"/>
    <w:rsid w:val="00ED6BD1"/>
    <w:rsid w:val="00EE000C"/>
    <w:rsid w:val="00EE021A"/>
    <w:rsid w:val="00EE0312"/>
    <w:rsid w:val="00EE05B0"/>
    <w:rsid w:val="00EE08E8"/>
    <w:rsid w:val="00EE0D03"/>
    <w:rsid w:val="00EE1C0F"/>
    <w:rsid w:val="00EE1D00"/>
    <w:rsid w:val="00EE2ABC"/>
    <w:rsid w:val="00EE31DB"/>
    <w:rsid w:val="00EE3BF3"/>
    <w:rsid w:val="00EE3C50"/>
    <w:rsid w:val="00EE3E69"/>
    <w:rsid w:val="00EE49AA"/>
    <w:rsid w:val="00EE5A5B"/>
    <w:rsid w:val="00EE5EDC"/>
    <w:rsid w:val="00EE5F6A"/>
    <w:rsid w:val="00EE6158"/>
    <w:rsid w:val="00EE6378"/>
    <w:rsid w:val="00EE6EC3"/>
    <w:rsid w:val="00EE7D17"/>
    <w:rsid w:val="00EF03D6"/>
    <w:rsid w:val="00EF066A"/>
    <w:rsid w:val="00EF0961"/>
    <w:rsid w:val="00EF1760"/>
    <w:rsid w:val="00EF1CAB"/>
    <w:rsid w:val="00EF242B"/>
    <w:rsid w:val="00EF25DC"/>
    <w:rsid w:val="00EF2859"/>
    <w:rsid w:val="00EF3439"/>
    <w:rsid w:val="00EF43AF"/>
    <w:rsid w:val="00EF442D"/>
    <w:rsid w:val="00EF4C54"/>
    <w:rsid w:val="00EF554F"/>
    <w:rsid w:val="00EF5F01"/>
    <w:rsid w:val="00EF62D5"/>
    <w:rsid w:val="00EF68E4"/>
    <w:rsid w:val="00EF7433"/>
    <w:rsid w:val="00F0067D"/>
    <w:rsid w:val="00F01088"/>
    <w:rsid w:val="00F01540"/>
    <w:rsid w:val="00F019C8"/>
    <w:rsid w:val="00F01C5D"/>
    <w:rsid w:val="00F0278F"/>
    <w:rsid w:val="00F037CF"/>
    <w:rsid w:val="00F03B25"/>
    <w:rsid w:val="00F03E8C"/>
    <w:rsid w:val="00F0417A"/>
    <w:rsid w:val="00F04207"/>
    <w:rsid w:val="00F04D9B"/>
    <w:rsid w:val="00F05166"/>
    <w:rsid w:val="00F05DC9"/>
    <w:rsid w:val="00F0685A"/>
    <w:rsid w:val="00F06913"/>
    <w:rsid w:val="00F073F2"/>
    <w:rsid w:val="00F0765B"/>
    <w:rsid w:val="00F07AE7"/>
    <w:rsid w:val="00F07EFD"/>
    <w:rsid w:val="00F10500"/>
    <w:rsid w:val="00F11AC0"/>
    <w:rsid w:val="00F12952"/>
    <w:rsid w:val="00F12B03"/>
    <w:rsid w:val="00F12E7B"/>
    <w:rsid w:val="00F14575"/>
    <w:rsid w:val="00F14EED"/>
    <w:rsid w:val="00F153E0"/>
    <w:rsid w:val="00F15F01"/>
    <w:rsid w:val="00F201E3"/>
    <w:rsid w:val="00F2043E"/>
    <w:rsid w:val="00F21AF8"/>
    <w:rsid w:val="00F224D9"/>
    <w:rsid w:val="00F22970"/>
    <w:rsid w:val="00F23CF4"/>
    <w:rsid w:val="00F254ED"/>
    <w:rsid w:val="00F255E8"/>
    <w:rsid w:val="00F2567B"/>
    <w:rsid w:val="00F2685A"/>
    <w:rsid w:val="00F2731B"/>
    <w:rsid w:val="00F27A02"/>
    <w:rsid w:val="00F27A39"/>
    <w:rsid w:val="00F27FF3"/>
    <w:rsid w:val="00F30163"/>
    <w:rsid w:val="00F304FD"/>
    <w:rsid w:val="00F307B4"/>
    <w:rsid w:val="00F311EB"/>
    <w:rsid w:val="00F32A1B"/>
    <w:rsid w:val="00F33478"/>
    <w:rsid w:val="00F33BBA"/>
    <w:rsid w:val="00F34266"/>
    <w:rsid w:val="00F34573"/>
    <w:rsid w:val="00F34E74"/>
    <w:rsid w:val="00F351D9"/>
    <w:rsid w:val="00F36820"/>
    <w:rsid w:val="00F3688F"/>
    <w:rsid w:val="00F37F40"/>
    <w:rsid w:val="00F428EB"/>
    <w:rsid w:val="00F42AE8"/>
    <w:rsid w:val="00F42C53"/>
    <w:rsid w:val="00F44959"/>
    <w:rsid w:val="00F44DA1"/>
    <w:rsid w:val="00F45084"/>
    <w:rsid w:val="00F4566D"/>
    <w:rsid w:val="00F45D09"/>
    <w:rsid w:val="00F478A3"/>
    <w:rsid w:val="00F50552"/>
    <w:rsid w:val="00F50C5E"/>
    <w:rsid w:val="00F51053"/>
    <w:rsid w:val="00F51AB0"/>
    <w:rsid w:val="00F52C54"/>
    <w:rsid w:val="00F52C59"/>
    <w:rsid w:val="00F54878"/>
    <w:rsid w:val="00F55191"/>
    <w:rsid w:val="00F56DCB"/>
    <w:rsid w:val="00F574CE"/>
    <w:rsid w:val="00F57928"/>
    <w:rsid w:val="00F60D08"/>
    <w:rsid w:val="00F60E6C"/>
    <w:rsid w:val="00F61B6D"/>
    <w:rsid w:val="00F622FD"/>
    <w:rsid w:val="00F6245C"/>
    <w:rsid w:val="00F62FF9"/>
    <w:rsid w:val="00F63384"/>
    <w:rsid w:val="00F639A8"/>
    <w:rsid w:val="00F63A29"/>
    <w:rsid w:val="00F6542B"/>
    <w:rsid w:val="00F6564F"/>
    <w:rsid w:val="00F65B0F"/>
    <w:rsid w:val="00F65BCC"/>
    <w:rsid w:val="00F661B2"/>
    <w:rsid w:val="00F67CBB"/>
    <w:rsid w:val="00F70068"/>
    <w:rsid w:val="00F7029F"/>
    <w:rsid w:val="00F70603"/>
    <w:rsid w:val="00F71CD3"/>
    <w:rsid w:val="00F728B1"/>
    <w:rsid w:val="00F728DF"/>
    <w:rsid w:val="00F7339D"/>
    <w:rsid w:val="00F735FD"/>
    <w:rsid w:val="00F74AC8"/>
    <w:rsid w:val="00F75474"/>
    <w:rsid w:val="00F75571"/>
    <w:rsid w:val="00F75747"/>
    <w:rsid w:val="00F758A3"/>
    <w:rsid w:val="00F75A64"/>
    <w:rsid w:val="00F76496"/>
    <w:rsid w:val="00F76A37"/>
    <w:rsid w:val="00F772BE"/>
    <w:rsid w:val="00F77C3C"/>
    <w:rsid w:val="00F818F0"/>
    <w:rsid w:val="00F81E66"/>
    <w:rsid w:val="00F82013"/>
    <w:rsid w:val="00F83710"/>
    <w:rsid w:val="00F8424F"/>
    <w:rsid w:val="00F84707"/>
    <w:rsid w:val="00F84A6A"/>
    <w:rsid w:val="00F85B0C"/>
    <w:rsid w:val="00F85C38"/>
    <w:rsid w:val="00F866EF"/>
    <w:rsid w:val="00F86CB0"/>
    <w:rsid w:val="00F87783"/>
    <w:rsid w:val="00F87A73"/>
    <w:rsid w:val="00F90555"/>
    <w:rsid w:val="00F90FEF"/>
    <w:rsid w:val="00F91298"/>
    <w:rsid w:val="00F9154C"/>
    <w:rsid w:val="00F91E58"/>
    <w:rsid w:val="00F92BD9"/>
    <w:rsid w:val="00F941E5"/>
    <w:rsid w:val="00F946D7"/>
    <w:rsid w:val="00F946F5"/>
    <w:rsid w:val="00F94A35"/>
    <w:rsid w:val="00F95FCF"/>
    <w:rsid w:val="00F967B5"/>
    <w:rsid w:val="00F96D45"/>
    <w:rsid w:val="00F96EFA"/>
    <w:rsid w:val="00F97066"/>
    <w:rsid w:val="00FA081B"/>
    <w:rsid w:val="00FA086F"/>
    <w:rsid w:val="00FA11E0"/>
    <w:rsid w:val="00FA2997"/>
    <w:rsid w:val="00FA2FB7"/>
    <w:rsid w:val="00FA33AA"/>
    <w:rsid w:val="00FA3638"/>
    <w:rsid w:val="00FA4730"/>
    <w:rsid w:val="00FA57ED"/>
    <w:rsid w:val="00FA5999"/>
    <w:rsid w:val="00FA5F81"/>
    <w:rsid w:val="00FA651A"/>
    <w:rsid w:val="00FA70C3"/>
    <w:rsid w:val="00FA7BC8"/>
    <w:rsid w:val="00FA7BEA"/>
    <w:rsid w:val="00FB109A"/>
    <w:rsid w:val="00FB1574"/>
    <w:rsid w:val="00FB15F5"/>
    <w:rsid w:val="00FB36B7"/>
    <w:rsid w:val="00FB398C"/>
    <w:rsid w:val="00FB44A0"/>
    <w:rsid w:val="00FB451D"/>
    <w:rsid w:val="00FB4669"/>
    <w:rsid w:val="00FB4FF9"/>
    <w:rsid w:val="00FB5D24"/>
    <w:rsid w:val="00FB7512"/>
    <w:rsid w:val="00FB7A01"/>
    <w:rsid w:val="00FC090B"/>
    <w:rsid w:val="00FC2C05"/>
    <w:rsid w:val="00FC3068"/>
    <w:rsid w:val="00FC309A"/>
    <w:rsid w:val="00FC34C1"/>
    <w:rsid w:val="00FC3621"/>
    <w:rsid w:val="00FC36F3"/>
    <w:rsid w:val="00FC3BE7"/>
    <w:rsid w:val="00FC43CD"/>
    <w:rsid w:val="00FC441E"/>
    <w:rsid w:val="00FC45A0"/>
    <w:rsid w:val="00FC4E41"/>
    <w:rsid w:val="00FC5033"/>
    <w:rsid w:val="00FC545F"/>
    <w:rsid w:val="00FC596A"/>
    <w:rsid w:val="00FC59E1"/>
    <w:rsid w:val="00FC62F7"/>
    <w:rsid w:val="00FC6D45"/>
    <w:rsid w:val="00FC6DBD"/>
    <w:rsid w:val="00FC76CB"/>
    <w:rsid w:val="00FD127B"/>
    <w:rsid w:val="00FD14F4"/>
    <w:rsid w:val="00FD20F7"/>
    <w:rsid w:val="00FD2CB8"/>
    <w:rsid w:val="00FD328F"/>
    <w:rsid w:val="00FD436E"/>
    <w:rsid w:val="00FD449C"/>
    <w:rsid w:val="00FD4600"/>
    <w:rsid w:val="00FD59A1"/>
    <w:rsid w:val="00FD5D59"/>
    <w:rsid w:val="00FD64A9"/>
    <w:rsid w:val="00FD68A7"/>
    <w:rsid w:val="00FD6F6C"/>
    <w:rsid w:val="00FD747E"/>
    <w:rsid w:val="00FE066F"/>
    <w:rsid w:val="00FE0D1D"/>
    <w:rsid w:val="00FE1156"/>
    <w:rsid w:val="00FE25CD"/>
    <w:rsid w:val="00FE39B4"/>
    <w:rsid w:val="00FE536C"/>
    <w:rsid w:val="00FE5ADA"/>
    <w:rsid w:val="00FE5BE0"/>
    <w:rsid w:val="00FE5F42"/>
    <w:rsid w:val="00FE65DA"/>
    <w:rsid w:val="00FE6A99"/>
    <w:rsid w:val="00FE6B5E"/>
    <w:rsid w:val="00FE70E7"/>
    <w:rsid w:val="00FE73EA"/>
    <w:rsid w:val="00FE7D1E"/>
    <w:rsid w:val="00FF0871"/>
    <w:rsid w:val="00FF0CEC"/>
    <w:rsid w:val="00FF1882"/>
    <w:rsid w:val="00FF2008"/>
    <w:rsid w:val="00FF2150"/>
    <w:rsid w:val="00FF259E"/>
    <w:rsid w:val="00FF2DAE"/>
    <w:rsid w:val="00FF42C7"/>
    <w:rsid w:val="00FF4A1D"/>
    <w:rsid w:val="00FF5B11"/>
    <w:rsid w:val="00FF7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D1"/>
    <w:rPr>
      <w:rFonts w:ascii="Times New Roman" w:eastAsia="Times New Roman" w:hAnsi="Times New Roman"/>
    </w:rPr>
  </w:style>
  <w:style w:type="paragraph" w:styleId="Heading1">
    <w:name w:val="heading 1"/>
    <w:basedOn w:val="Normal"/>
    <w:next w:val="Normal"/>
    <w:link w:val="Heading1Char"/>
    <w:uiPriority w:val="99"/>
    <w:qFormat/>
    <w:rsid w:val="009E37D1"/>
    <w:pPr>
      <w:keepNext/>
      <w:outlineLvl w:val="0"/>
    </w:pPr>
    <w:rPr>
      <w:b/>
      <w:bCs/>
    </w:rPr>
  </w:style>
  <w:style w:type="paragraph" w:styleId="Heading2">
    <w:name w:val="heading 2"/>
    <w:basedOn w:val="Normal"/>
    <w:next w:val="Normal"/>
    <w:link w:val="Heading2Char"/>
    <w:qFormat/>
    <w:rsid w:val="009E37D1"/>
    <w:pPr>
      <w:keepNext/>
      <w:jc w:val="center"/>
      <w:outlineLvl w:val="1"/>
    </w:pPr>
    <w:rPr>
      <w:b/>
      <w:bCs/>
    </w:rPr>
  </w:style>
  <w:style w:type="paragraph" w:styleId="Heading3">
    <w:name w:val="heading 3"/>
    <w:basedOn w:val="Normal"/>
    <w:next w:val="Normal"/>
    <w:link w:val="Heading3Char"/>
    <w:uiPriority w:val="99"/>
    <w:qFormat/>
    <w:rsid w:val="009E37D1"/>
    <w:pPr>
      <w:keepNext/>
      <w:jc w:val="center"/>
      <w:outlineLvl w:val="2"/>
    </w:pPr>
    <w:rPr>
      <w:b/>
      <w:bCs/>
      <w:sz w:val="22"/>
    </w:rPr>
  </w:style>
  <w:style w:type="paragraph" w:styleId="Heading5">
    <w:name w:val="heading 5"/>
    <w:basedOn w:val="Normal"/>
    <w:next w:val="Normal"/>
    <w:link w:val="Heading5Char"/>
    <w:uiPriority w:val="9"/>
    <w:semiHidden/>
    <w:unhideWhenUsed/>
    <w:qFormat/>
    <w:rsid w:val="000B53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C8186F"/>
    <w:pPr>
      <w:spacing w:before="240" w:after="60" w:line="276" w:lineRule="auto"/>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37D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E37D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9E37D1"/>
    <w:rPr>
      <w:rFonts w:ascii="Times New Roman" w:eastAsia="Times New Roman" w:hAnsi="Times New Roman" w:cs="Times New Roman"/>
      <w:b/>
      <w:bCs/>
      <w:szCs w:val="24"/>
    </w:rPr>
  </w:style>
  <w:style w:type="paragraph" w:styleId="ListParagraph">
    <w:name w:val="List Paragraph"/>
    <w:basedOn w:val="Normal"/>
    <w:link w:val="ListParagraphChar"/>
    <w:uiPriority w:val="34"/>
    <w:qFormat/>
    <w:rsid w:val="009E37D1"/>
    <w:pPr>
      <w:ind w:left="720"/>
      <w:contextualSpacing/>
    </w:pPr>
  </w:style>
  <w:style w:type="table" w:styleId="TableGrid">
    <w:name w:val="Table Grid"/>
    <w:basedOn w:val="TableNormal"/>
    <w:uiPriority w:val="59"/>
    <w:rsid w:val="0036697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36697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366978"/>
    <w:rPr>
      <w:rFonts w:ascii="Cambria" w:eastAsia="Calibri" w:hAnsi="Cambria" w:cs="Times New Roman"/>
      <w:lang w:bidi="en-US"/>
    </w:rPr>
  </w:style>
  <w:style w:type="paragraph" w:styleId="FootnoteText">
    <w:name w:val="footnote text"/>
    <w:aliases w:val="single space,footnote text,fn,FOOTNOTES,Testo nota a piè di pagina Carattere Char,Footnote Text Char Char Char Char Char,Footnote Text Char Char Char Char,Footnote Text Char Char Char,+ 10 pt Car,+ 10 pt,Nota a pie/Bibliog,f,Geneva 9,Font"/>
    <w:basedOn w:val="Normal"/>
    <w:link w:val="FootnoteTextChar"/>
    <w:unhideWhenUsed/>
    <w:rsid w:val="00366978"/>
    <w:rPr>
      <w:rFonts w:eastAsia="Calibri"/>
      <w:sz w:val="20"/>
      <w:szCs w:val="20"/>
    </w:rPr>
  </w:style>
  <w:style w:type="character" w:customStyle="1" w:styleId="FootnoteTextChar">
    <w:name w:val="Footnote Text Char"/>
    <w:aliases w:val="single space Char,footnote text Char,fn Char,FOOTNOTES Char,Testo nota a piè di pagina Carattere Char Char,Footnote Text Char Char Char Char Char Char,Footnote Text Char Char Char Char Char1,Footnote Text Char Char Char Char1,f Char"/>
    <w:basedOn w:val="DefaultParagraphFont"/>
    <w:link w:val="FootnoteText"/>
    <w:rsid w:val="00366978"/>
    <w:rPr>
      <w:rFonts w:ascii="Times New Roman" w:hAnsi="Times New Roman"/>
      <w:sz w:val="20"/>
      <w:szCs w:val="20"/>
    </w:rPr>
  </w:style>
  <w:style w:type="character" w:styleId="FootnoteReference">
    <w:name w:val="footnote reference"/>
    <w:aliases w:val="Ref,de nota al pie,16 Point,Superscript 6 Point,ftref"/>
    <w:basedOn w:val="DefaultParagraphFont"/>
    <w:unhideWhenUsed/>
    <w:rsid w:val="00366978"/>
    <w:rPr>
      <w:vertAlign w:val="superscript"/>
    </w:rPr>
  </w:style>
  <w:style w:type="paragraph" w:styleId="BalloonText">
    <w:name w:val="Balloon Text"/>
    <w:basedOn w:val="Normal"/>
    <w:link w:val="BalloonTextChar"/>
    <w:uiPriority w:val="99"/>
    <w:semiHidden/>
    <w:unhideWhenUsed/>
    <w:rsid w:val="000B6A56"/>
    <w:rPr>
      <w:rFonts w:ascii="Tahoma" w:hAnsi="Tahoma" w:cs="Tahoma"/>
      <w:sz w:val="16"/>
      <w:szCs w:val="16"/>
    </w:rPr>
  </w:style>
  <w:style w:type="character" w:customStyle="1" w:styleId="BalloonTextChar">
    <w:name w:val="Balloon Text Char"/>
    <w:basedOn w:val="DefaultParagraphFont"/>
    <w:link w:val="BalloonText"/>
    <w:uiPriority w:val="99"/>
    <w:semiHidden/>
    <w:rsid w:val="000B6A56"/>
    <w:rPr>
      <w:rFonts w:ascii="Tahoma" w:eastAsia="Times New Roman" w:hAnsi="Tahoma" w:cs="Tahoma"/>
      <w:sz w:val="16"/>
      <w:szCs w:val="16"/>
    </w:rPr>
  </w:style>
  <w:style w:type="character" w:styleId="CommentReference">
    <w:name w:val="annotation reference"/>
    <w:basedOn w:val="DefaultParagraphFont"/>
    <w:unhideWhenUsed/>
    <w:rsid w:val="008475E3"/>
    <w:rPr>
      <w:sz w:val="16"/>
      <w:szCs w:val="16"/>
    </w:rPr>
  </w:style>
  <w:style w:type="paragraph" w:styleId="CommentText">
    <w:name w:val="annotation text"/>
    <w:basedOn w:val="Normal"/>
    <w:link w:val="CommentTextChar"/>
    <w:unhideWhenUsed/>
    <w:rsid w:val="008475E3"/>
    <w:rPr>
      <w:sz w:val="20"/>
      <w:szCs w:val="20"/>
    </w:rPr>
  </w:style>
  <w:style w:type="character" w:customStyle="1" w:styleId="CommentTextChar">
    <w:name w:val="Comment Text Char"/>
    <w:basedOn w:val="DefaultParagraphFont"/>
    <w:link w:val="CommentText"/>
    <w:rsid w:val="00847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E3"/>
    <w:rPr>
      <w:b/>
      <w:bCs/>
    </w:rPr>
  </w:style>
  <w:style w:type="character" w:customStyle="1" w:styleId="CommentSubjectChar">
    <w:name w:val="Comment Subject Char"/>
    <w:basedOn w:val="CommentTextChar"/>
    <w:link w:val="CommentSubject"/>
    <w:uiPriority w:val="99"/>
    <w:semiHidden/>
    <w:rsid w:val="008475E3"/>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2A30D9"/>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2A30D9"/>
    <w:pPr>
      <w:spacing w:after="100"/>
    </w:pPr>
  </w:style>
  <w:style w:type="paragraph" w:styleId="TOC2">
    <w:name w:val="toc 2"/>
    <w:basedOn w:val="Normal"/>
    <w:next w:val="Normal"/>
    <w:autoRedefine/>
    <w:uiPriority w:val="39"/>
    <w:unhideWhenUsed/>
    <w:rsid w:val="00A9151C"/>
    <w:pPr>
      <w:tabs>
        <w:tab w:val="right" w:leader="dot" w:pos="9350"/>
      </w:tabs>
      <w:spacing w:after="100"/>
      <w:ind w:left="360"/>
    </w:pPr>
  </w:style>
  <w:style w:type="paragraph" w:styleId="TOC3">
    <w:name w:val="toc 3"/>
    <w:basedOn w:val="Normal"/>
    <w:next w:val="Normal"/>
    <w:autoRedefine/>
    <w:uiPriority w:val="39"/>
    <w:unhideWhenUsed/>
    <w:rsid w:val="002A30D9"/>
    <w:pPr>
      <w:spacing w:after="100"/>
      <w:ind w:left="480"/>
    </w:pPr>
  </w:style>
  <w:style w:type="character" w:styleId="Hyperlink">
    <w:name w:val="Hyperlink"/>
    <w:basedOn w:val="DefaultParagraphFont"/>
    <w:uiPriority w:val="99"/>
    <w:unhideWhenUsed/>
    <w:rsid w:val="002A30D9"/>
    <w:rPr>
      <w:color w:val="0000FF"/>
      <w:u w:val="single"/>
    </w:rPr>
  </w:style>
  <w:style w:type="paragraph" w:styleId="Header">
    <w:name w:val="header"/>
    <w:basedOn w:val="Normal"/>
    <w:link w:val="HeaderChar"/>
    <w:uiPriority w:val="99"/>
    <w:unhideWhenUsed/>
    <w:rsid w:val="008743DA"/>
    <w:pPr>
      <w:tabs>
        <w:tab w:val="center" w:pos="4680"/>
        <w:tab w:val="right" w:pos="9360"/>
      </w:tabs>
    </w:pPr>
  </w:style>
  <w:style w:type="character" w:customStyle="1" w:styleId="HeaderChar">
    <w:name w:val="Header Char"/>
    <w:basedOn w:val="DefaultParagraphFont"/>
    <w:link w:val="Header"/>
    <w:uiPriority w:val="99"/>
    <w:rsid w:val="008743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43DA"/>
    <w:pPr>
      <w:tabs>
        <w:tab w:val="center" w:pos="4680"/>
        <w:tab w:val="right" w:pos="9360"/>
      </w:tabs>
    </w:pPr>
  </w:style>
  <w:style w:type="character" w:customStyle="1" w:styleId="FooterChar">
    <w:name w:val="Footer Char"/>
    <w:basedOn w:val="DefaultParagraphFont"/>
    <w:link w:val="Footer"/>
    <w:uiPriority w:val="99"/>
    <w:rsid w:val="008743DA"/>
    <w:rPr>
      <w:rFonts w:ascii="Times New Roman" w:eastAsia="Times New Roman" w:hAnsi="Times New Roman" w:cs="Times New Roman"/>
      <w:sz w:val="24"/>
      <w:szCs w:val="24"/>
    </w:rPr>
  </w:style>
  <w:style w:type="paragraph" w:customStyle="1" w:styleId="Heading1a">
    <w:name w:val="Heading 1a"/>
    <w:basedOn w:val="Normal"/>
    <w:next w:val="Normal"/>
    <w:rsid w:val="00AA19E1"/>
    <w:pPr>
      <w:keepNext/>
      <w:keepLines/>
      <w:numPr>
        <w:numId w:val="3"/>
      </w:numPr>
      <w:spacing w:after="120"/>
      <w:jc w:val="center"/>
      <w:outlineLvl w:val="0"/>
    </w:pPr>
    <w:rPr>
      <w:rFonts w:ascii="Times New Roman Bold" w:hAnsi="Times New Roman Bold"/>
      <w:b/>
    </w:rPr>
  </w:style>
  <w:style w:type="paragraph" w:customStyle="1" w:styleId="MainParanoChapter">
    <w:name w:val="Main Para no Chapter #"/>
    <w:basedOn w:val="Normal"/>
    <w:rsid w:val="00AA19E1"/>
    <w:pPr>
      <w:numPr>
        <w:ilvl w:val="1"/>
        <w:numId w:val="3"/>
      </w:numPr>
      <w:tabs>
        <w:tab w:val="clear" w:pos="720"/>
      </w:tabs>
      <w:spacing w:after="240"/>
      <w:ind w:left="0" w:firstLine="0"/>
      <w:outlineLvl w:val="1"/>
    </w:pPr>
  </w:style>
  <w:style w:type="paragraph" w:customStyle="1" w:styleId="Sub-Para1underX">
    <w:name w:val="Sub-Para 1 under X."/>
    <w:basedOn w:val="Normal"/>
    <w:rsid w:val="00AA19E1"/>
    <w:pPr>
      <w:numPr>
        <w:ilvl w:val="2"/>
        <w:numId w:val="3"/>
      </w:numPr>
      <w:tabs>
        <w:tab w:val="clear" w:pos="1080"/>
      </w:tabs>
      <w:spacing w:after="240"/>
      <w:ind w:left="1440" w:hanging="720"/>
      <w:outlineLvl w:val="2"/>
    </w:pPr>
  </w:style>
  <w:style w:type="paragraph" w:customStyle="1" w:styleId="Sub-Para2underX">
    <w:name w:val="Sub-Para 2 under X."/>
    <w:basedOn w:val="Normal"/>
    <w:rsid w:val="00AA19E1"/>
    <w:pPr>
      <w:numPr>
        <w:ilvl w:val="3"/>
        <w:numId w:val="3"/>
      </w:numPr>
      <w:tabs>
        <w:tab w:val="clear" w:pos="1800"/>
      </w:tabs>
      <w:spacing w:after="240"/>
      <w:ind w:left="2160" w:hanging="720"/>
      <w:outlineLvl w:val="3"/>
    </w:pPr>
  </w:style>
  <w:style w:type="paragraph" w:customStyle="1" w:styleId="Sub-Para3underX">
    <w:name w:val="Sub-Para 3 under X."/>
    <w:basedOn w:val="Normal"/>
    <w:rsid w:val="00AA19E1"/>
    <w:pPr>
      <w:numPr>
        <w:ilvl w:val="4"/>
        <w:numId w:val="3"/>
      </w:numPr>
      <w:tabs>
        <w:tab w:val="clear" w:pos="1440"/>
      </w:tabs>
      <w:spacing w:after="240"/>
      <w:ind w:left="2880" w:hanging="720"/>
      <w:outlineLvl w:val="4"/>
    </w:pPr>
  </w:style>
  <w:style w:type="paragraph" w:customStyle="1" w:styleId="Sub-Para4underX">
    <w:name w:val="Sub-Para 4 under X."/>
    <w:basedOn w:val="Normal"/>
    <w:rsid w:val="00AA19E1"/>
    <w:pPr>
      <w:numPr>
        <w:ilvl w:val="5"/>
        <w:numId w:val="3"/>
      </w:numPr>
      <w:tabs>
        <w:tab w:val="clear" w:pos="2160"/>
      </w:tabs>
      <w:spacing w:after="240"/>
      <w:ind w:left="3600" w:hanging="720"/>
      <w:outlineLvl w:val="5"/>
    </w:pPr>
  </w:style>
  <w:style w:type="character" w:customStyle="1" w:styleId="ListParagraphChar">
    <w:name w:val="List Paragraph Char"/>
    <w:basedOn w:val="DefaultParagraphFont"/>
    <w:link w:val="ListParagraph"/>
    <w:uiPriority w:val="34"/>
    <w:locked/>
    <w:rsid w:val="00EC2E72"/>
    <w:rPr>
      <w:rFonts w:ascii="Times New Roman" w:eastAsia="Times New Roman" w:hAnsi="Times New Roman" w:cs="Times New Roman"/>
      <w:sz w:val="24"/>
      <w:szCs w:val="24"/>
    </w:rPr>
  </w:style>
  <w:style w:type="character" w:styleId="Strong">
    <w:name w:val="Strong"/>
    <w:basedOn w:val="DefaultParagraphFont"/>
    <w:uiPriority w:val="22"/>
    <w:qFormat/>
    <w:rsid w:val="00077564"/>
    <w:rPr>
      <w:b/>
      <w:bCs/>
    </w:rPr>
  </w:style>
  <w:style w:type="paragraph" w:styleId="NormalWeb">
    <w:name w:val="Normal (Web)"/>
    <w:basedOn w:val="Normal"/>
    <w:unhideWhenUsed/>
    <w:rsid w:val="00897A3E"/>
    <w:pPr>
      <w:spacing w:before="100" w:beforeAutospacing="1" w:after="100" w:afterAutospacing="1"/>
    </w:pPr>
    <w:rPr>
      <w:rFonts w:ascii="Times" w:eastAsiaTheme="minorEastAsia" w:hAnsi="Times"/>
      <w:sz w:val="20"/>
      <w:szCs w:val="20"/>
    </w:rPr>
  </w:style>
  <w:style w:type="character" w:customStyle="1" w:styleId="Heading9Char">
    <w:name w:val="Heading 9 Char"/>
    <w:basedOn w:val="DefaultParagraphFont"/>
    <w:link w:val="Heading9"/>
    <w:rsid w:val="00C8186F"/>
    <w:rPr>
      <w:rFonts w:ascii="Arial" w:hAnsi="Arial" w:cs="Arial"/>
      <w:sz w:val="22"/>
      <w:szCs w:val="22"/>
    </w:rPr>
  </w:style>
  <w:style w:type="paragraph" w:styleId="Caption">
    <w:name w:val="caption"/>
    <w:basedOn w:val="Normal"/>
    <w:next w:val="Normal"/>
    <w:unhideWhenUsed/>
    <w:qFormat/>
    <w:rsid w:val="00A031CB"/>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F96EFA"/>
    <w:rPr>
      <w:sz w:val="20"/>
      <w:szCs w:val="20"/>
    </w:rPr>
  </w:style>
  <w:style w:type="character" w:customStyle="1" w:styleId="EndnoteTextChar">
    <w:name w:val="Endnote Text Char"/>
    <w:basedOn w:val="DefaultParagraphFont"/>
    <w:link w:val="EndnoteText"/>
    <w:uiPriority w:val="99"/>
    <w:semiHidden/>
    <w:rsid w:val="00F96EFA"/>
    <w:rPr>
      <w:rFonts w:ascii="Times New Roman" w:eastAsia="Times New Roman" w:hAnsi="Times New Roman"/>
    </w:rPr>
  </w:style>
  <w:style w:type="character" w:styleId="EndnoteReference">
    <w:name w:val="endnote reference"/>
    <w:basedOn w:val="DefaultParagraphFont"/>
    <w:uiPriority w:val="99"/>
    <w:semiHidden/>
    <w:unhideWhenUsed/>
    <w:rsid w:val="00F96EFA"/>
    <w:rPr>
      <w:vertAlign w:val="superscript"/>
    </w:rPr>
  </w:style>
  <w:style w:type="table" w:styleId="MediumGrid3-Accent5">
    <w:name w:val="Medium Grid 3 Accent 5"/>
    <w:basedOn w:val="TableNormal"/>
    <w:uiPriority w:val="69"/>
    <w:rsid w:val="00820B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D5083"/>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Grid1">
    <w:name w:val="Table Grid1"/>
    <w:basedOn w:val="TableNormal"/>
    <w:next w:val="TableGrid"/>
    <w:rsid w:val="000A539A"/>
    <w:rPr>
      <w:rFonts w:ascii="Times New Roman" w:eastAsia="Times New Roman" w:hAnsi="Times New Roman"/>
      <w:snapToGrid w:val="0"/>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KNorm">
    <w:name w:val="JVK Norm"/>
    <w:basedOn w:val="Heading5"/>
    <w:rsid w:val="000B538E"/>
    <w:pPr>
      <w:keepNext w:val="0"/>
      <w:keepLines w:val="0"/>
      <w:spacing w:before="0" w:after="240"/>
      <w:jc w:val="both"/>
      <w:outlineLvl w:val="9"/>
    </w:pPr>
    <w:rPr>
      <w:rFonts w:ascii="Times New Roman" w:eastAsia="Times New Roman" w:hAnsi="Times New Roman" w:cs="Times New Roman"/>
      <w:color w:val="auto"/>
      <w:sz w:val="22"/>
      <w:szCs w:val="20"/>
    </w:rPr>
  </w:style>
  <w:style w:type="character" w:customStyle="1" w:styleId="Heading5Char">
    <w:name w:val="Heading 5 Char"/>
    <w:basedOn w:val="DefaultParagraphFont"/>
    <w:link w:val="Heading5"/>
    <w:uiPriority w:val="9"/>
    <w:semiHidden/>
    <w:rsid w:val="000B538E"/>
    <w:rPr>
      <w:rFonts w:asciiTheme="majorHAnsi" w:eastAsiaTheme="majorEastAsia" w:hAnsiTheme="majorHAnsi" w:cstheme="majorBidi"/>
      <w:color w:val="243F60" w:themeColor="accent1" w:themeShade="7F"/>
    </w:rPr>
  </w:style>
  <w:style w:type="paragraph" w:styleId="Revision">
    <w:name w:val="Revision"/>
    <w:hidden/>
    <w:uiPriority w:val="99"/>
    <w:semiHidden/>
    <w:rsid w:val="00E562CE"/>
    <w:rPr>
      <w:rFonts w:ascii="Times New Roman" w:eastAsia="Times New Roman" w:hAnsi="Times New Roman"/>
    </w:rPr>
  </w:style>
  <w:style w:type="paragraph" w:customStyle="1" w:styleId="ModelNrmlSingle">
    <w:name w:val="ModelNrmlSingle"/>
    <w:basedOn w:val="Normal"/>
    <w:link w:val="ModelNrmlSingleChar"/>
    <w:rsid w:val="008F629A"/>
    <w:pPr>
      <w:spacing w:after="240"/>
      <w:ind w:firstLine="720"/>
      <w:jc w:val="both"/>
    </w:pPr>
    <w:rPr>
      <w:sz w:val="22"/>
      <w:szCs w:val="20"/>
    </w:rPr>
  </w:style>
  <w:style w:type="paragraph" w:customStyle="1" w:styleId="ModelDoubleNoIndent">
    <w:name w:val="ModelDoubleNoIndent"/>
    <w:basedOn w:val="Normal"/>
    <w:rsid w:val="009209B7"/>
    <w:pPr>
      <w:spacing w:after="360" w:line="480" w:lineRule="auto"/>
      <w:jc w:val="both"/>
    </w:pPr>
    <w:rPr>
      <w:sz w:val="22"/>
      <w:szCs w:val="20"/>
    </w:rPr>
  </w:style>
  <w:style w:type="character" w:customStyle="1" w:styleId="FootnoteTextChar1">
    <w:name w:val="Footnote Text Char1"/>
    <w:aliases w:val="single space Char1,fn Char1,FOOTNOTES Char1,Testo nota a piè di pagina Carattere Char Char1,Footnote Text Char Char Char Char Char Char1,Footnote Text Char Char Char Char Char2,Footnote Text Char Char Char Char2,+ 10 pt Car Char1"/>
    <w:basedOn w:val="DefaultParagraphFont"/>
    <w:uiPriority w:val="99"/>
    <w:locked/>
    <w:rsid w:val="0099245A"/>
    <w:rPr>
      <w:rFonts w:ascii="Times New Roman" w:hAnsi="Times New Roman" w:cs="Times New Roman"/>
      <w:sz w:val="20"/>
      <w:szCs w:val="20"/>
    </w:rPr>
  </w:style>
  <w:style w:type="character" w:customStyle="1" w:styleId="shorttext">
    <w:name w:val="short_text"/>
    <w:basedOn w:val="DefaultParagraphFont"/>
    <w:uiPriority w:val="99"/>
    <w:rsid w:val="00BF572B"/>
    <w:rPr>
      <w:rFonts w:cs="Times New Roman"/>
    </w:rPr>
  </w:style>
  <w:style w:type="paragraph" w:styleId="BodyText">
    <w:name w:val="Body Text"/>
    <w:basedOn w:val="Normal"/>
    <w:link w:val="BodyTextChar"/>
    <w:rsid w:val="00013AC7"/>
    <w:rPr>
      <w:szCs w:val="20"/>
      <w:lang w:val="en-GB"/>
    </w:rPr>
  </w:style>
  <w:style w:type="character" w:customStyle="1" w:styleId="BodyTextChar">
    <w:name w:val="Body Text Char"/>
    <w:basedOn w:val="DefaultParagraphFont"/>
    <w:link w:val="BodyText"/>
    <w:rsid w:val="00013AC7"/>
    <w:rPr>
      <w:rFonts w:ascii="Times New Roman" w:eastAsia="Times New Roman" w:hAnsi="Times New Roman"/>
      <w:szCs w:val="20"/>
      <w:lang w:val="en-GB"/>
    </w:rPr>
  </w:style>
  <w:style w:type="character" w:customStyle="1" w:styleId="ModelNrmlSingleChar">
    <w:name w:val="ModelNrmlSingle Char"/>
    <w:basedOn w:val="DefaultParagraphFont"/>
    <w:link w:val="ModelNrmlSingle"/>
    <w:rsid w:val="0099080E"/>
    <w:rPr>
      <w:rFonts w:ascii="Times New Roman" w:eastAsia="Times New Roman" w:hAnsi="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D1"/>
    <w:rPr>
      <w:rFonts w:ascii="Times New Roman" w:eastAsia="Times New Roman" w:hAnsi="Times New Roman"/>
    </w:rPr>
  </w:style>
  <w:style w:type="paragraph" w:styleId="Heading1">
    <w:name w:val="heading 1"/>
    <w:basedOn w:val="Normal"/>
    <w:next w:val="Normal"/>
    <w:link w:val="Heading1Char"/>
    <w:uiPriority w:val="99"/>
    <w:qFormat/>
    <w:rsid w:val="009E37D1"/>
    <w:pPr>
      <w:keepNext/>
      <w:outlineLvl w:val="0"/>
    </w:pPr>
    <w:rPr>
      <w:b/>
      <w:bCs/>
    </w:rPr>
  </w:style>
  <w:style w:type="paragraph" w:styleId="Heading2">
    <w:name w:val="heading 2"/>
    <w:basedOn w:val="Normal"/>
    <w:next w:val="Normal"/>
    <w:link w:val="Heading2Char"/>
    <w:qFormat/>
    <w:rsid w:val="009E37D1"/>
    <w:pPr>
      <w:keepNext/>
      <w:jc w:val="center"/>
      <w:outlineLvl w:val="1"/>
    </w:pPr>
    <w:rPr>
      <w:b/>
      <w:bCs/>
    </w:rPr>
  </w:style>
  <w:style w:type="paragraph" w:styleId="Heading3">
    <w:name w:val="heading 3"/>
    <w:basedOn w:val="Normal"/>
    <w:next w:val="Normal"/>
    <w:link w:val="Heading3Char"/>
    <w:uiPriority w:val="99"/>
    <w:qFormat/>
    <w:rsid w:val="009E37D1"/>
    <w:pPr>
      <w:keepNext/>
      <w:jc w:val="center"/>
      <w:outlineLvl w:val="2"/>
    </w:pPr>
    <w:rPr>
      <w:b/>
      <w:bCs/>
      <w:sz w:val="22"/>
    </w:rPr>
  </w:style>
  <w:style w:type="paragraph" w:styleId="Heading5">
    <w:name w:val="heading 5"/>
    <w:basedOn w:val="Normal"/>
    <w:next w:val="Normal"/>
    <w:link w:val="Heading5Char"/>
    <w:uiPriority w:val="9"/>
    <w:semiHidden/>
    <w:unhideWhenUsed/>
    <w:qFormat/>
    <w:rsid w:val="000B53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C8186F"/>
    <w:pPr>
      <w:spacing w:before="240" w:after="60" w:line="276" w:lineRule="auto"/>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37D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E37D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9E37D1"/>
    <w:rPr>
      <w:rFonts w:ascii="Times New Roman" w:eastAsia="Times New Roman" w:hAnsi="Times New Roman" w:cs="Times New Roman"/>
      <w:b/>
      <w:bCs/>
      <w:szCs w:val="24"/>
    </w:rPr>
  </w:style>
  <w:style w:type="paragraph" w:styleId="ListParagraph">
    <w:name w:val="List Paragraph"/>
    <w:basedOn w:val="Normal"/>
    <w:link w:val="ListParagraphChar"/>
    <w:uiPriority w:val="34"/>
    <w:qFormat/>
    <w:rsid w:val="009E37D1"/>
    <w:pPr>
      <w:ind w:left="720"/>
      <w:contextualSpacing/>
    </w:pPr>
  </w:style>
  <w:style w:type="table" w:styleId="TableGrid">
    <w:name w:val="Table Grid"/>
    <w:basedOn w:val="TableNormal"/>
    <w:uiPriority w:val="59"/>
    <w:rsid w:val="0036697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36697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366978"/>
    <w:rPr>
      <w:rFonts w:ascii="Cambria" w:eastAsia="Calibri" w:hAnsi="Cambria" w:cs="Times New Roman"/>
      <w:lang w:bidi="en-US"/>
    </w:rPr>
  </w:style>
  <w:style w:type="paragraph" w:styleId="FootnoteText">
    <w:name w:val="footnote text"/>
    <w:aliases w:val="single space,footnote text,fn,FOOTNOTES,Testo nota a piè di pagina Carattere Char,Footnote Text Char Char Char Char Char,Footnote Text Char Char Char Char,Footnote Text Char Char Char,+ 10 pt Car,+ 10 pt,Nota a pie/Bibliog,f,Geneva 9,Font"/>
    <w:basedOn w:val="Normal"/>
    <w:link w:val="FootnoteTextChar"/>
    <w:unhideWhenUsed/>
    <w:rsid w:val="00366978"/>
    <w:rPr>
      <w:rFonts w:eastAsia="Calibri"/>
      <w:sz w:val="20"/>
      <w:szCs w:val="20"/>
    </w:rPr>
  </w:style>
  <w:style w:type="character" w:customStyle="1" w:styleId="FootnoteTextChar">
    <w:name w:val="Footnote Text Char"/>
    <w:aliases w:val="single space Char,footnote text Char,fn Char,FOOTNOTES Char,Testo nota a piè di pagina Carattere Char Char,Footnote Text Char Char Char Char Char Char,Footnote Text Char Char Char Char Char1,Footnote Text Char Char Char Char1,f Char"/>
    <w:basedOn w:val="DefaultParagraphFont"/>
    <w:link w:val="FootnoteText"/>
    <w:rsid w:val="00366978"/>
    <w:rPr>
      <w:rFonts w:ascii="Times New Roman" w:hAnsi="Times New Roman"/>
      <w:sz w:val="20"/>
      <w:szCs w:val="20"/>
    </w:rPr>
  </w:style>
  <w:style w:type="character" w:styleId="FootnoteReference">
    <w:name w:val="footnote reference"/>
    <w:aliases w:val="Ref,de nota al pie,16 Point,Superscript 6 Point,ftref"/>
    <w:basedOn w:val="DefaultParagraphFont"/>
    <w:unhideWhenUsed/>
    <w:rsid w:val="00366978"/>
    <w:rPr>
      <w:vertAlign w:val="superscript"/>
    </w:rPr>
  </w:style>
  <w:style w:type="paragraph" w:styleId="BalloonText">
    <w:name w:val="Balloon Text"/>
    <w:basedOn w:val="Normal"/>
    <w:link w:val="BalloonTextChar"/>
    <w:uiPriority w:val="99"/>
    <w:semiHidden/>
    <w:unhideWhenUsed/>
    <w:rsid w:val="000B6A56"/>
    <w:rPr>
      <w:rFonts w:ascii="Tahoma" w:hAnsi="Tahoma" w:cs="Tahoma"/>
      <w:sz w:val="16"/>
      <w:szCs w:val="16"/>
    </w:rPr>
  </w:style>
  <w:style w:type="character" w:customStyle="1" w:styleId="BalloonTextChar">
    <w:name w:val="Balloon Text Char"/>
    <w:basedOn w:val="DefaultParagraphFont"/>
    <w:link w:val="BalloonText"/>
    <w:uiPriority w:val="99"/>
    <w:semiHidden/>
    <w:rsid w:val="000B6A56"/>
    <w:rPr>
      <w:rFonts w:ascii="Tahoma" w:eastAsia="Times New Roman" w:hAnsi="Tahoma" w:cs="Tahoma"/>
      <w:sz w:val="16"/>
      <w:szCs w:val="16"/>
    </w:rPr>
  </w:style>
  <w:style w:type="character" w:styleId="CommentReference">
    <w:name w:val="annotation reference"/>
    <w:basedOn w:val="DefaultParagraphFont"/>
    <w:unhideWhenUsed/>
    <w:rsid w:val="008475E3"/>
    <w:rPr>
      <w:sz w:val="16"/>
      <w:szCs w:val="16"/>
    </w:rPr>
  </w:style>
  <w:style w:type="paragraph" w:styleId="CommentText">
    <w:name w:val="annotation text"/>
    <w:basedOn w:val="Normal"/>
    <w:link w:val="CommentTextChar"/>
    <w:unhideWhenUsed/>
    <w:rsid w:val="008475E3"/>
    <w:rPr>
      <w:sz w:val="20"/>
      <w:szCs w:val="20"/>
    </w:rPr>
  </w:style>
  <w:style w:type="character" w:customStyle="1" w:styleId="CommentTextChar">
    <w:name w:val="Comment Text Char"/>
    <w:basedOn w:val="DefaultParagraphFont"/>
    <w:link w:val="CommentText"/>
    <w:rsid w:val="00847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E3"/>
    <w:rPr>
      <w:b/>
      <w:bCs/>
    </w:rPr>
  </w:style>
  <w:style w:type="character" w:customStyle="1" w:styleId="CommentSubjectChar">
    <w:name w:val="Comment Subject Char"/>
    <w:basedOn w:val="CommentTextChar"/>
    <w:link w:val="CommentSubject"/>
    <w:uiPriority w:val="99"/>
    <w:semiHidden/>
    <w:rsid w:val="008475E3"/>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2A30D9"/>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2A30D9"/>
    <w:pPr>
      <w:spacing w:after="100"/>
    </w:pPr>
  </w:style>
  <w:style w:type="paragraph" w:styleId="TOC2">
    <w:name w:val="toc 2"/>
    <w:basedOn w:val="Normal"/>
    <w:next w:val="Normal"/>
    <w:autoRedefine/>
    <w:uiPriority w:val="39"/>
    <w:unhideWhenUsed/>
    <w:rsid w:val="00A9151C"/>
    <w:pPr>
      <w:tabs>
        <w:tab w:val="right" w:leader="dot" w:pos="9350"/>
      </w:tabs>
      <w:spacing w:after="100"/>
      <w:ind w:left="360"/>
    </w:pPr>
  </w:style>
  <w:style w:type="paragraph" w:styleId="TOC3">
    <w:name w:val="toc 3"/>
    <w:basedOn w:val="Normal"/>
    <w:next w:val="Normal"/>
    <w:autoRedefine/>
    <w:uiPriority w:val="39"/>
    <w:unhideWhenUsed/>
    <w:rsid w:val="002A30D9"/>
    <w:pPr>
      <w:spacing w:after="100"/>
      <w:ind w:left="480"/>
    </w:pPr>
  </w:style>
  <w:style w:type="character" w:styleId="Hyperlink">
    <w:name w:val="Hyperlink"/>
    <w:basedOn w:val="DefaultParagraphFont"/>
    <w:uiPriority w:val="99"/>
    <w:unhideWhenUsed/>
    <w:rsid w:val="002A30D9"/>
    <w:rPr>
      <w:color w:val="0000FF"/>
      <w:u w:val="single"/>
    </w:rPr>
  </w:style>
  <w:style w:type="paragraph" w:styleId="Header">
    <w:name w:val="header"/>
    <w:basedOn w:val="Normal"/>
    <w:link w:val="HeaderChar"/>
    <w:uiPriority w:val="99"/>
    <w:unhideWhenUsed/>
    <w:rsid w:val="008743DA"/>
    <w:pPr>
      <w:tabs>
        <w:tab w:val="center" w:pos="4680"/>
        <w:tab w:val="right" w:pos="9360"/>
      </w:tabs>
    </w:pPr>
  </w:style>
  <w:style w:type="character" w:customStyle="1" w:styleId="HeaderChar">
    <w:name w:val="Header Char"/>
    <w:basedOn w:val="DefaultParagraphFont"/>
    <w:link w:val="Header"/>
    <w:uiPriority w:val="99"/>
    <w:rsid w:val="008743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43DA"/>
    <w:pPr>
      <w:tabs>
        <w:tab w:val="center" w:pos="4680"/>
        <w:tab w:val="right" w:pos="9360"/>
      </w:tabs>
    </w:pPr>
  </w:style>
  <w:style w:type="character" w:customStyle="1" w:styleId="FooterChar">
    <w:name w:val="Footer Char"/>
    <w:basedOn w:val="DefaultParagraphFont"/>
    <w:link w:val="Footer"/>
    <w:uiPriority w:val="99"/>
    <w:rsid w:val="008743DA"/>
    <w:rPr>
      <w:rFonts w:ascii="Times New Roman" w:eastAsia="Times New Roman" w:hAnsi="Times New Roman" w:cs="Times New Roman"/>
      <w:sz w:val="24"/>
      <w:szCs w:val="24"/>
    </w:rPr>
  </w:style>
  <w:style w:type="paragraph" w:customStyle="1" w:styleId="Heading1a">
    <w:name w:val="Heading 1a"/>
    <w:basedOn w:val="Normal"/>
    <w:next w:val="Normal"/>
    <w:rsid w:val="00AA19E1"/>
    <w:pPr>
      <w:keepNext/>
      <w:keepLines/>
      <w:numPr>
        <w:numId w:val="3"/>
      </w:numPr>
      <w:spacing w:after="120"/>
      <w:jc w:val="center"/>
      <w:outlineLvl w:val="0"/>
    </w:pPr>
    <w:rPr>
      <w:rFonts w:ascii="Times New Roman Bold" w:hAnsi="Times New Roman Bold"/>
      <w:b/>
    </w:rPr>
  </w:style>
  <w:style w:type="paragraph" w:customStyle="1" w:styleId="MainParanoChapter">
    <w:name w:val="Main Para no Chapter #"/>
    <w:basedOn w:val="Normal"/>
    <w:rsid w:val="00AA19E1"/>
    <w:pPr>
      <w:numPr>
        <w:ilvl w:val="1"/>
        <w:numId w:val="3"/>
      </w:numPr>
      <w:tabs>
        <w:tab w:val="clear" w:pos="720"/>
      </w:tabs>
      <w:spacing w:after="240"/>
      <w:ind w:left="0" w:firstLine="0"/>
      <w:outlineLvl w:val="1"/>
    </w:pPr>
  </w:style>
  <w:style w:type="paragraph" w:customStyle="1" w:styleId="Sub-Para1underX">
    <w:name w:val="Sub-Para 1 under X."/>
    <w:basedOn w:val="Normal"/>
    <w:rsid w:val="00AA19E1"/>
    <w:pPr>
      <w:numPr>
        <w:ilvl w:val="2"/>
        <w:numId w:val="3"/>
      </w:numPr>
      <w:tabs>
        <w:tab w:val="clear" w:pos="1080"/>
      </w:tabs>
      <w:spacing w:after="240"/>
      <w:ind w:left="1440" w:hanging="720"/>
      <w:outlineLvl w:val="2"/>
    </w:pPr>
  </w:style>
  <w:style w:type="paragraph" w:customStyle="1" w:styleId="Sub-Para2underX">
    <w:name w:val="Sub-Para 2 under X."/>
    <w:basedOn w:val="Normal"/>
    <w:rsid w:val="00AA19E1"/>
    <w:pPr>
      <w:numPr>
        <w:ilvl w:val="3"/>
        <w:numId w:val="3"/>
      </w:numPr>
      <w:tabs>
        <w:tab w:val="clear" w:pos="1800"/>
      </w:tabs>
      <w:spacing w:after="240"/>
      <w:ind w:left="2160" w:hanging="720"/>
      <w:outlineLvl w:val="3"/>
    </w:pPr>
  </w:style>
  <w:style w:type="paragraph" w:customStyle="1" w:styleId="Sub-Para3underX">
    <w:name w:val="Sub-Para 3 under X."/>
    <w:basedOn w:val="Normal"/>
    <w:rsid w:val="00AA19E1"/>
    <w:pPr>
      <w:numPr>
        <w:ilvl w:val="4"/>
        <w:numId w:val="3"/>
      </w:numPr>
      <w:tabs>
        <w:tab w:val="clear" w:pos="1440"/>
      </w:tabs>
      <w:spacing w:after="240"/>
      <w:ind w:left="2880" w:hanging="720"/>
      <w:outlineLvl w:val="4"/>
    </w:pPr>
  </w:style>
  <w:style w:type="paragraph" w:customStyle="1" w:styleId="Sub-Para4underX">
    <w:name w:val="Sub-Para 4 under X."/>
    <w:basedOn w:val="Normal"/>
    <w:rsid w:val="00AA19E1"/>
    <w:pPr>
      <w:numPr>
        <w:ilvl w:val="5"/>
        <w:numId w:val="3"/>
      </w:numPr>
      <w:tabs>
        <w:tab w:val="clear" w:pos="2160"/>
      </w:tabs>
      <w:spacing w:after="240"/>
      <w:ind w:left="3600" w:hanging="720"/>
      <w:outlineLvl w:val="5"/>
    </w:pPr>
  </w:style>
  <w:style w:type="character" w:customStyle="1" w:styleId="ListParagraphChar">
    <w:name w:val="List Paragraph Char"/>
    <w:basedOn w:val="DefaultParagraphFont"/>
    <w:link w:val="ListParagraph"/>
    <w:uiPriority w:val="34"/>
    <w:locked/>
    <w:rsid w:val="00EC2E72"/>
    <w:rPr>
      <w:rFonts w:ascii="Times New Roman" w:eastAsia="Times New Roman" w:hAnsi="Times New Roman" w:cs="Times New Roman"/>
      <w:sz w:val="24"/>
      <w:szCs w:val="24"/>
    </w:rPr>
  </w:style>
  <w:style w:type="character" w:styleId="Strong">
    <w:name w:val="Strong"/>
    <w:basedOn w:val="DefaultParagraphFont"/>
    <w:uiPriority w:val="22"/>
    <w:qFormat/>
    <w:rsid w:val="00077564"/>
    <w:rPr>
      <w:b/>
      <w:bCs/>
    </w:rPr>
  </w:style>
  <w:style w:type="paragraph" w:styleId="NormalWeb">
    <w:name w:val="Normal (Web)"/>
    <w:basedOn w:val="Normal"/>
    <w:unhideWhenUsed/>
    <w:rsid w:val="00897A3E"/>
    <w:pPr>
      <w:spacing w:before="100" w:beforeAutospacing="1" w:after="100" w:afterAutospacing="1"/>
    </w:pPr>
    <w:rPr>
      <w:rFonts w:ascii="Times" w:eastAsiaTheme="minorEastAsia" w:hAnsi="Times"/>
      <w:sz w:val="20"/>
      <w:szCs w:val="20"/>
    </w:rPr>
  </w:style>
  <w:style w:type="character" w:customStyle="1" w:styleId="Heading9Char">
    <w:name w:val="Heading 9 Char"/>
    <w:basedOn w:val="DefaultParagraphFont"/>
    <w:link w:val="Heading9"/>
    <w:rsid w:val="00C8186F"/>
    <w:rPr>
      <w:rFonts w:ascii="Arial" w:hAnsi="Arial" w:cs="Arial"/>
      <w:sz w:val="22"/>
      <w:szCs w:val="22"/>
    </w:rPr>
  </w:style>
  <w:style w:type="paragraph" w:styleId="Caption">
    <w:name w:val="caption"/>
    <w:basedOn w:val="Normal"/>
    <w:next w:val="Normal"/>
    <w:unhideWhenUsed/>
    <w:qFormat/>
    <w:rsid w:val="00A031CB"/>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F96EFA"/>
    <w:rPr>
      <w:sz w:val="20"/>
      <w:szCs w:val="20"/>
    </w:rPr>
  </w:style>
  <w:style w:type="character" w:customStyle="1" w:styleId="EndnoteTextChar">
    <w:name w:val="Endnote Text Char"/>
    <w:basedOn w:val="DefaultParagraphFont"/>
    <w:link w:val="EndnoteText"/>
    <w:uiPriority w:val="99"/>
    <w:semiHidden/>
    <w:rsid w:val="00F96EFA"/>
    <w:rPr>
      <w:rFonts w:ascii="Times New Roman" w:eastAsia="Times New Roman" w:hAnsi="Times New Roman"/>
    </w:rPr>
  </w:style>
  <w:style w:type="character" w:styleId="EndnoteReference">
    <w:name w:val="endnote reference"/>
    <w:basedOn w:val="DefaultParagraphFont"/>
    <w:uiPriority w:val="99"/>
    <w:semiHidden/>
    <w:unhideWhenUsed/>
    <w:rsid w:val="00F96EFA"/>
    <w:rPr>
      <w:vertAlign w:val="superscript"/>
    </w:rPr>
  </w:style>
  <w:style w:type="table" w:styleId="MediumGrid3-Accent5">
    <w:name w:val="Medium Grid 3 Accent 5"/>
    <w:basedOn w:val="TableNormal"/>
    <w:uiPriority w:val="69"/>
    <w:rsid w:val="00820B1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D5083"/>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Grid1">
    <w:name w:val="Table Grid1"/>
    <w:basedOn w:val="TableNormal"/>
    <w:next w:val="TableGrid"/>
    <w:rsid w:val="000A539A"/>
    <w:rPr>
      <w:rFonts w:ascii="Times New Roman" w:eastAsia="Times New Roman" w:hAnsi="Times New Roman"/>
      <w:snapToGrid w:val="0"/>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VKNorm">
    <w:name w:val="JVK Norm"/>
    <w:basedOn w:val="Heading5"/>
    <w:rsid w:val="000B538E"/>
    <w:pPr>
      <w:keepNext w:val="0"/>
      <w:keepLines w:val="0"/>
      <w:spacing w:before="0" w:after="240"/>
      <w:jc w:val="both"/>
      <w:outlineLvl w:val="9"/>
    </w:pPr>
    <w:rPr>
      <w:rFonts w:ascii="Times New Roman" w:eastAsia="Times New Roman" w:hAnsi="Times New Roman" w:cs="Times New Roman"/>
      <w:color w:val="auto"/>
      <w:sz w:val="22"/>
      <w:szCs w:val="20"/>
    </w:rPr>
  </w:style>
  <w:style w:type="character" w:customStyle="1" w:styleId="Heading5Char">
    <w:name w:val="Heading 5 Char"/>
    <w:basedOn w:val="DefaultParagraphFont"/>
    <w:link w:val="Heading5"/>
    <w:uiPriority w:val="9"/>
    <w:semiHidden/>
    <w:rsid w:val="000B538E"/>
    <w:rPr>
      <w:rFonts w:asciiTheme="majorHAnsi" w:eastAsiaTheme="majorEastAsia" w:hAnsiTheme="majorHAnsi" w:cstheme="majorBidi"/>
      <w:color w:val="243F60" w:themeColor="accent1" w:themeShade="7F"/>
    </w:rPr>
  </w:style>
  <w:style w:type="paragraph" w:styleId="Revision">
    <w:name w:val="Revision"/>
    <w:hidden/>
    <w:uiPriority w:val="99"/>
    <w:semiHidden/>
    <w:rsid w:val="00E562CE"/>
    <w:rPr>
      <w:rFonts w:ascii="Times New Roman" w:eastAsia="Times New Roman" w:hAnsi="Times New Roman"/>
    </w:rPr>
  </w:style>
  <w:style w:type="paragraph" w:customStyle="1" w:styleId="ModelNrmlSingle">
    <w:name w:val="ModelNrmlSingle"/>
    <w:basedOn w:val="Normal"/>
    <w:link w:val="ModelNrmlSingleChar"/>
    <w:rsid w:val="008F629A"/>
    <w:pPr>
      <w:spacing w:after="240"/>
      <w:ind w:firstLine="720"/>
      <w:jc w:val="both"/>
    </w:pPr>
    <w:rPr>
      <w:sz w:val="22"/>
      <w:szCs w:val="20"/>
    </w:rPr>
  </w:style>
  <w:style w:type="paragraph" w:customStyle="1" w:styleId="ModelDoubleNoIndent">
    <w:name w:val="ModelDoubleNoIndent"/>
    <w:basedOn w:val="Normal"/>
    <w:rsid w:val="009209B7"/>
    <w:pPr>
      <w:spacing w:after="360" w:line="480" w:lineRule="auto"/>
      <w:jc w:val="both"/>
    </w:pPr>
    <w:rPr>
      <w:sz w:val="22"/>
      <w:szCs w:val="20"/>
    </w:rPr>
  </w:style>
  <w:style w:type="character" w:customStyle="1" w:styleId="FootnoteTextChar1">
    <w:name w:val="Footnote Text Char1"/>
    <w:aliases w:val="single space Char1,fn Char1,FOOTNOTES Char1,Testo nota a piè di pagina Carattere Char Char1,Footnote Text Char Char Char Char Char Char1,Footnote Text Char Char Char Char Char2,Footnote Text Char Char Char Char2,+ 10 pt Car Char1"/>
    <w:basedOn w:val="DefaultParagraphFont"/>
    <w:uiPriority w:val="99"/>
    <w:locked/>
    <w:rsid w:val="0099245A"/>
    <w:rPr>
      <w:rFonts w:ascii="Times New Roman" w:hAnsi="Times New Roman" w:cs="Times New Roman"/>
      <w:sz w:val="20"/>
      <w:szCs w:val="20"/>
    </w:rPr>
  </w:style>
  <w:style w:type="character" w:customStyle="1" w:styleId="shorttext">
    <w:name w:val="short_text"/>
    <w:basedOn w:val="DefaultParagraphFont"/>
    <w:uiPriority w:val="99"/>
    <w:rsid w:val="00BF572B"/>
    <w:rPr>
      <w:rFonts w:cs="Times New Roman"/>
    </w:rPr>
  </w:style>
  <w:style w:type="paragraph" w:styleId="BodyText">
    <w:name w:val="Body Text"/>
    <w:basedOn w:val="Normal"/>
    <w:link w:val="BodyTextChar"/>
    <w:rsid w:val="00013AC7"/>
    <w:rPr>
      <w:szCs w:val="20"/>
      <w:lang w:val="en-GB"/>
    </w:rPr>
  </w:style>
  <w:style w:type="character" w:customStyle="1" w:styleId="BodyTextChar">
    <w:name w:val="Body Text Char"/>
    <w:basedOn w:val="DefaultParagraphFont"/>
    <w:link w:val="BodyText"/>
    <w:rsid w:val="00013AC7"/>
    <w:rPr>
      <w:rFonts w:ascii="Times New Roman" w:eastAsia="Times New Roman" w:hAnsi="Times New Roman"/>
      <w:szCs w:val="20"/>
      <w:lang w:val="en-GB"/>
    </w:rPr>
  </w:style>
  <w:style w:type="character" w:customStyle="1" w:styleId="ModelNrmlSingleChar">
    <w:name w:val="ModelNrmlSingle Char"/>
    <w:basedOn w:val="DefaultParagraphFont"/>
    <w:link w:val="ModelNrmlSingle"/>
    <w:rsid w:val="0099080E"/>
    <w:rPr>
      <w:rFonts w:ascii="Times New Roman" w:eastAsia="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643">
      <w:bodyDiv w:val="1"/>
      <w:marLeft w:val="0"/>
      <w:marRight w:val="0"/>
      <w:marTop w:val="0"/>
      <w:marBottom w:val="0"/>
      <w:divBdr>
        <w:top w:val="none" w:sz="0" w:space="0" w:color="auto"/>
        <w:left w:val="none" w:sz="0" w:space="0" w:color="auto"/>
        <w:bottom w:val="none" w:sz="0" w:space="0" w:color="auto"/>
        <w:right w:val="none" w:sz="0" w:space="0" w:color="auto"/>
      </w:divBdr>
    </w:div>
    <w:div w:id="168106193">
      <w:bodyDiv w:val="1"/>
      <w:marLeft w:val="0"/>
      <w:marRight w:val="0"/>
      <w:marTop w:val="0"/>
      <w:marBottom w:val="0"/>
      <w:divBdr>
        <w:top w:val="none" w:sz="0" w:space="0" w:color="auto"/>
        <w:left w:val="none" w:sz="0" w:space="0" w:color="auto"/>
        <w:bottom w:val="none" w:sz="0" w:space="0" w:color="auto"/>
        <w:right w:val="none" w:sz="0" w:space="0" w:color="auto"/>
      </w:divBdr>
    </w:div>
    <w:div w:id="204948495">
      <w:bodyDiv w:val="1"/>
      <w:marLeft w:val="0"/>
      <w:marRight w:val="0"/>
      <w:marTop w:val="0"/>
      <w:marBottom w:val="0"/>
      <w:divBdr>
        <w:top w:val="none" w:sz="0" w:space="0" w:color="auto"/>
        <w:left w:val="none" w:sz="0" w:space="0" w:color="auto"/>
        <w:bottom w:val="none" w:sz="0" w:space="0" w:color="auto"/>
        <w:right w:val="none" w:sz="0" w:space="0" w:color="auto"/>
      </w:divBdr>
    </w:div>
    <w:div w:id="469831049">
      <w:bodyDiv w:val="1"/>
      <w:marLeft w:val="0"/>
      <w:marRight w:val="0"/>
      <w:marTop w:val="0"/>
      <w:marBottom w:val="0"/>
      <w:divBdr>
        <w:top w:val="none" w:sz="0" w:space="0" w:color="auto"/>
        <w:left w:val="none" w:sz="0" w:space="0" w:color="auto"/>
        <w:bottom w:val="none" w:sz="0" w:space="0" w:color="auto"/>
        <w:right w:val="none" w:sz="0" w:space="0" w:color="auto"/>
      </w:divBdr>
    </w:div>
    <w:div w:id="671568221">
      <w:bodyDiv w:val="1"/>
      <w:marLeft w:val="0"/>
      <w:marRight w:val="0"/>
      <w:marTop w:val="0"/>
      <w:marBottom w:val="0"/>
      <w:divBdr>
        <w:top w:val="none" w:sz="0" w:space="0" w:color="auto"/>
        <w:left w:val="none" w:sz="0" w:space="0" w:color="auto"/>
        <w:bottom w:val="none" w:sz="0" w:space="0" w:color="auto"/>
        <w:right w:val="none" w:sz="0" w:space="0" w:color="auto"/>
      </w:divBdr>
    </w:div>
    <w:div w:id="1160732714">
      <w:bodyDiv w:val="1"/>
      <w:marLeft w:val="0"/>
      <w:marRight w:val="0"/>
      <w:marTop w:val="0"/>
      <w:marBottom w:val="0"/>
      <w:divBdr>
        <w:top w:val="none" w:sz="0" w:space="0" w:color="auto"/>
        <w:left w:val="none" w:sz="0" w:space="0" w:color="auto"/>
        <w:bottom w:val="none" w:sz="0" w:space="0" w:color="auto"/>
        <w:right w:val="none" w:sz="0" w:space="0" w:color="auto"/>
      </w:divBdr>
    </w:div>
    <w:div w:id="17151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udezm@mined.gob.ni"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198951\Documents\nicaragua\PAESE\economic%20analysis\michael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198951\Documents\nicaragua\PAESE\economic%20analysis\michael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90507436570401"/>
          <c:y val="5.1400554097404502E-2"/>
          <c:w val="0.71765048118985297"/>
          <c:h val="0.68352216389618004"/>
        </c:manualLayout>
      </c:layout>
      <c:lineChart>
        <c:grouping val="standard"/>
        <c:varyColors val="0"/>
        <c:ser>
          <c:idx val="0"/>
          <c:order val="0"/>
          <c:tx>
            <c:v>National</c:v>
          </c:tx>
          <c:marker>
            <c:symbol val="none"/>
          </c:marker>
          <c:cat>
            <c:numRef>
              <c:f>Sheet7!$A$3:$Q$3</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Sheet7!$A$4:$Q$4</c:f>
              <c:numCache>
                <c:formatCode>General</c:formatCode>
                <c:ptCount val="17"/>
                <c:pt idx="0">
                  <c:v>1</c:v>
                </c:pt>
                <c:pt idx="1">
                  <c:v>0.89250000000000096</c:v>
                </c:pt>
                <c:pt idx="2">
                  <c:v>0.86536800000000003</c:v>
                </c:pt>
                <c:pt idx="3">
                  <c:v>0.86926215600000001</c:v>
                </c:pt>
                <c:pt idx="4">
                  <c:v>0.84259753936470005</c:v>
                </c:pt>
                <c:pt idx="5">
                  <c:v>0.79176784280252499</c:v>
                </c:pt>
                <c:pt idx="6">
                  <c:v>0.71571854150133996</c:v>
                </c:pt>
                <c:pt idx="7">
                  <c:v>0.73253792722662403</c:v>
                </c:pt>
                <c:pt idx="8">
                  <c:v>0.64280203114136203</c:v>
                </c:pt>
                <c:pt idx="9">
                  <c:v>0.51617003100651404</c:v>
                </c:pt>
                <c:pt idx="10">
                  <c:v>0.425324105549373</c:v>
                </c:pt>
                <c:pt idx="11">
                  <c:v>0.34196058086169501</c:v>
                </c:pt>
                <c:pt idx="12">
                  <c:v>0.196627333995474</c:v>
                </c:pt>
                <c:pt idx="13">
                  <c:v>0.17893087393588</c:v>
                </c:pt>
                <c:pt idx="14">
                  <c:v>4.6969354408168497E-2</c:v>
                </c:pt>
                <c:pt idx="15">
                  <c:v>4.68519310221489E-2</c:v>
                </c:pt>
                <c:pt idx="16">
                  <c:v>4.4509334471040898E-2</c:v>
                </c:pt>
              </c:numCache>
            </c:numRef>
          </c:val>
          <c:smooth val="0"/>
        </c:ser>
        <c:ser>
          <c:idx val="1"/>
          <c:order val="1"/>
          <c:tx>
            <c:v>Selected Municipalities</c:v>
          </c:tx>
          <c:marker>
            <c:symbol val="none"/>
          </c:marker>
          <c:cat>
            <c:numRef>
              <c:f>Sheet7!$A$3:$Q$3</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Sheet7!$A$5:$Q$5</c:f>
              <c:numCache>
                <c:formatCode>General</c:formatCode>
                <c:ptCount val="17"/>
                <c:pt idx="0">
                  <c:v>1</c:v>
                </c:pt>
                <c:pt idx="1">
                  <c:v>0.85312500000000602</c:v>
                </c:pt>
                <c:pt idx="2">
                  <c:v>0.79852500000000004</c:v>
                </c:pt>
                <c:pt idx="3">
                  <c:v>0.77756371874999697</c:v>
                </c:pt>
                <c:pt idx="4">
                  <c:v>0.71425059295078297</c:v>
                </c:pt>
                <c:pt idx="5">
                  <c:v>0.66398520747188405</c:v>
                </c:pt>
                <c:pt idx="6">
                  <c:v>0.62398009872169002</c:v>
                </c:pt>
                <c:pt idx="7">
                  <c:v>0.42586641737756098</c:v>
                </c:pt>
                <c:pt idx="8">
                  <c:v>0.42160775320377802</c:v>
                </c:pt>
                <c:pt idx="9">
                  <c:v>0.32463796996691202</c:v>
                </c:pt>
                <c:pt idx="10">
                  <c:v>0.26750168725273299</c:v>
                </c:pt>
                <c:pt idx="11">
                  <c:v>0.21507135655119999</c:v>
                </c:pt>
                <c:pt idx="12">
                  <c:v>0.12366603001694</c:v>
                </c:pt>
                <c:pt idx="13">
                  <c:v>0.11253608731541399</c:v>
                </c:pt>
                <c:pt idx="14">
                  <c:v>2.9540722920296199E-2</c:v>
                </c:pt>
                <c:pt idx="15">
                  <c:v>2.94668711129954E-2</c:v>
                </c:pt>
                <c:pt idx="16">
                  <c:v>2.7993527557345899E-2</c:v>
                </c:pt>
              </c:numCache>
            </c:numRef>
          </c:val>
          <c:smooth val="0"/>
        </c:ser>
        <c:dLbls>
          <c:showLegendKey val="0"/>
          <c:showVal val="0"/>
          <c:showCatName val="0"/>
          <c:showSerName val="0"/>
          <c:showPercent val="0"/>
          <c:showBubbleSize val="0"/>
        </c:dLbls>
        <c:marker val="1"/>
        <c:smooth val="0"/>
        <c:axId val="111851776"/>
        <c:axId val="113643904"/>
      </c:lineChart>
      <c:catAx>
        <c:axId val="111851776"/>
        <c:scaling>
          <c:orientation val="minMax"/>
        </c:scaling>
        <c:delete val="0"/>
        <c:axPos val="b"/>
        <c:title>
          <c:tx>
            <c:rich>
              <a:bodyPr/>
              <a:lstStyle/>
              <a:p>
                <a:pPr>
                  <a:defRPr lang="en-US"/>
                </a:pPr>
                <a:r>
                  <a:rPr lang="en-US"/>
                  <a:t>Years of Education</a:t>
                </a:r>
              </a:p>
            </c:rich>
          </c:tx>
          <c:overlay val="0"/>
        </c:title>
        <c:numFmt formatCode="General" sourceLinked="1"/>
        <c:majorTickMark val="none"/>
        <c:minorTickMark val="none"/>
        <c:tickLblPos val="nextTo"/>
        <c:txPr>
          <a:bodyPr/>
          <a:lstStyle/>
          <a:p>
            <a:pPr>
              <a:defRPr lang="en-US"/>
            </a:pPr>
            <a:endParaRPr lang="en-US"/>
          </a:p>
        </c:txPr>
        <c:crossAx val="113643904"/>
        <c:crosses val="autoZero"/>
        <c:auto val="1"/>
        <c:lblAlgn val="ctr"/>
        <c:lblOffset val="100"/>
        <c:noMultiLvlLbl val="0"/>
      </c:catAx>
      <c:valAx>
        <c:axId val="113643904"/>
        <c:scaling>
          <c:orientation val="minMax"/>
          <c:max val="1"/>
        </c:scaling>
        <c:delete val="0"/>
        <c:axPos val="l"/>
        <c:majorGridlines/>
        <c:title>
          <c:tx>
            <c:rich>
              <a:bodyPr/>
              <a:lstStyle/>
              <a:p>
                <a:pPr>
                  <a:defRPr lang="en-US"/>
                </a:pPr>
                <a:r>
                  <a:rPr lang="en-US"/>
                  <a:t>Share of population</a:t>
                </a:r>
              </a:p>
            </c:rich>
          </c:tx>
          <c:overlay val="0"/>
        </c:title>
        <c:numFmt formatCode="0%" sourceLinked="0"/>
        <c:majorTickMark val="out"/>
        <c:minorTickMark val="none"/>
        <c:tickLblPos val="nextTo"/>
        <c:txPr>
          <a:bodyPr/>
          <a:lstStyle/>
          <a:p>
            <a:pPr>
              <a:defRPr lang="en-US"/>
            </a:pPr>
            <a:endParaRPr lang="en-US"/>
          </a:p>
        </c:txPr>
        <c:crossAx val="111851776"/>
        <c:crosses val="autoZero"/>
        <c:crossBetween val="between"/>
      </c:valAx>
    </c:plotArea>
    <c:legend>
      <c:legendPos val="r"/>
      <c:layout>
        <c:manualLayout>
          <c:xMode val="edge"/>
          <c:yMode val="edge"/>
          <c:x val="0.186111111111112"/>
          <c:y val="0.89313466025080401"/>
          <c:w val="0.69444444444444997"/>
          <c:h val="0.102619568387285"/>
        </c:manualLayout>
      </c:layout>
      <c:overlay val="0"/>
      <c:txPr>
        <a:bodyPr/>
        <a:lstStyle/>
        <a:p>
          <a:pPr>
            <a:defRPr lang="en-US"/>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cat>
            <c:numRef>
              <c:f>Sheet4!$B$3:$B$19</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Sheet4!$C$3:$C$19</c:f>
              <c:numCache>
                <c:formatCode>General</c:formatCode>
                <c:ptCount val="17"/>
                <c:pt idx="0">
                  <c:v>319.17060000000032</c:v>
                </c:pt>
                <c:pt idx="1">
                  <c:v>406.81674999999888</c:v>
                </c:pt>
                <c:pt idx="2">
                  <c:v>494.46289999999999</c:v>
                </c:pt>
                <c:pt idx="3">
                  <c:v>582.10905000000002</c:v>
                </c:pt>
                <c:pt idx="4">
                  <c:v>669.75519999999938</c:v>
                </c:pt>
                <c:pt idx="5">
                  <c:v>757.40134999999998</c:v>
                </c:pt>
                <c:pt idx="6">
                  <c:v>845.04749999999785</c:v>
                </c:pt>
                <c:pt idx="7">
                  <c:v>857.0845000000005</c:v>
                </c:pt>
                <c:pt idx="8">
                  <c:v>869.12149999999997</c:v>
                </c:pt>
                <c:pt idx="9">
                  <c:v>881.15850000000012</c:v>
                </c:pt>
                <c:pt idx="10">
                  <c:v>893.19550000000004</c:v>
                </c:pt>
                <c:pt idx="11">
                  <c:v>905.23250000000007</c:v>
                </c:pt>
                <c:pt idx="12">
                  <c:v>1426.7343000000001</c:v>
                </c:pt>
                <c:pt idx="13">
                  <c:v>1948.2361000000001</c:v>
                </c:pt>
                <c:pt idx="14">
                  <c:v>2469.7379000000001</c:v>
                </c:pt>
                <c:pt idx="15">
                  <c:v>2991.2397000000001</c:v>
                </c:pt>
                <c:pt idx="16">
                  <c:v>3512.7415000000001</c:v>
                </c:pt>
              </c:numCache>
            </c:numRef>
          </c:val>
          <c:smooth val="0"/>
        </c:ser>
        <c:dLbls>
          <c:showLegendKey val="0"/>
          <c:showVal val="0"/>
          <c:showCatName val="0"/>
          <c:showSerName val="0"/>
          <c:showPercent val="0"/>
          <c:showBubbleSize val="0"/>
        </c:dLbls>
        <c:hiLowLines/>
        <c:marker val="1"/>
        <c:smooth val="0"/>
        <c:axId val="113652480"/>
        <c:axId val="113654400"/>
      </c:lineChart>
      <c:catAx>
        <c:axId val="113652480"/>
        <c:scaling>
          <c:orientation val="minMax"/>
        </c:scaling>
        <c:delete val="0"/>
        <c:axPos val="b"/>
        <c:title>
          <c:tx>
            <c:rich>
              <a:bodyPr/>
              <a:lstStyle/>
              <a:p>
                <a:pPr>
                  <a:defRPr lang="en-US"/>
                </a:pPr>
                <a:r>
                  <a:rPr lang="en-US"/>
                  <a:t>Years</a:t>
                </a:r>
                <a:r>
                  <a:rPr lang="en-US" baseline="0"/>
                  <a:t> of education</a:t>
                </a:r>
                <a:endParaRPr lang="en-US"/>
              </a:p>
            </c:rich>
          </c:tx>
          <c:overlay val="0"/>
        </c:title>
        <c:numFmt formatCode="General" sourceLinked="1"/>
        <c:majorTickMark val="none"/>
        <c:minorTickMark val="none"/>
        <c:tickLblPos val="nextTo"/>
        <c:txPr>
          <a:bodyPr/>
          <a:lstStyle/>
          <a:p>
            <a:pPr>
              <a:defRPr lang="en-US"/>
            </a:pPr>
            <a:endParaRPr lang="en-US"/>
          </a:p>
        </c:txPr>
        <c:crossAx val="113654400"/>
        <c:crosses val="autoZero"/>
        <c:auto val="1"/>
        <c:lblAlgn val="ctr"/>
        <c:lblOffset val="100"/>
        <c:noMultiLvlLbl val="0"/>
      </c:catAx>
      <c:valAx>
        <c:axId val="113654400"/>
        <c:scaling>
          <c:orientation val="minMax"/>
        </c:scaling>
        <c:delete val="0"/>
        <c:axPos val="l"/>
        <c:majorGridlines/>
        <c:title>
          <c:tx>
            <c:rich>
              <a:bodyPr/>
              <a:lstStyle/>
              <a:p>
                <a:pPr>
                  <a:defRPr lang="en-US"/>
                </a:pPr>
                <a:r>
                  <a:rPr lang="en-US"/>
                  <a:t>Yearly income in US$</a:t>
                </a:r>
              </a:p>
            </c:rich>
          </c:tx>
          <c:overlay val="0"/>
        </c:title>
        <c:numFmt formatCode="General" sourceLinked="1"/>
        <c:majorTickMark val="out"/>
        <c:minorTickMark val="none"/>
        <c:tickLblPos val="nextTo"/>
        <c:txPr>
          <a:bodyPr/>
          <a:lstStyle/>
          <a:p>
            <a:pPr>
              <a:defRPr lang="en-US"/>
            </a:pPr>
            <a:endParaRPr lang="en-US"/>
          </a:p>
        </c:txPr>
        <c:crossAx val="113652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6D6B-CCC2-4656-BFB8-51B61493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33194</Words>
  <Characters>189207</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221958</CharactersWithSpaces>
  <SharedDoc>false</SharedDoc>
  <HLinks>
    <vt:vector size="210" baseType="variant">
      <vt:variant>
        <vt:i4>8192121</vt:i4>
      </vt:variant>
      <vt:variant>
        <vt:i4>255</vt:i4>
      </vt:variant>
      <vt:variant>
        <vt:i4>0</vt:i4>
      </vt:variant>
      <vt:variant>
        <vt:i4>5</vt:i4>
      </vt:variant>
      <vt:variant>
        <vt:lpwstr>http://coreindicators/</vt:lpwstr>
      </vt:variant>
      <vt:variant>
        <vt:lpwstr/>
      </vt:variant>
      <vt:variant>
        <vt:i4>1769534</vt:i4>
      </vt:variant>
      <vt:variant>
        <vt:i4>212</vt:i4>
      </vt:variant>
      <vt:variant>
        <vt:i4>0</vt:i4>
      </vt:variant>
      <vt:variant>
        <vt:i4>5</vt:i4>
      </vt:variant>
      <vt:variant>
        <vt:lpwstr/>
      </vt:variant>
      <vt:variant>
        <vt:lpwstr>_Toc258929696</vt:lpwstr>
      </vt:variant>
      <vt:variant>
        <vt:i4>1769534</vt:i4>
      </vt:variant>
      <vt:variant>
        <vt:i4>206</vt:i4>
      </vt:variant>
      <vt:variant>
        <vt:i4>0</vt:i4>
      </vt:variant>
      <vt:variant>
        <vt:i4>5</vt:i4>
      </vt:variant>
      <vt:variant>
        <vt:lpwstr/>
      </vt:variant>
      <vt:variant>
        <vt:lpwstr>_Toc258929695</vt:lpwstr>
      </vt:variant>
      <vt:variant>
        <vt:i4>1769534</vt:i4>
      </vt:variant>
      <vt:variant>
        <vt:i4>200</vt:i4>
      </vt:variant>
      <vt:variant>
        <vt:i4>0</vt:i4>
      </vt:variant>
      <vt:variant>
        <vt:i4>5</vt:i4>
      </vt:variant>
      <vt:variant>
        <vt:lpwstr/>
      </vt:variant>
      <vt:variant>
        <vt:lpwstr>_Toc258929694</vt:lpwstr>
      </vt:variant>
      <vt:variant>
        <vt:i4>1769534</vt:i4>
      </vt:variant>
      <vt:variant>
        <vt:i4>194</vt:i4>
      </vt:variant>
      <vt:variant>
        <vt:i4>0</vt:i4>
      </vt:variant>
      <vt:variant>
        <vt:i4>5</vt:i4>
      </vt:variant>
      <vt:variant>
        <vt:lpwstr/>
      </vt:variant>
      <vt:variant>
        <vt:lpwstr>_Toc258929693</vt:lpwstr>
      </vt:variant>
      <vt:variant>
        <vt:i4>1769534</vt:i4>
      </vt:variant>
      <vt:variant>
        <vt:i4>188</vt:i4>
      </vt:variant>
      <vt:variant>
        <vt:i4>0</vt:i4>
      </vt:variant>
      <vt:variant>
        <vt:i4>5</vt:i4>
      </vt:variant>
      <vt:variant>
        <vt:lpwstr/>
      </vt:variant>
      <vt:variant>
        <vt:lpwstr>_Toc258929692</vt:lpwstr>
      </vt:variant>
      <vt:variant>
        <vt:i4>1769534</vt:i4>
      </vt:variant>
      <vt:variant>
        <vt:i4>182</vt:i4>
      </vt:variant>
      <vt:variant>
        <vt:i4>0</vt:i4>
      </vt:variant>
      <vt:variant>
        <vt:i4>5</vt:i4>
      </vt:variant>
      <vt:variant>
        <vt:lpwstr/>
      </vt:variant>
      <vt:variant>
        <vt:lpwstr>_Toc258929691</vt:lpwstr>
      </vt:variant>
      <vt:variant>
        <vt:i4>1769534</vt:i4>
      </vt:variant>
      <vt:variant>
        <vt:i4>176</vt:i4>
      </vt:variant>
      <vt:variant>
        <vt:i4>0</vt:i4>
      </vt:variant>
      <vt:variant>
        <vt:i4>5</vt:i4>
      </vt:variant>
      <vt:variant>
        <vt:lpwstr/>
      </vt:variant>
      <vt:variant>
        <vt:lpwstr>_Toc258929690</vt:lpwstr>
      </vt:variant>
      <vt:variant>
        <vt:i4>1703998</vt:i4>
      </vt:variant>
      <vt:variant>
        <vt:i4>170</vt:i4>
      </vt:variant>
      <vt:variant>
        <vt:i4>0</vt:i4>
      </vt:variant>
      <vt:variant>
        <vt:i4>5</vt:i4>
      </vt:variant>
      <vt:variant>
        <vt:lpwstr/>
      </vt:variant>
      <vt:variant>
        <vt:lpwstr>_Toc258929689</vt:lpwstr>
      </vt:variant>
      <vt:variant>
        <vt:i4>1703998</vt:i4>
      </vt:variant>
      <vt:variant>
        <vt:i4>164</vt:i4>
      </vt:variant>
      <vt:variant>
        <vt:i4>0</vt:i4>
      </vt:variant>
      <vt:variant>
        <vt:i4>5</vt:i4>
      </vt:variant>
      <vt:variant>
        <vt:lpwstr/>
      </vt:variant>
      <vt:variant>
        <vt:lpwstr>_Toc258929688</vt:lpwstr>
      </vt:variant>
      <vt:variant>
        <vt:i4>1703998</vt:i4>
      </vt:variant>
      <vt:variant>
        <vt:i4>158</vt:i4>
      </vt:variant>
      <vt:variant>
        <vt:i4>0</vt:i4>
      </vt:variant>
      <vt:variant>
        <vt:i4>5</vt:i4>
      </vt:variant>
      <vt:variant>
        <vt:lpwstr/>
      </vt:variant>
      <vt:variant>
        <vt:lpwstr>_Toc258929687</vt:lpwstr>
      </vt:variant>
      <vt:variant>
        <vt:i4>1703998</vt:i4>
      </vt:variant>
      <vt:variant>
        <vt:i4>152</vt:i4>
      </vt:variant>
      <vt:variant>
        <vt:i4>0</vt:i4>
      </vt:variant>
      <vt:variant>
        <vt:i4>5</vt:i4>
      </vt:variant>
      <vt:variant>
        <vt:lpwstr/>
      </vt:variant>
      <vt:variant>
        <vt:lpwstr>_Toc258929686</vt:lpwstr>
      </vt:variant>
      <vt:variant>
        <vt:i4>1703998</vt:i4>
      </vt:variant>
      <vt:variant>
        <vt:i4>146</vt:i4>
      </vt:variant>
      <vt:variant>
        <vt:i4>0</vt:i4>
      </vt:variant>
      <vt:variant>
        <vt:i4>5</vt:i4>
      </vt:variant>
      <vt:variant>
        <vt:lpwstr/>
      </vt:variant>
      <vt:variant>
        <vt:lpwstr>_Toc258929685</vt:lpwstr>
      </vt:variant>
      <vt:variant>
        <vt:i4>1703998</vt:i4>
      </vt:variant>
      <vt:variant>
        <vt:i4>140</vt:i4>
      </vt:variant>
      <vt:variant>
        <vt:i4>0</vt:i4>
      </vt:variant>
      <vt:variant>
        <vt:i4>5</vt:i4>
      </vt:variant>
      <vt:variant>
        <vt:lpwstr/>
      </vt:variant>
      <vt:variant>
        <vt:lpwstr>_Toc258929684</vt:lpwstr>
      </vt:variant>
      <vt:variant>
        <vt:i4>1703998</vt:i4>
      </vt:variant>
      <vt:variant>
        <vt:i4>134</vt:i4>
      </vt:variant>
      <vt:variant>
        <vt:i4>0</vt:i4>
      </vt:variant>
      <vt:variant>
        <vt:i4>5</vt:i4>
      </vt:variant>
      <vt:variant>
        <vt:lpwstr/>
      </vt:variant>
      <vt:variant>
        <vt:lpwstr>_Toc258929683</vt:lpwstr>
      </vt:variant>
      <vt:variant>
        <vt:i4>1703998</vt:i4>
      </vt:variant>
      <vt:variant>
        <vt:i4>128</vt:i4>
      </vt:variant>
      <vt:variant>
        <vt:i4>0</vt:i4>
      </vt:variant>
      <vt:variant>
        <vt:i4>5</vt:i4>
      </vt:variant>
      <vt:variant>
        <vt:lpwstr/>
      </vt:variant>
      <vt:variant>
        <vt:lpwstr>_Toc258929682</vt:lpwstr>
      </vt:variant>
      <vt:variant>
        <vt:i4>1703998</vt:i4>
      </vt:variant>
      <vt:variant>
        <vt:i4>122</vt:i4>
      </vt:variant>
      <vt:variant>
        <vt:i4>0</vt:i4>
      </vt:variant>
      <vt:variant>
        <vt:i4>5</vt:i4>
      </vt:variant>
      <vt:variant>
        <vt:lpwstr/>
      </vt:variant>
      <vt:variant>
        <vt:lpwstr>_Toc258929681</vt:lpwstr>
      </vt:variant>
      <vt:variant>
        <vt:i4>1703998</vt:i4>
      </vt:variant>
      <vt:variant>
        <vt:i4>116</vt:i4>
      </vt:variant>
      <vt:variant>
        <vt:i4>0</vt:i4>
      </vt:variant>
      <vt:variant>
        <vt:i4>5</vt:i4>
      </vt:variant>
      <vt:variant>
        <vt:lpwstr/>
      </vt:variant>
      <vt:variant>
        <vt:lpwstr>_Toc258929680</vt:lpwstr>
      </vt:variant>
      <vt:variant>
        <vt:i4>1376318</vt:i4>
      </vt:variant>
      <vt:variant>
        <vt:i4>110</vt:i4>
      </vt:variant>
      <vt:variant>
        <vt:i4>0</vt:i4>
      </vt:variant>
      <vt:variant>
        <vt:i4>5</vt:i4>
      </vt:variant>
      <vt:variant>
        <vt:lpwstr/>
      </vt:variant>
      <vt:variant>
        <vt:lpwstr>_Toc258929679</vt:lpwstr>
      </vt:variant>
      <vt:variant>
        <vt:i4>1376318</vt:i4>
      </vt:variant>
      <vt:variant>
        <vt:i4>104</vt:i4>
      </vt:variant>
      <vt:variant>
        <vt:i4>0</vt:i4>
      </vt:variant>
      <vt:variant>
        <vt:i4>5</vt:i4>
      </vt:variant>
      <vt:variant>
        <vt:lpwstr/>
      </vt:variant>
      <vt:variant>
        <vt:lpwstr>_Toc258929678</vt:lpwstr>
      </vt:variant>
      <vt:variant>
        <vt:i4>1376318</vt:i4>
      </vt:variant>
      <vt:variant>
        <vt:i4>98</vt:i4>
      </vt:variant>
      <vt:variant>
        <vt:i4>0</vt:i4>
      </vt:variant>
      <vt:variant>
        <vt:i4>5</vt:i4>
      </vt:variant>
      <vt:variant>
        <vt:lpwstr/>
      </vt:variant>
      <vt:variant>
        <vt:lpwstr>_Toc258929677</vt:lpwstr>
      </vt:variant>
      <vt:variant>
        <vt:i4>1376318</vt:i4>
      </vt:variant>
      <vt:variant>
        <vt:i4>92</vt:i4>
      </vt:variant>
      <vt:variant>
        <vt:i4>0</vt:i4>
      </vt:variant>
      <vt:variant>
        <vt:i4>5</vt:i4>
      </vt:variant>
      <vt:variant>
        <vt:lpwstr/>
      </vt:variant>
      <vt:variant>
        <vt:lpwstr>_Toc258929676</vt:lpwstr>
      </vt:variant>
      <vt:variant>
        <vt:i4>1376318</vt:i4>
      </vt:variant>
      <vt:variant>
        <vt:i4>86</vt:i4>
      </vt:variant>
      <vt:variant>
        <vt:i4>0</vt:i4>
      </vt:variant>
      <vt:variant>
        <vt:i4>5</vt:i4>
      </vt:variant>
      <vt:variant>
        <vt:lpwstr/>
      </vt:variant>
      <vt:variant>
        <vt:lpwstr>_Toc258929675</vt:lpwstr>
      </vt:variant>
      <vt:variant>
        <vt:i4>1376318</vt:i4>
      </vt:variant>
      <vt:variant>
        <vt:i4>80</vt:i4>
      </vt:variant>
      <vt:variant>
        <vt:i4>0</vt:i4>
      </vt:variant>
      <vt:variant>
        <vt:i4>5</vt:i4>
      </vt:variant>
      <vt:variant>
        <vt:lpwstr/>
      </vt:variant>
      <vt:variant>
        <vt:lpwstr>_Toc258929674</vt:lpwstr>
      </vt:variant>
      <vt:variant>
        <vt:i4>1376318</vt:i4>
      </vt:variant>
      <vt:variant>
        <vt:i4>74</vt:i4>
      </vt:variant>
      <vt:variant>
        <vt:i4>0</vt:i4>
      </vt:variant>
      <vt:variant>
        <vt:i4>5</vt:i4>
      </vt:variant>
      <vt:variant>
        <vt:lpwstr/>
      </vt:variant>
      <vt:variant>
        <vt:lpwstr>_Toc258929673</vt:lpwstr>
      </vt:variant>
      <vt:variant>
        <vt:i4>1376318</vt:i4>
      </vt:variant>
      <vt:variant>
        <vt:i4>68</vt:i4>
      </vt:variant>
      <vt:variant>
        <vt:i4>0</vt:i4>
      </vt:variant>
      <vt:variant>
        <vt:i4>5</vt:i4>
      </vt:variant>
      <vt:variant>
        <vt:lpwstr/>
      </vt:variant>
      <vt:variant>
        <vt:lpwstr>_Toc258929672</vt:lpwstr>
      </vt:variant>
      <vt:variant>
        <vt:i4>1376318</vt:i4>
      </vt:variant>
      <vt:variant>
        <vt:i4>62</vt:i4>
      </vt:variant>
      <vt:variant>
        <vt:i4>0</vt:i4>
      </vt:variant>
      <vt:variant>
        <vt:i4>5</vt:i4>
      </vt:variant>
      <vt:variant>
        <vt:lpwstr/>
      </vt:variant>
      <vt:variant>
        <vt:lpwstr>_Toc258929671</vt:lpwstr>
      </vt:variant>
      <vt:variant>
        <vt:i4>1376318</vt:i4>
      </vt:variant>
      <vt:variant>
        <vt:i4>56</vt:i4>
      </vt:variant>
      <vt:variant>
        <vt:i4>0</vt:i4>
      </vt:variant>
      <vt:variant>
        <vt:i4>5</vt:i4>
      </vt:variant>
      <vt:variant>
        <vt:lpwstr/>
      </vt:variant>
      <vt:variant>
        <vt:lpwstr>_Toc258929670</vt:lpwstr>
      </vt:variant>
      <vt:variant>
        <vt:i4>1310782</vt:i4>
      </vt:variant>
      <vt:variant>
        <vt:i4>50</vt:i4>
      </vt:variant>
      <vt:variant>
        <vt:i4>0</vt:i4>
      </vt:variant>
      <vt:variant>
        <vt:i4>5</vt:i4>
      </vt:variant>
      <vt:variant>
        <vt:lpwstr/>
      </vt:variant>
      <vt:variant>
        <vt:lpwstr>_Toc258929669</vt:lpwstr>
      </vt:variant>
      <vt:variant>
        <vt:i4>1310782</vt:i4>
      </vt:variant>
      <vt:variant>
        <vt:i4>44</vt:i4>
      </vt:variant>
      <vt:variant>
        <vt:i4>0</vt:i4>
      </vt:variant>
      <vt:variant>
        <vt:i4>5</vt:i4>
      </vt:variant>
      <vt:variant>
        <vt:lpwstr/>
      </vt:variant>
      <vt:variant>
        <vt:lpwstr>_Toc258929668</vt:lpwstr>
      </vt:variant>
      <vt:variant>
        <vt:i4>1310782</vt:i4>
      </vt:variant>
      <vt:variant>
        <vt:i4>38</vt:i4>
      </vt:variant>
      <vt:variant>
        <vt:i4>0</vt:i4>
      </vt:variant>
      <vt:variant>
        <vt:i4>5</vt:i4>
      </vt:variant>
      <vt:variant>
        <vt:lpwstr/>
      </vt:variant>
      <vt:variant>
        <vt:lpwstr>_Toc258929667</vt:lpwstr>
      </vt:variant>
      <vt:variant>
        <vt:i4>1310782</vt:i4>
      </vt:variant>
      <vt:variant>
        <vt:i4>32</vt:i4>
      </vt:variant>
      <vt:variant>
        <vt:i4>0</vt:i4>
      </vt:variant>
      <vt:variant>
        <vt:i4>5</vt:i4>
      </vt:variant>
      <vt:variant>
        <vt:lpwstr/>
      </vt:variant>
      <vt:variant>
        <vt:lpwstr>_Toc258929666</vt:lpwstr>
      </vt:variant>
      <vt:variant>
        <vt:i4>1310782</vt:i4>
      </vt:variant>
      <vt:variant>
        <vt:i4>26</vt:i4>
      </vt:variant>
      <vt:variant>
        <vt:i4>0</vt:i4>
      </vt:variant>
      <vt:variant>
        <vt:i4>5</vt:i4>
      </vt:variant>
      <vt:variant>
        <vt:lpwstr/>
      </vt:variant>
      <vt:variant>
        <vt:lpwstr>_Toc258929665</vt:lpwstr>
      </vt:variant>
      <vt:variant>
        <vt:i4>1310782</vt:i4>
      </vt:variant>
      <vt:variant>
        <vt:i4>20</vt:i4>
      </vt:variant>
      <vt:variant>
        <vt:i4>0</vt:i4>
      </vt:variant>
      <vt:variant>
        <vt:i4>5</vt:i4>
      </vt:variant>
      <vt:variant>
        <vt:lpwstr/>
      </vt:variant>
      <vt:variant>
        <vt:lpwstr>_Toc258929664</vt:lpwstr>
      </vt:variant>
      <vt:variant>
        <vt:i4>1310782</vt:i4>
      </vt:variant>
      <vt:variant>
        <vt:i4>14</vt:i4>
      </vt:variant>
      <vt:variant>
        <vt:i4>0</vt:i4>
      </vt:variant>
      <vt:variant>
        <vt:i4>5</vt:i4>
      </vt:variant>
      <vt:variant>
        <vt:lpwstr/>
      </vt:variant>
      <vt:variant>
        <vt:lpwstr>_Toc258929663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2014-11-20T22:03:00Z</dcterms:created>
  <dcterms:modified xsi:type="dcterms:W3CDTF">2014-11-20T22:03:00Z</dcterms:modified>
</cp:coreProperties>
</file>