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1" w:rsidRPr="00487772" w:rsidRDefault="00D673D8" w:rsidP="00BA458F">
      <w:pPr>
        <w:pStyle w:val="Title"/>
        <w:spacing w:line="360" w:lineRule="auto"/>
        <w:rPr>
          <w:sz w:val="32"/>
          <w:szCs w:val="32"/>
          <w:lang w:val="en-GB"/>
        </w:rPr>
      </w:pPr>
      <w:r w:rsidRPr="00D673D8">
        <w:rPr>
          <w:noProof/>
          <w:sz w:val="32"/>
          <w:szCs w:val="32"/>
          <w:lang w:val="en-GB" w:eastAsia="zh-TW"/>
        </w:rPr>
        <w:pict>
          <v:shapetype id="_x0000_t202" coordsize="21600,21600" o:spt="202" path="m,l,21600r21600,l21600,xe">
            <v:stroke joinstyle="miter"/>
            <v:path gradientshapeok="t" o:connecttype="rect"/>
          </v:shapetype>
          <v:shape id="_x0000_s2052" type="#_x0000_t202" style="position:absolute;left:0;text-align:left;margin-left:335.65pt;margin-top:-59.6pt;width:180.6pt;height:45pt;z-index:251660288;mso-width-percent:400;mso-width-percent:400;mso-width-relative:margin;mso-height-relative:margin" stroked="f">
            <v:textbox>
              <w:txbxContent>
                <w:p w:rsidR="00D673D8" w:rsidRPr="00D673D8" w:rsidRDefault="00D673D8">
                  <w:pPr>
                    <w:rPr>
                      <w:rFonts w:ascii="Arial" w:hAnsi="Arial"/>
                      <w:sz w:val="44"/>
                    </w:rPr>
                  </w:pPr>
                  <w:r>
                    <w:rPr>
                      <w:rFonts w:ascii="Arial" w:hAnsi="Arial"/>
                      <w:sz w:val="44"/>
                    </w:rPr>
                    <w:t xml:space="preserve">         </w:t>
                  </w:r>
                  <w:r w:rsidRPr="00D673D8">
                    <w:rPr>
                      <w:rFonts w:ascii="Arial" w:hAnsi="Arial"/>
                      <w:sz w:val="44"/>
                    </w:rPr>
                    <w:t>69847</w:t>
                  </w:r>
                </w:p>
              </w:txbxContent>
            </v:textbox>
          </v:shape>
        </w:pict>
      </w:r>
      <w:r w:rsidR="00FB5D37" w:rsidRPr="00487772">
        <w:rPr>
          <w:sz w:val="32"/>
          <w:szCs w:val="32"/>
          <w:lang w:val="en-GB"/>
        </w:rPr>
        <w:t>R</w:t>
      </w:r>
      <w:r w:rsidR="00BA458F" w:rsidRPr="00487772">
        <w:rPr>
          <w:sz w:val="32"/>
          <w:szCs w:val="32"/>
          <w:lang w:val="en-GB"/>
        </w:rPr>
        <w:t>eport on p</w:t>
      </w:r>
      <w:r w:rsidR="00D66BA1" w:rsidRPr="00487772">
        <w:rPr>
          <w:sz w:val="32"/>
          <w:szCs w:val="32"/>
          <w:lang w:val="en-GB"/>
        </w:rPr>
        <w:t xml:space="preserve">reliminary </w:t>
      </w:r>
      <w:r w:rsidR="00BA458F" w:rsidRPr="00487772">
        <w:rPr>
          <w:sz w:val="32"/>
          <w:szCs w:val="32"/>
          <w:lang w:val="en-GB"/>
        </w:rPr>
        <w:t xml:space="preserve">NHA </w:t>
      </w:r>
      <w:r w:rsidR="00D915BB">
        <w:rPr>
          <w:sz w:val="32"/>
          <w:szCs w:val="32"/>
          <w:lang w:val="en-GB"/>
        </w:rPr>
        <w:t xml:space="preserve">2005 </w:t>
      </w:r>
      <w:r w:rsidR="00BA458F" w:rsidRPr="00487772">
        <w:rPr>
          <w:sz w:val="32"/>
          <w:szCs w:val="32"/>
          <w:lang w:val="en-GB"/>
        </w:rPr>
        <w:t>in Kosovo</w:t>
      </w:r>
    </w:p>
    <w:p w:rsidR="00D66BA1" w:rsidRDefault="00D66BA1" w:rsidP="00BA458F">
      <w:pPr>
        <w:pStyle w:val="Title"/>
        <w:spacing w:line="360" w:lineRule="auto"/>
        <w:rPr>
          <w:b w:val="0"/>
          <w:lang w:val="en-GB"/>
        </w:rPr>
      </w:pPr>
      <w:r w:rsidRPr="00487772">
        <w:rPr>
          <w:b w:val="0"/>
          <w:lang w:val="en-GB"/>
        </w:rPr>
        <w:t>Natalja Jedomskihh-Eigo</w:t>
      </w:r>
      <w:r w:rsidR="001E018F">
        <w:rPr>
          <w:b w:val="0"/>
          <w:lang w:val="en-GB"/>
        </w:rPr>
        <w:t>,</w:t>
      </w:r>
    </w:p>
    <w:p w:rsidR="001E018F" w:rsidRPr="00487772" w:rsidRDefault="001E018F" w:rsidP="00BA458F">
      <w:pPr>
        <w:pStyle w:val="Title"/>
        <w:spacing w:line="360" w:lineRule="auto"/>
        <w:rPr>
          <w:b w:val="0"/>
          <w:lang w:val="en-GB"/>
        </w:rPr>
      </w:pPr>
      <w:r>
        <w:rPr>
          <w:b w:val="0"/>
          <w:lang w:val="en-GB"/>
        </w:rPr>
        <w:t>June 2007, Pristina</w:t>
      </w:r>
    </w:p>
    <w:p w:rsidR="007654E9" w:rsidRPr="00487772" w:rsidRDefault="007654E9" w:rsidP="00393655">
      <w:pPr>
        <w:pStyle w:val="Title"/>
        <w:spacing w:line="360" w:lineRule="auto"/>
        <w:jc w:val="both"/>
        <w:rPr>
          <w:b w:val="0"/>
          <w:lang w:val="en-GB"/>
        </w:rPr>
      </w:pPr>
    </w:p>
    <w:p w:rsidR="00D66BA1" w:rsidRPr="00487772" w:rsidRDefault="003D10F3" w:rsidP="00393655">
      <w:pPr>
        <w:pStyle w:val="Title"/>
        <w:spacing w:line="360" w:lineRule="auto"/>
        <w:jc w:val="both"/>
        <w:rPr>
          <w:i/>
          <w:lang w:val="en-GB"/>
        </w:rPr>
      </w:pPr>
      <w:r w:rsidRPr="00487772">
        <w:rPr>
          <w:i/>
          <w:lang w:val="en-GB"/>
        </w:rPr>
        <w:t>Attention: this document is produced as a preliminary report on Kosovo NHA</w:t>
      </w:r>
      <w:r w:rsidR="00D915BB">
        <w:rPr>
          <w:i/>
          <w:lang w:val="en-GB"/>
        </w:rPr>
        <w:t xml:space="preserve"> based on year 2005 data</w:t>
      </w:r>
      <w:r w:rsidRPr="00487772">
        <w:rPr>
          <w:i/>
          <w:lang w:val="en-GB"/>
        </w:rPr>
        <w:t>. The exercise is done for the first time in Kosovo</w:t>
      </w:r>
      <w:r w:rsidR="00C05F40" w:rsidRPr="00487772">
        <w:rPr>
          <w:i/>
          <w:lang w:val="en-GB"/>
        </w:rPr>
        <w:t xml:space="preserve">. </w:t>
      </w:r>
      <w:r w:rsidR="006F0C52">
        <w:rPr>
          <w:i/>
          <w:lang w:val="en-GB"/>
        </w:rPr>
        <w:t>M</w:t>
      </w:r>
      <w:r w:rsidR="00C05F40" w:rsidRPr="00487772">
        <w:rPr>
          <w:i/>
          <w:lang w:val="en-GB"/>
        </w:rPr>
        <w:t xml:space="preserve">ost of the data is </w:t>
      </w:r>
      <w:r w:rsidR="00D915BB">
        <w:rPr>
          <w:i/>
          <w:lang w:val="en-GB"/>
        </w:rPr>
        <w:t>either</w:t>
      </w:r>
      <w:r w:rsidR="00C05F40" w:rsidRPr="00487772">
        <w:rPr>
          <w:i/>
          <w:lang w:val="en-GB"/>
        </w:rPr>
        <w:t xml:space="preserve"> underestimated or</w:t>
      </w:r>
      <w:r w:rsidR="00D915BB">
        <w:rPr>
          <w:i/>
          <w:lang w:val="en-GB"/>
        </w:rPr>
        <w:t xml:space="preserve"> not classified precisely and </w:t>
      </w:r>
      <w:r w:rsidR="006F0C52">
        <w:rPr>
          <w:i/>
          <w:lang w:val="en-GB"/>
        </w:rPr>
        <w:t xml:space="preserve">hence </w:t>
      </w:r>
      <w:r w:rsidRPr="00487772">
        <w:rPr>
          <w:i/>
          <w:lang w:val="en-GB"/>
        </w:rPr>
        <w:t>do</w:t>
      </w:r>
      <w:r w:rsidR="00D915BB">
        <w:rPr>
          <w:i/>
          <w:lang w:val="en-GB"/>
        </w:rPr>
        <w:t>es</w:t>
      </w:r>
      <w:r w:rsidRPr="00487772">
        <w:rPr>
          <w:i/>
          <w:lang w:val="en-GB"/>
        </w:rPr>
        <w:t xml:space="preserve"> not describe the real situation correctl</w:t>
      </w:r>
      <w:r w:rsidR="00D915BB">
        <w:rPr>
          <w:i/>
          <w:lang w:val="en-GB"/>
        </w:rPr>
        <w:t>y.</w:t>
      </w:r>
    </w:p>
    <w:p w:rsidR="003D10F3" w:rsidRPr="00487772" w:rsidRDefault="003D10F3" w:rsidP="00393655">
      <w:pPr>
        <w:pStyle w:val="Title"/>
        <w:spacing w:line="360" w:lineRule="auto"/>
        <w:jc w:val="both"/>
        <w:rPr>
          <w:i/>
          <w:lang w:val="en-GB"/>
        </w:rPr>
      </w:pPr>
    </w:p>
    <w:p w:rsidR="003D10F3" w:rsidRPr="00487772" w:rsidRDefault="003D10F3" w:rsidP="00393655">
      <w:pPr>
        <w:pStyle w:val="Title"/>
        <w:spacing w:line="360" w:lineRule="auto"/>
        <w:jc w:val="both"/>
        <w:rPr>
          <w:i/>
          <w:lang w:val="en-GB"/>
        </w:rPr>
      </w:pPr>
    </w:p>
    <w:p w:rsidR="003D10F3" w:rsidRPr="00487772" w:rsidRDefault="003D10F3" w:rsidP="003D10F3">
      <w:pPr>
        <w:autoSpaceDE w:val="0"/>
        <w:autoSpaceDN w:val="0"/>
        <w:adjustRightInd w:val="0"/>
        <w:rPr>
          <w:rFonts w:ascii="Helvetica-Bold" w:hAnsi="Helvetica-Bold" w:cs="Helvetica-Bold"/>
          <w:b/>
          <w:bCs/>
          <w:lang w:val="en-GB"/>
        </w:rPr>
      </w:pPr>
      <w:r w:rsidRPr="00487772">
        <w:rPr>
          <w:rFonts w:ascii="Helvetica-Bold" w:hAnsi="Helvetica-Bold" w:cs="Helvetica-Bold"/>
          <w:b/>
          <w:bCs/>
          <w:lang w:val="en-GB"/>
        </w:rPr>
        <w:t>CONTENTS</w:t>
      </w:r>
    </w:p>
    <w:p w:rsidR="003D10F3" w:rsidRPr="00487772" w:rsidRDefault="003D10F3" w:rsidP="003D10F3">
      <w:pPr>
        <w:autoSpaceDE w:val="0"/>
        <w:autoSpaceDN w:val="0"/>
        <w:adjustRightInd w:val="0"/>
        <w:rPr>
          <w:rFonts w:ascii="Helvetica-Bold" w:hAnsi="Helvetica-Bold" w:cs="Helvetica-Bold"/>
          <w:sz w:val="20"/>
          <w:szCs w:val="20"/>
          <w:lang w:val="en-GB"/>
        </w:rPr>
      </w:pPr>
    </w:p>
    <w:p w:rsidR="003C6E3E" w:rsidRDefault="003E42DF">
      <w:pPr>
        <w:pStyle w:val="TOC1"/>
        <w:rPr>
          <w:rFonts w:cs="Angsana New"/>
          <w:noProof/>
          <w:lang w:val="en-US" w:bidi="th-TH"/>
        </w:rPr>
      </w:pPr>
      <w:r w:rsidRPr="00487772">
        <w:fldChar w:fldCharType="begin"/>
      </w:r>
      <w:r w:rsidR="00D66BA1" w:rsidRPr="00487772">
        <w:instrText xml:space="preserve"> TOC \o "1-3" </w:instrText>
      </w:r>
      <w:r w:rsidRPr="00487772">
        <w:fldChar w:fldCharType="separate"/>
      </w:r>
      <w:r w:rsidR="003C6E3E" w:rsidRPr="009350F4">
        <w:rPr>
          <w:noProof/>
        </w:rPr>
        <w:t>Acronyms</w:t>
      </w:r>
      <w:r w:rsidR="003C6E3E">
        <w:rPr>
          <w:noProof/>
        </w:rPr>
        <w:tab/>
      </w:r>
      <w:r>
        <w:rPr>
          <w:noProof/>
        </w:rPr>
        <w:fldChar w:fldCharType="begin"/>
      </w:r>
      <w:r w:rsidR="003C6E3E">
        <w:rPr>
          <w:noProof/>
        </w:rPr>
        <w:instrText xml:space="preserve"> PAGEREF _Toc175548169 \h </w:instrText>
      </w:r>
      <w:r>
        <w:rPr>
          <w:noProof/>
        </w:rPr>
      </w:r>
      <w:r>
        <w:rPr>
          <w:noProof/>
        </w:rPr>
        <w:fldChar w:fldCharType="separate"/>
      </w:r>
      <w:r w:rsidR="003C6E3E">
        <w:rPr>
          <w:noProof/>
        </w:rPr>
        <w:t>2</w:t>
      </w:r>
      <w:r>
        <w:rPr>
          <w:noProof/>
        </w:rPr>
        <w:fldChar w:fldCharType="end"/>
      </w:r>
    </w:p>
    <w:p w:rsidR="003C6E3E" w:rsidRDefault="003C6E3E">
      <w:pPr>
        <w:pStyle w:val="TOC1"/>
        <w:rPr>
          <w:rFonts w:cs="Angsana New"/>
          <w:noProof/>
          <w:lang w:val="en-US" w:bidi="th-TH"/>
        </w:rPr>
      </w:pPr>
      <w:r w:rsidRPr="009350F4">
        <w:rPr>
          <w:noProof/>
        </w:rPr>
        <w:t>Introduction</w:t>
      </w:r>
      <w:r>
        <w:rPr>
          <w:noProof/>
        </w:rPr>
        <w:tab/>
      </w:r>
      <w:r w:rsidR="003E42DF">
        <w:rPr>
          <w:noProof/>
        </w:rPr>
        <w:fldChar w:fldCharType="begin"/>
      </w:r>
      <w:r>
        <w:rPr>
          <w:noProof/>
        </w:rPr>
        <w:instrText xml:space="preserve"> PAGEREF _Toc175548170 \h </w:instrText>
      </w:r>
      <w:r w:rsidR="003E42DF">
        <w:rPr>
          <w:noProof/>
        </w:rPr>
      </w:r>
      <w:r w:rsidR="003E42DF">
        <w:rPr>
          <w:noProof/>
        </w:rPr>
        <w:fldChar w:fldCharType="separate"/>
      </w:r>
      <w:r>
        <w:rPr>
          <w:noProof/>
        </w:rPr>
        <w:t>3</w:t>
      </w:r>
      <w:r w:rsidR="003E42DF">
        <w:rPr>
          <w:noProof/>
        </w:rPr>
        <w:fldChar w:fldCharType="end"/>
      </w:r>
    </w:p>
    <w:p w:rsidR="003C6E3E" w:rsidRDefault="003C6E3E">
      <w:pPr>
        <w:pStyle w:val="TOC1"/>
        <w:rPr>
          <w:rFonts w:cs="Angsana New"/>
          <w:noProof/>
          <w:lang w:val="en-US" w:bidi="th-TH"/>
        </w:rPr>
      </w:pPr>
      <w:r w:rsidRPr="009350F4">
        <w:rPr>
          <w:noProof/>
        </w:rPr>
        <w:t>Consultants’ activities</w:t>
      </w:r>
      <w:r>
        <w:rPr>
          <w:noProof/>
        </w:rPr>
        <w:tab/>
      </w:r>
      <w:r w:rsidR="003E42DF">
        <w:rPr>
          <w:noProof/>
        </w:rPr>
        <w:fldChar w:fldCharType="begin"/>
      </w:r>
      <w:r>
        <w:rPr>
          <w:noProof/>
        </w:rPr>
        <w:instrText xml:space="preserve"> PAGEREF _Toc175548171 \h </w:instrText>
      </w:r>
      <w:r w:rsidR="003E42DF">
        <w:rPr>
          <w:noProof/>
        </w:rPr>
      </w:r>
      <w:r w:rsidR="003E42DF">
        <w:rPr>
          <w:noProof/>
        </w:rPr>
        <w:fldChar w:fldCharType="separate"/>
      </w:r>
      <w:r>
        <w:rPr>
          <w:noProof/>
        </w:rPr>
        <w:t>3</w:t>
      </w:r>
      <w:r w:rsidR="003E42DF">
        <w:rPr>
          <w:noProof/>
        </w:rPr>
        <w:fldChar w:fldCharType="end"/>
      </w:r>
    </w:p>
    <w:p w:rsidR="003C6E3E" w:rsidRDefault="003C6E3E">
      <w:pPr>
        <w:pStyle w:val="TOC1"/>
        <w:rPr>
          <w:rFonts w:cs="Angsana New"/>
          <w:noProof/>
          <w:lang w:val="en-US" w:bidi="th-TH"/>
        </w:rPr>
      </w:pPr>
      <w:r w:rsidRPr="009350F4">
        <w:rPr>
          <w:noProof/>
        </w:rPr>
        <w:t>NHA methodology</w:t>
      </w:r>
      <w:r>
        <w:rPr>
          <w:noProof/>
        </w:rPr>
        <w:tab/>
      </w:r>
      <w:r w:rsidR="003E42DF">
        <w:rPr>
          <w:noProof/>
        </w:rPr>
        <w:fldChar w:fldCharType="begin"/>
      </w:r>
      <w:r>
        <w:rPr>
          <w:noProof/>
        </w:rPr>
        <w:instrText xml:space="preserve"> PAGEREF _Toc175548172 \h </w:instrText>
      </w:r>
      <w:r w:rsidR="003E42DF">
        <w:rPr>
          <w:noProof/>
        </w:rPr>
      </w:r>
      <w:r w:rsidR="003E42DF">
        <w:rPr>
          <w:noProof/>
        </w:rPr>
        <w:fldChar w:fldCharType="separate"/>
      </w:r>
      <w:r>
        <w:rPr>
          <w:noProof/>
        </w:rPr>
        <w:t>4</w:t>
      </w:r>
      <w:r w:rsidR="003E42DF">
        <w:rPr>
          <w:noProof/>
        </w:rPr>
        <w:fldChar w:fldCharType="end"/>
      </w:r>
    </w:p>
    <w:p w:rsidR="003C6E3E" w:rsidRDefault="003C6E3E">
      <w:pPr>
        <w:pStyle w:val="TOC1"/>
        <w:rPr>
          <w:rFonts w:cs="Angsana New"/>
          <w:noProof/>
          <w:lang w:val="en-US" w:bidi="th-TH"/>
        </w:rPr>
      </w:pPr>
      <w:r w:rsidRPr="009350F4">
        <w:rPr>
          <w:noProof/>
        </w:rPr>
        <w:t>Information sources and knowledge building</w:t>
      </w:r>
      <w:r>
        <w:rPr>
          <w:noProof/>
        </w:rPr>
        <w:tab/>
      </w:r>
      <w:r w:rsidR="003E42DF">
        <w:rPr>
          <w:noProof/>
        </w:rPr>
        <w:fldChar w:fldCharType="begin"/>
      </w:r>
      <w:r>
        <w:rPr>
          <w:noProof/>
        </w:rPr>
        <w:instrText xml:space="preserve"> PAGEREF _Toc175548173 \h </w:instrText>
      </w:r>
      <w:r w:rsidR="003E42DF">
        <w:rPr>
          <w:noProof/>
        </w:rPr>
      </w:r>
      <w:r w:rsidR="003E42DF">
        <w:rPr>
          <w:noProof/>
        </w:rPr>
        <w:fldChar w:fldCharType="separate"/>
      </w:r>
      <w:r>
        <w:rPr>
          <w:noProof/>
        </w:rPr>
        <w:t>5</w:t>
      </w:r>
      <w:r w:rsidR="003E42DF">
        <w:rPr>
          <w:noProof/>
        </w:rPr>
        <w:fldChar w:fldCharType="end"/>
      </w:r>
    </w:p>
    <w:p w:rsidR="003C6E3E" w:rsidRDefault="003C6E3E">
      <w:pPr>
        <w:pStyle w:val="TOC1"/>
        <w:rPr>
          <w:rFonts w:cs="Angsana New"/>
          <w:noProof/>
          <w:lang w:val="en-US" w:bidi="th-TH"/>
        </w:rPr>
      </w:pPr>
      <w:r w:rsidRPr="009350F4">
        <w:rPr>
          <w:noProof/>
        </w:rPr>
        <w:t>Existing data sources and their shortcoming</w:t>
      </w:r>
      <w:r>
        <w:rPr>
          <w:noProof/>
        </w:rPr>
        <w:tab/>
      </w:r>
      <w:r w:rsidR="003E42DF">
        <w:rPr>
          <w:noProof/>
        </w:rPr>
        <w:fldChar w:fldCharType="begin"/>
      </w:r>
      <w:r>
        <w:rPr>
          <w:noProof/>
        </w:rPr>
        <w:instrText xml:space="preserve"> PAGEREF _Toc175548174 \h </w:instrText>
      </w:r>
      <w:r w:rsidR="003E42DF">
        <w:rPr>
          <w:noProof/>
        </w:rPr>
      </w:r>
      <w:r w:rsidR="003E42DF">
        <w:rPr>
          <w:noProof/>
        </w:rPr>
        <w:fldChar w:fldCharType="separate"/>
      </w:r>
      <w:r>
        <w:rPr>
          <w:noProof/>
        </w:rPr>
        <w:t>6</w:t>
      </w:r>
      <w:r w:rsidR="003E42DF">
        <w:rPr>
          <w:noProof/>
        </w:rPr>
        <w:fldChar w:fldCharType="end"/>
      </w:r>
    </w:p>
    <w:p w:rsidR="003C6E3E" w:rsidRDefault="003C6E3E">
      <w:pPr>
        <w:pStyle w:val="TOC1"/>
        <w:rPr>
          <w:rFonts w:cs="Angsana New"/>
          <w:noProof/>
          <w:lang w:val="en-US" w:bidi="th-TH"/>
        </w:rPr>
      </w:pPr>
      <w:r w:rsidRPr="009350F4">
        <w:rPr>
          <w:noProof/>
        </w:rPr>
        <w:t>General shortcomings limiting the construction of NHA</w:t>
      </w:r>
      <w:r>
        <w:rPr>
          <w:noProof/>
        </w:rPr>
        <w:tab/>
      </w:r>
      <w:r w:rsidR="003E42DF">
        <w:rPr>
          <w:noProof/>
        </w:rPr>
        <w:fldChar w:fldCharType="begin"/>
      </w:r>
      <w:r>
        <w:rPr>
          <w:noProof/>
        </w:rPr>
        <w:instrText xml:space="preserve"> PAGEREF _Toc175548175 \h </w:instrText>
      </w:r>
      <w:r w:rsidR="003E42DF">
        <w:rPr>
          <w:noProof/>
        </w:rPr>
      </w:r>
      <w:r w:rsidR="003E42DF">
        <w:rPr>
          <w:noProof/>
        </w:rPr>
        <w:fldChar w:fldCharType="separate"/>
      </w:r>
      <w:r>
        <w:rPr>
          <w:noProof/>
        </w:rPr>
        <w:t>7</w:t>
      </w:r>
      <w:r w:rsidR="003E42DF">
        <w:rPr>
          <w:noProof/>
        </w:rPr>
        <w:fldChar w:fldCharType="end"/>
      </w:r>
    </w:p>
    <w:p w:rsidR="003C6E3E" w:rsidRDefault="003C6E3E">
      <w:pPr>
        <w:pStyle w:val="TOC1"/>
        <w:rPr>
          <w:rFonts w:cs="Angsana New"/>
          <w:noProof/>
          <w:lang w:val="en-US" w:bidi="th-TH"/>
        </w:rPr>
      </w:pPr>
      <w:r w:rsidRPr="009350F4">
        <w:rPr>
          <w:noProof/>
        </w:rPr>
        <w:t>Preliminary data of Kosovo Health Accounts</w:t>
      </w:r>
      <w:r>
        <w:rPr>
          <w:noProof/>
        </w:rPr>
        <w:tab/>
      </w:r>
      <w:r w:rsidR="003E42DF">
        <w:rPr>
          <w:noProof/>
        </w:rPr>
        <w:fldChar w:fldCharType="begin"/>
      </w:r>
      <w:r>
        <w:rPr>
          <w:noProof/>
        </w:rPr>
        <w:instrText xml:space="preserve"> PAGEREF _Toc175548176 \h </w:instrText>
      </w:r>
      <w:r w:rsidR="003E42DF">
        <w:rPr>
          <w:noProof/>
        </w:rPr>
      </w:r>
      <w:r w:rsidR="003E42DF">
        <w:rPr>
          <w:noProof/>
        </w:rPr>
        <w:fldChar w:fldCharType="separate"/>
      </w:r>
      <w:r>
        <w:rPr>
          <w:noProof/>
        </w:rPr>
        <w:t>9</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Recommendations</w:t>
      </w:r>
      <w:r w:rsidRPr="003C6E3E">
        <w:rPr>
          <w:noProof/>
          <w:lang w:val="fr-FR"/>
        </w:rPr>
        <w:tab/>
      </w:r>
      <w:r w:rsidR="003E42DF">
        <w:rPr>
          <w:noProof/>
        </w:rPr>
        <w:fldChar w:fldCharType="begin"/>
      </w:r>
      <w:r w:rsidRPr="003C6E3E">
        <w:rPr>
          <w:noProof/>
          <w:lang w:val="fr-FR"/>
        </w:rPr>
        <w:instrText xml:space="preserve"> PAGEREF _Toc175548177 \h </w:instrText>
      </w:r>
      <w:r w:rsidR="003E42DF">
        <w:rPr>
          <w:noProof/>
        </w:rPr>
      </w:r>
      <w:r w:rsidR="003E42DF">
        <w:rPr>
          <w:noProof/>
        </w:rPr>
        <w:fldChar w:fldCharType="separate"/>
      </w:r>
      <w:r w:rsidRPr="003C6E3E">
        <w:rPr>
          <w:noProof/>
          <w:lang w:val="fr-FR"/>
        </w:rPr>
        <w:t>15</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Conclusion</w:t>
      </w:r>
      <w:r w:rsidRPr="003C6E3E">
        <w:rPr>
          <w:noProof/>
          <w:lang w:val="fr-FR"/>
        </w:rPr>
        <w:tab/>
      </w:r>
      <w:r w:rsidR="003E42DF">
        <w:rPr>
          <w:noProof/>
        </w:rPr>
        <w:fldChar w:fldCharType="begin"/>
      </w:r>
      <w:r w:rsidRPr="003C6E3E">
        <w:rPr>
          <w:noProof/>
          <w:lang w:val="fr-FR"/>
        </w:rPr>
        <w:instrText xml:space="preserve"> PAGEREF _Toc175548178 \h </w:instrText>
      </w:r>
      <w:r w:rsidR="003E42DF">
        <w:rPr>
          <w:noProof/>
        </w:rPr>
      </w:r>
      <w:r w:rsidR="003E42DF">
        <w:rPr>
          <w:noProof/>
        </w:rPr>
        <w:fldChar w:fldCharType="separate"/>
      </w:r>
      <w:r w:rsidRPr="003C6E3E">
        <w:rPr>
          <w:noProof/>
          <w:lang w:val="fr-FR"/>
        </w:rPr>
        <w:t>16</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References</w:t>
      </w:r>
      <w:r w:rsidRPr="003C6E3E">
        <w:rPr>
          <w:noProof/>
          <w:lang w:val="fr-FR"/>
        </w:rPr>
        <w:tab/>
      </w:r>
      <w:r w:rsidR="003E42DF">
        <w:rPr>
          <w:noProof/>
        </w:rPr>
        <w:fldChar w:fldCharType="begin"/>
      </w:r>
      <w:r w:rsidRPr="003C6E3E">
        <w:rPr>
          <w:noProof/>
          <w:lang w:val="fr-FR"/>
        </w:rPr>
        <w:instrText xml:space="preserve"> PAGEREF _Toc175548179 \h </w:instrText>
      </w:r>
      <w:r w:rsidR="003E42DF">
        <w:rPr>
          <w:noProof/>
        </w:rPr>
      </w:r>
      <w:r w:rsidR="003E42DF">
        <w:rPr>
          <w:noProof/>
        </w:rPr>
        <w:fldChar w:fldCharType="separate"/>
      </w:r>
      <w:r w:rsidRPr="003C6E3E">
        <w:rPr>
          <w:noProof/>
          <w:lang w:val="fr-FR"/>
        </w:rPr>
        <w:t>18</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Annex I</w:t>
      </w:r>
      <w:r w:rsidRPr="003C6E3E">
        <w:rPr>
          <w:noProof/>
          <w:lang w:val="fr-FR"/>
        </w:rPr>
        <w:tab/>
      </w:r>
      <w:r w:rsidR="003E42DF">
        <w:rPr>
          <w:noProof/>
        </w:rPr>
        <w:fldChar w:fldCharType="begin"/>
      </w:r>
      <w:r w:rsidRPr="003C6E3E">
        <w:rPr>
          <w:noProof/>
          <w:lang w:val="fr-FR"/>
        </w:rPr>
        <w:instrText xml:space="preserve"> PAGEREF _Toc175548180 \h </w:instrText>
      </w:r>
      <w:r w:rsidR="003E42DF">
        <w:rPr>
          <w:noProof/>
        </w:rPr>
      </w:r>
      <w:r w:rsidR="003E42DF">
        <w:rPr>
          <w:noProof/>
        </w:rPr>
        <w:fldChar w:fldCharType="separate"/>
      </w:r>
      <w:r w:rsidRPr="003C6E3E">
        <w:rPr>
          <w:noProof/>
          <w:lang w:val="fr-FR"/>
        </w:rPr>
        <w:t>19</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Annex II</w:t>
      </w:r>
      <w:r w:rsidRPr="003C6E3E">
        <w:rPr>
          <w:noProof/>
          <w:lang w:val="fr-FR"/>
        </w:rPr>
        <w:tab/>
      </w:r>
      <w:r w:rsidR="003E42DF">
        <w:rPr>
          <w:noProof/>
        </w:rPr>
        <w:fldChar w:fldCharType="begin"/>
      </w:r>
      <w:r w:rsidRPr="003C6E3E">
        <w:rPr>
          <w:noProof/>
          <w:lang w:val="fr-FR"/>
        </w:rPr>
        <w:instrText xml:space="preserve"> PAGEREF _Toc175548181 \h </w:instrText>
      </w:r>
      <w:r w:rsidR="003E42DF">
        <w:rPr>
          <w:noProof/>
        </w:rPr>
      </w:r>
      <w:r w:rsidR="003E42DF">
        <w:rPr>
          <w:noProof/>
        </w:rPr>
        <w:fldChar w:fldCharType="separate"/>
      </w:r>
      <w:r w:rsidRPr="003C6E3E">
        <w:rPr>
          <w:noProof/>
          <w:lang w:val="fr-FR"/>
        </w:rPr>
        <w:t>20</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Annex III</w:t>
      </w:r>
      <w:r w:rsidRPr="003C6E3E">
        <w:rPr>
          <w:noProof/>
          <w:lang w:val="fr-FR"/>
        </w:rPr>
        <w:tab/>
      </w:r>
      <w:r w:rsidR="003E42DF">
        <w:rPr>
          <w:noProof/>
        </w:rPr>
        <w:fldChar w:fldCharType="begin"/>
      </w:r>
      <w:r w:rsidRPr="003C6E3E">
        <w:rPr>
          <w:noProof/>
          <w:lang w:val="fr-FR"/>
        </w:rPr>
        <w:instrText xml:space="preserve"> PAGEREF _Toc175548182 \h </w:instrText>
      </w:r>
      <w:r w:rsidR="003E42DF">
        <w:rPr>
          <w:noProof/>
        </w:rPr>
      </w:r>
      <w:r w:rsidR="003E42DF">
        <w:rPr>
          <w:noProof/>
        </w:rPr>
        <w:fldChar w:fldCharType="separate"/>
      </w:r>
      <w:r w:rsidRPr="003C6E3E">
        <w:rPr>
          <w:noProof/>
          <w:lang w:val="fr-FR"/>
        </w:rPr>
        <w:t>23</w:t>
      </w:r>
      <w:r w:rsidR="003E42DF">
        <w:rPr>
          <w:noProof/>
        </w:rPr>
        <w:fldChar w:fldCharType="end"/>
      </w:r>
    </w:p>
    <w:p w:rsidR="003C6E3E" w:rsidRPr="003C6E3E" w:rsidRDefault="003C6E3E">
      <w:pPr>
        <w:pStyle w:val="TOC1"/>
        <w:rPr>
          <w:rFonts w:cs="Angsana New"/>
          <w:noProof/>
          <w:lang w:val="fr-FR" w:bidi="th-TH"/>
        </w:rPr>
      </w:pPr>
      <w:r w:rsidRPr="003C6E3E">
        <w:rPr>
          <w:noProof/>
          <w:lang w:val="fr-FR"/>
        </w:rPr>
        <w:t>Annex IV</w:t>
      </w:r>
      <w:r w:rsidRPr="003C6E3E">
        <w:rPr>
          <w:noProof/>
          <w:lang w:val="fr-FR"/>
        </w:rPr>
        <w:tab/>
      </w:r>
      <w:r w:rsidR="003E42DF">
        <w:rPr>
          <w:noProof/>
        </w:rPr>
        <w:fldChar w:fldCharType="begin"/>
      </w:r>
      <w:r w:rsidRPr="003C6E3E">
        <w:rPr>
          <w:noProof/>
          <w:lang w:val="fr-FR"/>
        </w:rPr>
        <w:instrText xml:space="preserve"> PAGEREF _Toc175548183 \h </w:instrText>
      </w:r>
      <w:r w:rsidR="003E42DF">
        <w:rPr>
          <w:noProof/>
        </w:rPr>
      </w:r>
      <w:r w:rsidR="003E42DF">
        <w:rPr>
          <w:noProof/>
        </w:rPr>
        <w:fldChar w:fldCharType="separate"/>
      </w:r>
      <w:r w:rsidRPr="003C6E3E">
        <w:rPr>
          <w:noProof/>
          <w:lang w:val="fr-FR"/>
        </w:rPr>
        <w:t>27</w:t>
      </w:r>
      <w:r w:rsidR="003E42DF">
        <w:rPr>
          <w:noProof/>
        </w:rPr>
        <w:fldChar w:fldCharType="end"/>
      </w:r>
    </w:p>
    <w:p w:rsidR="003C6E3E" w:rsidRPr="003C6E3E" w:rsidRDefault="003C6E3E">
      <w:pPr>
        <w:pStyle w:val="TOC1"/>
        <w:rPr>
          <w:rFonts w:cs="Angsana New"/>
          <w:noProof/>
          <w:lang w:val="it-IT" w:bidi="th-TH"/>
        </w:rPr>
      </w:pPr>
      <w:r w:rsidRPr="003C6E3E">
        <w:rPr>
          <w:noProof/>
          <w:lang w:val="it-IT"/>
        </w:rPr>
        <w:t>Annex V</w:t>
      </w:r>
      <w:r w:rsidRPr="003C6E3E">
        <w:rPr>
          <w:noProof/>
          <w:lang w:val="it-IT"/>
        </w:rPr>
        <w:tab/>
      </w:r>
      <w:r w:rsidR="003E42DF">
        <w:rPr>
          <w:noProof/>
        </w:rPr>
        <w:fldChar w:fldCharType="begin"/>
      </w:r>
      <w:r w:rsidRPr="003C6E3E">
        <w:rPr>
          <w:noProof/>
          <w:lang w:val="it-IT"/>
        </w:rPr>
        <w:instrText xml:space="preserve"> PAGEREF _Toc175548184 \h </w:instrText>
      </w:r>
      <w:r w:rsidR="003E42DF">
        <w:rPr>
          <w:noProof/>
        </w:rPr>
      </w:r>
      <w:r w:rsidR="003E42DF">
        <w:rPr>
          <w:noProof/>
        </w:rPr>
        <w:fldChar w:fldCharType="separate"/>
      </w:r>
      <w:r w:rsidRPr="003C6E3E">
        <w:rPr>
          <w:noProof/>
          <w:lang w:val="it-IT"/>
        </w:rPr>
        <w:t>28</w:t>
      </w:r>
      <w:r w:rsidR="003E42DF">
        <w:rPr>
          <w:noProof/>
        </w:rPr>
        <w:fldChar w:fldCharType="end"/>
      </w:r>
    </w:p>
    <w:p w:rsidR="003C6E3E" w:rsidRPr="003C6E3E" w:rsidRDefault="003C6E3E">
      <w:pPr>
        <w:pStyle w:val="TOC1"/>
        <w:rPr>
          <w:rFonts w:cs="Angsana New"/>
          <w:noProof/>
          <w:lang w:val="it-IT" w:bidi="th-TH"/>
        </w:rPr>
      </w:pPr>
      <w:r w:rsidRPr="003C6E3E">
        <w:rPr>
          <w:noProof/>
          <w:lang w:val="it-IT"/>
        </w:rPr>
        <w:t>Annex VI</w:t>
      </w:r>
      <w:r w:rsidRPr="003C6E3E">
        <w:rPr>
          <w:noProof/>
          <w:lang w:val="it-IT"/>
        </w:rPr>
        <w:tab/>
      </w:r>
      <w:r w:rsidR="003E42DF">
        <w:rPr>
          <w:noProof/>
        </w:rPr>
        <w:fldChar w:fldCharType="begin"/>
      </w:r>
      <w:r w:rsidRPr="003C6E3E">
        <w:rPr>
          <w:noProof/>
          <w:lang w:val="it-IT"/>
        </w:rPr>
        <w:instrText xml:space="preserve"> PAGEREF _Toc175548185 \h </w:instrText>
      </w:r>
      <w:r w:rsidR="003E42DF">
        <w:rPr>
          <w:noProof/>
        </w:rPr>
      </w:r>
      <w:r w:rsidR="003E42DF">
        <w:rPr>
          <w:noProof/>
        </w:rPr>
        <w:fldChar w:fldCharType="separate"/>
      </w:r>
      <w:r w:rsidRPr="003C6E3E">
        <w:rPr>
          <w:noProof/>
          <w:lang w:val="it-IT"/>
        </w:rPr>
        <w:t>37</w:t>
      </w:r>
      <w:r w:rsidR="003E42DF">
        <w:rPr>
          <w:noProof/>
        </w:rPr>
        <w:fldChar w:fldCharType="end"/>
      </w:r>
    </w:p>
    <w:p w:rsidR="003C6E3E" w:rsidRPr="003C6E3E" w:rsidRDefault="003C6E3E">
      <w:pPr>
        <w:pStyle w:val="TOC1"/>
        <w:rPr>
          <w:rFonts w:cs="Angsana New"/>
          <w:noProof/>
          <w:lang w:val="it-IT" w:bidi="th-TH"/>
        </w:rPr>
      </w:pPr>
      <w:r w:rsidRPr="003C6E3E">
        <w:rPr>
          <w:noProof/>
          <w:lang w:val="it-IT"/>
        </w:rPr>
        <w:t>Annex VII</w:t>
      </w:r>
      <w:r w:rsidRPr="003C6E3E">
        <w:rPr>
          <w:noProof/>
          <w:lang w:val="it-IT"/>
        </w:rPr>
        <w:tab/>
      </w:r>
      <w:r w:rsidR="003E42DF">
        <w:rPr>
          <w:noProof/>
        </w:rPr>
        <w:fldChar w:fldCharType="begin"/>
      </w:r>
      <w:r w:rsidRPr="003C6E3E">
        <w:rPr>
          <w:noProof/>
          <w:lang w:val="it-IT"/>
        </w:rPr>
        <w:instrText xml:space="preserve"> PAGEREF _Toc175548186 \h </w:instrText>
      </w:r>
      <w:r w:rsidR="003E42DF">
        <w:rPr>
          <w:noProof/>
        </w:rPr>
      </w:r>
      <w:r w:rsidR="003E42DF">
        <w:rPr>
          <w:noProof/>
        </w:rPr>
        <w:fldChar w:fldCharType="separate"/>
      </w:r>
      <w:r w:rsidRPr="003C6E3E">
        <w:rPr>
          <w:noProof/>
          <w:lang w:val="it-IT"/>
        </w:rPr>
        <w:t>40</w:t>
      </w:r>
      <w:r w:rsidR="003E42DF">
        <w:rPr>
          <w:noProof/>
        </w:rPr>
        <w:fldChar w:fldCharType="end"/>
      </w:r>
    </w:p>
    <w:p w:rsidR="003C6E3E" w:rsidRPr="003C6E3E" w:rsidRDefault="003C6E3E">
      <w:pPr>
        <w:pStyle w:val="TOC1"/>
        <w:rPr>
          <w:rFonts w:cs="Angsana New"/>
          <w:noProof/>
          <w:lang w:val="it-IT" w:bidi="th-TH"/>
        </w:rPr>
      </w:pPr>
      <w:r w:rsidRPr="003C6E3E">
        <w:rPr>
          <w:noProof/>
          <w:lang w:val="it-IT"/>
        </w:rPr>
        <w:t>Annex VIII</w:t>
      </w:r>
      <w:r w:rsidRPr="003C6E3E">
        <w:rPr>
          <w:noProof/>
          <w:lang w:val="it-IT"/>
        </w:rPr>
        <w:tab/>
      </w:r>
      <w:r w:rsidR="003E42DF">
        <w:rPr>
          <w:noProof/>
        </w:rPr>
        <w:fldChar w:fldCharType="begin"/>
      </w:r>
      <w:r w:rsidRPr="003C6E3E">
        <w:rPr>
          <w:noProof/>
          <w:lang w:val="it-IT"/>
        </w:rPr>
        <w:instrText xml:space="preserve"> PAGEREF _Toc175548187 \h </w:instrText>
      </w:r>
      <w:r w:rsidR="003E42DF">
        <w:rPr>
          <w:noProof/>
        </w:rPr>
      </w:r>
      <w:r w:rsidR="003E42DF">
        <w:rPr>
          <w:noProof/>
        </w:rPr>
        <w:fldChar w:fldCharType="separate"/>
      </w:r>
      <w:r w:rsidRPr="003C6E3E">
        <w:rPr>
          <w:noProof/>
          <w:lang w:val="it-IT"/>
        </w:rPr>
        <w:t>42</w:t>
      </w:r>
      <w:r w:rsidR="003E42DF">
        <w:rPr>
          <w:noProof/>
        </w:rPr>
        <w:fldChar w:fldCharType="end"/>
      </w:r>
    </w:p>
    <w:p w:rsidR="00702FBF" w:rsidRPr="00BE4555" w:rsidRDefault="003E42DF" w:rsidP="00393655">
      <w:pPr>
        <w:spacing w:line="360" w:lineRule="auto"/>
        <w:jc w:val="both"/>
        <w:rPr>
          <w:lang w:val="sv-SE"/>
        </w:rPr>
      </w:pPr>
      <w:r w:rsidRPr="00487772">
        <w:rPr>
          <w:lang w:val="en-GB"/>
        </w:rPr>
        <w:fldChar w:fldCharType="end"/>
      </w:r>
    </w:p>
    <w:p w:rsidR="00812310" w:rsidRPr="00BE4555" w:rsidRDefault="00D66BA1" w:rsidP="00DE7B62">
      <w:pPr>
        <w:pStyle w:val="Heading1"/>
        <w:numPr>
          <w:ilvl w:val="0"/>
          <w:numId w:val="0"/>
        </w:numPr>
        <w:spacing w:line="360" w:lineRule="auto"/>
        <w:jc w:val="both"/>
        <w:rPr>
          <w:bCs w:val="0"/>
          <w:sz w:val="24"/>
          <w:lang w:val="sv-SE"/>
        </w:rPr>
      </w:pPr>
      <w:r w:rsidRPr="00BE4555">
        <w:rPr>
          <w:lang w:val="sv-SE"/>
        </w:rPr>
        <w:br w:type="page"/>
      </w:r>
    </w:p>
    <w:p w:rsidR="00DE7B62" w:rsidRPr="00487772" w:rsidRDefault="00DE7B62" w:rsidP="00DE7B62">
      <w:pPr>
        <w:pStyle w:val="Heading1"/>
        <w:numPr>
          <w:ilvl w:val="0"/>
          <w:numId w:val="0"/>
        </w:numPr>
        <w:spacing w:line="360" w:lineRule="auto"/>
        <w:jc w:val="both"/>
        <w:rPr>
          <w:bCs w:val="0"/>
          <w:sz w:val="24"/>
          <w:lang w:val="en-GB"/>
        </w:rPr>
      </w:pPr>
      <w:bookmarkStart w:id="0" w:name="_Toc175548169"/>
      <w:r w:rsidRPr="00487772">
        <w:rPr>
          <w:bCs w:val="0"/>
          <w:sz w:val="24"/>
          <w:lang w:val="en-GB"/>
        </w:rPr>
        <w:lastRenderedPageBreak/>
        <w:t>Acronyms</w:t>
      </w:r>
      <w:bookmarkEnd w:id="0"/>
    </w:p>
    <w:p w:rsidR="00BA0FBF" w:rsidRPr="00487772" w:rsidRDefault="00BA0FBF" w:rsidP="00BA0FBF">
      <w:pPr>
        <w:rPr>
          <w:lang w:val="en-GB" w:eastAsia="en-US"/>
        </w:rPr>
      </w:pPr>
    </w:p>
    <w:tbl>
      <w:tblPr>
        <w:tblW w:w="5602" w:type="dxa"/>
        <w:tblCellMar>
          <w:left w:w="0" w:type="dxa"/>
          <w:right w:w="0" w:type="dxa"/>
        </w:tblCellMar>
        <w:tblLook w:val="0000"/>
      </w:tblPr>
      <w:tblGrid>
        <w:gridCol w:w="960"/>
        <w:gridCol w:w="4642"/>
      </w:tblGrid>
      <w:tr w:rsidR="00BA0FBF" w:rsidRPr="00487772">
        <w:trPr>
          <w:trHeight w:val="270"/>
        </w:trPr>
        <w:tc>
          <w:tcPr>
            <w:tcW w:w="960" w:type="dxa"/>
            <w:shd w:val="clear" w:color="auto" w:fill="auto"/>
            <w:noWrap/>
            <w:tcMar>
              <w:top w:w="15" w:type="dxa"/>
              <w:left w:w="15" w:type="dxa"/>
              <w:bottom w:w="0" w:type="dxa"/>
              <w:right w:w="15" w:type="dxa"/>
            </w:tcMar>
            <w:vAlign w:val="bottom"/>
          </w:tcPr>
          <w:p w:rsidR="00BA0FBF" w:rsidRPr="00487772" w:rsidRDefault="00BA0FBF">
            <w:pPr>
              <w:rPr>
                <w:bCs/>
                <w:lang w:val="en-GB"/>
              </w:rPr>
            </w:pPr>
            <w:r w:rsidRPr="00487772">
              <w:rPr>
                <w:bCs/>
                <w:lang w:val="en-GB"/>
              </w:rPr>
              <w:t>GDP</w:t>
            </w:r>
          </w:p>
        </w:tc>
        <w:tc>
          <w:tcPr>
            <w:tcW w:w="4642" w:type="dxa"/>
            <w:shd w:val="clear" w:color="auto" w:fill="auto"/>
            <w:noWrap/>
            <w:tcMar>
              <w:top w:w="15" w:type="dxa"/>
              <w:left w:w="15" w:type="dxa"/>
              <w:bottom w:w="0" w:type="dxa"/>
              <w:right w:w="15" w:type="dxa"/>
            </w:tcMar>
            <w:vAlign w:val="bottom"/>
          </w:tcPr>
          <w:p w:rsidR="00BA0FBF" w:rsidRPr="00487772" w:rsidRDefault="009423E9">
            <w:pPr>
              <w:rPr>
                <w:bCs/>
                <w:lang w:val="en-GB"/>
              </w:rPr>
            </w:pPr>
            <w:r w:rsidRPr="00487772">
              <w:rPr>
                <w:bCs/>
                <w:lang w:val="en-GB"/>
              </w:rPr>
              <w:t>Gross Domestic Product</w:t>
            </w:r>
            <w:r w:rsidRPr="00487772">
              <w:rPr>
                <w:lang w:val="en-GB"/>
              </w:rPr>
              <w:t>,</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HBS</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 xml:space="preserve">Household Budget Survey </w:t>
            </w:r>
          </w:p>
        </w:tc>
      </w:tr>
      <w:tr w:rsidR="00BA0FBF" w:rsidRPr="00487772">
        <w:trPr>
          <w:trHeight w:val="330"/>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ICHA</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 xml:space="preserve">International Classification for Health Accounts </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LSMS</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Living Standards Measurement Survey</w:t>
            </w:r>
          </w:p>
        </w:tc>
      </w:tr>
      <w:tr w:rsidR="00BA0FBF" w:rsidRPr="00487772">
        <w:trPr>
          <w:trHeight w:val="315"/>
        </w:trPr>
        <w:tc>
          <w:tcPr>
            <w:tcW w:w="960" w:type="dxa"/>
            <w:shd w:val="clear" w:color="auto" w:fill="auto"/>
            <w:tcMar>
              <w:top w:w="15" w:type="dxa"/>
              <w:left w:w="15" w:type="dxa"/>
              <w:bottom w:w="0" w:type="dxa"/>
              <w:right w:w="15" w:type="dxa"/>
            </w:tcMar>
          </w:tcPr>
          <w:p w:rsidR="00BA0FBF" w:rsidRPr="00487772" w:rsidRDefault="00BA0FBF">
            <w:pPr>
              <w:jc w:val="both"/>
              <w:rPr>
                <w:lang w:val="en-GB"/>
              </w:rPr>
            </w:pPr>
            <w:r w:rsidRPr="00487772">
              <w:rPr>
                <w:lang w:val="en-GB" w:eastAsia="en-US"/>
              </w:rPr>
              <w:t>MEF</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Ministry of Economy and Finance</w:t>
            </w:r>
          </w:p>
        </w:tc>
      </w:tr>
      <w:tr w:rsidR="00BA0FBF" w:rsidRPr="00487772">
        <w:trPr>
          <w:trHeight w:val="315"/>
        </w:trPr>
        <w:tc>
          <w:tcPr>
            <w:tcW w:w="960" w:type="dxa"/>
            <w:shd w:val="clear" w:color="auto" w:fill="auto"/>
            <w:tcMar>
              <w:top w:w="15" w:type="dxa"/>
              <w:left w:w="15" w:type="dxa"/>
              <w:bottom w:w="0" w:type="dxa"/>
              <w:right w:w="15" w:type="dxa"/>
            </w:tcMar>
          </w:tcPr>
          <w:p w:rsidR="00BA0FBF" w:rsidRPr="00487772" w:rsidRDefault="00BA0FBF">
            <w:pPr>
              <w:jc w:val="both"/>
              <w:rPr>
                <w:lang w:val="en-GB"/>
              </w:rPr>
            </w:pPr>
            <w:r w:rsidRPr="00487772">
              <w:rPr>
                <w:lang w:val="en-GB" w:eastAsia="en-US"/>
              </w:rPr>
              <w:t>MOH</w:t>
            </w:r>
          </w:p>
        </w:tc>
        <w:tc>
          <w:tcPr>
            <w:tcW w:w="4642" w:type="dxa"/>
            <w:shd w:val="clear" w:color="auto" w:fill="auto"/>
            <w:tcMar>
              <w:top w:w="15" w:type="dxa"/>
              <w:left w:w="15" w:type="dxa"/>
              <w:bottom w:w="0" w:type="dxa"/>
              <w:right w:w="15" w:type="dxa"/>
            </w:tcMar>
          </w:tcPr>
          <w:p w:rsidR="00BA0FBF" w:rsidRPr="00487772" w:rsidRDefault="009423E9">
            <w:pPr>
              <w:rPr>
                <w:lang w:val="en-GB"/>
              </w:rPr>
            </w:pPr>
            <w:r w:rsidRPr="00487772">
              <w:rPr>
                <w:lang w:val="en-GB"/>
              </w:rPr>
              <w:t>Ministry of Health</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NA</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National Accounts</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NHA</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National Health Account</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NIPH</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 xml:space="preserve">National </w:t>
            </w:r>
            <w:smartTag w:uri="urn:schemas-microsoft-com:office:smarttags" w:element="place">
              <w:smartTag w:uri="urn:schemas-microsoft-com:office:smarttags" w:element="PlaceType">
                <w:r w:rsidRPr="00487772">
                  <w:rPr>
                    <w:lang w:val="en-GB"/>
                  </w:rPr>
                  <w:t>Institute</w:t>
                </w:r>
              </w:smartTag>
              <w:r w:rsidRPr="00487772">
                <w:rPr>
                  <w:lang w:val="en-GB"/>
                </w:rPr>
                <w:t xml:space="preserve"> of </w:t>
              </w:r>
              <w:smartTag w:uri="urn:schemas-microsoft-com:office:smarttags" w:element="PlaceName">
                <w:r w:rsidRPr="00487772">
                  <w:rPr>
                    <w:lang w:val="en-GB"/>
                  </w:rPr>
                  <w:t>Public Health</w:t>
                </w:r>
              </w:smartTag>
            </w:smartTag>
            <w:r w:rsidRPr="00487772">
              <w:rPr>
                <w:lang w:val="en-GB"/>
              </w:rPr>
              <w:t xml:space="preserve"> </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NPO</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 xml:space="preserve">Non Profit Organisations </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OOP</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Out-of-Pocket expenditures on health</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PHC</w:t>
            </w:r>
          </w:p>
        </w:tc>
        <w:tc>
          <w:tcPr>
            <w:tcW w:w="0" w:type="auto"/>
            <w:shd w:val="clear" w:color="auto" w:fill="auto"/>
            <w:noWrap/>
            <w:tcMar>
              <w:top w:w="15" w:type="dxa"/>
              <w:left w:w="15" w:type="dxa"/>
              <w:bottom w:w="0" w:type="dxa"/>
              <w:right w:w="15" w:type="dxa"/>
            </w:tcMar>
            <w:vAlign w:val="bottom"/>
          </w:tcPr>
          <w:p w:rsidR="00BA0FBF" w:rsidRPr="00487772" w:rsidRDefault="0076281B">
            <w:pPr>
              <w:rPr>
                <w:lang w:val="en-GB"/>
              </w:rPr>
            </w:pPr>
            <w:r w:rsidRPr="00487772">
              <w:rPr>
                <w:lang w:val="en-GB"/>
              </w:rPr>
              <w:t>Primary Health Care</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SHA</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System of Health Accounts</w:t>
            </w:r>
          </w:p>
        </w:tc>
      </w:tr>
      <w:tr w:rsidR="00BA0FBF" w:rsidRPr="00487772">
        <w:trPr>
          <w:trHeight w:val="315"/>
        </w:trPr>
        <w:tc>
          <w:tcPr>
            <w:tcW w:w="0" w:type="auto"/>
            <w:shd w:val="clear" w:color="auto" w:fill="auto"/>
            <w:noWrap/>
            <w:tcMar>
              <w:top w:w="15" w:type="dxa"/>
              <w:left w:w="15" w:type="dxa"/>
              <w:bottom w:w="0" w:type="dxa"/>
              <w:right w:w="15" w:type="dxa"/>
            </w:tcMar>
            <w:vAlign w:val="bottom"/>
          </w:tcPr>
          <w:p w:rsidR="00BA0FBF" w:rsidRPr="00487772" w:rsidRDefault="00BA0FBF">
            <w:pPr>
              <w:rPr>
                <w:lang w:val="en-GB"/>
              </w:rPr>
            </w:pPr>
            <w:r w:rsidRPr="00487772">
              <w:rPr>
                <w:lang w:val="en-GB"/>
              </w:rPr>
              <w:t>SOK</w:t>
            </w:r>
          </w:p>
        </w:tc>
        <w:tc>
          <w:tcPr>
            <w:tcW w:w="0" w:type="auto"/>
            <w:shd w:val="clear" w:color="auto" w:fill="auto"/>
            <w:noWrap/>
            <w:tcMar>
              <w:top w:w="15" w:type="dxa"/>
              <w:left w:w="15" w:type="dxa"/>
              <w:bottom w:w="0" w:type="dxa"/>
              <w:right w:w="15" w:type="dxa"/>
            </w:tcMar>
            <w:vAlign w:val="bottom"/>
          </w:tcPr>
          <w:p w:rsidR="00BA0FBF" w:rsidRPr="00487772" w:rsidRDefault="009423E9">
            <w:pPr>
              <w:rPr>
                <w:lang w:val="en-GB"/>
              </w:rPr>
            </w:pPr>
            <w:r w:rsidRPr="00487772">
              <w:rPr>
                <w:lang w:val="en-GB"/>
              </w:rPr>
              <w:t xml:space="preserve">Statistical Office of Kosovo </w:t>
            </w:r>
          </w:p>
        </w:tc>
      </w:tr>
      <w:tr w:rsidR="006F2D71" w:rsidRPr="00487772">
        <w:trPr>
          <w:trHeight w:val="315"/>
        </w:trPr>
        <w:tc>
          <w:tcPr>
            <w:tcW w:w="0" w:type="auto"/>
            <w:shd w:val="clear" w:color="auto" w:fill="auto"/>
            <w:noWrap/>
            <w:tcMar>
              <w:top w:w="15" w:type="dxa"/>
              <w:left w:w="15" w:type="dxa"/>
              <w:bottom w:w="0" w:type="dxa"/>
              <w:right w:w="15" w:type="dxa"/>
            </w:tcMar>
            <w:vAlign w:val="bottom"/>
          </w:tcPr>
          <w:p w:rsidR="006F2D71" w:rsidRPr="00487772" w:rsidRDefault="006F2D71" w:rsidP="00904392">
            <w:pPr>
              <w:rPr>
                <w:lang w:val="en-GB"/>
              </w:rPr>
            </w:pPr>
            <w:r w:rsidRPr="00487772">
              <w:rPr>
                <w:lang w:val="en-GB"/>
              </w:rPr>
              <w:t>THE</w:t>
            </w:r>
          </w:p>
        </w:tc>
        <w:tc>
          <w:tcPr>
            <w:tcW w:w="0" w:type="auto"/>
            <w:shd w:val="clear" w:color="auto" w:fill="auto"/>
            <w:noWrap/>
            <w:tcMar>
              <w:top w:w="15" w:type="dxa"/>
              <w:left w:w="15" w:type="dxa"/>
              <w:bottom w:w="0" w:type="dxa"/>
              <w:right w:w="15" w:type="dxa"/>
            </w:tcMar>
            <w:vAlign w:val="bottom"/>
          </w:tcPr>
          <w:p w:rsidR="006F2D71" w:rsidRPr="00487772" w:rsidRDefault="006F2D71" w:rsidP="00904392">
            <w:pPr>
              <w:rPr>
                <w:lang w:val="en-GB"/>
              </w:rPr>
            </w:pPr>
            <w:r w:rsidRPr="00487772">
              <w:rPr>
                <w:lang w:val="en-GB"/>
              </w:rPr>
              <w:t xml:space="preserve">Total Health Expenditures </w:t>
            </w:r>
          </w:p>
        </w:tc>
      </w:tr>
      <w:tr w:rsidR="006F2D71" w:rsidRPr="00487772">
        <w:trPr>
          <w:trHeight w:val="315"/>
        </w:trPr>
        <w:tc>
          <w:tcPr>
            <w:tcW w:w="0" w:type="auto"/>
            <w:shd w:val="clear" w:color="auto" w:fill="auto"/>
            <w:noWrap/>
            <w:tcMar>
              <w:top w:w="15" w:type="dxa"/>
              <w:left w:w="15" w:type="dxa"/>
              <w:bottom w:w="0" w:type="dxa"/>
              <w:right w:w="15" w:type="dxa"/>
            </w:tcMar>
            <w:vAlign w:val="bottom"/>
          </w:tcPr>
          <w:p w:rsidR="006F2D71" w:rsidRPr="00487772" w:rsidRDefault="006F2D71">
            <w:pPr>
              <w:rPr>
                <w:lang w:val="en-GB"/>
              </w:rPr>
            </w:pPr>
            <w:r w:rsidRPr="00487772">
              <w:rPr>
                <w:lang w:val="en-GB"/>
              </w:rPr>
              <w:t>…</w:t>
            </w:r>
          </w:p>
        </w:tc>
        <w:tc>
          <w:tcPr>
            <w:tcW w:w="0" w:type="auto"/>
            <w:shd w:val="clear" w:color="auto" w:fill="auto"/>
            <w:noWrap/>
            <w:tcMar>
              <w:top w:w="15" w:type="dxa"/>
              <w:left w:w="15" w:type="dxa"/>
              <w:bottom w:w="0" w:type="dxa"/>
              <w:right w:w="15" w:type="dxa"/>
            </w:tcMar>
            <w:vAlign w:val="bottom"/>
          </w:tcPr>
          <w:p w:rsidR="006F2D71" w:rsidRPr="00487772" w:rsidRDefault="006F2D71">
            <w:pPr>
              <w:rPr>
                <w:lang w:val="en-GB"/>
              </w:rPr>
            </w:pPr>
            <w:r w:rsidRPr="00487772">
              <w:rPr>
                <w:lang w:val="en-GB"/>
              </w:rPr>
              <w:t>Data not available</w:t>
            </w:r>
          </w:p>
        </w:tc>
      </w:tr>
    </w:tbl>
    <w:p w:rsidR="00D36C9C" w:rsidRPr="00487772" w:rsidRDefault="00BA0FBF" w:rsidP="00D36C9C">
      <w:pPr>
        <w:pStyle w:val="Heading1"/>
        <w:numPr>
          <w:ilvl w:val="0"/>
          <w:numId w:val="0"/>
        </w:numPr>
        <w:spacing w:line="360" w:lineRule="auto"/>
        <w:jc w:val="both"/>
        <w:rPr>
          <w:lang w:val="en-GB"/>
        </w:rPr>
      </w:pPr>
      <w:r w:rsidRPr="00487772">
        <w:rPr>
          <w:lang w:val="en-GB"/>
        </w:rPr>
        <w:t xml:space="preserve"> </w:t>
      </w:r>
      <w:r w:rsidR="00D36C9C" w:rsidRPr="00487772">
        <w:rPr>
          <w:lang w:val="en-GB"/>
        </w:rPr>
        <w:br w:type="page"/>
      </w:r>
    </w:p>
    <w:p w:rsidR="00D36C9C" w:rsidRPr="00487772" w:rsidRDefault="00D36C9C" w:rsidP="00D36C9C">
      <w:pPr>
        <w:pStyle w:val="Heading1"/>
        <w:numPr>
          <w:ilvl w:val="0"/>
          <w:numId w:val="0"/>
        </w:numPr>
        <w:spacing w:line="360" w:lineRule="auto"/>
        <w:jc w:val="both"/>
        <w:rPr>
          <w:lang w:val="en-GB"/>
        </w:rPr>
      </w:pPr>
      <w:bookmarkStart w:id="1" w:name="_Toc175548170"/>
      <w:r w:rsidRPr="00487772">
        <w:rPr>
          <w:bCs w:val="0"/>
          <w:sz w:val="24"/>
          <w:lang w:val="en-GB"/>
        </w:rPr>
        <w:lastRenderedPageBreak/>
        <w:t>Introduction</w:t>
      </w:r>
      <w:bookmarkEnd w:id="1"/>
    </w:p>
    <w:p w:rsidR="00A72D54" w:rsidRPr="00487772" w:rsidRDefault="00FD40FD" w:rsidP="00D36C9C">
      <w:pPr>
        <w:spacing w:line="360" w:lineRule="auto"/>
        <w:jc w:val="both"/>
        <w:rPr>
          <w:lang w:val="en-GB"/>
        </w:rPr>
      </w:pPr>
      <w:r w:rsidRPr="00487772">
        <w:rPr>
          <w:lang w:val="en-GB"/>
        </w:rPr>
        <w:t xml:space="preserve">This is </w:t>
      </w:r>
      <w:r w:rsidR="00B71567" w:rsidRPr="00487772">
        <w:rPr>
          <w:lang w:val="en-GB"/>
        </w:rPr>
        <w:t>a</w:t>
      </w:r>
      <w:r w:rsidRPr="00487772">
        <w:rPr>
          <w:lang w:val="en-GB"/>
        </w:rPr>
        <w:t xml:space="preserve"> report which includes </w:t>
      </w:r>
      <w:r w:rsidR="006F7F58" w:rsidRPr="00487772">
        <w:rPr>
          <w:lang w:val="en-GB"/>
        </w:rPr>
        <w:t xml:space="preserve">preliminary </w:t>
      </w:r>
      <w:r w:rsidR="00053523" w:rsidRPr="00487772">
        <w:rPr>
          <w:lang w:val="en-GB"/>
        </w:rPr>
        <w:t xml:space="preserve">data </w:t>
      </w:r>
      <w:r w:rsidR="00DC14B5">
        <w:rPr>
          <w:lang w:val="en-GB"/>
        </w:rPr>
        <w:t xml:space="preserve">from the year 2005 </w:t>
      </w:r>
      <w:r w:rsidR="00053523" w:rsidRPr="00487772">
        <w:rPr>
          <w:lang w:val="en-GB"/>
        </w:rPr>
        <w:t xml:space="preserve">and description of potential data sources for </w:t>
      </w:r>
      <w:r w:rsidR="00A50F68" w:rsidRPr="00487772">
        <w:rPr>
          <w:lang w:val="en-GB"/>
        </w:rPr>
        <w:t>National Health Account (</w:t>
      </w:r>
      <w:r w:rsidR="006F7F58" w:rsidRPr="00487772">
        <w:rPr>
          <w:lang w:val="en-GB"/>
        </w:rPr>
        <w:t>NHA</w:t>
      </w:r>
      <w:r w:rsidR="00A50F68" w:rsidRPr="00487772">
        <w:rPr>
          <w:lang w:val="en-GB"/>
        </w:rPr>
        <w:t>)</w:t>
      </w:r>
      <w:r w:rsidR="006F7F58" w:rsidRPr="00487772">
        <w:rPr>
          <w:lang w:val="en-GB"/>
        </w:rPr>
        <w:t xml:space="preserve"> </w:t>
      </w:r>
      <w:r w:rsidRPr="00487772">
        <w:rPr>
          <w:lang w:val="en-GB"/>
        </w:rPr>
        <w:t xml:space="preserve">in </w:t>
      </w:r>
      <w:r w:rsidR="004A51BF" w:rsidRPr="00487772">
        <w:rPr>
          <w:lang w:val="en-GB"/>
        </w:rPr>
        <w:t>Kosovo</w:t>
      </w:r>
      <w:r w:rsidRPr="00487772">
        <w:rPr>
          <w:lang w:val="en-GB"/>
        </w:rPr>
        <w:t xml:space="preserve">. </w:t>
      </w:r>
      <w:r w:rsidR="00394417" w:rsidRPr="00487772">
        <w:rPr>
          <w:lang w:val="en-GB"/>
        </w:rPr>
        <w:t xml:space="preserve">This year was chosen because it was the </w:t>
      </w:r>
      <w:r w:rsidR="00394417">
        <w:rPr>
          <w:lang w:val="en-GB"/>
        </w:rPr>
        <w:t>only</w:t>
      </w:r>
      <w:r w:rsidR="00394417" w:rsidRPr="00487772">
        <w:rPr>
          <w:lang w:val="en-GB"/>
        </w:rPr>
        <w:t xml:space="preserve"> year where data on health expenditures from all existing data source</w:t>
      </w:r>
      <w:r w:rsidR="00394417">
        <w:rPr>
          <w:lang w:val="en-GB"/>
        </w:rPr>
        <w:t>s</w:t>
      </w:r>
      <w:r w:rsidR="00394417" w:rsidRPr="00487772">
        <w:rPr>
          <w:lang w:val="en-GB"/>
        </w:rPr>
        <w:t xml:space="preserve"> was available. </w:t>
      </w:r>
      <w:r w:rsidRPr="00487772">
        <w:rPr>
          <w:lang w:val="en-GB"/>
        </w:rPr>
        <w:t xml:space="preserve">Natalja Jedomskihh-Eigo (consultant) prepared the report after her visit to </w:t>
      </w:r>
      <w:r w:rsidR="004A51BF" w:rsidRPr="00487772">
        <w:rPr>
          <w:lang w:val="en-GB"/>
        </w:rPr>
        <w:t>Kosovo</w:t>
      </w:r>
      <w:r w:rsidRPr="00487772">
        <w:rPr>
          <w:lang w:val="en-GB"/>
        </w:rPr>
        <w:t>, 15 – 21 April</w:t>
      </w:r>
      <w:r w:rsidR="00FE6491" w:rsidRPr="00487772">
        <w:rPr>
          <w:lang w:val="en-GB"/>
        </w:rPr>
        <w:t>,</w:t>
      </w:r>
      <w:r w:rsidRPr="00487772">
        <w:rPr>
          <w:lang w:val="en-GB"/>
        </w:rPr>
        <w:t xml:space="preserve"> 2007. The results outlined in this report </w:t>
      </w:r>
      <w:r w:rsidR="00DC14B5">
        <w:rPr>
          <w:lang w:val="en-GB"/>
        </w:rPr>
        <w:t>were</w:t>
      </w:r>
      <w:r w:rsidR="006F7F58" w:rsidRPr="00487772">
        <w:rPr>
          <w:lang w:val="en-GB"/>
        </w:rPr>
        <w:t xml:space="preserve"> presented and discussed at </w:t>
      </w:r>
      <w:r w:rsidR="008C5EC1" w:rsidRPr="00487772">
        <w:rPr>
          <w:lang w:val="en-GB"/>
        </w:rPr>
        <w:t>one</w:t>
      </w:r>
      <w:r w:rsidR="006F7F58" w:rsidRPr="00487772">
        <w:rPr>
          <w:lang w:val="en-GB"/>
        </w:rPr>
        <w:t>-day s</w:t>
      </w:r>
      <w:r w:rsidRPr="00487772">
        <w:rPr>
          <w:lang w:val="en-GB"/>
        </w:rPr>
        <w:t xml:space="preserve">eminar with stakeholders </w:t>
      </w:r>
      <w:r w:rsidR="006F7F58" w:rsidRPr="00487772">
        <w:rPr>
          <w:lang w:val="en-GB"/>
        </w:rPr>
        <w:t>on 26 June</w:t>
      </w:r>
      <w:r w:rsidR="00FE6491" w:rsidRPr="00487772">
        <w:rPr>
          <w:lang w:val="en-GB"/>
        </w:rPr>
        <w:t>,</w:t>
      </w:r>
      <w:r w:rsidR="006F7F58" w:rsidRPr="00487772">
        <w:rPr>
          <w:lang w:val="en-GB"/>
        </w:rPr>
        <w:t xml:space="preserve"> 2007.</w:t>
      </w:r>
      <w:r w:rsidR="00DC14B5">
        <w:rPr>
          <w:lang w:val="en-GB"/>
        </w:rPr>
        <w:t xml:space="preserve"> </w:t>
      </w:r>
      <w:r w:rsidR="006F7F58" w:rsidRPr="00487772">
        <w:rPr>
          <w:lang w:val="en-GB"/>
        </w:rPr>
        <w:t>The report is intended as a discussion document. It represents the first implementation step of NHA in Kosovo to support formation of the Kosovo NHA technical team to lead the future work on health accounts.</w:t>
      </w:r>
      <w:r w:rsidR="00A72D54" w:rsidRPr="00487772">
        <w:rPr>
          <w:lang w:val="en-GB"/>
        </w:rPr>
        <w:t xml:space="preserve"> </w:t>
      </w:r>
    </w:p>
    <w:p w:rsidR="00A72D54" w:rsidRPr="00487772" w:rsidRDefault="00A72D54" w:rsidP="00D36C9C">
      <w:pPr>
        <w:autoSpaceDE w:val="0"/>
        <w:autoSpaceDN w:val="0"/>
        <w:adjustRightInd w:val="0"/>
        <w:spacing w:line="360" w:lineRule="auto"/>
        <w:jc w:val="both"/>
        <w:rPr>
          <w:lang w:val="en-GB"/>
        </w:rPr>
      </w:pPr>
    </w:p>
    <w:p w:rsidR="006F7F58" w:rsidRPr="00487772" w:rsidRDefault="00B01724" w:rsidP="00D36C9C">
      <w:pPr>
        <w:autoSpaceDE w:val="0"/>
        <w:autoSpaceDN w:val="0"/>
        <w:adjustRightInd w:val="0"/>
        <w:spacing w:line="360" w:lineRule="auto"/>
        <w:jc w:val="both"/>
        <w:rPr>
          <w:lang w:val="en-GB"/>
        </w:rPr>
      </w:pPr>
      <w:r w:rsidRPr="00487772">
        <w:rPr>
          <w:lang w:val="en-GB"/>
        </w:rPr>
        <w:t>This report provi</w:t>
      </w:r>
      <w:r w:rsidR="00424EAD" w:rsidRPr="00487772">
        <w:rPr>
          <w:lang w:val="en-GB"/>
        </w:rPr>
        <w:t>des a brief description of existing data, including a review of available sources of information, identification of data gaps and recommendations for improved data collection</w:t>
      </w:r>
      <w:r w:rsidR="00424EAD" w:rsidRPr="00487772">
        <w:rPr>
          <w:color w:val="FF0000"/>
          <w:lang w:val="en-GB"/>
        </w:rPr>
        <w:t>.</w:t>
      </w:r>
      <w:r w:rsidR="00424EAD" w:rsidRPr="00487772">
        <w:rPr>
          <w:lang w:val="en-GB"/>
        </w:rPr>
        <w:t xml:space="preserve"> </w:t>
      </w:r>
      <w:r w:rsidR="00A72D54" w:rsidRPr="00487772">
        <w:rPr>
          <w:lang w:val="en-GB"/>
        </w:rPr>
        <w:t xml:space="preserve"> </w:t>
      </w:r>
      <w:r w:rsidR="00424EAD" w:rsidRPr="00487772">
        <w:rPr>
          <w:lang w:val="en-GB"/>
        </w:rPr>
        <w:t>It then goes on to present, in tabular form p</w:t>
      </w:r>
      <w:r w:rsidRPr="00487772">
        <w:rPr>
          <w:lang w:val="en-GB"/>
        </w:rPr>
        <w:t xml:space="preserve">reliminary NHA report based on existing data, with NHA matrices </w:t>
      </w:r>
      <w:r w:rsidR="00424EAD" w:rsidRPr="00487772">
        <w:rPr>
          <w:lang w:val="en-GB"/>
        </w:rPr>
        <w:t xml:space="preserve">based on international classifications: </w:t>
      </w:r>
      <w:r w:rsidRPr="00487772">
        <w:rPr>
          <w:lang w:val="en-GB"/>
        </w:rPr>
        <w:t xml:space="preserve">ICHA-HF, ICHA-HC and ICHA-HP.  </w:t>
      </w:r>
    </w:p>
    <w:p w:rsidR="00122797" w:rsidRPr="00487772" w:rsidRDefault="00122797" w:rsidP="00122797">
      <w:pPr>
        <w:spacing w:line="360" w:lineRule="auto"/>
        <w:ind w:right="300"/>
        <w:jc w:val="both"/>
        <w:rPr>
          <w:lang w:val="en-GB"/>
        </w:rPr>
      </w:pPr>
    </w:p>
    <w:p w:rsidR="006F7F58" w:rsidRPr="00487772" w:rsidRDefault="006F7F58" w:rsidP="00122797">
      <w:pPr>
        <w:pStyle w:val="Heading1"/>
        <w:numPr>
          <w:ilvl w:val="0"/>
          <w:numId w:val="0"/>
        </w:numPr>
        <w:spacing w:line="360" w:lineRule="auto"/>
        <w:jc w:val="both"/>
        <w:rPr>
          <w:bCs w:val="0"/>
          <w:sz w:val="24"/>
          <w:lang w:val="en-GB"/>
        </w:rPr>
      </w:pPr>
    </w:p>
    <w:p w:rsidR="00FD40FD" w:rsidRPr="00487772" w:rsidRDefault="00FD40FD" w:rsidP="00122797">
      <w:pPr>
        <w:pStyle w:val="Heading1"/>
        <w:numPr>
          <w:ilvl w:val="0"/>
          <w:numId w:val="0"/>
        </w:numPr>
        <w:spacing w:line="360" w:lineRule="auto"/>
        <w:jc w:val="both"/>
        <w:rPr>
          <w:bCs w:val="0"/>
          <w:sz w:val="24"/>
          <w:lang w:val="en-GB"/>
        </w:rPr>
      </w:pPr>
      <w:bookmarkStart w:id="2" w:name="_Toc175548171"/>
      <w:r w:rsidRPr="00487772">
        <w:rPr>
          <w:bCs w:val="0"/>
          <w:sz w:val="24"/>
          <w:lang w:val="en-GB"/>
        </w:rPr>
        <w:t>Consultants’ activities</w:t>
      </w:r>
      <w:bookmarkEnd w:id="2"/>
    </w:p>
    <w:p w:rsidR="009D1013" w:rsidRPr="009D1013" w:rsidRDefault="009D1013" w:rsidP="009D1013">
      <w:pPr>
        <w:autoSpaceDE w:val="0"/>
        <w:autoSpaceDN w:val="0"/>
        <w:adjustRightInd w:val="0"/>
        <w:spacing w:line="360" w:lineRule="auto"/>
        <w:jc w:val="both"/>
        <w:rPr>
          <w:lang w:val="en-GB"/>
        </w:rPr>
      </w:pPr>
      <w:r w:rsidRPr="009D1013">
        <w:rPr>
          <w:color w:val="000000"/>
          <w:lang w:val="en-GB"/>
        </w:rPr>
        <w:t xml:space="preserve">This study aims to support the implementation of the KDSP by focusing on strengthening management and accountability in health and providing baseline data against which progress in KDSP implementation is measured.  </w:t>
      </w:r>
      <w:r w:rsidRPr="009D1013">
        <w:rPr>
          <w:lang w:val="en-GB"/>
        </w:rPr>
        <w:t>The objective of this consultancy is to conduct a preliminary</w:t>
      </w:r>
      <w:r>
        <w:rPr>
          <w:lang w:val="en-GB"/>
        </w:rPr>
        <w:t xml:space="preserve"> NHA</w:t>
      </w:r>
      <w:r w:rsidR="006F0C52">
        <w:rPr>
          <w:lang w:val="en-GB"/>
        </w:rPr>
        <w:t xml:space="preserve"> based on 2005 data</w:t>
      </w:r>
      <w:r>
        <w:rPr>
          <w:lang w:val="en-GB"/>
        </w:rPr>
        <w:t xml:space="preserve">. </w:t>
      </w:r>
      <w:r w:rsidRPr="009D1013">
        <w:rPr>
          <w:bCs/>
          <w:lang w:val="en-GB"/>
        </w:rPr>
        <w:t>T</w:t>
      </w:r>
      <w:r w:rsidRPr="009D1013">
        <w:rPr>
          <w:lang w:val="en-GB"/>
        </w:rPr>
        <w:t xml:space="preserve">erms of reference (TOR) </w:t>
      </w:r>
      <w:r w:rsidR="00513C09">
        <w:rPr>
          <w:lang w:val="en-GB"/>
        </w:rPr>
        <w:t>are</w:t>
      </w:r>
      <w:r w:rsidRPr="009D1013">
        <w:rPr>
          <w:lang w:val="en-GB"/>
        </w:rPr>
        <w:t xml:space="preserve"> in Annex II.</w:t>
      </w:r>
    </w:p>
    <w:p w:rsidR="009D1013" w:rsidRPr="00487772" w:rsidRDefault="009D1013" w:rsidP="009D1013">
      <w:pPr>
        <w:autoSpaceDE w:val="0"/>
        <w:autoSpaceDN w:val="0"/>
        <w:adjustRightInd w:val="0"/>
        <w:spacing w:line="360" w:lineRule="auto"/>
        <w:rPr>
          <w:lang w:val="en-GB"/>
        </w:rPr>
      </w:pPr>
    </w:p>
    <w:p w:rsidR="00894C91" w:rsidRPr="00487772" w:rsidRDefault="000D5D4D" w:rsidP="00393655">
      <w:pPr>
        <w:spacing w:line="360" w:lineRule="auto"/>
        <w:jc w:val="both"/>
        <w:rPr>
          <w:lang w:val="en-GB"/>
        </w:rPr>
      </w:pPr>
      <w:r>
        <w:rPr>
          <w:lang w:val="en-GB"/>
        </w:rPr>
        <w:t>T</w:t>
      </w:r>
      <w:r w:rsidR="00894C91" w:rsidRPr="00487772">
        <w:rPr>
          <w:lang w:val="en-GB"/>
        </w:rPr>
        <w:t>he consultant</w:t>
      </w:r>
      <w:r w:rsidR="00A50F68" w:rsidRPr="00487772">
        <w:rPr>
          <w:lang w:val="en-GB"/>
        </w:rPr>
        <w:t xml:space="preserve"> </w:t>
      </w:r>
      <w:r w:rsidR="00894C91" w:rsidRPr="00487772">
        <w:rPr>
          <w:lang w:val="en-GB"/>
        </w:rPr>
        <w:t>examined</w:t>
      </w:r>
      <w:r w:rsidR="00A50F68" w:rsidRPr="00487772">
        <w:rPr>
          <w:lang w:val="en-GB"/>
        </w:rPr>
        <w:t xml:space="preserve"> relevant documents and reports from previous health sector projects</w:t>
      </w:r>
      <w:r w:rsidR="00894C91" w:rsidRPr="00487772">
        <w:rPr>
          <w:lang w:val="en-GB"/>
        </w:rPr>
        <w:t xml:space="preserve"> in Kosovo</w:t>
      </w:r>
      <w:r w:rsidR="00A50F68" w:rsidRPr="00487772">
        <w:rPr>
          <w:lang w:val="en-GB"/>
        </w:rPr>
        <w:t xml:space="preserve">. </w:t>
      </w:r>
      <w:r w:rsidR="00894C91" w:rsidRPr="00487772">
        <w:rPr>
          <w:lang w:val="en-GB"/>
        </w:rPr>
        <w:t xml:space="preserve">In </w:t>
      </w:r>
      <w:r w:rsidR="00122797" w:rsidRPr="00487772">
        <w:rPr>
          <w:lang w:val="en-GB"/>
        </w:rPr>
        <w:t>Pristine</w:t>
      </w:r>
      <w:r w:rsidR="00894C91" w:rsidRPr="00487772">
        <w:rPr>
          <w:bCs/>
          <w:lang w:val="en-GB"/>
        </w:rPr>
        <w:t xml:space="preserve"> the consultant participated in about 10 meetings with government officials, </w:t>
      </w:r>
      <w:r w:rsidR="00894C91" w:rsidRPr="00487772">
        <w:rPr>
          <w:bCs/>
          <w:color w:val="000000"/>
          <w:lang w:val="en-GB"/>
        </w:rPr>
        <w:t xml:space="preserve">some </w:t>
      </w:r>
      <w:r w:rsidR="005F0DA1" w:rsidRPr="00487772">
        <w:rPr>
          <w:bCs/>
          <w:color w:val="000000"/>
          <w:lang w:val="en-GB"/>
        </w:rPr>
        <w:t>of which involved</w:t>
      </w:r>
      <w:r w:rsidR="00894C91" w:rsidRPr="00487772">
        <w:rPr>
          <w:bCs/>
          <w:color w:val="000000"/>
          <w:lang w:val="en-GB"/>
        </w:rPr>
        <w:t xml:space="preserve"> other mission participants. </w:t>
      </w:r>
      <w:r w:rsidR="00A50F68" w:rsidRPr="00487772">
        <w:rPr>
          <w:color w:val="000000"/>
          <w:lang w:val="en-GB"/>
        </w:rPr>
        <w:t>The consultant collected data</w:t>
      </w:r>
      <w:r w:rsidR="00513C09">
        <w:rPr>
          <w:color w:val="000000"/>
          <w:lang w:val="en-GB"/>
        </w:rPr>
        <w:t xml:space="preserve"> for the year 2005</w:t>
      </w:r>
      <w:r w:rsidR="00A50F68" w:rsidRPr="00487772">
        <w:rPr>
          <w:color w:val="000000"/>
          <w:lang w:val="en-GB"/>
        </w:rPr>
        <w:t xml:space="preserve"> and prepared preliminary NHA estimates to the</w:t>
      </w:r>
      <w:r w:rsidR="00A50F68" w:rsidRPr="00487772">
        <w:rPr>
          <w:lang w:val="en-GB"/>
        </w:rPr>
        <w:t xml:space="preserve"> extent permitted by available data.</w:t>
      </w:r>
      <w:r w:rsidR="00A50F68" w:rsidRPr="00487772">
        <w:rPr>
          <w:bCs/>
          <w:lang w:val="en-GB"/>
        </w:rPr>
        <w:t xml:space="preserve"> </w:t>
      </w:r>
      <w:r w:rsidR="00894C91" w:rsidRPr="00487772">
        <w:rPr>
          <w:lang w:val="en-GB"/>
        </w:rPr>
        <w:t xml:space="preserve">She </w:t>
      </w:r>
      <w:r w:rsidR="00FD40FD" w:rsidRPr="00487772">
        <w:rPr>
          <w:lang w:val="en-GB"/>
        </w:rPr>
        <w:t>met with the Director of Policy and Planning</w:t>
      </w:r>
      <w:r w:rsidR="00160E9F" w:rsidRPr="00487772">
        <w:rPr>
          <w:lang w:val="en-GB"/>
        </w:rPr>
        <w:t xml:space="preserve">, Budget Director and </w:t>
      </w:r>
      <w:r w:rsidR="00160E9F" w:rsidRPr="00487772">
        <w:rPr>
          <w:bCs/>
          <w:lang w:val="en-GB"/>
        </w:rPr>
        <w:t>Director of Statistics Office</w:t>
      </w:r>
      <w:r w:rsidR="00B71567" w:rsidRPr="00487772">
        <w:rPr>
          <w:lang w:val="en-GB"/>
        </w:rPr>
        <w:t xml:space="preserve"> in Ministry of Health (MO</w:t>
      </w:r>
      <w:r w:rsidR="005F0DA1" w:rsidRPr="00487772">
        <w:rPr>
          <w:lang w:val="en-GB"/>
        </w:rPr>
        <w:t>H). She several times</w:t>
      </w:r>
      <w:r w:rsidR="00160E9F" w:rsidRPr="00487772">
        <w:rPr>
          <w:lang w:val="en-GB"/>
        </w:rPr>
        <w:t xml:space="preserve"> visited Statistical Office of Kosovo (SOK), where she met with different officials for getting data on household budget survey </w:t>
      </w:r>
      <w:r w:rsidR="00B71567" w:rsidRPr="00487772">
        <w:rPr>
          <w:lang w:val="en-GB"/>
        </w:rPr>
        <w:t xml:space="preserve">(HBS) </w:t>
      </w:r>
      <w:r w:rsidR="00160E9F" w:rsidRPr="00487772">
        <w:rPr>
          <w:lang w:val="en-GB"/>
        </w:rPr>
        <w:t>and for discussing issue</w:t>
      </w:r>
      <w:r w:rsidR="00513C09">
        <w:rPr>
          <w:lang w:val="en-GB"/>
        </w:rPr>
        <w:t>s</w:t>
      </w:r>
      <w:r w:rsidR="00160E9F" w:rsidRPr="00487772">
        <w:rPr>
          <w:lang w:val="en-GB"/>
        </w:rPr>
        <w:t xml:space="preserve"> of establishing </w:t>
      </w:r>
      <w:r w:rsidR="00513C09">
        <w:rPr>
          <w:lang w:val="en-GB"/>
        </w:rPr>
        <w:t xml:space="preserve">the </w:t>
      </w:r>
      <w:r w:rsidR="00160E9F" w:rsidRPr="00487772">
        <w:rPr>
          <w:lang w:val="en-GB"/>
        </w:rPr>
        <w:t xml:space="preserve">NHA technical team in the </w:t>
      </w:r>
      <w:r w:rsidR="00C42D97" w:rsidRPr="00487772">
        <w:rPr>
          <w:lang w:val="en-GB"/>
        </w:rPr>
        <w:t>future. Annex I</w:t>
      </w:r>
      <w:r w:rsidR="00160E9F" w:rsidRPr="00487772">
        <w:rPr>
          <w:lang w:val="en-GB"/>
        </w:rPr>
        <w:t xml:space="preserve"> contains a </w:t>
      </w:r>
      <w:r w:rsidR="00FF4278" w:rsidRPr="00487772">
        <w:rPr>
          <w:color w:val="000000"/>
          <w:lang w:val="en-GB"/>
        </w:rPr>
        <w:t>list</w:t>
      </w:r>
      <w:r w:rsidR="00160E9F" w:rsidRPr="00487772">
        <w:rPr>
          <w:color w:val="000000"/>
          <w:lang w:val="en-GB"/>
        </w:rPr>
        <w:t xml:space="preserve"> </w:t>
      </w:r>
      <w:r w:rsidR="00160E9F" w:rsidRPr="00487772">
        <w:rPr>
          <w:lang w:val="en-GB"/>
        </w:rPr>
        <w:t xml:space="preserve">of people met by the consultant during </w:t>
      </w:r>
      <w:r w:rsidR="00122797" w:rsidRPr="00487772">
        <w:rPr>
          <w:lang w:val="en-GB"/>
        </w:rPr>
        <w:t>the</w:t>
      </w:r>
      <w:r w:rsidR="00160E9F" w:rsidRPr="00487772">
        <w:rPr>
          <w:lang w:val="en-GB"/>
        </w:rPr>
        <w:t xml:space="preserve"> </w:t>
      </w:r>
      <w:r w:rsidR="00122797" w:rsidRPr="00487772">
        <w:rPr>
          <w:bCs/>
          <w:lang w:val="en-GB"/>
        </w:rPr>
        <w:t>mission</w:t>
      </w:r>
      <w:r w:rsidR="00160E9F" w:rsidRPr="00487772">
        <w:rPr>
          <w:lang w:val="en-GB"/>
        </w:rPr>
        <w:t>.</w:t>
      </w:r>
    </w:p>
    <w:p w:rsidR="00053523" w:rsidRPr="00487772" w:rsidRDefault="00053523" w:rsidP="00393655">
      <w:pPr>
        <w:spacing w:line="360" w:lineRule="auto"/>
        <w:jc w:val="both"/>
        <w:rPr>
          <w:color w:val="0000FF"/>
          <w:lang w:val="en-GB"/>
        </w:rPr>
      </w:pPr>
    </w:p>
    <w:p w:rsidR="009D1013" w:rsidRPr="009423E9" w:rsidRDefault="00160E9F" w:rsidP="009D1013">
      <w:pPr>
        <w:spacing w:line="360" w:lineRule="auto"/>
        <w:jc w:val="both"/>
        <w:rPr>
          <w:bCs/>
          <w:lang w:val="en-GB"/>
        </w:rPr>
      </w:pPr>
      <w:r w:rsidRPr="00487772">
        <w:rPr>
          <w:lang w:val="en-GB"/>
        </w:rPr>
        <w:lastRenderedPageBreak/>
        <w:t xml:space="preserve">In Pristine, </w:t>
      </w:r>
      <w:r w:rsidR="00FD40FD" w:rsidRPr="00487772">
        <w:rPr>
          <w:lang w:val="en-GB"/>
        </w:rPr>
        <w:t xml:space="preserve">the </w:t>
      </w:r>
      <w:r w:rsidRPr="00487772">
        <w:rPr>
          <w:lang w:val="en-GB"/>
        </w:rPr>
        <w:t>Director of Health Statistics</w:t>
      </w:r>
      <w:r w:rsidR="00FD40FD" w:rsidRPr="00487772">
        <w:rPr>
          <w:lang w:val="en-GB"/>
        </w:rPr>
        <w:t xml:space="preserve"> at the</w:t>
      </w:r>
      <w:r w:rsidR="00A50F68" w:rsidRPr="00487772">
        <w:rPr>
          <w:lang w:val="en-GB"/>
        </w:rPr>
        <w:t xml:space="preserve"> </w:t>
      </w:r>
      <w:r w:rsidR="00FD40FD" w:rsidRPr="00487772">
        <w:rPr>
          <w:lang w:val="en-GB"/>
        </w:rPr>
        <w:t>National Institute of Public Health</w:t>
      </w:r>
      <w:r w:rsidRPr="00487772">
        <w:rPr>
          <w:lang w:val="en-GB"/>
        </w:rPr>
        <w:t xml:space="preserve"> </w:t>
      </w:r>
      <w:r w:rsidR="009427AC" w:rsidRPr="00487772">
        <w:rPr>
          <w:lang w:val="en-GB"/>
        </w:rPr>
        <w:t xml:space="preserve">(NIPH) </w:t>
      </w:r>
      <w:r w:rsidR="006112A4" w:rsidRPr="00487772">
        <w:rPr>
          <w:lang w:val="en-GB"/>
        </w:rPr>
        <w:t xml:space="preserve">demonstrated </w:t>
      </w:r>
      <w:r w:rsidRPr="00487772">
        <w:rPr>
          <w:lang w:val="en-GB"/>
        </w:rPr>
        <w:t>the record keep</w:t>
      </w:r>
      <w:r w:rsidR="00393655" w:rsidRPr="00487772">
        <w:rPr>
          <w:lang w:val="en-GB"/>
        </w:rPr>
        <w:t xml:space="preserve">ing and data collection systems </w:t>
      </w:r>
      <w:r w:rsidRPr="00487772">
        <w:rPr>
          <w:lang w:val="en-GB"/>
        </w:rPr>
        <w:t xml:space="preserve">used to routinely record patient activity. </w:t>
      </w:r>
      <w:r w:rsidR="00513C09">
        <w:rPr>
          <w:lang w:val="en-GB"/>
        </w:rPr>
        <w:t>T</w:t>
      </w:r>
      <w:r w:rsidRPr="00487772">
        <w:rPr>
          <w:lang w:val="en-GB"/>
        </w:rPr>
        <w:t xml:space="preserve">his data </w:t>
      </w:r>
      <w:r w:rsidR="00414F99" w:rsidRPr="00487772">
        <w:rPr>
          <w:lang w:val="en-GB"/>
        </w:rPr>
        <w:t>is</w:t>
      </w:r>
      <w:r w:rsidRPr="00487772">
        <w:rPr>
          <w:lang w:val="en-GB"/>
        </w:rPr>
        <w:t xml:space="preserve"> not connected with </w:t>
      </w:r>
      <w:r w:rsidR="00513C09">
        <w:rPr>
          <w:lang w:val="en-GB"/>
        </w:rPr>
        <w:t xml:space="preserve">patients’ </w:t>
      </w:r>
      <w:r w:rsidRPr="00487772">
        <w:rPr>
          <w:lang w:val="en-GB"/>
        </w:rPr>
        <w:t>expenditures and cannot be used for preliminary NHA implementation.</w:t>
      </w:r>
      <w:r w:rsidR="006112A4" w:rsidRPr="00487772">
        <w:rPr>
          <w:lang w:val="en-GB"/>
        </w:rPr>
        <w:t xml:space="preserve"> </w:t>
      </w:r>
      <w:r w:rsidR="006112A4" w:rsidRPr="00487772">
        <w:rPr>
          <w:color w:val="000000"/>
          <w:lang w:val="en-GB"/>
        </w:rPr>
        <w:t>Meeting with</w:t>
      </w:r>
      <w:r w:rsidR="00513C09">
        <w:rPr>
          <w:color w:val="000000"/>
          <w:lang w:val="en-GB"/>
        </w:rPr>
        <w:t xml:space="preserve"> the</w:t>
      </w:r>
      <w:r w:rsidR="006112A4" w:rsidRPr="00487772">
        <w:rPr>
          <w:color w:val="000000"/>
          <w:lang w:val="en-GB"/>
        </w:rPr>
        <w:t xml:space="preserve"> </w:t>
      </w:r>
      <w:r w:rsidR="006112A4" w:rsidRPr="00487772">
        <w:rPr>
          <w:bCs/>
          <w:color w:val="000000"/>
          <w:lang w:val="en-GB"/>
        </w:rPr>
        <w:t xml:space="preserve">Deputy Director of the Treasury has </w:t>
      </w:r>
      <w:r w:rsidR="0095271B" w:rsidRPr="00487772">
        <w:rPr>
          <w:bCs/>
          <w:color w:val="000000"/>
          <w:lang w:val="en-GB"/>
        </w:rPr>
        <w:t>facilitated</w:t>
      </w:r>
      <w:r w:rsidR="006112A4" w:rsidRPr="00487772">
        <w:rPr>
          <w:bCs/>
          <w:color w:val="000000"/>
          <w:lang w:val="en-GB"/>
        </w:rPr>
        <w:t xml:space="preserve"> </w:t>
      </w:r>
      <w:r w:rsidR="0095271B" w:rsidRPr="00487772">
        <w:rPr>
          <w:bCs/>
          <w:color w:val="000000"/>
          <w:lang w:val="en-GB"/>
        </w:rPr>
        <w:t>obtaining</w:t>
      </w:r>
      <w:r w:rsidR="006112A4" w:rsidRPr="00487772">
        <w:rPr>
          <w:bCs/>
          <w:color w:val="000000"/>
          <w:lang w:val="en-GB"/>
        </w:rPr>
        <w:t xml:space="preserve"> data on government health care expenditures.</w:t>
      </w:r>
      <w:r w:rsidR="001A4AC9" w:rsidRPr="00487772">
        <w:rPr>
          <w:bCs/>
          <w:lang w:val="en-GB"/>
        </w:rPr>
        <w:t xml:space="preserve"> </w:t>
      </w:r>
      <w:r w:rsidR="00513C09">
        <w:rPr>
          <w:bCs/>
          <w:lang w:val="en-GB"/>
        </w:rPr>
        <w:t>G</w:t>
      </w:r>
      <w:r w:rsidR="00414F99" w:rsidRPr="00487772">
        <w:rPr>
          <w:bCs/>
          <w:lang w:val="en-GB"/>
        </w:rPr>
        <w:t xml:space="preserve">reat support </w:t>
      </w:r>
      <w:r w:rsidR="00513C09">
        <w:rPr>
          <w:bCs/>
          <w:lang w:val="en-GB"/>
        </w:rPr>
        <w:t>has been</w:t>
      </w:r>
      <w:r w:rsidR="00414F99" w:rsidRPr="00487772">
        <w:rPr>
          <w:bCs/>
          <w:lang w:val="en-GB"/>
        </w:rPr>
        <w:t xml:space="preserve"> provided by</w:t>
      </w:r>
      <w:r w:rsidR="0005533F" w:rsidRPr="00487772">
        <w:rPr>
          <w:bCs/>
          <w:lang w:val="en-GB"/>
        </w:rPr>
        <w:t xml:space="preserve"> the Policy and Planning Unit of MOH. Personal, time and administrative effort was offered to the </w:t>
      </w:r>
      <w:r w:rsidR="0005533F" w:rsidRPr="00487772">
        <w:rPr>
          <w:lang w:val="en-GB"/>
        </w:rPr>
        <w:t xml:space="preserve">consultant. </w:t>
      </w:r>
      <w:r w:rsidR="0005533F" w:rsidRPr="00487772">
        <w:rPr>
          <w:bCs/>
          <w:lang w:val="en-GB"/>
        </w:rPr>
        <w:t>Thanks to the unit</w:t>
      </w:r>
      <w:r w:rsidR="00414F99" w:rsidRPr="00487772">
        <w:rPr>
          <w:bCs/>
          <w:lang w:val="en-GB"/>
        </w:rPr>
        <w:t>,</w:t>
      </w:r>
      <w:r w:rsidR="0005533F" w:rsidRPr="00487772">
        <w:rPr>
          <w:bCs/>
          <w:lang w:val="en-GB"/>
        </w:rPr>
        <w:t xml:space="preserve"> meetings with </w:t>
      </w:r>
      <w:r w:rsidR="006C4CE7" w:rsidRPr="00487772">
        <w:rPr>
          <w:bCs/>
          <w:lang w:val="en-GB"/>
        </w:rPr>
        <w:t xml:space="preserve">some </w:t>
      </w:r>
      <w:r w:rsidR="0005533F" w:rsidRPr="00487772">
        <w:rPr>
          <w:bCs/>
          <w:lang w:val="en-GB"/>
        </w:rPr>
        <w:t>useful people were o</w:t>
      </w:r>
      <w:r w:rsidR="00414F99" w:rsidRPr="00487772">
        <w:rPr>
          <w:bCs/>
          <w:lang w:val="en-GB"/>
        </w:rPr>
        <w:t>rganised and necessary</w:t>
      </w:r>
      <w:r w:rsidR="0005533F" w:rsidRPr="00487772">
        <w:rPr>
          <w:lang w:val="en-GB"/>
        </w:rPr>
        <w:t xml:space="preserve"> data came in time. </w:t>
      </w:r>
      <w:r w:rsidR="009D1013" w:rsidRPr="009423E9">
        <w:rPr>
          <w:lang w:val="en-GB"/>
        </w:rPr>
        <w:t>At the end of the visit the consultant showed and explained the principles of</w:t>
      </w:r>
      <w:r w:rsidR="009D1013" w:rsidRPr="009423E9">
        <w:rPr>
          <w:bCs/>
          <w:lang w:val="en-GB"/>
        </w:rPr>
        <w:t xml:space="preserve"> assembling the </w:t>
      </w:r>
      <w:r w:rsidR="009D1013" w:rsidRPr="00FC0E2F">
        <w:rPr>
          <w:lang w:val="en-GB"/>
        </w:rPr>
        <w:t>standard table</w:t>
      </w:r>
      <w:r w:rsidR="009D1013" w:rsidRPr="00FC0E2F">
        <w:rPr>
          <w:bCs/>
          <w:lang w:val="en-GB"/>
        </w:rPr>
        <w:t xml:space="preserve"> cells</w:t>
      </w:r>
      <w:r w:rsidR="009D1013" w:rsidRPr="009423E9">
        <w:rPr>
          <w:bCs/>
          <w:lang w:val="en-GB"/>
        </w:rPr>
        <w:t xml:space="preserve"> for the NHA</w:t>
      </w:r>
      <w:r w:rsidR="009D1013" w:rsidRPr="009423E9">
        <w:rPr>
          <w:lang w:val="en-GB"/>
        </w:rPr>
        <w:t xml:space="preserve"> to MOH and SOK </w:t>
      </w:r>
      <w:r w:rsidR="009D1013" w:rsidRPr="009423E9">
        <w:rPr>
          <w:bCs/>
          <w:lang w:val="en-GB"/>
        </w:rPr>
        <w:t>officials</w:t>
      </w:r>
      <w:r w:rsidR="009D1013" w:rsidRPr="009423E9">
        <w:rPr>
          <w:lang w:val="en-GB"/>
        </w:rPr>
        <w:t>.</w:t>
      </w:r>
    </w:p>
    <w:p w:rsidR="00393655" w:rsidRPr="00487772" w:rsidRDefault="00393655" w:rsidP="00393655">
      <w:pPr>
        <w:spacing w:line="360" w:lineRule="auto"/>
        <w:jc w:val="both"/>
        <w:rPr>
          <w:lang w:val="en-GB"/>
        </w:rPr>
      </w:pPr>
    </w:p>
    <w:p w:rsidR="00393655" w:rsidRPr="00487772" w:rsidRDefault="00393655" w:rsidP="00393655">
      <w:pPr>
        <w:spacing w:line="360" w:lineRule="auto"/>
        <w:jc w:val="both"/>
        <w:rPr>
          <w:lang w:val="en-GB"/>
        </w:rPr>
      </w:pPr>
    </w:p>
    <w:p w:rsidR="00122797" w:rsidRPr="00487772" w:rsidRDefault="00240971" w:rsidP="00122797">
      <w:pPr>
        <w:pStyle w:val="Heading1"/>
        <w:numPr>
          <w:ilvl w:val="0"/>
          <w:numId w:val="0"/>
        </w:numPr>
        <w:spacing w:line="360" w:lineRule="auto"/>
        <w:jc w:val="both"/>
        <w:rPr>
          <w:bCs w:val="0"/>
          <w:sz w:val="24"/>
          <w:lang w:val="en-GB"/>
        </w:rPr>
      </w:pPr>
      <w:bookmarkStart w:id="3" w:name="_Toc175548172"/>
      <w:r>
        <w:rPr>
          <w:bCs w:val="0"/>
          <w:sz w:val="24"/>
          <w:lang w:val="en-GB"/>
        </w:rPr>
        <w:t xml:space="preserve">NHA </w:t>
      </w:r>
      <w:r w:rsidR="00A22D80">
        <w:rPr>
          <w:bCs w:val="0"/>
          <w:sz w:val="24"/>
          <w:lang w:val="en-GB"/>
        </w:rPr>
        <w:t>methodology</w:t>
      </w:r>
      <w:bookmarkEnd w:id="3"/>
    </w:p>
    <w:p w:rsidR="0094375B" w:rsidRDefault="0094375B" w:rsidP="00610CBE">
      <w:pPr>
        <w:spacing w:line="360" w:lineRule="auto"/>
        <w:jc w:val="both"/>
        <w:rPr>
          <w:lang w:val="en-GB"/>
        </w:rPr>
      </w:pPr>
      <w:r>
        <w:rPr>
          <w:lang w:val="en-GB"/>
        </w:rPr>
        <w:t xml:space="preserve">NHA is a methodology </w:t>
      </w:r>
      <w:r w:rsidRPr="0094375B">
        <w:rPr>
          <w:lang w:val="en-GB"/>
        </w:rPr>
        <w:t>develop</w:t>
      </w:r>
      <w:r>
        <w:rPr>
          <w:lang w:val="en-GB"/>
        </w:rPr>
        <w:t>ed by OECD and wide used in the world. For the preliminary NHA in Kosovo “</w:t>
      </w:r>
      <w:r w:rsidR="00EB0A6A">
        <w:rPr>
          <w:lang w:val="en-GB"/>
        </w:rPr>
        <w:t xml:space="preserve">A </w:t>
      </w:r>
      <w:r>
        <w:rPr>
          <w:lang w:val="en-GB"/>
        </w:rPr>
        <w:t>System Health Accounts</w:t>
      </w:r>
      <w:r w:rsidR="005C3DFF">
        <w:rPr>
          <w:lang w:val="en-GB"/>
        </w:rPr>
        <w:t xml:space="preserve"> (SHA)</w:t>
      </w:r>
      <w:r>
        <w:rPr>
          <w:lang w:val="en-GB"/>
        </w:rPr>
        <w:t xml:space="preserve">” manual, version 1.0 </w:t>
      </w:r>
      <w:r w:rsidR="000D5D4D">
        <w:rPr>
          <w:lang w:val="en-GB"/>
        </w:rPr>
        <w:t>was</w:t>
      </w:r>
      <w:r>
        <w:rPr>
          <w:lang w:val="en-GB"/>
        </w:rPr>
        <w:t xml:space="preserve"> used</w:t>
      </w:r>
      <w:r w:rsidR="00513C09">
        <w:rPr>
          <w:rStyle w:val="FootnoteReference"/>
          <w:lang w:val="en-GB"/>
        </w:rPr>
        <w:footnoteReference w:id="1"/>
      </w:r>
      <w:r>
        <w:rPr>
          <w:lang w:val="en-GB"/>
        </w:rPr>
        <w:t>.</w:t>
      </w:r>
    </w:p>
    <w:p w:rsidR="0094375B" w:rsidRDefault="0094375B" w:rsidP="00610CBE">
      <w:pPr>
        <w:spacing w:line="360" w:lineRule="auto"/>
        <w:jc w:val="both"/>
        <w:rPr>
          <w:lang w:val="en-GB"/>
        </w:rPr>
      </w:pPr>
    </w:p>
    <w:p w:rsidR="00610CBE" w:rsidRPr="00487772" w:rsidRDefault="00122797" w:rsidP="00610CBE">
      <w:pPr>
        <w:spacing w:line="360" w:lineRule="auto"/>
        <w:jc w:val="both"/>
        <w:rPr>
          <w:lang w:val="en-GB"/>
        </w:rPr>
      </w:pPr>
      <w:r w:rsidRPr="00487772">
        <w:rPr>
          <w:lang w:val="en-GB"/>
        </w:rPr>
        <w:t>NHA is a tool to measure and assess the flow of funds from sources of payment to the</w:t>
      </w:r>
      <w:r w:rsidR="00610CBE" w:rsidRPr="00487772">
        <w:rPr>
          <w:lang w:val="en-GB"/>
        </w:rPr>
        <w:t xml:space="preserve"> users of health care services.</w:t>
      </w:r>
      <w:r w:rsidRPr="00487772">
        <w:rPr>
          <w:lang w:val="en-GB"/>
        </w:rPr>
        <w:t xml:space="preserve"> </w:t>
      </w:r>
      <w:r w:rsidR="00610CBE" w:rsidRPr="00487772">
        <w:rPr>
          <w:lang w:val="en-GB"/>
        </w:rPr>
        <w:t xml:space="preserve">One </w:t>
      </w:r>
      <w:r w:rsidR="00FA43F0" w:rsidRPr="00487772">
        <w:rPr>
          <w:lang w:val="en-GB"/>
        </w:rPr>
        <w:t xml:space="preserve">of </w:t>
      </w:r>
      <w:r w:rsidR="00610CBE" w:rsidRPr="00487772">
        <w:rPr>
          <w:lang w:val="en-GB"/>
        </w:rPr>
        <w:t xml:space="preserve">the main </w:t>
      </w:r>
      <w:r w:rsidR="00FA43F0" w:rsidRPr="00487772">
        <w:rPr>
          <w:lang w:val="en-GB"/>
        </w:rPr>
        <w:t>purposes</w:t>
      </w:r>
      <w:r w:rsidR="00610CBE" w:rsidRPr="00487772">
        <w:rPr>
          <w:lang w:val="en-GB"/>
        </w:rPr>
        <w:t xml:space="preserve"> of NHA is to provide a set of internationally comparable health accounts in the form of standard tables.</w:t>
      </w:r>
      <w:r w:rsidR="00EC127B">
        <w:rPr>
          <w:lang w:val="en-GB"/>
        </w:rPr>
        <w:t xml:space="preserve"> </w:t>
      </w:r>
      <w:r w:rsidR="00610CBE" w:rsidRPr="00487772">
        <w:rPr>
          <w:lang w:val="en-GB"/>
        </w:rPr>
        <w:t>Also t</w:t>
      </w:r>
      <w:r w:rsidRPr="00487772">
        <w:rPr>
          <w:lang w:val="en-GB"/>
        </w:rPr>
        <w:t xml:space="preserve">he use of international standards for describing the magnitude and channels of spending on health is crucial for monitoring the performance of the health system and </w:t>
      </w:r>
      <w:r w:rsidR="007B666D" w:rsidRPr="00487772">
        <w:rPr>
          <w:lang w:val="en-GB"/>
        </w:rPr>
        <w:t xml:space="preserve">making the </w:t>
      </w:r>
      <w:r w:rsidRPr="00487772">
        <w:rPr>
          <w:lang w:val="en-GB"/>
        </w:rPr>
        <w:t>infor</w:t>
      </w:r>
      <w:r w:rsidR="00503B23" w:rsidRPr="00487772">
        <w:rPr>
          <w:lang w:val="en-GB"/>
        </w:rPr>
        <w:t xml:space="preserve">med decision in Kosovo. </w:t>
      </w:r>
      <w:r w:rsidR="00A974A8">
        <w:rPr>
          <w:lang w:val="en-GB"/>
        </w:rPr>
        <w:t>F</w:t>
      </w:r>
      <w:r w:rsidRPr="00487772">
        <w:rPr>
          <w:lang w:val="en-GB"/>
        </w:rPr>
        <w:t xml:space="preserve">indings from the NHA report </w:t>
      </w:r>
      <w:r w:rsidR="00A974A8">
        <w:rPr>
          <w:lang w:val="en-GB"/>
        </w:rPr>
        <w:t>can be used for</w:t>
      </w:r>
      <w:r w:rsidRPr="00487772">
        <w:rPr>
          <w:lang w:val="en-GB"/>
        </w:rPr>
        <w:t xml:space="preserve"> performance r</w:t>
      </w:r>
      <w:r w:rsidR="007B666D" w:rsidRPr="00487772">
        <w:rPr>
          <w:lang w:val="en-GB"/>
        </w:rPr>
        <w:t xml:space="preserve">eview of the health sector </w:t>
      </w:r>
      <w:r w:rsidR="00A974A8">
        <w:rPr>
          <w:lang w:val="en-GB"/>
        </w:rPr>
        <w:t xml:space="preserve">and </w:t>
      </w:r>
      <w:r w:rsidRPr="00487772">
        <w:rPr>
          <w:lang w:val="en-GB"/>
        </w:rPr>
        <w:t>to guide priority setting and resource allocation in health.</w:t>
      </w:r>
      <w:r w:rsidR="001A4AC9" w:rsidRPr="00487772">
        <w:rPr>
          <w:lang w:val="en-GB"/>
        </w:rPr>
        <w:t xml:space="preserve"> </w:t>
      </w:r>
    </w:p>
    <w:p w:rsidR="0094375B" w:rsidRDefault="0094375B" w:rsidP="00122797">
      <w:pPr>
        <w:autoSpaceDE w:val="0"/>
        <w:autoSpaceDN w:val="0"/>
        <w:adjustRightInd w:val="0"/>
        <w:spacing w:line="360" w:lineRule="auto"/>
        <w:jc w:val="both"/>
        <w:rPr>
          <w:lang w:val="en-GB"/>
        </w:rPr>
      </w:pPr>
    </w:p>
    <w:p w:rsidR="00664B3C" w:rsidRDefault="0094375B" w:rsidP="002106F9">
      <w:pPr>
        <w:autoSpaceDE w:val="0"/>
        <w:autoSpaceDN w:val="0"/>
        <w:adjustRightInd w:val="0"/>
        <w:spacing w:line="360" w:lineRule="auto"/>
        <w:jc w:val="both"/>
        <w:rPr>
          <w:lang w:val="en-GB"/>
        </w:rPr>
      </w:pPr>
      <w:r>
        <w:rPr>
          <w:lang w:val="en-GB"/>
        </w:rPr>
        <w:t xml:space="preserve">As a system of accounts, </w:t>
      </w:r>
      <w:r w:rsidR="003D0492">
        <w:rPr>
          <w:lang w:val="en-GB"/>
        </w:rPr>
        <w:t>NHA</w:t>
      </w:r>
      <w:r>
        <w:rPr>
          <w:lang w:val="en-GB"/>
        </w:rPr>
        <w:t xml:space="preserve"> tables </w:t>
      </w:r>
      <w:r w:rsidR="003D0492">
        <w:rPr>
          <w:lang w:val="en-GB"/>
        </w:rPr>
        <w:t>are</w:t>
      </w:r>
      <w:r>
        <w:rPr>
          <w:lang w:val="en-GB"/>
        </w:rPr>
        <w:t xml:space="preserve"> based on common concepts, definitions, classifications and accounting rules as necessary prerequisites to comparability over time and across countries.</w:t>
      </w:r>
      <w:r w:rsidR="00664B3C">
        <w:rPr>
          <w:lang w:val="en-GB"/>
        </w:rPr>
        <w:t xml:space="preserve"> </w:t>
      </w:r>
      <w:r w:rsidR="002106F9" w:rsidRPr="00487772">
        <w:rPr>
          <w:lang w:val="en-GB"/>
        </w:rPr>
        <w:t>NHA usually take</w:t>
      </w:r>
      <w:r w:rsidR="003D372F" w:rsidRPr="00487772">
        <w:rPr>
          <w:lang w:val="en-GB"/>
        </w:rPr>
        <w:t>s</w:t>
      </w:r>
      <w:r w:rsidR="002106F9" w:rsidRPr="00487772">
        <w:rPr>
          <w:lang w:val="en-GB"/>
        </w:rPr>
        <w:t xml:space="preserve"> th</w:t>
      </w:r>
      <w:r w:rsidR="00FC0E2F" w:rsidRPr="00487772">
        <w:rPr>
          <w:lang w:val="en-GB"/>
        </w:rPr>
        <w:t>e form of two-dimensional table of</w:t>
      </w:r>
      <w:r w:rsidR="002106F9" w:rsidRPr="00487772">
        <w:rPr>
          <w:lang w:val="en-GB"/>
        </w:rPr>
        <w:t xml:space="preserve"> </w:t>
      </w:r>
      <w:r w:rsidR="00FC0E2F" w:rsidRPr="00487772">
        <w:rPr>
          <w:lang w:val="en-GB"/>
        </w:rPr>
        <w:t>cross-classifying expenditure data on health care providers and</w:t>
      </w:r>
      <w:r w:rsidR="002106F9" w:rsidRPr="00487772">
        <w:rPr>
          <w:lang w:val="en-GB"/>
        </w:rPr>
        <w:t xml:space="preserve"> sources of funding. </w:t>
      </w:r>
      <w:r w:rsidR="00664B3C">
        <w:rPr>
          <w:lang w:val="en-GB"/>
        </w:rPr>
        <w:t xml:space="preserve">Country-specific mixtures of institutional and functional criteria are used to classify health care providers. The </w:t>
      </w:r>
      <w:r w:rsidR="005C3DFF">
        <w:rPr>
          <w:lang w:val="en-GB"/>
        </w:rPr>
        <w:t xml:space="preserve">items </w:t>
      </w:r>
      <w:r w:rsidR="00664B3C">
        <w:rPr>
          <w:lang w:val="en-GB"/>
        </w:rPr>
        <w:t>such as “general hospital”, “maternity clinics and “family doctor” have different contents across countries and result in overall boundaries of health spendings which differ among countries and change over time.</w:t>
      </w:r>
    </w:p>
    <w:p w:rsidR="00664B3C" w:rsidRDefault="00664B3C" w:rsidP="002106F9">
      <w:pPr>
        <w:autoSpaceDE w:val="0"/>
        <w:autoSpaceDN w:val="0"/>
        <w:adjustRightInd w:val="0"/>
        <w:spacing w:line="360" w:lineRule="auto"/>
        <w:jc w:val="both"/>
        <w:rPr>
          <w:lang w:val="en-GB"/>
        </w:rPr>
      </w:pPr>
    </w:p>
    <w:p w:rsidR="00664B3C" w:rsidRDefault="002106F9" w:rsidP="002106F9">
      <w:pPr>
        <w:autoSpaceDE w:val="0"/>
        <w:autoSpaceDN w:val="0"/>
        <w:adjustRightInd w:val="0"/>
        <w:spacing w:line="360" w:lineRule="auto"/>
        <w:jc w:val="both"/>
        <w:rPr>
          <w:lang w:val="en-GB"/>
        </w:rPr>
      </w:pPr>
      <w:r w:rsidRPr="00487772">
        <w:rPr>
          <w:lang w:val="en-GB"/>
        </w:rPr>
        <w:t xml:space="preserve">The provision of health care and its funding is a complex, multi-dimensional process. </w:t>
      </w:r>
      <w:r w:rsidR="001E2820">
        <w:rPr>
          <w:lang w:val="en-GB"/>
        </w:rPr>
        <w:t>The set of core tables in N</w:t>
      </w:r>
      <w:r w:rsidR="005C3DFF">
        <w:rPr>
          <w:lang w:val="en-GB"/>
        </w:rPr>
        <w:t>HA addresses three basic questions:</w:t>
      </w:r>
    </w:p>
    <w:p w:rsidR="005C3DFF" w:rsidRDefault="005C3DFF" w:rsidP="005C3DFF">
      <w:pPr>
        <w:numPr>
          <w:ilvl w:val="0"/>
          <w:numId w:val="7"/>
        </w:numPr>
        <w:autoSpaceDE w:val="0"/>
        <w:autoSpaceDN w:val="0"/>
        <w:adjustRightInd w:val="0"/>
        <w:spacing w:line="360" w:lineRule="auto"/>
        <w:jc w:val="both"/>
        <w:rPr>
          <w:lang w:val="en-GB"/>
        </w:rPr>
      </w:pPr>
      <w:r>
        <w:rPr>
          <w:lang w:val="en-GB"/>
        </w:rPr>
        <w:t>Where does the money come from? (source of finding);</w:t>
      </w:r>
    </w:p>
    <w:p w:rsidR="005C3DFF" w:rsidRDefault="005C3DFF" w:rsidP="005C3DFF">
      <w:pPr>
        <w:numPr>
          <w:ilvl w:val="0"/>
          <w:numId w:val="7"/>
        </w:numPr>
        <w:autoSpaceDE w:val="0"/>
        <w:autoSpaceDN w:val="0"/>
        <w:adjustRightInd w:val="0"/>
        <w:spacing w:line="360" w:lineRule="auto"/>
        <w:jc w:val="both"/>
        <w:rPr>
          <w:lang w:val="en-GB"/>
        </w:rPr>
      </w:pPr>
      <w:r>
        <w:rPr>
          <w:lang w:val="en-GB"/>
        </w:rPr>
        <w:t>Where does the money go to? (providers of health care service and goods);</w:t>
      </w:r>
    </w:p>
    <w:p w:rsidR="005C3DFF" w:rsidRDefault="005C3DFF" w:rsidP="005C3DFF">
      <w:pPr>
        <w:numPr>
          <w:ilvl w:val="0"/>
          <w:numId w:val="7"/>
        </w:numPr>
        <w:autoSpaceDE w:val="0"/>
        <w:autoSpaceDN w:val="0"/>
        <w:adjustRightInd w:val="0"/>
        <w:spacing w:line="360" w:lineRule="auto"/>
        <w:jc w:val="both"/>
        <w:rPr>
          <w:lang w:val="en-GB"/>
        </w:rPr>
      </w:pPr>
      <w:r>
        <w:rPr>
          <w:lang w:val="en-GB"/>
        </w:rPr>
        <w:t xml:space="preserve">What </w:t>
      </w:r>
      <w:r w:rsidR="001E2820">
        <w:rPr>
          <w:lang w:val="en-GB"/>
        </w:rPr>
        <w:t>kinds of services are</w:t>
      </w:r>
      <w:r>
        <w:rPr>
          <w:lang w:val="en-GB"/>
        </w:rPr>
        <w:t xml:space="preserve"> performed and what types of goods are purchased? (</w:t>
      </w:r>
      <w:proofErr w:type="gramStart"/>
      <w:r>
        <w:rPr>
          <w:lang w:val="en-GB"/>
        </w:rPr>
        <w:t>functions</w:t>
      </w:r>
      <w:proofErr w:type="gramEnd"/>
      <w:r w:rsidR="001E2820">
        <w:rPr>
          <w:lang w:val="en-GB"/>
        </w:rPr>
        <w:t xml:space="preserve"> of care</w:t>
      </w:r>
      <w:r>
        <w:rPr>
          <w:lang w:val="en-GB"/>
        </w:rPr>
        <w:t>).</w:t>
      </w:r>
    </w:p>
    <w:p w:rsidR="00664B3C" w:rsidRDefault="00664B3C" w:rsidP="002106F9">
      <w:pPr>
        <w:autoSpaceDE w:val="0"/>
        <w:autoSpaceDN w:val="0"/>
        <w:adjustRightInd w:val="0"/>
        <w:spacing w:line="360" w:lineRule="auto"/>
        <w:jc w:val="both"/>
        <w:rPr>
          <w:lang w:val="en-GB"/>
        </w:rPr>
      </w:pPr>
    </w:p>
    <w:p w:rsidR="002106F9" w:rsidRPr="00487772" w:rsidRDefault="002106F9" w:rsidP="002106F9">
      <w:pPr>
        <w:autoSpaceDE w:val="0"/>
        <w:autoSpaceDN w:val="0"/>
        <w:adjustRightInd w:val="0"/>
        <w:spacing w:line="360" w:lineRule="auto"/>
        <w:jc w:val="both"/>
        <w:rPr>
          <w:lang w:val="en-GB"/>
        </w:rPr>
      </w:pPr>
      <w:r w:rsidRPr="00487772">
        <w:rPr>
          <w:lang w:val="en-GB"/>
        </w:rPr>
        <w:t xml:space="preserve">Consequently, the NHA is organised around a tri-axial system for the </w:t>
      </w:r>
      <w:r w:rsidR="009D7113" w:rsidRPr="00487772">
        <w:rPr>
          <w:lang w:val="en-GB"/>
        </w:rPr>
        <w:t>recording of health expenditure</w:t>
      </w:r>
      <w:r w:rsidRPr="00487772">
        <w:rPr>
          <w:lang w:val="en-GB"/>
        </w:rPr>
        <w:t xml:space="preserve"> by means of a newly proposed International Classification for Health Accounts (ICHA</w:t>
      </w:r>
      <w:r w:rsidR="00F538FC" w:rsidRPr="00487772">
        <w:rPr>
          <w:lang w:val="en-GB"/>
        </w:rPr>
        <w:t xml:space="preserve">, see Annex </w:t>
      </w:r>
      <w:r w:rsidR="00157668">
        <w:rPr>
          <w:lang w:val="en-GB"/>
        </w:rPr>
        <w:t>III</w:t>
      </w:r>
      <w:r w:rsidRPr="00487772">
        <w:rPr>
          <w:lang w:val="en-GB"/>
        </w:rPr>
        <w:t>), defining:</w:t>
      </w:r>
    </w:p>
    <w:p w:rsidR="002106F9" w:rsidRPr="00487772" w:rsidRDefault="002106F9" w:rsidP="001E2820">
      <w:pPr>
        <w:numPr>
          <w:ilvl w:val="1"/>
          <w:numId w:val="7"/>
        </w:numPr>
        <w:autoSpaceDE w:val="0"/>
        <w:autoSpaceDN w:val="0"/>
        <w:adjustRightInd w:val="0"/>
        <w:spacing w:line="360" w:lineRule="auto"/>
        <w:jc w:val="both"/>
        <w:rPr>
          <w:lang w:val="en-GB"/>
        </w:rPr>
      </w:pPr>
      <w:r w:rsidRPr="00487772">
        <w:rPr>
          <w:lang w:val="en-GB"/>
        </w:rPr>
        <w:t xml:space="preserve">Health care </w:t>
      </w:r>
      <w:r w:rsidRPr="00487772">
        <w:rPr>
          <w:b/>
          <w:bCs/>
          <w:lang w:val="en-GB"/>
        </w:rPr>
        <w:t xml:space="preserve">by function </w:t>
      </w:r>
      <w:r w:rsidRPr="00487772">
        <w:rPr>
          <w:lang w:val="en-GB"/>
        </w:rPr>
        <w:t>(ICHA-HC);</w:t>
      </w:r>
    </w:p>
    <w:p w:rsidR="002106F9" w:rsidRPr="00487772" w:rsidRDefault="002106F9" w:rsidP="001E2820">
      <w:pPr>
        <w:numPr>
          <w:ilvl w:val="1"/>
          <w:numId w:val="7"/>
        </w:numPr>
        <w:autoSpaceDE w:val="0"/>
        <w:autoSpaceDN w:val="0"/>
        <w:adjustRightInd w:val="0"/>
        <w:spacing w:line="360" w:lineRule="auto"/>
        <w:jc w:val="both"/>
        <w:rPr>
          <w:lang w:val="en-GB"/>
        </w:rPr>
      </w:pPr>
      <w:r w:rsidRPr="00487772">
        <w:rPr>
          <w:lang w:val="en-GB"/>
        </w:rPr>
        <w:t xml:space="preserve">Health care </w:t>
      </w:r>
      <w:r w:rsidRPr="00487772">
        <w:rPr>
          <w:b/>
          <w:bCs/>
          <w:lang w:val="en-GB"/>
        </w:rPr>
        <w:t xml:space="preserve">service provider industries </w:t>
      </w:r>
      <w:r w:rsidRPr="00487772">
        <w:rPr>
          <w:lang w:val="en-GB"/>
        </w:rPr>
        <w:t>(ICHA-HP);</w:t>
      </w:r>
    </w:p>
    <w:p w:rsidR="002106F9" w:rsidRPr="00487772" w:rsidRDefault="002106F9" w:rsidP="001E2820">
      <w:pPr>
        <w:numPr>
          <w:ilvl w:val="1"/>
          <w:numId w:val="7"/>
        </w:numPr>
        <w:autoSpaceDE w:val="0"/>
        <w:autoSpaceDN w:val="0"/>
        <w:adjustRightInd w:val="0"/>
        <w:spacing w:line="360" w:lineRule="auto"/>
        <w:jc w:val="both"/>
        <w:rPr>
          <w:lang w:val="en-GB"/>
        </w:rPr>
      </w:pPr>
      <w:r w:rsidRPr="00487772">
        <w:rPr>
          <w:lang w:val="en-GB"/>
        </w:rPr>
        <w:t xml:space="preserve">Sources of </w:t>
      </w:r>
      <w:r w:rsidRPr="00487772">
        <w:rPr>
          <w:b/>
          <w:bCs/>
          <w:lang w:val="en-GB"/>
        </w:rPr>
        <w:t xml:space="preserve">funding </w:t>
      </w:r>
      <w:r w:rsidRPr="00487772">
        <w:rPr>
          <w:lang w:val="en-GB"/>
        </w:rPr>
        <w:t>health care (ICHA-HF)</w:t>
      </w:r>
      <w:r w:rsidR="00400B8F">
        <w:rPr>
          <w:rStyle w:val="FootnoteReference"/>
          <w:lang w:val="en-GB"/>
        </w:rPr>
        <w:footnoteReference w:id="2"/>
      </w:r>
      <w:r w:rsidRPr="00487772">
        <w:rPr>
          <w:lang w:val="en-GB"/>
        </w:rPr>
        <w:t>.</w:t>
      </w:r>
    </w:p>
    <w:p w:rsidR="00122797" w:rsidRPr="0094375B" w:rsidRDefault="00122797" w:rsidP="00122797">
      <w:pPr>
        <w:autoSpaceDE w:val="0"/>
        <w:autoSpaceDN w:val="0"/>
        <w:adjustRightInd w:val="0"/>
        <w:spacing w:line="360" w:lineRule="auto"/>
        <w:jc w:val="both"/>
        <w:rPr>
          <w:lang w:val="en-GB"/>
        </w:rPr>
      </w:pPr>
    </w:p>
    <w:p w:rsidR="00201A6B" w:rsidRPr="000D0821" w:rsidRDefault="00201A6B" w:rsidP="00122797">
      <w:pPr>
        <w:autoSpaceDE w:val="0"/>
        <w:autoSpaceDN w:val="0"/>
        <w:adjustRightInd w:val="0"/>
        <w:spacing w:line="360" w:lineRule="auto"/>
        <w:jc w:val="both"/>
      </w:pPr>
    </w:p>
    <w:p w:rsidR="00D66BA1" w:rsidRPr="00487772" w:rsidRDefault="00660021" w:rsidP="00393655">
      <w:pPr>
        <w:pStyle w:val="Heading1"/>
        <w:numPr>
          <w:ilvl w:val="0"/>
          <w:numId w:val="0"/>
        </w:numPr>
        <w:spacing w:line="360" w:lineRule="auto"/>
        <w:jc w:val="both"/>
        <w:rPr>
          <w:bCs w:val="0"/>
          <w:sz w:val="24"/>
          <w:lang w:val="en-GB"/>
        </w:rPr>
      </w:pPr>
      <w:bookmarkStart w:id="4" w:name="_Toc175548173"/>
      <w:r>
        <w:rPr>
          <w:bCs w:val="0"/>
          <w:sz w:val="24"/>
          <w:lang w:val="en-GB"/>
        </w:rPr>
        <w:t xml:space="preserve">Information sources </w:t>
      </w:r>
      <w:r w:rsidR="007D7D2F">
        <w:rPr>
          <w:bCs w:val="0"/>
          <w:sz w:val="24"/>
          <w:lang w:val="en-GB"/>
        </w:rPr>
        <w:t xml:space="preserve">and </w:t>
      </w:r>
      <w:r w:rsidR="00213459">
        <w:rPr>
          <w:bCs w:val="0"/>
          <w:sz w:val="24"/>
          <w:lang w:val="en-GB"/>
        </w:rPr>
        <w:t>knowledge</w:t>
      </w:r>
      <w:r w:rsidR="007D7D2F">
        <w:rPr>
          <w:bCs w:val="0"/>
          <w:sz w:val="24"/>
          <w:lang w:val="en-GB"/>
        </w:rPr>
        <w:t xml:space="preserve"> </w:t>
      </w:r>
      <w:r w:rsidR="00213459">
        <w:rPr>
          <w:bCs w:val="0"/>
          <w:sz w:val="24"/>
          <w:lang w:val="en-GB"/>
        </w:rPr>
        <w:t>building</w:t>
      </w:r>
      <w:bookmarkEnd w:id="4"/>
    </w:p>
    <w:p w:rsidR="0094375B" w:rsidRPr="00487772" w:rsidRDefault="00A22D80" w:rsidP="0094375B">
      <w:pPr>
        <w:spacing w:line="360" w:lineRule="auto"/>
        <w:jc w:val="both"/>
        <w:rPr>
          <w:bCs/>
          <w:lang w:val="en-GB"/>
        </w:rPr>
      </w:pPr>
      <w:r w:rsidRPr="00487772">
        <w:rPr>
          <w:lang w:val="en-GB"/>
        </w:rPr>
        <w:t xml:space="preserve">Kosovo </w:t>
      </w:r>
      <w:r>
        <w:rPr>
          <w:lang w:val="en-GB"/>
        </w:rPr>
        <w:t xml:space="preserve">has </w:t>
      </w:r>
      <w:r w:rsidR="00F00E08">
        <w:rPr>
          <w:lang w:val="en-GB"/>
        </w:rPr>
        <w:t>al</w:t>
      </w:r>
      <w:r>
        <w:rPr>
          <w:lang w:val="en-GB"/>
        </w:rPr>
        <w:t>ready approved</w:t>
      </w:r>
      <w:r w:rsidRPr="00487772">
        <w:rPr>
          <w:lang w:val="en-GB"/>
        </w:rPr>
        <w:t xml:space="preserve"> the Mid-Term-Expenditure Framework</w:t>
      </w:r>
      <w:r w:rsidR="00F00E08">
        <w:rPr>
          <w:lang w:val="en-GB"/>
        </w:rPr>
        <w:t xml:space="preserve"> (MTEF)</w:t>
      </w:r>
      <w:r w:rsidRPr="00487772">
        <w:rPr>
          <w:lang w:val="en-GB"/>
        </w:rPr>
        <w:t xml:space="preserve">, which includes strategic health objectives, the related activities and necessary resource to meet the objectives. </w:t>
      </w:r>
      <w:r w:rsidR="009427AC" w:rsidRPr="00487772">
        <w:rPr>
          <w:bCs/>
          <w:lang w:val="en-GB"/>
        </w:rPr>
        <w:t xml:space="preserve">Health </w:t>
      </w:r>
      <w:r w:rsidR="00FF4278" w:rsidRPr="00487772">
        <w:rPr>
          <w:bCs/>
          <w:lang w:val="en-GB"/>
        </w:rPr>
        <w:t>care data collection consists of</w:t>
      </w:r>
      <w:r w:rsidR="009427AC" w:rsidRPr="00487772">
        <w:rPr>
          <w:bCs/>
          <w:lang w:val="en-GB"/>
        </w:rPr>
        <w:t xml:space="preserve"> several routine reports</w:t>
      </w:r>
      <w:r w:rsidR="008D32A6" w:rsidRPr="00487772">
        <w:rPr>
          <w:bCs/>
          <w:lang w:val="en-GB"/>
        </w:rPr>
        <w:t xml:space="preserve"> in Kosovo</w:t>
      </w:r>
      <w:r w:rsidR="000F54DD" w:rsidRPr="00487772">
        <w:rPr>
          <w:bCs/>
          <w:lang w:val="en-GB"/>
        </w:rPr>
        <w:t>. Health care data is</w:t>
      </w:r>
      <w:r w:rsidR="009427AC" w:rsidRPr="00487772">
        <w:rPr>
          <w:bCs/>
          <w:lang w:val="en-GB"/>
        </w:rPr>
        <w:t xml:space="preserve"> compiled by</w:t>
      </w:r>
      <w:r w:rsidR="00FF2AA1" w:rsidRPr="00487772">
        <w:rPr>
          <w:lang w:val="en-GB"/>
        </w:rPr>
        <w:t xml:space="preserve"> NIPH</w:t>
      </w:r>
      <w:r w:rsidR="009427AC" w:rsidRPr="00487772">
        <w:rPr>
          <w:bCs/>
          <w:lang w:val="en-GB"/>
        </w:rPr>
        <w:t xml:space="preserve"> and published by</w:t>
      </w:r>
      <w:r w:rsidR="00FF2AA1" w:rsidRPr="00487772">
        <w:rPr>
          <w:bCs/>
          <w:lang w:val="en-GB"/>
        </w:rPr>
        <w:t xml:space="preserve"> SOK</w:t>
      </w:r>
      <w:r w:rsidR="009427AC" w:rsidRPr="00487772">
        <w:rPr>
          <w:bCs/>
          <w:lang w:val="en-GB"/>
        </w:rPr>
        <w:t>.</w:t>
      </w:r>
      <w:r w:rsidR="00FF2AA1" w:rsidRPr="00487772">
        <w:rPr>
          <w:bCs/>
          <w:lang w:val="en-GB"/>
        </w:rPr>
        <w:t xml:space="preserve"> Methodolo</w:t>
      </w:r>
      <w:r w:rsidR="004A51BF" w:rsidRPr="00487772">
        <w:rPr>
          <w:bCs/>
          <w:lang w:val="en-GB"/>
        </w:rPr>
        <w:t>gical coordination comes from MO</w:t>
      </w:r>
      <w:r w:rsidR="00FF2AA1" w:rsidRPr="00487772">
        <w:rPr>
          <w:bCs/>
          <w:lang w:val="en-GB"/>
        </w:rPr>
        <w:t>H.</w:t>
      </w:r>
      <w:r w:rsidR="009427AC" w:rsidRPr="00487772">
        <w:rPr>
          <w:bCs/>
          <w:lang w:val="en-GB"/>
        </w:rPr>
        <w:t xml:space="preserve"> However</w:t>
      </w:r>
      <w:r w:rsidR="000F54DD" w:rsidRPr="00487772">
        <w:rPr>
          <w:bCs/>
          <w:lang w:val="en-GB"/>
        </w:rPr>
        <w:t>,</w:t>
      </w:r>
      <w:r w:rsidR="009427AC" w:rsidRPr="00487772">
        <w:rPr>
          <w:bCs/>
          <w:lang w:val="en-GB"/>
        </w:rPr>
        <w:t xml:space="preserve"> </w:t>
      </w:r>
      <w:r w:rsidR="008D32A6" w:rsidRPr="00487772">
        <w:rPr>
          <w:bCs/>
          <w:lang w:val="en-GB"/>
        </w:rPr>
        <w:t>the</w:t>
      </w:r>
      <w:r w:rsidR="00660021">
        <w:rPr>
          <w:bCs/>
          <w:lang w:val="en-GB"/>
        </w:rPr>
        <w:t>se</w:t>
      </w:r>
      <w:r w:rsidR="008D32A6" w:rsidRPr="00487772">
        <w:rPr>
          <w:bCs/>
          <w:lang w:val="en-GB"/>
        </w:rPr>
        <w:t xml:space="preserve"> report</w:t>
      </w:r>
      <w:r w:rsidR="000F54DD" w:rsidRPr="00487772">
        <w:rPr>
          <w:bCs/>
          <w:lang w:val="en-GB"/>
        </w:rPr>
        <w:t>s do not include questions of</w:t>
      </w:r>
      <w:r w:rsidR="008D32A6" w:rsidRPr="00487772">
        <w:rPr>
          <w:bCs/>
          <w:lang w:val="en-GB"/>
        </w:rPr>
        <w:t xml:space="preserve"> payments or expenses. </w:t>
      </w:r>
      <w:r>
        <w:rPr>
          <w:lang w:val="en-GB"/>
        </w:rPr>
        <w:t>Moreover a</w:t>
      </w:r>
      <w:r w:rsidRPr="00487772">
        <w:rPr>
          <w:lang w:val="en-GB"/>
        </w:rPr>
        <w:t xml:space="preserve">t present, not much data is available on finance, cost, storage, utilization and quality of care, which could be used for managing health facilities, pharmaceutical procurement and informed policy decisions. </w:t>
      </w:r>
      <w:r w:rsidR="007D7D2F">
        <w:rPr>
          <w:bCs/>
          <w:lang w:val="en-GB"/>
        </w:rPr>
        <w:t>T</w:t>
      </w:r>
      <w:r w:rsidR="0094375B" w:rsidRPr="00487772">
        <w:rPr>
          <w:bCs/>
          <w:lang w:val="en-GB"/>
        </w:rPr>
        <w:t xml:space="preserve">he recent regional workshop on NHA held in </w:t>
      </w:r>
      <w:smartTag w:uri="urn:schemas-microsoft-com:office:smarttags" w:element="place">
        <w:smartTag w:uri="urn:schemas-microsoft-com:office:smarttags" w:element="country-region">
          <w:r w:rsidR="0094375B" w:rsidRPr="00487772">
            <w:rPr>
              <w:bCs/>
              <w:lang w:val="en-GB"/>
            </w:rPr>
            <w:t>Slovenia</w:t>
          </w:r>
        </w:smartTag>
      </w:smartTag>
      <w:r w:rsidR="0094375B" w:rsidRPr="00487772">
        <w:rPr>
          <w:bCs/>
          <w:lang w:val="en-GB"/>
        </w:rPr>
        <w:t xml:space="preserve"> </w:t>
      </w:r>
      <w:r w:rsidR="007D7D2F">
        <w:rPr>
          <w:bCs/>
          <w:lang w:val="en-GB"/>
        </w:rPr>
        <w:t xml:space="preserve">and organized by </w:t>
      </w:r>
      <w:proofErr w:type="gramStart"/>
      <w:r w:rsidR="007D7D2F">
        <w:rPr>
          <w:bCs/>
          <w:lang w:val="en-GB"/>
        </w:rPr>
        <w:t>WHO</w:t>
      </w:r>
      <w:proofErr w:type="gramEnd"/>
      <w:r w:rsidR="007D7D2F">
        <w:rPr>
          <w:bCs/>
          <w:lang w:val="en-GB"/>
        </w:rPr>
        <w:t xml:space="preserve">, Eurostat and the Word Bank </w:t>
      </w:r>
      <w:r w:rsidR="0094375B" w:rsidRPr="00487772">
        <w:rPr>
          <w:bCs/>
          <w:lang w:val="en-GB"/>
        </w:rPr>
        <w:t xml:space="preserve">was attended by two members </w:t>
      </w:r>
      <w:r w:rsidR="00213459">
        <w:rPr>
          <w:bCs/>
          <w:lang w:val="en-GB"/>
        </w:rPr>
        <w:t>from the</w:t>
      </w:r>
      <w:r w:rsidR="0094375B" w:rsidRPr="00487772">
        <w:rPr>
          <w:bCs/>
          <w:lang w:val="en-GB"/>
        </w:rPr>
        <w:t xml:space="preserve"> MOH and SOK from Kosovo. </w:t>
      </w:r>
    </w:p>
    <w:p w:rsidR="00A22D80" w:rsidRDefault="00A22D80" w:rsidP="00393655">
      <w:pPr>
        <w:spacing w:line="360" w:lineRule="auto"/>
        <w:jc w:val="both"/>
        <w:rPr>
          <w:bCs/>
          <w:lang w:val="en-GB"/>
        </w:rPr>
      </w:pPr>
    </w:p>
    <w:p w:rsidR="004A51BF" w:rsidRPr="00487772" w:rsidRDefault="004A51BF" w:rsidP="00393655">
      <w:pPr>
        <w:spacing w:line="360" w:lineRule="auto"/>
        <w:jc w:val="both"/>
        <w:rPr>
          <w:bCs/>
          <w:lang w:val="en-GB"/>
        </w:rPr>
      </w:pPr>
    </w:p>
    <w:p w:rsidR="0090120D" w:rsidRPr="00487772" w:rsidRDefault="00874ADB" w:rsidP="008D32A6">
      <w:pPr>
        <w:pStyle w:val="Heading1"/>
        <w:numPr>
          <w:ilvl w:val="0"/>
          <w:numId w:val="0"/>
        </w:numPr>
        <w:spacing w:line="360" w:lineRule="auto"/>
        <w:jc w:val="both"/>
        <w:rPr>
          <w:bCs w:val="0"/>
          <w:sz w:val="24"/>
          <w:lang w:val="en-GB"/>
        </w:rPr>
      </w:pPr>
      <w:bookmarkStart w:id="5" w:name="_Toc175548174"/>
      <w:r w:rsidRPr="00487772">
        <w:rPr>
          <w:bCs w:val="0"/>
          <w:sz w:val="24"/>
          <w:lang w:val="en-GB"/>
        </w:rPr>
        <w:t>Existing data s</w:t>
      </w:r>
      <w:r w:rsidR="008D32A6" w:rsidRPr="00487772">
        <w:rPr>
          <w:bCs w:val="0"/>
          <w:sz w:val="24"/>
          <w:lang w:val="en-GB"/>
        </w:rPr>
        <w:t>ources</w:t>
      </w:r>
      <w:r w:rsidRPr="00487772">
        <w:rPr>
          <w:bCs w:val="0"/>
          <w:sz w:val="24"/>
          <w:lang w:val="en-GB"/>
        </w:rPr>
        <w:t xml:space="preserve"> and their shortcoming</w:t>
      </w:r>
      <w:bookmarkEnd w:id="5"/>
    </w:p>
    <w:p w:rsidR="00A22D80" w:rsidRDefault="00213459" w:rsidP="00A22D80">
      <w:pPr>
        <w:spacing w:line="360" w:lineRule="auto"/>
        <w:jc w:val="both"/>
        <w:rPr>
          <w:bCs/>
          <w:lang w:val="en-GB"/>
        </w:rPr>
      </w:pPr>
      <w:r w:rsidRPr="00487772">
        <w:rPr>
          <w:lang w:val="en-GB"/>
        </w:rPr>
        <w:t xml:space="preserve">According to the international method, classification of financial sources provides a breakdown of health expenditure into </w:t>
      </w:r>
      <w:r w:rsidRPr="00487772">
        <w:rPr>
          <w:bCs/>
          <w:lang w:val="en-GB"/>
        </w:rPr>
        <w:t xml:space="preserve">public, private sectors and rest of the world (donors </w:t>
      </w:r>
      <w:r w:rsidRPr="00487772">
        <w:rPr>
          <w:bCs/>
          <w:lang w:val="en-GB"/>
        </w:rPr>
        <w:lastRenderedPageBreak/>
        <w:t xml:space="preserve">etc.). </w:t>
      </w:r>
      <w:r w:rsidR="00A22D80" w:rsidRPr="00487772">
        <w:rPr>
          <w:bCs/>
          <w:lang w:val="en-GB"/>
        </w:rPr>
        <w:t>Existing data i</w:t>
      </w:r>
      <w:r w:rsidR="00EF33B5">
        <w:rPr>
          <w:bCs/>
          <w:lang w:val="en-GB"/>
        </w:rPr>
        <w:t xml:space="preserve">s </w:t>
      </w:r>
      <w:r>
        <w:rPr>
          <w:bCs/>
          <w:lang w:val="en-GB"/>
        </w:rPr>
        <w:t xml:space="preserve">currently limited and </w:t>
      </w:r>
      <w:r w:rsidR="00EF33B5">
        <w:rPr>
          <w:bCs/>
          <w:lang w:val="en-GB"/>
        </w:rPr>
        <w:t>not used to manage facilities</w:t>
      </w:r>
      <w:r w:rsidR="00A22D80" w:rsidRPr="00487772">
        <w:rPr>
          <w:bCs/>
          <w:lang w:val="en-GB"/>
        </w:rPr>
        <w:t xml:space="preserve"> or expenditures. The data from private health care providers is not compiled at all. Therefore, the best way to obtain the data for preliminary NHA was to start with financial issue and use so-called top-down approach.</w:t>
      </w:r>
    </w:p>
    <w:p w:rsidR="00213459" w:rsidRPr="00487772" w:rsidRDefault="00213459" w:rsidP="00A22D80">
      <w:pPr>
        <w:spacing w:line="360" w:lineRule="auto"/>
        <w:jc w:val="both"/>
        <w:rPr>
          <w:bCs/>
          <w:lang w:val="en-GB"/>
        </w:rPr>
      </w:pPr>
    </w:p>
    <w:p w:rsidR="00BE4555" w:rsidRDefault="00BE4555" w:rsidP="00393655">
      <w:pPr>
        <w:spacing w:line="360" w:lineRule="auto"/>
        <w:jc w:val="both"/>
        <w:rPr>
          <w:bCs/>
          <w:lang w:val="en-GB"/>
        </w:rPr>
      </w:pPr>
    </w:p>
    <w:p w:rsidR="00BE4555" w:rsidRPr="00BE4555" w:rsidRDefault="00BE4555" w:rsidP="00393655">
      <w:pPr>
        <w:spacing w:line="360" w:lineRule="auto"/>
        <w:jc w:val="both"/>
        <w:rPr>
          <w:b/>
          <w:bCs/>
          <w:i/>
          <w:lang w:val="en-GB"/>
        </w:rPr>
      </w:pPr>
      <w:r w:rsidRPr="00BE4555">
        <w:rPr>
          <w:b/>
          <w:bCs/>
          <w:i/>
          <w:lang w:val="en-GB"/>
        </w:rPr>
        <w:t>Level of state budget</w:t>
      </w:r>
    </w:p>
    <w:p w:rsidR="00BD31D9" w:rsidRPr="00BD31D9" w:rsidRDefault="00BD31D9" w:rsidP="00393655">
      <w:pPr>
        <w:spacing w:line="360" w:lineRule="auto"/>
        <w:jc w:val="both"/>
        <w:rPr>
          <w:bCs/>
          <w:lang w:val="en-GB"/>
        </w:rPr>
      </w:pPr>
      <w:r w:rsidRPr="00487772">
        <w:rPr>
          <w:bCs/>
          <w:lang w:val="en-GB"/>
        </w:rPr>
        <w:t xml:space="preserve">The holder of </w:t>
      </w:r>
      <w:r>
        <w:rPr>
          <w:bCs/>
          <w:lang w:val="en-GB"/>
        </w:rPr>
        <w:t>government</w:t>
      </w:r>
      <w:r w:rsidRPr="00487772">
        <w:rPr>
          <w:bCs/>
          <w:lang w:val="en-GB"/>
        </w:rPr>
        <w:t xml:space="preserve"> health expenditures data </w:t>
      </w:r>
      <w:r>
        <w:rPr>
          <w:bCs/>
          <w:lang w:val="en-GB"/>
        </w:rPr>
        <w:t>is the t</w:t>
      </w:r>
      <w:r w:rsidRPr="00487772">
        <w:rPr>
          <w:bCs/>
          <w:lang w:val="en-GB"/>
        </w:rPr>
        <w:t>reasury</w:t>
      </w:r>
      <w:r>
        <w:rPr>
          <w:bCs/>
          <w:lang w:val="en-GB"/>
        </w:rPr>
        <w:t>, department of MEF</w:t>
      </w:r>
      <w:r w:rsidRPr="00487772">
        <w:rPr>
          <w:bCs/>
          <w:lang w:val="en-GB"/>
        </w:rPr>
        <w:t>.</w:t>
      </w:r>
      <w:r>
        <w:rPr>
          <w:bCs/>
          <w:lang w:val="en-GB"/>
        </w:rPr>
        <w:t xml:space="preserve"> </w:t>
      </w:r>
      <w:r w:rsidR="0090120D" w:rsidRPr="00487772">
        <w:rPr>
          <w:bCs/>
          <w:lang w:val="en-GB"/>
        </w:rPr>
        <w:t xml:space="preserve">The best data source for public health expenditures in Kosovo is </w:t>
      </w:r>
      <w:r w:rsidR="000F54DD" w:rsidRPr="00487772">
        <w:rPr>
          <w:bCs/>
          <w:lang w:val="en-GB"/>
        </w:rPr>
        <w:t xml:space="preserve">the </w:t>
      </w:r>
      <w:r w:rsidR="008D32A6" w:rsidRPr="00487772">
        <w:rPr>
          <w:lang w:val="en-GB"/>
        </w:rPr>
        <w:t>report on implementation of state budget</w:t>
      </w:r>
      <w:r w:rsidR="00121CFC">
        <w:rPr>
          <w:rStyle w:val="FootnoteReference"/>
          <w:lang w:val="en-GB"/>
        </w:rPr>
        <w:footnoteReference w:id="3"/>
      </w:r>
      <w:r w:rsidR="008D32A6" w:rsidRPr="00487772">
        <w:rPr>
          <w:lang w:val="en-GB"/>
        </w:rPr>
        <w:t xml:space="preserve">. The report is </w:t>
      </w:r>
      <w:r w:rsidR="00940CE8" w:rsidRPr="00487772">
        <w:rPr>
          <w:lang w:val="en-GB"/>
        </w:rPr>
        <w:t>dra</w:t>
      </w:r>
      <w:r w:rsidR="00533E0F" w:rsidRPr="00487772">
        <w:rPr>
          <w:lang w:val="en-GB"/>
        </w:rPr>
        <w:t xml:space="preserve">wn together </w:t>
      </w:r>
      <w:r w:rsidR="00AF6121">
        <w:rPr>
          <w:lang w:val="en-GB"/>
        </w:rPr>
        <w:t xml:space="preserve">by </w:t>
      </w:r>
      <w:r w:rsidR="000D6580">
        <w:rPr>
          <w:lang w:val="en-GB"/>
        </w:rPr>
        <w:t xml:space="preserve">the </w:t>
      </w:r>
      <w:r w:rsidR="00AF6121">
        <w:rPr>
          <w:lang w:val="en-GB"/>
        </w:rPr>
        <w:t xml:space="preserve">MEF </w:t>
      </w:r>
      <w:r w:rsidR="000D6580">
        <w:rPr>
          <w:lang w:val="en-GB"/>
        </w:rPr>
        <w:t xml:space="preserve">based </w:t>
      </w:r>
      <w:r w:rsidR="00940CE8" w:rsidRPr="00487772">
        <w:rPr>
          <w:lang w:val="en-GB"/>
        </w:rPr>
        <w:t>on</w:t>
      </w:r>
      <w:r w:rsidR="00533E0F" w:rsidRPr="00487772">
        <w:rPr>
          <w:lang w:val="en-GB"/>
        </w:rPr>
        <w:t xml:space="preserve"> data provided by </w:t>
      </w:r>
      <w:r w:rsidR="00940CE8" w:rsidRPr="00487772">
        <w:rPr>
          <w:lang w:val="en-GB"/>
        </w:rPr>
        <w:t>MO</w:t>
      </w:r>
      <w:r w:rsidR="00533E0F" w:rsidRPr="00487772">
        <w:rPr>
          <w:lang w:val="en-GB"/>
        </w:rPr>
        <w:t xml:space="preserve">H and health facilities </w:t>
      </w:r>
      <w:r w:rsidR="00940CE8" w:rsidRPr="00487772">
        <w:rPr>
          <w:lang w:val="en-GB"/>
        </w:rPr>
        <w:t>funded from</w:t>
      </w:r>
      <w:r w:rsidR="00B518A8" w:rsidRPr="00487772">
        <w:rPr>
          <w:lang w:val="en-GB"/>
        </w:rPr>
        <w:t xml:space="preserve"> state budget</w:t>
      </w:r>
      <w:r w:rsidR="00533E0F" w:rsidRPr="00487772">
        <w:rPr>
          <w:lang w:val="en-GB"/>
        </w:rPr>
        <w:t>.</w:t>
      </w:r>
      <w:r w:rsidR="00940CE8" w:rsidRPr="00487772">
        <w:rPr>
          <w:lang w:val="en-GB"/>
        </w:rPr>
        <w:t xml:space="preserve"> The data </w:t>
      </w:r>
      <w:r w:rsidR="00EC21D1" w:rsidRPr="00487772">
        <w:rPr>
          <w:lang w:val="en-GB"/>
        </w:rPr>
        <w:t xml:space="preserve">on revenues and expenditures </w:t>
      </w:r>
      <w:r w:rsidR="00940CE8" w:rsidRPr="00487772">
        <w:rPr>
          <w:lang w:val="en-GB"/>
        </w:rPr>
        <w:t xml:space="preserve">is compiled </w:t>
      </w:r>
      <w:r w:rsidR="00EC21D1" w:rsidRPr="00487772">
        <w:rPr>
          <w:lang w:val="en-GB"/>
        </w:rPr>
        <w:t>on the</w:t>
      </w:r>
      <w:r w:rsidR="00940CE8" w:rsidRPr="00487772">
        <w:rPr>
          <w:lang w:val="en-GB"/>
        </w:rPr>
        <w:t xml:space="preserve"> regular basis every three months</w:t>
      </w:r>
      <w:r w:rsidR="00447C42" w:rsidRPr="00487772">
        <w:rPr>
          <w:lang w:val="en-GB"/>
        </w:rPr>
        <w:t xml:space="preserve">. </w:t>
      </w:r>
      <w:r w:rsidR="00874ADB" w:rsidRPr="00487772">
        <w:rPr>
          <w:lang w:val="en-GB"/>
        </w:rPr>
        <w:t xml:space="preserve">Thanks to </w:t>
      </w:r>
      <w:r w:rsidR="000F54DD" w:rsidRPr="00487772">
        <w:rPr>
          <w:lang w:val="en-GB"/>
        </w:rPr>
        <w:t xml:space="preserve">the </w:t>
      </w:r>
      <w:r w:rsidR="00B518A8" w:rsidRPr="00487772">
        <w:rPr>
          <w:lang w:val="en-GB"/>
        </w:rPr>
        <w:t>data provided by each institution separately</w:t>
      </w:r>
      <w:r w:rsidR="000F54DD" w:rsidRPr="00487772">
        <w:rPr>
          <w:lang w:val="en-GB"/>
        </w:rPr>
        <w:t>, it is easy to classify</w:t>
      </w:r>
      <w:r w:rsidR="00B518A8" w:rsidRPr="00487772">
        <w:rPr>
          <w:lang w:val="en-GB"/>
        </w:rPr>
        <w:t xml:space="preserve"> health providers by ICHA</w:t>
      </w:r>
      <w:r w:rsidR="00C51699" w:rsidRPr="00487772">
        <w:rPr>
          <w:lang w:val="en-GB"/>
        </w:rPr>
        <w:t>-HP</w:t>
      </w:r>
      <w:r w:rsidR="00B518A8" w:rsidRPr="00487772">
        <w:rPr>
          <w:lang w:val="en-GB"/>
        </w:rPr>
        <w:t>. Things are more complicated with identification and classification of health care functions. The r</w:t>
      </w:r>
      <w:r w:rsidR="00B518A8" w:rsidRPr="00487772">
        <w:rPr>
          <w:color w:val="000000"/>
          <w:lang w:val="en-GB"/>
        </w:rPr>
        <w:t xml:space="preserve">eport </w:t>
      </w:r>
      <w:r w:rsidR="00B518A8" w:rsidRPr="00487772">
        <w:rPr>
          <w:lang w:val="en-GB"/>
        </w:rPr>
        <w:t xml:space="preserve">consists of the standard </w:t>
      </w:r>
      <w:r w:rsidR="00B518A8" w:rsidRPr="00487772">
        <w:rPr>
          <w:color w:val="000000"/>
          <w:lang w:val="en-GB"/>
        </w:rPr>
        <w:t>state budget</w:t>
      </w:r>
      <w:r w:rsidR="00B518A8" w:rsidRPr="00487772">
        <w:rPr>
          <w:lang w:val="en-GB"/>
        </w:rPr>
        <w:t xml:space="preserve"> categories (wages and salaries, goods and services, capital formation)</w:t>
      </w:r>
      <w:r w:rsidR="000F54DD" w:rsidRPr="00487772">
        <w:rPr>
          <w:lang w:val="en-GB"/>
        </w:rPr>
        <w:t>, which do not allow</w:t>
      </w:r>
      <w:r w:rsidR="00B518A8" w:rsidRPr="00487772">
        <w:rPr>
          <w:lang w:val="en-GB"/>
        </w:rPr>
        <w:t xml:space="preserve"> </w:t>
      </w:r>
      <w:r w:rsidR="000F54DD" w:rsidRPr="00487772">
        <w:rPr>
          <w:lang w:val="en-GB"/>
        </w:rPr>
        <w:t>identify</w:t>
      </w:r>
      <w:r>
        <w:rPr>
          <w:lang w:val="en-GB"/>
        </w:rPr>
        <w:t>ing</w:t>
      </w:r>
      <w:r w:rsidR="00B518A8" w:rsidRPr="00487772">
        <w:rPr>
          <w:lang w:val="en-GB"/>
        </w:rPr>
        <w:t xml:space="preserve"> health care functions </w:t>
      </w:r>
      <w:r w:rsidR="000F54DD" w:rsidRPr="00487772">
        <w:rPr>
          <w:lang w:val="en-GB"/>
        </w:rPr>
        <w:t>more elaborately</w:t>
      </w:r>
      <w:r w:rsidR="00BE4555">
        <w:rPr>
          <w:lang w:val="en-GB"/>
        </w:rPr>
        <w:t xml:space="preserve"> (Annex VII)</w:t>
      </w:r>
      <w:r w:rsidR="00B518A8" w:rsidRPr="00487772">
        <w:rPr>
          <w:lang w:val="en-GB"/>
        </w:rPr>
        <w:t>.</w:t>
      </w:r>
    </w:p>
    <w:p w:rsidR="004A51BF" w:rsidRPr="00487772" w:rsidRDefault="004A51BF" w:rsidP="00393655">
      <w:pPr>
        <w:spacing w:line="360" w:lineRule="auto"/>
        <w:jc w:val="both"/>
        <w:rPr>
          <w:lang w:val="en-GB"/>
        </w:rPr>
      </w:pPr>
    </w:p>
    <w:p w:rsidR="00BE4555" w:rsidRPr="00BE4555" w:rsidRDefault="00BE4555" w:rsidP="00BE4555">
      <w:pPr>
        <w:spacing w:line="360" w:lineRule="auto"/>
        <w:jc w:val="both"/>
        <w:rPr>
          <w:b/>
          <w:bCs/>
          <w:i/>
          <w:lang w:val="en-GB"/>
        </w:rPr>
      </w:pPr>
      <w:r w:rsidRPr="00BE4555">
        <w:rPr>
          <w:b/>
          <w:bCs/>
          <w:i/>
          <w:lang w:val="en-GB"/>
        </w:rPr>
        <w:t xml:space="preserve">Level of </w:t>
      </w:r>
      <w:r>
        <w:rPr>
          <w:b/>
          <w:bCs/>
          <w:i/>
          <w:lang w:val="en-GB"/>
        </w:rPr>
        <w:t>municipalities</w:t>
      </w:r>
    </w:p>
    <w:p w:rsidR="00BD31D9" w:rsidRDefault="00BD31D9" w:rsidP="00393655">
      <w:pPr>
        <w:spacing w:line="360" w:lineRule="auto"/>
        <w:jc w:val="both"/>
        <w:rPr>
          <w:bCs/>
          <w:lang w:val="en-GB"/>
        </w:rPr>
      </w:pPr>
      <w:r w:rsidRPr="00487772">
        <w:rPr>
          <w:bCs/>
          <w:lang w:val="en-GB"/>
        </w:rPr>
        <w:t xml:space="preserve">By the current finance scheme, municipalities are responsible for primary health care. </w:t>
      </w:r>
      <w:r>
        <w:rPr>
          <w:bCs/>
          <w:lang w:val="en-GB"/>
        </w:rPr>
        <w:t xml:space="preserve">The intergovernmental financial system </w:t>
      </w:r>
      <w:r w:rsidRPr="00487772">
        <w:rPr>
          <w:bCs/>
          <w:lang w:val="en-GB"/>
        </w:rPr>
        <w:t>envisag</w:t>
      </w:r>
      <w:r>
        <w:rPr>
          <w:bCs/>
          <w:lang w:val="en-GB"/>
        </w:rPr>
        <w:t>es</w:t>
      </w:r>
      <w:r w:rsidRPr="00487772">
        <w:rPr>
          <w:bCs/>
          <w:lang w:val="en-GB"/>
        </w:rPr>
        <w:t xml:space="preserve"> two sources of financing for municipalities: transfers from the central budget in the form of grants and municipal own source revenues.</w:t>
      </w:r>
      <w:r>
        <w:rPr>
          <w:bCs/>
          <w:lang w:val="en-GB"/>
        </w:rPr>
        <w:t xml:space="preserve"> </w:t>
      </w:r>
      <w:r w:rsidR="00423664" w:rsidRPr="00487772">
        <w:rPr>
          <w:bCs/>
          <w:lang w:val="en-GB"/>
        </w:rPr>
        <w:t>M</w:t>
      </w:r>
      <w:r w:rsidR="009427AC" w:rsidRPr="00487772">
        <w:rPr>
          <w:bCs/>
          <w:lang w:val="en-GB"/>
        </w:rPr>
        <w:t xml:space="preserve">unicipalities </w:t>
      </w:r>
      <w:r>
        <w:rPr>
          <w:bCs/>
          <w:lang w:val="en-GB"/>
        </w:rPr>
        <w:t xml:space="preserve">receive a health </w:t>
      </w:r>
      <w:r w:rsidR="00B95ABE" w:rsidRPr="00487772">
        <w:rPr>
          <w:bCs/>
          <w:lang w:val="en-GB"/>
        </w:rPr>
        <w:t>g</w:t>
      </w:r>
      <w:r w:rsidR="009427AC" w:rsidRPr="00487772">
        <w:rPr>
          <w:bCs/>
          <w:lang w:val="en-GB"/>
        </w:rPr>
        <w:t>rant</w:t>
      </w:r>
      <w:r>
        <w:rPr>
          <w:bCs/>
          <w:lang w:val="en-GB"/>
        </w:rPr>
        <w:t xml:space="preserve"> </w:t>
      </w:r>
      <w:r w:rsidR="00E30816">
        <w:rPr>
          <w:bCs/>
          <w:lang w:val="en-GB"/>
        </w:rPr>
        <w:t xml:space="preserve">for PHC </w:t>
      </w:r>
      <w:r w:rsidR="009427AC" w:rsidRPr="00487772">
        <w:rPr>
          <w:bCs/>
          <w:lang w:val="en-GB"/>
        </w:rPr>
        <w:t xml:space="preserve">from </w:t>
      </w:r>
      <w:r>
        <w:rPr>
          <w:bCs/>
          <w:lang w:val="en-GB"/>
        </w:rPr>
        <w:t xml:space="preserve">the </w:t>
      </w:r>
      <w:r w:rsidR="009427AC" w:rsidRPr="00487772">
        <w:rPr>
          <w:bCs/>
          <w:lang w:val="en-GB"/>
        </w:rPr>
        <w:t>M</w:t>
      </w:r>
      <w:r w:rsidR="00696315" w:rsidRPr="00487772">
        <w:rPr>
          <w:bCs/>
          <w:lang w:val="en-GB"/>
        </w:rPr>
        <w:t>E</w:t>
      </w:r>
      <w:r w:rsidR="009427AC" w:rsidRPr="00487772">
        <w:rPr>
          <w:bCs/>
          <w:lang w:val="en-GB"/>
        </w:rPr>
        <w:t>F.</w:t>
      </w:r>
      <w:r w:rsidR="00CC5BCD" w:rsidRPr="00487772">
        <w:rPr>
          <w:lang w:val="en-GB"/>
        </w:rPr>
        <w:t xml:space="preserve"> </w:t>
      </w:r>
      <w:r>
        <w:rPr>
          <w:lang w:val="en-GB"/>
        </w:rPr>
        <w:t>T</w:t>
      </w:r>
      <w:r w:rsidR="003F13B7" w:rsidRPr="00487772">
        <w:rPr>
          <w:lang w:val="en-GB"/>
        </w:rPr>
        <w:t>he shortcomings with classification of health care functions</w:t>
      </w:r>
      <w:r w:rsidR="003F13B7" w:rsidRPr="00487772">
        <w:rPr>
          <w:bCs/>
          <w:lang w:val="en-GB"/>
        </w:rPr>
        <w:t xml:space="preserve"> </w:t>
      </w:r>
      <w:r w:rsidR="00F42122" w:rsidRPr="00487772">
        <w:rPr>
          <w:bCs/>
          <w:lang w:val="en-GB"/>
        </w:rPr>
        <w:t>are</w:t>
      </w:r>
      <w:r w:rsidR="003F13B7" w:rsidRPr="00487772">
        <w:rPr>
          <w:bCs/>
          <w:lang w:val="en-GB"/>
        </w:rPr>
        <w:t xml:space="preserve"> the same</w:t>
      </w:r>
      <w:r>
        <w:rPr>
          <w:bCs/>
          <w:lang w:val="en-GB"/>
        </w:rPr>
        <w:t xml:space="preserve"> as in the State budget</w:t>
      </w:r>
      <w:r w:rsidR="003F13B7" w:rsidRPr="00487772">
        <w:rPr>
          <w:bCs/>
          <w:lang w:val="en-GB"/>
        </w:rPr>
        <w:t xml:space="preserve">. </w:t>
      </w:r>
    </w:p>
    <w:p w:rsidR="00BD31D9" w:rsidRPr="00487772" w:rsidRDefault="00BD31D9" w:rsidP="00393655">
      <w:pPr>
        <w:spacing w:line="360" w:lineRule="auto"/>
        <w:jc w:val="both"/>
        <w:rPr>
          <w:bCs/>
          <w:lang w:val="en-GB"/>
        </w:rPr>
      </w:pPr>
    </w:p>
    <w:p w:rsidR="00BD31D9" w:rsidRDefault="00BE4555" w:rsidP="00393655">
      <w:pPr>
        <w:spacing w:line="360" w:lineRule="auto"/>
        <w:jc w:val="both"/>
        <w:rPr>
          <w:b/>
          <w:bCs/>
          <w:i/>
          <w:lang w:val="en-GB"/>
        </w:rPr>
      </w:pPr>
      <w:r w:rsidRPr="00BE4555">
        <w:rPr>
          <w:b/>
          <w:bCs/>
          <w:i/>
          <w:lang w:val="en-GB"/>
        </w:rPr>
        <w:t xml:space="preserve">Level of </w:t>
      </w:r>
      <w:r>
        <w:rPr>
          <w:b/>
          <w:bCs/>
          <w:i/>
          <w:lang w:val="en-GB"/>
        </w:rPr>
        <w:t>private sector</w:t>
      </w:r>
    </w:p>
    <w:p w:rsidR="00BD31D9" w:rsidRDefault="00BD31D9" w:rsidP="00393655">
      <w:pPr>
        <w:spacing w:line="360" w:lineRule="auto"/>
        <w:jc w:val="both"/>
        <w:rPr>
          <w:bCs/>
          <w:lang w:val="en-GB"/>
        </w:rPr>
      </w:pPr>
      <w:r w:rsidRPr="00487772">
        <w:rPr>
          <w:bCs/>
          <w:lang w:val="en-GB"/>
        </w:rPr>
        <w:t xml:space="preserve">The data on health expenditures </w:t>
      </w:r>
      <w:r>
        <w:rPr>
          <w:bCs/>
          <w:lang w:val="en-GB"/>
        </w:rPr>
        <w:t>of</w:t>
      </w:r>
      <w:r w:rsidRPr="00487772">
        <w:rPr>
          <w:bCs/>
          <w:lang w:val="en-GB"/>
        </w:rPr>
        <w:t xml:space="preserve"> non-profit organisations (NPO) is missing.</w:t>
      </w:r>
      <w:r>
        <w:rPr>
          <w:bCs/>
          <w:lang w:val="en-GB"/>
        </w:rPr>
        <w:t xml:space="preserve"> </w:t>
      </w:r>
    </w:p>
    <w:p w:rsidR="00BD31D9" w:rsidRDefault="00BD31D9" w:rsidP="00393655">
      <w:pPr>
        <w:spacing w:line="360" w:lineRule="auto"/>
        <w:jc w:val="both"/>
        <w:rPr>
          <w:bCs/>
          <w:lang w:val="en-GB"/>
        </w:rPr>
      </w:pPr>
    </w:p>
    <w:p w:rsidR="004F3D66" w:rsidRPr="00487772" w:rsidRDefault="00BD31D9" w:rsidP="00393655">
      <w:pPr>
        <w:spacing w:line="360" w:lineRule="auto"/>
        <w:jc w:val="both"/>
        <w:rPr>
          <w:bCs/>
          <w:lang w:val="en-GB"/>
        </w:rPr>
      </w:pPr>
      <w:r>
        <w:rPr>
          <w:bCs/>
          <w:lang w:val="en-GB"/>
        </w:rPr>
        <w:t xml:space="preserve">In the absence of standard accounting systems in hospitals and other health facilities, </w:t>
      </w:r>
      <w:r w:rsidR="000F54DD" w:rsidRPr="00487772">
        <w:rPr>
          <w:bCs/>
          <w:lang w:val="en-GB"/>
        </w:rPr>
        <w:t>private health expenditures are to</w:t>
      </w:r>
      <w:r w:rsidR="00CC5BCD" w:rsidRPr="00487772">
        <w:rPr>
          <w:bCs/>
          <w:lang w:val="en-GB"/>
        </w:rPr>
        <w:t xml:space="preserve"> be </w:t>
      </w:r>
      <w:r w:rsidR="00CC5BCD" w:rsidRPr="00487772">
        <w:rPr>
          <w:lang w:val="en-GB"/>
        </w:rPr>
        <w:t>obtained</w:t>
      </w:r>
      <w:r w:rsidR="00125D58" w:rsidRPr="00487772">
        <w:rPr>
          <w:lang w:val="en-GB"/>
        </w:rPr>
        <w:t xml:space="preserve"> only</w:t>
      </w:r>
      <w:r w:rsidR="00CC5BCD" w:rsidRPr="00487772">
        <w:rPr>
          <w:lang w:val="en-GB"/>
        </w:rPr>
        <w:t xml:space="preserve"> </w:t>
      </w:r>
      <w:r w:rsidR="00CC5BCD" w:rsidRPr="00487772">
        <w:rPr>
          <w:bCs/>
          <w:lang w:val="en-GB"/>
        </w:rPr>
        <w:t>from Households Budget Survey (HBS) collected by SOK</w:t>
      </w:r>
      <w:r w:rsidR="00B273DB">
        <w:rPr>
          <w:rStyle w:val="FootnoteReference"/>
          <w:bCs/>
          <w:lang w:val="en-GB"/>
        </w:rPr>
        <w:footnoteReference w:id="4"/>
      </w:r>
      <w:r w:rsidR="00CC5BCD" w:rsidRPr="00487772">
        <w:rPr>
          <w:bCs/>
          <w:lang w:val="en-GB"/>
        </w:rPr>
        <w:t xml:space="preserve">. </w:t>
      </w:r>
      <w:r w:rsidR="00C42D97" w:rsidRPr="00487772">
        <w:rPr>
          <w:bCs/>
          <w:lang w:val="en-GB"/>
        </w:rPr>
        <w:t xml:space="preserve">The questionnaires of </w:t>
      </w:r>
      <w:r w:rsidR="00487772">
        <w:rPr>
          <w:bCs/>
          <w:lang w:val="en-GB"/>
        </w:rPr>
        <w:t xml:space="preserve">HBS 2005 and 2007 </w:t>
      </w:r>
      <w:r w:rsidR="00EC127B">
        <w:rPr>
          <w:bCs/>
          <w:lang w:val="en-GB"/>
        </w:rPr>
        <w:t>are</w:t>
      </w:r>
      <w:r w:rsidR="00487772">
        <w:rPr>
          <w:bCs/>
          <w:lang w:val="en-GB"/>
        </w:rPr>
        <w:t xml:space="preserve"> in Annex V</w:t>
      </w:r>
      <w:r w:rsidR="00157668">
        <w:rPr>
          <w:bCs/>
          <w:lang w:val="en-GB"/>
        </w:rPr>
        <w:t>I</w:t>
      </w:r>
      <w:r w:rsidR="00E27FBA" w:rsidRPr="00487772">
        <w:rPr>
          <w:bCs/>
          <w:lang w:val="en-GB"/>
        </w:rPr>
        <w:t>.</w:t>
      </w:r>
      <w:r w:rsidR="00C42D97" w:rsidRPr="00487772">
        <w:rPr>
          <w:bCs/>
          <w:lang w:val="en-GB"/>
        </w:rPr>
        <w:t xml:space="preserve"> </w:t>
      </w:r>
      <w:r>
        <w:rPr>
          <w:bCs/>
          <w:lang w:val="en-GB"/>
        </w:rPr>
        <w:t xml:space="preserve"> </w:t>
      </w:r>
      <w:r w:rsidR="00447C42" w:rsidRPr="00487772">
        <w:rPr>
          <w:bCs/>
          <w:lang w:val="en-GB"/>
        </w:rPr>
        <w:t xml:space="preserve">The HBS is </w:t>
      </w:r>
      <w:r w:rsidR="00A54480" w:rsidRPr="00487772">
        <w:rPr>
          <w:bCs/>
          <w:lang w:val="en-GB"/>
        </w:rPr>
        <w:t>an annual</w:t>
      </w:r>
      <w:r w:rsidR="00447C42" w:rsidRPr="00487772">
        <w:rPr>
          <w:bCs/>
          <w:lang w:val="en-GB"/>
        </w:rPr>
        <w:t xml:space="preserve"> survey</w:t>
      </w:r>
      <w:r w:rsidR="00423664" w:rsidRPr="00487772">
        <w:rPr>
          <w:bCs/>
          <w:lang w:val="en-GB"/>
        </w:rPr>
        <w:t xml:space="preserve">, </w:t>
      </w:r>
      <w:r w:rsidR="00A54480" w:rsidRPr="00487772">
        <w:rPr>
          <w:bCs/>
          <w:lang w:val="en-GB"/>
        </w:rPr>
        <w:t>the first round</w:t>
      </w:r>
      <w:r w:rsidR="00423664" w:rsidRPr="00487772">
        <w:rPr>
          <w:bCs/>
          <w:lang w:val="en-GB"/>
        </w:rPr>
        <w:t xml:space="preserve"> of which</w:t>
      </w:r>
      <w:r w:rsidR="00A54480" w:rsidRPr="00487772">
        <w:rPr>
          <w:bCs/>
          <w:lang w:val="en-GB"/>
        </w:rPr>
        <w:t xml:space="preserve"> was conducted between June 2002 and May 2003.</w:t>
      </w:r>
      <w:r w:rsidR="00125D58" w:rsidRPr="00487772">
        <w:rPr>
          <w:bCs/>
          <w:lang w:val="en-GB"/>
        </w:rPr>
        <w:t xml:space="preserve"> </w:t>
      </w:r>
      <w:r w:rsidR="00447C42" w:rsidRPr="00487772">
        <w:rPr>
          <w:bCs/>
          <w:lang w:val="en-GB"/>
        </w:rPr>
        <w:t>The HBS does not provide consistent information on health expenditures</w:t>
      </w:r>
      <w:r>
        <w:rPr>
          <w:bCs/>
          <w:lang w:val="en-GB"/>
        </w:rPr>
        <w:t xml:space="preserve"> and spending is generally </w:t>
      </w:r>
      <w:r>
        <w:rPr>
          <w:bCs/>
          <w:lang w:val="en-GB"/>
        </w:rPr>
        <w:lastRenderedPageBreak/>
        <w:t>underreported</w:t>
      </w:r>
      <w:r w:rsidR="00447C42" w:rsidRPr="00487772">
        <w:rPr>
          <w:bCs/>
          <w:lang w:val="en-GB"/>
        </w:rPr>
        <w:t xml:space="preserve">. </w:t>
      </w:r>
      <w:r w:rsidR="004F3D66" w:rsidRPr="00487772">
        <w:rPr>
          <w:bCs/>
          <w:lang w:val="en-GB"/>
        </w:rPr>
        <w:t xml:space="preserve">This problem is known in almost all countries. </w:t>
      </w:r>
      <w:r w:rsidR="00CC5BCD" w:rsidRPr="00487772">
        <w:rPr>
          <w:bCs/>
          <w:lang w:val="en-GB"/>
        </w:rPr>
        <w:t>The measurement of key indicat</w:t>
      </w:r>
      <w:r w:rsidR="00874ADB" w:rsidRPr="00487772">
        <w:rPr>
          <w:bCs/>
          <w:lang w:val="en-GB"/>
        </w:rPr>
        <w:t xml:space="preserve">ors varies </w:t>
      </w:r>
      <w:r w:rsidR="000F54DD" w:rsidRPr="00487772">
        <w:rPr>
          <w:bCs/>
          <w:lang w:val="en-GB"/>
        </w:rPr>
        <w:t>through the</w:t>
      </w:r>
      <w:r w:rsidR="00874ADB" w:rsidRPr="00487772">
        <w:rPr>
          <w:bCs/>
          <w:lang w:val="en-GB"/>
        </w:rPr>
        <w:t xml:space="preserve"> years</w:t>
      </w:r>
      <w:r w:rsidR="00447C42" w:rsidRPr="00487772">
        <w:rPr>
          <w:bCs/>
          <w:lang w:val="en-GB"/>
        </w:rPr>
        <w:t xml:space="preserve">. The lack of a recent population census </w:t>
      </w:r>
      <w:r w:rsidR="00A54480" w:rsidRPr="00487772">
        <w:rPr>
          <w:bCs/>
          <w:lang w:val="en-GB"/>
        </w:rPr>
        <w:t xml:space="preserve">in Kosovo </w:t>
      </w:r>
      <w:r w:rsidR="00447C42" w:rsidRPr="00487772">
        <w:rPr>
          <w:bCs/>
          <w:lang w:val="en-GB"/>
        </w:rPr>
        <w:t xml:space="preserve">makes sampling difficult </w:t>
      </w:r>
      <w:r w:rsidR="00A54480" w:rsidRPr="00487772">
        <w:rPr>
          <w:bCs/>
          <w:lang w:val="en-GB"/>
        </w:rPr>
        <w:t>and raises the issues of</w:t>
      </w:r>
      <w:r w:rsidR="00F42122" w:rsidRPr="00487772">
        <w:rPr>
          <w:bCs/>
          <w:lang w:val="en-GB"/>
        </w:rPr>
        <w:t xml:space="preserve"> representativ</w:t>
      </w:r>
      <w:r w:rsidR="00920065" w:rsidRPr="00487772">
        <w:rPr>
          <w:bCs/>
          <w:lang w:val="en-GB"/>
        </w:rPr>
        <w:t>e</w:t>
      </w:r>
      <w:r w:rsidR="00F42122" w:rsidRPr="00487772">
        <w:rPr>
          <w:bCs/>
          <w:lang w:val="en-GB"/>
        </w:rPr>
        <w:t>ness</w:t>
      </w:r>
      <w:r w:rsidR="00874ADB" w:rsidRPr="00487772">
        <w:rPr>
          <w:bCs/>
          <w:lang w:val="en-GB"/>
        </w:rPr>
        <w:t xml:space="preserve">. The sample is </w:t>
      </w:r>
      <w:r w:rsidR="00A54480" w:rsidRPr="00487772">
        <w:rPr>
          <w:bCs/>
          <w:lang w:val="en-GB"/>
        </w:rPr>
        <w:t xml:space="preserve">seemingly </w:t>
      </w:r>
      <w:r w:rsidR="00874ADB" w:rsidRPr="00487772">
        <w:rPr>
          <w:bCs/>
          <w:lang w:val="en-GB"/>
        </w:rPr>
        <w:t xml:space="preserve">too small for producing reliable estimates </w:t>
      </w:r>
      <w:r>
        <w:rPr>
          <w:bCs/>
          <w:lang w:val="en-GB"/>
        </w:rPr>
        <w:t>for</w:t>
      </w:r>
      <w:r w:rsidR="00874ADB" w:rsidRPr="00487772">
        <w:rPr>
          <w:bCs/>
          <w:lang w:val="en-GB"/>
        </w:rPr>
        <w:t xml:space="preserve"> certain </w:t>
      </w:r>
      <w:r w:rsidR="003A0B14" w:rsidRPr="00487772">
        <w:rPr>
          <w:bCs/>
          <w:lang w:val="en-GB"/>
        </w:rPr>
        <w:t xml:space="preserve">categories of </w:t>
      </w:r>
      <w:r w:rsidR="00874ADB" w:rsidRPr="00487772">
        <w:rPr>
          <w:bCs/>
          <w:lang w:val="en-GB"/>
        </w:rPr>
        <w:t>health expenditures. The HBS format is likely to result in under-report</w:t>
      </w:r>
      <w:r>
        <w:rPr>
          <w:bCs/>
          <w:lang w:val="en-GB"/>
        </w:rPr>
        <w:t xml:space="preserve">ing of expenditures. Expenses for informal </w:t>
      </w:r>
      <w:r w:rsidR="00874ADB" w:rsidRPr="00487772">
        <w:rPr>
          <w:bCs/>
          <w:lang w:val="en-GB"/>
        </w:rPr>
        <w:t>payments and transportation costs</w:t>
      </w:r>
      <w:r>
        <w:rPr>
          <w:bCs/>
          <w:lang w:val="en-GB"/>
        </w:rPr>
        <w:t xml:space="preserve"> for example are not captured</w:t>
      </w:r>
      <w:r w:rsidR="00874ADB" w:rsidRPr="00487772">
        <w:rPr>
          <w:bCs/>
          <w:lang w:val="en-GB"/>
        </w:rPr>
        <w:t>.</w:t>
      </w:r>
      <w:r w:rsidR="00A54480" w:rsidRPr="00487772">
        <w:rPr>
          <w:bCs/>
          <w:lang w:val="en-GB"/>
        </w:rPr>
        <w:t xml:space="preserve"> </w:t>
      </w:r>
      <w:r w:rsidR="004F3D66" w:rsidRPr="00487772">
        <w:rPr>
          <w:bCs/>
          <w:lang w:val="en-GB"/>
        </w:rPr>
        <w:t>However</w:t>
      </w:r>
      <w:r w:rsidR="005B3E0C" w:rsidRPr="00487772">
        <w:rPr>
          <w:bCs/>
          <w:lang w:val="en-GB"/>
        </w:rPr>
        <w:t>,</w:t>
      </w:r>
      <w:r w:rsidR="004F3D66" w:rsidRPr="00487772">
        <w:rPr>
          <w:bCs/>
          <w:lang w:val="en-GB"/>
        </w:rPr>
        <w:t xml:space="preserve"> </w:t>
      </w:r>
      <w:r w:rsidR="00CC5BCD" w:rsidRPr="00487772">
        <w:rPr>
          <w:bCs/>
          <w:lang w:val="en-GB"/>
        </w:rPr>
        <w:t xml:space="preserve">currently </w:t>
      </w:r>
      <w:r w:rsidR="004F3D66" w:rsidRPr="00487772">
        <w:rPr>
          <w:bCs/>
          <w:lang w:val="en-GB"/>
        </w:rPr>
        <w:t>th</w:t>
      </w:r>
      <w:r w:rsidR="00EC127B">
        <w:rPr>
          <w:bCs/>
          <w:lang w:val="en-GB"/>
        </w:rPr>
        <w:t>is</w:t>
      </w:r>
      <w:r w:rsidR="002470C5" w:rsidRPr="00487772">
        <w:rPr>
          <w:bCs/>
          <w:lang w:val="en-GB"/>
        </w:rPr>
        <w:t xml:space="preserve"> </w:t>
      </w:r>
      <w:r w:rsidR="004F3D66" w:rsidRPr="00487772">
        <w:rPr>
          <w:bCs/>
          <w:lang w:val="en-GB"/>
        </w:rPr>
        <w:t xml:space="preserve">is </w:t>
      </w:r>
      <w:r w:rsidR="00874ADB" w:rsidRPr="00487772">
        <w:rPr>
          <w:bCs/>
          <w:lang w:val="en-GB"/>
        </w:rPr>
        <w:t xml:space="preserve">the </w:t>
      </w:r>
      <w:r w:rsidR="004F3D66" w:rsidRPr="00487772">
        <w:rPr>
          <w:bCs/>
          <w:lang w:val="en-GB"/>
        </w:rPr>
        <w:t>only existing d</w:t>
      </w:r>
      <w:r w:rsidR="002470C5" w:rsidRPr="00487772">
        <w:rPr>
          <w:bCs/>
          <w:lang w:val="en-GB"/>
        </w:rPr>
        <w:t>ata source to measure out-of-</w:t>
      </w:r>
      <w:r w:rsidR="004F3D66" w:rsidRPr="00487772">
        <w:rPr>
          <w:bCs/>
          <w:lang w:val="en-GB"/>
        </w:rPr>
        <w:t xml:space="preserve">pocket </w:t>
      </w:r>
      <w:r w:rsidR="00557164" w:rsidRPr="00487772">
        <w:rPr>
          <w:bCs/>
          <w:lang w:val="en-GB"/>
        </w:rPr>
        <w:t xml:space="preserve">(OOP) </w:t>
      </w:r>
      <w:r w:rsidR="002470C5" w:rsidRPr="00487772">
        <w:rPr>
          <w:bCs/>
          <w:lang w:val="en-GB"/>
        </w:rPr>
        <w:t>expenditures</w:t>
      </w:r>
      <w:r w:rsidR="004F3D66" w:rsidRPr="00487772">
        <w:rPr>
          <w:bCs/>
          <w:lang w:val="en-GB"/>
        </w:rPr>
        <w:t xml:space="preserve"> on health. </w:t>
      </w:r>
    </w:p>
    <w:p w:rsidR="002470C5" w:rsidRDefault="002470C5" w:rsidP="00393655">
      <w:pPr>
        <w:spacing w:line="360" w:lineRule="auto"/>
        <w:jc w:val="both"/>
        <w:rPr>
          <w:lang w:val="en-GB" w:eastAsia="en-US"/>
        </w:rPr>
      </w:pPr>
    </w:p>
    <w:p w:rsidR="00BD31D9" w:rsidRDefault="00BE4555" w:rsidP="00393655">
      <w:pPr>
        <w:spacing w:line="360" w:lineRule="auto"/>
        <w:jc w:val="both"/>
        <w:rPr>
          <w:b/>
          <w:bCs/>
          <w:i/>
          <w:lang w:val="en-GB"/>
        </w:rPr>
      </w:pPr>
      <w:r w:rsidRPr="00BE4555">
        <w:rPr>
          <w:b/>
          <w:bCs/>
          <w:i/>
          <w:lang w:val="en-GB"/>
        </w:rPr>
        <w:t xml:space="preserve">Level of </w:t>
      </w:r>
      <w:r>
        <w:rPr>
          <w:b/>
          <w:bCs/>
          <w:i/>
          <w:lang w:val="en-GB"/>
        </w:rPr>
        <w:t>donors</w:t>
      </w:r>
    </w:p>
    <w:p w:rsidR="00636C94" w:rsidRPr="00487772" w:rsidRDefault="00920065" w:rsidP="00393655">
      <w:pPr>
        <w:spacing w:line="360" w:lineRule="auto"/>
        <w:jc w:val="both"/>
        <w:rPr>
          <w:bCs/>
          <w:lang w:val="en-GB"/>
        </w:rPr>
      </w:pPr>
      <w:r w:rsidRPr="00487772">
        <w:rPr>
          <w:lang w:val="en-GB" w:eastAsia="en-US"/>
        </w:rPr>
        <w:t xml:space="preserve">The third source of financing of health expenditures is </w:t>
      </w:r>
      <w:r w:rsidR="00EC127B">
        <w:rPr>
          <w:lang w:val="en-GB" w:eastAsia="en-US"/>
        </w:rPr>
        <w:t>“</w:t>
      </w:r>
      <w:r w:rsidR="00A54480" w:rsidRPr="00487772">
        <w:rPr>
          <w:lang w:val="en-GB" w:eastAsia="en-US"/>
        </w:rPr>
        <w:t xml:space="preserve">the </w:t>
      </w:r>
      <w:r w:rsidRPr="00487772">
        <w:rPr>
          <w:bCs/>
          <w:lang w:val="en-GB"/>
        </w:rPr>
        <w:t>rest of the world</w:t>
      </w:r>
      <w:r w:rsidR="00EC127B">
        <w:rPr>
          <w:bCs/>
          <w:lang w:val="en-GB"/>
        </w:rPr>
        <w:t>”</w:t>
      </w:r>
      <w:r w:rsidR="00A54480" w:rsidRPr="00487772">
        <w:rPr>
          <w:bCs/>
          <w:lang w:val="en-GB"/>
        </w:rPr>
        <w:t xml:space="preserve">. The main </w:t>
      </w:r>
      <w:r w:rsidR="001C3AFB" w:rsidRPr="00487772">
        <w:rPr>
          <w:bCs/>
          <w:lang w:val="en-GB"/>
        </w:rPr>
        <w:t>representatives of</w:t>
      </w:r>
      <w:r w:rsidR="00A54480" w:rsidRPr="00487772">
        <w:rPr>
          <w:bCs/>
          <w:lang w:val="en-GB"/>
        </w:rPr>
        <w:t xml:space="preserve"> this </w:t>
      </w:r>
      <w:r w:rsidR="001C3AFB" w:rsidRPr="00487772">
        <w:rPr>
          <w:bCs/>
          <w:lang w:val="en-GB"/>
        </w:rPr>
        <w:t>category</w:t>
      </w:r>
      <w:r w:rsidR="00A54480" w:rsidRPr="00487772">
        <w:rPr>
          <w:bCs/>
          <w:lang w:val="en-GB"/>
        </w:rPr>
        <w:t xml:space="preserve"> </w:t>
      </w:r>
      <w:r w:rsidR="001C3AFB" w:rsidRPr="00487772">
        <w:rPr>
          <w:bCs/>
          <w:lang w:val="en-GB"/>
        </w:rPr>
        <w:t xml:space="preserve">are donor-organisations. </w:t>
      </w:r>
      <w:r w:rsidR="00A54480" w:rsidRPr="00487772">
        <w:rPr>
          <w:bCs/>
          <w:lang w:val="en-GB"/>
        </w:rPr>
        <w:t xml:space="preserve">The </w:t>
      </w:r>
      <w:r w:rsidR="001C3AFB" w:rsidRPr="00487772">
        <w:rPr>
          <w:bCs/>
          <w:lang w:val="en-GB"/>
        </w:rPr>
        <w:t>most important</w:t>
      </w:r>
      <w:r w:rsidR="00A54480" w:rsidRPr="00487772">
        <w:rPr>
          <w:bCs/>
          <w:lang w:val="en-GB"/>
        </w:rPr>
        <w:t xml:space="preserve"> data </w:t>
      </w:r>
      <w:r w:rsidR="00636C94" w:rsidRPr="00487772">
        <w:rPr>
          <w:bCs/>
          <w:lang w:val="en-GB"/>
        </w:rPr>
        <w:t xml:space="preserve">source on health expenditures funded by </w:t>
      </w:r>
      <w:r w:rsidR="00BD31D9">
        <w:rPr>
          <w:bCs/>
          <w:lang w:val="en-GB"/>
        </w:rPr>
        <w:t xml:space="preserve">the </w:t>
      </w:r>
      <w:r w:rsidR="00636C94" w:rsidRPr="00487772">
        <w:rPr>
          <w:bCs/>
          <w:lang w:val="en-GB"/>
        </w:rPr>
        <w:t>rest-of-the-world-organisations is</w:t>
      </w:r>
      <w:r w:rsidR="00A54480" w:rsidRPr="00487772">
        <w:rPr>
          <w:bCs/>
          <w:lang w:val="en-GB"/>
        </w:rPr>
        <w:t xml:space="preserve"> </w:t>
      </w:r>
      <w:r w:rsidR="00BA0FBF" w:rsidRPr="00487772">
        <w:rPr>
          <w:bCs/>
          <w:lang w:val="en-GB"/>
        </w:rPr>
        <w:t>MEF</w:t>
      </w:r>
      <w:r w:rsidR="00633EEE" w:rsidRPr="00487772">
        <w:rPr>
          <w:bCs/>
          <w:lang w:val="en-GB"/>
        </w:rPr>
        <w:t>,</w:t>
      </w:r>
      <w:r w:rsidR="00A54480" w:rsidRPr="00487772">
        <w:rPr>
          <w:bCs/>
          <w:lang w:val="en-GB"/>
        </w:rPr>
        <w:t xml:space="preserve"> which </w:t>
      </w:r>
      <w:r w:rsidR="00636C94" w:rsidRPr="00487772">
        <w:rPr>
          <w:bCs/>
          <w:lang w:val="en-GB"/>
        </w:rPr>
        <w:t>revises donors’ activities in the country. The data is presented in table</w:t>
      </w:r>
      <w:r w:rsidR="00B95ABE" w:rsidRPr="00487772">
        <w:rPr>
          <w:bCs/>
          <w:lang w:val="en-GB"/>
        </w:rPr>
        <w:t>s</w:t>
      </w:r>
      <w:r w:rsidR="00636C94" w:rsidRPr="00487772">
        <w:rPr>
          <w:bCs/>
          <w:lang w:val="en-GB"/>
        </w:rPr>
        <w:t xml:space="preserve"> and contains information abo</w:t>
      </w:r>
      <w:r w:rsidR="005B3E0C" w:rsidRPr="00487772">
        <w:rPr>
          <w:bCs/>
          <w:lang w:val="en-GB"/>
        </w:rPr>
        <w:t>ut each program separately, which</w:t>
      </w:r>
      <w:r w:rsidR="00636C94" w:rsidRPr="00487772">
        <w:rPr>
          <w:bCs/>
          <w:lang w:val="en-GB"/>
        </w:rPr>
        <w:t xml:space="preserve"> gives possibilities to </w:t>
      </w:r>
      <w:r w:rsidR="003A0B14" w:rsidRPr="00487772">
        <w:rPr>
          <w:bCs/>
          <w:lang w:val="en-GB"/>
        </w:rPr>
        <w:t>detail</w:t>
      </w:r>
      <w:r w:rsidR="00636C94" w:rsidRPr="00487772">
        <w:rPr>
          <w:bCs/>
          <w:lang w:val="en-GB"/>
        </w:rPr>
        <w:t xml:space="preserve"> </w:t>
      </w:r>
      <w:r w:rsidR="008A5B1C" w:rsidRPr="00487772">
        <w:rPr>
          <w:bCs/>
          <w:lang w:val="en-GB"/>
        </w:rPr>
        <w:t xml:space="preserve">the </w:t>
      </w:r>
      <w:r w:rsidR="00636C94" w:rsidRPr="00487772">
        <w:rPr>
          <w:bCs/>
          <w:lang w:val="en-GB"/>
        </w:rPr>
        <w:t>classification by health care pro</w:t>
      </w:r>
      <w:r w:rsidR="00423664" w:rsidRPr="00487772">
        <w:rPr>
          <w:bCs/>
          <w:lang w:val="en-GB"/>
        </w:rPr>
        <w:t>viders and health care function</w:t>
      </w:r>
      <w:r w:rsidR="00636C94" w:rsidRPr="00487772">
        <w:rPr>
          <w:bCs/>
          <w:lang w:val="en-GB"/>
        </w:rPr>
        <w:t xml:space="preserve"> categories</w:t>
      </w:r>
      <w:r w:rsidR="00A357F3">
        <w:rPr>
          <w:bCs/>
          <w:lang w:val="en-GB"/>
        </w:rPr>
        <w:t xml:space="preserve"> (Annex VI</w:t>
      </w:r>
      <w:r w:rsidR="00BE4555">
        <w:rPr>
          <w:bCs/>
          <w:lang w:val="en-GB"/>
        </w:rPr>
        <w:t>I</w:t>
      </w:r>
      <w:r w:rsidR="00A357F3">
        <w:rPr>
          <w:bCs/>
          <w:lang w:val="en-GB"/>
        </w:rPr>
        <w:t>I)</w:t>
      </w:r>
      <w:r w:rsidR="00636C94" w:rsidRPr="00487772">
        <w:rPr>
          <w:bCs/>
          <w:lang w:val="en-GB"/>
        </w:rPr>
        <w:t>.</w:t>
      </w:r>
    </w:p>
    <w:p w:rsidR="00636C94" w:rsidRPr="00487772" w:rsidRDefault="00636C94" w:rsidP="008959C1">
      <w:pPr>
        <w:spacing w:line="360" w:lineRule="auto"/>
        <w:jc w:val="both"/>
        <w:rPr>
          <w:bCs/>
          <w:lang w:val="en-GB"/>
        </w:rPr>
      </w:pPr>
    </w:p>
    <w:p w:rsidR="0095281C" w:rsidRPr="00487772" w:rsidRDefault="0095281C" w:rsidP="008959C1">
      <w:pPr>
        <w:spacing w:line="360" w:lineRule="auto"/>
        <w:jc w:val="both"/>
        <w:rPr>
          <w:bCs/>
          <w:lang w:val="en-GB"/>
        </w:rPr>
      </w:pPr>
    </w:p>
    <w:p w:rsidR="0072074B" w:rsidRDefault="00053523" w:rsidP="007B0D4B">
      <w:pPr>
        <w:pStyle w:val="Heading1"/>
        <w:numPr>
          <w:ilvl w:val="0"/>
          <w:numId w:val="0"/>
        </w:numPr>
        <w:spacing w:line="360" w:lineRule="auto"/>
        <w:jc w:val="both"/>
        <w:rPr>
          <w:bCs w:val="0"/>
          <w:sz w:val="24"/>
          <w:lang w:val="en-GB"/>
        </w:rPr>
      </w:pPr>
      <w:bookmarkStart w:id="6" w:name="_Toc175548175"/>
      <w:r w:rsidRPr="007B0D4B">
        <w:rPr>
          <w:bCs w:val="0"/>
          <w:sz w:val="24"/>
          <w:lang w:val="en-GB"/>
        </w:rPr>
        <w:t>General s</w:t>
      </w:r>
      <w:r w:rsidR="0072074B" w:rsidRPr="007B0D4B">
        <w:rPr>
          <w:bCs w:val="0"/>
          <w:sz w:val="24"/>
          <w:lang w:val="en-GB"/>
        </w:rPr>
        <w:t xml:space="preserve">hortcomings </w:t>
      </w:r>
      <w:r w:rsidR="00176326">
        <w:rPr>
          <w:bCs w:val="0"/>
          <w:sz w:val="24"/>
          <w:lang w:val="en-GB"/>
        </w:rPr>
        <w:t>limiting the construction of NHA</w:t>
      </w:r>
      <w:bookmarkEnd w:id="6"/>
    </w:p>
    <w:p w:rsidR="002A2450" w:rsidRPr="002A2450" w:rsidRDefault="002A2450" w:rsidP="002A2450">
      <w:pPr>
        <w:rPr>
          <w:lang w:val="en-GB" w:eastAsia="en-US"/>
        </w:rPr>
      </w:pPr>
    </w:p>
    <w:p w:rsidR="007B0D4B" w:rsidRPr="007B0D4B" w:rsidRDefault="007B0D4B" w:rsidP="0072074B">
      <w:pPr>
        <w:spacing w:line="360" w:lineRule="auto"/>
        <w:jc w:val="both"/>
        <w:rPr>
          <w:b/>
          <w:i/>
          <w:lang w:val="en-GB"/>
        </w:rPr>
      </w:pPr>
      <w:r w:rsidRPr="007B0D4B">
        <w:rPr>
          <w:b/>
          <w:i/>
          <w:lang w:val="en-GB"/>
        </w:rPr>
        <w:t>Data gaps and boundaries</w:t>
      </w:r>
    </w:p>
    <w:p w:rsidR="007B0D4B" w:rsidRDefault="0072074B" w:rsidP="007B0D4B">
      <w:pPr>
        <w:spacing w:line="360" w:lineRule="auto"/>
        <w:jc w:val="both"/>
        <w:rPr>
          <w:lang w:val="en-GB"/>
        </w:rPr>
      </w:pPr>
      <w:r w:rsidRPr="00487772">
        <w:rPr>
          <w:lang w:val="en-GB"/>
        </w:rPr>
        <w:t xml:space="preserve">There are </w:t>
      </w:r>
      <w:r w:rsidR="00BD31D9">
        <w:rPr>
          <w:lang w:val="en-GB"/>
        </w:rPr>
        <w:t>substantial data</w:t>
      </w:r>
      <w:r w:rsidRPr="00487772">
        <w:rPr>
          <w:lang w:val="en-GB"/>
        </w:rPr>
        <w:t xml:space="preserve"> gaps. </w:t>
      </w:r>
    </w:p>
    <w:p w:rsidR="007B0D4B" w:rsidRDefault="0072074B" w:rsidP="007B0D4B">
      <w:pPr>
        <w:numPr>
          <w:ilvl w:val="0"/>
          <w:numId w:val="8"/>
        </w:numPr>
        <w:spacing w:line="360" w:lineRule="auto"/>
        <w:jc w:val="both"/>
        <w:rPr>
          <w:lang w:val="en-GB"/>
        </w:rPr>
      </w:pPr>
      <w:r w:rsidRPr="00487772">
        <w:rPr>
          <w:lang w:val="en-GB"/>
        </w:rPr>
        <w:t>Issues</w:t>
      </w:r>
      <w:r w:rsidR="00F7515F" w:rsidRPr="00487772">
        <w:rPr>
          <w:lang w:val="en-GB"/>
        </w:rPr>
        <w:t>,</w:t>
      </w:r>
      <w:r w:rsidRPr="00487772">
        <w:rPr>
          <w:lang w:val="en-GB"/>
        </w:rPr>
        <w:t xml:space="preserve"> </w:t>
      </w:r>
      <w:r w:rsidR="005B3E0C" w:rsidRPr="00487772">
        <w:rPr>
          <w:lang w:val="en-GB"/>
        </w:rPr>
        <w:t xml:space="preserve">such </w:t>
      </w:r>
      <w:r w:rsidRPr="00487772">
        <w:rPr>
          <w:lang w:val="en-GB"/>
        </w:rPr>
        <w:t>as military health expenditures, health in prisons</w:t>
      </w:r>
      <w:r w:rsidR="005B3E0C" w:rsidRPr="00487772">
        <w:rPr>
          <w:lang w:val="en-GB"/>
        </w:rPr>
        <w:t>,</w:t>
      </w:r>
      <w:r w:rsidRPr="00487772">
        <w:rPr>
          <w:lang w:val="en-GB"/>
        </w:rPr>
        <w:t xml:space="preserve"> </w:t>
      </w:r>
      <w:r w:rsidR="003026D3">
        <w:rPr>
          <w:lang w:val="en-GB"/>
        </w:rPr>
        <w:t xml:space="preserve">or school health </w:t>
      </w:r>
      <w:r w:rsidRPr="00487772">
        <w:rPr>
          <w:lang w:val="en-GB"/>
        </w:rPr>
        <w:t>etc</w:t>
      </w:r>
      <w:r w:rsidR="005B3E0C" w:rsidRPr="00487772">
        <w:rPr>
          <w:lang w:val="en-GB"/>
        </w:rPr>
        <w:t>.</w:t>
      </w:r>
      <w:r w:rsidRPr="00487772">
        <w:rPr>
          <w:lang w:val="en-GB"/>
        </w:rPr>
        <w:t xml:space="preserve"> are not </w:t>
      </w:r>
      <w:r w:rsidR="00053523" w:rsidRPr="00487772">
        <w:rPr>
          <w:lang w:val="en-GB"/>
        </w:rPr>
        <w:t>indicate</w:t>
      </w:r>
      <w:r w:rsidR="005B3E0C" w:rsidRPr="00487772">
        <w:rPr>
          <w:lang w:val="en-GB"/>
        </w:rPr>
        <w:t>d</w:t>
      </w:r>
      <w:r w:rsidR="00053523" w:rsidRPr="00487772">
        <w:rPr>
          <w:lang w:val="en-GB"/>
        </w:rPr>
        <w:t xml:space="preserve"> in the preliminary NHA</w:t>
      </w:r>
      <w:r w:rsidRPr="00487772">
        <w:rPr>
          <w:lang w:val="en-GB"/>
        </w:rPr>
        <w:t xml:space="preserve">. </w:t>
      </w:r>
    </w:p>
    <w:p w:rsidR="007B0D4B" w:rsidRDefault="00053523" w:rsidP="007B0D4B">
      <w:pPr>
        <w:numPr>
          <w:ilvl w:val="0"/>
          <w:numId w:val="8"/>
        </w:numPr>
        <w:spacing w:line="360" w:lineRule="auto"/>
        <w:jc w:val="both"/>
        <w:rPr>
          <w:lang w:val="en-GB"/>
        </w:rPr>
      </w:pPr>
      <w:r w:rsidRPr="00487772">
        <w:rPr>
          <w:lang w:val="en-GB"/>
        </w:rPr>
        <w:t xml:space="preserve">It is not </w:t>
      </w:r>
      <w:r w:rsidR="00F56236" w:rsidRPr="00487772">
        <w:rPr>
          <w:lang w:val="en-GB"/>
        </w:rPr>
        <w:t xml:space="preserve">always </w:t>
      </w:r>
      <w:r w:rsidRPr="00487772">
        <w:rPr>
          <w:lang w:val="en-GB"/>
        </w:rPr>
        <w:t>possible to class</w:t>
      </w:r>
      <w:r w:rsidR="00F56236" w:rsidRPr="00487772">
        <w:rPr>
          <w:lang w:val="en-GB"/>
        </w:rPr>
        <w:t xml:space="preserve">ify </w:t>
      </w:r>
      <w:r w:rsidR="005B3E0C" w:rsidRPr="00487772">
        <w:rPr>
          <w:lang w:val="en-GB"/>
        </w:rPr>
        <w:t xml:space="preserve">the </w:t>
      </w:r>
      <w:r w:rsidR="00F56236" w:rsidRPr="00487772">
        <w:rPr>
          <w:lang w:val="en-GB"/>
        </w:rPr>
        <w:t>data according to</w:t>
      </w:r>
      <w:r w:rsidR="005B3E0C" w:rsidRPr="00487772">
        <w:rPr>
          <w:lang w:val="en-GB"/>
        </w:rPr>
        <w:t xml:space="preserve"> the</w:t>
      </w:r>
      <w:r w:rsidR="00F56236" w:rsidRPr="00487772">
        <w:rPr>
          <w:lang w:val="en-GB"/>
        </w:rPr>
        <w:t xml:space="preserve"> functions</w:t>
      </w:r>
      <w:r w:rsidR="003026D3">
        <w:rPr>
          <w:lang w:val="en-GB"/>
        </w:rPr>
        <w:t xml:space="preserve"> of care</w:t>
      </w:r>
      <w:r w:rsidR="00F56236" w:rsidRPr="00487772">
        <w:rPr>
          <w:lang w:val="en-GB"/>
        </w:rPr>
        <w:t>.</w:t>
      </w:r>
      <w:r w:rsidRPr="00487772">
        <w:rPr>
          <w:lang w:val="en-GB"/>
        </w:rPr>
        <w:t xml:space="preserve"> </w:t>
      </w:r>
    </w:p>
    <w:p w:rsidR="007260DE" w:rsidRDefault="007260DE" w:rsidP="007B0D4B">
      <w:pPr>
        <w:numPr>
          <w:ilvl w:val="0"/>
          <w:numId w:val="8"/>
        </w:numPr>
        <w:spacing w:line="360" w:lineRule="auto"/>
        <w:jc w:val="both"/>
        <w:rPr>
          <w:lang w:val="en-GB"/>
        </w:rPr>
      </w:pPr>
      <w:r>
        <w:rPr>
          <w:lang w:val="en-GB"/>
        </w:rPr>
        <w:t>There is no reliable standardized accounting and financial reporting in private and public health care facilities</w:t>
      </w:r>
      <w:r w:rsidR="002A2450">
        <w:rPr>
          <w:lang w:val="en-GB"/>
        </w:rPr>
        <w:t>.</w:t>
      </w:r>
    </w:p>
    <w:p w:rsidR="007B0D4B" w:rsidRDefault="005B3E0C" w:rsidP="007B0D4B">
      <w:pPr>
        <w:numPr>
          <w:ilvl w:val="0"/>
          <w:numId w:val="8"/>
        </w:numPr>
        <w:spacing w:line="360" w:lineRule="auto"/>
        <w:jc w:val="both"/>
        <w:rPr>
          <w:lang w:val="en-GB"/>
        </w:rPr>
      </w:pPr>
      <w:r w:rsidRPr="00487772">
        <w:rPr>
          <w:lang w:val="en-GB"/>
        </w:rPr>
        <w:t>The d</w:t>
      </w:r>
      <w:r w:rsidR="00053523" w:rsidRPr="00487772">
        <w:rPr>
          <w:lang w:val="en-GB"/>
        </w:rPr>
        <w:t>ata</w:t>
      </w:r>
      <w:r w:rsidR="0072074B" w:rsidRPr="00487772">
        <w:rPr>
          <w:lang w:val="en-GB"/>
        </w:rPr>
        <w:t xml:space="preserve"> for </w:t>
      </w:r>
      <w:r w:rsidR="00053523" w:rsidRPr="00487772">
        <w:rPr>
          <w:lang w:val="en-GB"/>
        </w:rPr>
        <w:t>non-profit organisations’ (NPO)</w:t>
      </w:r>
      <w:r w:rsidR="0072074B" w:rsidRPr="00487772">
        <w:rPr>
          <w:lang w:val="en-GB"/>
        </w:rPr>
        <w:t xml:space="preserve"> expenditur</w:t>
      </w:r>
      <w:r w:rsidRPr="00487772">
        <w:rPr>
          <w:lang w:val="en-GB"/>
        </w:rPr>
        <w:t>es on health is</w:t>
      </w:r>
      <w:r w:rsidR="0072074B" w:rsidRPr="00487772">
        <w:rPr>
          <w:lang w:val="en-GB"/>
        </w:rPr>
        <w:t xml:space="preserve"> missing. </w:t>
      </w:r>
    </w:p>
    <w:p w:rsidR="007B0D4B" w:rsidRDefault="0072074B" w:rsidP="007B0D4B">
      <w:pPr>
        <w:numPr>
          <w:ilvl w:val="0"/>
          <w:numId w:val="8"/>
        </w:numPr>
        <w:spacing w:line="360" w:lineRule="auto"/>
        <w:jc w:val="both"/>
        <w:rPr>
          <w:lang w:val="en-GB"/>
        </w:rPr>
      </w:pPr>
      <w:r w:rsidRPr="00487772">
        <w:rPr>
          <w:lang w:val="en-GB"/>
        </w:rPr>
        <w:t xml:space="preserve">There is no </w:t>
      </w:r>
      <w:r w:rsidR="005B3E0C" w:rsidRPr="00487772">
        <w:rPr>
          <w:lang w:val="en-GB"/>
        </w:rPr>
        <w:t>separate</w:t>
      </w:r>
      <w:r w:rsidR="00F56236" w:rsidRPr="00487772">
        <w:rPr>
          <w:lang w:val="en-GB"/>
        </w:rPr>
        <w:t xml:space="preserve"> </w:t>
      </w:r>
      <w:r w:rsidRPr="00487772">
        <w:rPr>
          <w:lang w:val="en-GB"/>
        </w:rPr>
        <w:t>data on expenditures on public programs (like maternal and child health; family planning and counselling; prevention of communicable diseases</w:t>
      </w:r>
      <w:r w:rsidR="005B3E0C" w:rsidRPr="00487772">
        <w:rPr>
          <w:lang w:val="en-GB"/>
        </w:rPr>
        <w:t>,</w:t>
      </w:r>
      <w:r w:rsidRPr="00487772">
        <w:rPr>
          <w:lang w:val="en-GB"/>
        </w:rPr>
        <w:t xml:space="preserve"> etc</w:t>
      </w:r>
      <w:r w:rsidR="005B3E0C" w:rsidRPr="00487772">
        <w:rPr>
          <w:lang w:val="en-GB"/>
        </w:rPr>
        <w:t>.</w:t>
      </w:r>
      <w:r w:rsidRPr="00487772">
        <w:rPr>
          <w:lang w:val="en-GB"/>
        </w:rPr>
        <w:t xml:space="preserve">) and no data on services of long-term nursing care. </w:t>
      </w:r>
    </w:p>
    <w:p w:rsidR="007B0D4B" w:rsidRDefault="0072074B" w:rsidP="007B0D4B">
      <w:pPr>
        <w:numPr>
          <w:ilvl w:val="0"/>
          <w:numId w:val="8"/>
        </w:numPr>
        <w:spacing w:line="360" w:lineRule="auto"/>
        <w:jc w:val="both"/>
        <w:rPr>
          <w:lang w:val="en-GB"/>
        </w:rPr>
      </w:pPr>
      <w:r w:rsidRPr="00487772">
        <w:rPr>
          <w:lang w:val="en-GB"/>
        </w:rPr>
        <w:t>Some part</w:t>
      </w:r>
      <w:r w:rsidR="00BE4555">
        <w:rPr>
          <w:lang w:val="en-GB"/>
        </w:rPr>
        <w:t>s</w:t>
      </w:r>
      <w:r w:rsidRPr="00487772">
        <w:rPr>
          <w:lang w:val="en-GB"/>
        </w:rPr>
        <w:t xml:space="preserve"> of services of long-term nursing care </w:t>
      </w:r>
      <w:r w:rsidR="00BE4555">
        <w:rPr>
          <w:lang w:val="en-GB"/>
        </w:rPr>
        <w:t>are</w:t>
      </w:r>
      <w:r w:rsidRPr="00487772">
        <w:rPr>
          <w:lang w:val="en-GB"/>
        </w:rPr>
        <w:t xml:space="preserve"> defined in Kosovo as social services</w:t>
      </w:r>
      <w:r w:rsidR="003026D3">
        <w:rPr>
          <w:lang w:val="en-GB"/>
        </w:rPr>
        <w:t>. T</w:t>
      </w:r>
      <w:r w:rsidRPr="00487772">
        <w:rPr>
          <w:lang w:val="en-GB"/>
        </w:rPr>
        <w:t>herefore</w:t>
      </w:r>
      <w:r w:rsidR="00F7515F" w:rsidRPr="00487772">
        <w:rPr>
          <w:lang w:val="en-GB"/>
        </w:rPr>
        <w:t xml:space="preserve">, </w:t>
      </w:r>
      <w:r w:rsidR="003026D3">
        <w:rPr>
          <w:lang w:val="en-GB"/>
        </w:rPr>
        <w:t xml:space="preserve">the </w:t>
      </w:r>
      <w:r w:rsidR="00F7515F" w:rsidRPr="00487772">
        <w:rPr>
          <w:lang w:val="en-GB"/>
        </w:rPr>
        <w:t xml:space="preserve">budget of </w:t>
      </w:r>
      <w:r w:rsidR="000C730A">
        <w:rPr>
          <w:lang w:val="en-GB"/>
        </w:rPr>
        <w:t xml:space="preserve">the </w:t>
      </w:r>
      <w:r w:rsidRPr="00487772">
        <w:rPr>
          <w:lang w:val="en-GB"/>
        </w:rPr>
        <w:t xml:space="preserve">MOH does not include these expenditures. </w:t>
      </w:r>
      <w:r w:rsidR="000C730A">
        <w:rPr>
          <w:lang w:val="en-GB"/>
        </w:rPr>
        <w:t xml:space="preserve">These </w:t>
      </w:r>
      <w:r w:rsidR="00F243CC" w:rsidRPr="00487772">
        <w:rPr>
          <w:lang w:val="en-GB"/>
        </w:rPr>
        <w:t>cells</w:t>
      </w:r>
      <w:r w:rsidR="000C730A">
        <w:rPr>
          <w:lang w:val="en-GB"/>
        </w:rPr>
        <w:t xml:space="preserve"> of the table are not filled.</w:t>
      </w:r>
    </w:p>
    <w:p w:rsidR="007B0D4B" w:rsidRPr="00487772" w:rsidRDefault="007B0D4B" w:rsidP="007B0D4B">
      <w:pPr>
        <w:numPr>
          <w:ilvl w:val="0"/>
          <w:numId w:val="8"/>
        </w:numPr>
        <w:spacing w:line="360" w:lineRule="auto"/>
        <w:jc w:val="both"/>
        <w:rPr>
          <w:lang w:val="en-GB"/>
        </w:rPr>
      </w:pPr>
      <w:r w:rsidRPr="00487772">
        <w:rPr>
          <w:lang w:val="en-GB"/>
        </w:rPr>
        <w:lastRenderedPageBreak/>
        <w:t xml:space="preserve">As maintained by the international methodology, all data should be grouped on the possibly lowest level. After that, the data should be summed to the high-level categories. </w:t>
      </w:r>
      <w:r w:rsidR="000C730A">
        <w:rPr>
          <w:lang w:val="en-GB"/>
        </w:rPr>
        <w:t>In the absence</w:t>
      </w:r>
      <w:r w:rsidRPr="00487772">
        <w:rPr>
          <w:lang w:val="en-GB"/>
        </w:rPr>
        <w:t xml:space="preserve"> of exact information, some data can be classified only on high-level categories. Consequently, it is not possible to sum </w:t>
      </w:r>
      <w:r>
        <w:rPr>
          <w:lang w:val="en-GB"/>
        </w:rPr>
        <w:t>some</w:t>
      </w:r>
      <w:r w:rsidRPr="00487772">
        <w:rPr>
          <w:lang w:val="en-GB"/>
        </w:rPr>
        <w:t xml:space="preserve"> data</w:t>
      </w:r>
      <w:r>
        <w:rPr>
          <w:lang w:val="en-GB"/>
        </w:rPr>
        <w:t xml:space="preserve"> (e.g. HP.5/HC.6≠</w:t>
      </w:r>
      <w:r w:rsidRPr="0033678C">
        <w:rPr>
          <w:lang w:val="en-GB"/>
        </w:rPr>
        <w:t xml:space="preserve"> </w:t>
      </w:r>
      <w:r>
        <w:rPr>
          <w:lang w:val="en-GB"/>
        </w:rPr>
        <w:t>HC.6.1+</w:t>
      </w:r>
      <w:r w:rsidRPr="0033678C">
        <w:rPr>
          <w:lang w:val="en-GB"/>
        </w:rPr>
        <w:t xml:space="preserve"> </w:t>
      </w:r>
      <w:r>
        <w:rPr>
          <w:lang w:val="en-GB"/>
        </w:rPr>
        <w:t>HC.6.2+</w:t>
      </w:r>
      <w:r w:rsidRPr="0033678C">
        <w:rPr>
          <w:lang w:val="en-GB"/>
        </w:rPr>
        <w:t xml:space="preserve"> </w:t>
      </w:r>
      <w:r>
        <w:rPr>
          <w:lang w:val="en-GB"/>
        </w:rPr>
        <w:t>HC.6.3+</w:t>
      </w:r>
      <w:r w:rsidRPr="0033678C">
        <w:rPr>
          <w:lang w:val="en-GB"/>
        </w:rPr>
        <w:t xml:space="preserve"> </w:t>
      </w:r>
      <w:r>
        <w:rPr>
          <w:lang w:val="en-GB"/>
        </w:rPr>
        <w:t>HC.6.4+</w:t>
      </w:r>
      <w:r w:rsidRPr="0033678C">
        <w:rPr>
          <w:lang w:val="en-GB"/>
        </w:rPr>
        <w:t xml:space="preserve"> </w:t>
      </w:r>
      <w:r>
        <w:rPr>
          <w:lang w:val="en-GB"/>
        </w:rPr>
        <w:t>HC.6.5+</w:t>
      </w:r>
      <w:r w:rsidRPr="0033678C">
        <w:rPr>
          <w:lang w:val="en-GB"/>
        </w:rPr>
        <w:t xml:space="preserve"> </w:t>
      </w:r>
      <w:r>
        <w:rPr>
          <w:lang w:val="en-GB"/>
        </w:rPr>
        <w:t>HC.6.9)</w:t>
      </w:r>
      <w:r w:rsidRPr="00487772">
        <w:rPr>
          <w:lang w:val="en-GB"/>
        </w:rPr>
        <w:t>, and not all sums are correct in the NHA tables</w:t>
      </w:r>
      <w:r>
        <w:rPr>
          <w:lang w:val="en-GB"/>
        </w:rPr>
        <w:t xml:space="preserve"> (Annex V)</w:t>
      </w:r>
      <w:r w:rsidRPr="00487772">
        <w:rPr>
          <w:lang w:val="en-GB"/>
        </w:rPr>
        <w:t>.</w:t>
      </w:r>
    </w:p>
    <w:p w:rsidR="007B0D4B" w:rsidRDefault="007B0D4B" w:rsidP="007B0D4B">
      <w:pPr>
        <w:spacing w:line="360" w:lineRule="auto"/>
        <w:jc w:val="both"/>
        <w:rPr>
          <w:lang w:val="en-GB"/>
        </w:rPr>
      </w:pPr>
    </w:p>
    <w:p w:rsidR="007B0D4B" w:rsidRPr="007B0D4B" w:rsidRDefault="007B0D4B" w:rsidP="007B0D4B">
      <w:pPr>
        <w:spacing w:line="360" w:lineRule="auto"/>
        <w:jc w:val="both"/>
        <w:rPr>
          <w:b/>
          <w:i/>
          <w:lang w:val="en-GB"/>
        </w:rPr>
      </w:pPr>
      <w:r w:rsidRPr="007B0D4B">
        <w:rPr>
          <w:b/>
          <w:i/>
          <w:lang w:val="en-GB"/>
        </w:rPr>
        <w:t>Capital formation</w:t>
      </w:r>
    </w:p>
    <w:p w:rsidR="0072074B" w:rsidRPr="00487772" w:rsidRDefault="0072074B" w:rsidP="007B0D4B">
      <w:pPr>
        <w:spacing w:line="360" w:lineRule="auto"/>
        <w:jc w:val="both"/>
        <w:rPr>
          <w:lang w:val="en-GB"/>
        </w:rPr>
      </w:pPr>
      <w:r w:rsidRPr="00487772">
        <w:rPr>
          <w:lang w:val="en-GB"/>
        </w:rPr>
        <w:t xml:space="preserve">Only capital formation </w:t>
      </w:r>
      <w:r w:rsidR="003D5165" w:rsidRPr="00487772">
        <w:rPr>
          <w:lang w:val="en-GB"/>
        </w:rPr>
        <w:t>as</w:t>
      </w:r>
      <w:r w:rsidR="00943057" w:rsidRPr="00487772">
        <w:rPr>
          <w:lang w:val="en-GB"/>
        </w:rPr>
        <w:t xml:space="preserve"> a</w:t>
      </w:r>
      <w:r w:rsidR="003D5165" w:rsidRPr="00487772">
        <w:rPr>
          <w:lang w:val="en-GB"/>
        </w:rPr>
        <w:t xml:space="preserve"> functional category </w:t>
      </w:r>
      <w:r w:rsidRPr="00487772">
        <w:rPr>
          <w:lang w:val="en-GB"/>
        </w:rPr>
        <w:t xml:space="preserve">can be separated for </w:t>
      </w:r>
      <w:r w:rsidR="000C730A">
        <w:rPr>
          <w:lang w:val="en-GB"/>
        </w:rPr>
        <w:t>government</w:t>
      </w:r>
      <w:r w:rsidRPr="00487772">
        <w:rPr>
          <w:lang w:val="en-GB"/>
        </w:rPr>
        <w:t xml:space="preserve"> health spending. However</w:t>
      </w:r>
      <w:r w:rsidR="00943057" w:rsidRPr="00487772">
        <w:rPr>
          <w:lang w:val="en-GB"/>
        </w:rPr>
        <w:t xml:space="preserve">, </w:t>
      </w:r>
      <w:r w:rsidR="000C730A">
        <w:rPr>
          <w:lang w:val="en-GB"/>
        </w:rPr>
        <w:t>capital</w:t>
      </w:r>
      <w:r w:rsidR="00943057" w:rsidRPr="00487772">
        <w:rPr>
          <w:lang w:val="en-GB"/>
        </w:rPr>
        <w:t xml:space="preserve"> </w:t>
      </w:r>
      <w:r w:rsidRPr="00487772">
        <w:rPr>
          <w:lang w:val="en-GB"/>
        </w:rPr>
        <w:t>investments cannot be div</w:t>
      </w:r>
      <w:r w:rsidR="00943057" w:rsidRPr="00487772">
        <w:rPr>
          <w:lang w:val="en-GB"/>
        </w:rPr>
        <w:t>ided b</w:t>
      </w:r>
      <w:r w:rsidR="00423664" w:rsidRPr="00487772">
        <w:rPr>
          <w:lang w:val="en-GB"/>
        </w:rPr>
        <w:t>etween</w:t>
      </w:r>
      <w:r w:rsidR="00943057" w:rsidRPr="00487772">
        <w:rPr>
          <w:lang w:val="en-GB"/>
        </w:rPr>
        <w:t xml:space="preserve"> health care providers. The e</w:t>
      </w:r>
      <w:r w:rsidRPr="00487772">
        <w:rPr>
          <w:lang w:val="en-GB"/>
        </w:rPr>
        <w:t>xpenditures on ambulance are shown together with whole primary health care spending</w:t>
      </w:r>
      <w:r w:rsidR="000C730A">
        <w:rPr>
          <w:lang w:val="en-GB"/>
        </w:rPr>
        <w:t xml:space="preserve">; and </w:t>
      </w:r>
      <w:r w:rsidR="0011056F" w:rsidRPr="00487772">
        <w:rPr>
          <w:lang w:val="en-GB"/>
        </w:rPr>
        <w:t>classified under</w:t>
      </w:r>
      <w:r w:rsidR="000C730A">
        <w:rPr>
          <w:lang w:val="en-GB"/>
        </w:rPr>
        <w:t xml:space="preserve"> “</w:t>
      </w:r>
      <w:r w:rsidR="0011056F" w:rsidRPr="00487772">
        <w:rPr>
          <w:lang w:val="en-GB"/>
        </w:rPr>
        <w:t>all other out-patient curative care</w:t>
      </w:r>
      <w:r w:rsidR="000C730A">
        <w:rPr>
          <w:lang w:val="en-GB"/>
        </w:rPr>
        <w:t>”</w:t>
      </w:r>
      <w:r w:rsidR="0011056F" w:rsidRPr="00487772">
        <w:rPr>
          <w:lang w:val="en-GB"/>
        </w:rPr>
        <w:t xml:space="preserve"> (HC.1.3.3).</w:t>
      </w:r>
    </w:p>
    <w:p w:rsidR="00661EF1" w:rsidRPr="00487772" w:rsidRDefault="00661EF1" w:rsidP="00661EF1">
      <w:pPr>
        <w:spacing w:line="360" w:lineRule="auto"/>
        <w:jc w:val="both"/>
        <w:rPr>
          <w:lang w:val="en-GB"/>
        </w:rPr>
      </w:pPr>
    </w:p>
    <w:p w:rsidR="007B0D4B" w:rsidRPr="007B0D4B" w:rsidRDefault="007B0D4B" w:rsidP="007B0D4B">
      <w:pPr>
        <w:spacing w:line="360" w:lineRule="auto"/>
        <w:jc w:val="both"/>
        <w:rPr>
          <w:b/>
          <w:i/>
          <w:lang w:val="en-GB"/>
        </w:rPr>
      </w:pPr>
      <w:r w:rsidRPr="007B0D4B">
        <w:rPr>
          <w:b/>
          <w:i/>
          <w:lang w:val="en-GB"/>
        </w:rPr>
        <w:t>HBS</w:t>
      </w:r>
    </w:p>
    <w:p w:rsidR="007B0D4B" w:rsidRDefault="00BE4555" w:rsidP="007B0D4B">
      <w:pPr>
        <w:numPr>
          <w:ilvl w:val="0"/>
          <w:numId w:val="9"/>
        </w:numPr>
        <w:spacing w:line="360" w:lineRule="auto"/>
        <w:jc w:val="both"/>
        <w:rPr>
          <w:lang w:val="en-GB"/>
        </w:rPr>
      </w:pPr>
      <w:r w:rsidRPr="00487772">
        <w:rPr>
          <w:lang w:val="en-GB"/>
        </w:rPr>
        <w:t>Data</w:t>
      </w:r>
      <w:r w:rsidR="0011056F" w:rsidRPr="00487772">
        <w:rPr>
          <w:lang w:val="en-GB"/>
        </w:rPr>
        <w:t xml:space="preserve"> on </w:t>
      </w:r>
      <w:r w:rsidRPr="00487772">
        <w:rPr>
          <w:lang w:val="en-GB"/>
        </w:rPr>
        <w:t>expenditures</w:t>
      </w:r>
      <w:r>
        <w:rPr>
          <w:lang w:val="en-GB"/>
        </w:rPr>
        <w:t xml:space="preserve"> on health care</w:t>
      </w:r>
      <w:r w:rsidRPr="00487772">
        <w:rPr>
          <w:lang w:val="en-GB"/>
        </w:rPr>
        <w:t xml:space="preserve"> </w:t>
      </w:r>
      <w:r w:rsidR="00943057" w:rsidRPr="00487772">
        <w:rPr>
          <w:lang w:val="en-GB"/>
        </w:rPr>
        <w:t>from HBS is</w:t>
      </w:r>
      <w:r w:rsidR="0072074B" w:rsidRPr="00487772">
        <w:rPr>
          <w:lang w:val="en-GB"/>
        </w:rPr>
        <w:t xml:space="preserve"> underestimated. </w:t>
      </w:r>
    </w:p>
    <w:p w:rsidR="007B0D4B" w:rsidRDefault="0072074B" w:rsidP="007B0D4B">
      <w:pPr>
        <w:numPr>
          <w:ilvl w:val="0"/>
          <w:numId w:val="9"/>
        </w:numPr>
        <w:spacing w:line="360" w:lineRule="auto"/>
        <w:jc w:val="both"/>
        <w:rPr>
          <w:lang w:val="en-GB"/>
        </w:rPr>
      </w:pPr>
      <w:r w:rsidRPr="00487772">
        <w:rPr>
          <w:lang w:val="en-GB"/>
        </w:rPr>
        <w:t>Informal payments are not included</w:t>
      </w:r>
      <w:r w:rsidR="0011056F" w:rsidRPr="00487772">
        <w:rPr>
          <w:lang w:val="en-GB"/>
        </w:rPr>
        <w:t xml:space="preserve"> at all</w:t>
      </w:r>
      <w:r w:rsidRPr="00487772">
        <w:rPr>
          <w:lang w:val="en-GB"/>
        </w:rPr>
        <w:t xml:space="preserve">. </w:t>
      </w:r>
    </w:p>
    <w:p w:rsidR="00396BA9" w:rsidRPr="00487772" w:rsidRDefault="00396BA9" w:rsidP="007B0D4B">
      <w:pPr>
        <w:numPr>
          <w:ilvl w:val="0"/>
          <w:numId w:val="9"/>
        </w:numPr>
        <w:spacing w:line="360" w:lineRule="auto"/>
        <w:jc w:val="both"/>
        <w:rPr>
          <w:lang w:val="en-GB"/>
        </w:rPr>
      </w:pPr>
      <w:r w:rsidRPr="00487772">
        <w:rPr>
          <w:lang w:val="en-GB"/>
        </w:rPr>
        <w:t>During data compiling for NHA</w:t>
      </w:r>
      <w:r w:rsidR="00072629" w:rsidRPr="00487772">
        <w:rPr>
          <w:lang w:val="en-GB"/>
        </w:rPr>
        <w:t>, the consult</w:t>
      </w:r>
      <w:r w:rsidR="00BE4555">
        <w:rPr>
          <w:lang w:val="en-GB"/>
        </w:rPr>
        <w:t>ant</w:t>
      </w:r>
      <w:r w:rsidR="00072629" w:rsidRPr="00487772">
        <w:rPr>
          <w:lang w:val="en-GB"/>
        </w:rPr>
        <w:t xml:space="preserve"> ra</w:t>
      </w:r>
      <w:r w:rsidRPr="00487772">
        <w:rPr>
          <w:lang w:val="en-GB"/>
        </w:rPr>
        <w:t>n into</w:t>
      </w:r>
      <w:r w:rsidR="00072629" w:rsidRPr="00487772">
        <w:rPr>
          <w:lang w:val="en-GB"/>
        </w:rPr>
        <w:t xml:space="preserve"> the problem that there is a difference in the same type of categories in different publications. </w:t>
      </w:r>
      <w:r w:rsidRPr="00487772">
        <w:rPr>
          <w:lang w:val="en-GB"/>
        </w:rPr>
        <w:t xml:space="preserve">Presently there is </w:t>
      </w:r>
      <w:r w:rsidR="000C730A">
        <w:rPr>
          <w:lang w:val="en-GB"/>
        </w:rPr>
        <w:t>substantial</w:t>
      </w:r>
      <w:r w:rsidR="00BE1C08" w:rsidRPr="00487772">
        <w:rPr>
          <w:lang w:val="en-GB"/>
        </w:rPr>
        <w:t xml:space="preserve"> disarrangement </w:t>
      </w:r>
      <w:r w:rsidR="000C730A">
        <w:rPr>
          <w:lang w:val="en-GB"/>
        </w:rPr>
        <w:t>about</w:t>
      </w:r>
      <w:r w:rsidR="00BE1C08" w:rsidRPr="00487772">
        <w:rPr>
          <w:lang w:val="en-GB"/>
        </w:rPr>
        <w:t xml:space="preserve"> HBS data</w:t>
      </w:r>
      <w:r w:rsidR="000C730A">
        <w:rPr>
          <w:lang w:val="en-GB"/>
        </w:rPr>
        <w:t>.  There are</w:t>
      </w:r>
      <w:r w:rsidR="00BE1C08" w:rsidRPr="00487772">
        <w:rPr>
          <w:lang w:val="en-GB"/>
        </w:rPr>
        <w:t xml:space="preserve"> </w:t>
      </w:r>
      <w:r w:rsidR="000C730A">
        <w:rPr>
          <w:lang w:val="en-GB"/>
        </w:rPr>
        <w:t>insufficient</w:t>
      </w:r>
      <w:r w:rsidRPr="00487772">
        <w:rPr>
          <w:lang w:val="en-GB"/>
        </w:rPr>
        <w:t xml:space="preserve"> descriptions, clarifications and explanation produc</w:t>
      </w:r>
      <w:r w:rsidR="00BE1C08" w:rsidRPr="00487772">
        <w:rPr>
          <w:lang w:val="en-GB"/>
        </w:rPr>
        <w:t>ed about HBS data. Sometimes c</w:t>
      </w:r>
      <w:r w:rsidRPr="00487772">
        <w:rPr>
          <w:lang w:val="en-GB"/>
        </w:rPr>
        <w:t xml:space="preserve">ompletely different data </w:t>
      </w:r>
      <w:r w:rsidR="00BE1C08" w:rsidRPr="00487772">
        <w:rPr>
          <w:lang w:val="en-GB"/>
        </w:rPr>
        <w:t xml:space="preserve">is </w:t>
      </w:r>
      <w:r w:rsidRPr="00487772">
        <w:rPr>
          <w:lang w:val="en-GB"/>
        </w:rPr>
        <w:t>sh</w:t>
      </w:r>
      <w:r w:rsidR="00BE1C08" w:rsidRPr="00487772">
        <w:rPr>
          <w:lang w:val="en-GB"/>
        </w:rPr>
        <w:t>own for the same year</w:t>
      </w:r>
      <w:r w:rsidR="002D3195">
        <w:rPr>
          <w:lang w:val="en-GB"/>
        </w:rPr>
        <w:t xml:space="preserve"> and it is difficult to know which is more correct</w:t>
      </w:r>
      <w:r w:rsidR="006D264C" w:rsidRPr="00487772">
        <w:rPr>
          <w:lang w:val="en-GB"/>
        </w:rPr>
        <w:t>. The p</w:t>
      </w:r>
      <w:r w:rsidRPr="00487772">
        <w:rPr>
          <w:lang w:val="en-GB"/>
        </w:rPr>
        <w:t xml:space="preserve">ublication of HBS data and </w:t>
      </w:r>
      <w:r w:rsidR="006D264C" w:rsidRPr="00487772">
        <w:rPr>
          <w:lang w:val="en-GB"/>
        </w:rPr>
        <w:t>the results are</w:t>
      </w:r>
      <w:r w:rsidRPr="00487772">
        <w:rPr>
          <w:lang w:val="en-GB"/>
        </w:rPr>
        <w:t xml:space="preserve"> not coordinate</w:t>
      </w:r>
      <w:r w:rsidR="0045182F">
        <w:rPr>
          <w:lang w:val="en-GB"/>
        </w:rPr>
        <w:t>d</w:t>
      </w:r>
      <w:r w:rsidRPr="00487772">
        <w:rPr>
          <w:lang w:val="en-GB"/>
        </w:rPr>
        <w:t>.</w:t>
      </w:r>
    </w:p>
    <w:p w:rsidR="00661EF1" w:rsidRPr="00487772" w:rsidRDefault="00661EF1" w:rsidP="00661EF1">
      <w:pPr>
        <w:spacing w:line="360" w:lineRule="auto"/>
        <w:jc w:val="both"/>
        <w:rPr>
          <w:lang w:val="en-GB"/>
        </w:rPr>
      </w:pPr>
    </w:p>
    <w:p w:rsidR="007B0D4B" w:rsidRPr="007B0D4B" w:rsidRDefault="000C730A" w:rsidP="007B0D4B">
      <w:pPr>
        <w:spacing w:line="360" w:lineRule="auto"/>
        <w:jc w:val="both"/>
        <w:rPr>
          <w:b/>
          <w:i/>
          <w:lang w:val="en-GB"/>
        </w:rPr>
      </w:pPr>
      <w:r>
        <w:rPr>
          <w:b/>
          <w:i/>
          <w:lang w:val="en-GB"/>
        </w:rPr>
        <w:t xml:space="preserve">Treatment abroad </w:t>
      </w:r>
    </w:p>
    <w:p w:rsidR="00661EF1" w:rsidRPr="00487772" w:rsidRDefault="00435601" w:rsidP="007B0D4B">
      <w:pPr>
        <w:spacing w:line="360" w:lineRule="auto"/>
        <w:jc w:val="both"/>
        <w:rPr>
          <w:lang w:val="en-GB"/>
        </w:rPr>
      </w:pPr>
      <w:r>
        <w:rPr>
          <w:lang w:val="en-GB"/>
        </w:rPr>
        <w:t>The HBS does not collect information about treatment abroad.  Therefore, the o</w:t>
      </w:r>
      <w:r w:rsidR="000C730A">
        <w:rPr>
          <w:lang w:val="en-GB"/>
        </w:rPr>
        <w:t>ut-of-pocket (OOP) e</w:t>
      </w:r>
      <w:r w:rsidR="006D264C" w:rsidRPr="00487772">
        <w:rPr>
          <w:lang w:val="en-GB"/>
        </w:rPr>
        <w:t>xpenditures of Kosovo residents</w:t>
      </w:r>
      <w:r w:rsidR="0072074B" w:rsidRPr="00487772">
        <w:rPr>
          <w:lang w:val="en-GB"/>
        </w:rPr>
        <w:t xml:space="preserve"> </w:t>
      </w:r>
      <w:r>
        <w:rPr>
          <w:lang w:val="en-GB"/>
        </w:rPr>
        <w:t>for</w:t>
      </w:r>
      <w:r w:rsidR="0072074B" w:rsidRPr="00487772">
        <w:rPr>
          <w:lang w:val="en-GB"/>
        </w:rPr>
        <w:t xml:space="preserve"> health </w:t>
      </w:r>
      <w:r>
        <w:rPr>
          <w:lang w:val="en-GB"/>
        </w:rPr>
        <w:t>care</w:t>
      </w:r>
      <w:r w:rsidR="0072074B" w:rsidRPr="00487772">
        <w:rPr>
          <w:lang w:val="en-GB"/>
        </w:rPr>
        <w:t xml:space="preserve"> abroad are not known. </w:t>
      </w:r>
      <w:r>
        <w:rPr>
          <w:lang w:val="en-GB"/>
        </w:rPr>
        <w:t xml:space="preserve">This information is thus missing in the </w:t>
      </w:r>
      <w:r w:rsidR="00EF33B5">
        <w:rPr>
          <w:lang w:val="en-GB"/>
        </w:rPr>
        <w:t>OOP part.</w:t>
      </w:r>
      <w:r w:rsidR="00FD5747">
        <w:rPr>
          <w:lang w:val="en-GB"/>
        </w:rPr>
        <w:t xml:space="preserve"> Anecdotal evidence suggests that this amount is substantial, which should be further investigated in a household survey on individuals’ care seeking behaviour. </w:t>
      </w:r>
    </w:p>
    <w:p w:rsidR="00661EF1" w:rsidRPr="00487772" w:rsidRDefault="00661EF1" w:rsidP="00661EF1">
      <w:pPr>
        <w:spacing w:line="360" w:lineRule="auto"/>
        <w:jc w:val="both"/>
        <w:rPr>
          <w:lang w:val="en-GB"/>
        </w:rPr>
      </w:pPr>
    </w:p>
    <w:p w:rsidR="007B0D4B" w:rsidRPr="007B0D4B" w:rsidRDefault="007B0D4B" w:rsidP="007B0D4B">
      <w:pPr>
        <w:spacing w:line="360" w:lineRule="auto"/>
        <w:jc w:val="both"/>
        <w:rPr>
          <w:b/>
          <w:i/>
          <w:lang w:val="en-GB"/>
        </w:rPr>
      </w:pPr>
      <w:r w:rsidRPr="007B0D4B">
        <w:rPr>
          <w:b/>
          <w:i/>
          <w:lang w:val="en-GB"/>
        </w:rPr>
        <w:t>R</w:t>
      </w:r>
      <w:r w:rsidR="000E6814">
        <w:rPr>
          <w:b/>
          <w:i/>
          <w:lang w:val="en-GB"/>
        </w:rPr>
        <w:t>est of the World (R</w:t>
      </w:r>
      <w:r w:rsidRPr="007B0D4B">
        <w:rPr>
          <w:b/>
          <w:i/>
          <w:lang w:val="en-GB"/>
        </w:rPr>
        <w:t>OW</w:t>
      </w:r>
      <w:r w:rsidR="000E6814">
        <w:rPr>
          <w:b/>
          <w:i/>
          <w:lang w:val="en-GB"/>
        </w:rPr>
        <w:t>)</w:t>
      </w:r>
    </w:p>
    <w:p w:rsidR="00D66BA1" w:rsidRPr="00487772" w:rsidRDefault="0011056F" w:rsidP="007B0D4B">
      <w:pPr>
        <w:spacing w:line="360" w:lineRule="auto"/>
        <w:jc w:val="both"/>
        <w:rPr>
          <w:lang w:val="en-GB"/>
        </w:rPr>
      </w:pPr>
      <w:r w:rsidRPr="00487772">
        <w:rPr>
          <w:lang w:val="en-GB"/>
        </w:rPr>
        <w:t>There are p</w:t>
      </w:r>
      <w:r w:rsidR="0072074B" w:rsidRPr="00487772">
        <w:rPr>
          <w:lang w:val="en-GB"/>
        </w:rPr>
        <w:t xml:space="preserve">roblems with health care services </w:t>
      </w:r>
      <w:r w:rsidRPr="00487772">
        <w:rPr>
          <w:lang w:val="en-GB"/>
        </w:rPr>
        <w:t xml:space="preserve">for Kosovo residents </w:t>
      </w:r>
      <w:r w:rsidR="0072074B" w:rsidRPr="00487772">
        <w:rPr>
          <w:lang w:val="en-GB"/>
        </w:rPr>
        <w:t>financed</w:t>
      </w:r>
      <w:r w:rsidRPr="00487772">
        <w:rPr>
          <w:lang w:val="en-GB"/>
        </w:rPr>
        <w:t xml:space="preserve"> by Serbian government. This issue should be classified under category – rest of the world (HF.3). However</w:t>
      </w:r>
      <w:r w:rsidR="00AD434F" w:rsidRPr="00487772">
        <w:rPr>
          <w:lang w:val="en-GB"/>
        </w:rPr>
        <w:t>, the data is</w:t>
      </w:r>
      <w:r w:rsidRPr="00487772">
        <w:rPr>
          <w:lang w:val="en-GB"/>
        </w:rPr>
        <w:t xml:space="preserve"> not available and </w:t>
      </w:r>
      <w:r w:rsidR="00476E1E" w:rsidRPr="00487772">
        <w:rPr>
          <w:lang w:val="en-GB"/>
        </w:rPr>
        <w:t>is</w:t>
      </w:r>
      <w:r w:rsidR="00AD434F" w:rsidRPr="00487772">
        <w:rPr>
          <w:lang w:val="en-GB"/>
        </w:rPr>
        <w:t xml:space="preserve"> not</w:t>
      </w:r>
      <w:r w:rsidR="00E31F16" w:rsidRPr="00487772">
        <w:rPr>
          <w:lang w:val="en-GB"/>
        </w:rPr>
        <w:t xml:space="preserve"> </w:t>
      </w:r>
      <w:r w:rsidRPr="00487772">
        <w:rPr>
          <w:lang w:val="en-GB"/>
        </w:rPr>
        <w:t>reflect</w:t>
      </w:r>
      <w:r w:rsidR="00AD434F" w:rsidRPr="00487772">
        <w:rPr>
          <w:lang w:val="en-GB"/>
        </w:rPr>
        <w:t>ed</w:t>
      </w:r>
      <w:r w:rsidRPr="00487772">
        <w:rPr>
          <w:lang w:val="en-GB"/>
        </w:rPr>
        <w:t xml:space="preserve"> in the preliminary NHA.</w:t>
      </w:r>
    </w:p>
    <w:p w:rsidR="0072074B" w:rsidRPr="00487772" w:rsidRDefault="0072074B" w:rsidP="0072074B">
      <w:pPr>
        <w:spacing w:line="360" w:lineRule="auto"/>
        <w:jc w:val="both"/>
        <w:rPr>
          <w:lang w:val="en-GB"/>
        </w:rPr>
      </w:pPr>
    </w:p>
    <w:p w:rsidR="0072074B" w:rsidRPr="00487772" w:rsidRDefault="0072074B" w:rsidP="0072074B">
      <w:pPr>
        <w:spacing w:line="360" w:lineRule="auto"/>
        <w:jc w:val="both"/>
        <w:rPr>
          <w:b/>
          <w:lang w:val="en-GB"/>
        </w:rPr>
      </w:pPr>
    </w:p>
    <w:p w:rsidR="006B73EA" w:rsidRPr="00487772" w:rsidRDefault="00812310" w:rsidP="0034120C">
      <w:pPr>
        <w:pStyle w:val="Heading1"/>
        <w:numPr>
          <w:ilvl w:val="0"/>
          <w:numId w:val="0"/>
        </w:numPr>
        <w:spacing w:line="360" w:lineRule="auto"/>
        <w:jc w:val="both"/>
        <w:rPr>
          <w:bCs w:val="0"/>
          <w:sz w:val="24"/>
          <w:lang w:val="en-GB"/>
        </w:rPr>
      </w:pPr>
      <w:bookmarkStart w:id="7" w:name="_Toc175548176"/>
      <w:r w:rsidRPr="00487772">
        <w:rPr>
          <w:bCs w:val="0"/>
          <w:sz w:val="24"/>
          <w:lang w:val="en-GB"/>
        </w:rPr>
        <w:t xml:space="preserve">Preliminary </w:t>
      </w:r>
      <w:r w:rsidR="00053523" w:rsidRPr="00487772">
        <w:rPr>
          <w:bCs w:val="0"/>
          <w:sz w:val="24"/>
          <w:lang w:val="en-GB"/>
        </w:rPr>
        <w:t>data</w:t>
      </w:r>
      <w:r w:rsidRPr="00487772">
        <w:rPr>
          <w:bCs w:val="0"/>
          <w:sz w:val="24"/>
          <w:lang w:val="en-GB"/>
        </w:rPr>
        <w:t xml:space="preserve"> of Kosovo Health Accounts</w:t>
      </w:r>
      <w:bookmarkEnd w:id="7"/>
    </w:p>
    <w:p w:rsidR="004A51BF" w:rsidRPr="00487772" w:rsidRDefault="003A0B14" w:rsidP="00963D4B">
      <w:pPr>
        <w:spacing w:line="360" w:lineRule="auto"/>
        <w:jc w:val="both"/>
        <w:rPr>
          <w:lang w:val="en-GB"/>
        </w:rPr>
      </w:pPr>
      <w:r w:rsidRPr="00487772">
        <w:rPr>
          <w:lang w:val="en-GB"/>
        </w:rPr>
        <w:t>Preliminary NHA for Kosovo is based on d</w:t>
      </w:r>
      <w:r w:rsidR="004A51BF" w:rsidRPr="00487772">
        <w:rPr>
          <w:lang w:val="en-GB"/>
        </w:rPr>
        <w:t xml:space="preserve">ata for year 2005. This year was chosen because it was </w:t>
      </w:r>
      <w:r w:rsidR="00DB3E9D" w:rsidRPr="00487772">
        <w:rPr>
          <w:lang w:val="en-GB"/>
        </w:rPr>
        <w:t xml:space="preserve">the </w:t>
      </w:r>
      <w:r w:rsidR="007B2376">
        <w:rPr>
          <w:lang w:val="en-GB"/>
        </w:rPr>
        <w:t>only</w:t>
      </w:r>
      <w:r w:rsidR="004A51BF" w:rsidRPr="00487772">
        <w:rPr>
          <w:lang w:val="en-GB"/>
        </w:rPr>
        <w:t xml:space="preserve"> year where data </w:t>
      </w:r>
      <w:r w:rsidR="008B4201" w:rsidRPr="00487772">
        <w:rPr>
          <w:lang w:val="en-GB"/>
        </w:rPr>
        <w:t xml:space="preserve">on health expenditures </w:t>
      </w:r>
      <w:r w:rsidR="004A51BF" w:rsidRPr="00487772">
        <w:rPr>
          <w:lang w:val="en-GB"/>
        </w:rPr>
        <w:t>fr</w:t>
      </w:r>
      <w:r w:rsidR="00DB3E9D" w:rsidRPr="00487772">
        <w:rPr>
          <w:lang w:val="en-GB"/>
        </w:rPr>
        <w:t>om all existing data source</w:t>
      </w:r>
      <w:r w:rsidR="007B2376">
        <w:rPr>
          <w:lang w:val="en-GB"/>
        </w:rPr>
        <w:t>s</w:t>
      </w:r>
      <w:r w:rsidR="00DB3E9D" w:rsidRPr="00487772">
        <w:rPr>
          <w:lang w:val="en-GB"/>
        </w:rPr>
        <w:t xml:space="preserve"> was</w:t>
      </w:r>
      <w:r w:rsidR="004A51BF" w:rsidRPr="00487772">
        <w:rPr>
          <w:lang w:val="en-GB"/>
        </w:rPr>
        <w:t xml:space="preserve"> available. HBS data for years 2003-2005 was</w:t>
      </w:r>
      <w:r w:rsidR="00240A68" w:rsidRPr="00487772">
        <w:rPr>
          <w:lang w:val="en-GB"/>
        </w:rPr>
        <w:t xml:space="preserve"> obtainable</w:t>
      </w:r>
      <w:r w:rsidR="004A51BF" w:rsidRPr="00487772">
        <w:rPr>
          <w:lang w:val="en-GB"/>
        </w:rPr>
        <w:t xml:space="preserve">.  Treasury </w:t>
      </w:r>
      <w:r w:rsidR="00240A68" w:rsidRPr="00487772">
        <w:rPr>
          <w:lang w:val="en-GB"/>
        </w:rPr>
        <w:t>data</w:t>
      </w:r>
      <w:r w:rsidR="00394417">
        <w:rPr>
          <w:lang w:val="en-GB"/>
        </w:rPr>
        <w:t xml:space="preserve"> are available</w:t>
      </w:r>
      <w:r w:rsidR="00240A68" w:rsidRPr="00487772">
        <w:rPr>
          <w:lang w:val="en-GB"/>
        </w:rPr>
        <w:t xml:space="preserve"> </w:t>
      </w:r>
      <w:r w:rsidR="004A51BF" w:rsidRPr="00487772">
        <w:rPr>
          <w:lang w:val="en-GB"/>
        </w:rPr>
        <w:t>for 2005-2006</w:t>
      </w:r>
      <w:r w:rsidR="00240A68" w:rsidRPr="00487772">
        <w:rPr>
          <w:lang w:val="en-GB"/>
        </w:rPr>
        <w:t xml:space="preserve"> years</w:t>
      </w:r>
      <w:r w:rsidR="004A51BF" w:rsidRPr="00487772">
        <w:rPr>
          <w:lang w:val="en-GB"/>
        </w:rPr>
        <w:t xml:space="preserve">. </w:t>
      </w:r>
    </w:p>
    <w:p w:rsidR="00AD15D8" w:rsidRPr="00487772" w:rsidRDefault="00AD15D8" w:rsidP="00963D4B">
      <w:pPr>
        <w:spacing w:line="360" w:lineRule="auto"/>
        <w:jc w:val="both"/>
        <w:rPr>
          <w:lang w:val="en-GB"/>
        </w:rPr>
      </w:pPr>
    </w:p>
    <w:p w:rsidR="00AD15D8" w:rsidRPr="00487772" w:rsidRDefault="00BB0CD6" w:rsidP="00963D4B">
      <w:pPr>
        <w:spacing w:line="360" w:lineRule="auto"/>
        <w:jc w:val="both"/>
        <w:rPr>
          <w:lang w:val="en-GB"/>
        </w:rPr>
      </w:pPr>
      <w:r w:rsidRPr="00487772">
        <w:rPr>
          <w:lang w:val="en-GB"/>
        </w:rPr>
        <w:t>Since</w:t>
      </w:r>
      <w:r w:rsidR="00AD15D8" w:rsidRPr="00487772">
        <w:rPr>
          <w:lang w:val="en-GB"/>
        </w:rPr>
        <w:t xml:space="preserve"> NHA is complied for the first time</w:t>
      </w:r>
      <w:r w:rsidR="003A0B14" w:rsidRPr="00487772">
        <w:rPr>
          <w:lang w:val="en-GB"/>
        </w:rPr>
        <w:t xml:space="preserve"> in Kosovo</w:t>
      </w:r>
      <w:r w:rsidRPr="00487772">
        <w:rPr>
          <w:lang w:val="en-GB"/>
        </w:rPr>
        <w:t>, the</w:t>
      </w:r>
      <w:r w:rsidR="00AD15D8" w:rsidRPr="00487772">
        <w:rPr>
          <w:lang w:val="en-GB"/>
        </w:rPr>
        <w:t xml:space="preserve"> data sources are not developed</w:t>
      </w:r>
      <w:r w:rsidRPr="00487772">
        <w:rPr>
          <w:lang w:val="en-GB"/>
        </w:rPr>
        <w:t xml:space="preserve">. </w:t>
      </w:r>
      <w:r w:rsidR="002A2450">
        <w:rPr>
          <w:lang w:val="en-GB"/>
        </w:rPr>
        <w:t>Thus, d</w:t>
      </w:r>
      <w:r w:rsidR="00AD15D8" w:rsidRPr="00487772">
        <w:rPr>
          <w:lang w:val="en-GB"/>
        </w:rPr>
        <w:t>etailed categories</w:t>
      </w:r>
      <w:r w:rsidR="002A2450">
        <w:rPr>
          <w:lang w:val="en-GB"/>
        </w:rPr>
        <w:t xml:space="preserve"> as well as</w:t>
      </w:r>
      <w:r w:rsidR="00AD15D8" w:rsidRPr="00487772">
        <w:rPr>
          <w:lang w:val="en-GB"/>
        </w:rPr>
        <w:t xml:space="preserve"> high level categories are underestimated. </w:t>
      </w:r>
      <w:r w:rsidR="003243AE" w:rsidRPr="00487772">
        <w:rPr>
          <w:lang w:val="en-GB"/>
        </w:rPr>
        <w:t xml:space="preserve">It is estimated that in total, </w:t>
      </w:r>
      <w:r w:rsidR="00AD15D8" w:rsidRPr="00487772">
        <w:rPr>
          <w:lang w:val="en-GB"/>
        </w:rPr>
        <w:t>in 2005</w:t>
      </w:r>
      <w:r w:rsidR="003243AE" w:rsidRPr="00487772">
        <w:rPr>
          <w:lang w:val="en-GB"/>
        </w:rPr>
        <w:t>,</w:t>
      </w:r>
      <w:r w:rsidR="00AD15D8" w:rsidRPr="00487772">
        <w:rPr>
          <w:lang w:val="en-GB"/>
        </w:rPr>
        <w:t xml:space="preserve"> Kosovo spent 107.3 million € </w:t>
      </w:r>
      <w:r w:rsidR="000E6DBF" w:rsidRPr="00487772">
        <w:rPr>
          <w:lang w:val="en-GB"/>
        </w:rPr>
        <w:t>on</w:t>
      </w:r>
      <w:r w:rsidR="002A2450">
        <w:rPr>
          <w:lang w:val="en-GB"/>
        </w:rPr>
        <w:t xml:space="preserve"> health, which </w:t>
      </w:r>
      <w:r w:rsidRPr="00487772">
        <w:rPr>
          <w:lang w:val="en-GB"/>
        </w:rPr>
        <w:t>is</w:t>
      </w:r>
      <w:r w:rsidR="000E6DBF" w:rsidRPr="00487772">
        <w:rPr>
          <w:lang w:val="en-GB"/>
        </w:rPr>
        <w:t xml:space="preserve"> 4.4% of the gross domestic product. </w:t>
      </w:r>
      <w:r w:rsidR="00AD15D8" w:rsidRPr="00487772">
        <w:rPr>
          <w:lang w:val="en-GB"/>
        </w:rPr>
        <w:t>Kosovo, with a populat</w:t>
      </w:r>
      <w:r w:rsidR="003243AE" w:rsidRPr="00487772">
        <w:rPr>
          <w:lang w:val="en-GB"/>
        </w:rPr>
        <w:t>ion of around 2</w:t>
      </w:r>
      <w:r w:rsidR="00DD0D87" w:rsidRPr="00487772">
        <w:rPr>
          <w:lang w:val="en-GB"/>
        </w:rPr>
        <w:t xml:space="preserve"> </w:t>
      </w:r>
      <w:r w:rsidR="003243AE" w:rsidRPr="00487772">
        <w:rPr>
          <w:lang w:val="en-GB"/>
        </w:rPr>
        <w:t>million</w:t>
      </w:r>
      <w:r w:rsidR="00423664" w:rsidRPr="00487772">
        <w:rPr>
          <w:lang w:val="en-GB"/>
        </w:rPr>
        <w:t>,</w:t>
      </w:r>
      <w:r w:rsidR="003243AE" w:rsidRPr="00487772">
        <w:rPr>
          <w:lang w:val="en-GB"/>
        </w:rPr>
        <w:t xml:space="preserve"> spent</w:t>
      </w:r>
      <w:r w:rsidRPr="00487772">
        <w:rPr>
          <w:lang w:val="en-GB"/>
        </w:rPr>
        <w:t xml:space="preserve"> 54 € per capita</w:t>
      </w:r>
      <w:r w:rsidR="003243AE" w:rsidRPr="00487772">
        <w:rPr>
          <w:lang w:val="en-GB"/>
        </w:rPr>
        <w:t>, inclu</w:t>
      </w:r>
      <w:r w:rsidRPr="00487772">
        <w:rPr>
          <w:lang w:val="en-GB"/>
        </w:rPr>
        <w:t>ding out-of-pocket expenditures</w:t>
      </w:r>
      <w:r w:rsidR="002A2450">
        <w:rPr>
          <w:lang w:val="en-GB"/>
        </w:rPr>
        <w:t xml:space="preserve"> by households</w:t>
      </w:r>
      <w:r w:rsidR="00B31503">
        <w:rPr>
          <w:lang w:val="en-GB"/>
        </w:rPr>
        <w:t>.  This amount under</w:t>
      </w:r>
      <w:r w:rsidR="00A600C6">
        <w:rPr>
          <w:lang w:val="en-GB"/>
        </w:rPr>
        <w:t>estimates</w:t>
      </w:r>
      <w:r w:rsidR="00B31503">
        <w:rPr>
          <w:lang w:val="en-GB"/>
        </w:rPr>
        <w:t xml:space="preserve"> private expenses by households</w:t>
      </w:r>
      <w:r w:rsidR="00A600C6">
        <w:rPr>
          <w:lang w:val="en-GB"/>
        </w:rPr>
        <w:t xml:space="preserve"> as the data source is HBS only</w:t>
      </w:r>
      <w:r w:rsidR="000E6E9A">
        <w:rPr>
          <w:rStyle w:val="FootnoteReference"/>
          <w:lang w:val="en-GB"/>
        </w:rPr>
        <w:footnoteReference w:id="5"/>
      </w:r>
      <w:r w:rsidR="00AD15D8" w:rsidRPr="00487772">
        <w:rPr>
          <w:lang w:val="en-GB"/>
        </w:rPr>
        <w:t>.</w:t>
      </w:r>
      <w:r w:rsidR="00F07264">
        <w:rPr>
          <w:lang w:val="en-GB"/>
        </w:rPr>
        <w:t xml:space="preserve"> </w:t>
      </w:r>
      <w:r w:rsidR="00B2769A" w:rsidRPr="00487772">
        <w:rPr>
          <w:lang w:val="en-GB"/>
        </w:rPr>
        <w:t>Bot</w:t>
      </w:r>
      <w:r w:rsidR="00864512" w:rsidRPr="00487772">
        <w:rPr>
          <w:lang w:val="en-GB"/>
        </w:rPr>
        <w:t xml:space="preserve">h indicators are </w:t>
      </w:r>
      <w:r w:rsidR="003243AE" w:rsidRPr="00487772">
        <w:rPr>
          <w:lang w:val="en-GB"/>
        </w:rPr>
        <w:t xml:space="preserve">at the lower end of the range reported </w:t>
      </w:r>
      <w:r w:rsidR="00E726AE" w:rsidRPr="00487772">
        <w:rPr>
          <w:lang w:val="en-GB"/>
        </w:rPr>
        <w:t xml:space="preserve">by </w:t>
      </w:r>
      <w:r w:rsidR="00864512" w:rsidRPr="00487772">
        <w:rPr>
          <w:lang w:val="en-GB"/>
        </w:rPr>
        <w:t>E</w:t>
      </w:r>
      <w:r w:rsidR="00B2769A" w:rsidRPr="00487772">
        <w:rPr>
          <w:lang w:val="en-GB"/>
        </w:rPr>
        <w:t>urope</w:t>
      </w:r>
      <w:r w:rsidR="00864512" w:rsidRPr="00487772">
        <w:rPr>
          <w:lang w:val="en-GB"/>
        </w:rPr>
        <w:t>an</w:t>
      </w:r>
      <w:r w:rsidR="00B2769A" w:rsidRPr="00487772">
        <w:rPr>
          <w:lang w:val="en-GB"/>
        </w:rPr>
        <w:t xml:space="preserve"> </w:t>
      </w:r>
      <w:r w:rsidR="002A2450">
        <w:rPr>
          <w:lang w:val="en-GB"/>
        </w:rPr>
        <w:t xml:space="preserve">countries </w:t>
      </w:r>
      <w:r w:rsidR="00B2769A" w:rsidRPr="00487772">
        <w:rPr>
          <w:lang w:val="en-GB"/>
        </w:rPr>
        <w:t xml:space="preserve">and </w:t>
      </w:r>
      <w:r w:rsidR="002A2450">
        <w:rPr>
          <w:lang w:val="en-GB"/>
        </w:rPr>
        <w:t xml:space="preserve">the </w:t>
      </w:r>
      <w:r w:rsidR="00B2769A" w:rsidRPr="00487772">
        <w:rPr>
          <w:lang w:val="en-GB"/>
        </w:rPr>
        <w:t>Balkan region</w:t>
      </w:r>
      <w:r w:rsidR="002A2450">
        <w:rPr>
          <w:lang w:val="en-GB"/>
        </w:rPr>
        <w:t xml:space="preserve"> (see T</w:t>
      </w:r>
      <w:r w:rsidR="00864512" w:rsidRPr="00487772">
        <w:rPr>
          <w:lang w:val="en-GB"/>
        </w:rPr>
        <w:t>able 1).</w:t>
      </w:r>
    </w:p>
    <w:p w:rsidR="0011056F" w:rsidRPr="00487772" w:rsidRDefault="0011056F" w:rsidP="00963D4B">
      <w:pPr>
        <w:spacing w:line="360" w:lineRule="auto"/>
        <w:jc w:val="both"/>
        <w:rPr>
          <w:lang w:val="en-GB"/>
        </w:rPr>
      </w:pPr>
    </w:p>
    <w:p w:rsidR="000E1F9D" w:rsidRPr="00F84D69" w:rsidRDefault="00D3220A" w:rsidP="00963D4B">
      <w:pPr>
        <w:spacing w:line="360" w:lineRule="auto"/>
        <w:jc w:val="both"/>
        <w:rPr>
          <w:b/>
          <w:lang w:val="en-GB"/>
        </w:rPr>
      </w:pPr>
      <w:proofErr w:type="gramStart"/>
      <w:r w:rsidRPr="00F84D69">
        <w:rPr>
          <w:b/>
          <w:lang w:val="en-GB"/>
        </w:rPr>
        <w:t>Tab</w:t>
      </w:r>
      <w:r w:rsidR="00864512" w:rsidRPr="00F84D69">
        <w:rPr>
          <w:b/>
          <w:lang w:val="en-GB"/>
        </w:rPr>
        <w:t>l</w:t>
      </w:r>
      <w:r w:rsidRPr="00F84D69">
        <w:rPr>
          <w:b/>
          <w:lang w:val="en-GB"/>
        </w:rPr>
        <w:t>e</w:t>
      </w:r>
      <w:r w:rsidR="00864512" w:rsidRPr="00F84D69">
        <w:rPr>
          <w:b/>
          <w:lang w:val="en-GB"/>
        </w:rPr>
        <w:t xml:space="preserve"> 1.</w:t>
      </w:r>
      <w:proofErr w:type="gramEnd"/>
      <w:r w:rsidR="00864512" w:rsidRPr="00F84D69">
        <w:rPr>
          <w:b/>
          <w:color w:val="FF0000"/>
          <w:lang w:val="en-GB"/>
        </w:rPr>
        <w:t xml:space="preserve"> </w:t>
      </w:r>
      <w:r w:rsidR="00864512" w:rsidRPr="00F84D69">
        <w:rPr>
          <w:b/>
          <w:lang w:val="en-GB"/>
        </w:rPr>
        <w:t>Total health expenditure indicators</w:t>
      </w:r>
    </w:p>
    <w:tbl>
      <w:tblPr>
        <w:tblW w:w="8498" w:type="dxa"/>
        <w:tblInd w:w="55" w:type="dxa"/>
        <w:tblCellMar>
          <w:left w:w="70" w:type="dxa"/>
          <w:right w:w="70" w:type="dxa"/>
        </w:tblCellMar>
        <w:tblLook w:val="0000"/>
      </w:tblPr>
      <w:tblGrid>
        <w:gridCol w:w="2715"/>
        <w:gridCol w:w="1943"/>
        <w:gridCol w:w="2080"/>
        <w:gridCol w:w="1760"/>
      </w:tblGrid>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 </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jc w:val="center"/>
              <w:rPr>
                <w:sz w:val="20"/>
                <w:szCs w:val="20"/>
                <w:lang w:val="en-GB"/>
              </w:rPr>
            </w:pPr>
            <w:r w:rsidRPr="00487772">
              <w:rPr>
                <w:sz w:val="20"/>
                <w:szCs w:val="20"/>
                <w:lang w:val="en-GB"/>
              </w:rPr>
              <w:t>THE* as % of GDP, 2004, %</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jc w:val="center"/>
              <w:rPr>
                <w:sz w:val="20"/>
                <w:szCs w:val="20"/>
                <w:lang w:val="en-GB"/>
              </w:rPr>
            </w:pPr>
            <w:r w:rsidRPr="00487772">
              <w:rPr>
                <w:sz w:val="20"/>
                <w:szCs w:val="20"/>
                <w:lang w:val="en-GB"/>
              </w:rPr>
              <w:t>PSHE* as % of GDP, 2004, %</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jc w:val="center"/>
              <w:rPr>
                <w:sz w:val="20"/>
                <w:szCs w:val="20"/>
                <w:lang w:val="en-GB"/>
              </w:rPr>
            </w:pPr>
            <w:r w:rsidRPr="00487772">
              <w:rPr>
                <w:sz w:val="20"/>
                <w:szCs w:val="20"/>
                <w:lang w:val="en-GB"/>
              </w:rPr>
              <w:t>THE per capita, 2004, €</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Albania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3.1 (2005)</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2.7</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106</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Bosnia and Herzegovina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4.6</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Bulgaria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4.3</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Croatia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6.6</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Kosovo</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4.4 (2005)</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2.9 (2005)</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54</w:t>
            </w:r>
            <w:r w:rsidR="00DB73EB" w:rsidRPr="00487772">
              <w:rPr>
                <w:sz w:val="20"/>
                <w:szCs w:val="20"/>
                <w:lang w:val="en-GB"/>
              </w:rPr>
              <w:t xml:space="preserve"> (2005)</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Romania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4.4 (2005)</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3.4</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231</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Serbia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6.6 (2005)</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6F2D71">
            <w:pPr>
              <w:rPr>
                <w:sz w:val="20"/>
                <w:szCs w:val="20"/>
                <w:lang w:val="en-GB"/>
              </w:rPr>
            </w:pPr>
            <w:r w:rsidRPr="00487772">
              <w:rPr>
                <w:sz w:val="20"/>
                <w:szCs w:val="20"/>
                <w:lang w:val="en-GB"/>
              </w:rPr>
              <w:t>…</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smartTag w:uri="urn:schemas-microsoft-com:office:smarttags" w:element="country-region">
              <w:smartTag w:uri="urn:schemas-microsoft-com:office:smarttags" w:element="place">
                <w:r w:rsidRPr="00487772">
                  <w:rPr>
                    <w:sz w:val="20"/>
                    <w:szCs w:val="20"/>
                    <w:lang w:val="en-GB"/>
                  </w:rPr>
                  <w:t>Slovenia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8.6</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6.7</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1 324</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 xml:space="preserve">FYR </w:t>
            </w:r>
            <w:smartTag w:uri="urn:schemas-microsoft-com:office:smarttags" w:element="country-region">
              <w:smartTag w:uri="urn:schemas-microsoft-com:office:smarttags" w:element="place">
                <w:r w:rsidRPr="00487772">
                  <w:rPr>
                    <w:sz w:val="20"/>
                    <w:szCs w:val="20"/>
                    <w:lang w:val="en-GB"/>
                  </w:rPr>
                  <w:t>Macedonia</w:t>
                </w:r>
              </w:smartTag>
            </w:smartTag>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5.98 (2005)</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5.9</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D17753">
            <w:pPr>
              <w:rPr>
                <w:sz w:val="20"/>
                <w:szCs w:val="20"/>
                <w:lang w:val="en-GB"/>
              </w:rPr>
            </w:pPr>
            <w:r w:rsidRPr="00487772">
              <w:rPr>
                <w:sz w:val="20"/>
                <w:szCs w:val="20"/>
                <w:lang w:val="en-GB"/>
              </w:rPr>
              <w:t>…</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European Region</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6.88</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5.31</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1 200</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EU</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8.74</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6.55</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1 696</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EU members before May 2004</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9.43</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7.06</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1 979</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EU members since 2004 or 2007</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6.01</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4.65</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575</w:t>
            </w:r>
          </w:p>
        </w:tc>
      </w:tr>
      <w:tr w:rsidR="000E1F9D" w:rsidRPr="00487772">
        <w:trPr>
          <w:trHeight w:val="270"/>
        </w:trPr>
        <w:tc>
          <w:tcPr>
            <w:tcW w:w="2715"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CIS</w:t>
            </w:r>
          </w:p>
        </w:tc>
        <w:tc>
          <w:tcPr>
            <w:tcW w:w="1943"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3.13 (2005)</w:t>
            </w:r>
          </w:p>
        </w:tc>
        <w:tc>
          <w:tcPr>
            <w:tcW w:w="2080" w:type="dxa"/>
            <w:tcBorders>
              <w:top w:val="single" w:sz="4" w:space="0" w:color="auto"/>
              <w:left w:val="nil"/>
              <w:bottom w:val="single" w:sz="8" w:space="0" w:color="auto"/>
              <w:right w:val="nil"/>
            </w:tcBorders>
            <w:shd w:val="clear" w:color="auto" w:fill="auto"/>
            <w:noWrap/>
            <w:vAlign w:val="bottom"/>
          </w:tcPr>
          <w:p w:rsidR="000E1F9D" w:rsidRPr="00487772" w:rsidRDefault="000E1F9D">
            <w:pPr>
              <w:rPr>
                <w:sz w:val="20"/>
                <w:szCs w:val="20"/>
                <w:lang w:val="en-GB"/>
              </w:rPr>
            </w:pPr>
            <w:r w:rsidRPr="00487772">
              <w:rPr>
                <w:sz w:val="20"/>
                <w:szCs w:val="20"/>
                <w:lang w:val="en-GB"/>
              </w:rPr>
              <w:t>3.05</w:t>
            </w:r>
          </w:p>
        </w:tc>
        <w:tc>
          <w:tcPr>
            <w:tcW w:w="1760" w:type="dxa"/>
            <w:tcBorders>
              <w:top w:val="single" w:sz="4" w:space="0" w:color="auto"/>
              <w:left w:val="nil"/>
              <w:bottom w:val="single" w:sz="8" w:space="0" w:color="auto"/>
              <w:right w:val="nil"/>
            </w:tcBorders>
            <w:shd w:val="clear" w:color="auto" w:fill="auto"/>
            <w:noWrap/>
            <w:vAlign w:val="bottom"/>
          </w:tcPr>
          <w:p w:rsidR="000E1F9D" w:rsidRPr="00487772" w:rsidRDefault="000E1F9D" w:rsidP="000E1F9D">
            <w:pPr>
              <w:rPr>
                <w:sz w:val="20"/>
                <w:szCs w:val="20"/>
                <w:lang w:val="en-GB"/>
              </w:rPr>
            </w:pPr>
            <w:r w:rsidRPr="00487772">
              <w:rPr>
                <w:sz w:val="20"/>
                <w:szCs w:val="20"/>
                <w:lang w:val="en-GB"/>
              </w:rPr>
              <w:t>149</w:t>
            </w:r>
          </w:p>
        </w:tc>
      </w:tr>
    </w:tbl>
    <w:p w:rsidR="00BC6935" w:rsidRPr="00487772" w:rsidRDefault="000E1F9D" w:rsidP="00BC6935">
      <w:pPr>
        <w:spacing w:line="360" w:lineRule="auto"/>
        <w:jc w:val="both"/>
        <w:rPr>
          <w:i/>
          <w:sz w:val="20"/>
          <w:szCs w:val="20"/>
          <w:lang w:val="en-GB"/>
        </w:rPr>
      </w:pPr>
      <w:r w:rsidRPr="00487772">
        <w:rPr>
          <w:i/>
          <w:sz w:val="20"/>
          <w:szCs w:val="20"/>
          <w:lang w:val="en-GB"/>
        </w:rPr>
        <w:t>*THE – Total Health Expenditures</w:t>
      </w:r>
    </w:p>
    <w:p w:rsidR="00BC6935" w:rsidRPr="00487772" w:rsidRDefault="00BC6935" w:rsidP="00BC6935">
      <w:pPr>
        <w:spacing w:line="360" w:lineRule="auto"/>
        <w:jc w:val="both"/>
        <w:rPr>
          <w:i/>
          <w:sz w:val="20"/>
          <w:szCs w:val="20"/>
          <w:lang w:val="en-GB"/>
        </w:rPr>
      </w:pPr>
      <w:r w:rsidRPr="00487772">
        <w:rPr>
          <w:i/>
          <w:sz w:val="20"/>
          <w:szCs w:val="20"/>
          <w:lang w:val="en-GB"/>
        </w:rPr>
        <w:t>*PSHE – Public sector health expenditures</w:t>
      </w:r>
    </w:p>
    <w:p w:rsidR="001A1D91" w:rsidRPr="00487772" w:rsidRDefault="000E1F9D" w:rsidP="00963D4B">
      <w:pPr>
        <w:spacing w:line="360" w:lineRule="auto"/>
        <w:jc w:val="both"/>
        <w:rPr>
          <w:i/>
          <w:sz w:val="20"/>
          <w:szCs w:val="20"/>
          <w:lang w:val="en-GB"/>
        </w:rPr>
      </w:pPr>
      <w:r w:rsidRPr="00A600C6">
        <w:rPr>
          <w:iCs/>
          <w:sz w:val="20"/>
          <w:szCs w:val="20"/>
          <w:lang w:val="en-GB"/>
        </w:rPr>
        <w:lastRenderedPageBreak/>
        <w:t>Data source</w:t>
      </w:r>
      <w:r w:rsidRPr="00487772">
        <w:rPr>
          <w:i/>
          <w:sz w:val="20"/>
          <w:szCs w:val="20"/>
          <w:lang w:val="en-GB"/>
        </w:rPr>
        <w:t xml:space="preserve">: </w:t>
      </w:r>
      <w:r w:rsidR="00566DD1" w:rsidRPr="00487772">
        <w:rPr>
          <w:i/>
          <w:sz w:val="20"/>
          <w:szCs w:val="20"/>
          <w:lang w:val="en-GB"/>
        </w:rPr>
        <w:t xml:space="preserve">European </w:t>
      </w:r>
      <w:r w:rsidRPr="00487772">
        <w:rPr>
          <w:i/>
          <w:sz w:val="20"/>
          <w:szCs w:val="20"/>
          <w:lang w:val="en-GB"/>
        </w:rPr>
        <w:t>health for a</w:t>
      </w:r>
      <w:r w:rsidR="00566DD1" w:rsidRPr="00487772">
        <w:rPr>
          <w:i/>
          <w:sz w:val="20"/>
          <w:szCs w:val="20"/>
          <w:lang w:val="en-GB"/>
        </w:rPr>
        <w:t>l</w:t>
      </w:r>
      <w:r w:rsidRPr="00487772">
        <w:rPr>
          <w:i/>
          <w:sz w:val="20"/>
          <w:szCs w:val="20"/>
          <w:lang w:val="en-GB"/>
        </w:rPr>
        <w:t>l</w:t>
      </w:r>
      <w:r w:rsidR="00566DD1" w:rsidRPr="00487772">
        <w:rPr>
          <w:i/>
          <w:sz w:val="20"/>
          <w:szCs w:val="20"/>
          <w:lang w:val="en-GB"/>
        </w:rPr>
        <w:t xml:space="preserve"> </w:t>
      </w:r>
      <w:proofErr w:type="gramStart"/>
      <w:r w:rsidR="00566DD1" w:rsidRPr="00487772">
        <w:rPr>
          <w:i/>
          <w:sz w:val="20"/>
          <w:szCs w:val="20"/>
          <w:lang w:val="en-GB"/>
        </w:rPr>
        <w:t>database</w:t>
      </w:r>
      <w:proofErr w:type="gramEnd"/>
      <w:r w:rsidRPr="00487772">
        <w:rPr>
          <w:i/>
          <w:sz w:val="20"/>
          <w:szCs w:val="20"/>
          <w:lang w:val="en-GB"/>
        </w:rPr>
        <w:t>, update</w:t>
      </w:r>
      <w:r w:rsidR="00936A35" w:rsidRPr="00487772">
        <w:rPr>
          <w:i/>
          <w:sz w:val="20"/>
          <w:szCs w:val="20"/>
          <w:lang w:val="en-GB"/>
        </w:rPr>
        <w:t>d</w:t>
      </w:r>
      <w:r w:rsidRPr="00487772">
        <w:rPr>
          <w:i/>
          <w:sz w:val="20"/>
          <w:szCs w:val="20"/>
          <w:lang w:val="en-GB"/>
        </w:rPr>
        <w:t xml:space="preserve"> January </w:t>
      </w:r>
      <w:r w:rsidR="00936A35" w:rsidRPr="00487772">
        <w:rPr>
          <w:i/>
          <w:sz w:val="20"/>
          <w:szCs w:val="20"/>
          <w:lang w:val="en-GB"/>
        </w:rPr>
        <w:t>2007</w:t>
      </w:r>
      <w:r w:rsidR="00BB7027">
        <w:rPr>
          <w:i/>
          <w:sz w:val="20"/>
          <w:szCs w:val="20"/>
          <w:lang w:val="en-GB"/>
        </w:rPr>
        <w:t xml:space="preserve">, </w:t>
      </w:r>
      <w:r w:rsidR="00BB7027" w:rsidRPr="00BB7027">
        <w:rPr>
          <w:i/>
          <w:sz w:val="20"/>
          <w:szCs w:val="20"/>
          <w:lang w:val="en-GB"/>
        </w:rPr>
        <w:t>http://data.euro.who.int/hfad</w:t>
      </w:r>
      <w:r w:rsidR="00BB7027">
        <w:rPr>
          <w:i/>
          <w:sz w:val="20"/>
          <w:szCs w:val="20"/>
          <w:lang w:val="en-GB"/>
        </w:rPr>
        <w:t>b</w:t>
      </w:r>
      <w:r w:rsidR="00C67CA0" w:rsidRPr="00487772">
        <w:rPr>
          <w:rFonts w:ascii="Arial" w:hAnsi="Arial" w:cs="Arial"/>
          <w:b/>
          <w:bCs/>
          <w:color w:val="FFFFFF"/>
          <w:sz w:val="30"/>
          <w:szCs w:val="30"/>
          <w:lang w:val="en-GB"/>
        </w:rPr>
        <w:t>-DB)</w:t>
      </w:r>
    </w:p>
    <w:p w:rsidR="00936A35" w:rsidRPr="00487772" w:rsidRDefault="00936A35" w:rsidP="00776628">
      <w:pPr>
        <w:spacing w:line="360" w:lineRule="auto"/>
        <w:jc w:val="both"/>
        <w:rPr>
          <w:lang w:val="en-GB"/>
        </w:rPr>
      </w:pPr>
    </w:p>
    <w:p w:rsidR="00F07264" w:rsidRDefault="00F07264" w:rsidP="00776628">
      <w:pPr>
        <w:spacing w:line="360" w:lineRule="auto"/>
        <w:jc w:val="both"/>
        <w:rPr>
          <w:lang w:val="en-GB"/>
        </w:rPr>
      </w:pPr>
    </w:p>
    <w:p w:rsidR="00AD15D8" w:rsidRPr="00487772" w:rsidRDefault="00AD15D8" w:rsidP="00776628">
      <w:pPr>
        <w:spacing w:line="360" w:lineRule="auto"/>
        <w:jc w:val="both"/>
        <w:rPr>
          <w:lang w:val="en-GB"/>
        </w:rPr>
      </w:pPr>
      <w:r w:rsidRPr="00487772">
        <w:rPr>
          <w:lang w:val="en-GB"/>
        </w:rPr>
        <w:t>NHA has three main dimensions: financing sources, health care functions and health care providers. For each dimension matrix table</w:t>
      </w:r>
      <w:r w:rsidR="007F3E93" w:rsidRPr="00487772">
        <w:rPr>
          <w:lang w:val="en-GB"/>
        </w:rPr>
        <w:t>s</w:t>
      </w:r>
      <w:r w:rsidRPr="00487772">
        <w:rPr>
          <w:lang w:val="en-GB"/>
        </w:rPr>
        <w:t xml:space="preserve"> </w:t>
      </w:r>
      <w:r w:rsidR="007F3E93" w:rsidRPr="00487772">
        <w:rPr>
          <w:lang w:val="en-GB"/>
        </w:rPr>
        <w:t xml:space="preserve">are </w:t>
      </w:r>
      <w:r w:rsidRPr="00487772">
        <w:rPr>
          <w:lang w:val="en-GB"/>
        </w:rPr>
        <w:t>prepared</w:t>
      </w:r>
      <w:r w:rsidR="00A600C6">
        <w:rPr>
          <w:lang w:val="en-GB"/>
        </w:rPr>
        <w:t xml:space="preserve"> (see Annexe V)</w:t>
      </w:r>
      <w:r w:rsidRPr="00487772">
        <w:rPr>
          <w:lang w:val="en-GB"/>
        </w:rPr>
        <w:t>.</w:t>
      </w:r>
      <w:r w:rsidR="007F3E93" w:rsidRPr="00487772">
        <w:rPr>
          <w:lang w:val="en-GB"/>
        </w:rPr>
        <w:t xml:space="preserve"> </w:t>
      </w:r>
      <w:r w:rsidRPr="00487772">
        <w:rPr>
          <w:lang w:val="en-GB"/>
        </w:rPr>
        <w:t>Further we go into all dimensions separately.</w:t>
      </w:r>
    </w:p>
    <w:p w:rsidR="003A0B14" w:rsidRDefault="003A0B14" w:rsidP="00776628">
      <w:pPr>
        <w:spacing w:line="360" w:lineRule="auto"/>
        <w:jc w:val="both"/>
        <w:rPr>
          <w:bCs/>
          <w:lang w:val="en-GB"/>
        </w:rPr>
      </w:pPr>
    </w:p>
    <w:p w:rsidR="00F84D69" w:rsidRPr="00F84D69" w:rsidRDefault="00F84D69" w:rsidP="00776628">
      <w:pPr>
        <w:spacing w:line="360" w:lineRule="auto"/>
        <w:jc w:val="both"/>
        <w:rPr>
          <w:b/>
          <w:i/>
          <w:lang w:val="en-GB"/>
        </w:rPr>
      </w:pPr>
      <w:r w:rsidRPr="00F84D69">
        <w:rPr>
          <w:b/>
          <w:i/>
          <w:lang w:val="en-GB"/>
        </w:rPr>
        <w:t>Sources of health care financing</w:t>
      </w:r>
    </w:p>
    <w:p w:rsidR="00527996" w:rsidRPr="00487772" w:rsidRDefault="003A0B14" w:rsidP="00776628">
      <w:pPr>
        <w:spacing w:line="360" w:lineRule="auto"/>
        <w:jc w:val="both"/>
        <w:rPr>
          <w:lang w:val="en-GB"/>
        </w:rPr>
      </w:pPr>
      <w:r w:rsidRPr="00487772">
        <w:rPr>
          <w:lang w:val="en-GB"/>
        </w:rPr>
        <w:t xml:space="preserve">According </w:t>
      </w:r>
      <w:r w:rsidR="00136719" w:rsidRPr="00487772">
        <w:rPr>
          <w:lang w:val="en-GB"/>
        </w:rPr>
        <w:t xml:space="preserve">to </w:t>
      </w:r>
      <w:r w:rsidRPr="00487772">
        <w:rPr>
          <w:lang w:val="en-GB"/>
        </w:rPr>
        <w:t>international classification</w:t>
      </w:r>
      <w:r w:rsidR="00136719" w:rsidRPr="00487772">
        <w:rPr>
          <w:lang w:val="en-GB"/>
        </w:rPr>
        <w:t>,</w:t>
      </w:r>
      <w:r w:rsidRPr="00487772">
        <w:rPr>
          <w:lang w:val="en-GB"/>
        </w:rPr>
        <w:t xml:space="preserve"> health care </w:t>
      </w:r>
      <w:r w:rsidR="00527996" w:rsidRPr="00487772">
        <w:rPr>
          <w:lang w:val="en-GB"/>
        </w:rPr>
        <w:t>financing</w:t>
      </w:r>
      <w:r w:rsidR="00136719" w:rsidRPr="00487772">
        <w:rPr>
          <w:lang w:val="en-GB"/>
        </w:rPr>
        <w:t xml:space="preserve"> sources can</w:t>
      </w:r>
      <w:r w:rsidRPr="00487772">
        <w:rPr>
          <w:lang w:val="en-GB"/>
        </w:rPr>
        <w:t xml:space="preserve"> be </w:t>
      </w:r>
      <w:r w:rsidR="00527996" w:rsidRPr="00487772">
        <w:rPr>
          <w:lang w:val="en-GB"/>
        </w:rPr>
        <w:t>divided</w:t>
      </w:r>
      <w:r w:rsidRPr="00487772">
        <w:rPr>
          <w:lang w:val="en-GB"/>
        </w:rPr>
        <w:t xml:space="preserve"> </w:t>
      </w:r>
      <w:r w:rsidR="004576FC" w:rsidRPr="00487772">
        <w:rPr>
          <w:lang w:val="en-GB"/>
        </w:rPr>
        <w:t>into</w:t>
      </w:r>
      <w:r w:rsidRPr="00487772">
        <w:rPr>
          <w:lang w:val="en-GB"/>
        </w:rPr>
        <w:t xml:space="preserve"> public</w:t>
      </w:r>
      <w:r w:rsidR="00930246" w:rsidRPr="00487772">
        <w:rPr>
          <w:lang w:val="en-GB"/>
        </w:rPr>
        <w:t xml:space="preserve"> sector</w:t>
      </w:r>
      <w:r w:rsidRPr="00487772">
        <w:rPr>
          <w:lang w:val="en-GB"/>
        </w:rPr>
        <w:t xml:space="preserve">, </w:t>
      </w:r>
      <w:r w:rsidR="00930246" w:rsidRPr="00487772">
        <w:rPr>
          <w:lang w:val="en-GB"/>
        </w:rPr>
        <w:t>private</w:t>
      </w:r>
      <w:r w:rsidRPr="00487772">
        <w:rPr>
          <w:lang w:val="en-GB"/>
        </w:rPr>
        <w:t xml:space="preserve"> sector and do</w:t>
      </w:r>
      <w:r w:rsidR="00527996" w:rsidRPr="00487772">
        <w:rPr>
          <w:lang w:val="en-GB"/>
        </w:rPr>
        <w:t>no</w:t>
      </w:r>
      <w:r w:rsidRPr="00487772">
        <w:rPr>
          <w:lang w:val="en-GB"/>
        </w:rPr>
        <w:t>rs.</w:t>
      </w:r>
      <w:r w:rsidR="00527996" w:rsidRPr="00487772">
        <w:rPr>
          <w:lang w:val="en-GB"/>
        </w:rPr>
        <w:t xml:space="preserve"> In 2005 the main health care financier in Kosovo </w:t>
      </w:r>
      <w:r w:rsidR="00930246" w:rsidRPr="00487772">
        <w:rPr>
          <w:lang w:val="en-GB"/>
        </w:rPr>
        <w:t>was</w:t>
      </w:r>
      <w:r w:rsidR="00527996" w:rsidRPr="00487772">
        <w:rPr>
          <w:lang w:val="en-GB"/>
        </w:rPr>
        <w:t xml:space="preserve"> </w:t>
      </w:r>
      <w:r w:rsidR="00136719" w:rsidRPr="00487772">
        <w:rPr>
          <w:lang w:val="en-GB"/>
        </w:rPr>
        <w:t xml:space="preserve">the </w:t>
      </w:r>
      <w:r w:rsidR="00527996" w:rsidRPr="00487772">
        <w:rPr>
          <w:lang w:val="en-GB"/>
        </w:rPr>
        <w:t xml:space="preserve">public sector (66.6% of </w:t>
      </w:r>
      <w:r w:rsidR="00053523" w:rsidRPr="00487772">
        <w:rPr>
          <w:lang w:val="en-GB"/>
        </w:rPr>
        <w:t>total health expenditures (</w:t>
      </w:r>
      <w:r w:rsidR="00527996" w:rsidRPr="00487772">
        <w:rPr>
          <w:lang w:val="en-GB"/>
        </w:rPr>
        <w:t>THE</w:t>
      </w:r>
      <w:r w:rsidR="00053523" w:rsidRPr="00487772">
        <w:rPr>
          <w:lang w:val="en-GB"/>
        </w:rPr>
        <w:t>)</w:t>
      </w:r>
      <w:r w:rsidR="00136719" w:rsidRPr="00487772">
        <w:rPr>
          <w:lang w:val="en-GB"/>
        </w:rPr>
        <w:t>), which</w:t>
      </w:r>
      <w:r w:rsidR="00A025AC" w:rsidRPr="00487772">
        <w:rPr>
          <w:lang w:val="en-GB"/>
        </w:rPr>
        <w:t xml:space="preserve"> can be divided</w:t>
      </w:r>
      <w:r w:rsidR="00527996" w:rsidRPr="00487772">
        <w:rPr>
          <w:lang w:val="en-GB"/>
        </w:rPr>
        <w:t xml:space="preserve"> in</w:t>
      </w:r>
      <w:r w:rsidR="00A025AC" w:rsidRPr="00487772">
        <w:rPr>
          <w:lang w:val="en-GB"/>
        </w:rPr>
        <w:t>to</w:t>
      </w:r>
      <w:r w:rsidR="00527996" w:rsidRPr="00487772">
        <w:rPr>
          <w:lang w:val="en-GB"/>
        </w:rPr>
        <w:t xml:space="preserve"> two sources</w:t>
      </w:r>
      <w:r w:rsidR="00A025AC" w:rsidRPr="00487772">
        <w:rPr>
          <w:lang w:val="en-GB"/>
        </w:rPr>
        <w:t>:</w:t>
      </w:r>
      <w:r w:rsidR="00527996" w:rsidRPr="00487772">
        <w:rPr>
          <w:lang w:val="en-GB"/>
        </w:rPr>
        <w:t xml:space="preserve"> </w:t>
      </w:r>
      <w:r w:rsidR="0027137B" w:rsidRPr="00487772">
        <w:rPr>
          <w:lang w:val="en-GB"/>
        </w:rPr>
        <w:t>central</w:t>
      </w:r>
      <w:r w:rsidR="00527996" w:rsidRPr="00487772">
        <w:rPr>
          <w:lang w:val="en-GB"/>
        </w:rPr>
        <w:t xml:space="preserve"> government and municipalities. The focal representative of </w:t>
      </w:r>
      <w:r w:rsidR="00A025AC" w:rsidRPr="00487772">
        <w:rPr>
          <w:lang w:val="en-GB"/>
        </w:rPr>
        <w:t xml:space="preserve">the </w:t>
      </w:r>
      <w:r w:rsidR="0027137B" w:rsidRPr="00487772">
        <w:rPr>
          <w:lang w:val="en-GB"/>
        </w:rPr>
        <w:t>central</w:t>
      </w:r>
      <w:r w:rsidR="00527996" w:rsidRPr="00487772">
        <w:rPr>
          <w:lang w:val="en-GB"/>
        </w:rPr>
        <w:t xml:space="preserve"> government for health care expenditures is MOH. In 2005</w:t>
      </w:r>
      <w:r w:rsidR="0027137B" w:rsidRPr="00487772">
        <w:rPr>
          <w:lang w:val="en-GB"/>
        </w:rPr>
        <w:t>,</w:t>
      </w:r>
      <w:r w:rsidR="00527996" w:rsidRPr="00487772">
        <w:rPr>
          <w:lang w:val="en-GB"/>
        </w:rPr>
        <w:t xml:space="preserve"> </w:t>
      </w:r>
      <w:r w:rsidR="00930246" w:rsidRPr="00487772">
        <w:rPr>
          <w:lang w:val="en-GB"/>
        </w:rPr>
        <w:t xml:space="preserve">the bulk of the </w:t>
      </w:r>
      <w:r w:rsidR="00527996" w:rsidRPr="00487772">
        <w:rPr>
          <w:lang w:val="en-GB"/>
        </w:rPr>
        <w:t xml:space="preserve">state budgetary resources </w:t>
      </w:r>
      <w:r w:rsidR="00A600C6">
        <w:rPr>
          <w:lang w:val="en-GB"/>
        </w:rPr>
        <w:t>came from</w:t>
      </w:r>
      <w:r w:rsidR="00527996" w:rsidRPr="00487772">
        <w:rPr>
          <w:lang w:val="en-GB"/>
        </w:rPr>
        <w:t xml:space="preserve"> the central government</w:t>
      </w:r>
      <w:r w:rsidR="00343E01">
        <w:rPr>
          <w:lang w:val="en-GB"/>
        </w:rPr>
        <w:t xml:space="preserve"> (HF 1.1.1)</w:t>
      </w:r>
      <w:r w:rsidR="00527996" w:rsidRPr="00487772">
        <w:rPr>
          <w:lang w:val="en-GB"/>
        </w:rPr>
        <w:t xml:space="preserve"> </w:t>
      </w:r>
      <w:r w:rsidR="00A025AC" w:rsidRPr="00487772">
        <w:rPr>
          <w:lang w:val="en-GB"/>
        </w:rPr>
        <w:t>– 4</w:t>
      </w:r>
      <w:r w:rsidR="00527996" w:rsidRPr="00487772">
        <w:rPr>
          <w:lang w:val="en-GB"/>
        </w:rPr>
        <w:t>6.9</w:t>
      </w:r>
      <w:r w:rsidR="000C776D">
        <w:rPr>
          <w:lang w:val="en-GB"/>
        </w:rPr>
        <w:t xml:space="preserve">% </w:t>
      </w:r>
      <w:r w:rsidR="00527996" w:rsidRPr="00487772">
        <w:rPr>
          <w:lang w:val="en-GB"/>
        </w:rPr>
        <w:t>of THE</w:t>
      </w:r>
      <w:r w:rsidR="00AE5A2D" w:rsidRPr="00487772">
        <w:rPr>
          <w:lang w:val="en-GB"/>
        </w:rPr>
        <w:t xml:space="preserve"> (see </w:t>
      </w:r>
      <w:r w:rsidR="007129DD" w:rsidRPr="00487772">
        <w:rPr>
          <w:lang w:val="en-GB"/>
        </w:rPr>
        <w:t>F</w:t>
      </w:r>
      <w:r w:rsidR="00AE5A2D" w:rsidRPr="00487772">
        <w:rPr>
          <w:lang w:val="en-GB"/>
        </w:rPr>
        <w:t>igure 1)</w:t>
      </w:r>
      <w:r w:rsidR="00527996" w:rsidRPr="00487772">
        <w:rPr>
          <w:lang w:val="en-GB"/>
        </w:rPr>
        <w:t>.</w:t>
      </w:r>
    </w:p>
    <w:p w:rsidR="00527996" w:rsidRPr="00487772" w:rsidRDefault="00527996" w:rsidP="00776628">
      <w:pPr>
        <w:spacing w:line="360" w:lineRule="auto"/>
        <w:jc w:val="both"/>
        <w:rPr>
          <w:lang w:val="en-GB"/>
        </w:rPr>
      </w:pPr>
    </w:p>
    <w:p w:rsidR="004C5566" w:rsidRPr="00A600C6" w:rsidRDefault="000A4A8A" w:rsidP="000A4A8A">
      <w:pPr>
        <w:rPr>
          <w:b/>
          <w:lang w:val="en-GB"/>
        </w:rPr>
      </w:pPr>
      <w:proofErr w:type="gramStart"/>
      <w:r w:rsidRPr="00A600C6">
        <w:rPr>
          <w:b/>
          <w:lang w:val="en-GB"/>
        </w:rPr>
        <w:t>Figure 1.</w:t>
      </w:r>
      <w:proofErr w:type="gramEnd"/>
      <w:r w:rsidRPr="00A600C6">
        <w:rPr>
          <w:b/>
          <w:lang w:val="en-GB"/>
        </w:rPr>
        <w:t xml:space="preserve"> </w:t>
      </w:r>
      <w:r w:rsidR="00327C00" w:rsidRPr="00A600C6">
        <w:rPr>
          <w:b/>
          <w:lang w:val="en-GB"/>
        </w:rPr>
        <w:t>Total health expenditure by f</w:t>
      </w:r>
      <w:r w:rsidR="004C5566" w:rsidRPr="00A600C6">
        <w:rPr>
          <w:b/>
          <w:lang w:val="en-GB"/>
        </w:rPr>
        <w:t>inancing s</w:t>
      </w:r>
      <w:r w:rsidR="00327C00" w:rsidRPr="00A600C6">
        <w:rPr>
          <w:b/>
          <w:lang w:val="en-GB"/>
        </w:rPr>
        <w:t>ources</w:t>
      </w:r>
      <w:r w:rsidR="004C5566" w:rsidRPr="00A600C6">
        <w:rPr>
          <w:b/>
          <w:lang w:val="en-GB"/>
        </w:rPr>
        <w:t>, 2005</w:t>
      </w:r>
      <w:r w:rsidR="00A600C6">
        <w:rPr>
          <w:b/>
          <w:lang w:val="en-GB"/>
        </w:rPr>
        <w:t xml:space="preserve"> (see Annex V: Matrix 1)</w:t>
      </w:r>
    </w:p>
    <w:p w:rsidR="004A51BF" w:rsidRPr="00187DF8" w:rsidRDefault="0012682B" w:rsidP="00963D4B">
      <w:pPr>
        <w:spacing w:line="360" w:lineRule="auto"/>
        <w:jc w:val="both"/>
        <w:rPr>
          <w:lang w:val="en-GB"/>
        </w:rPr>
      </w:pPr>
      <w:r>
        <w:rPr>
          <w:noProof/>
          <w:lang w:val="en-US" w:eastAsia="en-US"/>
        </w:rPr>
        <w:drawing>
          <wp:inline distT="0" distB="0" distL="0" distR="0">
            <wp:extent cx="5762625" cy="290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2625" cy="2905125"/>
                    </a:xfrm>
                    <a:prstGeom prst="rect">
                      <a:avLst/>
                    </a:prstGeom>
                    <a:noFill/>
                    <a:ln w="9525">
                      <a:noFill/>
                      <a:miter lim="800000"/>
                      <a:headEnd/>
                      <a:tailEnd/>
                    </a:ln>
                  </pic:spPr>
                </pic:pic>
              </a:graphicData>
            </a:graphic>
          </wp:inline>
        </w:drawing>
      </w:r>
    </w:p>
    <w:p w:rsidR="00327C00" w:rsidRPr="00487772" w:rsidRDefault="00327C00" w:rsidP="004576FC">
      <w:pPr>
        <w:spacing w:line="360" w:lineRule="auto"/>
        <w:jc w:val="both"/>
        <w:rPr>
          <w:lang w:val="en-GB" w:eastAsia="en-US"/>
        </w:rPr>
      </w:pPr>
    </w:p>
    <w:p w:rsidR="00053523" w:rsidRPr="00487772" w:rsidRDefault="00053523" w:rsidP="004576FC">
      <w:pPr>
        <w:spacing w:line="360" w:lineRule="auto"/>
        <w:jc w:val="both"/>
        <w:rPr>
          <w:lang w:val="en-GB" w:eastAsia="en-US"/>
        </w:rPr>
      </w:pPr>
    </w:p>
    <w:p w:rsidR="004576FC" w:rsidRPr="00487772" w:rsidRDefault="004576FC" w:rsidP="004576FC">
      <w:pPr>
        <w:spacing w:line="360" w:lineRule="auto"/>
        <w:jc w:val="both"/>
        <w:rPr>
          <w:lang w:val="en-GB" w:eastAsia="en-US"/>
        </w:rPr>
      </w:pPr>
      <w:r w:rsidRPr="00487772">
        <w:rPr>
          <w:lang w:val="en-GB" w:eastAsia="en-US"/>
        </w:rPr>
        <w:t xml:space="preserve">A part of </w:t>
      </w:r>
      <w:r w:rsidR="00A600C6">
        <w:rPr>
          <w:lang w:val="en-GB" w:eastAsia="en-US"/>
        </w:rPr>
        <w:t xml:space="preserve">the </w:t>
      </w:r>
      <w:r w:rsidRPr="00487772">
        <w:rPr>
          <w:lang w:val="en-GB" w:eastAsia="en-US"/>
        </w:rPr>
        <w:t xml:space="preserve">state budget </w:t>
      </w:r>
      <w:r w:rsidR="00930246" w:rsidRPr="00487772">
        <w:rPr>
          <w:lang w:val="en-GB" w:eastAsia="en-US"/>
        </w:rPr>
        <w:t xml:space="preserve">is </w:t>
      </w:r>
      <w:r w:rsidRPr="00487772">
        <w:rPr>
          <w:lang w:val="en-GB" w:eastAsia="en-US"/>
        </w:rPr>
        <w:t>distributed to municipalities</w:t>
      </w:r>
      <w:r w:rsidR="00343E01">
        <w:rPr>
          <w:lang w:val="en-GB" w:eastAsia="en-US"/>
        </w:rPr>
        <w:t xml:space="preserve"> (HF.1.1.3)</w:t>
      </w:r>
      <w:r w:rsidRPr="00487772">
        <w:rPr>
          <w:lang w:val="en-GB" w:eastAsia="en-US"/>
        </w:rPr>
        <w:t xml:space="preserve"> for primary care by way of the health grant. In 2005, </w:t>
      </w:r>
      <w:r w:rsidR="000F7A25" w:rsidRPr="00487772">
        <w:rPr>
          <w:lang w:val="en-GB" w:eastAsia="en-US"/>
        </w:rPr>
        <w:t xml:space="preserve">the </w:t>
      </w:r>
      <w:r w:rsidRPr="00487772">
        <w:rPr>
          <w:lang w:val="en-GB" w:eastAsia="en-US"/>
        </w:rPr>
        <w:t xml:space="preserve">municipalities contributed </w:t>
      </w:r>
      <w:r w:rsidR="009A70C2">
        <w:rPr>
          <w:lang w:val="en-GB" w:eastAsia="en-US"/>
        </w:rPr>
        <w:t xml:space="preserve">through the health grant </w:t>
      </w:r>
      <w:r w:rsidRPr="00487772">
        <w:rPr>
          <w:lang w:val="en-GB" w:eastAsia="en-US"/>
        </w:rPr>
        <w:t>19.8 € million</w:t>
      </w:r>
      <w:r w:rsidR="009A70C2" w:rsidRPr="009A70C2">
        <w:rPr>
          <w:lang w:val="en-GB" w:eastAsia="en-US"/>
        </w:rPr>
        <w:t xml:space="preserve"> </w:t>
      </w:r>
      <w:r w:rsidR="009A70C2" w:rsidRPr="00487772">
        <w:rPr>
          <w:lang w:val="en-GB" w:eastAsia="en-US"/>
        </w:rPr>
        <w:t>to PHC</w:t>
      </w:r>
      <w:r w:rsidR="00A600C6">
        <w:rPr>
          <w:lang w:val="en-GB" w:eastAsia="en-US"/>
        </w:rPr>
        <w:t xml:space="preserve">. Municipalities spent a </w:t>
      </w:r>
      <w:r w:rsidRPr="00487772">
        <w:rPr>
          <w:lang w:val="en-GB" w:eastAsia="en-US"/>
        </w:rPr>
        <w:t xml:space="preserve">small part </w:t>
      </w:r>
      <w:r w:rsidR="00A600C6">
        <w:rPr>
          <w:lang w:val="en-GB" w:eastAsia="en-US"/>
        </w:rPr>
        <w:t>on</w:t>
      </w:r>
      <w:r w:rsidRPr="00487772">
        <w:rPr>
          <w:lang w:val="en-GB" w:eastAsia="en-US"/>
        </w:rPr>
        <w:t xml:space="preserve"> </w:t>
      </w:r>
      <w:r w:rsidR="000F7A25" w:rsidRPr="00487772">
        <w:rPr>
          <w:lang w:val="en-GB" w:eastAsia="en-US"/>
        </w:rPr>
        <w:t xml:space="preserve">the </w:t>
      </w:r>
      <w:r w:rsidRPr="00487772">
        <w:rPr>
          <w:lang w:val="en-GB" w:eastAsia="en-US"/>
        </w:rPr>
        <w:t xml:space="preserve">capital formation of health care </w:t>
      </w:r>
      <w:r w:rsidRPr="00487772">
        <w:rPr>
          <w:lang w:val="en-GB" w:eastAsia="en-US"/>
        </w:rPr>
        <w:lastRenderedPageBreak/>
        <w:t>provider institutions – 1.3 € million</w:t>
      </w:r>
      <w:r w:rsidR="00A600C6">
        <w:rPr>
          <w:lang w:val="en-GB" w:eastAsia="en-US"/>
        </w:rPr>
        <w:t xml:space="preserve">. </w:t>
      </w:r>
      <w:r w:rsidR="00343E01">
        <w:rPr>
          <w:lang w:val="en-GB" w:eastAsia="en-US"/>
        </w:rPr>
        <w:t xml:space="preserve"> </w:t>
      </w:r>
      <w:r w:rsidR="00930246" w:rsidRPr="00487772">
        <w:rPr>
          <w:lang w:val="en-GB" w:eastAsia="en-US"/>
        </w:rPr>
        <w:t>Totally</w:t>
      </w:r>
      <w:r w:rsidRPr="00487772">
        <w:rPr>
          <w:lang w:val="en-GB" w:eastAsia="en-US"/>
        </w:rPr>
        <w:t xml:space="preserve"> municipalities spent on </w:t>
      </w:r>
      <w:r w:rsidR="00A025AC" w:rsidRPr="00487772">
        <w:rPr>
          <w:lang w:val="en-GB" w:eastAsia="en-US"/>
        </w:rPr>
        <w:t>health care 21.1 € million, which</w:t>
      </w:r>
      <w:r w:rsidR="000C776D">
        <w:rPr>
          <w:lang w:val="en-GB" w:eastAsia="en-US"/>
        </w:rPr>
        <w:t xml:space="preserve"> is 19.7% </w:t>
      </w:r>
      <w:r w:rsidRPr="00487772">
        <w:rPr>
          <w:lang w:val="en-GB" w:eastAsia="en-US"/>
        </w:rPr>
        <w:t>of THE</w:t>
      </w:r>
      <w:r w:rsidR="00A600C6">
        <w:rPr>
          <w:lang w:val="en-GB" w:eastAsia="en-US"/>
        </w:rPr>
        <w:t xml:space="preserve"> (see Annex V)</w:t>
      </w:r>
      <w:r w:rsidR="00A600C6" w:rsidRPr="00487772">
        <w:rPr>
          <w:lang w:val="en-GB" w:eastAsia="en-US"/>
        </w:rPr>
        <w:t>.</w:t>
      </w:r>
    </w:p>
    <w:p w:rsidR="004576FC" w:rsidRPr="00487772" w:rsidRDefault="004576FC" w:rsidP="00963D4B">
      <w:pPr>
        <w:spacing w:line="360" w:lineRule="auto"/>
        <w:jc w:val="both"/>
        <w:rPr>
          <w:lang w:val="en-GB"/>
        </w:rPr>
      </w:pPr>
    </w:p>
    <w:p w:rsidR="000C776D" w:rsidRDefault="000A4A8A" w:rsidP="00963D4B">
      <w:pPr>
        <w:spacing w:line="360" w:lineRule="auto"/>
        <w:jc w:val="both"/>
        <w:rPr>
          <w:lang w:val="en-GB"/>
        </w:rPr>
      </w:pPr>
      <w:r w:rsidRPr="00487772">
        <w:rPr>
          <w:lang w:val="en-GB"/>
        </w:rPr>
        <w:t>T</w:t>
      </w:r>
      <w:r w:rsidR="00BB0CD6" w:rsidRPr="00487772">
        <w:rPr>
          <w:lang w:val="en-GB"/>
        </w:rPr>
        <w:t>he greatest</w:t>
      </w:r>
      <w:r w:rsidR="007F3E93" w:rsidRPr="00487772">
        <w:rPr>
          <w:lang w:val="en-GB"/>
        </w:rPr>
        <w:t xml:space="preserve"> part of </w:t>
      </w:r>
      <w:r w:rsidRPr="00487772">
        <w:rPr>
          <w:lang w:val="en-GB"/>
        </w:rPr>
        <w:t xml:space="preserve">private sector </w:t>
      </w:r>
      <w:r w:rsidR="007F3E93" w:rsidRPr="00487772">
        <w:rPr>
          <w:lang w:val="en-GB"/>
        </w:rPr>
        <w:t>expenditure</w:t>
      </w:r>
      <w:r w:rsidRPr="00487772">
        <w:rPr>
          <w:lang w:val="en-GB"/>
        </w:rPr>
        <w:t xml:space="preserve"> on health </w:t>
      </w:r>
      <w:r w:rsidR="000C776D">
        <w:rPr>
          <w:lang w:val="en-GB"/>
        </w:rPr>
        <w:t>is paid by</w:t>
      </w:r>
      <w:r w:rsidR="007F3E93" w:rsidRPr="00487772">
        <w:rPr>
          <w:lang w:val="en-GB"/>
        </w:rPr>
        <w:t xml:space="preserve"> household</w:t>
      </w:r>
      <w:r w:rsidRPr="00487772">
        <w:rPr>
          <w:lang w:val="en-GB"/>
        </w:rPr>
        <w:t>s</w:t>
      </w:r>
      <w:r w:rsidR="007F3E93" w:rsidRPr="00487772">
        <w:rPr>
          <w:lang w:val="en-GB"/>
        </w:rPr>
        <w:t xml:space="preserve">. Private insurance </w:t>
      </w:r>
      <w:r w:rsidR="00343E01">
        <w:rPr>
          <w:lang w:val="en-GB"/>
        </w:rPr>
        <w:t>does not exist</w:t>
      </w:r>
      <w:r w:rsidR="007F3E93" w:rsidRPr="00487772">
        <w:rPr>
          <w:lang w:val="en-GB"/>
        </w:rPr>
        <w:t xml:space="preserve"> </w:t>
      </w:r>
      <w:r w:rsidRPr="00487772">
        <w:rPr>
          <w:lang w:val="en-GB"/>
        </w:rPr>
        <w:t>in Kosovo</w:t>
      </w:r>
      <w:r w:rsidR="00BB0CD6" w:rsidRPr="00487772">
        <w:rPr>
          <w:lang w:val="en-GB"/>
        </w:rPr>
        <w:t>,</w:t>
      </w:r>
      <w:r w:rsidR="007F3E93" w:rsidRPr="00487772">
        <w:rPr>
          <w:lang w:val="en-GB"/>
        </w:rPr>
        <w:t xml:space="preserve"> and employers are not </w:t>
      </w:r>
      <w:r w:rsidR="00930246" w:rsidRPr="00487772">
        <w:rPr>
          <w:lang w:val="en-GB"/>
        </w:rPr>
        <w:t xml:space="preserve">yet </w:t>
      </w:r>
      <w:r w:rsidR="007F3E93" w:rsidRPr="00487772">
        <w:rPr>
          <w:lang w:val="en-GB"/>
        </w:rPr>
        <w:t xml:space="preserve">apt to spend </w:t>
      </w:r>
      <w:r w:rsidR="00BB0CD6" w:rsidRPr="00487772">
        <w:rPr>
          <w:lang w:val="en-GB"/>
        </w:rPr>
        <w:t xml:space="preserve">money </w:t>
      </w:r>
      <w:r w:rsidR="007F3E93" w:rsidRPr="00487772">
        <w:rPr>
          <w:lang w:val="en-GB"/>
        </w:rPr>
        <w:t>on securing employees’ health</w:t>
      </w:r>
      <w:r w:rsidRPr="00487772">
        <w:rPr>
          <w:lang w:val="en-GB"/>
        </w:rPr>
        <w:t xml:space="preserve"> (see Figure 1)</w:t>
      </w:r>
      <w:r w:rsidR="007F3E93" w:rsidRPr="00487772">
        <w:rPr>
          <w:lang w:val="en-GB"/>
        </w:rPr>
        <w:t>.</w:t>
      </w:r>
      <w:r w:rsidR="008528A4" w:rsidRPr="00487772">
        <w:rPr>
          <w:lang w:val="en-GB"/>
        </w:rPr>
        <w:t xml:space="preserve"> </w:t>
      </w:r>
      <w:r w:rsidR="000C776D">
        <w:rPr>
          <w:lang w:val="en-GB"/>
        </w:rPr>
        <w:t xml:space="preserve"> D</w:t>
      </w:r>
      <w:r w:rsidR="008528A4" w:rsidRPr="00487772">
        <w:rPr>
          <w:lang w:val="en-GB"/>
        </w:rPr>
        <w:t>onor</w:t>
      </w:r>
      <w:r w:rsidR="000C776D">
        <w:rPr>
          <w:lang w:val="en-GB"/>
        </w:rPr>
        <w:t xml:space="preserve"> support is limited</w:t>
      </w:r>
      <w:r w:rsidR="00930246" w:rsidRPr="00487772">
        <w:rPr>
          <w:lang w:val="en-GB"/>
        </w:rPr>
        <w:t xml:space="preserve"> </w:t>
      </w:r>
      <w:r w:rsidR="008528A4" w:rsidRPr="00487772">
        <w:rPr>
          <w:lang w:val="en-GB"/>
        </w:rPr>
        <w:t xml:space="preserve">in Kosovo, </w:t>
      </w:r>
      <w:r w:rsidR="002A4B2F" w:rsidRPr="00487772">
        <w:rPr>
          <w:lang w:val="en-GB"/>
        </w:rPr>
        <w:t xml:space="preserve">only </w:t>
      </w:r>
      <w:r w:rsidR="000C776D">
        <w:rPr>
          <w:lang w:val="en-GB"/>
        </w:rPr>
        <w:t xml:space="preserve">4.7% </w:t>
      </w:r>
      <w:r w:rsidR="008528A4" w:rsidRPr="00487772">
        <w:rPr>
          <w:lang w:val="en-GB"/>
        </w:rPr>
        <w:t>of THE in 2005</w:t>
      </w:r>
      <w:r w:rsidR="00023A18">
        <w:rPr>
          <w:lang w:val="en-GB"/>
        </w:rPr>
        <w:t xml:space="preserve"> </w:t>
      </w:r>
      <w:r w:rsidR="00023A18">
        <w:rPr>
          <w:lang w:val="en-GB" w:eastAsia="en-US"/>
        </w:rPr>
        <w:t>(Annex V)</w:t>
      </w:r>
      <w:r w:rsidR="008528A4" w:rsidRPr="00487772">
        <w:rPr>
          <w:lang w:val="en-GB"/>
        </w:rPr>
        <w:t>.</w:t>
      </w:r>
    </w:p>
    <w:p w:rsidR="000C776D" w:rsidRDefault="000C776D" w:rsidP="00963D4B">
      <w:pPr>
        <w:spacing w:line="360" w:lineRule="auto"/>
        <w:jc w:val="both"/>
        <w:rPr>
          <w:lang w:val="en-GB"/>
        </w:rPr>
      </w:pPr>
    </w:p>
    <w:p w:rsidR="0063671D" w:rsidRPr="000C776D" w:rsidRDefault="00936A35" w:rsidP="00963D4B">
      <w:pPr>
        <w:spacing w:line="360" w:lineRule="auto"/>
        <w:jc w:val="both"/>
        <w:rPr>
          <w:b/>
          <w:highlight w:val="yellow"/>
          <w:lang w:val="en-GB"/>
        </w:rPr>
      </w:pPr>
      <w:proofErr w:type="gramStart"/>
      <w:r w:rsidRPr="000C776D">
        <w:rPr>
          <w:b/>
          <w:lang w:val="en-GB"/>
        </w:rPr>
        <w:t>Table 2</w:t>
      </w:r>
      <w:r w:rsidR="00C87F4E" w:rsidRPr="000C776D">
        <w:rPr>
          <w:b/>
          <w:lang w:val="en-GB"/>
        </w:rPr>
        <w:t>.</w:t>
      </w:r>
      <w:proofErr w:type="gramEnd"/>
      <w:r w:rsidR="00C87F4E" w:rsidRPr="000C776D">
        <w:rPr>
          <w:b/>
          <w:lang w:val="en-GB"/>
        </w:rPr>
        <w:t xml:space="preserve"> </w:t>
      </w:r>
      <w:r w:rsidR="0063671D" w:rsidRPr="000C776D">
        <w:rPr>
          <w:b/>
          <w:lang w:val="en-GB"/>
        </w:rPr>
        <w:t>NHA main indicators</w:t>
      </w:r>
      <w:r w:rsidR="00E27B2C" w:rsidRPr="000C776D">
        <w:rPr>
          <w:b/>
          <w:lang w:val="en-GB"/>
        </w:rPr>
        <w:t>, 2005</w:t>
      </w:r>
    </w:p>
    <w:tbl>
      <w:tblPr>
        <w:tblW w:w="5676" w:type="dxa"/>
        <w:tblInd w:w="55" w:type="dxa"/>
        <w:tblBorders>
          <w:top w:val="single" w:sz="4" w:space="0" w:color="auto"/>
          <w:bottom w:val="single" w:sz="4" w:space="0" w:color="auto"/>
        </w:tblBorders>
        <w:tblCellMar>
          <w:left w:w="70" w:type="dxa"/>
          <w:right w:w="70" w:type="dxa"/>
        </w:tblCellMar>
        <w:tblLook w:val="0000"/>
      </w:tblPr>
      <w:tblGrid>
        <w:gridCol w:w="160"/>
        <w:gridCol w:w="4556"/>
        <w:gridCol w:w="960"/>
      </w:tblGrid>
      <w:tr w:rsidR="0063671D" w:rsidRPr="00487772">
        <w:trPr>
          <w:trHeight w:val="255"/>
        </w:trPr>
        <w:tc>
          <w:tcPr>
            <w:tcW w:w="4716" w:type="dxa"/>
            <w:gridSpan w:val="2"/>
            <w:shd w:val="clear" w:color="auto" w:fill="auto"/>
            <w:noWrap/>
            <w:vAlign w:val="bottom"/>
          </w:tcPr>
          <w:p w:rsidR="0063671D" w:rsidRPr="00487772" w:rsidRDefault="0063671D">
            <w:pPr>
              <w:rPr>
                <w:b/>
                <w:bCs/>
                <w:sz w:val="20"/>
                <w:szCs w:val="20"/>
                <w:lang w:val="en-GB"/>
              </w:rPr>
            </w:pPr>
            <w:r w:rsidRPr="00487772">
              <w:rPr>
                <w:b/>
                <w:bCs/>
                <w:sz w:val="20"/>
                <w:szCs w:val="20"/>
                <w:lang w:val="en-GB"/>
              </w:rPr>
              <w:t>GDP at current prices (€ Million)</w:t>
            </w:r>
          </w:p>
        </w:tc>
        <w:tc>
          <w:tcPr>
            <w:tcW w:w="960" w:type="dxa"/>
            <w:shd w:val="clear" w:color="auto" w:fill="auto"/>
            <w:noWrap/>
            <w:vAlign w:val="bottom"/>
          </w:tcPr>
          <w:p w:rsidR="0063671D" w:rsidRPr="00487772" w:rsidRDefault="0063671D">
            <w:pPr>
              <w:jc w:val="right"/>
              <w:rPr>
                <w:b/>
                <w:bCs/>
                <w:sz w:val="20"/>
                <w:szCs w:val="20"/>
                <w:lang w:val="en-GB"/>
              </w:rPr>
            </w:pPr>
            <w:r w:rsidRPr="00487772">
              <w:rPr>
                <w:b/>
                <w:bCs/>
                <w:sz w:val="20"/>
                <w:szCs w:val="20"/>
                <w:lang w:val="en-GB"/>
              </w:rPr>
              <w:t>2 463</w:t>
            </w:r>
          </w:p>
        </w:tc>
      </w:tr>
      <w:tr w:rsidR="0063671D" w:rsidRPr="00487772">
        <w:trPr>
          <w:trHeight w:val="255"/>
        </w:trPr>
        <w:tc>
          <w:tcPr>
            <w:tcW w:w="4716" w:type="dxa"/>
            <w:gridSpan w:val="2"/>
            <w:shd w:val="clear" w:color="auto" w:fill="auto"/>
            <w:noWrap/>
            <w:vAlign w:val="bottom"/>
          </w:tcPr>
          <w:p w:rsidR="0063671D" w:rsidRPr="00487772" w:rsidRDefault="0063671D">
            <w:pPr>
              <w:rPr>
                <w:sz w:val="20"/>
                <w:szCs w:val="20"/>
                <w:lang w:val="en-GB"/>
              </w:rPr>
            </w:pPr>
            <w:r w:rsidRPr="00487772">
              <w:rPr>
                <w:sz w:val="20"/>
                <w:szCs w:val="20"/>
                <w:lang w:val="en-GB"/>
              </w:rPr>
              <w:t>Population (Million)</w:t>
            </w:r>
          </w:p>
        </w:tc>
        <w:tc>
          <w:tcPr>
            <w:tcW w:w="960" w:type="dxa"/>
            <w:shd w:val="clear" w:color="auto" w:fill="auto"/>
            <w:noWrap/>
            <w:vAlign w:val="bottom"/>
          </w:tcPr>
          <w:p w:rsidR="0063671D" w:rsidRPr="00487772" w:rsidRDefault="00C87F4E">
            <w:pPr>
              <w:jc w:val="right"/>
              <w:rPr>
                <w:sz w:val="20"/>
                <w:szCs w:val="20"/>
                <w:lang w:val="en-GB"/>
              </w:rPr>
            </w:pPr>
            <w:r w:rsidRPr="00487772">
              <w:rPr>
                <w:sz w:val="20"/>
                <w:szCs w:val="20"/>
                <w:lang w:val="en-GB"/>
              </w:rPr>
              <w:t>2.</w:t>
            </w:r>
            <w:r w:rsidR="0063671D" w:rsidRPr="00487772">
              <w:rPr>
                <w:sz w:val="20"/>
                <w:szCs w:val="20"/>
                <w:lang w:val="en-GB"/>
              </w:rPr>
              <w:t>2</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p>
        </w:tc>
        <w:tc>
          <w:tcPr>
            <w:tcW w:w="960" w:type="dxa"/>
            <w:shd w:val="clear" w:color="auto" w:fill="auto"/>
            <w:noWrap/>
            <w:vAlign w:val="bottom"/>
          </w:tcPr>
          <w:p w:rsidR="0063671D" w:rsidRPr="00487772" w:rsidRDefault="0063671D">
            <w:pPr>
              <w:rPr>
                <w:sz w:val="20"/>
                <w:szCs w:val="20"/>
                <w:lang w:val="en-GB"/>
              </w:rPr>
            </w:pPr>
          </w:p>
        </w:tc>
      </w:tr>
      <w:tr w:rsidR="0063671D" w:rsidRPr="00487772">
        <w:trPr>
          <w:trHeight w:val="255"/>
        </w:trPr>
        <w:tc>
          <w:tcPr>
            <w:tcW w:w="4716" w:type="dxa"/>
            <w:gridSpan w:val="2"/>
            <w:shd w:val="clear" w:color="auto" w:fill="auto"/>
            <w:noWrap/>
            <w:vAlign w:val="bottom"/>
          </w:tcPr>
          <w:p w:rsidR="0063671D" w:rsidRPr="00487772" w:rsidRDefault="0063671D">
            <w:pPr>
              <w:rPr>
                <w:b/>
                <w:bCs/>
                <w:sz w:val="20"/>
                <w:szCs w:val="20"/>
                <w:lang w:val="en-GB"/>
              </w:rPr>
            </w:pPr>
            <w:r w:rsidRPr="00487772">
              <w:rPr>
                <w:b/>
                <w:bCs/>
                <w:sz w:val="20"/>
                <w:szCs w:val="20"/>
                <w:lang w:val="en-GB"/>
              </w:rPr>
              <w:t>Total Health Expenditures (€ Million)</w:t>
            </w:r>
          </w:p>
        </w:tc>
        <w:tc>
          <w:tcPr>
            <w:tcW w:w="960" w:type="dxa"/>
            <w:shd w:val="clear" w:color="auto" w:fill="auto"/>
            <w:noWrap/>
            <w:vAlign w:val="bottom"/>
          </w:tcPr>
          <w:p w:rsidR="0063671D" w:rsidRPr="00487772" w:rsidRDefault="0063671D">
            <w:pPr>
              <w:jc w:val="right"/>
              <w:rPr>
                <w:b/>
                <w:bCs/>
                <w:sz w:val="20"/>
                <w:szCs w:val="20"/>
                <w:lang w:val="en-GB"/>
              </w:rPr>
            </w:pPr>
            <w:r w:rsidRPr="00487772">
              <w:rPr>
                <w:b/>
                <w:bCs/>
                <w:sz w:val="20"/>
                <w:szCs w:val="20"/>
                <w:lang w:val="en-GB"/>
              </w:rPr>
              <w:t>107</w:t>
            </w:r>
            <w:r w:rsidR="00C87F4E" w:rsidRPr="00487772">
              <w:rPr>
                <w:b/>
                <w:bCs/>
                <w:sz w:val="20"/>
                <w:szCs w:val="20"/>
                <w:lang w:val="en-GB"/>
              </w:rPr>
              <w:t>.</w:t>
            </w:r>
            <w:r w:rsidRPr="00487772">
              <w:rPr>
                <w:b/>
                <w:bCs/>
                <w:sz w:val="20"/>
                <w:szCs w:val="20"/>
                <w:lang w:val="en-GB"/>
              </w:rPr>
              <w:t>3</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Central Government</w:t>
            </w:r>
          </w:p>
        </w:tc>
        <w:tc>
          <w:tcPr>
            <w:tcW w:w="960" w:type="dxa"/>
            <w:shd w:val="clear" w:color="auto" w:fill="auto"/>
            <w:noWrap/>
            <w:vAlign w:val="bottom"/>
          </w:tcPr>
          <w:p w:rsidR="0063671D" w:rsidRPr="00487772" w:rsidRDefault="0063671D">
            <w:pPr>
              <w:jc w:val="right"/>
              <w:rPr>
                <w:sz w:val="20"/>
                <w:szCs w:val="20"/>
                <w:lang w:val="en-GB"/>
              </w:rPr>
            </w:pPr>
            <w:r w:rsidRPr="00487772">
              <w:rPr>
                <w:sz w:val="20"/>
                <w:szCs w:val="20"/>
                <w:lang w:val="en-GB"/>
              </w:rPr>
              <w:t>50</w:t>
            </w:r>
            <w:r w:rsidR="00C87F4E" w:rsidRPr="00487772">
              <w:rPr>
                <w:sz w:val="20"/>
                <w:szCs w:val="20"/>
                <w:lang w:val="en-GB"/>
              </w:rPr>
              <w:t>.</w:t>
            </w:r>
            <w:r w:rsidRPr="00487772">
              <w:rPr>
                <w:sz w:val="20"/>
                <w:szCs w:val="20"/>
                <w:lang w:val="en-GB"/>
              </w:rPr>
              <w:t>3</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Municipalities</w:t>
            </w:r>
          </w:p>
        </w:tc>
        <w:tc>
          <w:tcPr>
            <w:tcW w:w="960" w:type="dxa"/>
            <w:shd w:val="clear" w:color="auto" w:fill="auto"/>
            <w:noWrap/>
            <w:vAlign w:val="bottom"/>
          </w:tcPr>
          <w:p w:rsidR="0063671D" w:rsidRPr="00487772" w:rsidRDefault="00C87F4E">
            <w:pPr>
              <w:jc w:val="right"/>
              <w:rPr>
                <w:sz w:val="20"/>
                <w:szCs w:val="20"/>
                <w:lang w:val="en-GB"/>
              </w:rPr>
            </w:pPr>
            <w:r w:rsidRPr="00487772">
              <w:rPr>
                <w:sz w:val="20"/>
                <w:szCs w:val="20"/>
                <w:lang w:val="en-GB"/>
              </w:rPr>
              <w:t>21.</w:t>
            </w:r>
            <w:r w:rsidR="0063671D" w:rsidRPr="00487772">
              <w:rPr>
                <w:sz w:val="20"/>
                <w:szCs w:val="20"/>
                <w:lang w:val="en-GB"/>
              </w:rPr>
              <w:t>1</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Out-Of-Pocket</w:t>
            </w:r>
          </w:p>
        </w:tc>
        <w:tc>
          <w:tcPr>
            <w:tcW w:w="960" w:type="dxa"/>
            <w:shd w:val="clear" w:color="auto" w:fill="auto"/>
            <w:noWrap/>
            <w:vAlign w:val="bottom"/>
          </w:tcPr>
          <w:p w:rsidR="0063671D" w:rsidRPr="00487772" w:rsidRDefault="00C87F4E">
            <w:pPr>
              <w:jc w:val="right"/>
              <w:rPr>
                <w:sz w:val="20"/>
                <w:szCs w:val="20"/>
                <w:lang w:val="en-GB"/>
              </w:rPr>
            </w:pPr>
            <w:r w:rsidRPr="00487772">
              <w:rPr>
                <w:sz w:val="20"/>
                <w:szCs w:val="20"/>
                <w:lang w:val="en-GB"/>
              </w:rPr>
              <w:t>30.</w:t>
            </w:r>
            <w:r w:rsidR="0063671D" w:rsidRPr="00487772">
              <w:rPr>
                <w:sz w:val="20"/>
                <w:szCs w:val="20"/>
                <w:lang w:val="en-GB"/>
              </w:rPr>
              <w:t>8</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Donor Spending</w:t>
            </w:r>
          </w:p>
        </w:tc>
        <w:tc>
          <w:tcPr>
            <w:tcW w:w="960" w:type="dxa"/>
            <w:shd w:val="clear" w:color="auto" w:fill="auto"/>
            <w:noWrap/>
            <w:vAlign w:val="bottom"/>
          </w:tcPr>
          <w:p w:rsidR="0063671D" w:rsidRPr="00487772" w:rsidRDefault="00C87F4E">
            <w:pPr>
              <w:jc w:val="right"/>
              <w:rPr>
                <w:sz w:val="20"/>
                <w:szCs w:val="20"/>
                <w:lang w:val="en-GB"/>
              </w:rPr>
            </w:pPr>
            <w:r w:rsidRPr="00487772">
              <w:rPr>
                <w:sz w:val="20"/>
                <w:szCs w:val="20"/>
                <w:lang w:val="en-GB"/>
              </w:rPr>
              <w:t>5.</w:t>
            </w:r>
            <w:r w:rsidR="0063671D" w:rsidRPr="00487772">
              <w:rPr>
                <w:sz w:val="20"/>
                <w:szCs w:val="20"/>
                <w:lang w:val="en-GB"/>
              </w:rPr>
              <w:t>0</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p>
        </w:tc>
        <w:tc>
          <w:tcPr>
            <w:tcW w:w="960" w:type="dxa"/>
            <w:shd w:val="clear" w:color="auto" w:fill="auto"/>
            <w:noWrap/>
            <w:vAlign w:val="bottom"/>
          </w:tcPr>
          <w:p w:rsidR="0063671D" w:rsidRPr="00487772" w:rsidRDefault="0063671D">
            <w:pPr>
              <w:rPr>
                <w:sz w:val="20"/>
                <w:szCs w:val="20"/>
                <w:lang w:val="en-GB"/>
              </w:rPr>
            </w:pPr>
          </w:p>
        </w:tc>
      </w:tr>
      <w:tr w:rsidR="0063671D" w:rsidRPr="00487772">
        <w:trPr>
          <w:trHeight w:val="255"/>
        </w:trPr>
        <w:tc>
          <w:tcPr>
            <w:tcW w:w="4716" w:type="dxa"/>
            <w:gridSpan w:val="2"/>
            <w:shd w:val="clear" w:color="auto" w:fill="auto"/>
            <w:noWrap/>
            <w:vAlign w:val="bottom"/>
          </w:tcPr>
          <w:p w:rsidR="0063671D" w:rsidRPr="00487772" w:rsidRDefault="0063671D">
            <w:pPr>
              <w:rPr>
                <w:b/>
                <w:bCs/>
                <w:sz w:val="20"/>
                <w:szCs w:val="20"/>
                <w:lang w:val="en-GB"/>
              </w:rPr>
            </w:pPr>
            <w:r w:rsidRPr="00487772">
              <w:rPr>
                <w:b/>
                <w:bCs/>
                <w:sz w:val="20"/>
                <w:szCs w:val="20"/>
                <w:lang w:val="en-GB"/>
              </w:rPr>
              <w:t>Per Capita Health Expenditures (€)</w:t>
            </w:r>
          </w:p>
        </w:tc>
        <w:tc>
          <w:tcPr>
            <w:tcW w:w="960" w:type="dxa"/>
            <w:shd w:val="clear" w:color="auto" w:fill="auto"/>
            <w:noWrap/>
            <w:vAlign w:val="bottom"/>
          </w:tcPr>
          <w:p w:rsidR="0063671D" w:rsidRPr="00487772" w:rsidRDefault="0063671D">
            <w:pPr>
              <w:jc w:val="right"/>
              <w:rPr>
                <w:b/>
                <w:bCs/>
                <w:sz w:val="20"/>
                <w:szCs w:val="20"/>
                <w:lang w:val="en-GB"/>
              </w:rPr>
            </w:pPr>
            <w:r w:rsidRPr="00487772">
              <w:rPr>
                <w:b/>
                <w:bCs/>
                <w:sz w:val="20"/>
                <w:szCs w:val="20"/>
                <w:lang w:val="en-GB"/>
              </w:rPr>
              <w:t>4</w:t>
            </w:r>
            <w:r w:rsidR="00C87F4E" w:rsidRPr="00487772">
              <w:rPr>
                <w:b/>
                <w:bCs/>
                <w:sz w:val="20"/>
                <w:szCs w:val="20"/>
                <w:lang w:val="en-GB"/>
              </w:rPr>
              <w:t>8.8</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Central Government</w:t>
            </w:r>
          </w:p>
        </w:tc>
        <w:tc>
          <w:tcPr>
            <w:tcW w:w="960" w:type="dxa"/>
            <w:shd w:val="clear" w:color="auto" w:fill="auto"/>
            <w:noWrap/>
            <w:vAlign w:val="bottom"/>
          </w:tcPr>
          <w:p w:rsidR="0063671D" w:rsidRPr="00487772" w:rsidRDefault="0063671D">
            <w:pPr>
              <w:jc w:val="right"/>
              <w:rPr>
                <w:sz w:val="20"/>
                <w:szCs w:val="20"/>
                <w:lang w:val="en-GB"/>
              </w:rPr>
            </w:pPr>
            <w:r w:rsidRPr="00487772">
              <w:rPr>
                <w:sz w:val="20"/>
                <w:szCs w:val="20"/>
                <w:lang w:val="en-GB"/>
              </w:rPr>
              <w:t>2</w:t>
            </w:r>
            <w:r w:rsidR="00C87F4E" w:rsidRPr="00487772">
              <w:rPr>
                <w:sz w:val="20"/>
                <w:szCs w:val="20"/>
                <w:lang w:val="en-GB"/>
              </w:rPr>
              <w:t>2.9</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Municipalities</w:t>
            </w:r>
          </w:p>
        </w:tc>
        <w:tc>
          <w:tcPr>
            <w:tcW w:w="960" w:type="dxa"/>
            <w:shd w:val="clear" w:color="auto" w:fill="auto"/>
            <w:noWrap/>
            <w:vAlign w:val="bottom"/>
          </w:tcPr>
          <w:p w:rsidR="0063671D" w:rsidRPr="00487772" w:rsidRDefault="00C87F4E">
            <w:pPr>
              <w:jc w:val="right"/>
              <w:rPr>
                <w:sz w:val="20"/>
                <w:szCs w:val="20"/>
                <w:lang w:val="en-GB"/>
              </w:rPr>
            </w:pPr>
            <w:r w:rsidRPr="00487772">
              <w:rPr>
                <w:sz w:val="20"/>
                <w:szCs w:val="20"/>
                <w:lang w:val="en-GB"/>
              </w:rPr>
              <w:t>9.6</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Out-Of-Pocket</w:t>
            </w:r>
          </w:p>
        </w:tc>
        <w:tc>
          <w:tcPr>
            <w:tcW w:w="960" w:type="dxa"/>
            <w:shd w:val="clear" w:color="auto" w:fill="auto"/>
            <w:noWrap/>
            <w:vAlign w:val="bottom"/>
          </w:tcPr>
          <w:p w:rsidR="0063671D" w:rsidRPr="00487772" w:rsidRDefault="0063671D">
            <w:pPr>
              <w:jc w:val="right"/>
              <w:rPr>
                <w:sz w:val="20"/>
                <w:szCs w:val="20"/>
                <w:lang w:val="en-GB"/>
              </w:rPr>
            </w:pPr>
            <w:r w:rsidRPr="00487772">
              <w:rPr>
                <w:sz w:val="20"/>
                <w:szCs w:val="20"/>
                <w:lang w:val="en-GB"/>
              </w:rPr>
              <w:t>14</w:t>
            </w:r>
            <w:r w:rsidR="00C87F4E" w:rsidRPr="00487772">
              <w:rPr>
                <w:sz w:val="20"/>
                <w:szCs w:val="20"/>
                <w:lang w:val="en-GB"/>
              </w:rPr>
              <w:t>.0</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Donor Spending</w:t>
            </w:r>
          </w:p>
        </w:tc>
        <w:tc>
          <w:tcPr>
            <w:tcW w:w="960" w:type="dxa"/>
            <w:shd w:val="clear" w:color="auto" w:fill="auto"/>
            <w:noWrap/>
            <w:vAlign w:val="bottom"/>
          </w:tcPr>
          <w:p w:rsidR="0063671D" w:rsidRPr="00487772" w:rsidRDefault="0063671D">
            <w:pPr>
              <w:jc w:val="right"/>
              <w:rPr>
                <w:sz w:val="20"/>
                <w:szCs w:val="20"/>
                <w:lang w:val="en-GB"/>
              </w:rPr>
            </w:pPr>
            <w:r w:rsidRPr="00487772">
              <w:rPr>
                <w:sz w:val="20"/>
                <w:szCs w:val="20"/>
                <w:lang w:val="en-GB"/>
              </w:rPr>
              <w:t>2</w:t>
            </w:r>
            <w:r w:rsidR="00C87F4E" w:rsidRPr="00487772">
              <w:rPr>
                <w:sz w:val="20"/>
                <w:szCs w:val="20"/>
                <w:lang w:val="en-GB"/>
              </w:rPr>
              <w:t>.3</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p>
        </w:tc>
        <w:tc>
          <w:tcPr>
            <w:tcW w:w="960" w:type="dxa"/>
            <w:shd w:val="clear" w:color="auto" w:fill="auto"/>
            <w:noWrap/>
            <w:vAlign w:val="bottom"/>
          </w:tcPr>
          <w:p w:rsidR="0063671D" w:rsidRPr="00487772" w:rsidRDefault="0063671D">
            <w:pPr>
              <w:rPr>
                <w:sz w:val="20"/>
                <w:szCs w:val="20"/>
                <w:lang w:val="en-GB"/>
              </w:rPr>
            </w:pPr>
          </w:p>
        </w:tc>
      </w:tr>
      <w:tr w:rsidR="0063671D" w:rsidRPr="00487772">
        <w:trPr>
          <w:trHeight w:val="255"/>
        </w:trPr>
        <w:tc>
          <w:tcPr>
            <w:tcW w:w="4716" w:type="dxa"/>
            <w:gridSpan w:val="2"/>
            <w:shd w:val="clear" w:color="auto" w:fill="auto"/>
            <w:noWrap/>
            <w:vAlign w:val="bottom"/>
          </w:tcPr>
          <w:p w:rsidR="0063671D" w:rsidRPr="00487772" w:rsidRDefault="0063671D">
            <w:pPr>
              <w:rPr>
                <w:b/>
                <w:bCs/>
                <w:sz w:val="20"/>
                <w:szCs w:val="20"/>
                <w:lang w:val="en-GB"/>
              </w:rPr>
            </w:pPr>
            <w:r w:rsidRPr="00487772">
              <w:rPr>
                <w:b/>
                <w:bCs/>
                <w:sz w:val="20"/>
                <w:szCs w:val="20"/>
                <w:lang w:val="en-GB"/>
              </w:rPr>
              <w:t>Total Health Expenditures (percent of GDP)</w:t>
            </w:r>
          </w:p>
        </w:tc>
        <w:tc>
          <w:tcPr>
            <w:tcW w:w="960" w:type="dxa"/>
            <w:shd w:val="clear" w:color="auto" w:fill="auto"/>
            <w:noWrap/>
            <w:vAlign w:val="bottom"/>
          </w:tcPr>
          <w:p w:rsidR="0063671D" w:rsidRPr="00487772" w:rsidRDefault="00653F35">
            <w:pPr>
              <w:jc w:val="right"/>
              <w:rPr>
                <w:b/>
                <w:bCs/>
                <w:sz w:val="20"/>
                <w:szCs w:val="20"/>
                <w:lang w:val="en-GB"/>
              </w:rPr>
            </w:pPr>
            <w:r w:rsidRPr="00487772">
              <w:rPr>
                <w:b/>
                <w:bCs/>
                <w:sz w:val="20"/>
                <w:szCs w:val="20"/>
                <w:lang w:val="en-GB"/>
              </w:rPr>
              <w:t>4.</w:t>
            </w:r>
            <w:r w:rsidR="0063671D" w:rsidRPr="00487772">
              <w:rPr>
                <w:b/>
                <w:bCs/>
                <w:sz w:val="20"/>
                <w:szCs w:val="20"/>
                <w:lang w:val="en-GB"/>
              </w:rPr>
              <w:t>4%</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Central Government</w:t>
            </w:r>
          </w:p>
        </w:tc>
        <w:tc>
          <w:tcPr>
            <w:tcW w:w="960" w:type="dxa"/>
            <w:shd w:val="clear" w:color="auto" w:fill="auto"/>
            <w:noWrap/>
            <w:vAlign w:val="bottom"/>
          </w:tcPr>
          <w:p w:rsidR="0063671D" w:rsidRPr="00487772" w:rsidRDefault="00653F35">
            <w:pPr>
              <w:jc w:val="right"/>
              <w:rPr>
                <w:sz w:val="20"/>
                <w:szCs w:val="20"/>
                <w:lang w:val="en-GB"/>
              </w:rPr>
            </w:pPr>
            <w:r w:rsidRPr="00487772">
              <w:rPr>
                <w:sz w:val="20"/>
                <w:szCs w:val="20"/>
                <w:lang w:val="en-GB"/>
              </w:rPr>
              <w:t>2.</w:t>
            </w:r>
            <w:r w:rsidR="0063671D" w:rsidRPr="00487772">
              <w:rPr>
                <w:sz w:val="20"/>
                <w:szCs w:val="20"/>
                <w:lang w:val="en-GB"/>
              </w:rPr>
              <w:t>0%</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Municipalities</w:t>
            </w:r>
          </w:p>
        </w:tc>
        <w:tc>
          <w:tcPr>
            <w:tcW w:w="960" w:type="dxa"/>
            <w:shd w:val="clear" w:color="auto" w:fill="auto"/>
            <w:noWrap/>
            <w:vAlign w:val="bottom"/>
          </w:tcPr>
          <w:p w:rsidR="0063671D" w:rsidRPr="00487772" w:rsidRDefault="00653F35">
            <w:pPr>
              <w:jc w:val="right"/>
              <w:rPr>
                <w:sz w:val="20"/>
                <w:szCs w:val="20"/>
                <w:lang w:val="en-GB"/>
              </w:rPr>
            </w:pPr>
            <w:r w:rsidRPr="00487772">
              <w:rPr>
                <w:sz w:val="20"/>
                <w:szCs w:val="20"/>
                <w:lang w:val="en-GB"/>
              </w:rPr>
              <w:t>0.</w:t>
            </w:r>
            <w:r w:rsidR="0063671D" w:rsidRPr="00487772">
              <w:rPr>
                <w:sz w:val="20"/>
                <w:szCs w:val="20"/>
                <w:lang w:val="en-GB"/>
              </w:rPr>
              <w:t>9%</w:t>
            </w:r>
          </w:p>
        </w:tc>
      </w:tr>
      <w:tr w:rsidR="0063671D" w:rsidRPr="00487772">
        <w:trPr>
          <w:trHeight w:val="255"/>
        </w:trPr>
        <w:tc>
          <w:tcPr>
            <w:tcW w:w="160" w:type="dxa"/>
            <w:shd w:val="clear" w:color="auto" w:fill="auto"/>
            <w:noWrap/>
            <w:vAlign w:val="bottom"/>
          </w:tcPr>
          <w:p w:rsidR="0063671D" w:rsidRPr="00487772" w:rsidRDefault="0063671D">
            <w:pPr>
              <w:rPr>
                <w:sz w:val="20"/>
                <w:szCs w:val="20"/>
                <w:lang w:val="en-GB"/>
              </w:rPr>
            </w:pPr>
          </w:p>
        </w:tc>
        <w:tc>
          <w:tcPr>
            <w:tcW w:w="4556" w:type="dxa"/>
            <w:shd w:val="clear" w:color="auto" w:fill="auto"/>
            <w:noWrap/>
            <w:vAlign w:val="bottom"/>
          </w:tcPr>
          <w:p w:rsidR="0063671D" w:rsidRPr="00487772" w:rsidRDefault="0063671D">
            <w:pPr>
              <w:rPr>
                <w:sz w:val="20"/>
                <w:szCs w:val="20"/>
                <w:lang w:val="en-GB"/>
              </w:rPr>
            </w:pPr>
            <w:r w:rsidRPr="00487772">
              <w:rPr>
                <w:sz w:val="20"/>
                <w:szCs w:val="20"/>
                <w:lang w:val="en-GB"/>
              </w:rPr>
              <w:t>Out-Of-Pocket</w:t>
            </w:r>
          </w:p>
        </w:tc>
        <w:tc>
          <w:tcPr>
            <w:tcW w:w="960" w:type="dxa"/>
            <w:shd w:val="clear" w:color="auto" w:fill="auto"/>
            <w:noWrap/>
            <w:vAlign w:val="bottom"/>
          </w:tcPr>
          <w:p w:rsidR="0063671D" w:rsidRPr="00487772" w:rsidRDefault="00653F35">
            <w:pPr>
              <w:jc w:val="right"/>
              <w:rPr>
                <w:sz w:val="20"/>
                <w:szCs w:val="20"/>
                <w:lang w:val="en-GB"/>
              </w:rPr>
            </w:pPr>
            <w:r w:rsidRPr="00487772">
              <w:rPr>
                <w:sz w:val="20"/>
                <w:szCs w:val="20"/>
                <w:lang w:val="en-GB"/>
              </w:rPr>
              <w:t>1.</w:t>
            </w:r>
            <w:r w:rsidR="0063671D" w:rsidRPr="00487772">
              <w:rPr>
                <w:sz w:val="20"/>
                <w:szCs w:val="20"/>
                <w:lang w:val="en-GB"/>
              </w:rPr>
              <w:t>3%</w:t>
            </w:r>
          </w:p>
        </w:tc>
      </w:tr>
      <w:tr w:rsidR="000E2CFE" w:rsidRPr="00487772">
        <w:trPr>
          <w:trHeight w:val="255"/>
        </w:trPr>
        <w:tc>
          <w:tcPr>
            <w:tcW w:w="160" w:type="dxa"/>
            <w:shd w:val="clear" w:color="auto" w:fill="auto"/>
            <w:noWrap/>
            <w:vAlign w:val="bottom"/>
          </w:tcPr>
          <w:p w:rsidR="000E2CFE" w:rsidRPr="00487772" w:rsidRDefault="000E2CFE">
            <w:pPr>
              <w:rPr>
                <w:sz w:val="20"/>
                <w:szCs w:val="20"/>
                <w:lang w:val="en-GB"/>
              </w:rPr>
            </w:pPr>
          </w:p>
        </w:tc>
        <w:tc>
          <w:tcPr>
            <w:tcW w:w="4556" w:type="dxa"/>
            <w:shd w:val="clear" w:color="auto" w:fill="auto"/>
            <w:noWrap/>
            <w:vAlign w:val="bottom"/>
          </w:tcPr>
          <w:p w:rsidR="000E2CFE" w:rsidRPr="00487772" w:rsidRDefault="000E2CFE" w:rsidP="0074355F">
            <w:pPr>
              <w:rPr>
                <w:sz w:val="20"/>
                <w:szCs w:val="20"/>
                <w:lang w:val="en-GB"/>
              </w:rPr>
            </w:pPr>
            <w:r w:rsidRPr="00487772">
              <w:rPr>
                <w:sz w:val="20"/>
                <w:szCs w:val="20"/>
                <w:lang w:val="en-GB"/>
              </w:rPr>
              <w:t>Donor Spending</w:t>
            </w:r>
          </w:p>
        </w:tc>
        <w:tc>
          <w:tcPr>
            <w:tcW w:w="960" w:type="dxa"/>
            <w:shd w:val="clear" w:color="auto" w:fill="auto"/>
            <w:noWrap/>
            <w:vAlign w:val="bottom"/>
          </w:tcPr>
          <w:p w:rsidR="000E2CFE" w:rsidRPr="00487772" w:rsidRDefault="00653F35" w:rsidP="0074355F">
            <w:pPr>
              <w:jc w:val="right"/>
              <w:rPr>
                <w:sz w:val="20"/>
                <w:szCs w:val="20"/>
                <w:lang w:val="en-GB"/>
              </w:rPr>
            </w:pPr>
            <w:r w:rsidRPr="00487772">
              <w:rPr>
                <w:sz w:val="20"/>
                <w:szCs w:val="20"/>
                <w:lang w:val="en-GB"/>
              </w:rPr>
              <w:t>0.</w:t>
            </w:r>
            <w:r w:rsidR="000E2CFE" w:rsidRPr="00487772">
              <w:rPr>
                <w:sz w:val="20"/>
                <w:szCs w:val="20"/>
                <w:lang w:val="en-GB"/>
              </w:rPr>
              <w:t>2%</w:t>
            </w:r>
          </w:p>
        </w:tc>
      </w:tr>
      <w:tr w:rsidR="000E2CFE" w:rsidRPr="00487772">
        <w:trPr>
          <w:trHeight w:val="255"/>
        </w:trPr>
        <w:tc>
          <w:tcPr>
            <w:tcW w:w="160" w:type="dxa"/>
            <w:shd w:val="clear" w:color="auto" w:fill="auto"/>
            <w:noWrap/>
            <w:vAlign w:val="bottom"/>
          </w:tcPr>
          <w:p w:rsidR="000E2CFE" w:rsidRPr="00487772" w:rsidRDefault="000E2CFE">
            <w:pPr>
              <w:rPr>
                <w:sz w:val="20"/>
                <w:szCs w:val="20"/>
                <w:lang w:val="en-GB"/>
              </w:rPr>
            </w:pPr>
          </w:p>
        </w:tc>
        <w:tc>
          <w:tcPr>
            <w:tcW w:w="4556" w:type="dxa"/>
            <w:shd w:val="clear" w:color="auto" w:fill="auto"/>
            <w:noWrap/>
            <w:vAlign w:val="bottom"/>
          </w:tcPr>
          <w:p w:rsidR="000E2CFE" w:rsidRPr="00487772" w:rsidRDefault="000E2CFE">
            <w:pPr>
              <w:rPr>
                <w:sz w:val="20"/>
                <w:szCs w:val="20"/>
                <w:lang w:val="en-GB"/>
              </w:rPr>
            </w:pPr>
          </w:p>
        </w:tc>
        <w:tc>
          <w:tcPr>
            <w:tcW w:w="960" w:type="dxa"/>
            <w:shd w:val="clear" w:color="auto" w:fill="auto"/>
            <w:noWrap/>
            <w:vAlign w:val="bottom"/>
          </w:tcPr>
          <w:p w:rsidR="000E2CFE" w:rsidRPr="00487772" w:rsidRDefault="000E2CFE">
            <w:pPr>
              <w:jc w:val="right"/>
              <w:rPr>
                <w:sz w:val="20"/>
                <w:szCs w:val="20"/>
                <w:lang w:val="en-GB"/>
              </w:rPr>
            </w:pPr>
          </w:p>
        </w:tc>
      </w:tr>
      <w:tr w:rsidR="000E2CFE" w:rsidRPr="00487772">
        <w:trPr>
          <w:trHeight w:val="255"/>
        </w:trPr>
        <w:tc>
          <w:tcPr>
            <w:tcW w:w="160" w:type="dxa"/>
            <w:shd w:val="clear" w:color="auto" w:fill="auto"/>
            <w:noWrap/>
            <w:vAlign w:val="bottom"/>
          </w:tcPr>
          <w:p w:rsidR="000E2CFE" w:rsidRPr="00487772" w:rsidRDefault="000E2CFE">
            <w:pPr>
              <w:rPr>
                <w:b/>
                <w:sz w:val="20"/>
                <w:szCs w:val="20"/>
                <w:lang w:val="en-GB"/>
              </w:rPr>
            </w:pPr>
          </w:p>
        </w:tc>
        <w:tc>
          <w:tcPr>
            <w:tcW w:w="4556" w:type="dxa"/>
            <w:shd w:val="clear" w:color="auto" w:fill="auto"/>
            <w:noWrap/>
            <w:vAlign w:val="bottom"/>
          </w:tcPr>
          <w:p w:rsidR="00224A56" w:rsidRPr="00487772" w:rsidRDefault="000E2CFE">
            <w:pPr>
              <w:rPr>
                <w:b/>
                <w:sz w:val="20"/>
                <w:szCs w:val="20"/>
                <w:lang w:val="en-GB"/>
              </w:rPr>
            </w:pPr>
            <w:r w:rsidRPr="00487772">
              <w:rPr>
                <w:b/>
                <w:bCs/>
                <w:sz w:val="20"/>
                <w:szCs w:val="20"/>
                <w:lang w:val="en-GB"/>
              </w:rPr>
              <w:t>Government Health Expenditures (percent of Total Government Spending</w:t>
            </w:r>
          </w:p>
        </w:tc>
        <w:tc>
          <w:tcPr>
            <w:tcW w:w="960" w:type="dxa"/>
            <w:shd w:val="clear" w:color="auto" w:fill="auto"/>
            <w:noWrap/>
            <w:vAlign w:val="bottom"/>
          </w:tcPr>
          <w:p w:rsidR="00224A56" w:rsidRPr="00487772" w:rsidRDefault="00653F35">
            <w:pPr>
              <w:jc w:val="right"/>
              <w:rPr>
                <w:b/>
                <w:sz w:val="20"/>
                <w:szCs w:val="20"/>
                <w:lang w:val="en-GB"/>
              </w:rPr>
            </w:pPr>
            <w:r w:rsidRPr="00487772">
              <w:rPr>
                <w:b/>
                <w:sz w:val="20"/>
                <w:szCs w:val="20"/>
                <w:lang w:val="en-GB"/>
              </w:rPr>
              <w:t>9.</w:t>
            </w:r>
            <w:r w:rsidR="00224A56" w:rsidRPr="00487772">
              <w:rPr>
                <w:b/>
                <w:sz w:val="20"/>
                <w:szCs w:val="20"/>
                <w:lang w:val="en-GB"/>
              </w:rPr>
              <w:t>6%</w:t>
            </w:r>
          </w:p>
          <w:p w:rsidR="00224A56" w:rsidRPr="00487772" w:rsidRDefault="00224A56">
            <w:pPr>
              <w:jc w:val="right"/>
              <w:rPr>
                <w:b/>
                <w:sz w:val="20"/>
                <w:szCs w:val="20"/>
                <w:lang w:val="en-GB"/>
              </w:rPr>
            </w:pPr>
          </w:p>
        </w:tc>
      </w:tr>
    </w:tbl>
    <w:p w:rsidR="006E71E8" w:rsidRPr="00487772" w:rsidRDefault="006E71E8" w:rsidP="00351AD8">
      <w:pPr>
        <w:spacing w:line="360" w:lineRule="auto"/>
        <w:jc w:val="both"/>
        <w:rPr>
          <w:b/>
          <w:lang w:val="en-GB" w:eastAsia="en-US"/>
        </w:rPr>
      </w:pPr>
    </w:p>
    <w:p w:rsidR="00931222" w:rsidRDefault="00931222" w:rsidP="00351AD8">
      <w:pPr>
        <w:spacing w:line="360" w:lineRule="auto"/>
        <w:jc w:val="both"/>
        <w:rPr>
          <w:lang w:val="en-GB" w:eastAsia="en-US"/>
        </w:rPr>
      </w:pPr>
    </w:p>
    <w:p w:rsidR="00F84D69" w:rsidRPr="00F84D69" w:rsidRDefault="00F84D69" w:rsidP="00351AD8">
      <w:pPr>
        <w:spacing w:line="360" w:lineRule="auto"/>
        <w:jc w:val="both"/>
        <w:rPr>
          <w:b/>
          <w:i/>
          <w:lang w:val="en-GB"/>
        </w:rPr>
      </w:pPr>
      <w:r w:rsidRPr="00F84D69">
        <w:rPr>
          <w:b/>
          <w:i/>
          <w:lang w:val="en-GB"/>
        </w:rPr>
        <w:t>Health care functions</w:t>
      </w:r>
    </w:p>
    <w:p w:rsidR="00F84D69" w:rsidRPr="00487772" w:rsidRDefault="00F84D69" w:rsidP="00F84D69">
      <w:pPr>
        <w:spacing w:line="360" w:lineRule="auto"/>
        <w:jc w:val="both"/>
        <w:rPr>
          <w:lang w:val="en-GB"/>
        </w:rPr>
      </w:pPr>
      <w:r w:rsidRPr="00487772">
        <w:rPr>
          <w:lang w:val="en-GB"/>
        </w:rPr>
        <w:t>In 2005, the most financed service in Kosovo was the medical care service (54.2% of THE), which consists of in-patient and out-patient curative care (see Figure 2). Medical products for outpatients were the second large</w:t>
      </w:r>
      <w:r w:rsidR="00DE51CA">
        <w:rPr>
          <w:lang w:val="en-GB"/>
        </w:rPr>
        <w:t>st</w:t>
      </w:r>
      <w:r w:rsidRPr="00487772">
        <w:rPr>
          <w:lang w:val="en-GB"/>
        </w:rPr>
        <w:t xml:space="preserve"> category of health expenditures</w:t>
      </w:r>
      <w:r>
        <w:rPr>
          <w:rStyle w:val="FootnoteReference"/>
          <w:lang w:val="en-GB"/>
        </w:rPr>
        <w:footnoteReference w:id="6"/>
      </w:r>
      <w:r w:rsidRPr="00487772">
        <w:rPr>
          <w:lang w:val="en-GB"/>
        </w:rPr>
        <w:t xml:space="preserve">. The main financer of medical goods </w:t>
      </w:r>
      <w:r>
        <w:rPr>
          <w:lang w:val="en-GB"/>
        </w:rPr>
        <w:t>and medicines are households (</w:t>
      </w:r>
      <w:r w:rsidRPr="00487772">
        <w:rPr>
          <w:lang w:val="en-GB"/>
        </w:rPr>
        <w:t>Annex V). 70% of expenditures on medical products came from private out-of-pockets.</w:t>
      </w:r>
      <w:r>
        <w:rPr>
          <w:lang w:val="en-GB"/>
        </w:rPr>
        <w:t xml:space="preserve"> </w:t>
      </w:r>
      <w:r w:rsidR="00DE51CA">
        <w:rPr>
          <w:lang w:val="en-GB"/>
        </w:rPr>
        <w:t xml:space="preserve"> </w:t>
      </w:r>
      <w:r w:rsidR="00DE51CA" w:rsidRPr="00487772">
        <w:rPr>
          <w:lang w:val="en-GB"/>
        </w:rPr>
        <w:t xml:space="preserve">Expenditures on health administration </w:t>
      </w:r>
      <w:r w:rsidR="00DE51CA">
        <w:rPr>
          <w:lang w:val="en-GB"/>
        </w:rPr>
        <w:t xml:space="preserve">(HC.7) </w:t>
      </w:r>
      <w:r w:rsidR="00DE51CA" w:rsidRPr="00487772">
        <w:rPr>
          <w:lang w:val="en-GB"/>
        </w:rPr>
        <w:t>exceed prevention</w:t>
      </w:r>
      <w:r w:rsidR="00DE51CA">
        <w:rPr>
          <w:lang w:val="en-GB"/>
        </w:rPr>
        <w:t xml:space="preserve"> and public health services by </w:t>
      </w:r>
      <w:r w:rsidR="00DE51CA" w:rsidRPr="00487772">
        <w:rPr>
          <w:lang w:val="en-GB"/>
        </w:rPr>
        <w:t xml:space="preserve">€ </w:t>
      </w:r>
      <w:r w:rsidR="00DE51CA">
        <w:rPr>
          <w:lang w:val="en-GB"/>
        </w:rPr>
        <w:t xml:space="preserve">1 </w:t>
      </w:r>
      <w:r w:rsidR="00DE51CA" w:rsidRPr="00487772">
        <w:rPr>
          <w:lang w:val="en-GB"/>
        </w:rPr>
        <w:t>million</w:t>
      </w:r>
      <w:r w:rsidR="00DE51CA">
        <w:rPr>
          <w:lang w:val="en-GB"/>
        </w:rPr>
        <w:t xml:space="preserve"> (HC.6)</w:t>
      </w:r>
      <w:r w:rsidR="00DE51CA" w:rsidRPr="00487772">
        <w:rPr>
          <w:lang w:val="en-GB"/>
        </w:rPr>
        <w:t>.</w:t>
      </w:r>
      <w:r w:rsidR="00DE51CA">
        <w:rPr>
          <w:lang w:val="en-GB"/>
        </w:rPr>
        <w:t xml:space="preserve"> </w:t>
      </w:r>
      <w:r>
        <w:rPr>
          <w:lang w:val="en-GB" w:eastAsia="en-US"/>
        </w:rPr>
        <w:t xml:space="preserve">Data is missing for </w:t>
      </w:r>
      <w:r>
        <w:rPr>
          <w:lang w:val="en-GB" w:eastAsia="en-US"/>
        </w:rPr>
        <w:lastRenderedPageBreak/>
        <w:t xml:space="preserve">several </w:t>
      </w:r>
      <w:r w:rsidRPr="00487772">
        <w:rPr>
          <w:lang w:val="en-GB" w:eastAsia="en-US"/>
        </w:rPr>
        <w:t xml:space="preserve">health care function categories. </w:t>
      </w:r>
      <w:r w:rsidR="00DE51CA">
        <w:rPr>
          <w:lang w:val="en-GB" w:eastAsia="en-US"/>
        </w:rPr>
        <w:t>S</w:t>
      </w:r>
      <w:r w:rsidRPr="00487772">
        <w:rPr>
          <w:lang w:val="en-GB" w:eastAsia="en-US"/>
        </w:rPr>
        <w:t>ome health services do not exist in Kosovo; for instance, d</w:t>
      </w:r>
      <w:r w:rsidRPr="00487772">
        <w:rPr>
          <w:lang w:val="en-GB"/>
        </w:rPr>
        <w:t>ay c</w:t>
      </w:r>
      <w:r>
        <w:rPr>
          <w:lang w:val="en-GB"/>
        </w:rPr>
        <w:t>ases</w:t>
      </w:r>
      <w:r w:rsidRPr="00487772">
        <w:rPr>
          <w:lang w:val="en-GB"/>
        </w:rPr>
        <w:t xml:space="preserve"> of health care, services of home care, services of long-term nursing care etc.</w:t>
      </w:r>
    </w:p>
    <w:p w:rsidR="00F84D69" w:rsidRPr="00487772" w:rsidRDefault="00F84D69" w:rsidP="006E336E">
      <w:pPr>
        <w:spacing w:line="360" w:lineRule="auto"/>
        <w:jc w:val="both"/>
        <w:rPr>
          <w:b/>
          <w:lang w:val="en-GB"/>
        </w:rPr>
      </w:pPr>
    </w:p>
    <w:p w:rsidR="00327C00" w:rsidRPr="00F84D69" w:rsidRDefault="00327C00" w:rsidP="00327C00">
      <w:pPr>
        <w:pStyle w:val="BodyText"/>
        <w:rPr>
          <w:b/>
          <w:lang w:val="en-GB"/>
        </w:rPr>
      </w:pPr>
      <w:proofErr w:type="gramStart"/>
      <w:r w:rsidRPr="00F84D69">
        <w:rPr>
          <w:b/>
          <w:lang w:val="en-GB"/>
        </w:rPr>
        <w:t>Figure 2.</w:t>
      </w:r>
      <w:proofErr w:type="gramEnd"/>
      <w:r w:rsidRPr="00F84D69">
        <w:rPr>
          <w:b/>
          <w:lang w:val="en-GB"/>
        </w:rPr>
        <w:t xml:space="preserve"> Total health expenditure by functions of care, 2005</w:t>
      </w:r>
      <w:r w:rsidR="00E75897" w:rsidRPr="00F84D69">
        <w:rPr>
          <w:rStyle w:val="FootnoteReference"/>
          <w:b/>
          <w:lang w:val="en-GB"/>
        </w:rPr>
        <w:footnoteReference w:id="7"/>
      </w:r>
    </w:p>
    <w:p w:rsidR="0072074B" w:rsidRPr="009A70C2" w:rsidRDefault="0012682B" w:rsidP="0072074B">
      <w:pPr>
        <w:spacing w:line="360" w:lineRule="auto"/>
        <w:jc w:val="both"/>
        <w:rPr>
          <w:b/>
          <w:lang w:val="en-GB"/>
        </w:rPr>
      </w:pPr>
      <w:r>
        <w:rPr>
          <w:noProof/>
          <w:lang w:val="en-US" w:eastAsia="en-US"/>
        </w:rPr>
        <w:drawing>
          <wp:inline distT="0" distB="0" distL="0" distR="0">
            <wp:extent cx="5762625"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62625" cy="3505200"/>
                    </a:xfrm>
                    <a:prstGeom prst="rect">
                      <a:avLst/>
                    </a:prstGeom>
                    <a:noFill/>
                    <a:ln w="9525">
                      <a:noFill/>
                      <a:miter lim="800000"/>
                      <a:headEnd/>
                      <a:tailEnd/>
                    </a:ln>
                  </pic:spPr>
                </pic:pic>
              </a:graphicData>
            </a:graphic>
          </wp:inline>
        </w:drawing>
      </w:r>
    </w:p>
    <w:p w:rsidR="0072074B" w:rsidRPr="00487772" w:rsidRDefault="0072074B" w:rsidP="0072074B">
      <w:pPr>
        <w:spacing w:line="360" w:lineRule="auto"/>
        <w:jc w:val="both"/>
        <w:rPr>
          <w:b/>
          <w:lang w:val="en-GB"/>
        </w:rPr>
      </w:pPr>
    </w:p>
    <w:p w:rsidR="0027137B" w:rsidRDefault="0027137B" w:rsidP="00503B23">
      <w:pPr>
        <w:spacing w:line="360" w:lineRule="auto"/>
        <w:jc w:val="both"/>
        <w:rPr>
          <w:lang w:val="en-GB"/>
        </w:rPr>
      </w:pPr>
    </w:p>
    <w:p w:rsidR="00DE51CA" w:rsidRPr="00DE51CA" w:rsidRDefault="00DE51CA" w:rsidP="00503B23">
      <w:pPr>
        <w:spacing w:line="360" w:lineRule="auto"/>
        <w:jc w:val="both"/>
        <w:rPr>
          <w:b/>
          <w:i/>
          <w:lang w:val="en-GB"/>
        </w:rPr>
      </w:pPr>
      <w:r w:rsidRPr="00DE51CA">
        <w:rPr>
          <w:b/>
          <w:i/>
          <w:lang w:val="en-GB"/>
        </w:rPr>
        <w:t>F</w:t>
      </w:r>
      <w:r>
        <w:rPr>
          <w:b/>
          <w:i/>
          <w:lang w:val="en-GB"/>
        </w:rPr>
        <w:t>low of fund f</w:t>
      </w:r>
      <w:r w:rsidRPr="00DE51CA">
        <w:rPr>
          <w:b/>
          <w:i/>
          <w:lang w:val="en-GB"/>
        </w:rPr>
        <w:t>rom sources to functions of care</w:t>
      </w:r>
    </w:p>
    <w:p w:rsidR="00D66813" w:rsidRPr="00487772" w:rsidRDefault="00DE51CA" w:rsidP="00F07264">
      <w:pPr>
        <w:spacing w:line="360" w:lineRule="auto"/>
        <w:jc w:val="both"/>
        <w:rPr>
          <w:lang w:val="en-GB"/>
        </w:rPr>
      </w:pPr>
      <w:r w:rsidRPr="00487772">
        <w:rPr>
          <w:lang w:val="en-GB"/>
        </w:rPr>
        <w:t xml:space="preserve">The main finance source of both in-patient and out-patient curative care is </w:t>
      </w:r>
      <w:r>
        <w:rPr>
          <w:lang w:val="en-GB"/>
        </w:rPr>
        <w:t xml:space="preserve">the </w:t>
      </w:r>
      <w:r w:rsidRPr="00487772">
        <w:rPr>
          <w:lang w:val="en-GB"/>
        </w:rPr>
        <w:t>MOH. From this finance source came 97 percent of all in-patient and 73 percent of all out-patient curative care. In 2005 it spent 69 percent of all central government expenditures on medical care services</w:t>
      </w:r>
      <w:r>
        <w:rPr>
          <w:lang w:val="en-GB"/>
        </w:rPr>
        <w:t xml:space="preserve"> </w:t>
      </w:r>
      <w:r w:rsidRPr="00487772">
        <w:rPr>
          <w:lang w:val="en-GB"/>
        </w:rPr>
        <w:t>(Annex V).</w:t>
      </w:r>
      <w:r>
        <w:rPr>
          <w:lang w:val="en-GB"/>
        </w:rPr>
        <w:t xml:space="preserve">  </w:t>
      </w:r>
      <w:r w:rsidR="0027137B" w:rsidRPr="00487772">
        <w:rPr>
          <w:lang w:val="en-GB"/>
        </w:rPr>
        <w:t xml:space="preserve">In 2005, </w:t>
      </w:r>
      <w:r>
        <w:rPr>
          <w:lang w:val="en-GB"/>
        </w:rPr>
        <w:t>total public</w:t>
      </w:r>
      <w:r w:rsidR="00D66813" w:rsidRPr="00487772">
        <w:rPr>
          <w:lang w:val="en-GB"/>
        </w:rPr>
        <w:t xml:space="preserve"> health</w:t>
      </w:r>
      <w:r w:rsidR="0027137B" w:rsidRPr="00487772">
        <w:rPr>
          <w:lang w:val="en-GB"/>
        </w:rPr>
        <w:t xml:space="preserve"> finances (</w:t>
      </w:r>
      <w:r w:rsidR="00D66813" w:rsidRPr="00487772">
        <w:rPr>
          <w:lang w:val="en-GB"/>
        </w:rPr>
        <w:t>71.4</w:t>
      </w:r>
      <w:r w:rsidR="0027137B" w:rsidRPr="00487772">
        <w:rPr>
          <w:lang w:val="en-GB"/>
        </w:rPr>
        <w:t xml:space="preserve"> € million) were distributed as follows: services of curative care (</w:t>
      </w:r>
      <w:r w:rsidR="00D66813" w:rsidRPr="00487772">
        <w:rPr>
          <w:lang w:val="en-GB"/>
        </w:rPr>
        <w:t>6</w:t>
      </w:r>
      <w:r w:rsidR="0027137B" w:rsidRPr="00487772">
        <w:rPr>
          <w:lang w:val="en-GB"/>
        </w:rPr>
        <w:t>9</w:t>
      </w:r>
      <w:r w:rsidR="00D66813" w:rsidRPr="00487772">
        <w:rPr>
          <w:lang w:val="en-GB"/>
        </w:rPr>
        <w:t>.3</w:t>
      </w:r>
      <w:r w:rsidR="0027137B" w:rsidRPr="00487772">
        <w:rPr>
          <w:lang w:val="en-GB"/>
        </w:rPr>
        <w:t>%)</w:t>
      </w:r>
      <w:r w:rsidR="00D66813" w:rsidRPr="00487772">
        <w:rPr>
          <w:lang w:val="en-GB"/>
        </w:rPr>
        <w:t>, medical goods dispensed to out-patients</w:t>
      </w:r>
      <w:r w:rsidR="000D21BF">
        <w:rPr>
          <w:rStyle w:val="FootnoteReference"/>
          <w:lang w:val="en-GB"/>
        </w:rPr>
        <w:footnoteReference w:id="8"/>
      </w:r>
      <w:r w:rsidR="00D66813" w:rsidRPr="00487772">
        <w:rPr>
          <w:lang w:val="en-GB"/>
        </w:rPr>
        <w:t xml:space="preserve"> (12.3%), capital formation of health care provider institutions (15.8%), prevention and public health services (2.8%)</w:t>
      </w:r>
      <w:r w:rsidR="00EC349F" w:rsidRPr="00487772">
        <w:rPr>
          <w:lang w:val="en-GB"/>
        </w:rPr>
        <w:t>,</w:t>
      </w:r>
      <w:r w:rsidR="00947DF5" w:rsidRPr="00487772">
        <w:rPr>
          <w:lang w:val="en-GB"/>
        </w:rPr>
        <w:t xml:space="preserve"> and health </w:t>
      </w:r>
      <w:r w:rsidR="00D66813" w:rsidRPr="00487772">
        <w:rPr>
          <w:lang w:val="en-GB"/>
        </w:rPr>
        <w:t xml:space="preserve">administration (2.0%). </w:t>
      </w:r>
      <w:r w:rsidR="00947DF5" w:rsidRPr="00487772">
        <w:rPr>
          <w:lang w:val="en-GB"/>
        </w:rPr>
        <w:t>The s</w:t>
      </w:r>
      <w:r w:rsidR="00E726AE" w:rsidRPr="00487772">
        <w:rPr>
          <w:lang w:val="en-GB"/>
        </w:rPr>
        <w:t>ervices of curative care con</w:t>
      </w:r>
      <w:r w:rsidR="00947DF5" w:rsidRPr="00487772">
        <w:rPr>
          <w:lang w:val="en-GB"/>
        </w:rPr>
        <w:t>sist</w:t>
      </w:r>
      <w:r w:rsidR="00BE7611" w:rsidRPr="00487772">
        <w:rPr>
          <w:lang w:val="en-GB"/>
        </w:rPr>
        <w:t xml:space="preserve"> of in-patient and out-</w:t>
      </w:r>
      <w:r w:rsidR="00947DF5" w:rsidRPr="00487772">
        <w:rPr>
          <w:lang w:val="en-GB"/>
        </w:rPr>
        <w:t>patient care, and</w:t>
      </w:r>
      <w:r w:rsidR="00BE7611" w:rsidRPr="00487772">
        <w:rPr>
          <w:lang w:val="en-GB"/>
        </w:rPr>
        <w:t xml:space="preserve"> the biggest part </w:t>
      </w:r>
      <w:r w:rsidR="00E726AE" w:rsidRPr="00487772">
        <w:rPr>
          <w:lang w:val="en-GB"/>
        </w:rPr>
        <w:t xml:space="preserve">of </w:t>
      </w:r>
      <w:r w:rsidR="00BE7611" w:rsidRPr="00487772">
        <w:rPr>
          <w:lang w:val="en-GB"/>
        </w:rPr>
        <w:t xml:space="preserve">resources for out-patient care was distributed through municipalities. Local government financed 94% of all out-patient care </w:t>
      </w:r>
      <w:r>
        <w:rPr>
          <w:lang w:val="en-GB"/>
        </w:rPr>
        <w:t xml:space="preserve">in </w:t>
      </w:r>
      <w:r>
        <w:rPr>
          <w:lang w:val="en-GB"/>
        </w:rPr>
        <w:lastRenderedPageBreak/>
        <w:t xml:space="preserve">the </w:t>
      </w:r>
      <w:r w:rsidR="00BE7611" w:rsidRPr="00487772">
        <w:rPr>
          <w:lang w:val="en-GB"/>
        </w:rPr>
        <w:t>public sector</w:t>
      </w:r>
      <w:r w:rsidR="00023A18">
        <w:rPr>
          <w:lang w:val="en-GB"/>
        </w:rPr>
        <w:t xml:space="preserve"> (</w:t>
      </w:r>
      <w:r w:rsidR="00157668">
        <w:rPr>
          <w:lang w:val="en-GB"/>
        </w:rPr>
        <w:t xml:space="preserve">Annex </w:t>
      </w:r>
      <w:r w:rsidR="00C42D97" w:rsidRPr="00487772">
        <w:rPr>
          <w:lang w:val="en-GB"/>
        </w:rPr>
        <w:t>V</w:t>
      </w:r>
      <w:r w:rsidR="00970C7C" w:rsidRPr="00487772">
        <w:rPr>
          <w:lang w:val="en-GB"/>
        </w:rPr>
        <w:t>)</w:t>
      </w:r>
      <w:r w:rsidR="00BE7611" w:rsidRPr="00487772">
        <w:rPr>
          <w:lang w:val="en-GB"/>
        </w:rPr>
        <w:t>.</w:t>
      </w:r>
      <w:r>
        <w:rPr>
          <w:lang w:val="en-GB"/>
        </w:rPr>
        <w:t xml:space="preserve"> However, in the absence of reliable data on out-of-pocket spending, the share financed through municipalities could be smaller.</w:t>
      </w:r>
    </w:p>
    <w:p w:rsidR="00A23F77" w:rsidRPr="00487772" w:rsidRDefault="00A23F77" w:rsidP="004B3D9D">
      <w:pPr>
        <w:pStyle w:val="Heading1"/>
        <w:numPr>
          <w:ilvl w:val="0"/>
          <w:numId w:val="0"/>
        </w:numPr>
        <w:spacing w:line="360" w:lineRule="auto"/>
        <w:jc w:val="both"/>
        <w:rPr>
          <w:b w:val="0"/>
          <w:bCs w:val="0"/>
          <w:sz w:val="24"/>
          <w:lang w:val="en-GB" w:eastAsia="et-EE"/>
        </w:rPr>
      </w:pPr>
    </w:p>
    <w:p w:rsidR="004B3D9D" w:rsidRPr="00487772" w:rsidRDefault="00DE51CA" w:rsidP="00243819">
      <w:pPr>
        <w:spacing w:line="360" w:lineRule="auto"/>
        <w:jc w:val="both"/>
        <w:rPr>
          <w:lang w:val="en-GB"/>
        </w:rPr>
      </w:pPr>
      <w:r>
        <w:rPr>
          <w:lang w:val="en-GB"/>
        </w:rPr>
        <w:t>The p</w:t>
      </w:r>
      <w:r w:rsidR="004B3D9D" w:rsidRPr="00487772">
        <w:rPr>
          <w:lang w:val="en-GB"/>
        </w:rPr>
        <w:t>rivate sector</w:t>
      </w:r>
      <w:r>
        <w:rPr>
          <w:lang w:val="en-GB"/>
        </w:rPr>
        <w:t xml:space="preserve"> (households)</w:t>
      </w:r>
      <w:r w:rsidR="004B3D9D" w:rsidRPr="00487772">
        <w:rPr>
          <w:lang w:val="en-GB"/>
        </w:rPr>
        <w:t xml:space="preserve"> in Kosovo spent totally 30.3 € </w:t>
      </w:r>
      <w:r w:rsidR="00023A18" w:rsidRPr="00487772">
        <w:rPr>
          <w:lang w:val="en-GB"/>
        </w:rPr>
        <w:t>million</w:t>
      </w:r>
      <w:r w:rsidR="004B3D9D" w:rsidRPr="00487772">
        <w:rPr>
          <w:lang w:val="en-GB"/>
        </w:rPr>
        <w:t xml:space="preserve"> </w:t>
      </w:r>
      <w:r w:rsidR="00A23577" w:rsidRPr="00487772">
        <w:rPr>
          <w:lang w:val="en-GB"/>
        </w:rPr>
        <w:t xml:space="preserve">and </w:t>
      </w:r>
      <w:r w:rsidR="004B3D9D" w:rsidRPr="00487772">
        <w:rPr>
          <w:lang w:val="en-GB"/>
        </w:rPr>
        <w:t>the biggest part went on purchasing of medical goods dispensed to out-patients (67% of all private health expenditures)</w:t>
      </w:r>
      <w:r w:rsidR="00243819" w:rsidRPr="00487772">
        <w:rPr>
          <w:lang w:val="en-GB"/>
        </w:rPr>
        <w:t xml:space="preserve">. Residual private health finance </w:t>
      </w:r>
      <w:r>
        <w:rPr>
          <w:lang w:val="en-GB"/>
        </w:rPr>
        <w:t xml:space="preserve">was </w:t>
      </w:r>
      <w:r w:rsidR="00243819" w:rsidRPr="00487772">
        <w:rPr>
          <w:lang w:val="en-GB"/>
        </w:rPr>
        <w:t>distributed as follow</w:t>
      </w:r>
      <w:r>
        <w:rPr>
          <w:lang w:val="en-GB"/>
        </w:rPr>
        <w:t>s</w:t>
      </w:r>
      <w:r w:rsidR="00243819" w:rsidRPr="00487772">
        <w:rPr>
          <w:lang w:val="en-GB"/>
        </w:rPr>
        <w:t>: services of curative care (28.0%), including out-patient dental care (11.9%)</w:t>
      </w:r>
      <w:r w:rsidR="00EC349F" w:rsidRPr="00487772">
        <w:rPr>
          <w:lang w:val="en-GB"/>
        </w:rPr>
        <w:t>,</w:t>
      </w:r>
      <w:r w:rsidR="00243819" w:rsidRPr="00487772">
        <w:rPr>
          <w:lang w:val="en-GB"/>
        </w:rPr>
        <w:t xml:space="preserve"> and services of rehabilitative care (5.0%)</w:t>
      </w:r>
      <w:r w:rsidR="00023A18">
        <w:rPr>
          <w:lang w:val="en-GB"/>
        </w:rPr>
        <w:t xml:space="preserve"> (Annex </w:t>
      </w:r>
      <w:r w:rsidR="00023A18" w:rsidRPr="00487772">
        <w:rPr>
          <w:lang w:val="en-GB"/>
        </w:rPr>
        <w:t>V)</w:t>
      </w:r>
      <w:r w:rsidR="00243819" w:rsidRPr="00487772">
        <w:rPr>
          <w:lang w:val="en-GB"/>
        </w:rPr>
        <w:t>.</w:t>
      </w:r>
    </w:p>
    <w:p w:rsidR="00243819" w:rsidRPr="00487772" w:rsidRDefault="00243819" w:rsidP="00243819">
      <w:pPr>
        <w:spacing w:line="360" w:lineRule="auto"/>
        <w:jc w:val="both"/>
        <w:rPr>
          <w:lang w:val="en-GB"/>
        </w:rPr>
      </w:pPr>
    </w:p>
    <w:p w:rsidR="00661EF1" w:rsidRDefault="00243819" w:rsidP="00776628">
      <w:pPr>
        <w:spacing w:line="360" w:lineRule="auto"/>
        <w:jc w:val="both"/>
        <w:rPr>
          <w:color w:val="000000"/>
          <w:lang w:val="en-GB"/>
        </w:rPr>
      </w:pPr>
      <w:r w:rsidRPr="00487772">
        <w:rPr>
          <w:color w:val="000000"/>
          <w:lang w:val="en-GB"/>
        </w:rPr>
        <w:t xml:space="preserve">In 2005, donors supported health administration (45.6%), prevention and public health services (13.6%), </w:t>
      </w:r>
      <w:r w:rsidR="00947DF5" w:rsidRPr="00487772">
        <w:rPr>
          <w:color w:val="000000"/>
          <w:lang w:val="en-GB"/>
        </w:rPr>
        <w:t xml:space="preserve">and the </w:t>
      </w:r>
      <w:r w:rsidRPr="00487772">
        <w:rPr>
          <w:color w:val="000000"/>
          <w:lang w:val="en-GB"/>
        </w:rPr>
        <w:t xml:space="preserve">biggest part of </w:t>
      </w:r>
      <w:r w:rsidR="00947DF5" w:rsidRPr="00487772">
        <w:rPr>
          <w:color w:val="000000"/>
          <w:lang w:val="en-GB"/>
        </w:rPr>
        <w:t xml:space="preserve">finance from donors </w:t>
      </w:r>
      <w:r w:rsidRPr="00487772">
        <w:rPr>
          <w:color w:val="000000"/>
          <w:lang w:val="en-GB"/>
        </w:rPr>
        <w:t>went to prevention of communicable diseases (11.9%) and services of curative care (1.2%)</w:t>
      </w:r>
      <w:r w:rsidR="001F7869">
        <w:rPr>
          <w:color w:val="000000"/>
          <w:lang w:val="en-GB"/>
        </w:rPr>
        <w:t xml:space="preserve"> </w:t>
      </w:r>
      <w:r w:rsidR="001F7869">
        <w:rPr>
          <w:lang w:val="en-GB"/>
        </w:rPr>
        <w:t xml:space="preserve">(Annex </w:t>
      </w:r>
      <w:r w:rsidR="001F7869" w:rsidRPr="00487772">
        <w:rPr>
          <w:lang w:val="en-GB"/>
        </w:rPr>
        <w:t>V)</w:t>
      </w:r>
      <w:r w:rsidRPr="00487772">
        <w:rPr>
          <w:color w:val="000000"/>
          <w:lang w:val="en-GB"/>
        </w:rPr>
        <w:t>.</w:t>
      </w:r>
    </w:p>
    <w:p w:rsidR="008B11BF" w:rsidRDefault="008B11BF" w:rsidP="00776628">
      <w:pPr>
        <w:spacing w:line="360" w:lineRule="auto"/>
        <w:jc w:val="both"/>
        <w:rPr>
          <w:color w:val="000000"/>
          <w:lang w:val="en-GB"/>
        </w:rPr>
      </w:pPr>
    </w:p>
    <w:p w:rsidR="001F7869" w:rsidRPr="00DE51CA" w:rsidRDefault="00DE51CA" w:rsidP="00776628">
      <w:pPr>
        <w:spacing w:line="360" w:lineRule="auto"/>
        <w:jc w:val="both"/>
        <w:rPr>
          <w:b/>
          <w:i/>
          <w:lang w:val="en-GB"/>
        </w:rPr>
      </w:pPr>
      <w:r w:rsidRPr="00F84D69">
        <w:rPr>
          <w:b/>
          <w:i/>
          <w:lang w:val="en-GB"/>
        </w:rPr>
        <w:t xml:space="preserve">Health care </w:t>
      </w:r>
      <w:r>
        <w:rPr>
          <w:b/>
          <w:i/>
          <w:lang w:val="en-GB"/>
        </w:rPr>
        <w:t>providers</w:t>
      </w:r>
    </w:p>
    <w:p w:rsidR="00A569F6" w:rsidRDefault="00DE51CA" w:rsidP="00776628">
      <w:pPr>
        <w:spacing w:line="360" w:lineRule="auto"/>
        <w:jc w:val="both"/>
        <w:rPr>
          <w:bCs/>
          <w:lang w:val="en-GB"/>
        </w:rPr>
      </w:pPr>
      <w:r w:rsidRPr="00487772">
        <w:rPr>
          <w:bCs/>
          <w:lang w:val="en-GB"/>
        </w:rPr>
        <w:t xml:space="preserve">It is important to know how much health care providers use for investment and capital formation. </w:t>
      </w:r>
      <w:r w:rsidR="00F72A63" w:rsidRPr="001F7869">
        <w:rPr>
          <w:bCs/>
          <w:lang w:val="en-GB"/>
        </w:rPr>
        <w:t xml:space="preserve">According to </w:t>
      </w:r>
      <w:r w:rsidR="00290666" w:rsidRPr="001F7869">
        <w:rPr>
          <w:bCs/>
          <w:lang w:val="en-GB"/>
        </w:rPr>
        <w:t xml:space="preserve">the </w:t>
      </w:r>
      <w:r w:rsidR="00A569F6">
        <w:rPr>
          <w:bCs/>
          <w:lang w:val="en-GB"/>
        </w:rPr>
        <w:t>S</w:t>
      </w:r>
      <w:r w:rsidR="00947DF5" w:rsidRPr="001F7869">
        <w:rPr>
          <w:bCs/>
          <w:lang w:val="en-GB"/>
        </w:rPr>
        <w:t>HA</w:t>
      </w:r>
      <w:r w:rsidR="00F72A63" w:rsidRPr="001F7869">
        <w:rPr>
          <w:bCs/>
          <w:lang w:val="en-GB"/>
        </w:rPr>
        <w:t xml:space="preserve"> methodology, </w:t>
      </w:r>
      <w:r w:rsidR="00947DF5" w:rsidRPr="001F7869">
        <w:rPr>
          <w:bCs/>
          <w:lang w:val="en-GB"/>
        </w:rPr>
        <w:t>the expenditures of health care providers</w:t>
      </w:r>
      <w:r w:rsidR="00F72A63" w:rsidRPr="001F7869">
        <w:rPr>
          <w:bCs/>
          <w:lang w:val="en-GB"/>
        </w:rPr>
        <w:t xml:space="preserve"> </w:t>
      </w:r>
      <w:r w:rsidR="00290666" w:rsidRPr="001F7869">
        <w:rPr>
          <w:bCs/>
          <w:lang w:val="en-GB"/>
        </w:rPr>
        <w:t>are presented</w:t>
      </w:r>
      <w:r w:rsidR="00F72A63" w:rsidRPr="001F7869">
        <w:rPr>
          <w:bCs/>
          <w:lang w:val="en-GB"/>
        </w:rPr>
        <w:t xml:space="preserve"> only as </w:t>
      </w:r>
      <w:r w:rsidR="00023A18" w:rsidRPr="001F7869">
        <w:rPr>
          <w:bCs/>
          <w:lang w:val="en-GB"/>
        </w:rPr>
        <w:t xml:space="preserve">total </w:t>
      </w:r>
      <w:r w:rsidR="00F72A63" w:rsidRPr="001F7869">
        <w:rPr>
          <w:bCs/>
          <w:lang w:val="en-GB"/>
        </w:rPr>
        <w:t>cur</w:t>
      </w:r>
      <w:r w:rsidR="00290666" w:rsidRPr="001F7869">
        <w:rPr>
          <w:bCs/>
          <w:lang w:val="en-GB"/>
        </w:rPr>
        <w:t>rent</w:t>
      </w:r>
      <w:r w:rsidR="00F72A63" w:rsidRPr="00487772">
        <w:rPr>
          <w:bCs/>
          <w:lang w:val="en-GB"/>
        </w:rPr>
        <w:t xml:space="preserve"> </w:t>
      </w:r>
      <w:r w:rsidR="00023A18">
        <w:rPr>
          <w:bCs/>
          <w:lang w:val="en-GB"/>
        </w:rPr>
        <w:t xml:space="preserve">health </w:t>
      </w:r>
      <w:r w:rsidR="00F72A63" w:rsidRPr="00487772">
        <w:rPr>
          <w:bCs/>
          <w:lang w:val="en-GB"/>
        </w:rPr>
        <w:t xml:space="preserve">expenditures. </w:t>
      </w:r>
      <w:r>
        <w:rPr>
          <w:bCs/>
          <w:lang w:val="en-GB"/>
        </w:rPr>
        <w:t>T</w:t>
      </w:r>
      <w:r w:rsidR="00290666" w:rsidRPr="00487772">
        <w:rPr>
          <w:bCs/>
          <w:lang w:val="en-GB"/>
        </w:rPr>
        <w:t xml:space="preserve">hese expenditures </w:t>
      </w:r>
      <w:r>
        <w:rPr>
          <w:bCs/>
          <w:lang w:val="en-GB"/>
        </w:rPr>
        <w:t>exclude</w:t>
      </w:r>
      <w:r w:rsidR="00290666" w:rsidRPr="00487772">
        <w:rPr>
          <w:bCs/>
          <w:lang w:val="en-GB"/>
        </w:rPr>
        <w:t xml:space="preserve"> spending on capital formation. However</w:t>
      </w:r>
      <w:r w:rsidR="000656EE" w:rsidRPr="00487772">
        <w:rPr>
          <w:bCs/>
          <w:lang w:val="en-GB"/>
        </w:rPr>
        <w:t>,</w:t>
      </w:r>
      <w:r w:rsidR="00290666" w:rsidRPr="00487772">
        <w:rPr>
          <w:bCs/>
          <w:lang w:val="en-GB"/>
        </w:rPr>
        <w:t xml:space="preserve"> following the latest trends, the SHA methodology will be revis</w:t>
      </w:r>
      <w:r w:rsidR="00023A18">
        <w:rPr>
          <w:bCs/>
          <w:lang w:val="en-GB"/>
        </w:rPr>
        <w:t>ed</w:t>
      </w:r>
      <w:r w:rsidR="00290666" w:rsidRPr="00487772">
        <w:rPr>
          <w:bCs/>
          <w:lang w:val="en-GB"/>
        </w:rPr>
        <w:t xml:space="preserve"> in </w:t>
      </w:r>
      <w:r w:rsidR="00661EF1" w:rsidRPr="00487772">
        <w:rPr>
          <w:bCs/>
          <w:lang w:val="en-GB"/>
        </w:rPr>
        <w:t xml:space="preserve">the </w:t>
      </w:r>
      <w:r w:rsidR="00290666" w:rsidRPr="00487772">
        <w:rPr>
          <w:bCs/>
          <w:lang w:val="en-GB"/>
        </w:rPr>
        <w:t xml:space="preserve">near future </w:t>
      </w:r>
      <w:r>
        <w:rPr>
          <w:bCs/>
          <w:lang w:val="en-GB"/>
        </w:rPr>
        <w:t>to include capital expenditures</w:t>
      </w:r>
      <w:r w:rsidR="00290666" w:rsidRPr="00487772">
        <w:rPr>
          <w:bCs/>
          <w:lang w:val="en-GB"/>
        </w:rPr>
        <w:t xml:space="preserve">. </w:t>
      </w:r>
    </w:p>
    <w:p w:rsidR="00DE51CA" w:rsidRDefault="00DE51CA" w:rsidP="00776628">
      <w:pPr>
        <w:spacing w:line="360" w:lineRule="auto"/>
        <w:jc w:val="both"/>
        <w:rPr>
          <w:bCs/>
          <w:lang w:val="en-GB"/>
        </w:rPr>
      </w:pPr>
    </w:p>
    <w:p w:rsidR="00503B23" w:rsidRDefault="00023A18" w:rsidP="00A569F6">
      <w:pPr>
        <w:spacing w:line="360" w:lineRule="auto"/>
        <w:jc w:val="both"/>
        <w:rPr>
          <w:bCs/>
          <w:lang w:val="en-GB"/>
        </w:rPr>
      </w:pPr>
      <w:r>
        <w:rPr>
          <w:lang w:val="en-GB"/>
        </w:rPr>
        <w:t>Total c</w:t>
      </w:r>
      <w:r w:rsidR="00EE6EAF" w:rsidRPr="00487772">
        <w:rPr>
          <w:lang w:val="en-GB"/>
        </w:rPr>
        <w:t xml:space="preserve">urrent expenditures amount to 95.9 € million or 89 percent of </w:t>
      </w:r>
      <w:r w:rsidR="007129DD" w:rsidRPr="00487772">
        <w:rPr>
          <w:lang w:val="en-GB"/>
        </w:rPr>
        <w:t>THE</w:t>
      </w:r>
      <w:r w:rsidRPr="00023A18">
        <w:rPr>
          <w:lang w:val="en-GB"/>
        </w:rPr>
        <w:t xml:space="preserve"> </w:t>
      </w:r>
      <w:r w:rsidRPr="00487772">
        <w:rPr>
          <w:lang w:val="en-GB"/>
        </w:rPr>
        <w:t>in 2005</w:t>
      </w:r>
      <w:r w:rsidR="00EE6EAF" w:rsidRPr="00487772">
        <w:rPr>
          <w:lang w:val="en-GB"/>
        </w:rPr>
        <w:t>. Public, private and external resource</w:t>
      </w:r>
      <w:r w:rsidR="00DE51CA">
        <w:rPr>
          <w:lang w:val="en-GB"/>
        </w:rPr>
        <w:t xml:space="preserve"> were</w:t>
      </w:r>
      <w:r w:rsidR="00EE6EAF" w:rsidRPr="00487772">
        <w:rPr>
          <w:lang w:val="en-GB"/>
        </w:rPr>
        <w:t xml:space="preserve"> distribute</w:t>
      </w:r>
      <w:r w:rsidR="0058581A">
        <w:rPr>
          <w:lang w:val="en-GB"/>
        </w:rPr>
        <w:t>d</w:t>
      </w:r>
      <w:r w:rsidR="00EE6EAF" w:rsidRPr="00487772">
        <w:rPr>
          <w:lang w:val="en-GB"/>
        </w:rPr>
        <w:t xml:space="preserve"> </w:t>
      </w:r>
      <w:r w:rsidR="0058581A">
        <w:rPr>
          <w:lang w:val="en-GB"/>
        </w:rPr>
        <w:t>across</w:t>
      </w:r>
      <w:r w:rsidR="00EE6EAF" w:rsidRPr="00487772">
        <w:rPr>
          <w:lang w:val="en-GB"/>
        </w:rPr>
        <w:t xml:space="preserve"> health care providers as follow</w:t>
      </w:r>
      <w:r w:rsidR="000656EE" w:rsidRPr="00487772">
        <w:rPr>
          <w:lang w:val="en-GB"/>
        </w:rPr>
        <w:t>ing</w:t>
      </w:r>
      <w:r w:rsidR="00EE6EAF" w:rsidRPr="00487772">
        <w:rPr>
          <w:lang w:val="en-GB"/>
        </w:rPr>
        <w:t>: hospitals (29.1%), providers of ambulatory health care (32.5%), retail sale and other providers of medical goods</w:t>
      </w:r>
      <w:r w:rsidR="000E1E15">
        <w:rPr>
          <w:rStyle w:val="FootnoteReference"/>
          <w:lang w:val="en-GB"/>
        </w:rPr>
        <w:footnoteReference w:id="9"/>
      </w:r>
      <w:r w:rsidR="00EE6EAF" w:rsidRPr="00487772">
        <w:rPr>
          <w:lang w:val="en-GB"/>
        </w:rPr>
        <w:t xml:space="preserve"> (30.7%), provision and administration of public health programmes (3.8%), general health administration (2.2%)</w:t>
      </w:r>
      <w:r w:rsidR="000656EE" w:rsidRPr="00487772">
        <w:rPr>
          <w:lang w:val="en-GB"/>
        </w:rPr>
        <w:t>,</w:t>
      </w:r>
      <w:r w:rsidR="00EE6EAF" w:rsidRPr="00487772">
        <w:rPr>
          <w:lang w:val="en-GB"/>
        </w:rPr>
        <w:t xml:space="preserve"> and nursing and residential care facilities (0.9%). Rest of the world</w:t>
      </w:r>
      <w:r w:rsidR="00D75FA7" w:rsidRPr="00487772">
        <w:rPr>
          <w:lang w:val="en-GB"/>
        </w:rPr>
        <w:t xml:space="preserve"> (</w:t>
      </w:r>
      <w:r w:rsidR="00503B23" w:rsidRPr="00487772">
        <w:rPr>
          <w:lang w:val="en-GB"/>
        </w:rPr>
        <w:t>0.7% or 0.8 € million</w:t>
      </w:r>
      <w:r w:rsidR="00D75FA7" w:rsidRPr="00487772">
        <w:rPr>
          <w:lang w:val="en-GB"/>
        </w:rPr>
        <w:t xml:space="preserve">) includes </w:t>
      </w:r>
      <w:r w:rsidR="00503B23" w:rsidRPr="00487772">
        <w:rPr>
          <w:lang w:val="en-GB"/>
        </w:rPr>
        <w:t xml:space="preserve">the treatment abroad financed by MOH (see Figure 3). </w:t>
      </w:r>
      <w:r w:rsidR="0025415A">
        <w:rPr>
          <w:lang w:val="en-GB"/>
        </w:rPr>
        <w:t>Current expenditures of providers</w:t>
      </w:r>
      <w:r w:rsidR="00503B23" w:rsidRPr="00487772">
        <w:rPr>
          <w:lang w:val="en-GB"/>
        </w:rPr>
        <w:t xml:space="preserve"> </w:t>
      </w:r>
      <w:r w:rsidR="0025415A">
        <w:rPr>
          <w:lang w:val="en-GB"/>
        </w:rPr>
        <w:t>are</w:t>
      </w:r>
      <w:r w:rsidR="00503B23" w:rsidRPr="00487772">
        <w:rPr>
          <w:lang w:val="en-GB"/>
        </w:rPr>
        <w:t xml:space="preserve"> greatly underestimated</w:t>
      </w:r>
      <w:r w:rsidR="0025415A">
        <w:rPr>
          <w:lang w:val="en-GB"/>
        </w:rPr>
        <w:t xml:space="preserve">, as </w:t>
      </w:r>
      <w:r w:rsidR="00503B23" w:rsidRPr="00487772">
        <w:rPr>
          <w:lang w:val="en-GB"/>
        </w:rPr>
        <w:t xml:space="preserve">expenditures </w:t>
      </w:r>
      <w:r w:rsidR="0025415A">
        <w:rPr>
          <w:lang w:val="en-GB"/>
        </w:rPr>
        <w:t xml:space="preserve">paid for by </w:t>
      </w:r>
      <w:r w:rsidR="00503B23" w:rsidRPr="00487772">
        <w:rPr>
          <w:lang w:val="en-GB"/>
        </w:rPr>
        <w:t>households</w:t>
      </w:r>
      <w:r w:rsidR="0025415A">
        <w:rPr>
          <w:lang w:val="en-GB"/>
        </w:rPr>
        <w:t xml:space="preserve"> (e.g. payments made for treatment abroad) are excluded</w:t>
      </w:r>
      <w:r w:rsidR="00503B23" w:rsidRPr="00487772">
        <w:rPr>
          <w:lang w:val="en-GB"/>
        </w:rPr>
        <w:t xml:space="preserve">. </w:t>
      </w:r>
      <w:r w:rsidR="0058581A">
        <w:rPr>
          <w:lang w:val="en-GB"/>
        </w:rPr>
        <w:t>Sometimes Kosovars</w:t>
      </w:r>
      <w:r w:rsidR="00503B23" w:rsidRPr="00487772">
        <w:rPr>
          <w:lang w:val="en-GB"/>
        </w:rPr>
        <w:t xml:space="preserve"> go abroad to get cancer</w:t>
      </w:r>
      <w:r w:rsidR="00665BBA" w:rsidRPr="00487772">
        <w:rPr>
          <w:lang w:val="en-GB"/>
        </w:rPr>
        <w:t xml:space="preserve"> and </w:t>
      </w:r>
      <w:r w:rsidR="00961A03" w:rsidRPr="00487772">
        <w:rPr>
          <w:lang w:val="en-GB"/>
        </w:rPr>
        <w:t>genecology</w:t>
      </w:r>
      <w:r w:rsidR="00503B23" w:rsidRPr="00487772">
        <w:rPr>
          <w:lang w:val="en-GB"/>
        </w:rPr>
        <w:t xml:space="preserve"> treatment </w:t>
      </w:r>
      <w:r w:rsidR="00947DF5" w:rsidRPr="00487772">
        <w:rPr>
          <w:lang w:val="en-GB"/>
        </w:rPr>
        <w:t xml:space="preserve">or maternity care etc. </w:t>
      </w:r>
      <w:r w:rsidR="00503B23" w:rsidRPr="00487772">
        <w:rPr>
          <w:lang w:val="en-GB"/>
        </w:rPr>
        <w:t>in</w:t>
      </w:r>
      <w:r w:rsidR="00947DF5" w:rsidRPr="00487772">
        <w:rPr>
          <w:lang w:val="en-GB"/>
        </w:rPr>
        <w:t xml:space="preserve"> hospitals.</w:t>
      </w:r>
      <w:r w:rsidR="00503B23" w:rsidRPr="00487772">
        <w:rPr>
          <w:lang w:val="en-GB"/>
        </w:rPr>
        <w:t xml:space="preserve"> </w:t>
      </w:r>
    </w:p>
    <w:p w:rsidR="00A569F6" w:rsidRDefault="00A569F6" w:rsidP="00A569F6">
      <w:pPr>
        <w:spacing w:line="360" w:lineRule="auto"/>
        <w:jc w:val="both"/>
        <w:rPr>
          <w:bCs/>
          <w:lang w:val="en-GB"/>
        </w:rPr>
      </w:pPr>
    </w:p>
    <w:p w:rsidR="00290666" w:rsidRPr="00271EAE" w:rsidRDefault="00290666" w:rsidP="00503B23">
      <w:pPr>
        <w:pStyle w:val="BodyText"/>
        <w:rPr>
          <w:b/>
          <w:lang w:val="en-GB"/>
        </w:rPr>
      </w:pPr>
      <w:proofErr w:type="gramStart"/>
      <w:r w:rsidRPr="00271EAE">
        <w:rPr>
          <w:b/>
          <w:lang w:val="en-GB"/>
        </w:rPr>
        <w:t>Figure 3.</w:t>
      </w:r>
      <w:proofErr w:type="gramEnd"/>
      <w:r w:rsidRPr="00271EAE">
        <w:rPr>
          <w:b/>
          <w:lang w:val="en-GB"/>
        </w:rPr>
        <w:t xml:space="preserve"> Current health expenditure by providers of health care, 2005</w:t>
      </w:r>
      <w:r w:rsidR="00643BB9">
        <w:rPr>
          <w:b/>
          <w:lang w:val="en-GB"/>
        </w:rPr>
        <w:t xml:space="preserve"> (Annex V</w:t>
      </w:r>
      <w:proofErr w:type="gramStart"/>
      <w:r w:rsidR="00643BB9">
        <w:rPr>
          <w:b/>
          <w:lang w:val="en-GB"/>
        </w:rPr>
        <w:t>;T2</w:t>
      </w:r>
      <w:proofErr w:type="gramEnd"/>
      <w:r w:rsidR="00643BB9">
        <w:rPr>
          <w:b/>
          <w:lang w:val="en-GB"/>
        </w:rPr>
        <w:t>)</w:t>
      </w:r>
    </w:p>
    <w:p w:rsidR="00290666" w:rsidRPr="00271EAE" w:rsidRDefault="0012682B" w:rsidP="00290666">
      <w:pPr>
        <w:rPr>
          <w:lang w:val="en-GB"/>
        </w:rPr>
      </w:pPr>
      <w:r>
        <w:rPr>
          <w:noProof/>
          <w:lang w:val="en-US" w:eastAsia="en-US"/>
        </w:rPr>
        <w:lastRenderedPageBreak/>
        <w:drawing>
          <wp:inline distT="0" distB="0" distL="0" distR="0">
            <wp:extent cx="5762625" cy="3133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62625" cy="3133725"/>
                    </a:xfrm>
                    <a:prstGeom prst="rect">
                      <a:avLst/>
                    </a:prstGeom>
                    <a:noFill/>
                    <a:ln w="9525">
                      <a:noFill/>
                      <a:miter lim="800000"/>
                      <a:headEnd/>
                      <a:tailEnd/>
                    </a:ln>
                  </pic:spPr>
                </pic:pic>
              </a:graphicData>
            </a:graphic>
          </wp:inline>
        </w:drawing>
      </w:r>
    </w:p>
    <w:p w:rsidR="00503B23" w:rsidRPr="00487772" w:rsidRDefault="00503B23" w:rsidP="00A23F77">
      <w:pPr>
        <w:pStyle w:val="Heading1"/>
        <w:numPr>
          <w:ilvl w:val="0"/>
          <w:numId w:val="0"/>
        </w:numPr>
        <w:spacing w:line="360" w:lineRule="auto"/>
        <w:jc w:val="both"/>
        <w:rPr>
          <w:b w:val="0"/>
          <w:bCs w:val="0"/>
          <w:sz w:val="24"/>
          <w:lang w:val="en-GB" w:eastAsia="et-EE"/>
        </w:rPr>
      </w:pPr>
    </w:p>
    <w:p w:rsidR="00BC4229" w:rsidRPr="00487772" w:rsidRDefault="00503B23" w:rsidP="00BC4229">
      <w:pPr>
        <w:spacing w:line="360" w:lineRule="auto"/>
        <w:jc w:val="both"/>
        <w:rPr>
          <w:lang w:val="en-GB"/>
        </w:rPr>
      </w:pPr>
      <w:r w:rsidRPr="0058581A">
        <w:rPr>
          <w:lang w:val="en-GB"/>
        </w:rPr>
        <w:t>In 2005</w:t>
      </w:r>
      <w:r w:rsidR="00723058" w:rsidRPr="0058581A">
        <w:rPr>
          <w:lang w:val="en-GB"/>
        </w:rPr>
        <w:t xml:space="preserve">, </w:t>
      </w:r>
      <w:r w:rsidR="00DD0DBB">
        <w:rPr>
          <w:lang w:val="en-GB"/>
        </w:rPr>
        <w:t xml:space="preserve">the main revenue source for </w:t>
      </w:r>
      <w:r w:rsidR="00723058" w:rsidRPr="0058581A">
        <w:rPr>
          <w:lang w:val="en-GB"/>
        </w:rPr>
        <w:t xml:space="preserve">hospitals </w:t>
      </w:r>
      <w:r w:rsidR="00DD0DBB">
        <w:rPr>
          <w:lang w:val="en-GB"/>
        </w:rPr>
        <w:t>came</w:t>
      </w:r>
      <w:r w:rsidR="00723058" w:rsidRPr="0058581A">
        <w:rPr>
          <w:lang w:val="en-GB"/>
        </w:rPr>
        <w:t xml:space="preserve"> fro</w:t>
      </w:r>
      <w:r w:rsidR="00522665" w:rsidRPr="0058581A">
        <w:rPr>
          <w:lang w:val="en-GB"/>
        </w:rPr>
        <w:t xml:space="preserve">m </w:t>
      </w:r>
      <w:r w:rsidR="00DD0DBB">
        <w:rPr>
          <w:lang w:val="en-GB"/>
        </w:rPr>
        <w:t xml:space="preserve">the </w:t>
      </w:r>
      <w:r w:rsidR="00522665" w:rsidRPr="0058581A">
        <w:rPr>
          <w:lang w:val="en-GB"/>
        </w:rPr>
        <w:t xml:space="preserve">central government (95.9%) </w:t>
      </w:r>
      <w:r w:rsidR="00DD0DBB">
        <w:rPr>
          <w:lang w:val="en-GB"/>
        </w:rPr>
        <w:t>and</w:t>
      </w:r>
      <w:r w:rsidR="00723058" w:rsidRPr="0058581A">
        <w:rPr>
          <w:lang w:val="en-GB"/>
        </w:rPr>
        <w:t xml:space="preserve"> </w:t>
      </w:r>
      <w:r w:rsidR="00C74A21" w:rsidRPr="0058581A">
        <w:rPr>
          <w:lang w:val="en-GB"/>
        </w:rPr>
        <w:t>significantly</w:t>
      </w:r>
      <w:r w:rsidR="00522665" w:rsidRPr="0058581A">
        <w:rPr>
          <w:lang w:val="en-GB"/>
        </w:rPr>
        <w:t xml:space="preserve"> less fro</w:t>
      </w:r>
      <w:r w:rsidR="00723058" w:rsidRPr="0058581A">
        <w:rPr>
          <w:lang w:val="en-GB"/>
        </w:rPr>
        <w:t xml:space="preserve">m </w:t>
      </w:r>
      <w:r w:rsidR="00DD0DBB">
        <w:rPr>
          <w:lang w:val="en-GB"/>
        </w:rPr>
        <w:t>households</w:t>
      </w:r>
      <w:r w:rsidR="00723058" w:rsidRPr="0058581A">
        <w:rPr>
          <w:lang w:val="en-GB"/>
        </w:rPr>
        <w:t xml:space="preserve"> </w:t>
      </w:r>
      <w:r w:rsidR="0058581A" w:rsidRPr="0058581A">
        <w:rPr>
          <w:lang w:val="en-GB"/>
        </w:rPr>
        <w:t xml:space="preserve">– OOP </w:t>
      </w:r>
      <w:r w:rsidR="00723058" w:rsidRPr="0058581A">
        <w:rPr>
          <w:lang w:val="en-GB"/>
        </w:rPr>
        <w:t>(3.2%) and donors (1.0%).</w:t>
      </w:r>
      <w:r w:rsidR="00234493" w:rsidRPr="0058581A">
        <w:rPr>
          <w:lang w:val="en-GB"/>
        </w:rPr>
        <w:t xml:space="preserve"> Nursing and</w:t>
      </w:r>
      <w:r w:rsidR="000E1E15">
        <w:rPr>
          <w:lang w:val="en-GB"/>
        </w:rPr>
        <w:t xml:space="preserve"> residential care facilities </w:t>
      </w:r>
      <w:r w:rsidR="00234493" w:rsidRPr="0058581A">
        <w:rPr>
          <w:lang w:val="en-GB"/>
        </w:rPr>
        <w:t xml:space="preserve">were financed 100% from </w:t>
      </w:r>
      <w:r w:rsidR="00C74A21" w:rsidRPr="0058581A">
        <w:rPr>
          <w:lang w:val="en-GB"/>
        </w:rPr>
        <w:t xml:space="preserve">the </w:t>
      </w:r>
      <w:r w:rsidR="00234493" w:rsidRPr="0058581A">
        <w:rPr>
          <w:lang w:val="en-GB"/>
        </w:rPr>
        <w:t>central government</w:t>
      </w:r>
      <w:r w:rsidR="00DD0DBB">
        <w:rPr>
          <w:lang w:val="en-GB"/>
        </w:rPr>
        <w:t>.</w:t>
      </w:r>
      <w:r w:rsidR="000E1E15">
        <w:rPr>
          <w:lang w:val="en-GB"/>
        </w:rPr>
        <w:t xml:space="preserve"> </w:t>
      </w:r>
      <w:r w:rsidR="00234493" w:rsidRPr="0058581A">
        <w:rPr>
          <w:lang w:val="en-GB"/>
        </w:rPr>
        <w:t xml:space="preserve">Providers of ambulatory health care got 63.3% of own resources from municipalities, 29.8% from households and 6.6% from </w:t>
      </w:r>
      <w:r w:rsidR="00C74A21" w:rsidRPr="0058581A">
        <w:rPr>
          <w:lang w:val="en-GB"/>
        </w:rPr>
        <w:t xml:space="preserve">the </w:t>
      </w:r>
      <w:r w:rsidR="00234493" w:rsidRPr="0058581A">
        <w:rPr>
          <w:lang w:val="en-GB"/>
        </w:rPr>
        <w:t xml:space="preserve">state budget. Provision and administration of public health programmes were financed mainly by </w:t>
      </w:r>
      <w:r w:rsidR="00C74A21" w:rsidRPr="0058581A">
        <w:rPr>
          <w:lang w:val="en-GB"/>
        </w:rPr>
        <w:t xml:space="preserve">the </w:t>
      </w:r>
      <w:r w:rsidR="00234493" w:rsidRPr="0058581A">
        <w:rPr>
          <w:lang w:val="en-GB"/>
        </w:rPr>
        <w:t xml:space="preserve">central government (77.9%) and by international organisations (22.1%). General health administration also got </w:t>
      </w:r>
      <w:r w:rsidR="00FB5A40" w:rsidRPr="0058581A">
        <w:rPr>
          <w:lang w:val="en-GB"/>
        </w:rPr>
        <w:t>finance</w:t>
      </w:r>
      <w:r w:rsidR="00234493" w:rsidRPr="0058581A">
        <w:rPr>
          <w:lang w:val="en-GB"/>
        </w:rPr>
        <w:t xml:space="preserve"> from donors (66.2%) and government (37.8%)</w:t>
      </w:r>
      <w:r w:rsidR="00DD0DBB">
        <w:rPr>
          <w:lang w:val="en-GB"/>
        </w:rPr>
        <w:t xml:space="preserve"> </w:t>
      </w:r>
      <w:proofErr w:type="gramStart"/>
      <w:r w:rsidR="00DD0DBB">
        <w:rPr>
          <w:lang w:val="en-GB"/>
        </w:rPr>
        <w:t>(Annex V</w:t>
      </w:r>
      <w:r w:rsidR="00643BB9">
        <w:rPr>
          <w:lang w:val="en-GB"/>
        </w:rPr>
        <w:t>.</w:t>
      </w:r>
      <w:r w:rsidR="00DD0DBB">
        <w:rPr>
          <w:lang w:val="en-GB"/>
        </w:rPr>
        <w:t xml:space="preserve"> Table 2)</w:t>
      </w:r>
      <w:r w:rsidR="00DD0DBB" w:rsidRPr="0058581A">
        <w:rPr>
          <w:lang w:val="en-GB"/>
        </w:rPr>
        <w:t>.</w:t>
      </w:r>
      <w:proofErr w:type="gramEnd"/>
    </w:p>
    <w:p w:rsidR="00812310" w:rsidRPr="00487772" w:rsidRDefault="00BC4229" w:rsidP="007B0D4B">
      <w:pPr>
        <w:pStyle w:val="Heading1"/>
        <w:numPr>
          <w:ilvl w:val="0"/>
          <w:numId w:val="0"/>
        </w:numPr>
        <w:spacing w:line="360" w:lineRule="auto"/>
        <w:jc w:val="both"/>
        <w:rPr>
          <w:lang w:val="en-GB"/>
        </w:rPr>
      </w:pPr>
      <w:r w:rsidRPr="00487772">
        <w:rPr>
          <w:lang w:val="en-GB"/>
        </w:rPr>
        <w:br w:type="page"/>
      </w:r>
      <w:bookmarkStart w:id="9" w:name="_Toc175548177"/>
      <w:r w:rsidR="006E336E" w:rsidRPr="007B0D4B">
        <w:rPr>
          <w:bCs w:val="0"/>
          <w:sz w:val="24"/>
          <w:lang w:val="en-GB"/>
        </w:rPr>
        <w:lastRenderedPageBreak/>
        <w:t>Recommendations</w:t>
      </w:r>
      <w:bookmarkEnd w:id="9"/>
    </w:p>
    <w:p w:rsidR="008B11BF" w:rsidRPr="008B11BF" w:rsidRDefault="00A2114A" w:rsidP="00E72960">
      <w:pPr>
        <w:numPr>
          <w:ilvl w:val="0"/>
          <w:numId w:val="2"/>
        </w:numPr>
        <w:spacing w:line="360" w:lineRule="auto"/>
        <w:jc w:val="both"/>
        <w:rPr>
          <w:bCs/>
          <w:lang w:val="en-GB"/>
        </w:rPr>
      </w:pPr>
      <w:r w:rsidRPr="00487772">
        <w:rPr>
          <w:bCs/>
          <w:lang w:val="en-GB"/>
        </w:rPr>
        <w:t xml:space="preserve">For providing NHA on </w:t>
      </w:r>
      <w:r w:rsidR="00BE43A0" w:rsidRPr="00487772">
        <w:rPr>
          <w:bCs/>
          <w:lang w:val="en-GB"/>
        </w:rPr>
        <w:t xml:space="preserve">the </w:t>
      </w:r>
      <w:r w:rsidRPr="00487772">
        <w:rPr>
          <w:bCs/>
          <w:lang w:val="en-GB"/>
        </w:rPr>
        <w:t>regular basis in Kosovo</w:t>
      </w:r>
      <w:r w:rsidR="00FB5A40" w:rsidRPr="00487772">
        <w:rPr>
          <w:bCs/>
          <w:lang w:val="en-GB"/>
        </w:rPr>
        <w:t>, the</w:t>
      </w:r>
      <w:r w:rsidRPr="00487772">
        <w:rPr>
          <w:bCs/>
          <w:lang w:val="en-GB"/>
        </w:rPr>
        <w:t xml:space="preserve"> institutionalization of the accounts should be done.</w:t>
      </w:r>
      <w:r w:rsidRPr="00487772">
        <w:rPr>
          <w:b/>
          <w:lang w:val="en-GB"/>
        </w:rPr>
        <w:t xml:space="preserve"> </w:t>
      </w:r>
    </w:p>
    <w:p w:rsidR="008B11BF" w:rsidRDefault="00FB5A40" w:rsidP="008B11BF">
      <w:pPr>
        <w:numPr>
          <w:ilvl w:val="1"/>
          <w:numId w:val="2"/>
        </w:numPr>
        <w:spacing w:line="360" w:lineRule="auto"/>
        <w:jc w:val="both"/>
        <w:rPr>
          <w:bCs/>
          <w:lang w:val="en-GB"/>
        </w:rPr>
      </w:pPr>
      <w:r w:rsidRPr="00487772">
        <w:rPr>
          <w:bCs/>
          <w:lang w:val="en-GB"/>
        </w:rPr>
        <w:t>First of all, a technical group</w:t>
      </w:r>
      <w:r w:rsidR="00C47CDE" w:rsidRPr="00487772">
        <w:rPr>
          <w:bCs/>
          <w:lang w:val="en-GB"/>
        </w:rPr>
        <w:t xml:space="preserve"> which includes representatives of different stakeholders like </w:t>
      </w:r>
      <w:r w:rsidR="00273725" w:rsidRPr="00487772">
        <w:rPr>
          <w:bCs/>
          <w:lang w:val="en-GB"/>
        </w:rPr>
        <w:t>MEF</w:t>
      </w:r>
      <w:r w:rsidR="00C47CDE" w:rsidRPr="00487772">
        <w:rPr>
          <w:bCs/>
          <w:lang w:val="en-GB"/>
        </w:rPr>
        <w:t>, MOH, SOK, NIPH etc</w:t>
      </w:r>
      <w:r w:rsidRPr="00487772">
        <w:rPr>
          <w:bCs/>
          <w:lang w:val="en-GB"/>
        </w:rPr>
        <w:t>.</w:t>
      </w:r>
      <w:r w:rsidR="00C47CDE" w:rsidRPr="00487772">
        <w:rPr>
          <w:bCs/>
          <w:lang w:val="en-GB"/>
        </w:rPr>
        <w:t xml:space="preserve"> should be formed. </w:t>
      </w:r>
    </w:p>
    <w:p w:rsidR="008B11BF" w:rsidRDefault="00FB5A40" w:rsidP="008B11BF">
      <w:pPr>
        <w:numPr>
          <w:ilvl w:val="1"/>
          <w:numId w:val="2"/>
        </w:numPr>
        <w:spacing w:line="360" w:lineRule="auto"/>
        <w:jc w:val="both"/>
        <w:rPr>
          <w:bCs/>
          <w:lang w:val="en-GB"/>
        </w:rPr>
      </w:pPr>
      <w:r w:rsidRPr="00487772">
        <w:rPr>
          <w:bCs/>
          <w:lang w:val="en-GB"/>
        </w:rPr>
        <w:t>The i</w:t>
      </w:r>
      <w:r w:rsidR="000641B6" w:rsidRPr="00487772">
        <w:rPr>
          <w:bCs/>
          <w:lang w:val="en-GB"/>
        </w:rPr>
        <w:t>mplementation of the NHA requires politica</w:t>
      </w:r>
      <w:r w:rsidR="00643BB9">
        <w:rPr>
          <w:bCs/>
          <w:lang w:val="en-GB"/>
        </w:rPr>
        <w:t>l commitment and financial support through the budget.</w:t>
      </w:r>
    </w:p>
    <w:p w:rsidR="008B11BF" w:rsidRPr="008B11BF" w:rsidRDefault="00643BB9" w:rsidP="008B11BF">
      <w:pPr>
        <w:numPr>
          <w:ilvl w:val="1"/>
          <w:numId w:val="2"/>
        </w:numPr>
        <w:spacing w:line="360" w:lineRule="auto"/>
        <w:jc w:val="both"/>
        <w:rPr>
          <w:bCs/>
          <w:lang w:val="en-GB"/>
        </w:rPr>
      </w:pPr>
      <w:r>
        <w:rPr>
          <w:lang w:val="en-GB"/>
        </w:rPr>
        <w:t>An assessment of the r</w:t>
      </w:r>
      <w:r w:rsidR="000641B6" w:rsidRPr="00487772">
        <w:rPr>
          <w:lang w:val="en-GB"/>
        </w:rPr>
        <w:t xml:space="preserve">elevant institutional capacity </w:t>
      </w:r>
      <w:r>
        <w:rPr>
          <w:lang w:val="en-GB"/>
        </w:rPr>
        <w:t xml:space="preserve">and </w:t>
      </w:r>
      <w:r w:rsidRPr="00487772">
        <w:rPr>
          <w:lang w:val="en-GB"/>
        </w:rPr>
        <w:t xml:space="preserve">regulations </w:t>
      </w:r>
      <w:r w:rsidR="00E726AE" w:rsidRPr="00487772">
        <w:rPr>
          <w:lang w:val="en-GB"/>
        </w:rPr>
        <w:t>is to be conducted</w:t>
      </w:r>
      <w:r w:rsidR="00947DF5" w:rsidRPr="00487772">
        <w:rPr>
          <w:lang w:val="en-GB"/>
        </w:rPr>
        <w:t xml:space="preserve">, </w:t>
      </w:r>
      <w:r>
        <w:rPr>
          <w:lang w:val="en-GB"/>
        </w:rPr>
        <w:t>based on which NHA can be institutionalized.</w:t>
      </w:r>
      <w:r w:rsidR="00947DF5" w:rsidRPr="00487772">
        <w:rPr>
          <w:lang w:val="en-GB"/>
        </w:rPr>
        <w:t xml:space="preserve"> </w:t>
      </w:r>
      <w:r w:rsidR="00625E18" w:rsidRPr="00487772">
        <w:rPr>
          <w:lang w:val="en-GB"/>
        </w:rPr>
        <w:t xml:space="preserve"> </w:t>
      </w:r>
    </w:p>
    <w:p w:rsidR="00625E18" w:rsidRPr="00487772" w:rsidRDefault="00625E18" w:rsidP="008B11BF">
      <w:pPr>
        <w:numPr>
          <w:ilvl w:val="1"/>
          <w:numId w:val="2"/>
        </w:numPr>
        <w:spacing w:line="360" w:lineRule="auto"/>
        <w:jc w:val="both"/>
        <w:rPr>
          <w:bCs/>
          <w:lang w:val="en-GB"/>
        </w:rPr>
      </w:pPr>
      <w:r w:rsidRPr="00487772">
        <w:rPr>
          <w:lang w:val="en-GB"/>
        </w:rPr>
        <w:t>Organisational changes within the implementing agency are required as well as co-operation among several organisations.</w:t>
      </w:r>
    </w:p>
    <w:p w:rsidR="00625E18" w:rsidRPr="00487772" w:rsidRDefault="00625E18" w:rsidP="00E72960">
      <w:pPr>
        <w:spacing w:line="360" w:lineRule="auto"/>
        <w:jc w:val="both"/>
        <w:rPr>
          <w:b/>
          <w:lang w:val="en-GB"/>
        </w:rPr>
      </w:pPr>
    </w:p>
    <w:p w:rsidR="00CC733F" w:rsidRPr="00487772" w:rsidRDefault="00625E18" w:rsidP="00E72960">
      <w:pPr>
        <w:numPr>
          <w:ilvl w:val="0"/>
          <w:numId w:val="2"/>
        </w:numPr>
        <w:spacing w:line="360" w:lineRule="auto"/>
        <w:jc w:val="both"/>
        <w:rPr>
          <w:lang w:val="en-GB"/>
        </w:rPr>
      </w:pPr>
      <w:r w:rsidRPr="00487772">
        <w:rPr>
          <w:lang w:val="en-GB"/>
        </w:rPr>
        <w:t>Changes in statistical approach and changes in data processing (and oft</w:t>
      </w:r>
      <w:r w:rsidR="00FB5A40" w:rsidRPr="00487772">
        <w:rPr>
          <w:lang w:val="en-GB"/>
        </w:rPr>
        <w:t>en in data gathering) are necessary</w:t>
      </w:r>
      <w:r w:rsidR="006B1311" w:rsidRPr="00487772">
        <w:rPr>
          <w:lang w:val="en-GB"/>
        </w:rPr>
        <w:t xml:space="preserve"> as well a</w:t>
      </w:r>
      <w:r w:rsidR="00CA7C2E" w:rsidRPr="00487772">
        <w:rPr>
          <w:lang w:val="en-GB"/>
        </w:rPr>
        <w:t>s a</w:t>
      </w:r>
      <w:r w:rsidR="006B1311" w:rsidRPr="00487772">
        <w:rPr>
          <w:lang w:val="en-GB"/>
        </w:rPr>
        <w:t xml:space="preserve"> </w:t>
      </w:r>
      <w:r w:rsidR="00CA7C2E" w:rsidRPr="00487772">
        <w:rPr>
          <w:lang w:val="en-GB"/>
        </w:rPr>
        <w:t>development of</w:t>
      </w:r>
      <w:r w:rsidRPr="00487772">
        <w:rPr>
          <w:lang w:val="en-GB"/>
        </w:rPr>
        <w:t xml:space="preserve"> a conceptual framework for adaptation of NHA (basic principles, terms, classifications, tables and rules for accounting)</w:t>
      </w:r>
      <w:r w:rsidR="00CC733F" w:rsidRPr="00487772">
        <w:rPr>
          <w:lang w:val="en-GB"/>
        </w:rPr>
        <w:t xml:space="preserve">. </w:t>
      </w:r>
      <w:r w:rsidR="00AF5F1A">
        <w:rPr>
          <w:lang w:val="en-GB"/>
        </w:rPr>
        <w:t>Standardized accounting should be introduced in all health facilities.</w:t>
      </w:r>
    </w:p>
    <w:p w:rsidR="00FB5D70" w:rsidRPr="00487772" w:rsidRDefault="00FB5D70" w:rsidP="00FB5D70">
      <w:pPr>
        <w:spacing w:line="360" w:lineRule="auto"/>
        <w:jc w:val="both"/>
        <w:rPr>
          <w:lang w:val="en-GB"/>
        </w:rPr>
      </w:pPr>
    </w:p>
    <w:p w:rsidR="00625E18" w:rsidRPr="00487772" w:rsidRDefault="00CC733F" w:rsidP="00E72960">
      <w:pPr>
        <w:numPr>
          <w:ilvl w:val="0"/>
          <w:numId w:val="2"/>
        </w:numPr>
        <w:spacing w:line="360" w:lineRule="auto"/>
        <w:jc w:val="both"/>
        <w:rPr>
          <w:lang w:val="en-GB"/>
        </w:rPr>
      </w:pPr>
      <w:r w:rsidRPr="00487772">
        <w:rPr>
          <w:lang w:val="en-GB"/>
        </w:rPr>
        <w:t xml:space="preserve">It is necessary to register all health care providers in Kosovo </w:t>
      </w:r>
      <w:r w:rsidR="000D0821">
        <w:rPr>
          <w:lang w:val="en-GB"/>
        </w:rPr>
        <w:t>of all</w:t>
      </w:r>
      <w:r w:rsidRPr="00487772">
        <w:rPr>
          <w:lang w:val="en-GB"/>
        </w:rPr>
        <w:t xml:space="preserve"> sectorial belonging, both public and private. For better data quality</w:t>
      </w:r>
      <w:r w:rsidR="008E11BF" w:rsidRPr="00487772">
        <w:rPr>
          <w:lang w:val="en-GB"/>
        </w:rPr>
        <w:t>,</w:t>
      </w:r>
      <w:r w:rsidRPr="00487772">
        <w:rPr>
          <w:lang w:val="en-GB"/>
        </w:rPr>
        <w:t xml:space="preserve"> the data on expenditures should be compiled </w:t>
      </w:r>
      <w:r w:rsidR="00643BB9">
        <w:rPr>
          <w:lang w:val="en-GB"/>
        </w:rPr>
        <w:t xml:space="preserve">based on standardized accounting methods and </w:t>
      </w:r>
      <w:r w:rsidRPr="00487772">
        <w:rPr>
          <w:lang w:val="en-GB"/>
        </w:rPr>
        <w:t xml:space="preserve">from </w:t>
      </w:r>
      <w:r w:rsidR="00643BB9">
        <w:rPr>
          <w:lang w:val="en-GB"/>
        </w:rPr>
        <w:t xml:space="preserve">all </w:t>
      </w:r>
      <w:r w:rsidRPr="00487772">
        <w:rPr>
          <w:lang w:val="en-GB"/>
        </w:rPr>
        <w:t xml:space="preserve">facilities </w:t>
      </w:r>
      <w:r w:rsidR="000D0821">
        <w:rPr>
          <w:lang w:val="en-GB"/>
        </w:rPr>
        <w:t>that provide</w:t>
      </w:r>
      <w:r w:rsidRPr="00487772">
        <w:rPr>
          <w:lang w:val="en-GB"/>
        </w:rPr>
        <w:t xml:space="preserve"> health care</w:t>
      </w:r>
      <w:r w:rsidR="008E11BF" w:rsidRPr="00487772">
        <w:rPr>
          <w:lang w:val="en-GB"/>
        </w:rPr>
        <w:t>. I</w:t>
      </w:r>
      <w:r w:rsidRPr="00487772">
        <w:rPr>
          <w:lang w:val="en-GB"/>
        </w:rPr>
        <w:t>n other words</w:t>
      </w:r>
      <w:r w:rsidR="008E11BF" w:rsidRPr="00487772">
        <w:rPr>
          <w:lang w:val="en-GB"/>
        </w:rPr>
        <w:t>,</w:t>
      </w:r>
      <w:r w:rsidRPr="00487772">
        <w:rPr>
          <w:lang w:val="en-GB"/>
        </w:rPr>
        <w:t xml:space="preserve"> for better NHA</w:t>
      </w:r>
      <w:r w:rsidR="008E11BF" w:rsidRPr="00487772">
        <w:rPr>
          <w:lang w:val="en-GB"/>
        </w:rPr>
        <w:t>,</w:t>
      </w:r>
      <w:r w:rsidRPr="00487772">
        <w:rPr>
          <w:lang w:val="en-GB"/>
        </w:rPr>
        <w:t xml:space="preserve"> </w:t>
      </w:r>
      <w:r w:rsidR="000D0821">
        <w:rPr>
          <w:lang w:val="en-GB"/>
        </w:rPr>
        <w:t xml:space="preserve">a </w:t>
      </w:r>
      <w:r w:rsidRPr="00487772">
        <w:rPr>
          <w:lang w:val="en-GB"/>
        </w:rPr>
        <w:t>mix of bottom-up (data compilation from providers’ side) and top-down (data compilation from financers’ side) approaches should be used.</w:t>
      </w:r>
    </w:p>
    <w:p w:rsidR="00625E18" w:rsidRPr="00487772" w:rsidRDefault="00625E18" w:rsidP="00E72960">
      <w:pPr>
        <w:spacing w:line="360" w:lineRule="auto"/>
        <w:ind w:left="360"/>
        <w:jc w:val="both"/>
        <w:rPr>
          <w:bCs/>
          <w:lang w:val="en-GB"/>
        </w:rPr>
      </w:pPr>
    </w:p>
    <w:p w:rsidR="008B11BF" w:rsidRDefault="001D5FA5" w:rsidP="008B11BF">
      <w:pPr>
        <w:numPr>
          <w:ilvl w:val="0"/>
          <w:numId w:val="2"/>
        </w:numPr>
        <w:spacing w:line="360" w:lineRule="auto"/>
        <w:jc w:val="both"/>
        <w:rPr>
          <w:lang w:val="en-GB"/>
        </w:rPr>
      </w:pPr>
      <w:r w:rsidRPr="00487772">
        <w:rPr>
          <w:bCs/>
          <w:lang w:val="en-GB"/>
        </w:rPr>
        <w:t>It is important to develop and discover new d</w:t>
      </w:r>
      <w:r w:rsidR="00DA162D" w:rsidRPr="00487772">
        <w:rPr>
          <w:bCs/>
          <w:lang w:val="en-GB"/>
        </w:rPr>
        <w:t>ata sources for NHA. M</w:t>
      </w:r>
      <w:r w:rsidRPr="00487772">
        <w:rPr>
          <w:bCs/>
          <w:lang w:val="en-GB"/>
        </w:rPr>
        <w:t xml:space="preserve">any categories </w:t>
      </w:r>
      <w:r w:rsidR="00DA162D" w:rsidRPr="00487772">
        <w:rPr>
          <w:bCs/>
          <w:lang w:val="en-GB"/>
        </w:rPr>
        <w:t xml:space="preserve">are </w:t>
      </w:r>
      <w:r w:rsidR="00A7738E" w:rsidRPr="00487772">
        <w:rPr>
          <w:bCs/>
          <w:lang w:val="en-GB"/>
        </w:rPr>
        <w:t xml:space="preserve">still </w:t>
      </w:r>
      <w:r w:rsidRPr="00487772">
        <w:rPr>
          <w:bCs/>
          <w:lang w:val="en-GB"/>
        </w:rPr>
        <w:t>not covered (see chapter</w:t>
      </w:r>
      <w:r w:rsidR="00396BA9" w:rsidRPr="00487772">
        <w:rPr>
          <w:bCs/>
          <w:lang w:val="en-GB"/>
        </w:rPr>
        <w:t>:</w:t>
      </w:r>
      <w:r w:rsidR="0095281C" w:rsidRPr="00487772">
        <w:rPr>
          <w:bCs/>
          <w:lang w:val="en-GB"/>
        </w:rPr>
        <w:t xml:space="preserve"> Existing data sources and their shortcoming</w:t>
      </w:r>
      <w:r w:rsidR="0095281C" w:rsidRPr="00487772">
        <w:rPr>
          <w:lang w:val="en-GB"/>
        </w:rPr>
        <w:t>)</w:t>
      </w:r>
      <w:r w:rsidR="00CC733F" w:rsidRPr="00487772">
        <w:rPr>
          <w:lang w:val="en-GB"/>
        </w:rPr>
        <w:t xml:space="preserve">. </w:t>
      </w:r>
      <w:r w:rsidR="008B11BF" w:rsidRPr="00487772">
        <w:rPr>
          <w:lang w:val="en-GB"/>
        </w:rPr>
        <w:t xml:space="preserve">Data sources such as Kosovo Medicine Agency, NIPH, Occupational Institute and Sanitary Inspectorate should be processed. </w:t>
      </w:r>
    </w:p>
    <w:p w:rsidR="008B11BF" w:rsidRDefault="008B11BF" w:rsidP="008B11BF">
      <w:pPr>
        <w:numPr>
          <w:ilvl w:val="1"/>
          <w:numId w:val="2"/>
        </w:numPr>
        <w:spacing w:line="360" w:lineRule="auto"/>
        <w:jc w:val="both"/>
        <w:rPr>
          <w:lang w:val="en-GB"/>
        </w:rPr>
      </w:pPr>
      <w:r w:rsidRPr="00487772">
        <w:rPr>
          <w:lang w:val="en-GB"/>
        </w:rPr>
        <w:t xml:space="preserve">Department of Pharmaceuticals usually has data on sales of pharmaceutics and medical goods. </w:t>
      </w:r>
    </w:p>
    <w:p w:rsidR="008B11BF" w:rsidRDefault="008B11BF" w:rsidP="008B11BF">
      <w:pPr>
        <w:numPr>
          <w:ilvl w:val="1"/>
          <w:numId w:val="2"/>
        </w:numPr>
        <w:spacing w:line="360" w:lineRule="auto"/>
        <w:jc w:val="both"/>
        <w:rPr>
          <w:lang w:val="en-GB"/>
        </w:rPr>
      </w:pPr>
      <w:r w:rsidRPr="00487772">
        <w:rPr>
          <w:lang w:val="en-GB"/>
        </w:rPr>
        <w:t xml:space="preserve">NIPH deals with prevention and public health services, and has data on this issue. </w:t>
      </w:r>
    </w:p>
    <w:p w:rsidR="008B11BF" w:rsidRDefault="008B11BF" w:rsidP="008B11BF">
      <w:pPr>
        <w:numPr>
          <w:ilvl w:val="1"/>
          <w:numId w:val="2"/>
        </w:numPr>
        <w:spacing w:line="360" w:lineRule="auto"/>
        <w:jc w:val="both"/>
        <w:rPr>
          <w:lang w:val="en-GB"/>
        </w:rPr>
      </w:pPr>
      <w:r w:rsidRPr="00487772">
        <w:rPr>
          <w:lang w:val="en-GB"/>
        </w:rPr>
        <w:t xml:space="preserve">Occupational Institute can provide data on occupational health care. </w:t>
      </w:r>
    </w:p>
    <w:p w:rsidR="008B11BF" w:rsidRDefault="008B11BF" w:rsidP="008B11BF">
      <w:pPr>
        <w:numPr>
          <w:ilvl w:val="1"/>
          <w:numId w:val="2"/>
        </w:numPr>
        <w:spacing w:line="360" w:lineRule="auto"/>
        <w:jc w:val="both"/>
        <w:rPr>
          <w:lang w:val="en-GB"/>
        </w:rPr>
      </w:pPr>
      <w:r w:rsidRPr="00487772">
        <w:rPr>
          <w:lang w:val="en-GB"/>
        </w:rPr>
        <w:lastRenderedPageBreak/>
        <w:t xml:space="preserve">Sanitary Inspectorate has the expenditure data on food, hygiene and drinking water control. </w:t>
      </w:r>
    </w:p>
    <w:p w:rsidR="00CC733F" w:rsidRPr="008B11BF" w:rsidRDefault="008B11BF" w:rsidP="008B11BF">
      <w:pPr>
        <w:numPr>
          <w:ilvl w:val="1"/>
          <w:numId w:val="2"/>
        </w:numPr>
        <w:spacing w:line="360" w:lineRule="auto"/>
        <w:jc w:val="both"/>
        <w:rPr>
          <w:lang w:val="en-GB"/>
        </w:rPr>
      </w:pPr>
      <w:r w:rsidRPr="00487772">
        <w:rPr>
          <w:lang w:val="en-GB"/>
        </w:rPr>
        <w:t>Additional data on donors’ health expenditures could be obtained from Head of Donors Cooperation Division, which provides annual report on donor activities in Kosovo.</w:t>
      </w:r>
    </w:p>
    <w:p w:rsidR="00A7738E" w:rsidRPr="00487772" w:rsidRDefault="00A7738E" w:rsidP="00E72960">
      <w:pPr>
        <w:spacing w:line="360" w:lineRule="auto"/>
        <w:ind w:left="360"/>
        <w:jc w:val="both"/>
        <w:rPr>
          <w:bCs/>
          <w:lang w:val="en-GB"/>
        </w:rPr>
      </w:pPr>
    </w:p>
    <w:p w:rsidR="008B11BF" w:rsidRPr="008B11BF" w:rsidRDefault="001D5FA5" w:rsidP="00E72960">
      <w:pPr>
        <w:numPr>
          <w:ilvl w:val="0"/>
          <w:numId w:val="2"/>
        </w:numPr>
        <w:spacing w:line="360" w:lineRule="auto"/>
        <w:jc w:val="both"/>
        <w:rPr>
          <w:bCs/>
          <w:lang w:val="en-GB"/>
        </w:rPr>
      </w:pPr>
      <w:r w:rsidRPr="00487772">
        <w:rPr>
          <w:lang w:val="en-GB"/>
        </w:rPr>
        <w:t xml:space="preserve">HBS </w:t>
      </w:r>
      <w:r w:rsidR="00643BB9">
        <w:rPr>
          <w:lang w:val="en-GB"/>
        </w:rPr>
        <w:t xml:space="preserve">or another household survey </w:t>
      </w:r>
      <w:r w:rsidRPr="00487772">
        <w:rPr>
          <w:lang w:val="en-GB"/>
        </w:rPr>
        <w:t xml:space="preserve">should be developed </w:t>
      </w:r>
      <w:r w:rsidR="00643BB9">
        <w:rPr>
          <w:lang w:val="en-GB"/>
        </w:rPr>
        <w:t xml:space="preserve">to provide information for </w:t>
      </w:r>
      <w:r w:rsidRPr="00487772">
        <w:rPr>
          <w:lang w:val="en-GB"/>
        </w:rPr>
        <w:t xml:space="preserve">NHA needs. </w:t>
      </w:r>
    </w:p>
    <w:p w:rsidR="008B11BF" w:rsidRPr="008B11BF" w:rsidRDefault="00643BB9" w:rsidP="008B11BF">
      <w:pPr>
        <w:numPr>
          <w:ilvl w:val="1"/>
          <w:numId w:val="2"/>
        </w:numPr>
        <w:spacing w:line="360" w:lineRule="auto"/>
        <w:jc w:val="both"/>
        <w:rPr>
          <w:bCs/>
          <w:lang w:val="en-GB"/>
        </w:rPr>
      </w:pPr>
      <w:r>
        <w:rPr>
          <w:lang w:val="en-GB"/>
        </w:rPr>
        <w:t>T</w:t>
      </w:r>
      <w:r w:rsidRPr="00487772">
        <w:rPr>
          <w:lang w:val="en-GB"/>
        </w:rPr>
        <w:t>o capture NHA information</w:t>
      </w:r>
      <w:r>
        <w:rPr>
          <w:lang w:val="en-GB"/>
        </w:rPr>
        <w:t>,</w:t>
      </w:r>
      <w:r w:rsidRPr="00487772">
        <w:rPr>
          <w:lang w:val="en-GB"/>
        </w:rPr>
        <w:t xml:space="preserve"> </w:t>
      </w:r>
      <w:r>
        <w:rPr>
          <w:lang w:val="en-GB"/>
        </w:rPr>
        <w:t>a</w:t>
      </w:r>
      <w:r w:rsidR="00CC733F" w:rsidRPr="00487772">
        <w:rPr>
          <w:lang w:val="en-GB"/>
        </w:rPr>
        <w:t>n extra HBS health module</w:t>
      </w:r>
      <w:r>
        <w:rPr>
          <w:lang w:val="en-GB"/>
        </w:rPr>
        <w:t xml:space="preserve"> </w:t>
      </w:r>
      <w:r w:rsidRPr="00487772">
        <w:rPr>
          <w:lang w:val="en-GB"/>
        </w:rPr>
        <w:t xml:space="preserve">is needed </w:t>
      </w:r>
      <w:r>
        <w:rPr>
          <w:lang w:val="en-GB"/>
        </w:rPr>
        <w:t>collecting information on care seeking behaviour in the private and public sector as well as abroad and related expenditures by different categories</w:t>
      </w:r>
      <w:r w:rsidR="00CC733F" w:rsidRPr="00487772">
        <w:rPr>
          <w:lang w:val="en-GB"/>
        </w:rPr>
        <w:t>.</w:t>
      </w:r>
      <w:r w:rsidR="001D5FA5" w:rsidRPr="00487772">
        <w:rPr>
          <w:lang w:val="en-GB"/>
        </w:rPr>
        <w:t xml:space="preserve"> </w:t>
      </w:r>
    </w:p>
    <w:p w:rsidR="008B11BF" w:rsidRPr="008B11BF" w:rsidRDefault="00A7738E" w:rsidP="008B11BF">
      <w:pPr>
        <w:numPr>
          <w:ilvl w:val="1"/>
          <w:numId w:val="2"/>
        </w:numPr>
        <w:spacing w:line="360" w:lineRule="auto"/>
        <w:jc w:val="both"/>
        <w:rPr>
          <w:bCs/>
          <w:lang w:val="en-GB"/>
        </w:rPr>
      </w:pPr>
      <w:r w:rsidRPr="00487772">
        <w:rPr>
          <w:lang w:val="en-GB"/>
        </w:rPr>
        <w:t>Sample size should</w:t>
      </w:r>
      <w:r w:rsidR="00F10293" w:rsidRPr="00487772">
        <w:rPr>
          <w:lang w:val="en-GB"/>
        </w:rPr>
        <w:t xml:space="preserve"> possibly</w:t>
      </w:r>
      <w:r w:rsidRPr="00487772">
        <w:rPr>
          <w:lang w:val="en-GB"/>
        </w:rPr>
        <w:t xml:space="preserve"> be enlarged for representativeness </w:t>
      </w:r>
      <w:r w:rsidR="006B1311" w:rsidRPr="00487772">
        <w:rPr>
          <w:lang w:val="en-GB"/>
        </w:rPr>
        <w:t xml:space="preserve">of </w:t>
      </w:r>
      <w:r w:rsidRPr="00487772">
        <w:rPr>
          <w:lang w:val="en-GB"/>
        </w:rPr>
        <w:t>additional questions’ data.</w:t>
      </w:r>
    </w:p>
    <w:p w:rsidR="008B11BF" w:rsidRDefault="00CC733F" w:rsidP="008B11BF">
      <w:pPr>
        <w:numPr>
          <w:ilvl w:val="1"/>
          <w:numId w:val="2"/>
        </w:numPr>
        <w:spacing w:line="360" w:lineRule="auto"/>
        <w:jc w:val="both"/>
        <w:rPr>
          <w:bCs/>
          <w:lang w:val="en-GB"/>
        </w:rPr>
      </w:pPr>
      <w:r w:rsidRPr="00487772">
        <w:rPr>
          <w:lang w:val="en-GB"/>
        </w:rPr>
        <w:t>“</w:t>
      </w:r>
      <w:r w:rsidR="00F10293" w:rsidRPr="00487772">
        <w:rPr>
          <w:lang w:val="en-GB"/>
        </w:rPr>
        <w:t xml:space="preserve">The </w:t>
      </w:r>
      <w:r w:rsidRPr="00487772">
        <w:rPr>
          <w:lang w:val="en-GB"/>
        </w:rPr>
        <w:t xml:space="preserve">best practice” </w:t>
      </w:r>
      <w:r w:rsidR="00F10293" w:rsidRPr="00487772">
        <w:rPr>
          <w:lang w:val="en-GB"/>
        </w:rPr>
        <w:t xml:space="preserve">of other countries </w:t>
      </w:r>
      <w:r w:rsidR="00A7738E" w:rsidRPr="00487772">
        <w:rPr>
          <w:lang w:val="en-GB"/>
        </w:rPr>
        <w:t xml:space="preserve">on the health module </w:t>
      </w:r>
      <w:r w:rsidRPr="00487772">
        <w:rPr>
          <w:lang w:val="en-GB"/>
        </w:rPr>
        <w:t xml:space="preserve">should be studied (e.g. </w:t>
      </w:r>
      <w:smartTag w:uri="urn:schemas-microsoft-com:office:smarttags" w:element="country-region">
        <w:r w:rsidRPr="00487772">
          <w:rPr>
            <w:lang w:val="en-GB"/>
          </w:rPr>
          <w:t>Serbia</w:t>
        </w:r>
      </w:smartTag>
      <w:r w:rsidR="00A7738E" w:rsidRPr="00487772">
        <w:rPr>
          <w:lang w:val="en-GB"/>
        </w:rPr>
        <w:t xml:space="preserve">, </w:t>
      </w:r>
      <w:smartTag w:uri="urn:schemas-microsoft-com:office:smarttags" w:element="place">
        <w:smartTag w:uri="urn:schemas-microsoft-com:office:smarttags" w:element="country-region">
          <w:r w:rsidR="00A7738E" w:rsidRPr="00487772">
            <w:rPr>
              <w:lang w:val="en-GB"/>
            </w:rPr>
            <w:t>Estonia</w:t>
          </w:r>
        </w:smartTag>
      </w:smartTag>
      <w:r w:rsidRPr="00487772">
        <w:rPr>
          <w:lang w:val="en-GB"/>
        </w:rPr>
        <w:t>).</w:t>
      </w:r>
      <w:r w:rsidR="00A7738E" w:rsidRPr="00487772">
        <w:rPr>
          <w:lang w:val="en-GB"/>
        </w:rPr>
        <w:t xml:space="preserve"> </w:t>
      </w:r>
    </w:p>
    <w:p w:rsidR="008B11BF" w:rsidRDefault="00A7738E" w:rsidP="008B11BF">
      <w:pPr>
        <w:numPr>
          <w:ilvl w:val="1"/>
          <w:numId w:val="2"/>
        </w:numPr>
        <w:spacing w:line="360" w:lineRule="auto"/>
        <w:jc w:val="both"/>
        <w:rPr>
          <w:bCs/>
          <w:lang w:val="en-GB"/>
        </w:rPr>
      </w:pPr>
      <w:r w:rsidRPr="00487772">
        <w:rPr>
          <w:lang w:val="en-GB"/>
        </w:rPr>
        <w:t xml:space="preserve">More comprehensive survey LSMS (Living Standards Measurement Survey) with more detailed questions on health expenditures was done in </w:t>
      </w:r>
      <w:smartTag w:uri="urn:schemas-microsoft-com:office:smarttags" w:element="metricconverter">
        <w:smartTagPr>
          <w:attr w:name="ProductID" w:val="2000 in"/>
        </w:smartTagPr>
        <w:r w:rsidRPr="00487772">
          <w:rPr>
            <w:lang w:val="en-GB"/>
          </w:rPr>
          <w:t>2000 in</w:t>
        </w:r>
      </w:smartTag>
      <w:r w:rsidRPr="00487772">
        <w:rPr>
          <w:lang w:val="en-GB"/>
        </w:rPr>
        <w:t xml:space="preserve"> Kosovo. </w:t>
      </w:r>
      <w:r w:rsidR="00643BB9">
        <w:rPr>
          <w:lang w:val="en-GB"/>
        </w:rPr>
        <w:t>Future household surveys can draw from the</w:t>
      </w:r>
      <w:r w:rsidRPr="00487772">
        <w:rPr>
          <w:lang w:val="en-GB"/>
        </w:rPr>
        <w:t xml:space="preserve"> experience </w:t>
      </w:r>
      <w:r w:rsidR="00643BB9">
        <w:rPr>
          <w:lang w:val="en-GB"/>
        </w:rPr>
        <w:t>of</w:t>
      </w:r>
      <w:r w:rsidRPr="00487772">
        <w:rPr>
          <w:lang w:val="en-GB"/>
        </w:rPr>
        <w:t xml:space="preserve"> this survey.</w:t>
      </w:r>
      <w:r w:rsidRPr="00487772">
        <w:rPr>
          <w:color w:val="0000FF"/>
          <w:lang w:val="en-GB"/>
        </w:rPr>
        <w:t xml:space="preserve"> </w:t>
      </w:r>
    </w:p>
    <w:p w:rsidR="008B11BF" w:rsidRDefault="00AF5F1A" w:rsidP="008B11BF">
      <w:pPr>
        <w:numPr>
          <w:ilvl w:val="1"/>
          <w:numId w:val="2"/>
        </w:numPr>
        <w:spacing w:line="360" w:lineRule="auto"/>
        <w:jc w:val="both"/>
        <w:rPr>
          <w:bCs/>
          <w:lang w:val="en-GB"/>
        </w:rPr>
      </w:pPr>
      <w:r>
        <w:rPr>
          <w:lang w:val="en-GB"/>
        </w:rPr>
        <w:t>I</w:t>
      </w:r>
      <w:r w:rsidR="00A7738E" w:rsidRPr="00487772">
        <w:rPr>
          <w:lang w:val="en-GB"/>
        </w:rPr>
        <w:t xml:space="preserve">t is important to have a strong methodological support of producing HBS data. </w:t>
      </w:r>
      <w:r w:rsidR="00E72960" w:rsidRPr="00487772">
        <w:rPr>
          <w:lang w:val="en-GB"/>
        </w:rPr>
        <w:t xml:space="preserve">Help of international experts </w:t>
      </w:r>
      <w:r w:rsidR="00FB5D70" w:rsidRPr="00487772">
        <w:rPr>
          <w:lang w:val="en-GB"/>
        </w:rPr>
        <w:t xml:space="preserve">may </w:t>
      </w:r>
      <w:r w:rsidR="00F10293" w:rsidRPr="00487772">
        <w:rPr>
          <w:lang w:val="en-GB"/>
        </w:rPr>
        <w:t>be useful</w:t>
      </w:r>
      <w:r w:rsidR="00E72960" w:rsidRPr="00487772">
        <w:rPr>
          <w:lang w:val="en-GB"/>
        </w:rPr>
        <w:t>.</w:t>
      </w:r>
    </w:p>
    <w:p w:rsidR="00A7738E" w:rsidRPr="008B11BF" w:rsidRDefault="00E72960" w:rsidP="008B11BF">
      <w:pPr>
        <w:numPr>
          <w:ilvl w:val="1"/>
          <w:numId w:val="2"/>
        </w:numPr>
        <w:spacing w:line="360" w:lineRule="auto"/>
        <w:jc w:val="both"/>
        <w:rPr>
          <w:bCs/>
          <w:lang w:val="en-GB"/>
        </w:rPr>
      </w:pPr>
      <w:r w:rsidRPr="00487772">
        <w:rPr>
          <w:lang w:val="en-GB"/>
        </w:rPr>
        <w:t>To provide more relevant data on private health expenditures</w:t>
      </w:r>
      <w:r w:rsidR="00F10293" w:rsidRPr="00487772">
        <w:rPr>
          <w:lang w:val="en-GB"/>
        </w:rPr>
        <w:t>,</w:t>
      </w:r>
      <w:r w:rsidRPr="00487772">
        <w:rPr>
          <w:lang w:val="en-GB"/>
        </w:rPr>
        <w:t xml:space="preserve"> other alternative data sources </w:t>
      </w:r>
      <w:r w:rsidR="00FB5D70" w:rsidRPr="00487772">
        <w:rPr>
          <w:lang w:val="en-GB"/>
        </w:rPr>
        <w:t>have to</w:t>
      </w:r>
      <w:r w:rsidRPr="00487772">
        <w:rPr>
          <w:lang w:val="en-GB"/>
        </w:rPr>
        <w:t xml:space="preserve"> be studied. For estimation </w:t>
      </w:r>
      <w:r w:rsidR="00F10293" w:rsidRPr="00487772">
        <w:rPr>
          <w:lang w:val="en-GB"/>
        </w:rPr>
        <w:t xml:space="preserve">of </w:t>
      </w:r>
      <w:r w:rsidRPr="00487772">
        <w:rPr>
          <w:lang w:val="en-GB"/>
        </w:rPr>
        <w:t>final private consumption, for instance, Na</w:t>
      </w:r>
      <w:r w:rsidR="00F10293" w:rsidRPr="00487772">
        <w:rPr>
          <w:lang w:val="en-GB"/>
        </w:rPr>
        <w:t>tional Accounts (NA) results could</w:t>
      </w:r>
      <w:r w:rsidRPr="00487772">
        <w:rPr>
          <w:lang w:val="en-GB"/>
        </w:rPr>
        <w:t xml:space="preserve"> be used.</w:t>
      </w:r>
    </w:p>
    <w:p w:rsidR="00661EF1" w:rsidRPr="00487772" w:rsidRDefault="00661EF1" w:rsidP="00E72960">
      <w:pPr>
        <w:spacing w:line="360" w:lineRule="auto"/>
        <w:jc w:val="both"/>
        <w:rPr>
          <w:lang w:val="en-GB"/>
        </w:rPr>
      </w:pPr>
    </w:p>
    <w:p w:rsidR="007D6A15" w:rsidRPr="007D6A15" w:rsidRDefault="00E72960" w:rsidP="007D6A15">
      <w:pPr>
        <w:numPr>
          <w:ilvl w:val="0"/>
          <w:numId w:val="2"/>
        </w:numPr>
        <w:spacing w:line="360" w:lineRule="auto"/>
        <w:jc w:val="both"/>
        <w:rPr>
          <w:lang w:val="en-GB"/>
        </w:rPr>
      </w:pPr>
      <w:r w:rsidRPr="007D6A15">
        <w:rPr>
          <w:lang w:val="en-GB"/>
        </w:rPr>
        <w:t>In</w:t>
      </w:r>
      <w:r w:rsidR="00A115E9" w:rsidRPr="007D6A15">
        <w:rPr>
          <w:lang w:val="en-GB"/>
        </w:rPr>
        <w:t xml:space="preserve"> Kosovo health care services are provided both through public and private health facilities. </w:t>
      </w:r>
      <w:r w:rsidR="007D6A15">
        <w:rPr>
          <w:lang w:val="en-GB"/>
        </w:rPr>
        <w:t>S</w:t>
      </w:r>
      <w:r w:rsidR="00AF5F1A">
        <w:rPr>
          <w:lang w:val="en-GB"/>
        </w:rPr>
        <w:t>uch detailed deviation of</w:t>
      </w:r>
      <w:r w:rsidR="007D6A15" w:rsidRPr="00C45A38">
        <w:rPr>
          <w:lang w:val="en-GB"/>
        </w:rPr>
        <w:t xml:space="preserve"> ownership of providers</w:t>
      </w:r>
      <w:r w:rsidR="007D6A15" w:rsidRPr="007D6A15">
        <w:rPr>
          <w:lang w:val="en-GB"/>
        </w:rPr>
        <w:t xml:space="preserve"> is not important for international comparison</w:t>
      </w:r>
      <w:r w:rsidR="007D6A15">
        <w:rPr>
          <w:lang w:val="en-GB"/>
        </w:rPr>
        <w:t>. H</w:t>
      </w:r>
      <w:r w:rsidR="007D6A15" w:rsidRPr="007D6A15">
        <w:rPr>
          <w:lang w:val="en-GB"/>
        </w:rPr>
        <w:t>owever, it could be significant for domestic policy analysis.</w:t>
      </w:r>
    </w:p>
    <w:p w:rsidR="006E336E" w:rsidRDefault="006E336E" w:rsidP="00393655">
      <w:pPr>
        <w:pStyle w:val="Heading1"/>
        <w:numPr>
          <w:ilvl w:val="0"/>
          <w:numId w:val="0"/>
        </w:numPr>
        <w:spacing w:line="360" w:lineRule="auto"/>
        <w:jc w:val="both"/>
        <w:rPr>
          <w:bCs w:val="0"/>
          <w:sz w:val="24"/>
          <w:lang w:val="en-GB"/>
        </w:rPr>
      </w:pPr>
      <w:bookmarkStart w:id="10" w:name="_Toc69804537"/>
    </w:p>
    <w:p w:rsidR="007D6A15" w:rsidRPr="007D6A15" w:rsidRDefault="007D6A15" w:rsidP="007D6A15">
      <w:pPr>
        <w:rPr>
          <w:lang w:val="en-GB" w:eastAsia="en-US"/>
        </w:rPr>
      </w:pPr>
    </w:p>
    <w:p w:rsidR="0028629A" w:rsidRPr="00487772" w:rsidRDefault="0028629A" w:rsidP="00393655">
      <w:pPr>
        <w:pStyle w:val="Heading1"/>
        <w:numPr>
          <w:ilvl w:val="0"/>
          <w:numId w:val="0"/>
        </w:numPr>
        <w:spacing w:line="360" w:lineRule="auto"/>
        <w:jc w:val="both"/>
        <w:rPr>
          <w:sz w:val="24"/>
          <w:lang w:val="en-GB"/>
        </w:rPr>
      </w:pPr>
      <w:bookmarkStart w:id="11" w:name="_Toc175548178"/>
      <w:r w:rsidRPr="00487772">
        <w:rPr>
          <w:bCs w:val="0"/>
          <w:sz w:val="24"/>
          <w:lang w:val="en-GB"/>
        </w:rPr>
        <w:t>Conclusion</w:t>
      </w:r>
      <w:bookmarkEnd w:id="10"/>
      <w:bookmarkEnd w:id="11"/>
    </w:p>
    <w:p w:rsidR="008D7096" w:rsidRPr="00487772" w:rsidRDefault="008D7096" w:rsidP="00DA7BE3">
      <w:pPr>
        <w:spacing w:line="360" w:lineRule="auto"/>
        <w:jc w:val="both"/>
        <w:rPr>
          <w:lang w:val="en-GB"/>
        </w:rPr>
      </w:pPr>
      <w:r w:rsidRPr="00487772">
        <w:rPr>
          <w:lang w:val="en-GB"/>
        </w:rPr>
        <w:t>This report provides the first preliminary analysis of NHA in Kosovo</w:t>
      </w:r>
      <w:r w:rsidR="00AF5F1A">
        <w:rPr>
          <w:lang w:val="en-GB"/>
        </w:rPr>
        <w:t xml:space="preserve"> based on 2005 data</w:t>
      </w:r>
      <w:r w:rsidRPr="00487772">
        <w:rPr>
          <w:lang w:val="en-GB"/>
        </w:rPr>
        <w:t xml:space="preserve">. Before that no health accounts were done in the country. Therefore no data sources were </w:t>
      </w:r>
      <w:r w:rsidRPr="00487772">
        <w:rPr>
          <w:lang w:val="en-GB"/>
        </w:rPr>
        <w:lastRenderedPageBreak/>
        <w:t>developed</w:t>
      </w:r>
      <w:r w:rsidR="00B8501A" w:rsidRPr="00487772">
        <w:rPr>
          <w:lang w:val="en-GB"/>
        </w:rPr>
        <w:t>. I</w:t>
      </w:r>
      <w:r w:rsidR="00396BA9" w:rsidRPr="00487772">
        <w:rPr>
          <w:lang w:val="en-GB"/>
        </w:rPr>
        <w:t>nformation is</w:t>
      </w:r>
      <w:r w:rsidR="00CA7C2E" w:rsidRPr="00487772">
        <w:rPr>
          <w:lang w:val="en-GB"/>
        </w:rPr>
        <w:t xml:space="preserve"> insufficient</w:t>
      </w:r>
      <w:r w:rsidR="00396BA9" w:rsidRPr="00487772">
        <w:rPr>
          <w:lang w:val="en-GB"/>
        </w:rPr>
        <w:t xml:space="preserve"> </w:t>
      </w:r>
      <w:r w:rsidR="00CA7C2E" w:rsidRPr="00487772">
        <w:rPr>
          <w:lang w:val="en-GB"/>
        </w:rPr>
        <w:t xml:space="preserve">or not </w:t>
      </w:r>
      <w:r w:rsidR="00AF5F1A" w:rsidRPr="00487772">
        <w:rPr>
          <w:lang w:val="en-GB"/>
        </w:rPr>
        <w:t>complete</w:t>
      </w:r>
      <w:r w:rsidR="00CA7C2E" w:rsidRPr="00487772">
        <w:rPr>
          <w:lang w:val="en-GB"/>
        </w:rPr>
        <w:t>,</w:t>
      </w:r>
      <w:r w:rsidR="00D76FE1" w:rsidRPr="00487772">
        <w:rPr>
          <w:color w:val="FF0000"/>
          <w:lang w:val="en-GB"/>
        </w:rPr>
        <w:t xml:space="preserve"> </w:t>
      </w:r>
      <w:r w:rsidRPr="00487772">
        <w:rPr>
          <w:lang w:val="en-GB"/>
        </w:rPr>
        <w:t xml:space="preserve">and </w:t>
      </w:r>
      <w:r w:rsidR="00D76FE1" w:rsidRPr="00487772">
        <w:rPr>
          <w:lang w:val="en-GB"/>
        </w:rPr>
        <w:t xml:space="preserve">has </w:t>
      </w:r>
      <w:r w:rsidRPr="00487772">
        <w:rPr>
          <w:lang w:val="en-GB"/>
        </w:rPr>
        <w:t>shortcomings.</w:t>
      </w:r>
      <w:r w:rsidR="00B8501A" w:rsidRPr="00487772">
        <w:rPr>
          <w:lang w:val="en-GB"/>
        </w:rPr>
        <w:t xml:space="preserve"> Private sectors expenditures </w:t>
      </w:r>
      <w:r w:rsidR="00747124" w:rsidRPr="00487772">
        <w:rPr>
          <w:lang w:val="en-GB"/>
        </w:rPr>
        <w:t>are</w:t>
      </w:r>
      <w:r w:rsidR="00B8501A" w:rsidRPr="00487772">
        <w:rPr>
          <w:lang w:val="en-GB"/>
        </w:rPr>
        <w:t xml:space="preserve"> underestimated. Not all categories are classified </w:t>
      </w:r>
      <w:r w:rsidR="00AF5F1A">
        <w:rPr>
          <w:lang w:val="en-GB"/>
        </w:rPr>
        <w:t>correctly</w:t>
      </w:r>
      <w:r w:rsidR="00B8501A" w:rsidRPr="00487772">
        <w:rPr>
          <w:lang w:val="en-GB"/>
        </w:rPr>
        <w:t xml:space="preserve">. </w:t>
      </w:r>
    </w:p>
    <w:p w:rsidR="00BC4229" w:rsidRPr="00487772" w:rsidRDefault="00BC4229" w:rsidP="00F161A6">
      <w:pPr>
        <w:spacing w:line="360" w:lineRule="auto"/>
        <w:jc w:val="both"/>
        <w:rPr>
          <w:lang w:val="en-GB"/>
        </w:rPr>
      </w:pPr>
    </w:p>
    <w:p w:rsidR="00F161A6" w:rsidRPr="00487772" w:rsidRDefault="00AF5F1A" w:rsidP="00F161A6">
      <w:pPr>
        <w:spacing w:line="360" w:lineRule="auto"/>
        <w:jc w:val="both"/>
        <w:rPr>
          <w:lang w:val="en-GB"/>
        </w:rPr>
      </w:pPr>
      <w:r>
        <w:rPr>
          <w:lang w:val="en-GB"/>
        </w:rPr>
        <w:t>This preliminary NHA provides an excellent</w:t>
      </w:r>
      <w:r w:rsidR="00B8501A" w:rsidRPr="00487772">
        <w:rPr>
          <w:lang w:val="en-GB"/>
        </w:rPr>
        <w:t xml:space="preserve"> base for the future improvement of NHA in Kosovo.</w:t>
      </w:r>
      <w:r w:rsidR="00D76FE1" w:rsidRPr="00487772">
        <w:rPr>
          <w:lang w:val="en-GB"/>
        </w:rPr>
        <w:t xml:space="preserve"> The n</w:t>
      </w:r>
      <w:r w:rsidR="00BC4229" w:rsidRPr="00487772">
        <w:rPr>
          <w:lang w:val="en-GB"/>
        </w:rPr>
        <w:t>ext step should be</w:t>
      </w:r>
      <w:r w:rsidR="006B1311" w:rsidRPr="00487772">
        <w:rPr>
          <w:lang w:val="en-GB"/>
        </w:rPr>
        <w:t xml:space="preserve"> the</w:t>
      </w:r>
      <w:r w:rsidR="00BC4229" w:rsidRPr="00487772">
        <w:rPr>
          <w:lang w:val="en-GB"/>
        </w:rPr>
        <w:t xml:space="preserve"> establishing of </w:t>
      </w:r>
      <w:r>
        <w:rPr>
          <w:lang w:val="en-GB"/>
        </w:rPr>
        <w:t xml:space="preserve">an </w:t>
      </w:r>
      <w:r w:rsidR="00040B07" w:rsidRPr="00487772">
        <w:rPr>
          <w:lang w:val="en-GB"/>
        </w:rPr>
        <w:t>NHA technical</w:t>
      </w:r>
      <w:r w:rsidR="00BC4229" w:rsidRPr="00487772">
        <w:rPr>
          <w:lang w:val="en-GB"/>
        </w:rPr>
        <w:t xml:space="preserve"> group</w:t>
      </w:r>
      <w:r w:rsidR="00040B07" w:rsidRPr="00487772">
        <w:rPr>
          <w:lang w:val="en-GB"/>
        </w:rPr>
        <w:t>, which consists</w:t>
      </w:r>
      <w:r w:rsidR="00BC4229" w:rsidRPr="00487772">
        <w:rPr>
          <w:lang w:val="en-GB"/>
        </w:rPr>
        <w:t xml:space="preserve"> of experts of</w:t>
      </w:r>
      <w:r w:rsidR="00040B07" w:rsidRPr="00487772">
        <w:rPr>
          <w:lang w:val="en-GB"/>
        </w:rPr>
        <w:t xml:space="preserve"> NHA</w:t>
      </w:r>
      <w:r w:rsidR="00BC4229" w:rsidRPr="00487772">
        <w:rPr>
          <w:lang w:val="en-GB"/>
        </w:rPr>
        <w:t xml:space="preserve">, health care budgetary </w:t>
      </w:r>
      <w:smartTag w:uri="urn:schemas-microsoft-com:office:smarttags" w:element="PersonName">
        <w:r w:rsidR="00BC4229" w:rsidRPr="00487772">
          <w:rPr>
            <w:lang w:val="en-GB"/>
          </w:rPr>
          <w:t>office</w:t>
        </w:r>
      </w:smartTag>
      <w:r w:rsidR="00BC4229" w:rsidRPr="00487772">
        <w:rPr>
          <w:lang w:val="en-GB"/>
        </w:rPr>
        <w:t xml:space="preserve">rs, statisticians etc. It is important to have representatives of different data sources </w:t>
      </w:r>
      <w:r w:rsidR="00747124" w:rsidRPr="00487772">
        <w:rPr>
          <w:lang w:val="en-GB"/>
        </w:rPr>
        <w:t xml:space="preserve">in the group </w:t>
      </w:r>
      <w:r w:rsidR="00BC4229" w:rsidRPr="00487772">
        <w:rPr>
          <w:lang w:val="en-GB"/>
        </w:rPr>
        <w:t xml:space="preserve">as well. </w:t>
      </w:r>
      <w:r>
        <w:rPr>
          <w:lang w:val="en-GB"/>
        </w:rPr>
        <w:t>The group should start compiling data for the NHA 2006, following the methodology used in this report.</w:t>
      </w:r>
      <w:r w:rsidRPr="00AF5F1A">
        <w:rPr>
          <w:lang w:val="en-GB"/>
        </w:rPr>
        <w:t xml:space="preserve"> </w:t>
      </w:r>
      <w:r w:rsidRPr="00487772">
        <w:rPr>
          <w:lang w:val="en-GB"/>
        </w:rPr>
        <w:t>Further development of existing and new data sources should be worked out</w:t>
      </w:r>
      <w:r>
        <w:rPr>
          <w:lang w:val="en-GB"/>
        </w:rPr>
        <w:t>, and the d</w:t>
      </w:r>
      <w:r w:rsidRPr="00487772">
        <w:rPr>
          <w:lang w:val="en-GB"/>
        </w:rPr>
        <w:t>ata quality should be improved.</w:t>
      </w:r>
    </w:p>
    <w:p w:rsidR="000E2CFE" w:rsidRPr="00487772" w:rsidRDefault="000E2CFE" w:rsidP="00035FDA">
      <w:pPr>
        <w:spacing w:line="360" w:lineRule="auto"/>
        <w:jc w:val="both"/>
        <w:rPr>
          <w:lang w:val="en-GB"/>
        </w:rPr>
      </w:pPr>
    </w:p>
    <w:p w:rsidR="00C47CDE" w:rsidRPr="00487772" w:rsidRDefault="006C4CE7" w:rsidP="00035FDA">
      <w:pPr>
        <w:spacing w:line="360" w:lineRule="auto"/>
        <w:jc w:val="both"/>
        <w:rPr>
          <w:lang w:val="en-GB"/>
        </w:rPr>
      </w:pPr>
      <w:r w:rsidRPr="00487772">
        <w:rPr>
          <w:lang w:val="en-GB"/>
        </w:rPr>
        <w:t>NHA is one of the important</w:t>
      </w:r>
      <w:r w:rsidR="00035FDA" w:rsidRPr="00487772">
        <w:rPr>
          <w:lang w:val="en-GB"/>
        </w:rPr>
        <w:t xml:space="preserve"> tools</w:t>
      </w:r>
      <w:r w:rsidRPr="00487772">
        <w:rPr>
          <w:lang w:val="en-GB"/>
        </w:rPr>
        <w:t xml:space="preserve"> </w:t>
      </w:r>
      <w:r w:rsidR="00035FDA" w:rsidRPr="00487772">
        <w:rPr>
          <w:lang w:val="en-GB"/>
        </w:rPr>
        <w:t>in decision making</w:t>
      </w:r>
      <w:r w:rsidR="00AF5F1A">
        <w:rPr>
          <w:lang w:val="en-GB"/>
        </w:rPr>
        <w:t>.  NHA can be used to monitor and evaluate the performance of</w:t>
      </w:r>
      <w:r w:rsidR="00035FDA" w:rsidRPr="00487772">
        <w:rPr>
          <w:lang w:val="en-GB"/>
        </w:rPr>
        <w:t xml:space="preserve"> interventions, </w:t>
      </w:r>
      <w:r w:rsidR="00AF5F1A">
        <w:rPr>
          <w:lang w:val="en-GB"/>
        </w:rPr>
        <w:t>as well as to</w:t>
      </w:r>
      <w:r w:rsidR="00035FDA" w:rsidRPr="00487772">
        <w:rPr>
          <w:lang w:val="en-GB"/>
        </w:rPr>
        <w:t xml:space="preserve"> reduce uncertainty </w:t>
      </w:r>
      <w:r w:rsidR="00AF5F1A">
        <w:rPr>
          <w:lang w:val="en-GB"/>
        </w:rPr>
        <w:t>by</w:t>
      </w:r>
      <w:r w:rsidR="00035FDA" w:rsidRPr="00487772">
        <w:rPr>
          <w:lang w:val="en-GB"/>
        </w:rPr>
        <w:t xml:space="preserve"> </w:t>
      </w:r>
      <w:r w:rsidR="00AF5F1A">
        <w:rPr>
          <w:lang w:val="en-GB"/>
        </w:rPr>
        <w:t>simulating</w:t>
      </w:r>
      <w:r w:rsidR="00035FDA" w:rsidRPr="00487772">
        <w:rPr>
          <w:lang w:val="en-GB"/>
        </w:rPr>
        <w:t xml:space="preserve"> </w:t>
      </w:r>
      <w:r w:rsidR="00AF5F1A">
        <w:rPr>
          <w:lang w:val="en-GB"/>
        </w:rPr>
        <w:t>the financial impact of selected policy changes</w:t>
      </w:r>
      <w:r w:rsidR="00035FDA" w:rsidRPr="00487772">
        <w:rPr>
          <w:lang w:val="en-GB"/>
        </w:rPr>
        <w:t xml:space="preserve">. </w:t>
      </w:r>
    </w:p>
    <w:p w:rsidR="000E2CFE" w:rsidRPr="00487772" w:rsidRDefault="000E2CFE" w:rsidP="00035FDA">
      <w:pPr>
        <w:spacing w:line="360" w:lineRule="auto"/>
        <w:jc w:val="both"/>
        <w:rPr>
          <w:lang w:val="en-GB"/>
        </w:rPr>
      </w:pPr>
    </w:p>
    <w:p w:rsidR="00CE4CBA" w:rsidRPr="00487772" w:rsidRDefault="00420606" w:rsidP="00C47CDE">
      <w:pPr>
        <w:pStyle w:val="Heading1"/>
        <w:numPr>
          <w:ilvl w:val="0"/>
          <w:numId w:val="0"/>
        </w:numPr>
        <w:spacing w:line="360" w:lineRule="auto"/>
        <w:jc w:val="both"/>
        <w:rPr>
          <w:bCs w:val="0"/>
          <w:sz w:val="24"/>
          <w:lang w:val="en-GB"/>
        </w:rPr>
      </w:pPr>
      <w:r w:rsidRPr="00487772">
        <w:rPr>
          <w:bCs w:val="0"/>
          <w:lang w:val="en-GB"/>
        </w:rPr>
        <w:br w:type="page"/>
      </w:r>
      <w:bookmarkStart w:id="12" w:name="_Toc162407424"/>
      <w:bookmarkStart w:id="13" w:name="_Toc162513091"/>
      <w:bookmarkStart w:id="14" w:name="_Toc175548179"/>
      <w:r w:rsidR="00CE4CBA" w:rsidRPr="00487772">
        <w:rPr>
          <w:bCs w:val="0"/>
          <w:sz w:val="24"/>
          <w:lang w:val="en-GB"/>
        </w:rPr>
        <w:lastRenderedPageBreak/>
        <w:t>References</w:t>
      </w:r>
      <w:bookmarkEnd w:id="12"/>
      <w:bookmarkEnd w:id="13"/>
      <w:bookmarkEnd w:id="14"/>
      <w:r w:rsidR="00CE4CBA" w:rsidRPr="00487772">
        <w:rPr>
          <w:bCs w:val="0"/>
          <w:sz w:val="24"/>
          <w:lang w:val="en-GB"/>
        </w:rPr>
        <w:t xml:space="preserve"> </w:t>
      </w:r>
    </w:p>
    <w:p w:rsidR="00CE4CBA" w:rsidRPr="00487772" w:rsidRDefault="00CE4CBA" w:rsidP="00C47CDE">
      <w:pPr>
        <w:pStyle w:val="Heading1"/>
        <w:numPr>
          <w:ilvl w:val="0"/>
          <w:numId w:val="0"/>
        </w:numPr>
        <w:spacing w:line="360" w:lineRule="auto"/>
        <w:jc w:val="both"/>
        <w:rPr>
          <w:b w:val="0"/>
          <w:bCs w:val="0"/>
          <w:sz w:val="24"/>
          <w:lang w:val="en-GB" w:eastAsia="et-EE"/>
        </w:rPr>
      </w:pPr>
    </w:p>
    <w:p w:rsidR="007D6A15" w:rsidRDefault="007D6A15" w:rsidP="000851CF">
      <w:pPr>
        <w:spacing w:line="360" w:lineRule="auto"/>
        <w:jc w:val="both"/>
        <w:rPr>
          <w:lang w:val="en-GB"/>
        </w:rPr>
      </w:pPr>
      <w:proofErr w:type="gramStart"/>
      <w:r>
        <w:rPr>
          <w:lang w:val="en-GB"/>
        </w:rPr>
        <w:t>OECD.</w:t>
      </w:r>
      <w:proofErr w:type="gramEnd"/>
      <w:r>
        <w:rPr>
          <w:lang w:val="en-GB"/>
        </w:rPr>
        <w:t xml:space="preserve"> </w:t>
      </w:r>
      <w:smartTag w:uri="urn:schemas-microsoft-com:office:smarttags" w:element="metricconverter">
        <w:smartTagPr>
          <w:attr w:name="ProductID" w:val="2000. A"/>
        </w:smartTagPr>
        <w:r>
          <w:rPr>
            <w:lang w:val="en-GB"/>
          </w:rPr>
          <w:t xml:space="preserve">2000. </w:t>
        </w:r>
        <w:r w:rsidRPr="00D3447B">
          <w:rPr>
            <w:i/>
            <w:lang w:val="en-GB"/>
          </w:rPr>
          <w:t>A</w:t>
        </w:r>
      </w:smartTag>
      <w:r w:rsidRPr="00D3447B">
        <w:rPr>
          <w:i/>
          <w:lang w:val="en-GB"/>
        </w:rPr>
        <w:t xml:space="preserve"> System of Health Accounts</w:t>
      </w:r>
      <w:r w:rsidR="00D3447B">
        <w:rPr>
          <w:lang w:val="en-GB"/>
        </w:rPr>
        <w:t xml:space="preserve">. </w:t>
      </w:r>
      <w:proofErr w:type="gramStart"/>
      <w:r w:rsidR="00D3447B">
        <w:rPr>
          <w:lang w:val="en-GB"/>
        </w:rPr>
        <w:t>V</w:t>
      </w:r>
      <w:r w:rsidRPr="00D3447B">
        <w:rPr>
          <w:lang w:val="en-GB"/>
        </w:rPr>
        <w:t>ersion 1.0</w:t>
      </w:r>
      <w:r w:rsidR="00D3447B">
        <w:rPr>
          <w:lang w:val="en-GB"/>
        </w:rPr>
        <w:t>.</w:t>
      </w:r>
      <w:proofErr w:type="gramEnd"/>
      <w:r w:rsidR="00D3447B">
        <w:rPr>
          <w:lang w:val="en-GB"/>
        </w:rPr>
        <w:t xml:space="preserve"> </w:t>
      </w:r>
      <w:smartTag w:uri="urn:schemas-microsoft-com:office:smarttags" w:element="City">
        <w:smartTag w:uri="urn:schemas-microsoft-com:office:smarttags" w:element="place">
          <w:r w:rsidR="00D3447B">
            <w:rPr>
              <w:lang w:val="en-GB"/>
            </w:rPr>
            <w:t>Paris</w:t>
          </w:r>
        </w:smartTag>
      </w:smartTag>
    </w:p>
    <w:p w:rsidR="003320D1" w:rsidRPr="00487772" w:rsidRDefault="003320D1" w:rsidP="000851CF">
      <w:pPr>
        <w:spacing w:line="360" w:lineRule="auto"/>
        <w:jc w:val="both"/>
        <w:rPr>
          <w:lang w:val="en-GB"/>
        </w:rPr>
      </w:pPr>
      <w:proofErr w:type="gramStart"/>
      <w:r w:rsidRPr="00487772">
        <w:rPr>
          <w:lang w:val="en-GB"/>
        </w:rPr>
        <w:t>Statistical Office of Kosovo.</w:t>
      </w:r>
      <w:proofErr w:type="gramEnd"/>
      <w:r w:rsidRPr="00487772">
        <w:rPr>
          <w:lang w:val="en-GB"/>
        </w:rPr>
        <w:t xml:space="preserve"> 2006. </w:t>
      </w:r>
      <w:r w:rsidRPr="00487772">
        <w:rPr>
          <w:i/>
          <w:lang w:val="en-GB"/>
        </w:rPr>
        <w:t>Household consumption in Kosovo 2003-2005</w:t>
      </w:r>
    </w:p>
    <w:p w:rsidR="003320D1" w:rsidRPr="00487772" w:rsidRDefault="003320D1" w:rsidP="000851CF">
      <w:pPr>
        <w:spacing w:line="360" w:lineRule="auto"/>
        <w:jc w:val="both"/>
        <w:rPr>
          <w:rFonts w:ascii="Arial" w:hAnsi="Arial" w:cs="Arial"/>
          <w:b/>
          <w:sz w:val="48"/>
          <w:szCs w:val="48"/>
          <w:lang w:val="en-GB"/>
        </w:rPr>
      </w:pPr>
      <w:proofErr w:type="gramStart"/>
      <w:r w:rsidRPr="00487772">
        <w:rPr>
          <w:lang w:val="en-GB"/>
        </w:rPr>
        <w:t>Statistical Office of Kosovo.</w:t>
      </w:r>
      <w:proofErr w:type="gramEnd"/>
      <w:r w:rsidRPr="00487772">
        <w:rPr>
          <w:lang w:val="en-GB"/>
        </w:rPr>
        <w:t xml:space="preserve"> 2006. </w:t>
      </w:r>
      <w:r w:rsidRPr="00487772">
        <w:rPr>
          <w:i/>
          <w:lang w:val="en-GB"/>
        </w:rPr>
        <w:t>Private consumption in Kosovo 2003-2005</w:t>
      </w:r>
    </w:p>
    <w:p w:rsidR="00CE4CBA" w:rsidRPr="00487772" w:rsidRDefault="00CE4CBA" w:rsidP="000851CF">
      <w:pPr>
        <w:spacing w:line="360" w:lineRule="auto"/>
        <w:jc w:val="both"/>
        <w:rPr>
          <w:lang w:val="en-GB"/>
        </w:rPr>
      </w:pPr>
      <w:proofErr w:type="gramStart"/>
      <w:r w:rsidRPr="00487772">
        <w:rPr>
          <w:lang w:val="en-GB"/>
        </w:rPr>
        <w:t>World Bank.</w:t>
      </w:r>
      <w:proofErr w:type="gramEnd"/>
      <w:r w:rsidRPr="00487772">
        <w:rPr>
          <w:lang w:val="en-GB"/>
        </w:rPr>
        <w:t xml:space="preserve"> 2007</w:t>
      </w:r>
      <w:r w:rsidR="008F678D" w:rsidRPr="00487772">
        <w:rPr>
          <w:lang w:val="en-GB"/>
        </w:rPr>
        <w:t>.</w:t>
      </w:r>
      <w:r w:rsidRPr="00487772">
        <w:rPr>
          <w:lang w:val="en-GB"/>
        </w:rPr>
        <w:t xml:space="preserve"> </w:t>
      </w:r>
      <w:r w:rsidRPr="00487772">
        <w:rPr>
          <w:i/>
          <w:lang w:val="en-GB"/>
        </w:rPr>
        <w:t>Kosovo: Poverty Assessment Update</w:t>
      </w:r>
      <w:r w:rsidRPr="00487772">
        <w:rPr>
          <w:lang w:val="en-GB"/>
        </w:rPr>
        <w:t xml:space="preserve">. </w:t>
      </w:r>
      <w:proofErr w:type="gramStart"/>
      <w:r w:rsidRPr="00487772">
        <w:rPr>
          <w:lang w:val="en-GB"/>
        </w:rPr>
        <w:t>Decision draft.</w:t>
      </w:r>
      <w:proofErr w:type="gramEnd"/>
      <w:r w:rsidRPr="00487772">
        <w:rPr>
          <w:lang w:val="en-GB"/>
        </w:rPr>
        <w:t xml:space="preserve"> </w:t>
      </w:r>
      <w:proofErr w:type="gramStart"/>
      <w:r w:rsidR="00114D5E" w:rsidRPr="00487772">
        <w:rPr>
          <w:lang w:val="en-GB"/>
        </w:rPr>
        <w:t xml:space="preserve">Volume I. </w:t>
      </w:r>
      <w:smartTag w:uri="urn:schemas-microsoft-com:office:smarttags" w:element="place">
        <w:smartTag w:uri="urn:schemas-microsoft-com:office:smarttags" w:element="City">
          <w:r w:rsidRPr="00487772">
            <w:rPr>
              <w:lang w:val="en-GB"/>
            </w:rPr>
            <w:t>Washington</w:t>
          </w:r>
        </w:smartTag>
        <w:r w:rsidRPr="00487772">
          <w:rPr>
            <w:lang w:val="en-GB"/>
          </w:rPr>
          <w:t xml:space="preserve"> </w:t>
        </w:r>
        <w:smartTag w:uri="urn:schemas-microsoft-com:office:smarttags" w:element="State">
          <w:r w:rsidRPr="00487772">
            <w:rPr>
              <w:lang w:val="en-GB"/>
            </w:rPr>
            <w:t>D.C.</w:t>
          </w:r>
        </w:smartTag>
      </w:smartTag>
      <w:proofErr w:type="gramEnd"/>
    </w:p>
    <w:p w:rsidR="00114D5E" w:rsidRPr="00487772" w:rsidRDefault="00114D5E" w:rsidP="000851CF">
      <w:pPr>
        <w:spacing w:line="360" w:lineRule="auto"/>
        <w:jc w:val="both"/>
        <w:rPr>
          <w:lang w:val="en-GB"/>
        </w:rPr>
      </w:pPr>
      <w:proofErr w:type="gramStart"/>
      <w:r w:rsidRPr="00487772">
        <w:rPr>
          <w:lang w:val="en-GB"/>
        </w:rPr>
        <w:t>World Bank.</w:t>
      </w:r>
      <w:proofErr w:type="gramEnd"/>
      <w:r w:rsidRPr="00487772">
        <w:rPr>
          <w:lang w:val="en-GB"/>
        </w:rPr>
        <w:t xml:space="preserve"> 2007. </w:t>
      </w:r>
      <w:r w:rsidRPr="00487772">
        <w:rPr>
          <w:i/>
          <w:lang w:val="en-GB"/>
        </w:rPr>
        <w:t>Kosovo: Poverty Assessment Update</w:t>
      </w:r>
      <w:r w:rsidRPr="00487772">
        <w:rPr>
          <w:lang w:val="en-GB"/>
        </w:rPr>
        <w:t xml:space="preserve">. </w:t>
      </w:r>
      <w:proofErr w:type="gramStart"/>
      <w:r w:rsidRPr="00487772">
        <w:rPr>
          <w:lang w:val="en-GB"/>
        </w:rPr>
        <w:t>Decision draft.</w:t>
      </w:r>
      <w:proofErr w:type="gramEnd"/>
      <w:r w:rsidRPr="00487772">
        <w:rPr>
          <w:lang w:val="en-GB"/>
        </w:rPr>
        <w:t xml:space="preserve"> </w:t>
      </w:r>
      <w:proofErr w:type="gramStart"/>
      <w:r w:rsidRPr="00487772">
        <w:rPr>
          <w:lang w:val="en-GB"/>
        </w:rPr>
        <w:t>Volume II.</w:t>
      </w:r>
      <w:proofErr w:type="gramEnd"/>
      <w:r w:rsidRPr="00487772">
        <w:rPr>
          <w:lang w:val="en-GB"/>
        </w:rPr>
        <w:t xml:space="preserve"> </w:t>
      </w:r>
      <w:smartTag w:uri="urn:schemas-microsoft-com:office:smarttags" w:element="place">
        <w:smartTag w:uri="urn:schemas-microsoft-com:office:smarttags" w:element="City">
          <w:r w:rsidRPr="00487772">
            <w:rPr>
              <w:lang w:val="en-GB"/>
            </w:rPr>
            <w:t>Washington</w:t>
          </w:r>
        </w:smartTag>
        <w:r w:rsidRPr="00487772">
          <w:rPr>
            <w:lang w:val="en-GB"/>
          </w:rPr>
          <w:t xml:space="preserve"> </w:t>
        </w:r>
        <w:smartTag w:uri="urn:schemas-microsoft-com:office:smarttags" w:element="State">
          <w:r w:rsidRPr="00487772">
            <w:rPr>
              <w:lang w:val="en-GB"/>
            </w:rPr>
            <w:t>D.C.</w:t>
          </w:r>
        </w:smartTag>
      </w:smartTag>
    </w:p>
    <w:p w:rsidR="00114D5E" w:rsidRPr="00487772" w:rsidRDefault="00114D5E" w:rsidP="000851CF">
      <w:pPr>
        <w:spacing w:line="360" w:lineRule="auto"/>
        <w:jc w:val="both"/>
        <w:rPr>
          <w:lang w:val="en-GB"/>
        </w:rPr>
      </w:pPr>
      <w:proofErr w:type="gramStart"/>
      <w:r w:rsidRPr="00487772">
        <w:rPr>
          <w:lang w:val="en-GB"/>
        </w:rPr>
        <w:t>World Bank.</w:t>
      </w:r>
      <w:proofErr w:type="gramEnd"/>
      <w:r w:rsidRPr="00487772">
        <w:rPr>
          <w:lang w:val="en-GB"/>
        </w:rPr>
        <w:t xml:space="preserve"> 2006a. </w:t>
      </w:r>
      <w:r w:rsidRPr="00487772">
        <w:rPr>
          <w:i/>
          <w:lang w:val="en-GB"/>
        </w:rPr>
        <w:t>Kosovo:</w:t>
      </w:r>
      <w:r w:rsidRPr="00487772">
        <w:rPr>
          <w:lang w:val="en-GB"/>
        </w:rPr>
        <w:t xml:space="preserve"> </w:t>
      </w:r>
      <w:r w:rsidRPr="00487772">
        <w:rPr>
          <w:i/>
          <w:lang w:val="en-GB"/>
        </w:rPr>
        <w:t>Public Expenditure and Institutional Review</w:t>
      </w:r>
      <w:r w:rsidRPr="00487772">
        <w:rPr>
          <w:lang w:val="en-GB"/>
        </w:rPr>
        <w:t xml:space="preserve">. </w:t>
      </w:r>
      <w:proofErr w:type="gramStart"/>
      <w:r w:rsidRPr="00487772">
        <w:rPr>
          <w:lang w:val="en-GB"/>
        </w:rPr>
        <w:t xml:space="preserve">Volume I. </w:t>
      </w:r>
      <w:smartTag w:uri="urn:schemas-microsoft-com:office:smarttags" w:element="place">
        <w:smartTag w:uri="urn:schemas-microsoft-com:office:smarttags" w:element="City">
          <w:r w:rsidRPr="00487772">
            <w:rPr>
              <w:lang w:val="en-GB"/>
            </w:rPr>
            <w:t>Washington</w:t>
          </w:r>
        </w:smartTag>
        <w:r w:rsidRPr="00487772">
          <w:rPr>
            <w:lang w:val="en-GB"/>
          </w:rPr>
          <w:t xml:space="preserve"> </w:t>
        </w:r>
        <w:smartTag w:uri="urn:schemas-microsoft-com:office:smarttags" w:element="State">
          <w:r w:rsidRPr="00487772">
            <w:rPr>
              <w:lang w:val="en-GB"/>
            </w:rPr>
            <w:t>D.C.</w:t>
          </w:r>
        </w:smartTag>
      </w:smartTag>
      <w:proofErr w:type="gramEnd"/>
    </w:p>
    <w:p w:rsidR="00114D5E" w:rsidRPr="00487772" w:rsidRDefault="00114D5E" w:rsidP="000851CF">
      <w:pPr>
        <w:spacing w:line="360" w:lineRule="auto"/>
        <w:jc w:val="both"/>
        <w:rPr>
          <w:lang w:val="en-GB"/>
        </w:rPr>
      </w:pPr>
      <w:proofErr w:type="gramStart"/>
      <w:r w:rsidRPr="00487772">
        <w:rPr>
          <w:lang w:val="en-GB"/>
        </w:rPr>
        <w:t>World Bank.</w:t>
      </w:r>
      <w:proofErr w:type="gramEnd"/>
      <w:r w:rsidRPr="00487772">
        <w:rPr>
          <w:lang w:val="en-GB"/>
        </w:rPr>
        <w:t xml:space="preserve"> 2006b. </w:t>
      </w:r>
      <w:r w:rsidRPr="00487772">
        <w:rPr>
          <w:i/>
          <w:lang w:val="en-GB"/>
        </w:rPr>
        <w:t>Kosovo:</w:t>
      </w:r>
      <w:r w:rsidRPr="00487772">
        <w:rPr>
          <w:lang w:val="en-GB"/>
        </w:rPr>
        <w:t xml:space="preserve"> </w:t>
      </w:r>
      <w:r w:rsidRPr="00487772">
        <w:rPr>
          <w:i/>
          <w:lang w:val="en-GB"/>
        </w:rPr>
        <w:t>Public Expenditure and Institutional Review</w:t>
      </w:r>
      <w:r w:rsidRPr="00487772">
        <w:rPr>
          <w:lang w:val="en-GB"/>
        </w:rPr>
        <w:t xml:space="preserve">. </w:t>
      </w:r>
      <w:proofErr w:type="gramStart"/>
      <w:r w:rsidRPr="00487772">
        <w:rPr>
          <w:lang w:val="en-GB"/>
        </w:rPr>
        <w:t>Volume II.</w:t>
      </w:r>
      <w:proofErr w:type="gramEnd"/>
      <w:r w:rsidRPr="00487772">
        <w:rPr>
          <w:lang w:val="en-GB"/>
        </w:rPr>
        <w:t xml:space="preserve"> </w:t>
      </w:r>
      <w:smartTag w:uri="urn:schemas-microsoft-com:office:smarttags" w:element="place">
        <w:smartTag w:uri="urn:schemas-microsoft-com:office:smarttags" w:element="City">
          <w:r w:rsidRPr="00487772">
            <w:rPr>
              <w:lang w:val="en-GB"/>
            </w:rPr>
            <w:t>Washington</w:t>
          </w:r>
        </w:smartTag>
        <w:r w:rsidRPr="00487772">
          <w:rPr>
            <w:lang w:val="en-GB"/>
          </w:rPr>
          <w:t xml:space="preserve"> </w:t>
        </w:r>
        <w:smartTag w:uri="urn:schemas-microsoft-com:office:smarttags" w:element="State">
          <w:r w:rsidRPr="00487772">
            <w:rPr>
              <w:lang w:val="en-GB"/>
            </w:rPr>
            <w:t>D.C.</w:t>
          </w:r>
        </w:smartTag>
      </w:smartTag>
    </w:p>
    <w:p w:rsidR="00F161A6" w:rsidRPr="00487772" w:rsidRDefault="00CE4CBA" w:rsidP="00920B6B">
      <w:pPr>
        <w:pStyle w:val="Heading1"/>
        <w:numPr>
          <w:ilvl w:val="0"/>
          <w:numId w:val="0"/>
        </w:numPr>
        <w:spacing w:line="360" w:lineRule="auto"/>
        <w:jc w:val="both"/>
        <w:rPr>
          <w:bCs w:val="0"/>
          <w:lang w:val="en-GB"/>
        </w:rPr>
      </w:pPr>
      <w:r w:rsidRPr="00487772">
        <w:rPr>
          <w:bCs w:val="0"/>
          <w:lang w:val="en-GB"/>
        </w:rPr>
        <w:br w:type="page"/>
      </w:r>
      <w:bookmarkStart w:id="15" w:name="_Toc175548180"/>
      <w:r w:rsidR="00487772">
        <w:rPr>
          <w:bCs w:val="0"/>
          <w:sz w:val="24"/>
          <w:lang w:val="en-GB"/>
        </w:rPr>
        <w:lastRenderedPageBreak/>
        <w:t>Annex</w:t>
      </w:r>
      <w:r w:rsidR="00F161A6" w:rsidRPr="00487772">
        <w:rPr>
          <w:bCs w:val="0"/>
          <w:sz w:val="24"/>
          <w:lang w:val="en-GB"/>
        </w:rPr>
        <w:t xml:space="preserve"> I</w:t>
      </w:r>
      <w:bookmarkEnd w:id="15"/>
    </w:p>
    <w:p w:rsidR="00125D58" w:rsidRPr="00487772" w:rsidRDefault="00157668" w:rsidP="00157668">
      <w:pPr>
        <w:spacing w:line="360" w:lineRule="auto"/>
        <w:jc w:val="center"/>
        <w:rPr>
          <w:b/>
          <w:lang w:val="en-GB"/>
        </w:rPr>
      </w:pPr>
      <w:r w:rsidRPr="00487772">
        <w:rPr>
          <w:b/>
          <w:lang w:val="en-GB"/>
        </w:rPr>
        <w:t>Persons met during the visit</w:t>
      </w:r>
    </w:p>
    <w:p w:rsidR="00125D58" w:rsidRPr="00487772" w:rsidRDefault="00125D58" w:rsidP="00125D58">
      <w:pPr>
        <w:spacing w:line="360" w:lineRule="auto"/>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43"/>
        <w:gridCol w:w="6185"/>
      </w:tblGrid>
      <w:tr w:rsidR="00125D58" w:rsidRPr="00487772">
        <w:tc>
          <w:tcPr>
            <w:tcW w:w="2743" w:type="dxa"/>
          </w:tcPr>
          <w:p w:rsidR="00125D58" w:rsidRPr="00487772" w:rsidRDefault="00125D58" w:rsidP="006E336E">
            <w:pPr>
              <w:autoSpaceDE w:val="0"/>
              <w:autoSpaceDN w:val="0"/>
              <w:adjustRightInd w:val="0"/>
              <w:rPr>
                <w:lang w:val="en-GB"/>
              </w:rPr>
            </w:pPr>
            <w:r w:rsidRPr="00487772">
              <w:rPr>
                <w:lang w:val="en-GB"/>
              </w:rPr>
              <w:t xml:space="preserve">Dr Fatime Arenliu Qosaj </w:t>
            </w:r>
          </w:p>
          <w:p w:rsidR="00125D58" w:rsidRPr="00487772" w:rsidRDefault="00CB72BF" w:rsidP="006E336E">
            <w:pPr>
              <w:autoSpaceDE w:val="0"/>
              <w:autoSpaceDN w:val="0"/>
              <w:adjustRightInd w:val="0"/>
              <w:rPr>
                <w:lang w:val="en-GB"/>
              </w:rPr>
            </w:pPr>
            <w:r w:rsidRPr="00487772">
              <w:rPr>
                <w:lang w:val="en-GB"/>
              </w:rPr>
              <w:t>Mr. Ukshin Vllasa</w:t>
            </w:r>
          </w:p>
          <w:p w:rsidR="009F4AA0" w:rsidRPr="00487772" w:rsidRDefault="009F4AA0" w:rsidP="006E336E">
            <w:pPr>
              <w:autoSpaceDE w:val="0"/>
              <w:autoSpaceDN w:val="0"/>
              <w:adjustRightInd w:val="0"/>
              <w:rPr>
                <w:lang w:val="en-GB"/>
              </w:rPr>
            </w:pPr>
            <w:r w:rsidRPr="00487772">
              <w:rPr>
                <w:lang w:val="en-GB"/>
              </w:rPr>
              <w:t>Mr. Xhevat Ukaj</w:t>
            </w:r>
          </w:p>
          <w:p w:rsidR="00CB72BF" w:rsidRPr="00487772" w:rsidRDefault="00CB72BF" w:rsidP="006E336E">
            <w:pPr>
              <w:autoSpaceDE w:val="0"/>
              <w:autoSpaceDN w:val="0"/>
              <w:adjustRightInd w:val="0"/>
              <w:rPr>
                <w:lang w:val="en-GB"/>
              </w:rPr>
            </w:pPr>
          </w:p>
          <w:p w:rsidR="00CB72BF" w:rsidRPr="00487772" w:rsidRDefault="00CB72BF" w:rsidP="006E336E">
            <w:pPr>
              <w:autoSpaceDE w:val="0"/>
              <w:autoSpaceDN w:val="0"/>
              <w:adjustRightInd w:val="0"/>
              <w:rPr>
                <w:lang w:val="en-GB"/>
              </w:rPr>
            </w:pPr>
            <w:r w:rsidRPr="00487772">
              <w:rPr>
                <w:lang w:val="en-GB"/>
              </w:rPr>
              <w:t>Mr. Nexhat Krasniqi</w:t>
            </w:r>
          </w:p>
          <w:p w:rsidR="00CB72BF" w:rsidRPr="00487772" w:rsidRDefault="00CB72BF" w:rsidP="006E336E">
            <w:pPr>
              <w:autoSpaceDE w:val="0"/>
              <w:autoSpaceDN w:val="0"/>
              <w:adjustRightInd w:val="0"/>
              <w:rPr>
                <w:lang w:val="en-GB"/>
              </w:rPr>
            </w:pPr>
          </w:p>
          <w:p w:rsidR="00CB72BF" w:rsidRPr="00487772" w:rsidRDefault="00CB72BF" w:rsidP="006E336E">
            <w:pPr>
              <w:autoSpaceDE w:val="0"/>
              <w:autoSpaceDN w:val="0"/>
              <w:adjustRightInd w:val="0"/>
              <w:rPr>
                <w:lang w:val="en-GB"/>
              </w:rPr>
            </w:pPr>
          </w:p>
          <w:p w:rsidR="00CB72BF" w:rsidRPr="00487772" w:rsidRDefault="00CB72BF" w:rsidP="006E336E">
            <w:pPr>
              <w:autoSpaceDE w:val="0"/>
              <w:autoSpaceDN w:val="0"/>
              <w:adjustRightInd w:val="0"/>
              <w:rPr>
                <w:lang w:val="en-GB"/>
              </w:rPr>
            </w:pPr>
            <w:r w:rsidRPr="00487772">
              <w:rPr>
                <w:lang w:val="en-GB"/>
              </w:rPr>
              <w:t>Mr. Bashkim Bellaqa</w:t>
            </w:r>
          </w:p>
          <w:p w:rsidR="00CB72BF" w:rsidRPr="00487772" w:rsidRDefault="00CB72BF" w:rsidP="006E336E">
            <w:pPr>
              <w:autoSpaceDE w:val="0"/>
              <w:autoSpaceDN w:val="0"/>
              <w:adjustRightInd w:val="0"/>
              <w:rPr>
                <w:lang w:val="en-GB"/>
              </w:rPr>
            </w:pPr>
            <w:r w:rsidRPr="00487772">
              <w:rPr>
                <w:lang w:val="en-GB"/>
              </w:rPr>
              <w:t>Ms. Violeta Arifaj</w:t>
            </w:r>
          </w:p>
          <w:p w:rsidR="00CB72BF" w:rsidRPr="00487772" w:rsidRDefault="00CB72BF" w:rsidP="006E336E">
            <w:pPr>
              <w:autoSpaceDE w:val="0"/>
              <w:autoSpaceDN w:val="0"/>
              <w:adjustRightInd w:val="0"/>
              <w:rPr>
                <w:lang w:val="en-GB"/>
              </w:rPr>
            </w:pPr>
            <w:r w:rsidRPr="00487772">
              <w:rPr>
                <w:lang w:val="en-GB"/>
              </w:rPr>
              <w:t>Mr. Bekim Canolli</w:t>
            </w:r>
          </w:p>
          <w:p w:rsidR="00CB72BF" w:rsidRPr="00487772" w:rsidRDefault="00CB72BF" w:rsidP="006E336E">
            <w:pPr>
              <w:autoSpaceDE w:val="0"/>
              <w:autoSpaceDN w:val="0"/>
              <w:adjustRightInd w:val="0"/>
              <w:rPr>
                <w:lang w:val="en-GB"/>
              </w:rPr>
            </w:pPr>
          </w:p>
          <w:p w:rsidR="00CB72BF" w:rsidRPr="00487772" w:rsidRDefault="009F4AA0" w:rsidP="006E336E">
            <w:pPr>
              <w:autoSpaceDE w:val="0"/>
              <w:autoSpaceDN w:val="0"/>
              <w:adjustRightInd w:val="0"/>
              <w:rPr>
                <w:lang w:val="en-GB"/>
              </w:rPr>
            </w:pPr>
            <w:r w:rsidRPr="00487772">
              <w:rPr>
                <w:lang w:val="en-GB"/>
              </w:rPr>
              <w:t>Mr. Zilif Lufi</w:t>
            </w:r>
          </w:p>
          <w:p w:rsidR="009F4AA0" w:rsidRPr="00487772" w:rsidRDefault="009F4AA0" w:rsidP="006E336E">
            <w:pPr>
              <w:autoSpaceDE w:val="0"/>
              <w:autoSpaceDN w:val="0"/>
              <w:adjustRightInd w:val="0"/>
              <w:rPr>
                <w:lang w:val="en-GB"/>
              </w:rPr>
            </w:pPr>
            <w:r w:rsidRPr="00487772">
              <w:rPr>
                <w:lang w:val="en-GB"/>
              </w:rPr>
              <w:t>Ms. Nazmije Fazliu</w:t>
            </w:r>
          </w:p>
          <w:p w:rsidR="00CB72BF" w:rsidRPr="00487772" w:rsidRDefault="009F4AA0" w:rsidP="006E336E">
            <w:pPr>
              <w:autoSpaceDE w:val="0"/>
              <w:autoSpaceDN w:val="0"/>
              <w:adjustRightInd w:val="0"/>
              <w:rPr>
                <w:bCs/>
                <w:lang w:val="en-GB"/>
              </w:rPr>
            </w:pPr>
            <w:r w:rsidRPr="00487772">
              <w:rPr>
                <w:lang w:val="en-GB"/>
              </w:rPr>
              <w:t>Ms. Andriana Meholli</w:t>
            </w:r>
          </w:p>
        </w:tc>
        <w:tc>
          <w:tcPr>
            <w:tcW w:w="6185" w:type="dxa"/>
          </w:tcPr>
          <w:p w:rsidR="00125D58" w:rsidRPr="00487772" w:rsidRDefault="00125D58" w:rsidP="00125D58">
            <w:pPr>
              <w:autoSpaceDE w:val="0"/>
              <w:autoSpaceDN w:val="0"/>
              <w:adjustRightInd w:val="0"/>
              <w:rPr>
                <w:lang w:val="en-GB"/>
              </w:rPr>
            </w:pPr>
            <w:r w:rsidRPr="00487772">
              <w:rPr>
                <w:lang w:val="en-GB"/>
              </w:rPr>
              <w:t>Chief of He</w:t>
            </w:r>
            <w:r w:rsidR="00CB72BF" w:rsidRPr="00487772">
              <w:rPr>
                <w:lang w:val="en-GB"/>
              </w:rPr>
              <w:t>alth Policy and Planning, MO</w:t>
            </w:r>
            <w:r w:rsidRPr="00487772">
              <w:rPr>
                <w:lang w:val="en-GB"/>
              </w:rPr>
              <w:t xml:space="preserve">H </w:t>
            </w:r>
          </w:p>
          <w:p w:rsidR="00CB72BF" w:rsidRPr="00487772" w:rsidRDefault="00CB72BF" w:rsidP="00125D58">
            <w:pPr>
              <w:autoSpaceDE w:val="0"/>
              <w:autoSpaceDN w:val="0"/>
              <w:adjustRightInd w:val="0"/>
              <w:rPr>
                <w:lang w:val="en-GB"/>
              </w:rPr>
            </w:pPr>
            <w:r w:rsidRPr="00487772">
              <w:rPr>
                <w:lang w:val="en-GB"/>
              </w:rPr>
              <w:t>Budget Director, MOH</w:t>
            </w:r>
          </w:p>
          <w:p w:rsidR="00CB72BF" w:rsidRPr="00487772" w:rsidRDefault="009F4AA0" w:rsidP="00125D58">
            <w:pPr>
              <w:autoSpaceDE w:val="0"/>
              <w:autoSpaceDN w:val="0"/>
              <w:adjustRightInd w:val="0"/>
              <w:rPr>
                <w:lang w:val="en-GB"/>
              </w:rPr>
            </w:pPr>
            <w:r w:rsidRPr="00487772">
              <w:rPr>
                <w:lang w:val="en-GB"/>
              </w:rPr>
              <w:t xml:space="preserve">Statistical Division, MOH </w:t>
            </w:r>
          </w:p>
          <w:p w:rsidR="009F4AA0" w:rsidRPr="00487772" w:rsidRDefault="009F4AA0" w:rsidP="00125D58">
            <w:pPr>
              <w:autoSpaceDE w:val="0"/>
              <w:autoSpaceDN w:val="0"/>
              <w:adjustRightInd w:val="0"/>
              <w:rPr>
                <w:lang w:val="en-GB"/>
              </w:rPr>
            </w:pPr>
          </w:p>
          <w:p w:rsidR="00125D58" w:rsidRPr="00487772" w:rsidRDefault="00CB72BF" w:rsidP="00125D58">
            <w:pPr>
              <w:autoSpaceDE w:val="0"/>
              <w:autoSpaceDN w:val="0"/>
              <w:adjustRightInd w:val="0"/>
              <w:rPr>
                <w:lang w:val="en-GB"/>
              </w:rPr>
            </w:pPr>
            <w:r w:rsidRPr="00487772">
              <w:rPr>
                <w:lang w:val="en-GB"/>
              </w:rPr>
              <w:t xml:space="preserve">Director of Health Statistics, </w:t>
            </w:r>
            <w:r w:rsidR="00125D58" w:rsidRPr="00487772">
              <w:rPr>
                <w:lang w:val="en-GB"/>
              </w:rPr>
              <w:t>National Institute of Public Health</w:t>
            </w:r>
          </w:p>
          <w:p w:rsidR="00CB72BF" w:rsidRPr="00487772" w:rsidRDefault="00CB72BF" w:rsidP="00125D58">
            <w:pPr>
              <w:autoSpaceDE w:val="0"/>
              <w:autoSpaceDN w:val="0"/>
              <w:adjustRightInd w:val="0"/>
              <w:rPr>
                <w:lang w:val="en-GB"/>
              </w:rPr>
            </w:pPr>
          </w:p>
          <w:p w:rsidR="00125D58" w:rsidRPr="00487772" w:rsidRDefault="00CB72BF" w:rsidP="006E336E">
            <w:pPr>
              <w:autoSpaceDE w:val="0"/>
              <w:autoSpaceDN w:val="0"/>
              <w:adjustRightInd w:val="0"/>
              <w:rPr>
                <w:bCs/>
                <w:lang w:val="en-GB"/>
              </w:rPr>
            </w:pPr>
            <w:r w:rsidRPr="00487772">
              <w:rPr>
                <w:bCs/>
                <w:lang w:val="en-GB"/>
              </w:rPr>
              <w:t xml:space="preserve">Statistical </w:t>
            </w:r>
            <w:smartTag w:uri="urn:schemas-microsoft-com:office:smarttags" w:element="PersonName">
              <w:r w:rsidRPr="00487772">
                <w:rPr>
                  <w:bCs/>
                  <w:lang w:val="en-GB"/>
                </w:rPr>
                <w:t>office</w:t>
              </w:r>
            </w:smartTag>
            <w:r w:rsidRPr="00487772">
              <w:rPr>
                <w:bCs/>
                <w:lang w:val="en-GB"/>
              </w:rPr>
              <w:t xml:space="preserve"> of Kosovo</w:t>
            </w:r>
          </w:p>
          <w:p w:rsidR="00CB72BF" w:rsidRPr="00487772" w:rsidRDefault="00CB72BF" w:rsidP="006E336E">
            <w:pPr>
              <w:autoSpaceDE w:val="0"/>
              <w:autoSpaceDN w:val="0"/>
              <w:adjustRightInd w:val="0"/>
              <w:rPr>
                <w:bCs/>
                <w:lang w:val="en-GB"/>
              </w:rPr>
            </w:pPr>
          </w:p>
          <w:p w:rsidR="00CB72BF" w:rsidRPr="00487772" w:rsidRDefault="00CB72BF" w:rsidP="006E336E">
            <w:pPr>
              <w:autoSpaceDE w:val="0"/>
              <w:autoSpaceDN w:val="0"/>
              <w:adjustRightInd w:val="0"/>
              <w:rPr>
                <w:bCs/>
                <w:lang w:val="en-GB"/>
              </w:rPr>
            </w:pPr>
          </w:p>
          <w:p w:rsidR="00CB72BF" w:rsidRPr="00487772" w:rsidRDefault="00CB72BF" w:rsidP="006E336E">
            <w:pPr>
              <w:autoSpaceDE w:val="0"/>
              <w:autoSpaceDN w:val="0"/>
              <w:adjustRightInd w:val="0"/>
              <w:rPr>
                <w:bCs/>
                <w:lang w:val="en-GB"/>
              </w:rPr>
            </w:pPr>
          </w:p>
          <w:p w:rsidR="009F4AA0" w:rsidRPr="00487772" w:rsidRDefault="009F4AA0" w:rsidP="006E336E">
            <w:pPr>
              <w:autoSpaceDE w:val="0"/>
              <w:autoSpaceDN w:val="0"/>
              <w:adjustRightInd w:val="0"/>
              <w:rPr>
                <w:bCs/>
                <w:lang w:val="en-GB"/>
              </w:rPr>
            </w:pPr>
            <w:r w:rsidRPr="00487772">
              <w:rPr>
                <w:bCs/>
                <w:lang w:val="en-GB"/>
              </w:rPr>
              <w:t>Deputy Director, Treasury, MEF</w:t>
            </w:r>
          </w:p>
          <w:p w:rsidR="009F4AA0" w:rsidRPr="00487772" w:rsidRDefault="009F4AA0" w:rsidP="006E336E">
            <w:pPr>
              <w:autoSpaceDE w:val="0"/>
              <w:autoSpaceDN w:val="0"/>
              <w:adjustRightInd w:val="0"/>
              <w:rPr>
                <w:bCs/>
                <w:lang w:val="en-GB"/>
              </w:rPr>
            </w:pPr>
            <w:r w:rsidRPr="00487772">
              <w:rPr>
                <w:bCs/>
                <w:lang w:val="en-GB"/>
              </w:rPr>
              <w:t>Health Budget Officer, MEF</w:t>
            </w:r>
          </w:p>
          <w:p w:rsidR="009F4AA0" w:rsidRPr="00487772" w:rsidRDefault="009F4AA0" w:rsidP="006E336E">
            <w:pPr>
              <w:autoSpaceDE w:val="0"/>
              <w:autoSpaceDN w:val="0"/>
              <w:adjustRightInd w:val="0"/>
              <w:rPr>
                <w:bCs/>
                <w:lang w:val="en-GB"/>
              </w:rPr>
            </w:pPr>
            <w:r w:rsidRPr="00487772">
              <w:rPr>
                <w:bCs/>
                <w:lang w:val="en-GB"/>
              </w:rPr>
              <w:t>MEF</w:t>
            </w:r>
          </w:p>
        </w:tc>
      </w:tr>
    </w:tbl>
    <w:p w:rsidR="00125D58" w:rsidRPr="00487772" w:rsidRDefault="00125D58" w:rsidP="006E336E">
      <w:pPr>
        <w:autoSpaceDE w:val="0"/>
        <w:autoSpaceDN w:val="0"/>
        <w:adjustRightInd w:val="0"/>
        <w:rPr>
          <w:rFonts w:ascii="Helvetica" w:hAnsi="Helvetica" w:cs="Helvetica"/>
          <w:sz w:val="22"/>
          <w:szCs w:val="22"/>
          <w:lang w:val="en-GB"/>
        </w:rPr>
      </w:pPr>
    </w:p>
    <w:p w:rsidR="003C7B70" w:rsidRDefault="003C7B70" w:rsidP="003C7B70">
      <w:pPr>
        <w:pStyle w:val="Heading1"/>
        <w:numPr>
          <w:ilvl w:val="0"/>
          <w:numId w:val="0"/>
        </w:numPr>
        <w:spacing w:line="360" w:lineRule="auto"/>
        <w:jc w:val="both"/>
        <w:rPr>
          <w:bCs w:val="0"/>
          <w:sz w:val="24"/>
          <w:lang w:val="en-GB"/>
        </w:rPr>
      </w:pPr>
      <w:r w:rsidRPr="00487772">
        <w:rPr>
          <w:lang w:val="en-GB"/>
        </w:rPr>
        <w:br w:type="page"/>
      </w:r>
      <w:bookmarkStart w:id="16" w:name="_Toc175548181"/>
      <w:r w:rsidR="00487772">
        <w:rPr>
          <w:bCs w:val="0"/>
          <w:sz w:val="24"/>
          <w:lang w:val="en-GB"/>
        </w:rPr>
        <w:lastRenderedPageBreak/>
        <w:t xml:space="preserve">Annex </w:t>
      </w:r>
      <w:r w:rsidRPr="00487772">
        <w:rPr>
          <w:bCs w:val="0"/>
          <w:sz w:val="24"/>
          <w:lang w:val="en-GB"/>
        </w:rPr>
        <w:t>II</w:t>
      </w:r>
      <w:bookmarkEnd w:id="16"/>
    </w:p>
    <w:p w:rsidR="00487772" w:rsidRPr="00487772" w:rsidRDefault="00487772" w:rsidP="00487772">
      <w:pPr>
        <w:autoSpaceDE w:val="0"/>
        <w:autoSpaceDN w:val="0"/>
        <w:adjustRightInd w:val="0"/>
        <w:spacing w:line="240" w:lineRule="atLeast"/>
        <w:jc w:val="center"/>
        <w:rPr>
          <w:bCs/>
          <w:lang w:val="en-GB"/>
        </w:rPr>
      </w:pPr>
    </w:p>
    <w:p w:rsidR="00487772" w:rsidRPr="00487772" w:rsidRDefault="00487772" w:rsidP="00487772">
      <w:pPr>
        <w:autoSpaceDE w:val="0"/>
        <w:autoSpaceDN w:val="0"/>
        <w:adjustRightInd w:val="0"/>
        <w:spacing w:line="240" w:lineRule="atLeast"/>
        <w:jc w:val="center"/>
        <w:rPr>
          <w:b/>
          <w:lang w:val="en-GB"/>
        </w:rPr>
      </w:pPr>
      <w:r w:rsidRPr="00487772">
        <w:rPr>
          <w:b/>
          <w:lang w:val="en-GB"/>
        </w:rPr>
        <w:t xml:space="preserve"> Terms of Reference</w:t>
      </w:r>
    </w:p>
    <w:p w:rsidR="00487772" w:rsidRPr="00487772" w:rsidRDefault="00487772" w:rsidP="00487772">
      <w:pPr>
        <w:autoSpaceDE w:val="0"/>
        <w:autoSpaceDN w:val="0"/>
        <w:adjustRightInd w:val="0"/>
        <w:spacing w:line="240" w:lineRule="atLeast"/>
        <w:jc w:val="center"/>
        <w:rPr>
          <w:rFonts w:ascii="Tms Rmn" w:hAnsi="Tms Rmn" w:cs="Tms Rmn"/>
          <w:b/>
          <w:color w:val="000000"/>
          <w:lang w:val="en-GB"/>
        </w:rPr>
      </w:pPr>
      <w:r w:rsidRPr="00487772">
        <w:rPr>
          <w:rFonts w:ascii="Tms Rmn" w:hAnsi="Tms Rmn" w:cs="Tms Rmn"/>
          <w:b/>
          <w:color w:val="000000"/>
          <w:lang w:val="en-GB"/>
        </w:rPr>
        <w:t>Strengthening Management Accountability in Health</w:t>
      </w:r>
    </w:p>
    <w:p w:rsidR="00487772" w:rsidRPr="00487772" w:rsidRDefault="00487772" w:rsidP="00487772">
      <w:pPr>
        <w:autoSpaceDE w:val="0"/>
        <w:autoSpaceDN w:val="0"/>
        <w:adjustRightInd w:val="0"/>
        <w:spacing w:line="240" w:lineRule="atLeast"/>
        <w:jc w:val="center"/>
        <w:rPr>
          <w:b/>
          <w:lang w:val="en-GB"/>
        </w:rPr>
      </w:pPr>
      <w:r w:rsidRPr="00487772">
        <w:rPr>
          <w:rFonts w:ascii="Tms Rmn" w:hAnsi="Tms Rmn" w:cs="Tms Rmn"/>
          <w:b/>
          <w:color w:val="000000"/>
          <w:lang w:val="en-GB"/>
        </w:rPr>
        <w:t>Assessment of Health Spending in Preparation for National Health Accounts (NHA) and MTEF</w:t>
      </w:r>
    </w:p>
    <w:p w:rsidR="00487772" w:rsidRPr="00487772" w:rsidRDefault="00487772" w:rsidP="00487772">
      <w:pPr>
        <w:autoSpaceDE w:val="0"/>
        <w:autoSpaceDN w:val="0"/>
        <w:adjustRightInd w:val="0"/>
        <w:spacing w:line="240" w:lineRule="atLeast"/>
        <w:jc w:val="center"/>
        <w:rPr>
          <w:b/>
          <w:lang w:val="en-GB"/>
        </w:rPr>
      </w:pPr>
      <w:r w:rsidRPr="00487772">
        <w:rPr>
          <w:b/>
          <w:lang w:val="en-GB"/>
        </w:rPr>
        <w:t>P105806</w:t>
      </w:r>
    </w:p>
    <w:p w:rsidR="00487772" w:rsidRPr="00487772" w:rsidRDefault="00487772" w:rsidP="00487772">
      <w:pPr>
        <w:autoSpaceDE w:val="0"/>
        <w:autoSpaceDN w:val="0"/>
        <w:adjustRightInd w:val="0"/>
        <w:spacing w:line="240" w:lineRule="atLeast"/>
        <w:jc w:val="center"/>
        <w:rPr>
          <w:b/>
          <w:lang w:val="en-GB"/>
        </w:rPr>
      </w:pPr>
      <w:r w:rsidRPr="00487772">
        <w:rPr>
          <w:b/>
          <w:lang w:val="en-GB"/>
        </w:rPr>
        <w:t>TTL: Pia Schneider</w:t>
      </w:r>
    </w:p>
    <w:p w:rsidR="00487772" w:rsidRPr="00487772" w:rsidRDefault="00487772" w:rsidP="00487772">
      <w:pPr>
        <w:autoSpaceDE w:val="0"/>
        <w:autoSpaceDN w:val="0"/>
        <w:adjustRightInd w:val="0"/>
        <w:spacing w:line="240" w:lineRule="atLeast"/>
        <w:jc w:val="center"/>
        <w:rPr>
          <w:b/>
          <w:lang w:val="en-GB"/>
        </w:rPr>
      </w:pPr>
      <w:r w:rsidRPr="00487772">
        <w:rPr>
          <w:b/>
          <w:lang w:val="en-GB"/>
        </w:rPr>
        <w:t>Consultant: Natalja Jedomskihh-Eigo</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t>Background</w:t>
      </w:r>
    </w:p>
    <w:p w:rsidR="00487772" w:rsidRPr="00487772" w:rsidRDefault="00487772" w:rsidP="00487772">
      <w:pPr>
        <w:autoSpaceDE w:val="0"/>
        <w:autoSpaceDN w:val="0"/>
        <w:adjustRightInd w:val="0"/>
        <w:spacing w:line="240" w:lineRule="atLeast"/>
        <w:rPr>
          <w:color w:val="000000"/>
          <w:lang w:val="en-GB"/>
        </w:rPr>
      </w:pPr>
      <w:r w:rsidRPr="00487772">
        <w:rPr>
          <w:color w:val="000000"/>
          <w:lang w:val="en-GB"/>
        </w:rPr>
        <w:t xml:space="preserve">Kosovo is preparing a strategy for improvement of the health sector (KDSP). An objective of the strategy is improvement of Management and Accountability of the government health care system. At present, little data is available on finance, cost, storage, utilization and quality of care, which can be used for managing health facilities, pharmaceutical procurement and informed policy decisions.  There is also a lack of analysis on the functions of governance and accountability in the health sector, especially as related to the evolving decentralization of management responsibilities to lower levels of government, and to sizeable inefficiencies as identified in the Public Expenditure and Institutional Review (PEIR). </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color w:val="000000"/>
          <w:lang w:val="en-GB"/>
        </w:rPr>
      </w:pPr>
      <w:r w:rsidRPr="00487772">
        <w:rPr>
          <w:color w:val="000000"/>
          <w:lang w:val="en-GB"/>
        </w:rPr>
        <w:t>The MOH has asked DFID</w:t>
      </w:r>
      <w:r w:rsidRPr="00487772">
        <w:rPr>
          <w:rStyle w:val="FootnoteReference"/>
          <w:color w:val="000000"/>
          <w:lang w:val="en-GB"/>
        </w:rPr>
        <w:footnoteReference w:id="10"/>
      </w:r>
      <w:r w:rsidRPr="00487772">
        <w:rPr>
          <w:color w:val="000000"/>
          <w:lang w:val="en-GB"/>
        </w:rPr>
        <w:t xml:space="preserve"> for support in defining EC standards and integration processes; inter-sectoral links and collaboration; institutional culture and change management; aspects of implementation especially legislation; decentralization processes; budget cycle and spending; and maternal and child health.  The World Bank is providing support to Kosovo through the PEMTAG project by supporting the PHC restructuring process and developing and implementing performance-based payments in the health sector.  In addition, the Bank also supports a pharmaceutical governance analysis in April 2007, and has been providing technical assistance to the KDSP Technical Working Group since the summer 2006.  The MOF is currently working on the Mid-Term-Expenditure Framework (MTEF) which includes strategic health objectives outlined in the KDSP, the related activities and resource needs to meet this objectives.  To measure progress made over time, a baseline for health spending and outcomes needs to be established using the international standards such as the National Health Accounts (NHA).</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color w:val="000000"/>
          <w:lang w:val="en-GB"/>
        </w:rPr>
      </w:pPr>
      <w:r w:rsidRPr="00487772">
        <w:rPr>
          <w:rFonts w:cs="Arial"/>
          <w:szCs w:val="22"/>
          <w:lang w:val="en-GB"/>
        </w:rPr>
        <w:t xml:space="preserve">NHA is a tool to measure and assess the flow of funds from sources of payment to the users of health care services.  The use of international standards for describing the magnitude and channels of spending on health is crucial for monitoring the performance of the health system and informed decision making in Kosovo.  </w:t>
      </w:r>
      <w:r w:rsidRPr="00487772">
        <w:rPr>
          <w:lang w:val="en-GB"/>
        </w:rPr>
        <w:t>Findings from the NHA report on the performance review of the health sector can be used to guide priority setting and resource allocation in health.</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t>Objective</w:t>
      </w:r>
    </w:p>
    <w:p w:rsidR="00487772" w:rsidRPr="00487772" w:rsidRDefault="00487772" w:rsidP="00487772">
      <w:pPr>
        <w:spacing w:before="240"/>
        <w:ind w:right="300"/>
        <w:jc w:val="both"/>
        <w:rPr>
          <w:lang w:val="en-GB"/>
        </w:rPr>
      </w:pPr>
      <w:r w:rsidRPr="00487772">
        <w:rPr>
          <w:color w:val="000000"/>
          <w:lang w:val="en-GB"/>
        </w:rPr>
        <w:t xml:space="preserve">This study aims to support the implementation of the KDSP by focusing on strengthening management and accountability in health and providing baseline data against which progress in KDSP implementation is measured.  </w:t>
      </w:r>
      <w:r w:rsidRPr="00487772">
        <w:rPr>
          <w:lang w:val="en-GB"/>
        </w:rPr>
        <w:t xml:space="preserve">The objective of this consultancy is to conduct </w:t>
      </w:r>
      <w:proofErr w:type="gramStart"/>
      <w:r w:rsidRPr="00487772">
        <w:rPr>
          <w:lang w:val="en-GB"/>
        </w:rPr>
        <w:t>an</w:t>
      </w:r>
      <w:proofErr w:type="gramEnd"/>
      <w:r w:rsidRPr="00487772">
        <w:rPr>
          <w:lang w:val="en-GB"/>
        </w:rPr>
        <w:t xml:space="preserve"> prelimiary NHA (Phase I), present a workplan for a future full-fledge NHA that </w:t>
      </w:r>
      <w:r w:rsidRPr="00487772">
        <w:rPr>
          <w:lang w:val="en-GB"/>
        </w:rPr>
        <w:lastRenderedPageBreak/>
        <w:t>would lead to institutionalization of NHA, and present results at the June workshop in Pristina.  The consultant will support the PSIG in assessing health sector financial performance in 2005 and 2006, and building local capacities for analyzing, monitoring and evaluating the health sector performance using the NHA methodology.  As a result of this support a preliminary first round of NHA is compiled with specific policy issues analyzed, and results are presented to be incorporated into the MTEF.</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rPr>
          <w:lang w:val="en-GB"/>
        </w:rPr>
      </w:pPr>
      <w:r w:rsidRPr="00487772">
        <w:rPr>
          <w:lang w:val="en-GB"/>
        </w:rPr>
        <w:t xml:space="preserve">For this purpose the World Bank </w:t>
      </w:r>
      <w:r w:rsidRPr="00487772">
        <w:rPr>
          <w:spacing w:val="4"/>
          <w:lang w:val="en-GB"/>
        </w:rPr>
        <w:t xml:space="preserve">intends </w:t>
      </w:r>
      <w:r w:rsidRPr="00487772">
        <w:rPr>
          <w:lang w:val="en-GB"/>
        </w:rPr>
        <w:t xml:space="preserve">to hire one </w:t>
      </w:r>
      <w:r w:rsidRPr="00487772">
        <w:rPr>
          <w:b/>
          <w:bCs/>
          <w:lang w:val="en-GB"/>
        </w:rPr>
        <w:t>International National Health Accounts Expert</w:t>
      </w:r>
      <w:r w:rsidRPr="00487772">
        <w:rPr>
          <w:lang w:val="en-GB"/>
        </w:rPr>
        <w:t xml:space="preserve"> with extensive work experience in NHA.  </w:t>
      </w:r>
      <w:r w:rsidRPr="00487772">
        <w:rPr>
          <w:color w:val="000000"/>
          <w:lang w:val="en-GB"/>
        </w:rPr>
        <w:t>The consultant will work in close collaboration with the Ministry of Health (MOH), the Ministry of Finance (MOF), regional and local administrations, health managers, local information specialists, and other donors.</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t>Scope of Work</w:t>
      </w:r>
    </w:p>
    <w:p w:rsidR="00487772" w:rsidRPr="00487772" w:rsidRDefault="00487772" w:rsidP="00487772">
      <w:pPr>
        <w:spacing w:before="240"/>
        <w:ind w:right="300"/>
        <w:jc w:val="both"/>
        <w:rPr>
          <w:lang w:val="en-GB"/>
        </w:rPr>
      </w:pPr>
      <w:r w:rsidRPr="00487772">
        <w:rPr>
          <w:lang w:val="en-GB"/>
        </w:rPr>
        <w:t>This is a preliminary NHA assessment (Phase I).  The assignment will be implemented over 20 days and finished before June 30 2007.  The consultant will collaborate closely with representatives from the health sector and the Ministry of Finance, with other WB consultants working on the KDSP and on a pharmaceutical sector analysis, and with other donors working in Kosovo. The work includes the following tasks:</w:t>
      </w:r>
    </w:p>
    <w:p w:rsidR="00487772" w:rsidRPr="00487772" w:rsidRDefault="00487772" w:rsidP="00487772">
      <w:pPr>
        <w:ind w:right="300"/>
        <w:jc w:val="both"/>
        <w:rPr>
          <w:lang w:val="en-GB"/>
        </w:rPr>
      </w:pPr>
    </w:p>
    <w:p w:rsidR="00487772" w:rsidRPr="00487772" w:rsidRDefault="00487772" w:rsidP="00487772">
      <w:pPr>
        <w:ind w:right="300"/>
        <w:jc w:val="both"/>
        <w:rPr>
          <w:b/>
          <w:lang w:val="en-GB"/>
        </w:rPr>
      </w:pPr>
      <w:r w:rsidRPr="00487772">
        <w:rPr>
          <w:b/>
          <w:lang w:val="en-GB"/>
        </w:rPr>
        <w:t>Phase I: Preliminary analysis, capacity building, identification of policy questions</w:t>
      </w:r>
    </w:p>
    <w:p w:rsidR="00487772" w:rsidRPr="00487772" w:rsidRDefault="00487772" w:rsidP="00487772">
      <w:pPr>
        <w:numPr>
          <w:ilvl w:val="0"/>
          <w:numId w:val="5"/>
        </w:numPr>
        <w:ind w:right="300"/>
        <w:jc w:val="both"/>
        <w:rPr>
          <w:lang w:val="en-GB"/>
        </w:rPr>
      </w:pPr>
      <w:r w:rsidRPr="00487772">
        <w:rPr>
          <w:lang w:val="en-GB"/>
        </w:rPr>
        <w:t xml:space="preserve">Identification of main policy questions to be addressed in a preliminary NHA analysis, based on KDSP goals, previous PEIR, and MTEF baseline data needs. </w:t>
      </w:r>
    </w:p>
    <w:p w:rsidR="00487772" w:rsidRPr="00487772" w:rsidRDefault="00487772" w:rsidP="00487772">
      <w:pPr>
        <w:numPr>
          <w:ilvl w:val="0"/>
          <w:numId w:val="5"/>
        </w:numPr>
        <w:ind w:right="300"/>
        <w:jc w:val="both"/>
        <w:rPr>
          <w:lang w:val="en-GB"/>
        </w:rPr>
      </w:pPr>
      <w:r w:rsidRPr="00487772">
        <w:rPr>
          <w:lang w:val="en-GB"/>
        </w:rPr>
        <w:t xml:space="preserve">Propose formation of the Kosovo NHA technical team to lead the future work on NHA. Advise on creation of NHA steering committee to provide policy guidance. Collaborate with MOF and MOH technical staff on the job in all the following tasks. </w:t>
      </w:r>
    </w:p>
    <w:p w:rsidR="00487772" w:rsidRPr="00487772" w:rsidRDefault="00487772" w:rsidP="00487772">
      <w:pPr>
        <w:numPr>
          <w:ilvl w:val="0"/>
          <w:numId w:val="5"/>
        </w:numPr>
        <w:ind w:right="300"/>
        <w:jc w:val="both"/>
        <w:rPr>
          <w:lang w:val="en-GB"/>
        </w:rPr>
      </w:pPr>
      <w:r w:rsidRPr="00487772">
        <w:rPr>
          <w:lang w:val="en-GB"/>
        </w:rPr>
        <w:t xml:space="preserve">Development of a work plan based on an assessment of the situation for developing and implementing preliminary NHA round. </w:t>
      </w:r>
    </w:p>
    <w:p w:rsidR="00487772" w:rsidRPr="00487772" w:rsidRDefault="00487772" w:rsidP="00487772">
      <w:pPr>
        <w:numPr>
          <w:ilvl w:val="0"/>
          <w:numId w:val="5"/>
        </w:numPr>
        <w:ind w:right="300"/>
        <w:jc w:val="both"/>
        <w:rPr>
          <w:lang w:val="en-GB"/>
        </w:rPr>
      </w:pPr>
      <w:r w:rsidRPr="00487772">
        <w:rPr>
          <w:lang w:val="en-GB"/>
        </w:rPr>
        <w:t>Identify all organizations/stakeholders in health sector who will be surveyed for NHA data purpose</w:t>
      </w:r>
    </w:p>
    <w:p w:rsidR="00487772" w:rsidRPr="00487772" w:rsidRDefault="00487772" w:rsidP="00487772">
      <w:pPr>
        <w:numPr>
          <w:ilvl w:val="0"/>
          <w:numId w:val="5"/>
        </w:numPr>
        <w:ind w:right="300"/>
        <w:jc w:val="both"/>
        <w:rPr>
          <w:lang w:val="en-GB"/>
        </w:rPr>
      </w:pPr>
      <w:r w:rsidRPr="00487772">
        <w:rPr>
          <w:lang w:val="en-GB"/>
        </w:rPr>
        <w:t xml:space="preserve">Evaluation of existing data, including a review of available sources of information and how this information can be used to construct a first version of NHA following international standards. </w:t>
      </w:r>
    </w:p>
    <w:p w:rsidR="00487772" w:rsidRPr="00487772" w:rsidRDefault="00487772" w:rsidP="00487772">
      <w:pPr>
        <w:numPr>
          <w:ilvl w:val="0"/>
          <w:numId w:val="5"/>
        </w:numPr>
        <w:ind w:right="300"/>
        <w:jc w:val="both"/>
        <w:rPr>
          <w:lang w:val="en-GB"/>
        </w:rPr>
      </w:pPr>
      <w:r w:rsidRPr="00487772">
        <w:rPr>
          <w:lang w:val="en-GB"/>
        </w:rPr>
        <w:t>Preliminary NHA report based on existing data submitted by May 15, with NHA matrices from sources to financing agents to users.  Compilation of ICHA-HF, ICHA-HC and ICHA-HP based on existing.  Identify data gaps and recommendations for improved data collection.</w:t>
      </w:r>
    </w:p>
    <w:p w:rsidR="00487772" w:rsidRPr="00487772" w:rsidRDefault="00487772" w:rsidP="00487772">
      <w:pPr>
        <w:numPr>
          <w:ilvl w:val="0"/>
          <w:numId w:val="5"/>
        </w:numPr>
        <w:ind w:right="300"/>
        <w:jc w:val="both"/>
        <w:rPr>
          <w:lang w:val="en-GB"/>
        </w:rPr>
      </w:pPr>
      <w:r w:rsidRPr="00487772">
        <w:rPr>
          <w:lang w:val="en-GB"/>
        </w:rPr>
        <w:t>The preliminary NHA will include recommendations for conducting disease-specific NHA sub-analysis which can be included in a future first NHA report, and which will serve to monitor and evaluate progress made under the KDSP and MTEF.</w:t>
      </w:r>
    </w:p>
    <w:p w:rsidR="00487772" w:rsidRPr="00487772" w:rsidRDefault="00487772" w:rsidP="00487772">
      <w:pPr>
        <w:numPr>
          <w:ilvl w:val="0"/>
          <w:numId w:val="5"/>
        </w:numPr>
        <w:ind w:right="300"/>
        <w:jc w:val="both"/>
        <w:rPr>
          <w:lang w:val="en-GB"/>
        </w:rPr>
      </w:pPr>
      <w:r w:rsidRPr="00487772">
        <w:rPr>
          <w:lang w:val="en-GB"/>
        </w:rPr>
        <w:t xml:space="preserve">Present and discuss preliminary NHA findings with all stakeholders at a final workshop in Pristina in week of June 25 2007.  During this workshop present </w:t>
      </w:r>
      <w:proofErr w:type="gramStart"/>
      <w:r w:rsidRPr="00487772">
        <w:rPr>
          <w:lang w:val="en-GB"/>
        </w:rPr>
        <w:t>powerpoint</w:t>
      </w:r>
      <w:proofErr w:type="gramEnd"/>
      <w:r w:rsidRPr="00487772">
        <w:rPr>
          <w:lang w:val="en-GB"/>
        </w:rPr>
        <w:t xml:space="preserve"> with NHA results, linkages to MTEF and KDSP, and identify policy questions that need to be addressed in the first NHA. </w:t>
      </w:r>
    </w:p>
    <w:p w:rsidR="00487772" w:rsidRPr="00487772" w:rsidRDefault="00487772" w:rsidP="00487772">
      <w:pPr>
        <w:ind w:right="300"/>
        <w:jc w:val="both"/>
        <w:rPr>
          <w:lang w:val="en-GB"/>
        </w:rPr>
      </w:pPr>
    </w:p>
    <w:p w:rsidR="00487772" w:rsidRPr="00487772" w:rsidRDefault="00487772" w:rsidP="00487772">
      <w:pPr>
        <w:autoSpaceDE w:val="0"/>
        <w:autoSpaceDN w:val="0"/>
        <w:adjustRightInd w:val="0"/>
        <w:spacing w:line="240" w:lineRule="atLeast"/>
        <w:rPr>
          <w:color w:val="000000"/>
          <w:lang w:val="en-GB"/>
        </w:rPr>
      </w:pPr>
    </w:p>
    <w:p w:rsidR="00487772" w:rsidRDefault="00487772" w:rsidP="00487772">
      <w:pPr>
        <w:autoSpaceDE w:val="0"/>
        <w:autoSpaceDN w:val="0"/>
        <w:adjustRightInd w:val="0"/>
        <w:spacing w:line="240" w:lineRule="atLeast"/>
        <w:rPr>
          <w:b/>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lastRenderedPageBreak/>
        <w:t>Time Frame:</w:t>
      </w:r>
    </w:p>
    <w:p w:rsidR="00487772" w:rsidRPr="00487772" w:rsidRDefault="00487772" w:rsidP="00487772">
      <w:pPr>
        <w:autoSpaceDE w:val="0"/>
        <w:autoSpaceDN w:val="0"/>
        <w:adjustRightInd w:val="0"/>
        <w:spacing w:line="240" w:lineRule="atLeast"/>
        <w:rPr>
          <w:color w:val="000000"/>
          <w:lang w:val="en-GB"/>
        </w:rPr>
      </w:pPr>
      <w:r w:rsidRPr="00487772">
        <w:rPr>
          <w:lang w:val="en-GB"/>
        </w:rPr>
        <w:t xml:space="preserve">The work is expected to be implemented during the period of April 12 until June 30, 2007. The duration of assignment is approximately 20 days of time worked during these three months. </w:t>
      </w:r>
      <w:r w:rsidRPr="00487772">
        <w:rPr>
          <w:color w:val="000000"/>
          <w:lang w:val="en-GB"/>
        </w:rPr>
        <w:t xml:space="preserve">During the assignment, the consultant is expected to travel to Pristina/Kosovo twice to meet with Government representatives at the Ministry of Health and the Ministry of Finance, donors and Word Bank staff.  Travel within Kosovo is expected to be limited to visit regional hospitals. </w:t>
      </w:r>
    </w:p>
    <w:p w:rsidR="00487772" w:rsidRPr="00487772" w:rsidRDefault="00487772" w:rsidP="00487772">
      <w:pPr>
        <w:autoSpaceDE w:val="0"/>
        <w:autoSpaceDN w:val="0"/>
        <w:adjustRightInd w:val="0"/>
        <w:spacing w:line="240" w:lineRule="atLeast"/>
        <w:rPr>
          <w:rFonts w:ascii="Tms Rmn" w:hAnsi="Tms Rmn" w:cs="Tms Rmn"/>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t>Required output:</w:t>
      </w:r>
    </w:p>
    <w:p w:rsidR="00487772" w:rsidRPr="00487772" w:rsidRDefault="00487772" w:rsidP="00487772">
      <w:pPr>
        <w:pStyle w:val="Aufzhlungszeichen1"/>
        <w:numPr>
          <w:ilvl w:val="0"/>
          <w:numId w:val="3"/>
        </w:numPr>
      </w:pPr>
      <w:r w:rsidRPr="00487772">
        <w:t xml:space="preserve">A planned work structure, by activities, deliverables and deadlines. </w:t>
      </w:r>
    </w:p>
    <w:p w:rsidR="00487772" w:rsidRPr="00487772" w:rsidRDefault="00487772" w:rsidP="00487772">
      <w:pPr>
        <w:pStyle w:val="Aufzhlungszeichen1"/>
        <w:numPr>
          <w:ilvl w:val="0"/>
          <w:numId w:val="3"/>
        </w:numPr>
      </w:pPr>
      <w:r w:rsidRPr="00487772">
        <w:t>Data sources relevant for compilation (for public, private and military health expenditures separately) of NHA, complemented with a contact person for each of these data sources;</w:t>
      </w:r>
    </w:p>
    <w:p w:rsidR="00487772" w:rsidRPr="00487772" w:rsidRDefault="00487772" w:rsidP="00487772">
      <w:pPr>
        <w:pStyle w:val="Aufzhlungszeichen1"/>
        <w:numPr>
          <w:ilvl w:val="0"/>
          <w:numId w:val="3"/>
        </w:numPr>
      </w:pPr>
      <w:r w:rsidRPr="00487772">
        <w:t>Subject areas (health expenditure categories), for which data sources are needed, although currently not yet identified,</w:t>
      </w:r>
    </w:p>
    <w:p w:rsidR="00487772" w:rsidRPr="00487772" w:rsidRDefault="00487772" w:rsidP="00487772">
      <w:pPr>
        <w:pStyle w:val="Aufzhlungszeichen1"/>
        <w:numPr>
          <w:ilvl w:val="0"/>
          <w:numId w:val="3"/>
        </w:numPr>
      </w:pPr>
      <w:r w:rsidRPr="00487772">
        <w:rPr>
          <w:i/>
        </w:rPr>
        <w:t xml:space="preserve">Phase 1 </w:t>
      </w:r>
      <w:r w:rsidRPr="00487772">
        <w:t>“Preparatory steps” contains activities a) – g), timed to be completed by June 30, focusing on institution and capacity building and evaluation of data availabilities.</w:t>
      </w:r>
    </w:p>
    <w:p w:rsidR="00487772" w:rsidRPr="00487772" w:rsidRDefault="00487772" w:rsidP="00487772">
      <w:pPr>
        <w:pStyle w:val="Aufzhlungszeichen1"/>
        <w:numPr>
          <w:ilvl w:val="0"/>
          <w:numId w:val="3"/>
        </w:numPr>
      </w:pPr>
      <w:r w:rsidRPr="00487772">
        <w:t>Preliminary NHA report</w:t>
      </w:r>
    </w:p>
    <w:p w:rsidR="00487772" w:rsidRPr="00487772" w:rsidRDefault="00487772" w:rsidP="00487772">
      <w:pPr>
        <w:numPr>
          <w:ilvl w:val="0"/>
          <w:numId w:val="3"/>
        </w:numPr>
        <w:autoSpaceDE w:val="0"/>
        <w:autoSpaceDN w:val="0"/>
        <w:adjustRightInd w:val="0"/>
        <w:spacing w:line="240" w:lineRule="atLeast"/>
        <w:rPr>
          <w:color w:val="000000"/>
          <w:lang w:val="en-GB"/>
        </w:rPr>
      </w:pPr>
      <w:r w:rsidRPr="00487772">
        <w:rPr>
          <w:color w:val="000000"/>
          <w:lang w:val="en-GB"/>
        </w:rPr>
        <w:t>Present at two-day Seminar with stakeholders to present and discuss results and recommendations. Powerpoint presentations will remain with the MOH.</w:t>
      </w:r>
    </w:p>
    <w:p w:rsidR="00487772" w:rsidRPr="00487772" w:rsidRDefault="00487772" w:rsidP="00487772">
      <w:pPr>
        <w:numPr>
          <w:ilvl w:val="0"/>
          <w:numId w:val="3"/>
        </w:numPr>
        <w:autoSpaceDE w:val="0"/>
        <w:autoSpaceDN w:val="0"/>
        <w:adjustRightInd w:val="0"/>
        <w:spacing w:line="240" w:lineRule="atLeast"/>
        <w:rPr>
          <w:color w:val="000000"/>
          <w:lang w:val="en-GB"/>
        </w:rPr>
      </w:pPr>
      <w:r w:rsidRPr="00487772">
        <w:rPr>
          <w:color w:val="000000"/>
          <w:lang w:val="en-GB"/>
        </w:rPr>
        <w:t xml:space="preserve">Travel to Prishtina and surrounding communities in Kosovo </w:t>
      </w: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t>Qualification of the Consultant</w:t>
      </w:r>
    </w:p>
    <w:p w:rsidR="00487772" w:rsidRPr="00487772" w:rsidRDefault="00487772" w:rsidP="00487772">
      <w:pPr>
        <w:numPr>
          <w:ilvl w:val="0"/>
          <w:numId w:val="4"/>
        </w:numPr>
        <w:jc w:val="both"/>
        <w:rPr>
          <w:lang w:val="en-GB"/>
        </w:rPr>
      </w:pPr>
      <w:r w:rsidRPr="00487772">
        <w:rPr>
          <w:lang w:val="en-GB"/>
        </w:rPr>
        <w:t>An advanced degree related to statistics, accounting, health financing or economics</w:t>
      </w:r>
    </w:p>
    <w:p w:rsidR="00487772" w:rsidRPr="00487772" w:rsidRDefault="00487772" w:rsidP="00487772">
      <w:pPr>
        <w:numPr>
          <w:ilvl w:val="0"/>
          <w:numId w:val="4"/>
        </w:numPr>
        <w:jc w:val="both"/>
        <w:rPr>
          <w:lang w:val="en-GB"/>
        </w:rPr>
      </w:pPr>
      <w:r w:rsidRPr="00487772">
        <w:rPr>
          <w:lang w:val="en-GB"/>
        </w:rPr>
        <w:t xml:space="preserve">Demonstrated experience in developing and implementing National Health Accounts.  </w:t>
      </w:r>
    </w:p>
    <w:p w:rsidR="00487772" w:rsidRPr="00487772" w:rsidRDefault="00487772" w:rsidP="00487772">
      <w:pPr>
        <w:numPr>
          <w:ilvl w:val="0"/>
          <w:numId w:val="4"/>
        </w:numPr>
        <w:jc w:val="both"/>
        <w:rPr>
          <w:lang w:val="en-GB"/>
        </w:rPr>
      </w:pPr>
      <w:r w:rsidRPr="00487772">
        <w:rPr>
          <w:lang w:val="en-GB"/>
        </w:rPr>
        <w:t>Demonstrated at least four years experience in NHA and analyzing health sector performance in several countries, as well as being an internationally recognized NHA expert with credentials from OECD, WHO, Eurostat.</w:t>
      </w:r>
    </w:p>
    <w:p w:rsidR="00487772" w:rsidRPr="00487772" w:rsidRDefault="00487772" w:rsidP="00487772">
      <w:pPr>
        <w:numPr>
          <w:ilvl w:val="0"/>
          <w:numId w:val="4"/>
        </w:numPr>
        <w:jc w:val="both"/>
        <w:rPr>
          <w:lang w:val="en-GB"/>
        </w:rPr>
      </w:pPr>
      <w:r w:rsidRPr="00487772">
        <w:rPr>
          <w:lang w:val="en-GB"/>
        </w:rPr>
        <w:t xml:space="preserve">An experience in working with central and eastern European and transition countries. </w:t>
      </w:r>
    </w:p>
    <w:p w:rsidR="00487772" w:rsidRPr="00487772" w:rsidRDefault="00487772" w:rsidP="00487772">
      <w:pPr>
        <w:numPr>
          <w:ilvl w:val="0"/>
          <w:numId w:val="4"/>
        </w:numPr>
        <w:jc w:val="both"/>
        <w:rPr>
          <w:lang w:val="en-GB"/>
        </w:rPr>
      </w:pPr>
      <w:r w:rsidRPr="00487772">
        <w:rPr>
          <w:lang w:val="en-GB"/>
        </w:rPr>
        <w:t>Demonstrated capabilities to communicate effectively;</w:t>
      </w:r>
    </w:p>
    <w:p w:rsidR="00487772" w:rsidRPr="00487772" w:rsidRDefault="00487772" w:rsidP="00487772">
      <w:pPr>
        <w:numPr>
          <w:ilvl w:val="0"/>
          <w:numId w:val="4"/>
        </w:numPr>
        <w:jc w:val="both"/>
        <w:rPr>
          <w:lang w:val="en-GB"/>
        </w:rPr>
      </w:pPr>
      <w:r w:rsidRPr="00487772">
        <w:rPr>
          <w:lang w:val="en-GB"/>
        </w:rPr>
        <w:t xml:space="preserve">Working language is English.  </w:t>
      </w:r>
    </w:p>
    <w:p w:rsidR="00487772" w:rsidRPr="00487772" w:rsidRDefault="00487772" w:rsidP="00487772">
      <w:pPr>
        <w:autoSpaceDE w:val="0"/>
        <w:autoSpaceDN w:val="0"/>
        <w:adjustRightInd w:val="0"/>
        <w:spacing w:line="240" w:lineRule="atLeast"/>
        <w:rPr>
          <w:b/>
          <w:color w:val="000000"/>
          <w:lang w:val="en-GB"/>
        </w:rPr>
      </w:pPr>
    </w:p>
    <w:p w:rsidR="00487772" w:rsidRPr="00487772" w:rsidRDefault="00487772" w:rsidP="00487772">
      <w:pPr>
        <w:autoSpaceDE w:val="0"/>
        <w:autoSpaceDN w:val="0"/>
        <w:adjustRightInd w:val="0"/>
        <w:spacing w:line="240" w:lineRule="atLeast"/>
        <w:rPr>
          <w:b/>
          <w:color w:val="000000"/>
          <w:lang w:val="en-GB"/>
        </w:rPr>
      </w:pPr>
      <w:r w:rsidRPr="00487772">
        <w:rPr>
          <w:b/>
          <w:color w:val="000000"/>
          <w:lang w:val="en-GB"/>
        </w:rPr>
        <w:t>Logistical Support:</w:t>
      </w:r>
    </w:p>
    <w:p w:rsidR="00487772" w:rsidRPr="00487772" w:rsidRDefault="00487772" w:rsidP="00487772">
      <w:pPr>
        <w:autoSpaceDE w:val="0"/>
        <w:autoSpaceDN w:val="0"/>
        <w:adjustRightInd w:val="0"/>
        <w:spacing w:line="240" w:lineRule="atLeast"/>
        <w:rPr>
          <w:color w:val="000000"/>
          <w:lang w:val="en-GB"/>
        </w:rPr>
      </w:pPr>
      <w:proofErr w:type="gramStart"/>
      <w:r w:rsidRPr="00487772">
        <w:rPr>
          <w:color w:val="000000"/>
          <w:lang w:val="en-GB"/>
        </w:rPr>
        <w:t xml:space="preserve">Will be provided through the WB </w:t>
      </w:r>
      <w:smartTag w:uri="urn:schemas-microsoft-com:office:smarttags" w:element="PersonName">
        <w:r w:rsidRPr="00487772">
          <w:rPr>
            <w:color w:val="000000"/>
            <w:lang w:val="en-GB"/>
          </w:rPr>
          <w:t>office</w:t>
        </w:r>
      </w:smartTag>
      <w:r w:rsidRPr="00487772">
        <w:rPr>
          <w:color w:val="000000"/>
          <w:lang w:val="en-GB"/>
        </w:rPr>
        <w:t xml:space="preserve"> in Pristina and the MOH.</w:t>
      </w:r>
      <w:proofErr w:type="gramEnd"/>
      <w:r w:rsidRPr="00487772">
        <w:rPr>
          <w:color w:val="000000"/>
          <w:lang w:val="en-GB"/>
        </w:rPr>
        <w:t xml:space="preserve"> </w:t>
      </w:r>
    </w:p>
    <w:p w:rsidR="00487772" w:rsidRDefault="00487772" w:rsidP="00487772">
      <w:pPr>
        <w:pStyle w:val="Heading1"/>
        <w:numPr>
          <w:ilvl w:val="0"/>
          <w:numId w:val="0"/>
        </w:numPr>
        <w:spacing w:line="360" w:lineRule="auto"/>
        <w:jc w:val="both"/>
        <w:rPr>
          <w:bCs w:val="0"/>
          <w:sz w:val="24"/>
          <w:lang w:val="en-GB"/>
        </w:rPr>
      </w:pPr>
      <w:r>
        <w:br w:type="page"/>
      </w:r>
      <w:bookmarkStart w:id="17" w:name="_Toc175548182"/>
      <w:r w:rsidRPr="00487772">
        <w:rPr>
          <w:bCs w:val="0"/>
          <w:sz w:val="24"/>
          <w:lang w:val="en-GB"/>
        </w:rPr>
        <w:lastRenderedPageBreak/>
        <w:t xml:space="preserve">Annex </w:t>
      </w:r>
      <w:r w:rsidR="00AF7DED">
        <w:rPr>
          <w:bCs w:val="0"/>
          <w:sz w:val="24"/>
          <w:lang w:val="en-GB"/>
        </w:rPr>
        <w:t>III</w:t>
      </w:r>
      <w:bookmarkEnd w:id="17"/>
    </w:p>
    <w:p w:rsidR="003B569E" w:rsidRPr="00487772" w:rsidRDefault="003B569E" w:rsidP="003B569E">
      <w:pPr>
        <w:rPr>
          <w:lang w:val="en-GB" w:eastAsia="en-US"/>
        </w:rPr>
      </w:pPr>
    </w:p>
    <w:p w:rsidR="003B569E" w:rsidRPr="00487772" w:rsidRDefault="003B569E" w:rsidP="003B569E">
      <w:pPr>
        <w:spacing w:line="360" w:lineRule="auto"/>
        <w:jc w:val="center"/>
        <w:rPr>
          <w:b/>
          <w:lang w:val="en-GB"/>
        </w:rPr>
      </w:pPr>
      <w:r>
        <w:rPr>
          <w:b/>
          <w:lang w:val="en-GB"/>
        </w:rPr>
        <w:t>International Classification f</w:t>
      </w:r>
      <w:r w:rsidRPr="00487772">
        <w:rPr>
          <w:b/>
          <w:lang w:val="en-GB"/>
        </w:rPr>
        <w:t>or Health Accounts</w:t>
      </w:r>
    </w:p>
    <w:p w:rsidR="003B569E" w:rsidRPr="003B569E" w:rsidRDefault="003B569E" w:rsidP="003B569E">
      <w:pPr>
        <w:rPr>
          <w:lang w:val="en-GB" w:eastAsia="en-US"/>
        </w:rPr>
      </w:pPr>
    </w:p>
    <w:p w:rsidR="003E5950" w:rsidRPr="00487772" w:rsidRDefault="003E5950" w:rsidP="003E5950">
      <w:pPr>
        <w:autoSpaceDE w:val="0"/>
        <w:autoSpaceDN w:val="0"/>
        <w:adjustRightInd w:val="0"/>
        <w:spacing w:line="360" w:lineRule="auto"/>
        <w:rPr>
          <w:b/>
          <w:lang w:val="en-GB"/>
        </w:rPr>
      </w:pPr>
      <w:r w:rsidRPr="00487772">
        <w:rPr>
          <w:b/>
          <w:lang w:val="en-GB"/>
        </w:rPr>
        <w:t>ICHA code Sources of funding</w:t>
      </w:r>
    </w:p>
    <w:p w:rsidR="007F3E93" w:rsidRPr="00487772" w:rsidRDefault="007F3E93" w:rsidP="003E5950">
      <w:pPr>
        <w:autoSpaceDE w:val="0"/>
        <w:autoSpaceDN w:val="0"/>
        <w:adjustRightInd w:val="0"/>
        <w:spacing w:line="360" w:lineRule="auto"/>
        <w:rPr>
          <w:b/>
          <w:lang w:val="en-GB"/>
        </w:rPr>
      </w:pPr>
    </w:p>
    <w:p w:rsidR="003E5950" w:rsidRPr="00487772" w:rsidRDefault="00AD409D" w:rsidP="003E5950">
      <w:pPr>
        <w:autoSpaceDE w:val="0"/>
        <w:autoSpaceDN w:val="0"/>
        <w:adjustRightInd w:val="0"/>
        <w:spacing w:line="360" w:lineRule="auto"/>
        <w:rPr>
          <w:lang w:val="en-GB"/>
        </w:rPr>
      </w:pPr>
      <w:r w:rsidRPr="00487772">
        <w:rPr>
          <w:lang w:val="en-GB"/>
        </w:rPr>
        <w:t xml:space="preserve">HF.1 General </w:t>
      </w:r>
      <w:proofErr w:type="gramStart"/>
      <w:r w:rsidRPr="00487772">
        <w:rPr>
          <w:lang w:val="en-GB"/>
        </w:rPr>
        <w:t>g</w:t>
      </w:r>
      <w:r w:rsidR="003E5950" w:rsidRPr="00487772">
        <w:rPr>
          <w:lang w:val="en-GB"/>
        </w:rPr>
        <w:t>overnment</w:t>
      </w:r>
      <w:proofErr w:type="gramEnd"/>
    </w:p>
    <w:p w:rsidR="003E5950" w:rsidRPr="00487772" w:rsidRDefault="00AD409D" w:rsidP="003E5950">
      <w:pPr>
        <w:autoSpaceDE w:val="0"/>
        <w:autoSpaceDN w:val="0"/>
        <w:adjustRightInd w:val="0"/>
        <w:spacing w:line="360" w:lineRule="auto"/>
        <w:rPr>
          <w:lang w:val="en-GB"/>
        </w:rPr>
      </w:pPr>
      <w:r w:rsidRPr="00487772">
        <w:rPr>
          <w:lang w:val="en-GB"/>
        </w:rPr>
        <w:t xml:space="preserve">  HF.1.1 General </w:t>
      </w:r>
      <w:proofErr w:type="gramStart"/>
      <w:r w:rsidRPr="00487772">
        <w:rPr>
          <w:lang w:val="en-GB"/>
        </w:rPr>
        <w:t>g</w:t>
      </w:r>
      <w:r w:rsidR="003E5950" w:rsidRPr="00487772">
        <w:rPr>
          <w:lang w:val="en-GB"/>
        </w:rPr>
        <w:t>overnment</w:t>
      </w:r>
      <w:proofErr w:type="gramEnd"/>
      <w:r w:rsidR="003E5950" w:rsidRPr="00487772">
        <w:rPr>
          <w:lang w:val="en-GB"/>
        </w:rPr>
        <w:t xml:space="preserve"> excluding social security funds</w:t>
      </w:r>
    </w:p>
    <w:p w:rsidR="003E5950" w:rsidRPr="00487772" w:rsidRDefault="00AD409D" w:rsidP="003E5950">
      <w:pPr>
        <w:autoSpaceDE w:val="0"/>
        <w:autoSpaceDN w:val="0"/>
        <w:adjustRightInd w:val="0"/>
        <w:spacing w:line="360" w:lineRule="auto"/>
        <w:rPr>
          <w:lang w:val="en-GB"/>
        </w:rPr>
      </w:pPr>
      <w:r w:rsidRPr="00487772">
        <w:rPr>
          <w:lang w:val="en-GB"/>
        </w:rPr>
        <w:t xml:space="preserve">    HF.1.1.1 Central g</w:t>
      </w:r>
      <w:r w:rsidR="003E5950" w:rsidRPr="00487772">
        <w:rPr>
          <w:lang w:val="en-GB"/>
        </w:rPr>
        <w:t>overnment</w:t>
      </w:r>
    </w:p>
    <w:p w:rsidR="003E5950" w:rsidRPr="00487772" w:rsidRDefault="00AD409D" w:rsidP="003E5950">
      <w:pPr>
        <w:autoSpaceDE w:val="0"/>
        <w:autoSpaceDN w:val="0"/>
        <w:adjustRightInd w:val="0"/>
        <w:spacing w:line="360" w:lineRule="auto"/>
        <w:rPr>
          <w:lang w:val="en-GB"/>
        </w:rPr>
      </w:pPr>
      <w:r w:rsidRPr="00487772">
        <w:rPr>
          <w:lang w:val="en-GB"/>
        </w:rPr>
        <w:t xml:space="preserve">    HF.1.1.2 State/provincial g</w:t>
      </w:r>
      <w:r w:rsidR="003E5950" w:rsidRPr="00487772">
        <w:rPr>
          <w:lang w:val="en-GB"/>
        </w:rPr>
        <w:t>overnment</w:t>
      </w:r>
    </w:p>
    <w:p w:rsidR="003E5950" w:rsidRPr="00487772" w:rsidRDefault="00AD409D" w:rsidP="003E5950">
      <w:pPr>
        <w:autoSpaceDE w:val="0"/>
        <w:autoSpaceDN w:val="0"/>
        <w:adjustRightInd w:val="0"/>
        <w:spacing w:line="360" w:lineRule="auto"/>
        <w:rPr>
          <w:lang w:val="en-GB"/>
        </w:rPr>
      </w:pPr>
      <w:r w:rsidRPr="00487772">
        <w:rPr>
          <w:lang w:val="en-GB"/>
        </w:rPr>
        <w:t xml:space="preserve">    HF.1.1.3 Local/municipal g</w:t>
      </w:r>
      <w:r w:rsidR="003E5950" w:rsidRPr="00487772">
        <w:rPr>
          <w:lang w:val="en-GB"/>
        </w:rPr>
        <w:t>overnment</w:t>
      </w:r>
    </w:p>
    <w:p w:rsidR="003E5950" w:rsidRPr="00487772" w:rsidRDefault="003E5950" w:rsidP="003E5950">
      <w:pPr>
        <w:autoSpaceDE w:val="0"/>
        <w:autoSpaceDN w:val="0"/>
        <w:adjustRightInd w:val="0"/>
        <w:spacing w:line="360" w:lineRule="auto"/>
        <w:rPr>
          <w:lang w:val="en-GB"/>
        </w:rPr>
      </w:pPr>
      <w:r w:rsidRPr="00487772">
        <w:rPr>
          <w:lang w:val="en-GB"/>
        </w:rPr>
        <w:t xml:space="preserve">  HF.1.2 Social security funds</w:t>
      </w:r>
    </w:p>
    <w:p w:rsidR="003E5950" w:rsidRPr="00487772" w:rsidRDefault="003E5950" w:rsidP="003E5950">
      <w:pPr>
        <w:autoSpaceDE w:val="0"/>
        <w:autoSpaceDN w:val="0"/>
        <w:adjustRightInd w:val="0"/>
        <w:spacing w:line="360" w:lineRule="auto"/>
        <w:rPr>
          <w:lang w:val="en-GB"/>
        </w:rPr>
      </w:pPr>
      <w:r w:rsidRPr="00487772">
        <w:rPr>
          <w:lang w:val="en-GB"/>
        </w:rPr>
        <w:t xml:space="preserve">HF.2 Private </w:t>
      </w:r>
      <w:proofErr w:type="gramStart"/>
      <w:r w:rsidRPr="00487772">
        <w:rPr>
          <w:lang w:val="en-GB"/>
        </w:rPr>
        <w:t>sector</w:t>
      </w:r>
      <w:proofErr w:type="gramEnd"/>
    </w:p>
    <w:p w:rsidR="003E5950" w:rsidRPr="00487772" w:rsidRDefault="003E5950" w:rsidP="003E5950">
      <w:pPr>
        <w:autoSpaceDE w:val="0"/>
        <w:autoSpaceDN w:val="0"/>
        <w:adjustRightInd w:val="0"/>
        <w:spacing w:line="360" w:lineRule="auto"/>
        <w:rPr>
          <w:lang w:val="en-GB"/>
        </w:rPr>
      </w:pPr>
      <w:r w:rsidRPr="00487772">
        <w:rPr>
          <w:lang w:val="en-GB"/>
        </w:rPr>
        <w:t xml:space="preserve">  HF.2.1 Private social insurance</w:t>
      </w:r>
    </w:p>
    <w:p w:rsidR="003E5950" w:rsidRPr="00487772" w:rsidRDefault="003E5950" w:rsidP="003E5950">
      <w:pPr>
        <w:autoSpaceDE w:val="0"/>
        <w:autoSpaceDN w:val="0"/>
        <w:adjustRightInd w:val="0"/>
        <w:spacing w:line="360" w:lineRule="auto"/>
        <w:rPr>
          <w:lang w:val="en-GB"/>
        </w:rPr>
      </w:pPr>
      <w:r w:rsidRPr="00487772">
        <w:rPr>
          <w:lang w:val="en-GB"/>
        </w:rPr>
        <w:t xml:space="preserve">  HF.2.2 Private </w:t>
      </w:r>
      <w:proofErr w:type="gramStart"/>
      <w:r w:rsidRPr="00487772">
        <w:rPr>
          <w:lang w:val="en-GB"/>
        </w:rPr>
        <w:t>insurance</w:t>
      </w:r>
      <w:proofErr w:type="gramEnd"/>
      <w:r w:rsidRPr="00487772">
        <w:rPr>
          <w:lang w:val="en-GB"/>
        </w:rPr>
        <w:t xml:space="preserve"> (other than social insurance)</w:t>
      </w:r>
    </w:p>
    <w:p w:rsidR="003E5950" w:rsidRPr="00487772" w:rsidRDefault="003E5950" w:rsidP="003E5950">
      <w:pPr>
        <w:autoSpaceDE w:val="0"/>
        <w:autoSpaceDN w:val="0"/>
        <w:adjustRightInd w:val="0"/>
        <w:spacing w:line="360" w:lineRule="auto"/>
        <w:rPr>
          <w:lang w:val="en-GB"/>
        </w:rPr>
      </w:pPr>
      <w:r w:rsidRPr="00487772">
        <w:rPr>
          <w:lang w:val="en-GB"/>
        </w:rPr>
        <w:t xml:space="preserve">  HF.2.3 Private </w:t>
      </w:r>
      <w:proofErr w:type="gramStart"/>
      <w:r w:rsidRPr="00487772">
        <w:rPr>
          <w:lang w:val="en-GB"/>
        </w:rPr>
        <w:t>households</w:t>
      </w:r>
      <w:proofErr w:type="gramEnd"/>
    </w:p>
    <w:p w:rsidR="003E5950" w:rsidRPr="00487772" w:rsidRDefault="003E5950" w:rsidP="003E5950">
      <w:pPr>
        <w:autoSpaceDE w:val="0"/>
        <w:autoSpaceDN w:val="0"/>
        <w:adjustRightInd w:val="0"/>
        <w:spacing w:line="360" w:lineRule="auto"/>
        <w:rPr>
          <w:lang w:val="en-GB"/>
        </w:rPr>
      </w:pPr>
      <w:r w:rsidRPr="00487772">
        <w:rPr>
          <w:lang w:val="en-GB"/>
        </w:rPr>
        <w:t xml:space="preserve">  HF.2.4 Non-profit institutions serving households (other than social insurance)</w:t>
      </w:r>
    </w:p>
    <w:p w:rsidR="003E5950" w:rsidRPr="00487772" w:rsidRDefault="003E5950" w:rsidP="003E5950">
      <w:pPr>
        <w:autoSpaceDE w:val="0"/>
        <w:autoSpaceDN w:val="0"/>
        <w:adjustRightInd w:val="0"/>
        <w:spacing w:line="360" w:lineRule="auto"/>
        <w:rPr>
          <w:lang w:val="en-GB"/>
        </w:rPr>
      </w:pPr>
      <w:r w:rsidRPr="00487772">
        <w:rPr>
          <w:lang w:val="en-GB"/>
        </w:rPr>
        <w:t xml:space="preserve">  HF.2.5 Corporations (other than health insurance)</w:t>
      </w:r>
    </w:p>
    <w:p w:rsidR="003E5950" w:rsidRPr="00487772" w:rsidRDefault="003E5950" w:rsidP="003E5950">
      <w:pPr>
        <w:autoSpaceDE w:val="0"/>
        <w:autoSpaceDN w:val="0"/>
        <w:adjustRightInd w:val="0"/>
        <w:spacing w:line="360" w:lineRule="auto"/>
        <w:rPr>
          <w:lang w:val="en-GB"/>
        </w:rPr>
      </w:pPr>
      <w:r w:rsidRPr="00487772">
        <w:rPr>
          <w:lang w:val="en-GB"/>
        </w:rPr>
        <w:t>HF.3 Rest of the world</w:t>
      </w:r>
    </w:p>
    <w:p w:rsidR="003E5950" w:rsidRPr="00487772" w:rsidRDefault="003E5950" w:rsidP="003E5950">
      <w:pPr>
        <w:pStyle w:val="Heading1"/>
        <w:numPr>
          <w:ilvl w:val="0"/>
          <w:numId w:val="0"/>
        </w:numPr>
        <w:spacing w:line="360" w:lineRule="auto"/>
        <w:jc w:val="both"/>
        <w:rPr>
          <w:sz w:val="24"/>
          <w:lang w:val="en-GB"/>
        </w:rPr>
      </w:pPr>
      <w:r w:rsidRPr="00487772">
        <w:rPr>
          <w:sz w:val="24"/>
          <w:lang w:val="en-GB"/>
        </w:rPr>
        <w:t xml:space="preserve"> </w:t>
      </w:r>
    </w:p>
    <w:p w:rsidR="003E5950" w:rsidRPr="00487772" w:rsidRDefault="003E5950" w:rsidP="003E5950">
      <w:pPr>
        <w:autoSpaceDE w:val="0"/>
        <w:autoSpaceDN w:val="0"/>
        <w:adjustRightInd w:val="0"/>
        <w:rPr>
          <w:b/>
          <w:lang w:val="en-GB"/>
        </w:rPr>
      </w:pPr>
      <w:r w:rsidRPr="00487772">
        <w:rPr>
          <w:b/>
          <w:lang w:val="en-GB"/>
        </w:rPr>
        <w:br w:type="page"/>
      </w:r>
      <w:r w:rsidRPr="00487772">
        <w:rPr>
          <w:b/>
          <w:lang w:val="en-GB"/>
        </w:rPr>
        <w:lastRenderedPageBreak/>
        <w:t>ICHA code Health care provider</w:t>
      </w:r>
    </w:p>
    <w:p w:rsidR="007F3E93" w:rsidRPr="00487772" w:rsidRDefault="007F3E93" w:rsidP="003E5950">
      <w:pPr>
        <w:autoSpaceDE w:val="0"/>
        <w:autoSpaceDN w:val="0"/>
        <w:adjustRightInd w:val="0"/>
        <w:rPr>
          <w:b/>
          <w:lang w:val="en-GB"/>
        </w:rPr>
      </w:pPr>
    </w:p>
    <w:p w:rsidR="003E5950" w:rsidRPr="00487772" w:rsidRDefault="003E5950" w:rsidP="003E5950">
      <w:pPr>
        <w:autoSpaceDE w:val="0"/>
        <w:autoSpaceDN w:val="0"/>
        <w:adjustRightInd w:val="0"/>
        <w:rPr>
          <w:lang w:val="en-GB"/>
        </w:rPr>
      </w:pPr>
      <w:r w:rsidRPr="00487772">
        <w:rPr>
          <w:lang w:val="en-GB"/>
        </w:rPr>
        <w:t>HP.1 Hospitals</w:t>
      </w:r>
    </w:p>
    <w:p w:rsidR="003E5950" w:rsidRPr="00487772" w:rsidRDefault="003E5950" w:rsidP="003E5950">
      <w:pPr>
        <w:autoSpaceDE w:val="0"/>
        <w:autoSpaceDN w:val="0"/>
        <w:adjustRightInd w:val="0"/>
        <w:rPr>
          <w:lang w:val="en-GB"/>
        </w:rPr>
      </w:pPr>
      <w:r w:rsidRPr="00487772">
        <w:rPr>
          <w:lang w:val="en-GB"/>
        </w:rPr>
        <w:t xml:space="preserve">  HP.1.1 General </w:t>
      </w:r>
      <w:proofErr w:type="gramStart"/>
      <w:r w:rsidRPr="00487772">
        <w:rPr>
          <w:lang w:val="en-GB"/>
        </w:rPr>
        <w:t>hospitals</w:t>
      </w:r>
      <w:proofErr w:type="gramEnd"/>
    </w:p>
    <w:p w:rsidR="003E5950" w:rsidRPr="00487772" w:rsidRDefault="003E5950" w:rsidP="003E5950">
      <w:pPr>
        <w:autoSpaceDE w:val="0"/>
        <w:autoSpaceDN w:val="0"/>
        <w:adjustRightInd w:val="0"/>
        <w:rPr>
          <w:lang w:val="en-GB"/>
        </w:rPr>
      </w:pPr>
      <w:r w:rsidRPr="00487772">
        <w:rPr>
          <w:lang w:val="en-GB"/>
        </w:rPr>
        <w:t xml:space="preserve">  HP.1.2 Mental health and substance abuse hospitals</w:t>
      </w:r>
    </w:p>
    <w:p w:rsidR="003E5950" w:rsidRPr="00487772" w:rsidRDefault="003E5950" w:rsidP="003E5950">
      <w:pPr>
        <w:autoSpaceDE w:val="0"/>
        <w:autoSpaceDN w:val="0"/>
        <w:adjustRightInd w:val="0"/>
        <w:rPr>
          <w:lang w:val="en-GB"/>
        </w:rPr>
      </w:pPr>
      <w:r w:rsidRPr="00487772">
        <w:rPr>
          <w:lang w:val="en-GB"/>
        </w:rPr>
        <w:t xml:space="preserve">  HP.1.3 Speciality (other than mental health and substance abuse) hospitals</w:t>
      </w:r>
    </w:p>
    <w:p w:rsidR="003E5950" w:rsidRPr="00487772" w:rsidRDefault="003E5950" w:rsidP="003E5950">
      <w:pPr>
        <w:autoSpaceDE w:val="0"/>
        <w:autoSpaceDN w:val="0"/>
        <w:adjustRightInd w:val="0"/>
        <w:rPr>
          <w:lang w:val="en-GB"/>
        </w:rPr>
      </w:pPr>
      <w:r w:rsidRPr="00487772">
        <w:rPr>
          <w:lang w:val="en-GB"/>
        </w:rPr>
        <w:t>HP.2 Nursing and residential care facilities</w:t>
      </w:r>
    </w:p>
    <w:p w:rsidR="003E5950" w:rsidRPr="00487772" w:rsidRDefault="003E5950" w:rsidP="003E5950">
      <w:pPr>
        <w:autoSpaceDE w:val="0"/>
        <w:autoSpaceDN w:val="0"/>
        <w:adjustRightInd w:val="0"/>
        <w:rPr>
          <w:lang w:val="en-GB"/>
        </w:rPr>
      </w:pPr>
      <w:r w:rsidRPr="00487772">
        <w:rPr>
          <w:lang w:val="en-GB"/>
        </w:rPr>
        <w:t xml:space="preserve">  HP.2.1 Nursing care facilities</w:t>
      </w:r>
    </w:p>
    <w:p w:rsidR="003E5950" w:rsidRPr="00487772" w:rsidRDefault="003E5950" w:rsidP="003E5950">
      <w:pPr>
        <w:autoSpaceDE w:val="0"/>
        <w:autoSpaceDN w:val="0"/>
        <w:adjustRightInd w:val="0"/>
        <w:rPr>
          <w:lang w:val="en-GB"/>
        </w:rPr>
      </w:pPr>
      <w:r w:rsidRPr="00487772">
        <w:rPr>
          <w:lang w:val="en-GB"/>
        </w:rPr>
        <w:t xml:space="preserve">  HP.2.2 Residential mental retardation, mental health and substance abuse facilities</w:t>
      </w:r>
    </w:p>
    <w:p w:rsidR="003E5950" w:rsidRPr="00487772" w:rsidRDefault="003E5950" w:rsidP="003E5950">
      <w:pPr>
        <w:autoSpaceDE w:val="0"/>
        <w:autoSpaceDN w:val="0"/>
        <w:adjustRightInd w:val="0"/>
        <w:rPr>
          <w:lang w:val="en-GB"/>
        </w:rPr>
      </w:pPr>
      <w:r w:rsidRPr="00487772">
        <w:rPr>
          <w:lang w:val="en-GB"/>
        </w:rPr>
        <w:t xml:space="preserve">  HP.2.3 Community care facilities for the elderly</w:t>
      </w:r>
    </w:p>
    <w:p w:rsidR="003E5950" w:rsidRPr="00487772" w:rsidRDefault="003E5950" w:rsidP="003E5950">
      <w:pPr>
        <w:autoSpaceDE w:val="0"/>
        <w:autoSpaceDN w:val="0"/>
        <w:adjustRightInd w:val="0"/>
        <w:rPr>
          <w:lang w:val="en-GB"/>
        </w:rPr>
      </w:pPr>
      <w:r w:rsidRPr="00487772">
        <w:rPr>
          <w:lang w:val="en-GB"/>
        </w:rPr>
        <w:t xml:space="preserve">  HP.2.9 All other residential care facilities</w:t>
      </w:r>
    </w:p>
    <w:p w:rsidR="003E5950" w:rsidRPr="00487772" w:rsidRDefault="003E5950" w:rsidP="003E5950">
      <w:pPr>
        <w:autoSpaceDE w:val="0"/>
        <w:autoSpaceDN w:val="0"/>
        <w:adjustRightInd w:val="0"/>
        <w:rPr>
          <w:lang w:val="en-GB"/>
        </w:rPr>
      </w:pPr>
      <w:r w:rsidRPr="00487772">
        <w:rPr>
          <w:lang w:val="en-GB"/>
        </w:rPr>
        <w:t>HP.3 Providers of ambulatory health care</w:t>
      </w:r>
    </w:p>
    <w:p w:rsidR="003E5950" w:rsidRPr="00487772" w:rsidRDefault="003E5950" w:rsidP="003E5950">
      <w:pPr>
        <w:autoSpaceDE w:val="0"/>
        <w:autoSpaceDN w:val="0"/>
        <w:adjustRightInd w:val="0"/>
        <w:rPr>
          <w:lang w:val="en-GB"/>
        </w:rPr>
      </w:pPr>
      <w:r w:rsidRPr="00487772">
        <w:rPr>
          <w:lang w:val="en-GB"/>
        </w:rPr>
        <w:t xml:space="preserve">  HP.3.1 Offices of physicians</w:t>
      </w:r>
    </w:p>
    <w:p w:rsidR="003E5950" w:rsidRPr="00487772" w:rsidRDefault="003E5950" w:rsidP="003E5950">
      <w:pPr>
        <w:autoSpaceDE w:val="0"/>
        <w:autoSpaceDN w:val="0"/>
        <w:adjustRightInd w:val="0"/>
        <w:rPr>
          <w:lang w:val="en-GB"/>
        </w:rPr>
      </w:pPr>
      <w:r w:rsidRPr="00487772">
        <w:rPr>
          <w:lang w:val="en-GB"/>
        </w:rPr>
        <w:t xml:space="preserve">  HP.3.2 Offices of dentists</w:t>
      </w:r>
    </w:p>
    <w:p w:rsidR="003E5950" w:rsidRPr="00487772" w:rsidRDefault="003E5950" w:rsidP="003E5950">
      <w:pPr>
        <w:autoSpaceDE w:val="0"/>
        <w:autoSpaceDN w:val="0"/>
        <w:adjustRightInd w:val="0"/>
        <w:rPr>
          <w:lang w:val="en-GB"/>
        </w:rPr>
      </w:pPr>
      <w:r w:rsidRPr="00487772">
        <w:rPr>
          <w:lang w:val="en-GB"/>
        </w:rPr>
        <w:t xml:space="preserve">  HP.3.3 Offices of other health practitioners</w:t>
      </w:r>
    </w:p>
    <w:p w:rsidR="003E5950" w:rsidRPr="00487772" w:rsidRDefault="003E5950" w:rsidP="003E5950">
      <w:pPr>
        <w:autoSpaceDE w:val="0"/>
        <w:autoSpaceDN w:val="0"/>
        <w:adjustRightInd w:val="0"/>
        <w:rPr>
          <w:lang w:val="en-GB"/>
        </w:rPr>
      </w:pPr>
      <w:r w:rsidRPr="00487772">
        <w:rPr>
          <w:lang w:val="en-GB"/>
        </w:rPr>
        <w:t xml:space="preserve">  HP.3.4 Out-patient care centres</w:t>
      </w:r>
    </w:p>
    <w:p w:rsidR="003E5950" w:rsidRPr="00487772" w:rsidRDefault="003E5950" w:rsidP="003E5950">
      <w:pPr>
        <w:autoSpaceDE w:val="0"/>
        <w:autoSpaceDN w:val="0"/>
        <w:adjustRightInd w:val="0"/>
        <w:rPr>
          <w:lang w:val="en-GB"/>
        </w:rPr>
      </w:pPr>
      <w:r w:rsidRPr="00487772">
        <w:rPr>
          <w:lang w:val="en-GB"/>
        </w:rPr>
        <w:t xml:space="preserve">  HP.3.5 Medical and diagnostic laboratories</w:t>
      </w:r>
    </w:p>
    <w:p w:rsidR="003E5950" w:rsidRPr="00487772" w:rsidRDefault="003E5950" w:rsidP="003E5950">
      <w:pPr>
        <w:autoSpaceDE w:val="0"/>
        <w:autoSpaceDN w:val="0"/>
        <w:adjustRightInd w:val="0"/>
        <w:rPr>
          <w:lang w:val="en-GB"/>
        </w:rPr>
      </w:pPr>
      <w:r w:rsidRPr="00487772">
        <w:rPr>
          <w:lang w:val="en-GB"/>
        </w:rPr>
        <w:t xml:space="preserve">  HP.3.6 Providers of home health care services</w:t>
      </w:r>
    </w:p>
    <w:p w:rsidR="003E5950" w:rsidRPr="00487772" w:rsidRDefault="003E5950" w:rsidP="003E5950">
      <w:pPr>
        <w:autoSpaceDE w:val="0"/>
        <w:autoSpaceDN w:val="0"/>
        <w:adjustRightInd w:val="0"/>
        <w:rPr>
          <w:lang w:val="en-GB"/>
        </w:rPr>
      </w:pPr>
      <w:r w:rsidRPr="00487772">
        <w:rPr>
          <w:lang w:val="en-GB"/>
        </w:rPr>
        <w:t xml:space="preserve">  HP.3.9 </w:t>
      </w:r>
      <w:proofErr w:type="gramStart"/>
      <w:r w:rsidRPr="00487772">
        <w:rPr>
          <w:lang w:val="en-GB"/>
        </w:rPr>
        <w:t>Other</w:t>
      </w:r>
      <w:proofErr w:type="gramEnd"/>
      <w:r w:rsidRPr="00487772">
        <w:rPr>
          <w:lang w:val="en-GB"/>
        </w:rPr>
        <w:t xml:space="preserve"> providers of ambulatory health care</w:t>
      </w:r>
    </w:p>
    <w:p w:rsidR="003E5950" w:rsidRPr="00487772" w:rsidRDefault="003E5950" w:rsidP="003E5950">
      <w:pPr>
        <w:autoSpaceDE w:val="0"/>
        <w:autoSpaceDN w:val="0"/>
        <w:adjustRightInd w:val="0"/>
        <w:rPr>
          <w:lang w:val="en-GB"/>
        </w:rPr>
      </w:pPr>
      <w:r w:rsidRPr="00487772">
        <w:rPr>
          <w:lang w:val="en-GB"/>
        </w:rPr>
        <w:t>HP.4 Retail sale and other providers of medical goods</w:t>
      </w:r>
    </w:p>
    <w:p w:rsidR="003E5950" w:rsidRPr="00487772" w:rsidRDefault="003E5950" w:rsidP="003E5950">
      <w:pPr>
        <w:autoSpaceDE w:val="0"/>
        <w:autoSpaceDN w:val="0"/>
        <w:adjustRightInd w:val="0"/>
        <w:rPr>
          <w:lang w:val="en-GB"/>
        </w:rPr>
      </w:pPr>
      <w:r w:rsidRPr="00487772">
        <w:rPr>
          <w:lang w:val="en-GB"/>
        </w:rPr>
        <w:t xml:space="preserve">  HP.4.1 Dispensing chemists</w:t>
      </w:r>
    </w:p>
    <w:p w:rsidR="003E5950" w:rsidRPr="00487772" w:rsidRDefault="003E5950" w:rsidP="003E5950">
      <w:pPr>
        <w:autoSpaceDE w:val="0"/>
        <w:autoSpaceDN w:val="0"/>
        <w:adjustRightInd w:val="0"/>
        <w:rPr>
          <w:lang w:val="en-GB"/>
        </w:rPr>
      </w:pPr>
      <w:r w:rsidRPr="00487772">
        <w:rPr>
          <w:lang w:val="en-GB"/>
        </w:rPr>
        <w:t xml:space="preserve">  HP.4.2 Retail sale and other suppliers of optical glasses and other vision products</w:t>
      </w:r>
    </w:p>
    <w:p w:rsidR="003E5950" w:rsidRPr="00487772" w:rsidRDefault="003E5950" w:rsidP="003E5950">
      <w:pPr>
        <w:autoSpaceDE w:val="0"/>
        <w:autoSpaceDN w:val="0"/>
        <w:adjustRightInd w:val="0"/>
        <w:rPr>
          <w:lang w:val="en-GB"/>
        </w:rPr>
      </w:pPr>
      <w:r w:rsidRPr="00487772">
        <w:rPr>
          <w:lang w:val="en-GB"/>
        </w:rPr>
        <w:t xml:space="preserve">  HP.4.3 Retail sale and other suppliers of hearing aids</w:t>
      </w:r>
    </w:p>
    <w:p w:rsidR="003E5950" w:rsidRPr="00487772" w:rsidRDefault="003E5950" w:rsidP="003E5950">
      <w:pPr>
        <w:autoSpaceDE w:val="0"/>
        <w:autoSpaceDN w:val="0"/>
        <w:adjustRightInd w:val="0"/>
        <w:rPr>
          <w:lang w:val="en-GB"/>
        </w:rPr>
      </w:pPr>
      <w:r w:rsidRPr="00487772">
        <w:rPr>
          <w:lang w:val="en-GB"/>
        </w:rPr>
        <w:t xml:space="preserve">  HP.4.4 Retail sale and other suppliers of medical appliances (other than optical glasses and hearing aids)</w:t>
      </w:r>
    </w:p>
    <w:p w:rsidR="003E5950" w:rsidRPr="00487772" w:rsidRDefault="003E5950" w:rsidP="003E5950">
      <w:pPr>
        <w:autoSpaceDE w:val="0"/>
        <w:autoSpaceDN w:val="0"/>
        <w:adjustRightInd w:val="0"/>
        <w:rPr>
          <w:lang w:val="en-GB"/>
        </w:rPr>
      </w:pPr>
      <w:r w:rsidRPr="00487772">
        <w:rPr>
          <w:lang w:val="en-GB"/>
        </w:rPr>
        <w:t xml:space="preserve">  HP.4.9 All other miscellaneous sale and other suppliers of pharmaceuticals and medical goods</w:t>
      </w:r>
    </w:p>
    <w:p w:rsidR="003E5950" w:rsidRPr="00487772" w:rsidRDefault="003E5950" w:rsidP="003E5950">
      <w:pPr>
        <w:autoSpaceDE w:val="0"/>
        <w:autoSpaceDN w:val="0"/>
        <w:adjustRightInd w:val="0"/>
        <w:rPr>
          <w:lang w:val="en-GB"/>
        </w:rPr>
      </w:pPr>
      <w:r w:rsidRPr="00487772">
        <w:rPr>
          <w:lang w:val="en-GB"/>
        </w:rPr>
        <w:t>HP.5 Provision and administration of public health programmes</w:t>
      </w:r>
    </w:p>
    <w:p w:rsidR="003E5950" w:rsidRPr="00487772" w:rsidRDefault="003E5950" w:rsidP="003E5950">
      <w:pPr>
        <w:autoSpaceDE w:val="0"/>
        <w:autoSpaceDN w:val="0"/>
        <w:adjustRightInd w:val="0"/>
        <w:rPr>
          <w:lang w:val="en-GB"/>
        </w:rPr>
      </w:pPr>
      <w:r w:rsidRPr="00487772">
        <w:rPr>
          <w:lang w:val="en-GB"/>
        </w:rPr>
        <w:t>HP.6 Health administration and insurance</w:t>
      </w:r>
    </w:p>
    <w:p w:rsidR="003E5950" w:rsidRPr="00487772" w:rsidRDefault="003E5950" w:rsidP="003E5950">
      <w:pPr>
        <w:autoSpaceDE w:val="0"/>
        <w:autoSpaceDN w:val="0"/>
        <w:adjustRightInd w:val="0"/>
        <w:rPr>
          <w:lang w:val="en-GB"/>
        </w:rPr>
      </w:pPr>
      <w:r w:rsidRPr="00487772">
        <w:rPr>
          <w:lang w:val="en-GB"/>
        </w:rPr>
        <w:t xml:space="preserve">  HP.6.1 Government administration of health</w:t>
      </w:r>
    </w:p>
    <w:p w:rsidR="003E5950" w:rsidRPr="00487772" w:rsidRDefault="003E5950" w:rsidP="003E5950">
      <w:pPr>
        <w:autoSpaceDE w:val="0"/>
        <w:autoSpaceDN w:val="0"/>
        <w:adjustRightInd w:val="0"/>
        <w:rPr>
          <w:lang w:val="en-GB"/>
        </w:rPr>
      </w:pPr>
      <w:r w:rsidRPr="00487772">
        <w:rPr>
          <w:lang w:val="en-GB"/>
        </w:rPr>
        <w:t xml:space="preserve">  HP.6.2 Social security funds</w:t>
      </w:r>
    </w:p>
    <w:p w:rsidR="003E5950" w:rsidRPr="00487772" w:rsidRDefault="003E5950" w:rsidP="003E5950">
      <w:pPr>
        <w:autoSpaceDE w:val="0"/>
        <w:autoSpaceDN w:val="0"/>
        <w:adjustRightInd w:val="0"/>
        <w:rPr>
          <w:lang w:val="en-GB"/>
        </w:rPr>
      </w:pPr>
      <w:r w:rsidRPr="00487772">
        <w:rPr>
          <w:lang w:val="en-GB"/>
        </w:rPr>
        <w:t xml:space="preserve">  HP.6.3 Other social insurance</w:t>
      </w:r>
    </w:p>
    <w:p w:rsidR="003E5950" w:rsidRPr="00487772" w:rsidRDefault="003E5950" w:rsidP="003E5950">
      <w:pPr>
        <w:autoSpaceDE w:val="0"/>
        <w:autoSpaceDN w:val="0"/>
        <w:adjustRightInd w:val="0"/>
        <w:rPr>
          <w:lang w:val="en-GB"/>
        </w:rPr>
      </w:pPr>
      <w:r w:rsidRPr="00487772">
        <w:rPr>
          <w:lang w:val="en-GB"/>
        </w:rPr>
        <w:t xml:space="preserve">  HP.6.4 Other (private) insurance</w:t>
      </w:r>
    </w:p>
    <w:p w:rsidR="003E5950" w:rsidRPr="00487772" w:rsidRDefault="003E5950" w:rsidP="003E5950">
      <w:pPr>
        <w:autoSpaceDE w:val="0"/>
        <w:autoSpaceDN w:val="0"/>
        <w:adjustRightInd w:val="0"/>
        <w:rPr>
          <w:lang w:val="en-GB"/>
        </w:rPr>
      </w:pPr>
      <w:r w:rsidRPr="00487772">
        <w:rPr>
          <w:lang w:val="en-GB"/>
        </w:rPr>
        <w:t xml:space="preserve">  HP.6.9 All other providers of health administration</w:t>
      </w:r>
    </w:p>
    <w:p w:rsidR="003E5950" w:rsidRPr="00487772" w:rsidRDefault="003E5950" w:rsidP="003E5950">
      <w:pPr>
        <w:autoSpaceDE w:val="0"/>
        <w:autoSpaceDN w:val="0"/>
        <w:adjustRightInd w:val="0"/>
        <w:rPr>
          <w:lang w:val="en-GB"/>
        </w:rPr>
      </w:pPr>
      <w:r w:rsidRPr="00487772">
        <w:rPr>
          <w:lang w:val="en-GB"/>
        </w:rPr>
        <w:t xml:space="preserve">HP.7 </w:t>
      </w:r>
      <w:proofErr w:type="gramStart"/>
      <w:r w:rsidRPr="00487772">
        <w:rPr>
          <w:lang w:val="en-GB"/>
        </w:rPr>
        <w:t>Other</w:t>
      </w:r>
      <w:proofErr w:type="gramEnd"/>
      <w:r w:rsidRPr="00487772">
        <w:rPr>
          <w:lang w:val="en-GB"/>
        </w:rPr>
        <w:t xml:space="preserve"> industries (rest of the economy)</w:t>
      </w:r>
    </w:p>
    <w:p w:rsidR="003E5950" w:rsidRPr="00487772" w:rsidRDefault="003E5950" w:rsidP="003E5950">
      <w:pPr>
        <w:autoSpaceDE w:val="0"/>
        <w:autoSpaceDN w:val="0"/>
        <w:adjustRightInd w:val="0"/>
        <w:rPr>
          <w:lang w:val="en-GB"/>
        </w:rPr>
      </w:pPr>
      <w:r w:rsidRPr="00487772">
        <w:rPr>
          <w:lang w:val="en-GB"/>
        </w:rPr>
        <w:t xml:space="preserve">  HP.7.1 Establishments as providers of occupational health care services</w:t>
      </w:r>
    </w:p>
    <w:p w:rsidR="003E5950" w:rsidRPr="00487772" w:rsidRDefault="003E5950" w:rsidP="003E5950">
      <w:pPr>
        <w:autoSpaceDE w:val="0"/>
        <w:autoSpaceDN w:val="0"/>
        <w:adjustRightInd w:val="0"/>
        <w:rPr>
          <w:lang w:val="en-GB"/>
        </w:rPr>
      </w:pPr>
      <w:r w:rsidRPr="00487772">
        <w:rPr>
          <w:lang w:val="en-GB"/>
        </w:rPr>
        <w:t xml:space="preserve">  HP.7.2 Private </w:t>
      </w:r>
      <w:proofErr w:type="gramStart"/>
      <w:r w:rsidRPr="00487772">
        <w:rPr>
          <w:lang w:val="en-GB"/>
        </w:rPr>
        <w:t>households</w:t>
      </w:r>
      <w:proofErr w:type="gramEnd"/>
      <w:r w:rsidRPr="00487772">
        <w:rPr>
          <w:lang w:val="en-GB"/>
        </w:rPr>
        <w:t xml:space="preserve"> as providers of home care</w:t>
      </w:r>
    </w:p>
    <w:p w:rsidR="003E5950" w:rsidRPr="00487772" w:rsidRDefault="003E5950" w:rsidP="003E5950">
      <w:pPr>
        <w:autoSpaceDE w:val="0"/>
        <w:autoSpaceDN w:val="0"/>
        <w:adjustRightInd w:val="0"/>
        <w:rPr>
          <w:lang w:val="en-GB"/>
        </w:rPr>
      </w:pPr>
      <w:r w:rsidRPr="00487772">
        <w:rPr>
          <w:lang w:val="en-GB"/>
        </w:rPr>
        <w:t xml:space="preserve">  HP.7.9 </w:t>
      </w:r>
      <w:proofErr w:type="gramStart"/>
      <w:r w:rsidRPr="00487772">
        <w:rPr>
          <w:lang w:val="en-GB"/>
        </w:rPr>
        <w:t>All</w:t>
      </w:r>
      <w:proofErr w:type="gramEnd"/>
      <w:r w:rsidRPr="00487772">
        <w:rPr>
          <w:lang w:val="en-GB"/>
        </w:rPr>
        <w:t xml:space="preserve"> other industries as secondary producers of health care</w:t>
      </w:r>
    </w:p>
    <w:p w:rsidR="003E5950" w:rsidRPr="00487772" w:rsidRDefault="003E5950" w:rsidP="003E5950">
      <w:pPr>
        <w:autoSpaceDE w:val="0"/>
        <w:autoSpaceDN w:val="0"/>
        <w:adjustRightInd w:val="0"/>
        <w:rPr>
          <w:lang w:val="en-GB"/>
        </w:rPr>
      </w:pPr>
      <w:r w:rsidRPr="00487772">
        <w:rPr>
          <w:lang w:val="en-GB"/>
        </w:rPr>
        <w:t>HP.9 Rest of the world</w:t>
      </w:r>
    </w:p>
    <w:p w:rsidR="003E5950" w:rsidRPr="00487772" w:rsidRDefault="003E5950" w:rsidP="003E5950">
      <w:pPr>
        <w:pStyle w:val="Heading1"/>
        <w:numPr>
          <w:ilvl w:val="0"/>
          <w:numId w:val="0"/>
        </w:numPr>
        <w:spacing w:line="360" w:lineRule="auto"/>
        <w:jc w:val="both"/>
        <w:rPr>
          <w:lang w:val="en-GB"/>
        </w:rPr>
      </w:pPr>
      <w:r w:rsidRPr="00487772">
        <w:rPr>
          <w:lang w:val="en-GB"/>
        </w:rPr>
        <w:t xml:space="preserve"> </w:t>
      </w:r>
    </w:p>
    <w:p w:rsidR="003E5950" w:rsidRPr="00487772" w:rsidRDefault="003E5950" w:rsidP="003E5950">
      <w:pPr>
        <w:autoSpaceDE w:val="0"/>
        <w:autoSpaceDN w:val="0"/>
        <w:adjustRightInd w:val="0"/>
        <w:rPr>
          <w:b/>
          <w:lang w:val="en-GB"/>
        </w:rPr>
      </w:pPr>
      <w:r w:rsidRPr="00487772">
        <w:rPr>
          <w:b/>
          <w:lang w:val="en-GB"/>
        </w:rPr>
        <w:br w:type="page"/>
      </w:r>
      <w:r w:rsidRPr="00487772">
        <w:rPr>
          <w:b/>
          <w:lang w:val="en-GB"/>
        </w:rPr>
        <w:lastRenderedPageBreak/>
        <w:t>ICHA code Functions of health care</w:t>
      </w:r>
    </w:p>
    <w:p w:rsidR="007F3E93" w:rsidRPr="00487772" w:rsidRDefault="007F3E93" w:rsidP="003E5950">
      <w:pPr>
        <w:autoSpaceDE w:val="0"/>
        <w:autoSpaceDN w:val="0"/>
        <w:adjustRightInd w:val="0"/>
        <w:rPr>
          <w:b/>
          <w:lang w:val="en-GB"/>
        </w:rPr>
      </w:pPr>
    </w:p>
    <w:p w:rsidR="003E5950" w:rsidRPr="00487772" w:rsidRDefault="003E5950" w:rsidP="003E5950">
      <w:pPr>
        <w:autoSpaceDE w:val="0"/>
        <w:autoSpaceDN w:val="0"/>
        <w:adjustRightInd w:val="0"/>
        <w:rPr>
          <w:lang w:val="en-GB"/>
        </w:rPr>
      </w:pPr>
      <w:r w:rsidRPr="00487772">
        <w:rPr>
          <w:lang w:val="en-GB"/>
        </w:rPr>
        <w:t>HC.1 Services of curative care</w:t>
      </w:r>
    </w:p>
    <w:p w:rsidR="003E5950" w:rsidRPr="00487772" w:rsidRDefault="003E5950" w:rsidP="003E5950">
      <w:pPr>
        <w:autoSpaceDE w:val="0"/>
        <w:autoSpaceDN w:val="0"/>
        <w:adjustRightInd w:val="0"/>
        <w:rPr>
          <w:lang w:val="en-GB"/>
        </w:rPr>
      </w:pPr>
      <w:r w:rsidRPr="00487772">
        <w:rPr>
          <w:lang w:val="en-GB"/>
        </w:rPr>
        <w:t xml:space="preserve">  HC.1.1 In-patient curative care</w:t>
      </w:r>
    </w:p>
    <w:p w:rsidR="003E5950" w:rsidRPr="00487772" w:rsidRDefault="003E5950" w:rsidP="003E5950">
      <w:pPr>
        <w:autoSpaceDE w:val="0"/>
        <w:autoSpaceDN w:val="0"/>
        <w:adjustRightInd w:val="0"/>
        <w:rPr>
          <w:lang w:val="en-GB"/>
        </w:rPr>
      </w:pPr>
      <w:r w:rsidRPr="00487772">
        <w:rPr>
          <w:lang w:val="en-GB"/>
        </w:rPr>
        <w:t xml:space="preserve">  HC.1.2 Day cases of curative care</w:t>
      </w:r>
    </w:p>
    <w:p w:rsidR="003E5950" w:rsidRPr="00487772" w:rsidRDefault="003E5950" w:rsidP="003E5950">
      <w:pPr>
        <w:autoSpaceDE w:val="0"/>
        <w:autoSpaceDN w:val="0"/>
        <w:adjustRightInd w:val="0"/>
        <w:rPr>
          <w:lang w:val="en-GB"/>
        </w:rPr>
      </w:pPr>
      <w:r w:rsidRPr="00487772">
        <w:rPr>
          <w:lang w:val="en-GB"/>
        </w:rPr>
        <w:t xml:space="preserve">  HC.1.3 Out-patient curative care</w:t>
      </w:r>
    </w:p>
    <w:p w:rsidR="003E5950" w:rsidRPr="00487772" w:rsidRDefault="003E5950" w:rsidP="003E5950">
      <w:pPr>
        <w:autoSpaceDE w:val="0"/>
        <w:autoSpaceDN w:val="0"/>
        <w:adjustRightInd w:val="0"/>
        <w:rPr>
          <w:lang w:val="en-GB"/>
        </w:rPr>
      </w:pPr>
      <w:r w:rsidRPr="00487772">
        <w:rPr>
          <w:lang w:val="en-GB"/>
        </w:rPr>
        <w:t xml:space="preserve">    HC.1.3.1 Basic medical and diagnostic services</w:t>
      </w:r>
    </w:p>
    <w:p w:rsidR="003E5950" w:rsidRPr="00487772" w:rsidRDefault="003E5950" w:rsidP="003E5950">
      <w:pPr>
        <w:autoSpaceDE w:val="0"/>
        <w:autoSpaceDN w:val="0"/>
        <w:adjustRightInd w:val="0"/>
        <w:rPr>
          <w:lang w:val="en-GB"/>
        </w:rPr>
      </w:pPr>
      <w:r w:rsidRPr="00487772">
        <w:rPr>
          <w:lang w:val="en-GB"/>
        </w:rPr>
        <w:t xml:space="preserve">    HC.1.3.2 Out-patient dental care</w:t>
      </w:r>
    </w:p>
    <w:p w:rsidR="003E5950" w:rsidRPr="00487772" w:rsidRDefault="003E5950" w:rsidP="003E5950">
      <w:pPr>
        <w:autoSpaceDE w:val="0"/>
        <w:autoSpaceDN w:val="0"/>
        <w:adjustRightInd w:val="0"/>
        <w:rPr>
          <w:lang w:val="en-GB"/>
        </w:rPr>
      </w:pPr>
      <w:r w:rsidRPr="00487772">
        <w:rPr>
          <w:lang w:val="en-GB"/>
        </w:rPr>
        <w:t xml:space="preserve">    HC.1.3.3 All other specialised health care</w:t>
      </w:r>
    </w:p>
    <w:p w:rsidR="003E5950" w:rsidRPr="00487772" w:rsidRDefault="003E5950" w:rsidP="003E5950">
      <w:pPr>
        <w:autoSpaceDE w:val="0"/>
        <w:autoSpaceDN w:val="0"/>
        <w:adjustRightInd w:val="0"/>
        <w:rPr>
          <w:lang w:val="en-GB"/>
        </w:rPr>
      </w:pPr>
      <w:r w:rsidRPr="00487772">
        <w:rPr>
          <w:lang w:val="en-GB"/>
        </w:rPr>
        <w:t xml:space="preserve">    HC.1.3.9 </w:t>
      </w:r>
      <w:proofErr w:type="gramStart"/>
      <w:r w:rsidRPr="00487772">
        <w:rPr>
          <w:lang w:val="en-GB"/>
        </w:rPr>
        <w:t>All</w:t>
      </w:r>
      <w:proofErr w:type="gramEnd"/>
      <w:r w:rsidRPr="00487772">
        <w:rPr>
          <w:lang w:val="en-GB"/>
        </w:rPr>
        <w:t xml:space="preserve"> other out-patient curative care</w:t>
      </w:r>
    </w:p>
    <w:p w:rsidR="003E5950" w:rsidRPr="00487772" w:rsidRDefault="003E5950" w:rsidP="003E5950">
      <w:pPr>
        <w:autoSpaceDE w:val="0"/>
        <w:autoSpaceDN w:val="0"/>
        <w:adjustRightInd w:val="0"/>
        <w:rPr>
          <w:lang w:val="en-GB"/>
        </w:rPr>
      </w:pPr>
      <w:r w:rsidRPr="00487772">
        <w:rPr>
          <w:lang w:val="en-GB"/>
        </w:rPr>
        <w:t xml:space="preserve">  HC.1.4 Services of curative home care</w:t>
      </w:r>
    </w:p>
    <w:p w:rsidR="003E5950" w:rsidRPr="00487772" w:rsidRDefault="003E5950" w:rsidP="003E5950">
      <w:pPr>
        <w:autoSpaceDE w:val="0"/>
        <w:autoSpaceDN w:val="0"/>
        <w:adjustRightInd w:val="0"/>
        <w:rPr>
          <w:lang w:val="en-GB"/>
        </w:rPr>
      </w:pPr>
      <w:r w:rsidRPr="00487772">
        <w:rPr>
          <w:lang w:val="en-GB"/>
        </w:rPr>
        <w:t>HC.2 Services of rehabilitative care</w:t>
      </w:r>
    </w:p>
    <w:p w:rsidR="003E5950" w:rsidRPr="00487772" w:rsidRDefault="003E5950" w:rsidP="003E5950">
      <w:pPr>
        <w:autoSpaceDE w:val="0"/>
        <w:autoSpaceDN w:val="0"/>
        <w:adjustRightInd w:val="0"/>
        <w:rPr>
          <w:lang w:val="en-GB"/>
        </w:rPr>
      </w:pPr>
      <w:r w:rsidRPr="00487772">
        <w:rPr>
          <w:lang w:val="en-GB"/>
        </w:rPr>
        <w:t xml:space="preserve">  HC.2.1 In-patient rehabilitative care</w:t>
      </w:r>
    </w:p>
    <w:p w:rsidR="003E5950" w:rsidRPr="00487772" w:rsidRDefault="003E5950" w:rsidP="003E5950">
      <w:pPr>
        <w:autoSpaceDE w:val="0"/>
        <w:autoSpaceDN w:val="0"/>
        <w:adjustRightInd w:val="0"/>
        <w:rPr>
          <w:lang w:val="en-GB"/>
        </w:rPr>
      </w:pPr>
      <w:r w:rsidRPr="00487772">
        <w:rPr>
          <w:lang w:val="en-GB"/>
        </w:rPr>
        <w:t xml:space="preserve">  HC.2.2 Day cases of rehabilitative care</w:t>
      </w:r>
    </w:p>
    <w:p w:rsidR="003E5950" w:rsidRPr="00487772" w:rsidRDefault="003E5950" w:rsidP="003E5950">
      <w:pPr>
        <w:autoSpaceDE w:val="0"/>
        <w:autoSpaceDN w:val="0"/>
        <w:adjustRightInd w:val="0"/>
        <w:rPr>
          <w:lang w:val="en-GB"/>
        </w:rPr>
      </w:pPr>
      <w:r w:rsidRPr="00487772">
        <w:rPr>
          <w:lang w:val="en-GB"/>
        </w:rPr>
        <w:t xml:space="preserve">  HC.2.3 Out-patient rehabilitative care</w:t>
      </w:r>
    </w:p>
    <w:p w:rsidR="003E5950" w:rsidRPr="00487772" w:rsidRDefault="003E5950" w:rsidP="003E5950">
      <w:pPr>
        <w:autoSpaceDE w:val="0"/>
        <w:autoSpaceDN w:val="0"/>
        <w:adjustRightInd w:val="0"/>
        <w:rPr>
          <w:lang w:val="en-GB"/>
        </w:rPr>
      </w:pPr>
      <w:r w:rsidRPr="00487772">
        <w:rPr>
          <w:lang w:val="en-GB"/>
        </w:rPr>
        <w:t xml:space="preserve">  HC.2.4 Services of rehabilitative home care</w:t>
      </w:r>
    </w:p>
    <w:p w:rsidR="003E5950" w:rsidRPr="00487772" w:rsidRDefault="003E5950" w:rsidP="003E5950">
      <w:pPr>
        <w:autoSpaceDE w:val="0"/>
        <w:autoSpaceDN w:val="0"/>
        <w:adjustRightInd w:val="0"/>
        <w:rPr>
          <w:lang w:val="en-GB"/>
        </w:rPr>
      </w:pPr>
      <w:r w:rsidRPr="00487772">
        <w:rPr>
          <w:lang w:val="en-GB"/>
        </w:rPr>
        <w:t>HC.3 Services of long-term nursing care</w:t>
      </w:r>
    </w:p>
    <w:p w:rsidR="003E5950" w:rsidRPr="00487772" w:rsidRDefault="003E5950" w:rsidP="003E5950">
      <w:pPr>
        <w:autoSpaceDE w:val="0"/>
        <w:autoSpaceDN w:val="0"/>
        <w:adjustRightInd w:val="0"/>
        <w:rPr>
          <w:lang w:val="en-GB"/>
        </w:rPr>
      </w:pPr>
      <w:r w:rsidRPr="00487772">
        <w:rPr>
          <w:lang w:val="en-GB"/>
        </w:rPr>
        <w:t xml:space="preserve">  HC.3.1 In-patient long-term nursing care</w:t>
      </w:r>
    </w:p>
    <w:p w:rsidR="003E5950" w:rsidRPr="00487772" w:rsidRDefault="003E5950" w:rsidP="003E5950">
      <w:pPr>
        <w:autoSpaceDE w:val="0"/>
        <w:autoSpaceDN w:val="0"/>
        <w:adjustRightInd w:val="0"/>
        <w:rPr>
          <w:lang w:val="en-GB"/>
        </w:rPr>
      </w:pPr>
      <w:r w:rsidRPr="00487772">
        <w:rPr>
          <w:lang w:val="en-GB"/>
        </w:rPr>
        <w:t xml:space="preserve">  HC.3.2 Day cases of long-term nursing care</w:t>
      </w:r>
    </w:p>
    <w:p w:rsidR="003E5950" w:rsidRPr="00487772" w:rsidRDefault="003E5950" w:rsidP="003E5950">
      <w:pPr>
        <w:autoSpaceDE w:val="0"/>
        <w:autoSpaceDN w:val="0"/>
        <w:adjustRightInd w:val="0"/>
        <w:rPr>
          <w:lang w:val="en-GB"/>
        </w:rPr>
      </w:pPr>
      <w:r w:rsidRPr="00487772">
        <w:rPr>
          <w:lang w:val="en-GB"/>
        </w:rPr>
        <w:t xml:space="preserve">  HC.3.3 Long-term nursing care: home care</w:t>
      </w:r>
    </w:p>
    <w:p w:rsidR="003E5950" w:rsidRPr="00487772" w:rsidRDefault="003E5950" w:rsidP="003E5950">
      <w:pPr>
        <w:autoSpaceDE w:val="0"/>
        <w:autoSpaceDN w:val="0"/>
        <w:adjustRightInd w:val="0"/>
        <w:rPr>
          <w:lang w:val="en-GB"/>
        </w:rPr>
      </w:pPr>
      <w:r w:rsidRPr="00487772">
        <w:rPr>
          <w:lang w:val="en-GB"/>
        </w:rPr>
        <w:t>HC.4 Ancillary services to health care</w:t>
      </w:r>
    </w:p>
    <w:p w:rsidR="003E5950" w:rsidRPr="00487772" w:rsidRDefault="003E5950" w:rsidP="003E5950">
      <w:pPr>
        <w:autoSpaceDE w:val="0"/>
        <w:autoSpaceDN w:val="0"/>
        <w:adjustRightInd w:val="0"/>
        <w:rPr>
          <w:lang w:val="en-GB"/>
        </w:rPr>
      </w:pPr>
      <w:r w:rsidRPr="00487772">
        <w:rPr>
          <w:lang w:val="en-GB"/>
        </w:rPr>
        <w:t xml:space="preserve">  HC.4.1 Clinical laboratory</w:t>
      </w:r>
    </w:p>
    <w:p w:rsidR="003E5950" w:rsidRPr="00487772" w:rsidRDefault="003E5950" w:rsidP="003E5950">
      <w:pPr>
        <w:autoSpaceDE w:val="0"/>
        <w:autoSpaceDN w:val="0"/>
        <w:adjustRightInd w:val="0"/>
        <w:rPr>
          <w:lang w:val="en-GB"/>
        </w:rPr>
      </w:pPr>
      <w:r w:rsidRPr="00487772">
        <w:rPr>
          <w:lang w:val="en-GB"/>
        </w:rPr>
        <w:t xml:space="preserve">  HC.4.2 Diagnostic imaging</w:t>
      </w:r>
    </w:p>
    <w:p w:rsidR="003E5950" w:rsidRPr="00487772" w:rsidRDefault="003E5950" w:rsidP="003E5950">
      <w:pPr>
        <w:autoSpaceDE w:val="0"/>
        <w:autoSpaceDN w:val="0"/>
        <w:adjustRightInd w:val="0"/>
        <w:rPr>
          <w:lang w:val="en-GB"/>
        </w:rPr>
      </w:pPr>
      <w:r w:rsidRPr="00487772">
        <w:rPr>
          <w:lang w:val="en-GB"/>
        </w:rPr>
        <w:t xml:space="preserve">  HC.4.3 Patient transport and emergency rescue</w:t>
      </w:r>
    </w:p>
    <w:p w:rsidR="003E5950" w:rsidRPr="00487772" w:rsidRDefault="003E5950" w:rsidP="003E5950">
      <w:pPr>
        <w:autoSpaceDE w:val="0"/>
        <w:autoSpaceDN w:val="0"/>
        <w:adjustRightInd w:val="0"/>
        <w:rPr>
          <w:lang w:val="en-GB"/>
        </w:rPr>
      </w:pPr>
      <w:r w:rsidRPr="00487772">
        <w:rPr>
          <w:lang w:val="en-GB"/>
        </w:rPr>
        <w:t xml:space="preserve">  HC.4.9 All other miscellaneous ancillary services</w:t>
      </w:r>
    </w:p>
    <w:p w:rsidR="003E5950" w:rsidRPr="00487772" w:rsidRDefault="003E5950" w:rsidP="003E5950">
      <w:pPr>
        <w:autoSpaceDE w:val="0"/>
        <w:autoSpaceDN w:val="0"/>
        <w:adjustRightInd w:val="0"/>
        <w:rPr>
          <w:lang w:val="en-GB"/>
        </w:rPr>
      </w:pPr>
      <w:r w:rsidRPr="00487772">
        <w:rPr>
          <w:lang w:val="en-GB"/>
        </w:rPr>
        <w:t>HC.5 Medical goods dispensed to out-patients</w:t>
      </w:r>
    </w:p>
    <w:p w:rsidR="003E5950" w:rsidRPr="00487772" w:rsidRDefault="003E5950" w:rsidP="003E5950">
      <w:pPr>
        <w:autoSpaceDE w:val="0"/>
        <w:autoSpaceDN w:val="0"/>
        <w:adjustRightInd w:val="0"/>
        <w:rPr>
          <w:lang w:val="en-GB"/>
        </w:rPr>
      </w:pPr>
      <w:r w:rsidRPr="00487772">
        <w:rPr>
          <w:lang w:val="en-GB"/>
        </w:rPr>
        <w:t xml:space="preserve">  HC.5.1 Pharmaceuticals and other medical non-durables</w:t>
      </w:r>
    </w:p>
    <w:p w:rsidR="003E5950" w:rsidRPr="00487772" w:rsidRDefault="003E5950" w:rsidP="003E5950">
      <w:pPr>
        <w:autoSpaceDE w:val="0"/>
        <w:autoSpaceDN w:val="0"/>
        <w:adjustRightInd w:val="0"/>
        <w:rPr>
          <w:lang w:val="en-GB"/>
        </w:rPr>
      </w:pPr>
      <w:r w:rsidRPr="00487772">
        <w:rPr>
          <w:lang w:val="en-GB"/>
        </w:rPr>
        <w:t xml:space="preserve">    HC.5.1.1 Prescribed medicines</w:t>
      </w:r>
    </w:p>
    <w:p w:rsidR="003E5950" w:rsidRPr="00487772" w:rsidRDefault="003E5950" w:rsidP="003E5950">
      <w:pPr>
        <w:autoSpaceDE w:val="0"/>
        <w:autoSpaceDN w:val="0"/>
        <w:adjustRightInd w:val="0"/>
        <w:rPr>
          <w:lang w:val="en-GB"/>
        </w:rPr>
      </w:pPr>
      <w:r w:rsidRPr="00487772">
        <w:rPr>
          <w:lang w:val="en-GB"/>
        </w:rPr>
        <w:t xml:space="preserve">    HC.5.1.2 Over-the-counter medicines</w:t>
      </w:r>
    </w:p>
    <w:p w:rsidR="003E5950" w:rsidRPr="00487772" w:rsidRDefault="003E5950" w:rsidP="003E5950">
      <w:pPr>
        <w:autoSpaceDE w:val="0"/>
        <w:autoSpaceDN w:val="0"/>
        <w:adjustRightInd w:val="0"/>
        <w:rPr>
          <w:lang w:val="en-GB"/>
        </w:rPr>
      </w:pPr>
      <w:r w:rsidRPr="00487772">
        <w:rPr>
          <w:lang w:val="en-GB"/>
        </w:rPr>
        <w:t xml:space="preserve">  </w:t>
      </w:r>
      <w:r w:rsidR="00D04619" w:rsidRPr="00487772">
        <w:rPr>
          <w:lang w:val="en-GB"/>
        </w:rPr>
        <w:t xml:space="preserve"> </w:t>
      </w:r>
      <w:r w:rsidRPr="00487772">
        <w:rPr>
          <w:lang w:val="en-GB"/>
        </w:rPr>
        <w:t xml:space="preserve"> HC.5.1.3 </w:t>
      </w:r>
      <w:proofErr w:type="gramStart"/>
      <w:r w:rsidRPr="00487772">
        <w:rPr>
          <w:lang w:val="en-GB"/>
        </w:rPr>
        <w:t>Other</w:t>
      </w:r>
      <w:proofErr w:type="gramEnd"/>
      <w:r w:rsidRPr="00487772">
        <w:rPr>
          <w:lang w:val="en-GB"/>
        </w:rPr>
        <w:t xml:space="preserve"> medical non-durables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HC.5.2 Therapeutic appliances and other medical durables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HC.5.2.1 Glasses and other vision products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HC.5.2.2 Orthopaedic appliances and other prosthetics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HC.5.2.3 Hearing aids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HC.5.2.4 Medico-technical devices, including wheelchairs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HC.5.2.9 All other miscellaneous medical durables</w:t>
      </w:r>
    </w:p>
    <w:p w:rsidR="003E5950" w:rsidRPr="00487772" w:rsidRDefault="003E5950" w:rsidP="003E5950">
      <w:pPr>
        <w:autoSpaceDE w:val="0"/>
        <w:autoSpaceDN w:val="0"/>
        <w:adjustRightInd w:val="0"/>
        <w:rPr>
          <w:lang w:val="en-GB"/>
        </w:rPr>
      </w:pPr>
      <w:r w:rsidRPr="00487772">
        <w:rPr>
          <w:lang w:val="en-GB"/>
        </w:rPr>
        <w:t>HC.6 Prevention and public health services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HC.6.1 Maternal and child health; family planning and counselling</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HC.6.2 School health services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HC.6.3 Prevention of communicable diseases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HC.6.4 Prevention of non-communicable diseases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HC.6.5 Occupational health care</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HC.6.9 All other miscellaneous public health services</w:t>
      </w:r>
    </w:p>
    <w:p w:rsidR="003E5950" w:rsidRPr="00487772" w:rsidRDefault="003E5950" w:rsidP="003E5950">
      <w:pPr>
        <w:autoSpaceDE w:val="0"/>
        <w:autoSpaceDN w:val="0"/>
        <w:adjustRightInd w:val="0"/>
        <w:rPr>
          <w:lang w:val="en-GB"/>
        </w:rPr>
      </w:pPr>
      <w:r w:rsidRPr="00487772">
        <w:rPr>
          <w:lang w:val="en-GB"/>
        </w:rPr>
        <w:t xml:space="preserve"> HC.7 Health administration and health insurance</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 xml:space="preserve">HC.7.1 General </w:t>
      </w:r>
      <w:proofErr w:type="gramStart"/>
      <w:r w:rsidR="003E5950" w:rsidRPr="00487772">
        <w:rPr>
          <w:lang w:val="en-GB"/>
        </w:rPr>
        <w:t>government</w:t>
      </w:r>
      <w:proofErr w:type="gramEnd"/>
      <w:r w:rsidR="003E5950" w:rsidRPr="00487772">
        <w:rPr>
          <w:lang w:val="en-GB"/>
        </w:rPr>
        <w:t xml:space="preserve"> administration of health</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 xml:space="preserve">HC.7.1.1 General </w:t>
      </w:r>
      <w:proofErr w:type="gramStart"/>
      <w:r w:rsidR="003E5950" w:rsidRPr="00487772">
        <w:rPr>
          <w:lang w:val="en-GB"/>
        </w:rPr>
        <w:t>government</w:t>
      </w:r>
      <w:proofErr w:type="gramEnd"/>
      <w:r w:rsidR="003E5950" w:rsidRPr="00487772">
        <w:rPr>
          <w:lang w:val="en-GB"/>
        </w:rPr>
        <w:t xml:space="preserve"> administration of health (except social security)</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HC.7.1.2 Administration, operation and support activities of social security funds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HC.7.2 Health administration and health insurance: private</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HC.7.2.1 Health administration and health insurance: social insurance</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HC.7.2.2 Health administration and health insurance: other private</w:t>
      </w:r>
    </w:p>
    <w:p w:rsidR="003E5950" w:rsidRPr="00487772" w:rsidRDefault="003E5950" w:rsidP="003E5950">
      <w:pPr>
        <w:autoSpaceDE w:val="0"/>
        <w:autoSpaceDN w:val="0"/>
        <w:adjustRightInd w:val="0"/>
        <w:rPr>
          <w:lang w:val="en-GB"/>
        </w:rPr>
      </w:pPr>
    </w:p>
    <w:p w:rsidR="003E5950" w:rsidRPr="00487772" w:rsidRDefault="003E5950" w:rsidP="003E5950">
      <w:pPr>
        <w:autoSpaceDE w:val="0"/>
        <w:autoSpaceDN w:val="0"/>
        <w:adjustRightInd w:val="0"/>
        <w:rPr>
          <w:lang w:val="en-GB"/>
        </w:rPr>
      </w:pPr>
      <w:r w:rsidRPr="00487772">
        <w:rPr>
          <w:lang w:val="en-GB"/>
        </w:rPr>
        <w:t>ICHA code Health-related functions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HC.R.1 Capital formation of health care provider institutions</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HC.R.2 Education and training of health personnel</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HC.R.3 Research and development in health</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HC.R.4 Food, hygiene and drinking water control</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HC.R.5 Environmental health</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HC.R.6 Administration and provision of social services in kind to assist living with disease and impairment</w:t>
      </w:r>
    </w:p>
    <w:p w:rsidR="003E5950" w:rsidRPr="00487772" w:rsidRDefault="00D04619" w:rsidP="003E5950">
      <w:pPr>
        <w:autoSpaceDE w:val="0"/>
        <w:autoSpaceDN w:val="0"/>
        <w:adjustRightInd w:val="0"/>
        <w:rPr>
          <w:lang w:val="en-GB"/>
        </w:rPr>
      </w:pPr>
      <w:r w:rsidRPr="00487772">
        <w:rPr>
          <w:lang w:val="en-GB"/>
        </w:rPr>
        <w:t xml:space="preserve">  </w:t>
      </w:r>
      <w:r w:rsidR="003E5950" w:rsidRPr="00487772">
        <w:rPr>
          <w:lang w:val="en-GB"/>
        </w:rPr>
        <w:t>HC.R.7 Administration and provision of health-related cash-benefits</w:t>
      </w:r>
    </w:p>
    <w:p w:rsidR="00B967DA" w:rsidRPr="00487772" w:rsidRDefault="003E5950" w:rsidP="00E27FBA">
      <w:pPr>
        <w:pStyle w:val="Heading1"/>
        <w:numPr>
          <w:ilvl w:val="0"/>
          <w:numId w:val="0"/>
        </w:numPr>
        <w:spacing w:line="360" w:lineRule="auto"/>
        <w:jc w:val="both"/>
        <w:rPr>
          <w:lang w:val="en-GB"/>
        </w:rPr>
      </w:pPr>
      <w:r w:rsidRPr="00487772">
        <w:rPr>
          <w:lang w:val="en-GB"/>
        </w:rPr>
        <w:t xml:space="preserve"> </w:t>
      </w:r>
    </w:p>
    <w:p w:rsidR="00487772" w:rsidRDefault="00AF7DED" w:rsidP="00AF7DED">
      <w:pPr>
        <w:pStyle w:val="Heading1"/>
        <w:numPr>
          <w:ilvl w:val="0"/>
          <w:numId w:val="0"/>
        </w:numPr>
        <w:spacing w:line="360" w:lineRule="auto"/>
        <w:jc w:val="left"/>
        <w:rPr>
          <w:bCs w:val="0"/>
          <w:sz w:val="24"/>
          <w:lang w:val="en-GB"/>
        </w:rPr>
      </w:pPr>
      <w:r>
        <w:rPr>
          <w:lang w:val="en-GB"/>
        </w:rPr>
        <w:br w:type="page"/>
      </w:r>
      <w:bookmarkStart w:id="18" w:name="_Toc175548183"/>
      <w:r>
        <w:rPr>
          <w:bCs w:val="0"/>
          <w:sz w:val="24"/>
          <w:lang w:val="en-GB"/>
        </w:rPr>
        <w:lastRenderedPageBreak/>
        <w:t>Annex</w:t>
      </w:r>
      <w:r w:rsidRPr="00487772">
        <w:rPr>
          <w:bCs w:val="0"/>
          <w:sz w:val="24"/>
          <w:lang w:val="en-GB"/>
        </w:rPr>
        <w:t xml:space="preserve"> </w:t>
      </w:r>
      <w:r>
        <w:rPr>
          <w:bCs w:val="0"/>
          <w:sz w:val="24"/>
          <w:lang w:val="en-GB"/>
        </w:rPr>
        <w:t>IV</w:t>
      </w:r>
      <w:bookmarkEnd w:id="18"/>
    </w:p>
    <w:p w:rsidR="00AF7DED" w:rsidRDefault="00AF7DED" w:rsidP="00AF7DED">
      <w:pPr>
        <w:rPr>
          <w:lang w:val="en-GB" w:eastAsia="en-US"/>
        </w:rPr>
      </w:pPr>
    </w:p>
    <w:p w:rsidR="00AF7DED" w:rsidRDefault="00AF7DED" w:rsidP="00AF7DED">
      <w:pPr>
        <w:jc w:val="center"/>
        <w:rPr>
          <w:b/>
          <w:lang w:val="en-GB" w:eastAsia="en-US"/>
        </w:rPr>
      </w:pPr>
      <w:r w:rsidRPr="00AF7DED">
        <w:rPr>
          <w:b/>
          <w:lang w:val="en-GB" w:eastAsia="en-US"/>
        </w:rPr>
        <w:t xml:space="preserve">List of </w:t>
      </w:r>
      <w:r>
        <w:rPr>
          <w:b/>
          <w:lang w:val="en-GB" w:eastAsia="en-US"/>
        </w:rPr>
        <w:t xml:space="preserve">some </w:t>
      </w:r>
      <w:r w:rsidRPr="00AF7DED">
        <w:rPr>
          <w:b/>
          <w:lang w:val="en-GB" w:eastAsia="en-US"/>
        </w:rPr>
        <w:t>health care providers</w:t>
      </w:r>
      <w:r w:rsidR="005349F6">
        <w:rPr>
          <w:rStyle w:val="FootnoteReference"/>
          <w:b/>
          <w:lang w:val="en-GB" w:eastAsia="en-US"/>
        </w:rPr>
        <w:footnoteReference w:id="11"/>
      </w:r>
    </w:p>
    <w:p w:rsidR="00AF7DED" w:rsidRDefault="00AF7DED" w:rsidP="00AF7DED">
      <w:pPr>
        <w:jc w:val="center"/>
        <w:rPr>
          <w:b/>
          <w:lang w:val="en-GB" w:eastAsia="en-US"/>
        </w:rPr>
      </w:pPr>
    </w:p>
    <w:tbl>
      <w:tblPr>
        <w:tblW w:w="5380" w:type="dxa"/>
        <w:tblInd w:w="55" w:type="dxa"/>
        <w:tblCellMar>
          <w:left w:w="70" w:type="dxa"/>
          <w:right w:w="70" w:type="dxa"/>
        </w:tblCellMar>
        <w:tblLook w:val="0000"/>
      </w:tblPr>
      <w:tblGrid>
        <w:gridCol w:w="380"/>
        <w:gridCol w:w="4045"/>
        <w:gridCol w:w="960"/>
      </w:tblGrid>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1</w:t>
            </w:r>
          </w:p>
        </w:tc>
        <w:tc>
          <w:tcPr>
            <w:tcW w:w="4045" w:type="dxa"/>
            <w:tcBorders>
              <w:top w:val="nil"/>
              <w:left w:val="nil"/>
              <w:bottom w:val="nil"/>
              <w:right w:val="nil"/>
            </w:tcBorders>
            <w:shd w:val="clear" w:color="auto" w:fill="auto"/>
            <w:noWrap/>
            <w:vAlign w:val="bottom"/>
          </w:tcPr>
          <w:p w:rsidR="00AF7DED" w:rsidRPr="00157668" w:rsidRDefault="00AF7DED">
            <w:r w:rsidRPr="00157668">
              <w:t xml:space="preserve">University Clinical Center </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2</w:t>
            </w:r>
          </w:p>
        </w:tc>
        <w:tc>
          <w:tcPr>
            <w:tcW w:w="4045" w:type="dxa"/>
            <w:tcBorders>
              <w:top w:val="nil"/>
              <w:left w:val="nil"/>
              <w:bottom w:val="nil"/>
              <w:right w:val="nil"/>
            </w:tcBorders>
            <w:shd w:val="clear" w:color="auto" w:fill="auto"/>
            <w:noWrap/>
            <w:vAlign w:val="bottom"/>
          </w:tcPr>
          <w:p w:rsidR="00AF7DED" w:rsidRPr="00157668" w:rsidRDefault="00AF7DED">
            <w:r w:rsidRPr="00157668">
              <w:t>Gjilan Regional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3</w:t>
            </w:r>
          </w:p>
        </w:tc>
        <w:tc>
          <w:tcPr>
            <w:tcW w:w="4045" w:type="dxa"/>
            <w:tcBorders>
              <w:top w:val="nil"/>
              <w:left w:val="nil"/>
              <w:bottom w:val="nil"/>
              <w:right w:val="nil"/>
            </w:tcBorders>
            <w:shd w:val="clear" w:color="auto" w:fill="auto"/>
            <w:noWrap/>
            <w:vAlign w:val="bottom"/>
          </w:tcPr>
          <w:p w:rsidR="00AF7DED" w:rsidRPr="00157668" w:rsidRDefault="00AF7DED">
            <w:r w:rsidRPr="00157668">
              <w:t>Prizren Regional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4</w:t>
            </w:r>
          </w:p>
        </w:tc>
        <w:tc>
          <w:tcPr>
            <w:tcW w:w="4045" w:type="dxa"/>
            <w:tcBorders>
              <w:top w:val="nil"/>
              <w:left w:val="nil"/>
              <w:bottom w:val="nil"/>
              <w:right w:val="nil"/>
            </w:tcBorders>
            <w:shd w:val="clear" w:color="auto" w:fill="auto"/>
            <w:noWrap/>
            <w:vAlign w:val="bottom"/>
          </w:tcPr>
          <w:p w:rsidR="00AF7DED" w:rsidRPr="00157668" w:rsidRDefault="00AF7DED">
            <w:r w:rsidRPr="00157668">
              <w:t>Gjakove Regional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5</w:t>
            </w:r>
          </w:p>
        </w:tc>
        <w:tc>
          <w:tcPr>
            <w:tcW w:w="4045" w:type="dxa"/>
            <w:tcBorders>
              <w:top w:val="nil"/>
              <w:left w:val="nil"/>
              <w:bottom w:val="nil"/>
              <w:right w:val="nil"/>
            </w:tcBorders>
            <w:shd w:val="clear" w:color="auto" w:fill="auto"/>
            <w:noWrap/>
            <w:vAlign w:val="bottom"/>
          </w:tcPr>
          <w:p w:rsidR="00AF7DED" w:rsidRPr="00157668" w:rsidRDefault="00AF7DED">
            <w:r w:rsidRPr="00157668">
              <w:t>Peje Regional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6</w:t>
            </w:r>
          </w:p>
        </w:tc>
        <w:tc>
          <w:tcPr>
            <w:tcW w:w="4045" w:type="dxa"/>
            <w:tcBorders>
              <w:top w:val="nil"/>
              <w:left w:val="nil"/>
              <w:bottom w:val="nil"/>
              <w:right w:val="nil"/>
            </w:tcBorders>
            <w:shd w:val="clear" w:color="auto" w:fill="auto"/>
            <w:noWrap/>
            <w:vAlign w:val="bottom"/>
          </w:tcPr>
          <w:p w:rsidR="00AF7DED" w:rsidRPr="00157668" w:rsidRDefault="00AF7DED">
            <w:r w:rsidRPr="00157668">
              <w:t>Mitrovica Regional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7</w:t>
            </w:r>
          </w:p>
        </w:tc>
        <w:tc>
          <w:tcPr>
            <w:tcW w:w="4045" w:type="dxa"/>
            <w:tcBorders>
              <w:top w:val="nil"/>
              <w:left w:val="nil"/>
              <w:bottom w:val="nil"/>
              <w:right w:val="nil"/>
            </w:tcBorders>
            <w:shd w:val="clear" w:color="auto" w:fill="auto"/>
            <w:noWrap/>
            <w:vAlign w:val="bottom"/>
          </w:tcPr>
          <w:p w:rsidR="00AF7DED" w:rsidRPr="00157668" w:rsidRDefault="00AF7DED">
            <w:r w:rsidRPr="00157668">
              <w:t>Vushtrri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8</w:t>
            </w:r>
          </w:p>
        </w:tc>
        <w:tc>
          <w:tcPr>
            <w:tcW w:w="4045" w:type="dxa"/>
            <w:tcBorders>
              <w:top w:val="nil"/>
              <w:left w:val="nil"/>
              <w:bottom w:val="nil"/>
              <w:right w:val="nil"/>
            </w:tcBorders>
            <w:shd w:val="clear" w:color="auto" w:fill="auto"/>
            <w:noWrap/>
            <w:vAlign w:val="bottom"/>
          </w:tcPr>
          <w:p w:rsidR="00AF7DED" w:rsidRPr="00157668" w:rsidRDefault="00AF7DED">
            <w:r w:rsidRPr="00157668">
              <w:t>Ferizaj Hospital</w:t>
            </w:r>
          </w:p>
        </w:tc>
        <w:tc>
          <w:tcPr>
            <w:tcW w:w="960" w:type="dxa"/>
            <w:tcBorders>
              <w:top w:val="nil"/>
              <w:left w:val="nil"/>
              <w:bottom w:val="nil"/>
              <w:right w:val="nil"/>
            </w:tcBorders>
            <w:shd w:val="clear" w:color="auto" w:fill="auto"/>
            <w:noWrap/>
            <w:vAlign w:val="bottom"/>
          </w:tcPr>
          <w:p w:rsidR="00AF7DED" w:rsidRPr="00157668" w:rsidRDefault="00AF7DED">
            <w:r w:rsidRPr="00157668">
              <w:t>HP.1.1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p>
        </w:tc>
        <w:tc>
          <w:tcPr>
            <w:tcW w:w="4045" w:type="dxa"/>
            <w:tcBorders>
              <w:top w:val="nil"/>
              <w:left w:val="nil"/>
              <w:bottom w:val="nil"/>
              <w:right w:val="nil"/>
            </w:tcBorders>
            <w:shd w:val="clear" w:color="auto" w:fill="auto"/>
            <w:noWrap/>
            <w:vAlign w:val="bottom"/>
          </w:tcPr>
          <w:p w:rsidR="00AF7DED" w:rsidRPr="00157668" w:rsidRDefault="00AF7DED"/>
        </w:tc>
        <w:tc>
          <w:tcPr>
            <w:tcW w:w="960" w:type="dxa"/>
            <w:tcBorders>
              <w:top w:val="nil"/>
              <w:left w:val="nil"/>
              <w:bottom w:val="nil"/>
              <w:right w:val="nil"/>
            </w:tcBorders>
            <w:shd w:val="clear" w:color="auto" w:fill="auto"/>
            <w:noWrap/>
            <w:vAlign w:val="bottom"/>
          </w:tcPr>
          <w:p w:rsidR="00AF7DED" w:rsidRPr="00157668" w:rsidRDefault="00AF7DED"/>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9</w:t>
            </w:r>
          </w:p>
        </w:tc>
        <w:tc>
          <w:tcPr>
            <w:tcW w:w="4045" w:type="dxa"/>
            <w:tcBorders>
              <w:top w:val="nil"/>
              <w:left w:val="nil"/>
              <w:bottom w:val="nil"/>
              <w:right w:val="nil"/>
            </w:tcBorders>
            <w:shd w:val="clear" w:color="auto" w:fill="auto"/>
            <w:noWrap/>
            <w:vAlign w:val="bottom"/>
          </w:tcPr>
          <w:p w:rsidR="00AF7DED" w:rsidRPr="00157668" w:rsidRDefault="00AF7DED">
            <w:r w:rsidRPr="00157668">
              <w:t>Institute for Public Health</w:t>
            </w:r>
          </w:p>
        </w:tc>
        <w:tc>
          <w:tcPr>
            <w:tcW w:w="960" w:type="dxa"/>
            <w:tcBorders>
              <w:top w:val="nil"/>
              <w:left w:val="nil"/>
              <w:bottom w:val="nil"/>
              <w:right w:val="nil"/>
            </w:tcBorders>
            <w:shd w:val="clear" w:color="auto" w:fill="auto"/>
            <w:noWrap/>
            <w:vAlign w:val="bottom"/>
          </w:tcPr>
          <w:p w:rsidR="00AF7DED" w:rsidRPr="00157668" w:rsidRDefault="00AF7DED">
            <w:r w:rsidRPr="00157668">
              <w:t>HP.5</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p>
        </w:tc>
        <w:tc>
          <w:tcPr>
            <w:tcW w:w="4045" w:type="dxa"/>
            <w:tcBorders>
              <w:top w:val="nil"/>
              <w:left w:val="nil"/>
              <w:bottom w:val="nil"/>
              <w:right w:val="nil"/>
            </w:tcBorders>
            <w:shd w:val="clear" w:color="auto" w:fill="auto"/>
            <w:noWrap/>
            <w:vAlign w:val="bottom"/>
          </w:tcPr>
          <w:p w:rsidR="00AF7DED" w:rsidRPr="00157668" w:rsidRDefault="00AF7DED"/>
        </w:tc>
        <w:tc>
          <w:tcPr>
            <w:tcW w:w="960" w:type="dxa"/>
            <w:tcBorders>
              <w:top w:val="nil"/>
              <w:left w:val="nil"/>
              <w:bottom w:val="nil"/>
              <w:right w:val="nil"/>
            </w:tcBorders>
            <w:shd w:val="clear" w:color="auto" w:fill="auto"/>
            <w:noWrap/>
            <w:vAlign w:val="center"/>
          </w:tcPr>
          <w:p w:rsidR="00AF7DED" w:rsidRPr="00157668" w:rsidRDefault="00AF7DED"/>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10</w:t>
            </w:r>
          </w:p>
        </w:tc>
        <w:tc>
          <w:tcPr>
            <w:tcW w:w="4045" w:type="dxa"/>
            <w:tcBorders>
              <w:top w:val="nil"/>
              <w:left w:val="nil"/>
              <w:bottom w:val="nil"/>
              <w:right w:val="nil"/>
            </w:tcBorders>
            <w:shd w:val="clear" w:color="auto" w:fill="auto"/>
            <w:noWrap/>
            <w:vAlign w:val="bottom"/>
          </w:tcPr>
          <w:p w:rsidR="00AF7DED" w:rsidRPr="00157668" w:rsidRDefault="00AF7DED">
            <w:r w:rsidRPr="00157668">
              <w:t>Division of Central Administration</w:t>
            </w:r>
          </w:p>
        </w:tc>
        <w:tc>
          <w:tcPr>
            <w:tcW w:w="960" w:type="dxa"/>
            <w:tcBorders>
              <w:top w:val="nil"/>
              <w:left w:val="nil"/>
              <w:bottom w:val="nil"/>
              <w:right w:val="nil"/>
            </w:tcBorders>
            <w:shd w:val="clear" w:color="auto" w:fill="auto"/>
            <w:noWrap/>
            <w:vAlign w:val="center"/>
          </w:tcPr>
          <w:p w:rsidR="00AF7DED" w:rsidRPr="00157668" w:rsidRDefault="00AF7DED">
            <w:r w:rsidRPr="00157668">
              <w:t>HP.6.1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11</w:t>
            </w:r>
          </w:p>
        </w:tc>
        <w:tc>
          <w:tcPr>
            <w:tcW w:w="4045" w:type="dxa"/>
            <w:tcBorders>
              <w:top w:val="nil"/>
              <w:left w:val="nil"/>
              <w:bottom w:val="nil"/>
              <w:right w:val="nil"/>
            </w:tcBorders>
            <w:shd w:val="clear" w:color="auto" w:fill="auto"/>
            <w:noWrap/>
            <w:vAlign w:val="bottom"/>
          </w:tcPr>
          <w:p w:rsidR="00AF7DED" w:rsidRPr="00157668" w:rsidRDefault="00AF7DED">
            <w:r w:rsidRPr="00157668">
              <w:t>Health Care Commissioning Agency</w:t>
            </w:r>
          </w:p>
        </w:tc>
        <w:tc>
          <w:tcPr>
            <w:tcW w:w="960" w:type="dxa"/>
            <w:tcBorders>
              <w:top w:val="nil"/>
              <w:left w:val="nil"/>
              <w:bottom w:val="nil"/>
              <w:right w:val="nil"/>
            </w:tcBorders>
            <w:shd w:val="clear" w:color="auto" w:fill="auto"/>
            <w:noWrap/>
            <w:vAlign w:val="center"/>
          </w:tcPr>
          <w:p w:rsidR="00AF7DED" w:rsidRPr="00157668" w:rsidRDefault="00AF7DED">
            <w:r w:rsidRPr="00157668">
              <w:t>HP.6.1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12</w:t>
            </w:r>
          </w:p>
        </w:tc>
        <w:tc>
          <w:tcPr>
            <w:tcW w:w="4045" w:type="dxa"/>
            <w:tcBorders>
              <w:top w:val="nil"/>
              <w:left w:val="nil"/>
              <w:bottom w:val="nil"/>
              <w:right w:val="nil"/>
            </w:tcBorders>
            <w:shd w:val="clear" w:color="auto" w:fill="auto"/>
            <w:noWrap/>
            <w:vAlign w:val="bottom"/>
          </w:tcPr>
          <w:p w:rsidR="00AF7DED" w:rsidRPr="00157668" w:rsidRDefault="00AF7DED">
            <w:r w:rsidRPr="00157668">
              <w:t>Kosovo Drug Regulatory Authority</w:t>
            </w:r>
          </w:p>
        </w:tc>
        <w:tc>
          <w:tcPr>
            <w:tcW w:w="960" w:type="dxa"/>
            <w:tcBorders>
              <w:top w:val="nil"/>
              <w:left w:val="nil"/>
              <w:bottom w:val="nil"/>
              <w:right w:val="nil"/>
            </w:tcBorders>
            <w:shd w:val="clear" w:color="auto" w:fill="auto"/>
            <w:noWrap/>
            <w:vAlign w:val="center"/>
          </w:tcPr>
          <w:p w:rsidR="00AF7DED" w:rsidRPr="00157668" w:rsidRDefault="00AF7DED">
            <w:r w:rsidRPr="00157668">
              <w:t>HP.6.1</w:t>
            </w:r>
          </w:p>
        </w:tc>
      </w:tr>
      <w:tr w:rsidR="00AF7DED" w:rsidRPr="00157668">
        <w:trPr>
          <w:trHeight w:val="255"/>
        </w:trPr>
        <w:tc>
          <w:tcPr>
            <w:tcW w:w="375" w:type="dxa"/>
            <w:tcBorders>
              <w:top w:val="nil"/>
              <w:left w:val="nil"/>
              <w:bottom w:val="nil"/>
              <w:right w:val="nil"/>
            </w:tcBorders>
            <w:shd w:val="clear" w:color="auto" w:fill="auto"/>
            <w:noWrap/>
            <w:vAlign w:val="bottom"/>
          </w:tcPr>
          <w:p w:rsidR="00AF7DED" w:rsidRPr="00157668" w:rsidRDefault="00AF7DED">
            <w:pPr>
              <w:jc w:val="right"/>
            </w:pPr>
            <w:r w:rsidRPr="00157668">
              <w:t>13</w:t>
            </w:r>
          </w:p>
        </w:tc>
        <w:tc>
          <w:tcPr>
            <w:tcW w:w="4045" w:type="dxa"/>
            <w:tcBorders>
              <w:top w:val="nil"/>
              <w:left w:val="nil"/>
              <w:bottom w:val="nil"/>
              <w:right w:val="nil"/>
            </w:tcBorders>
            <w:shd w:val="clear" w:color="auto" w:fill="auto"/>
            <w:noWrap/>
            <w:vAlign w:val="bottom"/>
          </w:tcPr>
          <w:p w:rsidR="00AF7DED" w:rsidRPr="00157668" w:rsidRDefault="00AF7DED">
            <w:r w:rsidRPr="00157668">
              <w:t>Office of the Minister</w:t>
            </w:r>
          </w:p>
        </w:tc>
        <w:tc>
          <w:tcPr>
            <w:tcW w:w="960" w:type="dxa"/>
            <w:tcBorders>
              <w:top w:val="nil"/>
              <w:left w:val="nil"/>
              <w:bottom w:val="nil"/>
              <w:right w:val="nil"/>
            </w:tcBorders>
            <w:shd w:val="clear" w:color="auto" w:fill="auto"/>
            <w:noWrap/>
            <w:vAlign w:val="center"/>
          </w:tcPr>
          <w:p w:rsidR="00AF7DED" w:rsidRPr="00157668" w:rsidRDefault="00AF7DED">
            <w:r w:rsidRPr="00157668">
              <w:t>HP.6.1</w:t>
            </w:r>
          </w:p>
        </w:tc>
      </w:tr>
    </w:tbl>
    <w:p w:rsidR="00AF7DED" w:rsidRPr="00AF7DED" w:rsidRDefault="00AF7DED" w:rsidP="00AF7DED">
      <w:pPr>
        <w:jc w:val="center"/>
        <w:rPr>
          <w:b/>
          <w:lang w:val="en-GB" w:eastAsia="en-US"/>
        </w:rPr>
        <w:sectPr w:rsidR="00AF7DED" w:rsidRPr="00AF7DED" w:rsidSect="00C942D3">
          <w:footerReference w:type="even" r:id="rId10"/>
          <w:footerReference w:type="default" r:id="rId11"/>
          <w:pgSz w:w="11906" w:h="16838"/>
          <w:pgMar w:top="1417" w:right="1417" w:bottom="1417" w:left="1417" w:header="708" w:footer="708" w:gutter="0"/>
          <w:cols w:space="708"/>
          <w:docGrid w:linePitch="360"/>
        </w:sectPr>
      </w:pPr>
    </w:p>
    <w:p w:rsidR="003B569E" w:rsidRPr="003B569E" w:rsidRDefault="003B569E" w:rsidP="003B569E">
      <w:pPr>
        <w:pStyle w:val="Heading1"/>
        <w:numPr>
          <w:ilvl w:val="0"/>
          <w:numId w:val="0"/>
        </w:numPr>
        <w:spacing w:line="360" w:lineRule="auto"/>
        <w:jc w:val="both"/>
        <w:rPr>
          <w:bCs w:val="0"/>
          <w:sz w:val="24"/>
          <w:lang w:val="en-GB"/>
        </w:rPr>
      </w:pPr>
      <w:bookmarkStart w:id="19" w:name="_Toc175548184"/>
      <w:r w:rsidRPr="00487772">
        <w:rPr>
          <w:bCs w:val="0"/>
          <w:sz w:val="24"/>
          <w:lang w:val="en-GB"/>
        </w:rPr>
        <w:lastRenderedPageBreak/>
        <w:t xml:space="preserve">Annex </w:t>
      </w:r>
      <w:r>
        <w:rPr>
          <w:bCs w:val="0"/>
          <w:sz w:val="24"/>
          <w:lang w:val="en-GB"/>
        </w:rPr>
        <w:t>V</w:t>
      </w:r>
      <w:bookmarkEnd w:id="19"/>
      <w:r w:rsidRPr="003B569E">
        <w:rPr>
          <w:bCs w:val="0"/>
          <w:sz w:val="24"/>
          <w:lang w:val="en-GB"/>
        </w:rPr>
        <w:t xml:space="preserve"> </w:t>
      </w:r>
    </w:p>
    <w:p w:rsidR="00487772" w:rsidRPr="00487772" w:rsidRDefault="00487772" w:rsidP="00487772">
      <w:pPr>
        <w:jc w:val="center"/>
        <w:rPr>
          <w:b/>
          <w:lang w:val="en-GB" w:eastAsia="en-US"/>
        </w:rPr>
      </w:pPr>
      <w:proofErr w:type="gramStart"/>
      <w:r w:rsidRPr="00487772">
        <w:rPr>
          <w:b/>
          <w:lang w:val="en-GB" w:eastAsia="en-US"/>
        </w:rPr>
        <w:t>Tabel 1.</w:t>
      </w:r>
      <w:proofErr w:type="gramEnd"/>
      <w:r w:rsidRPr="00487772">
        <w:rPr>
          <w:b/>
          <w:lang w:val="en-GB" w:eastAsia="en-US"/>
        </w:rPr>
        <w:t xml:space="preserve"> Current and total expenditure on health by function of care and source of funding (mln €) in 2005</w:t>
      </w:r>
    </w:p>
    <w:p w:rsidR="00487772" w:rsidRPr="00487772" w:rsidRDefault="00487772" w:rsidP="00487772">
      <w:pPr>
        <w:jc w:val="center"/>
        <w:rPr>
          <w:b/>
          <w:lang w:val="en-GB" w:eastAsia="en-US"/>
        </w:rPr>
      </w:pPr>
    </w:p>
    <w:tbl>
      <w:tblPr>
        <w:tblW w:w="14120" w:type="dxa"/>
        <w:tblInd w:w="60" w:type="dxa"/>
        <w:tblCellMar>
          <w:left w:w="70" w:type="dxa"/>
          <w:right w:w="70" w:type="dxa"/>
        </w:tblCellMar>
        <w:tblLook w:val="0000"/>
      </w:tblPr>
      <w:tblGrid>
        <w:gridCol w:w="3940"/>
        <w:gridCol w:w="1000"/>
        <w:gridCol w:w="980"/>
        <w:gridCol w:w="960"/>
        <w:gridCol w:w="820"/>
        <w:gridCol w:w="1060"/>
        <w:gridCol w:w="1060"/>
        <w:gridCol w:w="940"/>
        <w:gridCol w:w="940"/>
        <w:gridCol w:w="820"/>
        <w:gridCol w:w="860"/>
        <w:gridCol w:w="740"/>
      </w:tblGrid>
      <w:tr w:rsidR="00487772" w:rsidRPr="00487772">
        <w:trPr>
          <w:trHeight w:val="240"/>
        </w:trPr>
        <w:tc>
          <w:tcPr>
            <w:tcW w:w="394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487772" w:rsidRPr="00487772" w:rsidRDefault="00487772" w:rsidP="00487772">
            <w:pPr>
              <w:jc w:val="center"/>
              <w:rPr>
                <w:rFonts w:ascii="Arial" w:hAnsi="Arial" w:cs="Arial"/>
                <w:b/>
                <w:bCs/>
                <w:sz w:val="16"/>
                <w:szCs w:val="16"/>
                <w:lang w:val="en-GB"/>
              </w:rPr>
            </w:pPr>
            <w:r w:rsidRPr="00487772">
              <w:rPr>
                <w:rFonts w:ascii="Arial" w:hAnsi="Arial" w:cs="Arial"/>
                <w:b/>
                <w:bCs/>
                <w:sz w:val="16"/>
                <w:szCs w:val="16"/>
                <w:lang w:val="en-GB"/>
              </w:rPr>
              <w:t>FUNCTION OF CARE / SOURCE OF FUNDING</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ICHA</w:t>
            </w:r>
          </w:p>
        </w:tc>
        <w:tc>
          <w:tcPr>
            <w:tcW w:w="98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TOTAL</w:t>
            </w:r>
          </w:p>
        </w:tc>
        <w:tc>
          <w:tcPr>
            <w:tcW w:w="960" w:type="dxa"/>
            <w:tcBorders>
              <w:top w:val="single" w:sz="8" w:space="0" w:color="auto"/>
              <w:left w:val="nil"/>
              <w:bottom w:val="single" w:sz="4" w:space="0" w:color="auto"/>
              <w:right w:val="single" w:sz="4" w:space="0" w:color="auto"/>
            </w:tcBorders>
            <w:shd w:val="clear" w:color="auto" w:fill="auto"/>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HF.1</w:t>
            </w:r>
          </w:p>
        </w:tc>
        <w:tc>
          <w:tcPr>
            <w:tcW w:w="82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HF.1.1</w:t>
            </w:r>
          </w:p>
        </w:tc>
        <w:tc>
          <w:tcPr>
            <w:tcW w:w="106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HF.1.1.1</w:t>
            </w:r>
          </w:p>
        </w:tc>
        <w:tc>
          <w:tcPr>
            <w:tcW w:w="106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HF.1.1.3</w:t>
            </w:r>
          </w:p>
        </w:tc>
        <w:tc>
          <w:tcPr>
            <w:tcW w:w="940" w:type="dxa"/>
            <w:tcBorders>
              <w:top w:val="single" w:sz="8" w:space="0" w:color="auto"/>
              <w:left w:val="nil"/>
              <w:bottom w:val="single" w:sz="4" w:space="0" w:color="auto"/>
              <w:right w:val="single" w:sz="4" w:space="0" w:color="auto"/>
            </w:tcBorders>
            <w:shd w:val="clear" w:color="auto" w:fill="auto"/>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HF.2</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HF.2.3</w:t>
            </w:r>
          </w:p>
        </w:tc>
        <w:tc>
          <w:tcPr>
            <w:tcW w:w="82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HF.2.4</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HF.2.5</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HF.3</w:t>
            </w:r>
          </w:p>
        </w:tc>
      </w:tr>
      <w:tr w:rsidR="00487772" w:rsidRPr="00487772">
        <w:trPr>
          <w:trHeight w:val="2460"/>
        </w:trPr>
        <w:tc>
          <w:tcPr>
            <w:tcW w:w="3940" w:type="dxa"/>
            <w:vMerge/>
            <w:tcBorders>
              <w:top w:val="single" w:sz="8" w:space="0" w:color="auto"/>
              <w:left w:val="single" w:sz="8" w:space="0" w:color="auto"/>
              <w:bottom w:val="single" w:sz="4" w:space="0" w:color="000000"/>
              <w:right w:val="single" w:sz="4" w:space="0" w:color="auto"/>
            </w:tcBorders>
            <w:vAlign w:val="center"/>
          </w:tcPr>
          <w:p w:rsidR="00487772" w:rsidRPr="00487772" w:rsidRDefault="00487772" w:rsidP="00487772">
            <w:pPr>
              <w:rPr>
                <w:rFonts w:ascii="Arial" w:hAnsi="Arial" w:cs="Arial"/>
                <w:b/>
                <w:bCs/>
                <w:sz w:val="16"/>
                <w:szCs w:val="16"/>
                <w:lang w:val="en-GB"/>
              </w:rPr>
            </w:pPr>
          </w:p>
        </w:tc>
        <w:tc>
          <w:tcPr>
            <w:tcW w:w="1000" w:type="dxa"/>
            <w:vMerge/>
            <w:tcBorders>
              <w:top w:val="single" w:sz="8" w:space="0" w:color="auto"/>
              <w:left w:val="single" w:sz="4" w:space="0" w:color="auto"/>
              <w:bottom w:val="single" w:sz="4" w:space="0" w:color="000000"/>
              <w:right w:val="single" w:sz="4" w:space="0" w:color="auto"/>
            </w:tcBorders>
            <w:vAlign w:val="center"/>
          </w:tcPr>
          <w:p w:rsidR="00487772" w:rsidRPr="00487772" w:rsidRDefault="00487772" w:rsidP="00487772">
            <w:pPr>
              <w:rPr>
                <w:rFonts w:ascii="Arial" w:hAnsi="Arial" w:cs="Arial"/>
                <w:b/>
                <w:bCs/>
                <w:color w:val="000000"/>
                <w:sz w:val="16"/>
                <w:szCs w:val="16"/>
                <w:lang w:val="en-GB"/>
              </w:rPr>
            </w:pPr>
          </w:p>
        </w:tc>
        <w:tc>
          <w:tcPr>
            <w:tcW w:w="980" w:type="dxa"/>
            <w:vMerge/>
            <w:tcBorders>
              <w:top w:val="single" w:sz="8" w:space="0" w:color="auto"/>
              <w:left w:val="single" w:sz="4" w:space="0" w:color="auto"/>
              <w:bottom w:val="single" w:sz="4" w:space="0" w:color="000000"/>
              <w:right w:val="single" w:sz="4" w:space="0" w:color="auto"/>
            </w:tcBorders>
            <w:vAlign w:val="center"/>
          </w:tcPr>
          <w:p w:rsidR="00487772" w:rsidRPr="00487772" w:rsidRDefault="00487772" w:rsidP="00487772">
            <w:pPr>
              <w:rPr>
                <w:rFonts w:ascii="Arial" w:hAnsi="Arial" w:cs="Arial"/>
                <w:b/>
                <w:bCs/>
                <w:color w:val="000000"/>
                <w:sz w:val="16"/>
                <w:szCs w:val="16"/>
                <w:lang w:val="en-GB"/>
              </w:rPr>
            </w:pPr>
          </w:p>
        </w:tc>
        <w:tc>
          <w:tcPr>
            <w:tcW w:w="96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GENERAL GOVERNMENT</w:t>
            </w:r>
          </w:p>
        </w:tc>
        <w:tc>
          <w:tcPr>
            <w:tcW w:w="82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General government (excl social security)</w:t>
            </w:r>
          </w:p>
        </w:tc>
        <w:tc>
          <w:tcPr>
            <w:tcW w:w="106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Central government</w:t>
            </w:r>
          </w:p>
        </w:tc>
        <w:tc>
          <w:tcPr>
            <w:tcW w:w="106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Local government</w:t>
            </w:r>
          </w:p>
        </w:tc>
        <w:tc>
          <w:tcPr>
            <w:tcW w:w="940" w:type="dxa"/>
            <w:tcBorders>
              <w:top w:val="nil"/>
              <w:left w:val="nil"/>
              <w:bottom w:val="single" w:sz="4" w:space="0" w:color="auto"/>
              <w:right w:val="nil"/>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PRIVATE SECTOR</w:t>
            </w:r>
          </w:p>
        </w:tc>
        <w:tc>
          <w:tcPr>
            <w:tcW w:w="940" w:type="dxa"/>
            <w:tcBorders>
              <w:top w:val="nil"/>
              <w:left w:val="single" w:sz="4" w:space="0" w:color="auto"/>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Private household out-of-pocket expenditure</w:t>
            </w:r>
          </w:p>
        </w:tc>
        <w:tc>
          <w:tcPr>
            <w:tcW w:w="82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Non-profit institutions</w:t>
            </w:r>
          </w:p>
        </w:tc>
        <w:tc>
          <w:tcPr>
            <w:tcW w:w="86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Corporations</w:t>
            </w:r>
          </w:p>
        </w:tc>
        <w:tc>
          <w:tcPr>
            <w:tcW w:w="740" w:type="dxa"/>
            <w:tcBorders>
              <w:top w:val="nil"/>
              <w:left w:val="nil"/>
              <w:bottom w:val="single" w:sz="4" w:space="0" w:color="auto"/>
              <w:right w:val="single" w:sz="8"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REST OF THE WORLD</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SERVICES OF CURATIVE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58,2</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49,5</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49,5</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29,7</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19,8</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8,6</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8,6</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0,1</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In-patient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HC.1.1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29,31</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28,4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28,4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28,4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0,9</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0,06</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Day cases of curative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HC.1.2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color w:val="FF0000"/>
                <w:sz w:val="16"/>
                <w:szCs w:val="16"/>
                <w:lang w:val="en-GB"/>
              </w:rPr>
            </w:pPr>
            <w:r w:rsidRPr="00487772">
              <w:rPr>
                <w:rFonts w:ascii="Arial" w:hAnsi="Arial" w:cs="Arial"/>
                <w:color w:val="FF0000"/>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Out-patient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HC.1.3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28,8</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21,1</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21,1</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1,3</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19,8</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7,7</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7,7</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Basic medical and diagnostic services </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HC.1.3.1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0,7</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0,7</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color w:val="FF0000"/>
                <w:sz w:val="16"/>
                <w:szCs w:val="16"/>
                <w:lang w:val="en-GB"/>
              </w:rPr>
            </w:pPr>
            <w:r w:rsidRPr="00487772">
              <w:rPr>
                <w:rFonts w:ascii="Arial" w:hAnsi="Arial" w:cs="Arial"/>
                <w:color w:val="FF0000"/>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Out-patient dental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HC.1.3.2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4,3</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0,6</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0,6</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0,6</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3,7</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i/>
                <w:iCs/>
                <w:sz w:val="16"/>
                <w:szCs w:val="16"/>
                <w:lang w:val="en-GB"/>
              </w:rPr>
            </w:pPr>
            <w:r w:rsidRPr="00487772">
              <w:rPr>
                <w:rFonts w:ascii="Arial" w:hAnsi="Arial" w:cs="Arial"/>
                <w:i/>
                <w:iCs/>
                <w:sz w:val="16"/>
                <w:szCs w:val="16"/>
                <w:lang w:val="en-GB"/>
              </w:rPr>
              <w:t>3,7</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All other specialized health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HC.1.3.3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4,1</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4,1</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i/>
                <w:iCs/>
                <w:sz w:val="16"/>
                <w:szCs w:val="16"/>
                <w:lang w:val="en-GB"/>
              </w:rPr>
            </w:pPr>
            <w:r w:rsidRPr="00487772">
              <w:rPr>
                <w:rFonts w:ascii="Arial" w:hAnsi="Arial" w:cs="Arial"/>
                <w:i/>
                <w:iCs/>
                <w:sz w:val="16"/>
                <w:szCs w:val="16"/>
                <w:lang w:val="en-GB"/>
              </w:rPr>
              <w:t>4,1</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All  other out-patient curative care </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HC.1.3.9</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19,8</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19,8</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19,8</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19,8</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Services of curative home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HC.1.4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SERVICES OF REHABILITATIVE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In-patient rehabilitative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HC.2.1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Day cases of rehabilitative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HC.2.2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Out-patient rehabilitative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HC.2.3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1,5</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Services of rehabilitative home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HC.2.4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SERVICES OF LONG-TERM NURSING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nil"/>
              <w:right w:val="nil"/>
            </w:tcBorders>
            <w:shd w:val="clear" w:color="auto" w:fill="auto"/>
            <w:noWrap/>
            <w:vAlign w:val="bottom"/>
          </w:tcPr>
          <w:p w:rsidR="00487772" w:rsidRPr="00487772" w:rsidRDefault="00487772" w:rsidP="00487772">
            <w:pPr>
              <w:rPr>
                <w:sz w:val="18"/>
                <w:szCs w:val="18"/>
                <w:lang w:val="en-GB"/>
              </w:rPr>
            </w:pP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In-patient long-term nursing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HC.3.1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Day cases of long-term nursing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HC.3.2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Long-term nursing care:home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HC.3.3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ANCILLARY SERVICES TO HEALTH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Clinical laboratory</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HC.4.1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Diagnostic imaging</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HC.4.2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lastRenderedPageBreak/>
              <w:t>Patient transport and emergency rescue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HC.4.3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0,0</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All other miscellaneous ancillary services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HC.4.9</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MEDICAL GOODS DISPENSED TO OUT-PATIENTS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HC.5</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29,4</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8,8</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8,8</w:t>
            </w:r>
          </w:p>
        </w:tc>
        <w:tc>
          <w:tcPr>
            <w:tcW w:w="1060" w:type="dxa"/>
            <w:tcBorders>
              <w:top w:val="nil"/>
              <w:left w:val="nil"/>
              <w:bottom w:val="nil"/>
              <w:right w:val="nil"/>
            </w:tcBorders>
            <w:shd w:val="clear" w:color="auto" w:fill="auto"/>
            <w:noWrap/>
            <w:vAlign w:val="bottom"/>
          </w:tcPr>
          <w:p w:rsidR="00487772" w:rsidRPr="00487772" w:rsidRDefault="00487772" w:rsidP="00487772">
            <w:pPr>
              <w:jc w:val="right"/>
              <w:rPr>
                <w:b/>
                <w:bCs/>
                <w:sz w:val="18"/>
                <w:szCs w:val="18"/>
                <w:lang w:val="en-GB"/>
              </w:rPr>
            </w:pPr>
            <w:r w:rsidRPr="00487772">
              <w:rPr>
                <w:b/>
                <w:bCs/>
                <w:sz w:val="18"/>
                <w:szCs w:val="18"/>
                <w:lang w:val="en-GB"/>
              </w:rPr>
              <w:t>8,8</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20,7</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20,7</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Pharmaceuticals &amp; other medical nondurables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HC.5.1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29,2</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8,8</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8,8</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20,4</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20,4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Prescribed medicines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HC.5.1.1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Over-the-counter medicines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HC.5.1.2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19,5</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19,5</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19,5</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Other medical non-durables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HC.5.1.3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0,9</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Therapeutic appliances and other medical durables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HC.5.2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0,2</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0,2</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0,2</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Glasses and other vision products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HC.5.2.1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Orthopaedic appliances and other prosthetics </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HC.5.2.2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Hearing aids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HC.5.2.3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Medico-technical devices,incl wheelchairs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HC.5.2.4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 xml:space="preserve">   All other miscellaneous medical durables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i/>
                <w:iCs/>
                <w:sz w:val="16"/>
                <w:szCs w:val="16"/>
                <w:lang w:val="en-GB"/>
              </w:rPr>
            </w:pPr>
            <w:r w:rsidRPr="00487772">
              <w:rPr>
                <w:rFonts w:ascii="Arial" w:hAnsi="Arial" w:cs="Arial"/>
                <w:i/>
                <w:iCs/>
                <w:sz w:val="16"/>
                <w:szCs w:val="16"/>
                <w:lang w:val="en-GB"/>
              </w:rPr>
              <w:t>HC.5.2.9</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PREVENTION AND PUBLIC HEALTH SERVICES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HC.6</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2,7</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2,0</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0,7</w:t>
            </w:r>
          </w:p>
        </w:tc>
      </w:tr>
      <w:tr w:rsidR="00487772" w:rsidRPr="00487772">
        <w:trPr>
          <w:trHeight w:val="45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Maternal and child health; family planning and couselling</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HC.6.1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0,1</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0,1</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School health services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HC.6.2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0,0</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Prevention of communicable diseases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HC.6.3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0,3</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0,3</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0,3</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0,6</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Prevention of non-communicable diseases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HC.6.4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0,0</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0,0</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Occupational health care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HC.6.5</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All other miscellaneous public health services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HC.6.9</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45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HEALTH  ADMINISTRATION AND HEALTH  INSURANCE</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3,7</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2,3</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General government administration of health</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HC.7.1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3,7</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color w:val="FF0000"/>
                <w:sz w:val="16"/>
                <w:szCs w:val="16"/>
                <w:lang w:val="en-GB"/>
              </w:rPr>
            </w:pPr>
            <w:r w:rsidRPr="00487772">
              <w:rPr>
                <w:rFonts w:ascii="Arial" w:hAnsi="Arial" w:cs="Arial"/>
                <w:color w:val="FF0000"/>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2,3</w:t>
            </w:r>
          </w:p>
        </w:tc>
      </w:tr>
      <w:tr w:rsidR="00487772" w:rsidRPr="00487772">
        <w:trPr>
          <w:trHeight w:val="45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xml:space="preserve">TOTAL CURRENT EXPENDITURE ON HEALTH  CARE </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HC.1-HC.7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95,9</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62,0</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62,0</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42,2</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19,8</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30,824</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30,824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Total health-related functions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b/>
                <w:bCs/>
                <w:sz w:val="16"/>
                <w:szCs w:val="16"/>
                <w:lang w:val="en-GB"/>
              </w:rPr>
            </w:pPr>
            <w:r w:rsidRPr="00487772">
              <w:rPr>
                <w:rFonts w:ascii="Arial" w:hAnsi="Arial" w:cs="Arial"/>
                <w:b/>
                <w:bCs/>
                <w:sz w:val="16"/>
                <w:szCs w:val="16"/>
                <w:lang w:val="en-GB"/>
              </w:rPr>
              <w:t>HC.R.</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13,8</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11,3</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11,3</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10,0</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1,3</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0,0</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0,0</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2,6</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Capital formation of health care provider institutions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11,4</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9,4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9,4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8,1</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1,3</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2,0</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xml:space="preserve">TOTAL  EXPENDITURE ON HEALTH  </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107,3</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71,4</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71,4</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50,3</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21,1</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30,8</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30,8</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5,0</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Education and training of health personnel</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HC.R.2</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2,4</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0,6</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Research and development in health</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HC.R.3</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Food, hygiene and drinking water control</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4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Environmental health</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HC.R.5</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45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Administration and provision of social services in kind to assist living with disease and impairment</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HC.R.6</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450"/>
        </w:trPr>
        <w:tc>
          <w:tcPr>
            <w:tcW w:w="394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lastRenderedPageBreak/>
              <w:t>Administration and provision of health-related cash-benefits</w:t>
            </w:r>
          </w:p>
        </w:tc>
        <w:tc>
          <w:tcPr>
            <w:tcW w:w="100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both"/>
              <w:rPr>
                <w:rFonts w:ascii="Arial" w:hAnsi="Arial" w:cs="Arial"/>
                <w:sz w:val="16"/>
                <w:szCs w:val="16"/>
                <w:lang w:val="en-GB"/>
              </w:rPr>
            </w:pPr>
            <w:r w:rsidRPr="00487772">
              <w:rPr>
                <w:rFonts w:ascii="Arial" w:hAnsi="Arial" w:cs="Arial"/>
                <w:sz w:val="16"/>
                <w:szCs w:val="16"/>
                <w:lang w:val="en-GB"/>
              </w:rPr>
              <w:t>HC.R.7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10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6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4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3940" w:type="dxa"/>
            <w:tcBorders>
              <w:top w:val="nil"/>
              <w:left w:val="single" w:sz="8" w:space="0" w:color="auto"/>
              <w:bottom w:val="single" w:sz="8"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TOTAL</w:t>
            </w:r>
          </w:p>
        </w:tc>
        <w:tc>
          <w:tcPr>
            <w:tcW w:w="1000" w:type="dxa"/>
            <w:tcBorders>
              <w:top w:val="nil"/>
              <w:left w:val="nil"/>
              <w:bottom w:val="single" w:sz="8" w:space="0" w:color="auto"/>
              <w:right w:val="single" w:sz="4" w:space="0" w:color="auto"/>
            </w:tcBorders>
            <w:shd w:val="clear" w:color="auto" w:fill="auto"/>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109,7</w:t>
            </w:r>
          </w:p>
        </w:tc>
        <w:tc>
          <w:tcPr>
            <w:tcW w:w="96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73,3</w:t>
            </w:r>
          </w:p>
        </w:tc>
        <w:tc>
          <w:tcPr>
            <w:tcW w:w="82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73,3</w:t>
            </w:r>
          </w:p>
        </w:tc>
        <w:tc>
          <w:tcPr>
            <w:tcW w:w="106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52,2</w:t>
            </w:r>
          </w:p>
        </w:tc>
        <w:tc>
          <w:tcPr>
            <w:tcW w:w="106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21,1</w:t>
            </w:r>
          </w:p>
        </w:tc>
        <w:tc>
          <w:tcPr>
            <w:tcW w:w="94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30,8</w:t>
            </w:r>
          </w:p>
        </w:tc>
        <w:tc>
          <w:tcPr>
            <w:tcW w:w="94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30,8</w:t>
            </w:r>
          </w:p>
        </w:tc>
        <w:tc>
          <w:tcPr>
            <w:tcW w:w="82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6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40" w:type="dxa"/>
            <w:tcBorders>
              <w:top w:val="nil"/>
              <w:left w:val="nil"/>
              <w:bottom w:val="single" w:sz="8"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5,6</w:t>
            </w:r>
          </w:p>
        </w:tc>
      </w:tr>
    </w:tbl>
    <w:p w:rsidR="00487772" w:rsidRPr="00487772" w:rsidRDefault="00487772" w:rsidP="00487772">
      <w:pPr>
        <w:rPr>
          <w:lang w:val="en-GB" w:eastAsia="en-US"/>
        </w:rPr>
      </w:pPr>
    </w:p>
    <w:p w:rsidR="00487772" w:rsidRPr="00487772" w:rsidRDefault="00487772" w:rsidP="00487772">
      <w:pPr>
        <w:jc w:val="center"/>
        <w:rPr>
          <w:b/>
          <w:lang w:val="en-GB" w:eastAsia="en-US"/>
        </w:rPr>
      </w:pPr>
      <w:r w:rsidRPr="00487772">
        <w:rPr>
          <w:lang w:val="en-GB" w:eastAsia="en-US"/>
        </w:rPr>
        <w:br w:type="page"/>
      </w:r>
      <w:proofErr w:type="gramStart"/>
      <w:r w:rsidRPr="00487772">
        <w:rPr>
          <w:b/>
          <w:lang w:val="en-GB" w:eastAsia="en-US"/>
        </w:rPr>
        <w:lastRenderedPageBreak/>
        <w:t>Tabel 2.</w:t>
      </w:r>
      <w:proofErr w:type="gramEnd"/>
      <w:r w:rsidRPr="00487772">
        <w:rPr>
          <w:b/>
          <w:lang w:val="en-GB" w:eastAsia="en-US"/>
        </w:rPr>
        <w:t xml:space="preserve"> Current expenditure on health by function of care and provider industry (mln €) in 2005</w:t>
      </w:r>
    </w:p>
    <w:p w:rsidR="00487772" w:rsidRPr="00487772" w:rsidRDefault="00487772" w:rsidP="00487772">
      <w:pPr>
        <w:jc w:val="center"/>
        <w:rPr>
          <w:b/>
          <w:lang w:val="en-GB" w:eastAsia="en-US"/>
        </w:rPr>
      </w:pPr>
    </w:p>
    <w:tbl>
      <w:tblPr>
        <w:tblW w:w="15575" w:type="dxa"/>
        <w:tblInd w:w="-830" w:type="dxa"/>
        <w:tblCellMar>
          <w:left w:w="70" w:type="dxa"/>
          <w:right w:w="70" w:type="dxa"/>
        </w:tblCellMar>
        <w:tblLook w:val="0000"/>
      </w:tblPr>
      <w:tblGrid>
        <w:gridCol w:w="1354"/>
        <w:gridCol w:w="719"/>
        <w:gridCol w:w="475"/>
        <w:gridCol w:w="452"/>
        <w:gridCol w:w="452"/>
        <w:gridCol w:w="420"/>
        <w:gridCol w:w="420"/>
        <w:gridCol w:w="400"/>
        <w:gridCol w:w="420"/>
        <w:gridCol w:w="420"/>
        <w:gridCol w:w="420"/>
        <w:gridCol w:w="420"/>
        <w:gridCol w:w="452"/>
        <w:gridCol w:w="420"/>
        <w:gridCol w:w="420"/>
        <w:gridCol w:w="420"/>
        <w:gridCol w:w="452"/>
        <w:gridCol w:w="420"/>
        <w:gridCol w:w="372"/>
        <w:gridCol w:w="372"/>
        <w:gridCol w:w="685"/>
        <w:gridCol w:w="463"/>
        <w:gridCol w:w="463"/>
        <w:gridCol w:w="452"/>
        <w:gridCol w:w="452"/>
        <w:gridCol w:w="420"/>
        <w:gridCol w:w="420"/>
        <w:gridCol w:w="420"/>
        <w:gridCol w:w="400"/>
        <w:gridCol w:w="400"/>
        <w:gridCol w:w="420"/>
        <w:gridCol w:w="363"/>
        <w:gridCol w:w="420"/>
        <w:gridCol w:w="363"/>
      </w:tblGrid>
      <w:tr w:rsidR="00487772" w:rsidRPr="00487772">
        <w:trPr>
          <w:trHeight w:val="540"/>
        </w:trPr>
        <w:tc>
          <w:tcPr>
            <w:tcW w:w="135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87772" w:rsidRPr="00487772" w:rsidRDefault="00487772" w:rsidP="00487772">
            <w:pPr>
              <w:jc w:val="center"/>
              <w:rPr>
                <w:b/>
                <w:bCs/>
                <w:sz w:val="14"/>
                <w:szCs w:val="14"/>
                <w:lang w:val="en-GB"/>
              </w:rPr>
            </w:pPr>
            <w:r w:rsidRPr="00487772">
              <w:rPr>
                <w:b/>
                <w:bCs/>
                <w:sz w:val="14"/>
                <w:szCs w:val="14"/>
                <w:lang w:val="en-GB"/>
              </w:rPr>
              <w:t>FUNCTION OF CARE / PROVIDERS</w:t>
            </w:r>
          </w:p>
        </w:tc>
        <w:tc>
          <w:tcPr>
            <w:tcW w:w="719"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ICHA</w:t>
            </w:r>
          </w:p>
        </w:tc>
        <w:tc>
          <w:tcPr>
            <w:tcW w:w="47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Total</w:t>
            </w:r>
          </w:p>
        </w:tc>
        <w:tc>
          <w:tcPr>
            <w:tcW w:w="413"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 xml:space="preserve">HP.1 </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HP.1.1</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HP.1.2</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HP.1.3</w:t>
            </w:r>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HP.2</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HP.2.1</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HP.2.2</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HP.2.3</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HP.2.9</w:t>
            </w:r>
          </w:p>
        </w:tc>
        <w:tc>
          <w:tcPr>
            <w:tcW w:w="413"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HP.3</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HP.3.1</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HP.3.2</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HP.3.3</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HP.3.4</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HP.3.5</w:t>
            </w:r>
          </w:p>
        </w:tc>
        <w:tc>
          <w:tcPr>
            <w:tcW w:w="372"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HP.3.6</w:t>
            </w:r>
          </w:p>
        </w:tc>
        <w:tc>
          <w:tcPr>
            <w:tcW w:w="372"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HP.3.9</w:t>
            </w:r>
          </w:p>
        </w:tc>
        <w:tc>
          <w:tcPr>
            <w:tcW w:w="685"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i/>
                <w:iCs/>
                <w:color w:val="000000"/>
                <w:sz w:val="14"/>
                <w:szCs w:val="14"/>
                <w:lang w:val="en-GB"/>
              </w:rPr>
            </w:pPr>
            <w:r w:rsidRPr="00487772">
              <w:rPr>
                <w:rFonts w:ascii="Arial" w:hAnsi="Arial" w:cs="Arial"/>
                <w:i/>
                <w:iCs/>
                <w:color w:val="000000"/>
                <w:sz w:val="14"/>
                <w:szCs w:val="14"/>
                <w:lang w:val="en-GB"/>
              </w:rPr>
              <w:t>HP.3.9.1</w:t>
            </w:r>
          </w:p>
        </w:tc>
        <w:tc>
          <w:tcPr>
            <w:tcW w:w="463"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i/>
                <w:iCs/>
                <w:color w:val="000000"/>
                <w:sz w:val="14"/>
                <w:szCs w:val="14"/>
                <w:lang w:val="en-GB"/>
              </w:rPr>
            </w:pPr>
            <w:r w:rsidRPr="00487772">
              <w:rPr>
                <w:rFonts w:ascii="Arial" w:hAnsi="Arial" w:cs="Arial"/>
                <w:i/>
                <w:iCs/>
                <w:color w:val="000000"/>
                <w:sz w:val="14"/>
                <w:szCs w:val="14"/>
                <w:lang w:val="en-GB"/>
              </w:rPr>
              <w:t>HP.3.9.2</w:t>
            </w:r>
          </w:p>
        </w:tc>
        <w:tc>
          <w:tcPr>
            <w:tcW w:w="463"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i/>
                <w:iCs/>
                <w:color w:val="000000"/>
                <w:sz w:val="14"/>
                <w:szCs w:val="14"/>
                <w:lang w:val="en-GB"/>
              </w:rPr>
            </w:pPr>
            <w:r w:rsidRPr="00487772">
              <w:rPr>
                <w:rFonts w:ascii="Arial" w:hAnsi="Arial" w:cs="Arial"/>
                <w:i/>
                <w:iCs/>
                <w:color w:val="000000"/>
                <w:sz w:val="14"/>
                <w:szCs w:val="14"/>
                <w:lang w:val="en-GB"/>
              </w:rPr>
              <w:t>HP.3.9.9</w:t>
            </w:r>
          </w:p>
        </w:tc>
        <w:tc>
          <w:tcPr>
            <w:tcW w:w="413"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HP.4.</w:t>
            </w:r>
          </w:p>
        </w:tc>
        <w:tc>
          <w:tcPr>
            <w:tcW w:w="413" w:type="dxa"/>
            <w:tcBorders>
              <w:top w:val="single" w:sz="8" w:space="0" w:color="auto"/>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HP.4.1</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HP.4.2</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HP.4.3</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HP.4.9</w:t>
            </w:r>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HP.5</w:t>
            </w:r>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HP.6</w:t>
            </w:r>
          </w:p>
        </w:tc>
        <w:tc>
          <w:tcPr>
            <w:tcW w:w="420" w:type="dxa"/>
            <w:tcBorders>
              <w:top w:val="single" w:sz="8" w:space="0" w:color="auto"/>
              <w:left w:val="nil"/>
              <w:bottom w:val="single" w:sz="4" w:space="0" w:color="auto"/>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HP.6.1</w:t>
            </w:r>
          </w:p>
        </w:tc>
        <w:tc>
          <w:tcPr>
            <w:tcW w:w="340" w:type="dxa"/>
            <w:tcBorders>
              <w:top w:val="single" w:sz="8" w:space="0" w:color="auto"/>
              <w:left w:val="nil"/>
              <w:bottom w:val="nil"/>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HP.7</w:t>
            </w:r>
          </w:p>
        </w:tc>
        <w:tc>
          <w:tcPr>
            <w:tcW w:w="420" w:type="dxa"/>
            <w:tcBorders>
              <w:top w:val="single" w:sz="8" w:space="0" w:color="auto"/>
              <w:left w:val="nil"/>
              <w:bottom w:val="nil"/>
              <w:right w:val="single" w:sz="4" w:space="0" w:color="auto"/>
            </w:tcBorders>
            <w:shd w:val="clear" w:color="auto" w:fill="auto"/>
            <w:noWrap/>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HP.7.9</w:t>
            </w:r>
          </w:p>
        </w:tc>
        <w:tc>
          <w:tcPr>
            <w:tcW w:w="340" w:type="dxa"/>
            <w:tcBorders>
              <w:top w:val="single" w:sz="8" w:space="0" w:color="auto"/>
              <w:left w:val="nil"/>
              <w:bottom w:val="nil"/>
              <w:right w:val="single" w:sz="8" w:space="0" w:color="auto"/>
            </w:tcBorders>
            <w:shd w:val="clear" w:color="auto" w:fill="auto"/>
            <w:noWrap/>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HP.9</w:t>
            </w:r>
          </w:p>
        </w:tc>
      </w:tr>
      <w:tr w:rsidR="00487772" w:rsidRPr="00487772">
        <w:trPr>
          <w:trHeight w:val="3183"/>
        </w:trPr>
        <w:tc>
          <w:tcPr>
            <w:tcW w:w="1354" w:type="dxa"/>
            <w:vMerge/>
            <w:tcBorders>
              <w:top w:val="single" w:sz="8" w:space="0" w:color="auto"/>
              <w:left w:val="single" w:sz="8" w:space="0" w:color="auto"/>
              <w:bottom w:val="single" w:sz="4" w:space="0" w:color="auto"/>
              <w:right w:val="single" w:sz="4" w:space="0" w:color="auto"/>
            </w:tcBorders>
            <w:vAlign w:val="center"/>
          </w:tcPr>
          <w:p w:rsidR="00487772" w:rsidRPr="00487772" w:rsidRDefault="00487772" w:rsidP="00487772">
            <w:pPr>
              <w:rPr>
                <w:b/>
                <w:bCs/>
                <w:sz w:val="14"/>
                <w:szCs w:val="14"/>
                <w:lang w:val="en-GB"/>
              </w:rPr>
            </w:pPr>
          </w:p>
        </w:tc>
        <w:tc>
          <w:tcPr>
            <w:tcW w:w="719" w:type="dxa"/>
            <w:vMerge/>
            <w:tcBorders>
              <w:top w:val="single" w:sz="8" w:space="0" w:color="auto"/>
              <w:left w:val="single" w:sz="4" w:space="0" w:color="auto"/>
              <w:bottom w:val="single" w:sz="4" w:space="0" w:color="000000"/>
              <w:right w:val="single" w:sz="4" w:space="0" w:color="auto"/>
            </w:tcBorders>
            <w:vAlign w:val="center"/>
          </w:tcPr>
          <w:p w:rsidR="00487772" w:rsidRPr="00487772" w:rsidRDefault="00487772" w:rsidP="00487772">
            <w:pPr>
              <w:rPr>
                <w:rFonts w:ascii="Arial" w:hAnsi="Arial" w:cs="Arial"/>
                <w:b/>
                <w:bCs/>
                <w:color w:val="000000"/>
                <w:sz w:val="14"/>
                <w:szCs w:val="14"/>
                <w:lang w:val="en-GB"/>
              </w:rPr>
            </w:pPr>
          </w:p>
        </w:tc>
        <w:tc>
          <w:tcPr>
            <w:tcW w:w="475" w:type="dxa"/>
            <w:vMerge/>
            <w:tcBorders>
              <w:top w:val="single" w:sz="8" w:space="0" w:color="auto"/>
              <w:left w:val="single" w:sz="4" w:space="0" w:color="auto"/>
              <w:bottom w:val="single" w:sz="4" w:space="0" w:color="000000"/>
              <w:right w:val="single" w:sz="4" w:space="0" w:color="auto"/>
            </w:tcBorders>
            <w:vAlign w:val="center"/>
          </w:tcPr>
          <w:p w:rsidR="00487772" w:rsidRPr="00487772" w:rsidRDefault="00487772" w:rsidP="00487772">
            <w:pPr>
              <w:rPr>
                <w:rFonts w:ascii="Arial" w:hAnsi="Arial" w:cs="Arial"/>
                <w:b/>
                <w:bCs/>
                <w:color w:val="000000"/>
                <w:sz w:val="14"/>
                <w:szCs w:val="14"/>
                <w:lang w:val="en-GB"/>
              </w:rPr>
            </w:pPr>
          </w:p>
        </w:tc>
        <w:tc>
          <w:tcPr>
            <w:tcW w:w="413"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HOSPITALS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General Hospitals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Mental health and substance abuse hospitals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Spesiality hospitals (other than mental hospitals)</w:t>
            </w:r>
          </w:p>
        </w:tc>
        <w:tc>
          <w:tcPr>
            <w:tcW w:w="40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NURSING AND RESIDENTAL                   CARE FACILITIES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Nursing and residental care facilities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Residental mental retardation, mental health and substance abuse facilities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Community care facilities for the elderly</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All other residential care facilities</w:t>
            </w:r>
          </w:p>
        </w:tc>
        <w:tc>
          <w:tcPr>
            <w:tcW w:w="413"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PROVIDERS OF AMBULATORY           HEALTH CARE</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Officies of physicians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Offices of dentists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Offices of other health practitioners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Out-patient care centres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Medical and diagnostic laboratories</w:t>
            </w:r>
          </w:p>
        </w:tc>
        <w:tc>
          <w:tcPr>
            <w:tcW w:w="372"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Providers of home health care services</w:t>
            </w:r>
          </w:p>
        </w:tc>
        <w:tc>
          <w:tcPr>
            <w:tcW w:w="372"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Other providers of ambulatory health care</w:t>
            </w:r>
          </w:p>
        </w:tc>
        <w:tc>
          <w:tcPr>
            <w:tcW w:w="685"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i/>
                <w:iCs/>
                <w:color w:val="000000"/>
                <w:sz w:val="14"/>
                <w:szCs w:val="14"/>
                <w:lang w:val="en-GB"/>
              </w:rPr>
            </w:pPr>
            <w:r w:rsidRPr="00487772">
              <w:rPr>
                <w:rFonts w:ascii="Arial" w:hAnsi="Arial" w:cs="Arial"/>
                <w:i/>
                <w:iCs/>
                <w:color w:val="000000"/>
                <w:sz w:val="14"/>
                <w:szCs w:val="14"/>
                <w:lang w:val="en-GB"/>
              </w:rPr>
              <w:t>Ambulance services</w:t>
            </w:r>
          </w:p>
        </w:tc>
        <w:tc>
          <w:tcPr>
            <w:tcW w:w="463"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i/>
                <w:iCs/>
                <w:color w:val="000000"/>
                <w:sz w:val="14"/>
                <w:szCs w:val="14"/>
                <w:lang w:val="en-GB"/>
              </w:rPr>
            </w:pPr>
            <w:r w:rsidRPr="00487772">
              <w:rPr>
                <w:rFonts w:ascii="Arial" w:hAnsi="Arial" w:cs="Arial"/>
                <w:i/>
                <w:iCs/>
                <w:color w:val="000000"/>
                <w:sz w:val="14"/>
                <w:szCs w:val="14"/>
                <w:lang w:val="en-GB"/>
              </w:rPr>
              <w:t>Blood and organ banks</w:t>
            </w:r>
          </w:p>
        </w:tc>
        <w:tc>
          <w:tcPr>
            <w:tcW w:w="463"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i/>
                <w:iCs/>
                <w:color w:val="000000"/>
                <w:sz w:val="14"/>
                <w:szCs w:val="14"/>
                <w:lang w:val="en-GB"/>
              </w:rPr>
            </w:pPr>
            <w:r w:rsidRPr="00487772">
              <w:rPr>
                <w:rFonts w:ascii="Arial" w:hAnsi="Arial" w:cs="Arial"/>
                <w:i/>
                <w:iCs/>
                <w:color w:val="000000"/>
                <w:sz w:val="14"/>
                <w:szCs w:val="14"/>
                <w:lang w:val="en-GB"/>
              </w:rPr>
              <w:t>Providers of all other ambulatory health care services</w:t>
            </w:r>
          </w:p>
        </w:tc>
        <w:tc>
          <w:tcPr>
            <w:tcW w:w="413"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 xml:space="preserve">RETAIL </w:t>
            </w:r>
            <w:smartTag w:uri="urn:schemas-microsoft-com:office:smarttags" w:element="place">
              <w:smartTag w:uri="urn:schemas-microsoft-com:office:smarttags" w:element="City">
                <w:r w:rsidRPr="00487772">
                  <w:rPr>
                    <w:rFonts w:ascii="Arial" w:hAnsi="Arial" w:cs="Arial"/>
                    <w:b/>
                    <w:bCs/>
                    <w:color w:val="000000"/>
                    <w:sz w:val="14"/>
                    <w:szCs w:val="14"/>
                    <w:lang w:val="en-GB"/>
                  </w:rPr>
                  <w:t>SALE</w:t>
                </w:r>
              </w:smartTag>
            </w:smartTag>
            <w:r w:rsidRPr="00487772">
              <w:rPr>
                <w:rFonts w:ascii="Arial" w:hAnsi="Arial" w:cs="Arial"/>
                <w:b/>
                <w:bCs/>
                <w:color w:val="000000"/>
                <w:sz w:val="14"/>
                <w:szCs w:val="14"/>
                <w:lang w:val="en-GB"/>
              </w:rPr>
              <w:t xml:space="preserve"> AND OTHER               PROVIDERS OF MED.GOODS</w:t>
            </w:r>
          </w:p>
        </w:tc>
        <w:tc>
          <w:tcPr>
            <w:tcW w:w="413"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Dispensing chemists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Retail sale and other suppliers of optical glasses and other vision products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Retail sale and other suppliers of hearing aids</w:t>
            </w:r>
          </w:p>
        </w:tc>
        <w:tc>
          <w:tcPr>
            <w:tcW w:w="42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All other sales of medical goods</w:t>
            </w:r>
          </w:p>
        </w:tc>
        <w:tc>
          <w:tcPr>
            <w:tcW w:w="40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PROVISION AND ADMINISTRATION           OF PUBLIC HEALTH                         PROGRAMMES</w:t>
            </w:r>
          </w:p>
        </w:tc>
        <w:tc>
          <w:tcPr>
            <w:tcW w:w="400" w:type="dxa"/>
            <w:tcBorders>
              <w:top w:val="nil"/>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GENERAL HEALTH ADMINISTRATION AND INSURANCE</w:t>
            </w:r>
          </w:p>
        </w:tc>
        <w:tc>
          <w:tcPr>
            <w:tcW w:w="42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Government administration of health</w:t>
            </w:r>
          </w:p>
        </w:tc>
        <w:tc>
          <w:tcPr>
            <w:tcW w:w="340" w:type="dxa"/>
            <w:tcBorders>
              <w:top w:val="single" w:sz="4" w:space="0" w:color="auto"/>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Other industries</w:t>
            </w:r>
          </w:p>
        </w:tc>
        <w:tc>
          <w:tcPr>
            <w:tcW w:w="420" w:type="dxa"/>
            <w:tcBorders>
              <w:top w:val="single" w:sz="4" w:space="0" w:color="auto"/>
              <w:left w:val="nil"/>
              <w:bottom w:val="nil"/>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4"/>
                <w:szCs w:val="14"/>
                <w:lang w:val="en-GB"/>
              </w:rPr>
            </w:pPr>
            <w:r w:rsidRPr="00487772">
              <w:rPr>
                <w:rFonts w:ascii="Arial" w:hAnsi="Arial" w:cs="Arial"/>
                <w:color w:val="000000"/>
                <w:sz w:val="14"/>
                <w:szCs w:val="14"/>
                <w:lang w:val="en-GB"/>
              </w:rPr>
              <w:t>All other industries as secondary producers of health care</w:t>
            </w:r>
          </w:p>
        </w:tc>
        <w:tc>
          <w:tcPr>
            <w:tcW w:w="340" w:type="dxa"/>
            <w:tcBorders>
              <w:top w:val="single" w:sz="4" w:space="0" w:color="auto"/>
              <w:left w:val="nil"/>
              <w:bottom w:val="nil"/>
              <w:right w:val="single" w:sz="8"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4"/>
                <w:szCs w:val="14"/>
                <w:lang w:val="en-GB"/>
              </w:rPr>
            </w:pPr>
            <w:r w:rsidRPr="00487772">
              <w:rPr>
                <w:rFonts w:ascii="Arial" w:hAnsi="Arial" w:cs="Arial"/>
                <w:b/>
                <w:bCs/>
                <w:color w:val="000000"/>
                <w:sz w:val="14"/>
                <w:szCs w:val="14"/>
                <w:lang w:val="en-GB"/>
              </w:rPr>
              <w:t>REST OF THE WORLD</w:t>
            </w:r>
          </w:p>
        </w:tc>
      </w:tr>
      <w:tr w:rsidR="00725A05" w:rsidRPr="00487772">
        <w:trPr>
          <w:trHeight w:val="72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SERVICES OF CURATIVE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58,1</w:t>
            </w: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27,7</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27,6</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0,1</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28,8</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4,3</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23,9</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single" w:sz="4" w:space="0" w:color="auto"/>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In-patient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HC.1.1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29,3</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27,7</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27,6</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0,9</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Day cases of curative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HC.1.2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Out-patient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HC.1.3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28,8</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28,8</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4,3</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23,9</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Basic medical and diagnostic services </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HC.1.3.1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0,7</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Out-patient dental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HC.1.3.2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4,3</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4,3</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4,3</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All other specialized health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HC.1.3.3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4,1</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4,1</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4,1</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All  other out-patient curative care </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HC.1.3.9</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19,8</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19,8</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19,8</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2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lastRenderedPageBreak/>
              <w:t>SERVICES OF REHABILITATIVE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In-patient rehabilitative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HC.2.1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Day cases of rehabilitative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HC.2.2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Out-patient rehabilitative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HC.2.3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1,5</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1,5</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Services of rehabilitative home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HC.2.4</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1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SERVICES OF LONG-TERM NURSING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In-patient long-term nursing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HC.3.1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Day cases of long-term nursing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HC.3.2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Long-term nursing care:home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HC.3.3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2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ANCILLARY SERVICES TO HEALTH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HC.4</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Clinical laboratory</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HC.4.1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0,4</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Diagnostic imaging</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HC.4.2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Patient transport and emergency rescue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HC.4.3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lastRenderedPageBreak/>
              <w:t>All other miscellaneous ancillary services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HC.4.9</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0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MEDICAL GOODS DISPENSED TO OUT-PATIENTS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HC.5</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29,4</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29,4</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28,3</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1,1</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Pharmaceuticals &amp; other medical nondurables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HC.5.1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29,2</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29,2</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28,3</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Prescribed medicines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HC.5.1.1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Over-the-counter medicines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HC.5.1.2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19,5</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19,5</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19,5</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 xml:space="preserve">    Other medical non-durables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i/>
                <w:iCs/>
                <w:sz w:val="14"/>
                <w:szCs w:val="14"/>
                <w:lang w:val="en-GB"/>
              </w:rPr>
            </w:pPr>
            <w:r w:rsidRPr="00487772">
              <w:rPr>
                <w:rFonts w:ascii="Arial" w:hAnsi="Arial" w:cs="Arial"/>
                <w:i/>
                <w:iCs/>
                <w:sz w:val="14"/>
                <w:szCs w:val="14"/>
                <w:lang w:val="en-GB"/>
              </w:rPr>
              <w:t>HC.5.1.3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0,9</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7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Therapeutic appliances and other medical durables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HC.5.2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0,2</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0,2</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0,2</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1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PREVENTION AND PUBLIC HEALTH SERVICES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HC.6</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2,7</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0,2</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2,1</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7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Maternal and child health; family planning and couselling</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HC.6.1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0,1</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0,1</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School health srvices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HC.6.2</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58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Prevention of communicable diseases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HC.6.3</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0,9</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0,2</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0,7</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Prevention of non-communicable diseases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HC.6.4</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39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lastRenderedPageBreak/>
              <w:t>Occupational health care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HC.6.5</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0,4</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0,4</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7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All other miscellaneous public health services</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HC.6.9</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915"/>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HEALTH  ADMINISTRATION AND HEALTH  INSURANCE</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rPr>
                <w:rFonts w:ascii="Arial" w:hAnsi="Arial" w:cs="Arial"/>
                <w:b/>
                <w:bCs/>
                <w:sz w:val="14"/>
                <w:szCs w:val="14"/>
                <w:lang w:val="en-GB"/>
              </w:rPr>
            </w:pPr>
            <w:r w:rsidRPr="00487772">
              <w:rPr>
                <w:rFonts w:ascii="Arial" w:hAnsi="Arial" w:cs="Arial"/>
                <w:b/>
                <w:bCs/>
                <w:sz w:val="14"/>
                <w:szCs w:val="14"/>
                <w:lang w:val="en-GB"/>
              </w:rPr>
              <w:t>HC.7</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3,7</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3,7</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3,7</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780"/>
        </w:trPr>
        <w:tc>
          <w:tcPr>
            <w:tcW w:w="1354" w:type="dxa"/>
            <w:tcBorders>
              <w:top w:val="nil"/>
              <w:left w:val="single" w:sz="8" w:space="0" w:color="auto"/>
              <w:bottom w:val="single" w:sz="4" w:space="0" w:color="auto"/>
              <w:right w:val="single" w:sz="4" w:space="0" w:color="auto"/>
            </w:tcBorders>
            <w:shd w:val="clear" w:color="auto" w:fill="auto"/>
            <w:vAlign w:val="bottom"/>
          </w:tcPr>
          <w:p w:rsidR="00725A05" w:rsidRPr="00487772" w:rsidRDefault="00725A05" w:rsidP="00487772">
            <w:pPr>
              <w:rPr>
                <w:rFonts w:ascii="Arial" w:hAnsi="Arial" w:cs="Arial"/>
                <w:sz w:val="14"/>
                <w:szCs w:val="14"/>
                <w:lang w:val="en-GB"/>
              </w:rPr>
            </w:pPr>
            <w:r w:rsidRPr="00487772">
              <w:rPr>
                <w:rFonts w:ascii="Arial" w:hAnsi="Arial" w:cs="Arial"/>
                <w:sz w:val="14"/>
                <w:szCs w:val="14"/>
                <w:lang w:val="en-GB"/>
              </w:rPr>
              <w:t>General government administration of health</w:t>
            </w:r>
          </w:p>
        </w:tc>
        <w:tc>
          <w:tcPr>
            <w:tcW w:w="719" w:type="dxa"/>
            <w:tcBorders>
              <w:top w:val="nil"/>
              <w:left w:val="nil"/>
              <w:bottom w:val="single" w:sz="4" w:space="0" w:color="auto"/>
              <w:right w:val="single" w:sz="4" w:space="0" w:color="auto"/>
            </w:tcBorders>
            <w:shd w:val="clear" w:color="auto" w:fill="auto"/>
            <w:noWrap/>
            <w:vAlign w:val="bottom"/>
          </w:tcPr>
          <w:p w:rsidR="00725A05" w:rsidRPr="00487772" w:rsidRDefault="00725A05" w:rsidP="00487772">
            <w:pPr>
              <w:jc w:val="both"/>
              <w:rPr>
                <w:rFonts w:ascii="Arial" w:hAnsi="Arial" w:cs="Arial"/>
                <w:sz w:val="14"/>
                <w:szCs w:val="14"/>
                <w:lang w:val="en-GB"/>
              </w:rPr>
            </w:pPr>
            <w:r w:rsidRPr="00487772">
              <w:rPr>
                <w:rFonts w:ascii="Arial" w:hAnsi="Arial" w:cs="Arial"/>
                <w:sz w:val="14"/>
                <w:szCs w:val="14"/>
                <w:lang w:val="en-GB"/>
              </w:rPr>
              <w:t>HC.7.1</w:t>
            </w:r>
          </w:p>
        </w:tc>
        <w:tc>
          <w:tcPr>
            <w:tcW w:w="475"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3,7</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72"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685"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0,0</w:t>
            </w:r>
          </w:p>
        </w:tc>
        <w:tc>
          <w:tcPr>
            <w:tcW w:w="413"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0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b/>
                <w:bCs/>
                <w:sz w:val="16"/>
                <w:szCs w:val="16"/>
              </w:rPr>
            </w:pPr>
            <w:r>
              <w:rPr>
                <w:rFonts w:ascii="Arial" w:hAnsi="Arial" w:cs="Arial"/>
                <w:b/>
                <w:bCs/>
                <w:sz w:val="16"/>
                <w:szCs w:val="16"/>
              </w:rPr>
              <w:t>3,7</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jc w:val="right"/>
              <w:rPr>
                <w:rFonts w:ascii="Arial" w:hAnsi="Arial" w:cs="Arial"/>
                <w:sz w:val="16"/>
                <w:szCs w:val="16"/>
              </w:rPr>
            </w:pPr>
            <w:r>
              <w:rPr>
                <w:rFonts w:ascii="Arial" w:hAnsi="Arial" w:cs="Arial"/>
                <w:sz w:val="16"/>
                <w:szCs w:val="16"/>
              </w:rPr>
              <w:t>3,7</w:t>
            </w:r>
          </w:p>
        </w:tc>
        <w:tc>
          <w:tcPr>
            <w:tcW w:w="34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725A05" w:rsidRDefault="00725A05">
            <w:pPr>
              <w:rPr>
                <w:rFonts w:ascii="Arial" w:hAnsi="Arial" w:cs="Arial"/>
                <w:sz w:val="16"/>
                <w:szCs w:val="16"/>
              </w:rPr>
            </w:pPr>
            <w:r>
              <w:rPr>
                <w:rFonts w:ascii="Arial" w:hAnsi="Arial" w:cs="Arial"/>
                <w:sz w:val="16"/>
                <w:szCs w:val="16"/>
              </w:rPr>
              <w:t> </w:t>
            </w:r>
          </w:p>
        </w:tc>
        <w:tc>
          <w:tcPr>
            <w:tcW w:w="340" w:type="dxa"/>
            <w:tcBorders>
              <w:top w:val="nil"/>
              <w:left w:val="nil"/>
              <w:bottom w:val="single" w:sz="4" w:space="0" w:color="auto"/>
              <w:right w:val="single" w:sz="8" w:space="0" w:color="auto"/>
            </w:tcBorders>
            <w:shd w:val="clear" w:color="auto" w:fill="auto"/>
            <w:noWrap/>
            <w:vAlign w:val="bottom"/>
          </w:tcPr>
          <w:p w:rsidR="00725A05" w:rsidRDefault="00725A05">
            <w:pPr>
              <w:rPr>
                <w:rFonts w:ascii="Arial" w:hAnsi="Arial" w:cs="Arial"/>
                <w:b/>
                <w:bCs/>
                <w:sz w:val="16"/>
                <w:szCs w:val="16"/>
              </w:rPr>
            </w:pPr>
            <w:r>
              <w:rPr>
                <w:rFonts w:ascii="Arial" w:hAnsi="Arial" w:cs="Arial"/>
                <w:b/>
                <w:bCs/>
                <w:sz w:val="16"/>
                <w:szCs w:val="16"/>
              </w:rPr>
              <w:t> </w:t>
            </w:r>
          </w:p>
        </w:tc>
      </w:tr>
      <w:tr w:rsidR="00725A05" w:rsidRPr="00487772">
        <w:trPr>
          <w:trHeight w:val="1095"/>
        </w:trPr>
        <w:tc>
          <w:tcPr>
            <w:tcW w:w="1354" w:type="dxa"/>
            <w:tcBorders>
              <w:top w:val="nil"/>
              <w:left w:val="single" w:sz="8" w:space="0" w:color="auto"/>
              <w:bottom w:val="single" w:sz="8" w:space="0" w:color="auto"/>
              <w:right w:val="single" w:sz="4" w:space="0" w:color="auto"/>
            </w:tcBorders>
            <w:shd w:val="clear" w:color="auto" w:fill="auto"/>
            <w:vAlign w:val="bottom"/>
          </w:tcPr>
          <w:p w:rsidR="00725A05" w:rsidRPr="00487772" w:rsidRDefault="00725A05" w:rsidP="00487772">
            <w:pPr>
              <w:rPr>
                <w:rFonts w:ascii="Arial" w:hAnsi="Arial" w:cs="Arial"/>
                <w:b/>
                <w:bCs/>
                <w:color w:val="FF0000"/>
                <w:sz w:val="14"/>
                <w:szCs w:val="14"/>
                <w:lang w:val="en-GB"/>
              </w:rPr>
            </w:pPr>
            <w:r w:rsidRPr="00487772">
              <w:rPr>
                <w:rFonts w:ascii="Arial" w:hAnsi="Arial" w:cs="Arial"/>
                <w:b/>
                <w:bCs/>
                <w:color w:val="FF0000"/>
                <w:sz w:val="14"/>
                <w:szCs w:val="14"/>
                <w:lang w:val="en-GB"/>
              </w:rPr>
              <w:t xml:space="preserve">TOTAL CURRENT EXPENDITURE ON HEALTH  CARE </w:t>
            </w:r>
          </w:p>
        </w:tc>
        <w:tc>
          <w:tcPr>
            <w:tcW w:w="719" w:type="dxa"/>
            <w:tcBorders>
              <w:top w:val="nil"/>
              <w:left w:val="nil"/>
              <w:bottom w:val="single" w:sz="8" w:space="0" w:color="auto"/>
              <w:right w:val="single" w:sz="4" w:space="0" w:color="auto"/>
            </w:tcBorders>
            <w:shd w:val="clear" w:color="auto" w:fill="auto"/>
            <w:noWrap/>
            <w:vAlign w:val="bottom"/>
          </w:tcPr>
          <w:p w:rsidR="00725A05" w:rsidRPr="00487772" w:rsidRDefault="00725A05" w:rsidP="00487772">
            <w:pPr>
              <w:rPr>
                <w:rFonts w:ascii="Arial" w:hAnsi="Arial" w:cs="Arial"/>
                <w:b/>
                <w:bCs/>
                <w:color w:val="FF0000"/>
                <w:sz w:val="14"/>
                <w:szCs w:val="14"/>
                <w:lang w:val="en-GB"/>
              </w:rPr>
            </w:pPr>
            <w:r w:rsidRPr="00487772">
              <w:rPr>
                <w:rFonts w:ascii="Arial" w:hAnsi="Arial" w:cs="Arial"/>
                <w:b/>
                <w:bCs/>
                <w:color w:val="FF0000"/>
                <w:sz w:val="14"/>
                <w:szCs w:val="14"/>
                <w:lang w:val="en-GB"/>
              </w:rPr>
              <w:t>HC.1-HC.7</w:t>
            </w:r>
          </w:p>
        </w:tc>
        <w:tc>
          <w:tcPr>
            <w:tcW w:w="475"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95,9</w:t>
            </w:r>
          </w:p>
        </w:tc>
        <w:tc>
          <w:tcPr>
            <w:tcW w:w="413"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27,9</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27,8</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0,1</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0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0,9</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0,9</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13"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31,1</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0,7</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4,3</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24,2</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372"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372"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1,9</w:t>
            </w:r>
          </w:p>
        </w:tc>
        <w:tc>
          <w:tcPr>
            <w:tcW w:w="685"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63"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0,4</w:t>
            </w:r>
          </w:p>
        </w:tc>
        <w:tc>
          <w:tcPr>
            <w:tcW w:w="463"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1,5</w:t>
            </w:r>
          </w:p>
        </w:tc>
        <w:tc>
          <w:tcPr>
            <w:tcW w:w="413"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29,4</w:t>
            </w:r>
          </w:p>
        </w:tc>
        <w:tc>
          <w:tcPr>
            <w:tcW w:w="413"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28,3</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1,1</w:t>
            </w:r>
          </w:p>
        </w:tc>
        <w:tc>
          <w:tcPr>
            <w:tcW w:w="40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2,1</w:t>
            </w:r>
          </w:p>
        </w:tc>
        <w:tc>
          <w:tcPr>
            <w:tcW w:w="40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3,7</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3,7</w:t>
            </w:r>
          </w:p>
        </w:tc>
        <w:tc>
          <w:tcPr>
            <w:tcW w:w="34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420" w:type="dxa"/>
            <w:tcBorders>
              <w:top w:val="nil"/>
              <w:left w:val="nil"/>
              <w:bottom w:val="single" w:sz="8" w:space="0" w:color="auto"/>
              <w:right w:val="single" w:sz="4"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0,0</w:t>
            </w:r>
          </w:p>
        </w:tc>
        <w:tc>
          <w:tcPr>
            <w:tcW w:w="340" w:type="dxa"/>
            <w:tcBorders>
              <w:top w:val="nil"/>
              <w:left w:val="nil"/>
              <w:bottom w:val="single" w:sz="8" w:space="0" w:color="auto"/>
              <w:right w:val="single" w:sz="8" w:space="0" w:color="auto"/>
            </w:tcBorders>
            <w:shd w:val="clear" w:color="auto" w:fill="auto"/>
            <w:noWrap/>
            <w:vAlign w:val="bottom"/>
          </w:tcPr>
          <w:p w:rsidR="00725A05" w:rsidRDefault="00725A05">
            <w:pPr>
              <w:jc w:val="right"/>
              <w:rPr>
                <w:rFonts w:ascii="Arial" w:hAnsi="Arial" w:cs="Arial"/>
                <w:b/>
                <w:bCs/>
                <w:color w:val="FF0000"/>
                <w:sz w:val="16"/>
                <w:szCs w:val="16"/>
              </w:rPr>
            </w:pPr>
            <w:r>
              <w:rPr>
                <w:rFonts w:ascii="Arial" w:hAnsi="Arial" w:cs="Arial"/>
                <w:b/>
                <w:bCs/>
                <w:color w:val="FF0000"/>
                <w:sz w:val="16"/>
                <w:szCs w:val="16"/>
              </w:rPr>
              <w:t>0,7</w:t>
            </w:r>
          </w:p>
        </w:tc>
      </w:tr>
    </w:tbl>
    <w:p w:rsidR="00487772" w:rsidRPr="00487772" w:rsidRDefault="00487772" w:rsidP="00487772">
      <w:pPr>
        <w:jc w:val="center"/>
        <w:rPr>
          <w:b/>
          <w:lang w:val="en-GB" w:eastAsia="en-US"/>
        </w:rPr>
      </w:pPr>
    </w:p>
    <w:p w:rsidR="00487772" w:rsidRPr="00487772" w:rsidRDefault="00487772" w:rsidP="00487772">
      <w:pPr>
        <w:jc w:val="center"/>
        <w:rPr>
          <w:b/>
          <w:lang w:val="en-GB" w:eastAsia="en-US"/>
        </w:rPr>
      </w:pPr>
      <w:r w:rsidRPr="00487772">
        <w:rPr>
          <w:b/>
          <w:lang w:val="en-GB" w:eastAsia="en-US"/>
        </w:rPr>
        <w:br w:type="page"/>
      </w:r>
      <w:proofErr w:type="gramStart"/>
      <w:r w:rsidRPr="00487772">
        <w:rPr>
          <w:b/>
          <w:lang w:val="en-GB" w:eastAsia="en-US"/>
        </w:rPr>
        <w:lastRenderedPageBreak/>
        <w:t>Tabel 3.</w:t>
      </w:r>
      <w:proofErr w:type="gramEnd"/>
      <w:r w:rsidRPr="00487772">
        <w:rPr>
          <w:b/>
          <w:lang w:val="en-GB" w:eastAsia="en-US"/>
        </w:rPr>
        <w:t xml:space="preserve"> Current expenditure on health by provider industry and source of funding (mln €) in 2005</w:t>
      </w:r>
    </w:p>
    <w:p w:rsidR="00487772" w:rsidRPr="00487772" w:rsidRDefault="00487772" w:rsidP="00487772">
      <w:pPr>
        <w:jc w:val="center"/>
        <w:rPr>
          <w:b/>
          <w:lang w:val="en-GB" w:eastAsia="en-US"/>
        </w:rPr>
      </w:pPr>
    </w:p>
    <w:tbl>
      <w:tblPr>
        <w:tblW w:w="13360" w:type="dxa"/>
        <w:tblInd w:w="60" w:type="dxa"/>
        <w:tblCellMar>
          <w:left w:w="70" w:type="dxa"/>
          <w:right w:w="70" w:type="dxa"/>
        </w:tblCellMar>
        <w:tblLook w:val="0000"/>
      </w:tblPr>
      <w:tblGrid>
        <w:gridCol w:w="5270"/>
        <w:gridCol w:w="1000"/>
        <w:gridCol w:w="540"/>
        <w:gridCol w:w="580"/>
        <w:gridCol w:w="980"/>
        <w:gridCol w:w="754"/>
        <w:gridCol w:w="754"/>
        <w:gridCol w:w="580"/>
        <w:gridCol w:w="780"/>
        <w:gridCol w:w="621"/>
        <w:gridCol w:w="621"/>
        <w:gridCol w:w="880"/>
      </w:tblGrid>
      <w:tr w:rsidR="00487772" w:rsidRPr="00487772">
        <w:trPr>
          <w:trHeight w:val="255"/>
        </w:trPr>
        <w:tc>
          <w:tcPr>
            <w:tcW w:w="542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87772" w:rsidRPr="00487772" w:rsidRDefault="00487772" w:rsidP="00487772">
            <w:pPr>
              <w:jc w:val="center"/>
              <w:rPr>
                <w:rFonts w:ascii="Arial" w:hAnsi="Arial" w:cs="Arial"/>
                <w:b/>
                <w:bCs/>
                <w:sz w:val="18"/>
                <w:szCs w:val="18"/>
                <w:lang w:val="en-GB"/>
              </w:rPr>
            </w:pPr>
            <w:r w:rsidRPr="00487772">
              <w:rPr>
                <w:rFonts w:ascii="Arial" w:hAnsi="Arial" w:cs="Arial"/>
                <w:b/>
                <w:bCs/>
                <w:sz w:val="18"/>
                <w:szCs w:val="18"/>
                <w:lang w:val="en-GB"/>
              </w:rPr>
              <w:t>PROVIDERS / SOURCE OF FUNDING</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ICHA</w:t>
            </w:r>
          </w:p>
        </w:tc>
        <w:tc>
          <w:tcPr>
            <w:tcW w:w="54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Total</w:t>
            </w:r>
          </w:p>
        </w:tc>
        <w:tc>
          <w:tcPr>
            <w:tcW w:w="580" w:type="dxa"/>
            <w:tcBorders>
              <w:top w:val="single" w:sz="8" w:space="0" w:color="auto"/>
              <w:left w:val="nil"/>
              <w:bottom w:val="single" w:sz="4" w:space="0" w:color="auto"/>
              <w:right w:val="single" w:sz="4" w:space="0" w:color="auto"/>
            </w:tcBorders>
            <w:shd w:val="clear" w:color="auto" w:fill="auto"/>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w:t>
            </w:r>
          </w:p>
        </w:tc>
        <w:tc>
          <w:tcPr>
            <w:tcW w:w="98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HF.1.1.1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HF.1.1.3</w:t>
            </w:r>
          </w:p>
        </w:tc>
        <w:tc>
          <w:tcPr>
            <w:tcW w:w="580" w:type="dxa"/>
            <w:tcBorders>
              <w:top w:val="single" w:sz="8" w:space="0" w:color="auto"/>
              <w:left w:val="nil"/>
              <w:bottom w:val="single" w:sz="4" w:space="0" w:color="auto"/>
              <w:right w:val="single" w:sz="4" w:space="0" w:color="auto"/>
            </w:tcBorders>
            <w:shd w:val="clear" w:color="auto" w:fill="auto"/>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w:t>
            </w:r>
          </w:p>
        </w:tc>
        <w:tc>
          <w:tcPr>
            <w:tcW w:w="78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HF.2.3</w:t>
            </w:r>
          </w:p>
        </w:tc>
        <w:tc>
          <w:tcPr>
            <w:tcW w:w="58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HF.2.4</w:t>
            </w:r>
          </w:p>
        </w:tc>
        <w:tc>
          <w:tcPr>
            <w:tcW w:w="580" w:type="dxa"/>
            <w:tcBorders>
              <w:top w:val="single" w:sz="8" w:space="0" w:color="auto"/>
              <w:left w:val="nil"/>
              <w:bottom w:val="single" w:sz="4" w:space="0" w:color="auto"/>
              <w:right w:val="single" w:sz="4"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HF.2.5</w:t>
            </w:r>
          </w:p>
        </w:tc>
        <w:tc>
          <w:tcPr>
            <w:tcW w:w="880" w:type="dxa"/>
            <w:tcBorders>
              <w:top w:val="single" w:sz="8" w:space="0" w:color="auto"/>
              <w:left w:val="nil"/>
              <w:bottom w:val="single" w:sz="4" w:space="0" w:color="auto"/>
              <w:right w:val="single" w:sz="8" w:space="0" w:color="auto"/>
            </w:tcBorders>
            <w:shd w:val="clear" w:color="auto" w:fill="auto"/>
            <w:noWrap/>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HF.3</w:t>
            </w:r>
          </w:p>
        </w:tc>
      </w:tr>
      <w:tr w:rsidR="00487772" w:rsidRPr="00487772">
        <w:trPr>
          <w:trHeight w:val="1575"/>
        </w:trPr>
        <w:tc>
          <w:tcPr>
            <w:tcW w:w="5420" w:type="dxa"/>
            <w:vMerge/>
            <w:tcBorders>
              <w:top w:val="single" w:sz="8" w:space="0" w:color="auto"/>
              <w:left w:val="single" w:sz="8" w:space="0" w:color="auto"/>
              <w:bottom w:val="single" w:sz="4" w:space="0" w:color="auto"/>
              <w:right w:val="single" w:sz="4" w:space="0" w:color="auto"/>
            </w:tcBorders>
            <w:vAlign w:val="center"/>
          </w:tcPr>
          <w:p w:rsidR="00487772" w:rsidRPr="00487772" w:rsidRDefault="00487772" w:rsidP="00487772">
            <w:pPr>
              <w:rPr>
                <w:rFonts w:ascii="Arial" w:hAnsi="Arial" w:cs="Arial"/>
                <w:b/>
                <w:bCs/>
                <w:sz w:val="18"/>
                <w:szCs w:val="18"/>
                <w:lang w:val="en-GB"/>
              </w:rPr>
            </w:pPr>
          </w:p>
        </w:tc>
        <w:tc>
          <w:tcPr>
            <w:tcW w:w="1000" w:type="dxa"/>
            <w:vMerge/>
            <w:tcBorders>
              <w:top w:val="single" w:sz="8" w:space="0" w:color="auto"/>
              <w:left w:val="single" w:sz="4" w:space="0" w:color="auto"/>
              <w:bottom w:val="single" w:sz="4" w:space="0" w:color="000000"/>
              <w:right w:val="single" w:sz="4" w:space="0" w:color="auto"/>
            </w:tcBorders>
            <w:vAlign w:val="center"/>
          </w:tcPr>
          <w:p w:rsidR="00487772" w:rsidRPr="00487772" w:rsidRDefault="00487772" w:rsidP="00487772">
            <w:pPr>
              <w:rPr>
                <w:rFonts w:ascii="Arial" w:hAnsi="Arial" w:cs="Arial"/>
                <w:b/>
                <w:bCs/>
                <w:color w:val="000000"/>
                <w:sz w:val="16"/>
                <w:szCs w:val="16"/>
                <w:lang w:val="en-GB"/>
              </w:rPr>
            </w:pPr>
          </w:p>
        </w:tc>
        <w:tc>
          <w:tcPr>
            <w:tcW w:w="540" w:type="dxa"/>
            <w:vMerge/>
            <w:tcBorders>
              <w:top w:val="single" w:sz="8" w:space="0" w:color="auto"/>
              <w:left w:val="single" w:sz="4" w:space="0" w:color="auto"/>
              <w:bottom w:val="single" w:sz="4" w:space="0" w:color="000000"/>
              <w:right w:val="single" w:sz="4" w:space="0" w:color="auto"/>
            </w:tcBorders>
            <w:vAlign w:val="center"/>
          </w:tcPr>
          <w:p w:rsidR="00487772" w:rsidRPr="00487772" w:rsidRDefault="00487772" w:rsidP="00487772">
            <w:pPr>
              <w:rPr>
                <w:rFonts w:ascii="Arial" w:hAnsi="Arial" w:cs="Arial"/>
                <w:b/>
                <w:bCs/>
                <w:color w:val="000000"/>
                <w:sz w:val="16"/>
                <w:szCs w:val="16"/>
                <w:lang w:val="en-GB"/>
              </w:rPr>
            </w:pPr>
          </w:p>
        </w:tc>
        <w:tc>
          <w:tcPr>
            <w:tcW w:w="58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GENERAL GOVERNMENT</w:t>
            </w:r>
          </w:p>
        </w:tc>
        <w:tc>
          <w:tcPr>
            <w:tcW w:w="98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General government (excl social security)</w:t>
            </w:r>
          </w:p>
        </w:tc>
        <w:tc>
          <w:tcPr>
            <w:tcW w:w="72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Central government</w:t>
            </w:r>
          </w:p>
        </w:tc>
        <w:tc>
          <w:tcPr>
            <w:tcW w:w="72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Local government</w:t>
            </w:r>
          </w:p>
        </w:tc>
        <w:tc>
          <w:tcPr>
            <w:tcW w:w="580" w:type="dxa"/>
            <w:tcBorders>
              <w:top w:val="nil"/>
              <w:left w:val="nil"/>
              <w:bottom w:val="single" w:sz="4" w:space="0" w:color="auto"/>
              <w:right w:val="nil"/>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PRIVATE SECTOR</w:t>
            </w:r>
          </w:p>
        </w:tc>
        <w:tc>
          <w:tcPr>
            <w:tcW w:w="780" w:type="dxa"/>
            <w:tcBorders>
              <w:top w:val="nil"/>
              <w:left w:val="single" w:sz="4" w:space="0" w:color="auto"/>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Private household out-of-pocket expenditure</w:t>
            </w:r>
          </w:p>
        </w:tc>
        <w:tc>
          <w:tcPr>
            <w:tcW w:w="58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Non-profit institutions</w:t>
            </w:r>
          </w:p>
        </w:tc>
        <w:tc>
          <w:tcPr>
            <w:tcW w:w="580" w:type="dxa"/>
            <w:tcBorders>
              <w:top w:val="nil"/>
              <w:left w:val="nil"/>
              <w:bottom w:val="single" w:sz="4" w:space="0" w:color="auto"/>
              <w:right w:val="single" w:sz="4" w:space="0" w:color="auto"/>
            </w:tcBorders>
            <w:shd w:val="clear" w:color="auto" w:fill="auto"/>
            <w:textDirection w:val="btLr"/>
            <w:vAlign w:val="center"/>
          </w:tcPr>
          <w:p w:rsidR="00487772" w:rsidRPr="00487772" w:rsidRDefault="00487772" w:rsidP="00487772">
            <w:pPr>
              <w:jc w:val="center"/>
              <w:rPr>
                <w:rFonts w:ascii="Arial" w:hAnsi="Arial" w:cs="Arial"/>
                <w:color w:val="000000"/>
                <w:sz w:val="16"/>
                <w:szCs w:val="16"/>
                <w:lang w:val="en-GB"/>
              </w:rPr>
            </w:pPr>
            <w:r w:rsidRPr="00487772">
              <w:rPr>
                <w:rFonts w:ascii="Arial" w:hAnsi="Arial" w:cs="Arial"/>
                <w:color w:val="000000"/>
                <w:sz w:val="16"/>
                <w:szCs w:val="16"/>
                <w:lang w:val="en-GB"/>
              </w:rPr>
              <w:t>Corporations</w:t>
            </w:r>
          </w:p>
        </w:tc>
        <w:tc>
          <w:tcPr>
            <w:tcW w:w="880" w:type="dxa"/>
            <w:tcBorders>
              <w:top w:val="nil"/>
              <w:left w:val="nil"/>
              <w:bottom w:val="single" w:sz="4" w:space="0" w:color="auto"/>
              <w:right w:val="single" w:sz="8" w:space="0" w:color="auto"/>
            </w:tcBorders>
            <w:shd w:val="clear" w:color="auto" w:fill="auto"/>
            <w:textDirection w:val="btLr"/>
            <w:vAlign w:val="center"/>
          </w:tcPr>
          <w:p w:rsidR="00487772" w:rsidRPr="00487772" w:rsidRDefault="00487772" w:rsidP="00487772">
            <w:pPr>
              <w:jc w:val="center"/>
              <w:rPr>
                <w:rFonts w:ascii="Arial" w:hAnsi="Arial" w:cs="Arial"/>
                <w:b/>
                <w:bCs/>
                <w:color w:val="000000"/>
                <w:sz w:val="16"/>
                <w:szCs w:val="16"/>
                <w:lang w:val="en-GB"/>
              </w:rPr>
            </w:pPr>
            <w:r w:rsidRPr="00487772">
              <w:rPr>
                <w:rFonts w:ascii="Arial" w:hAnsi="Arial" w:cs="Arial"/>
                <w:b/>
                <w:bCs/>
                <w:color w:val="000000"/>
                <w:sz w:val="16"/>
                <w:szCs w:val="16"/>
                <w:lang w:val="en-GB"/>
              </w:rPr>
              <w:t>REST OF THE WORLD</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HOSPITALS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 xml:space="preserve">HP.1 </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27,9</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26,7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26,7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26,7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0,3</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General Hospitals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HP.1.1</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27,8</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26,7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26,7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26,7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0,9</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0,2</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Mental health and substance abuse hospitals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HP.1.2</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0,1</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0,1</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Spesiality hospitals (other than mental hospitals)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HP.1.3</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NURSING AND RESIDENTAL CARE FACILITIES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HP.2</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0,9</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Nursing and residental care facilities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HP.2.1</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450"/>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Residental mental retardation, mental health and substance abuse facilities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HP.2.2</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0,9</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0,9</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0,9</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Community care facilities for the elderly</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HP.2.3</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All other residential care facilities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HP.2.9</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PROVIDERS OF AMBULATORY HEALTH CARE</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HP.3</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31,1</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21,8</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21,8</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2,1</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19,8</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9,3</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9,3</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0,0</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Officies of physicians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HP.3.1</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Offices of dentists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HP.3.2</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4,3</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0,6</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0,6</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0,6</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3,7</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3,7</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Offices of other health practitioners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HP.3.3</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Out-patient care centres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HP.3.4</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24,2</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20,1</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20,1</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19,8</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4,1</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4,1</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Medical and diagnostic laboratories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HP.3.5</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Providers of home health care services</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HP.3.6</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Other providers of ambulatory health care</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HP.3.9</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1,5</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0,0</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color w:val="000000"/>
                <w:sz w:val="16"/>
                <w:szCs w:val="16"/>
                <w:lang w:val="en-GB"/>
              </w:rPr>
            </w:pPr>
            <w:r w:rsidRPr="00487772">
              <w:rPr>
                <w:rFonts w:ascii="Arial" w:hAnsi="Arial" w:cs="Arial"/>
                <w:i/>
                <w:iCs/>
                <w:color w:val="000000"/>
                <w:sz w:val="16"/>
                <w:szCs w:val="16"/>
                <w:lang w:val="en-GB"/>
              </w:rPr>
              <w:t>Ambulance services</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color w:val="000000"/>
                <w:sz w:val="16"/>
                <w:szCs w:val="16"/>
                <w:lang w:val="en-GB"/>
              </w:rPr>
            </w:pPr>
            <w:r w:rsidRPr="00487772">
              <w:rPr>
                <w:rFonts w:ascii="Arial" w:hAnsi="Arial" w:cs="Arial"/>
                <w:i/>
                <w:iCs/>
                <w:color w:val="000000"/>
                <w:sz w:val="16"/>
                <w:szCs w:val="16"/>
                <w:lang w:val="en-GB"/>
              </w:rPr>
              <w:t>HP.3.9.1</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0,0</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0,0</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color w:val="000000"/>
                <w:sz w:val="16"/>
                <w:szCs w:val="16"/>
                <w:lang w:val="en-GB"/>
              </w:rPr>
            </w:pPr>
            <w:r w:rsidRPr="00487772">
              <w:rPr>
                <w:rFonts w:ascii="Arial" w:hAnsi="Arial" w:cs="Arial"/>
                <w:i/>
                <w:iCs/>
                <w:color w:val="000000"/>
                <w:sz w:val="16"/>
                <w:szCs w:val="16"/>
                <w:lang w:val="en-GB"/>
              </w:rPr>
              <w:t>Blood and organ banks</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color w:val="000000"/>
                <w:sz w:val="16"/>
                <w:szCs w:val="16"/>
                <w:lang w:val="en-GB"/>
              </w:rPr>
            </w:pPr>
            <w:r w:rsidRPr="00487772">
              <w:rPr>
                <w:rFonts w:ascii="Arial" w:hAnsi="Arial" w:cs="Arial"/>
                <w:i/>
                <w:iCs/>
                <w:color w:val="000000"/>
                <w:sz w:val="16"/>
                <w:szCs w:val="16"/>
                <w:lang w:val="en-GB"/>
              </w:rPr>
              <w:t>HP.3.9.2</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color w:val="000000"/>
                <w:sz w:val="16"/>
                <w:szCs w:val="16"/>
                <w:lang w:val="en-GB"/>
              </w:rPr>
            </w:pPr>
            <w:r w:rsidRPr="00487772">
              <w:rPr>
                <w:rFonts w:ascii="Arial" w:hAnsi="Arial" w:cs="Arial"/>
                <w:i/>
                <w:iCs/>
                <w:color w:val="000000"/>
                <w:sz w:val="16"/>
                <w:szCs w:val="16"/>
                <w:lang w:val="en-GB"/>
              </w:rPr>
              <w:t>Providers of all other ambulatory health care services</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i/>
                <w:iCs/>
                <w:color w:val="000000"/>
                <w:sz w:val="16"/>
                <w:szCs w:val="16"/>
                <w:lang w:val="en-GB"/>
              </w:rPr>
            </w:pPr>
            <w:r w:rsidRPr="00487772">
              <w:rPr>
                <w:rFonts w:ascii="Arial" w:hAnsi="Arial" w:cs="Arial"/>
                <w:i/>
                <w:iCs/>
                <w:color w:val="000000"/>
                <w:sz w:val="16"/>
                <w:szCs w:val="16"/>
                <w:lang w:val="en-GB"/>
              </w:rPr>
              <w:t>HP.3.9.9</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1,5</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1,5</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 xml:space="preserve">RETAIL </w:t>
            </w:r>
            <w:smartTag w:uri="urn:schemas-microsoft-com:office:smarttags" w:element="place">
              <w:smartTag w:uri="urn:schemas-microsoft-com:office:smarttags" w:element="City">
                <w:r w:rsidRPr="00487772">
                  <w:rPr>
                    <w:rFonts w:ascii="Arial" w:hAnsi="Arial" w:cs="Arial"/>
                    <w:b/>
                    <w:bCs/>
                    <w:color w:val="000000"/>
                    <w:sz w:val="16"/>
                    <w:szCs w:val="16"/>
                    <w:lang w:val="en-GB"/>
                  </w:rPr>
                  <w:t>SALE</w:t>
                </w:r>
              </w:smartTag>
            </w:smartTag>
            <w:r w:rsidRPr="00487772">
              <w:rPr>
                <w:rFonts w:ascii="Arial" w:hAnsi="Arial" w:cs="Arial"/>
                <w:b/>
                <w:bCs/>
                <w:color w:val="000000"/>
                <w:sz w:val="16"/>
                <w:szCs w:val="16"/>
                <w:lang w:val="en-GB"/>
              </w:rPr>
              <w:t xml:space="preserve"> AND OTHER PROVIDERS OF MED.GOODS</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HP.4.</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29,4</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8,8</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8,8</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8,8</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20,7</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20,7</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Dispensing chemists</w:t>
            </w:r>
          </w:p>
        </w:tc>
        <w:tc>
          <w:tcPr>
            <w:tcW w:w="1000" w:type="dxa"/>
            <w:tcBorders>
              <w:top w:val="nil"/>
              <w:left w:val="nil"/>
              <w:bottom w:val="single" w:sz="4" w:space="0" w:color="auto"/>
              <w:right w:val="single" w:sz="4" w:space="0" w:color="auto"/>
            </w:tcBorders>
            <w:shd w:val="clear" w:color="auto" w:fill="auto"/>
            <w:vAlign w:val="bottom"/>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HP.4.1</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28,3</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8,8</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8,8</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8,8</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19,5</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19,5</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450"/>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Retail sale and other suppliers of optical glasses and other vision products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HP.4.2</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lastRenderedPageBreak/>
              <w:t>Retail sale and other suppliers of hearing aids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HP.4.3</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All other sales of medical goods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HP.4.9</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1,1</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1,1</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1,1</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450"/>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PROVISION AND ADMINISTRATION OF PUBLIC HEALTH PROGRAMMES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HP.5</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2,1</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0,5</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GENERAL HEALTH ADMINISTRATION AND INSURANCE</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HP.6</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3,7</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2,3</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Government administration of health</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HP.6.1</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3,7</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1,4</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1,4</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2,3</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Other industries</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HP.7</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All other industries as secondary producers of health care</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color w:val="000000"/>
                <w:sz w:val="16"/>
                <w:szCs w:val="16"/>
                <w:lang w:val="en-GB"/>
              </w:rPr>
            </w:pPr>
            <w:r w:rsidRPr="00487772">
              <w:rPr>
                <w:rFonts w:ascii="Arial" w:hAnsi="Arial" w:cs="Arial"/>
                <w:color w:val="000000"/>
                <w:sz w:val="16"/>
                <w:szCs w:val="16"/>
                <w:lang w:val="en-GB"/>
              </w:rPr>
              <w:t>HP.7.9</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55"/>
        </w:trPr>
        <w:tc>
          <w:tcPr>
            <w:tcW w:w="5420" w:type="dxa"/>
            <w:tcBorders>
              <w:top w:val="nil"/>
              <w:left w:val="single" w:sz="8" w:space="0" w:color="auto"/>
              <w:bottom w:val="single" w:sz="4" w:space="0" w:color="auto"/>
              <w:right w:val="single" w:sz="4" w:space="0" w:color="auto"/>
            </w:tcBorders>
            <w:shd w:val="clear" w:color="auto" w:fill="auto"/>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REST OF THE WORLD</w:t>
            </w:r>
          </w:p>
        </w:tc>
        <w:tc>
          <w:tcPr>
            <w:tcW w:w="1000" w:type="dxa"/>
            <w:tcBorders>
              <w:top w:val="nil"/>
              <w:left w:val="nil"/>
              <w:bottom w:val="single" w:sz="4" w:space="0" w:color="auto"/>
              <w:right w:val="single" w:sz="4" w:space="0" w:color="auto"/>
            </w:tcBorders>
            <w:shd w:val="clear" w:color="auto" w:fill="auto"/>
            <w:noWrap/>
            <w:vAlign w:val="center"/>
          </w:tcPr>
          <w:p w:rsidR="00487772" w:rsidRPr="00487772" w:rsidRDefault="00487772" w:rsidP="00487772">
            <w:pPr>
              <w:rPr>
                <w:rFonts w:ascii="Arial" w:hAnsi="Arial" w:cs="Arial"/>
                <w:b/>
                <w:bCs/>
                <w:color w:val="000000"/>
                <w:sz w:val="16"/>
                <w:szCs w:val="16"/>
                <w:lang w:val="en-GB"/>
              </w:rPr>
            </w:pPr>
            <w:r w:rsidRPr="00487772">
              <w:rPr>
                <w:rFonts w:ascii="Arial" w:hAnsi="Arial" w:cs="Arial"/>
                <w:b/>
                <w:bCs/>
                <w:color w:val="000000"/>
                <w:sz w:val="16"/>
                <w:szCs w:val="16"/>
                <w:lang w:val="en-GB"/>
              </w:rPr>
              <w:t>HP.9</w:t>
            </w:r>
          </w:p>
        </w:tc>
        <w:tc>
          <w:tcPr>
            <w:tcW w:w="54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9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sz w:val="16"/>
                <w:szCs w:val="16"/>
                <w:lang w:val="en-GB"/>
              </w:rPr>
            </w:pPr>
            <w:r w:rsidRPr="00487772">
              <w:rPr>
                <w:rFonts w:ascii="Arial" w:hAnsi="Arial" w:cs="Arial"/>
                <w:sz w:val="16"/>
                <w:szCs w:val="16"/>
                <w:lang w:val="en-GB"/>
              </w:rPr>
              <w:t>0,7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sz w:val="16"/>
                <w:szCs w:val="16"/>
                <w:lang w:val="en-GB"/>
              </w:rPr>
            </w:pPr>
            <w:r w:rsidRPr="00487772">
              <w:rPr>
                <w:rFonts w:ascii="Arial" w:hAnsi="Arial" w:cs="Arial"/>
                <w:b/>
                <w:bCs/>
                <w:sz w:val="16"/>
                <w:szCs w:val="16"/>
                <w:lang w:val="en-GB"/>
              </w:rPr>
              <w:t>0,7</w:t>
            </w:r>
          </w:p>
        </w:tc>
        <w:tc>
          <w:tcPr>
            <w:tcW w:w="72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b/>
                <w:bCs/>
                <w:sz w:val="16"/>
                <w:szCs w:val="16"/>
                <w:lang w:val="en-GB"/>
              </w:rPr>
            </w:pPr>
            <w:r w:rsidRPr="00487772">
              <w:rPr>
                <w:rFonts w:ascii="Arial" w:hAnsi="Arial" w:cs="Arial"/>
                <w:b/>
                <w:bCs/>
                <w:sz w:val="16"/>
                <w:szCs w:val="16"/>
                <w:lang w:val="en-GB"/>
              </w:rPr>
              <w:t> </w:t>
            </w:r>
          </w:p>
        </w:tc>
        <w:tc>
          <w:tcPr>
            <w:tcW w:w="7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580" w:type="dxa"/>
            <w:tcBorders>
              <w:top w:val="nil"/>
              <w:left w:val="nil"/>
              <w:bottom w:val="single" w:sz="4" w:space="0" w:color="auto"/>
              <w:right w:val="single" w:sz="4"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c>
          <w:tcPr>
            <w:tcW w:w="880" w:type="dxa"/>
            <w:tcBorders>
              <w:top w:val="nil"/>
              <w:left w:val="nil"/>
              <w:bottom w:val="single" w:sz="4" w:space="0" w:color="auto"/>
              <w:right w:val="single" w:sz="8" w:space="0" w:color="auto"/>
            </w:tcBorders>
            <w:shd w:val="clear" w:color="auto" w:fill="auto"/>
            <w:noWrap/>
            <w:vAlign w:val="bottom"/>
          </w:tcPr>
          <w:p w:rsidR="00487772" w:rsidRPr="00487772" w:rsidRDefault="00487772" w:rsidP="00487772">
            <w:pPr>
              <w:rPr>
                <w:rFonts w:ascii="Arial" w:hAnsi="Arial" w:cs="Arial"/>
                <w:sz w:val="16"/>
                <w:szCs w:val="16"/>
                <w:lang w:val="en-GB"/>
              </w:rPr>
            </w:pPr>
            <w:r w:rsidRPr="00487772">
              <w:rPr>
                <w:rFonts w:ascii="Arial" w:hAnsi="Arial" w:cs="Arial"/>
                <w:sz w:val="16"/>
                <w:szCs w:val="16"/>
                <w:lang w:val="en-GB"/>
              </w:rPr>
              <w:t> </w:t>
            </w:r>
          </w:p>
        </w:tc>
      </w:tr>
      <w:tr w:rsidR="00487772" w:rsidRPr="00487772">
        <w:trPr>
          <w:trHeight w:val="270"/>
        </w:trPr>
        <w:tc>
          <w:tcPr>
            <w:tcW w:w="5420" w:type="dxa"/>
            <w:tcBorders>
              <w:top w:val="nil"/>
              <w:left w:val="single" w:sz="8" w:space="0" w:color="auto"/>
              <w:bottom w:val="single" w:sz="8" w:space="0" w:color="auto"/>
              <w:right w:val="single" w:sz="4" w:space="0" w:color="auto"/>
            </w:tcBorders>
            <w:shd w:val="clear" w:color="auto" w:fill="auto"/>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xml:space="preserve">TOTAL CURRENT EXPENDITURE ON HEALTH  CARE </w:t>
            </w:r>
          </w:p>
        </w:tc>
        <w:tc>
          <w:tcPr>
            <w:tcW w:w="100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rPr>
                <w:rFonts w:ascii="Arial" w:hAnsi="Arial" w:cs="Arial"/>
                <w:b/>
                <w:bCs/>
                <w:color w:val="FF0000"/>
                <w:sz w:val="16"/>
                <w:szCs w:val="16"/>
                <w:lang w:val="en-GB"/>
              </w:rPr>
            </w:pPr>
            <w:r w:rsidRPr="00487772">
              <w:rPr>
                <w:rFonts w:ascii="Arial" w:hAnsi="Arial" w:cs="Arial"/>
                <w:b/>
                <w:bCs/>
                <w:color w:val="FF0000"/>
                <w:sz w:val="16"/>
                <w:szCs w:val="16"/>
                <w:lang w:val="en-GB"/>
              </w:rPr>
              <w:t> </w:t>
            </w:r>
          </w:p>
        </w:tc>
        <w:tc>
          <w:tcPr>
            <w:tcW w:w="54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95,9</w:t>
            </w:r>
          </w:p>
        </w:tc>
        <w:tc>
          <w:tcPr>
            <w:tcW w:w="5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62,0</w:t>
            </w:r>
          </w:p>
        </w:tc>
        <w:tc>
          <w:tcPr>
            <w:tcW w:w="9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62,0</w:t>
            </w:r>
          </w:p>
        </w:tc>
        <w:tc>
          <w:tcPr>
            <w:tcW w:w="72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42,2</w:t>
            </w:r>
          </w:p>
        </w:tc>
        <w:tc>
          <w:tcPr>
            <w:tcW w:w="72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19,8</w:t>
            </w:r>
          </w:p>
        </w:tc>
        <w:tc>
          <w:tcPr>
            <w:tcW w:w="5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30,8</w:t>
            </w:r>
          </w:p>
        </w:tc>
        <w:tc>
          <w:tcPr>
            <w:tcW w:w="7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30,8</w:t>
            </w:r>
          </w:p>
        </w:tc>
        <w:tc>
          <w:tcPr>
            <w:tcW w:w="5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0,0</w:t>
            </w:r>
          </w:p>
        </w:tc>
        <w:tc>
          <w:tcPr>
            <w:tcW w:w="580" w:type="dxa"/>
            <w:tcBorders>
              <w:top w:val="nil"/>
              <w:left w:val="nil"/>
              <w:bottom w:val="single" w:sz="8" w:space="0" w:color="auto"/>
              <w:right w:val="single" w:sz="4"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0,0</w:t>
            </w:r>
          </w:p>
        </w:tc>
        <w:tc>
          <w:tcPr>
            <w:tcW w:w="880" w:type="dxa"/>
            <w:tcBorders>
              <w:top w:val="nil"/>
              <w:left w:val="nil"/>
              <w:bottom w:val="single" w:sz="8" w:space="0" w:color="auto"/>
              <w:right w:val="single" w:sz="8" w:space="0" w:color="auto"/>
            </w:tcBorders>
            <w:shd w:val="clear" w:color="auto" w:fill="auto"/>
            <w:noWrap/>
            <w:vAlign w:val="bottom"/>
          </w:tcPr>
          <w:p w:rsidR="00487772" w:rsidRPr="00487772" w:rsidRDefault="00487772" w:rsidP="00487772">
            <w:pPr>
              <w:jc w:val="right"/>
              <w:rPr>
                <w:rFonts w:ascii="Arial" w:hAnsi="Arial" w:cs="Arial"/>
                <w:b/>
                <w:bCs/>
                <w:color w:val="FF0000"/>
                <w:sz w:val="16"/>
                <w:szCs w:val="16"/>
                <w:lang w:val="en-GB"/>
              </w:rPr>
            </w:pPr>
            <w:r w:rsidRPr="00487772">
              <w:rPr>
                <w:rFonts w:ascii="Arial" w:hAnsi="Arial" w:cs="Arial"/>
                <w:b/>
                <w:bCs/>
                <w:color w:val="FF0000"/>
                <w:sz w:val="16"/>
                <w:szCs w:val="16"/>
                <w:lang w:val="en-GB"/>
              </w:rPr>
              <w:t>3,0</w:t>
            </w:r>
          </w:p>
        </w:tc>
      </w:tr>
    </w:tbl>
    <w:p w:rsidR="00487772" w:rsidRPr="00487772" w:rsidRDefault="00487772" w:rsidP="00487772">
      <w:pPr>
        <w:jc w:val="both"/>
        <w:rPr>
          <w:lang w:val="en-GB" w:eastAsia="en-US"/>
        </w:rPr>
      </w:pPr>
    </w:p>
    <w:p w:rsidR="00487772" w:rsidRPr="00487772" w:rsidRDefault="00487772" w:rsidP="00487772">
      <w:pPr>
        <w:autoSpaceDE w:val="0"/>
        <w:autoSpaceDN w:val="0"/>
        <w:adjustRightInd w:val="0"/>
        <w:spacing w:line="240" w:lineRule="atLeast"/>
        <w:rPr>
          <w:lang w:val="en-GB" w:eastAsia="en-US"/>
        </w:rPr>
        <w:sectPr w:rsidR="00487772" w:rsidRPr="00487772" w:rsidSect="00C942D3">
          <w:pgSz w:w="16838" w:h="11906" w:orient="landscape"/>
          <w:pgMar w:top="1418" w:right="1418" w:bottom="1418" w:left="1418" w:header="709" w:footer="709" w:gutter="0"/>
          <w:cols w:space="708"/>
          <w:docGrid w:linePitch="360"/>
        </w:sectPr>
      </w:pPr>
    </w:p>
    <w:p w:rsidR="00B967DA" w:rsidRPr="00487772" w:rsidRDefault="00487772" w:rsidP="00B967DA">
      <w:pPr>
        <w:pStyle w:val="Heading1"/>
        <w:numPr>
          <w:ilvl w:val="0"/>
          <w:numId w:val="0"/>
        </w:numPr>
        <w:spacing w:line="360" w:lineRule="auto"/>
        <w:jc w:val="both"/>
        <w:rPr>
          <w:rFonts w:ascii="Arial Narrow" w:hAnsi="Arial Narrow"/>
          <w:lang w:val="en-GB"/>
        </w:rPr>
      </w:pPr>
      <w:bookmarkStart w:id="20" w:name="_Toc175548185"/>
      <w:r>
        <w:rPr>
          <w:bCs w:val="0"/>
          <w:sz w:val="24"/>
          <w:lang w:val="en-GB"/>
        </w:rPr>
        <w:lastRenderedPageBreak/>
        <w:t>Annex</w:t>
      </w:r>
      <w:r w:rsidR="00B967DA" w:rsidRPr="00487772">
        <w:rPr>
          <w:bCs w:val="0"/>
          <w:sz w:val="24"/>
          <w:lang w:val="en-GB"/>
        </w:rPr>
        <w:t xml:space="preserve"> </w:t>
      </w:r>
      <w:r>
        <w:rPr>
          <w:bCs w:val="0"/>
          <w:sz w:val="24"/>
          <w:lang w:val="en-GB"/>
        </w:rPr>
        <w:t>V</w:t>
      </w:r>
      <w:r w:rsidR="003B569E">
        <w:rPr>
          <w:bCs w:val="0"/>
          <w:sz w:val="24"/>
          <w:lang w:val="en-GB"/>
        </w:rPr>
        <w:t>I</w:t>
      </w:r>
      <w:bookmarkEnd w:id="20"/>
    </w:p>
    <w:tbl>
      <w:tblPr>
        <w:tblW w:w="0" w:type="auto"/>
        <w:tblInd w:w="4566" w:type="dxa"/>
        <w:tblBorders>
          <w:insideH w:val="single" w:sz="4" w:space="0" w:color="auto"/>
        </w:tblBorders>
        <w:tblLayout w:type="fixed"/>
        <w:tblLook w:val="0000"/>
      </w:tblPr>
      <w:tblGrid>
        <w:gridCol w:w="236"/>
        <w:gridCol w:w="236"/>
      </w:tblGrid>
      <w:tr w:rsidR="00B967DA" w:rsidRPr="00487772">
        <w:trPr>
          <w:trHeight w:val="90"/>
        </w:trPr>
        <w:tc>
          <w:tcPr>
            <w:tcW w:w="236" w:type="dxa"/>
            <w:vAlign w:val="center"/>
          </w:tcPr>
          <w:p w:rsidR="00B967DA" w:rsidRPr="00487772" w:rsidRDefault="00B967DA" w:rsidP="00B967DA">
            <w:pPr>
              <w:jc w:val="center"/>
              <w:rPr>
                <w:rFonts w:ascii="Arial Narrow" w:hAnsi="Arial Narrow"/>
                <w:lang w:val="en-GB"/>
              </w:rPr>
            </w:pPr>
          </w:p>
        </w:tc>
        <w:tc>
          <w:tcPr>
            <w:tcW w:w="236" w:type="dxa"/>
            <w:vAlign w:val="center"/>
          </w:tcPr>
          <w:p w:rsidR="00B967DA" w:rsidRPr="00487772" w:rsidRDefault="00B967DA" w:rsidP="00B967DA">
            <w:pPr>
              <w:jc w:val="right"/>
              <w:rPr>
                <w:rFonts w:ascii="Arial Narrow" w:hAnsi="Arial Narrow"/>
                <w:sz w:val="22"/>
                <w:lang w:val="en-GB"/>
              </w:rPr>
            </w:pPr>
          </w:p>
        </w:tc>
      </w:tr>
    </w:tbl>
    <w:p w:rsidR="00B967DA" w:rsidRPr="00487772" w:rsidRDefault="00B967DA" w:rsidP="00B967DA">
      <w:pPr>
        <w:pStyle w:val="BodyTextIndent3"/>
        <w:jc w:val="center"/>
        <w:rPr>
          <w:rFonts w:ascii="Arial Narrow" w:hAnsi="Arial Narrow"/>
          <w:b/>
          <w:sz w:val="60"/>
          <w:lang w:val="en-GB"/>
        </w:rPr>
      </w:pPr>
      <w:r w:rsidRPr="00487772">
        <w:rPr>
          <w:lang w:val="en-GB"/>
        </w:rPr>
        <w:object w:dxaOrig="9285" w:dyaOrig="3100">
          <v:shape id="_x0000_i1026" type="#_x0000_t75" style="width:464.25pt;height:155.25pt" o:ole="">
            <v:imagedata r:id="rId12" o:title=""/>
          </v:shape>
          <o:OLEObject Type="Embed" ProgID="Word.Document.8" ShapeID="_x0000_i1026" DrawAspect="Content" ObjectID="_1401002507" r:id="rId13">
            <o:FieldCodes>\s</o:FieldCodes>
          </o:OLEObject>
        </w:object>
      </w:r>
      <w:r w:rsidRPr="00487772">
        <w:rPr>
          <w:rFonts w:ascii="Arial Narrow" w:hAnsi="Arial Narrow"/>
          <w:b/>
          <w:sz w:val="60"/>
          <w:lang w:val="en-GB"/>
        </w:rPr>
        <w:t>HOUSEHOLD BUDGET SURVEY</w:t>
      </w:r>
    </w:p>
    <w:p w:rsidR="00B967DA" w:rsidRPr="00487772" w:rsidRDefault="00B967DA" w:rsidP="00B967DA">
      <w:pPr>
        <w:pStyle w:val="BodyTextIndent3"/>
        <w:rPr>
          <w:rFonts w:ascii="Arial Narrow" w:hAnsi="Arial Narrow"/>
          <w:sz w:val="22"/>
          <w:lang w:val="en-GB"/>
        </w:rPr>
      </w:pPr>
    </w:p>
    <w:p w:rsidR="00B967DA" w:rsidRPr="00487772" w:rsidRDefault="00B967DA" w:rsidP="00B967DA">
      <w:pPr>
        <w:pStyle w:val="BodyTextIndent3"/>
        <w:ind w:left="720" w:right="813"/>
        <w:rPr>
          <w:rFonts w:ascii="Arial Narrow" w:hAnsi="Arial Narrow"/>
          <w:lang w:val="en-GB"/>
        </w:rPr>
      </w:pPr>
      <w:r w:rsidRPr="00487772">
        <w:rPr>
          <w:rFonts w:ascii="Arial Narrow" w:hAnsi="Arial Narrow"/>
          <w:lang w:val="en-GB"/>
        </w:rPr>
        <w:t xml:space="preserve"> “The Office shall ensure that individual data collected for statistical purposes, whether collected from natural or legal persons, or bodies and organizations of the public administration (hereinafter “Respondents”), are handled in a strictly confidential manner and used exclusively for statistical purposes. … The protection of data shall include, but not be limited to, ensuring that statistics in the form of aggregates are not disseminated in such manner that information on individual respondents is inadvertently disclosed.” </w:t>
      </w:r>
      <w:proofErr w:type="gramStart"/>
      <w:r w:rsidRPr="00487772">
        <w:rPr>
          <w:rFonts w:ascii="Arial Narrow" w:hAnsi="Arial Narrow"/>
          <w:lang w:val="en-GB"/>
        </w:rPr>
        <w:t>UNMIK/REG/2001/14, 3.1.</w:t>
      </w:r>
      <w:proofErr w:type="gramEnd"/>
    </w:p>
    <w:p w:rsidR="00B967DA" w:rsidRPr="00487772" w:rsidRDefault="00B967DA" w:rsidP="00B967DA">
      <w:pPr>
        <w:pStyle w:val="BodyTextIndent3"/>
        <w:ind w:left="720" w:right="813"/>
        <w:rPr>
          <w:rFonts w:ascii="Arial Narrow" w:hAnsi="Arial Narrow"/>
          <w:lang w:val="en-GB"/>
        </w:rPr>
      </w:pPr>
    </w:p>
    <w:p w:rsidR="00B967DA" w:rsidRPr="00487772" w:rsidRDefault="00B967DA" w:rsidP="00B967DA">
      <w:pPr>
        <w:pStyle w:val="BodyTextIndent3"/>
        <w:ind w:left="720" w:right="813"/>
        <w:rPr>
          <w:rFonts w:ascii="Arial Narrow" w:hAnsi="Arial Narrow"/>
          <w:lang w:val="en-GB"/>
        </w:rPr>
      </w:pPr>
      <w:r w:rsidRPr="00487772">
        <w:rPr>
          <w:rFonts w:ascii="Arial Narrow" w:hAnsi="Arial Narrow"/>
          <w:lang w:val="en-GB"/>
        </w:rPr>
        <w:t xml:space="preserve">“All respondents shall be obliged, in accordance with the applicable law, to cooperate and provide timely and accurately statistical data to the Office, and to cooperate with the Office to verify the accuracy of the collected data.” </w:t>
      </w:r>
      <w:proofErr w:type="gramStart"/>
      <w:r w:rsidRPr="00487772">
        <w:rPr>
          <w:rFonts w:ascii="Arial Narrow" w:hAnsi="Arial Narrow"/>
          <w:lang w:val="en-GB"/>
        </w:rPr>
        <w:t>UNMIK/REG/2001/14, 4.1.</w:t>
      </w:r>
      <w:proofErr w:type="gramEnd"/>
    </w:p>
    <w:p w:rsidR="00B967DA" w:rsidRPr="00487772" w:rsidRDefault="00B967DA" w:rsidP="00B967DA">
      <w:pPr>
        <w:pStyle w:val="BodyTextIndent3"/>
        <w:ind w:left="0"/>
        <w:rPr>
          <w:rFonts w:ascii="Arial Narrow" w:hAnsi="Arial Narrow"/>
          <w:lang w:val="en-GB"/>
        </w:rPr>
      </w:pPr>
    </w:p>
    <w:p w:rsidR="00B967DA" w:rsidRPr="00487772" w:rsidRDefault="00B967DA" w:rsidP="00B967DA">
      <w:pPr>
        <w:pStyle w:val="BodyTextIndent3"/>
        <w:rPr>
          <w:rFonts w:ascii="Arial Narrow" w:hAnsi="Arial Narrow"/>
          <w:lang w:val="en-GB"/>
        </w:rPr>
      </w:pPr>
      <w:r w:rsidRPr="00487772">
        <w:rPr>
          <w:rFonts w:ascii="Arial Narrow" w:hAnsi="Arial Narrow"/>
          <w:lang w:val="en-GB"/>
        </w:rPr>
        <w:t>Questionnaire number:</w:t>
      </w:r>
      <w:r w:rsidRPr="00487772">
        <w:rPr>
          <w:rFonts w:ascii="Arial Narrow" w:hAnsi="Arial Narrow"/>
          <w:lang w:val="en-GB"/>
        </w:rPr>
        <w:tab/>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p>
    <w:p w:rsidR="00B967DA" w:rsidRPr="00487772" w:rsidRDefault="00B967DA" w:rsidP="00B967DA">
      <w:pPr>
        <w:pStyle w:val="BodyTextIndent3"/>
        <w:rPr>
          <w:rFonts w:ascii="Arial Narrow" w:hAnsi="Arial Narrow"/>
          <w:lang w:val="en-GB"/>
        </w:rPr>
      </w:pPr>
      <w:r w:rsidRPr="00487772">
        <w:rPr>
          <w:rFonts w:ascii="Arial Narrow" w:hAnsi="Arial Narrow"/>
          <w:lang w:val="en-GB"/>
        </w:rPr>
        <w:t>Year:</w:t>
      </w:r>
      <w:r w:rsidRPr="00487772">
        <w:rPr>
          <w:rFonts w:ascii="Arial Narrow" w:hAnsi="Arial Narrow"/>
          <w:lang w:val="en-GB"/>
        </w:rPr>
        <w:tab/>
      </w:r>
      <w:r w:rsidRPr="00487772">
        <w:rPr>
          <w:rFonts w:ascii="Arial Narrow" w:hAnsi="Arial Narrow"/>
          <w:lang w:val="en-GB"/>
        </w:rPr>
        <w:tab/>
      </w:r>
      <w:r w:rsidRPr="00487772">
        <w:rPr>
          <w:rFonts w:ascii="Arial Narrow" w:hAnsi="Arial Narrow"/>
          <w:lang w:val="en-GB"/>
        </w:rPr>
        <w:tab/>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p>
    <w:p w:rsidR="00B967DA" w:rsidRPr="00487772" w:rsidRDefault="00B967DA" w:rsidP="00B967DA">
      <w:pPr>
        <w:pStyle w:val="BodyTextIndent3"/>
        <w:rPr>
          <w:rFonts w:ascii="Arial Narrow" w:hAnsi="Arial Narrow"/>
          <w:sz w:val="32"/>
          <w:lang w:val="en-GB"/>
        </w:rPr>
      </w:pPr>
      <w:r w:rsidRPr="00487772">
        <w:rPr>
          <w:rFonts w:ascii="Arial Narrow" w:hAnsi="Arial Narrow"/>
          <w:lang w:val="en-GB"/>
        </w:rPr>
        <w:t>Month:</w:t>
      </w:r>
      <w:r w:rsidRPr="00487772">
        <w:rPr>
          <w:rFonts w:ascii="Arial Narrow" w:hAnsi="Arial Narrow"/>
          <w:lang w:val="en-GB"/>
        </w:rPr>
        <w:tab/>
      </w:r>
      <w:r w:rsidRPr="00487772">
        <w:rPr>
          <w:rFonts w:ascii="Arial Narrow" w:hAnsi="Arial Narrow"/>
          <w:lang w:val="en-GB"/>
        </w:rPr>
        <w:tab/>
      </w:r>
      <w:r w:rsidRPr="00487772">
        <w:rPr>
          <w:rFonts w:ascii="Arial Narrow" w:hAnsi="Arial Narrow"/>
          <w:lang w:val="en-GB"/>
        </w:rPr>
        <w:tab/>
      </w:r>
      <w:r w:rsidRPr="00487772">
        <w:rPr>
          <w:sz w:val="32"/>
          <w:lang w:val="en-GB"/>
        </w:rPr>
        <w:sym w:font="Wingdings 2" w:char="00A3"/>
      </w:r>
      <w:r w:rsidRPr="00487772">
        <w:rPr>
          <w:sz w:val="32"/>
          <w:lang w:val="en-GB"/>
        </w:rPr>
        <w:sym w:font="Wingdings 2" w:char="00A3"/>
      </w: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Indent3"/>
        <w:pBdr>
          <w:top w:val="single" w:sz="4" w:space="1" w:color="auto" w:shadow="1"/>
          <w:left w:val="single" w:sz="4" w:space="4" w:color="auto" w:shadow="1"/>
          <w:bottom w:val="single" w:sz="4" w:space="1" w:color="auto" w:shadow="1"/>
          <w:right w:val="single" w:sz="4" w:space="4" w:color="auto" w:shadow="1"/>
        </w:pBdr>
        <w:ind w:right="5762"/>
        <w:rPr>
          <w:rFonts w:ascii="Arial Narrow" w:hAnsi="Arial Narrow"/>
          <w:b/>
          <w:sz w:val="28"/>
          <w:lang w:val="en-GB"/>
        </w:rPr>
      </w:pPr>
      <w:r w:rsidRPr="00487772">
        <w:rPr>
          <w:rFonts w:ascii="Arial Narrow" w:hAnsi="Arial Narrow"/>
          <w:b/>
          <w:sz w:val="28"/>
          <w:lang w:val="en-GB"/>
        </w:rPr>
        <w:t>HOUSEHOLD IDENTIFICATION</w:t>
      </w: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Indent3"/>
        <w:rPr>
          <w:rFonts w:ascii="Arial Narrow" w:hAnsi="Arial Narrow"/>
          <w:lang w:val="en-GB"/>
        </w:rPr>
      </w:pPr>
      <w:r w:rsidRPr="00487772">
        <w:rPr>
          <w:rFonts w:ascii="Arial Narrow" w:hAnsi="Arial Narrow"/>
          <w:lang w:val="en-GB"/>
        </w:rPr>
        <w:t>1. MUNICIPALITY: _________________________________</w:t>
      </w:r>
      <w:r w:rsidRPr="00487772">
        <w:rPr>
          <w:rFonts w:ascii="Arial Narrow" w:hAnsi="Arial Narrow"/>
          <w:lang w:val="en-GB"/>
        </w:rPr>
        <w:tab/>
      </w:r>
      <w:r w:rsidRPr="00487772">
        <w:rPr>
          <w:sz w:val="32"/>
          <w:lang w:val="en-GB"/>
        </w:rPr>
        <w:sym w:font="Wingdings 2" w:char="00A3"/>
      </w:r>
      <w:r w:rsidRPr="00487772">
        <w:rPr>
          <w:sz w:val="32"/>
          <w:lang w:val="en-GB"/>
        </w:rPr>
        <w:sym w:font="Wingdings 2" w:char="00A3"/>
      </w: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Indent3"/>
        <w:rPr>
          <w:rFonts w:ascii="Arial Narrow" w:hAnsi="Arial Narrow"/>
          <w:lang w:val="en-GB"/>
        </w:rPr>
      </w:pPr>
      <w:r w:rsidRPr="00487772">
        <w:rPr>
          <w:rFonts w:ascii="Arial Narrow" w:hAnsi="Arial Narrow"/>
          <w:lang w:val="en-GB"/>
        </w:rPr>
        <w:t>2. PLACE: _______________________________________</w:t>
      </w:r>
      <w:r w:rsidRPr="00487772">
        <w:rPr>
          <w:rFonts w:ascii="Arial Narrow" w:hAnsi="Arial Narrow"/>
          <w:lang w:val="en-GB"/>
        </w:rPr>
        <w:tab/>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Indent3"/>
        <w:rPr>
          <w:rFonts w:ascii="Arial Narrow" w:hAnsi="Arial Narrow"/>
          <w:lang w:val="en-GB"/>
        </w:rPr>
      </w:pPr>
      <w:r w:rsidRPr="00487772">
        <w:rPr>
          <w:rFonts w:ascii="Arial Narrow" w:hAnsi="Arial Narrow"/>
          <w:lang w:val="en-GB"/>
        </w:rPr>
        <w:t>3. NUMBER OF THE HOUSEHOLD INTERVIEWED:</w:t>
      </w:r>
      <w:r w:rsidRPr="00487772">
        <w:rPr>
          <w:rFonts w:ascii="Arial Narrow" w:hAnsi="Arial Narrow"/>
          <w:lang w:val="en-GB"/>
        </w:rPr>
        <w:tab/>
      </w:r>
      <w:r w:rsidRPr="00487772">
        <w:rPr>
          <w:rFonts w:ascii="Arial Narrow" w:hAnsi="Arial Narrow"/>
          <w:lang w:val="en-GB"/>
        </w:rPr>
        <w:tab/>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r w:rsidRPr="00487772">
        <w:rPr>
          <w:sz w:val="32"/>
          <w:lang w:val="en-GB"/>
        </w:rPr>
        <w:sym w:font="Wingdings 2" w:char="00A3"/>
      </w: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Indent3"/>
        <w:rPr>
          <w:rFonts w:ascii="Arial Narrow" w:hAnsi="Arial Narrow"/>
          <w:lang w:val="en-GB"/>
        </w:rPr>
      </w:pPr>
      <w:r w:rsidRPr="00487772">
        <w:rPr>
          <w:rFonts w:ascii="Arial Narrow" w:hAnsi="Arial Narrow"/>
          <w:lang w:val="en-GB"/>
        </w:rPr>
        <w:t>ADDRESS IF AVAILABLE: _________________________________________________________________</w:t>
      </w:r>
    </w:p>
    <w:p w:rsidR="00B967DA" w:rsidRPr="00487772" w:rsidRDefault="00B967DA" w:rsidP="00B967DA">
      <w:pPr>
        <w:pStyle w:val="BodyTextIndent3"/>
        <w:spacing w:before="120"/>
        <w:rPr>
          <w:rFonts w:ascii="Arial Narrow" w:hAnsi="Arial Narrow"/>
          <w:lang w:val="en-GB"/>
        </w:rPr>
      </w:pPr>
      <w:r w:rsidRPr="00487772">
        <w:rPr>
          <w:rFonts w:ascii="Arial Narrow" w:hAnsi="Arial Narrow"/>
          <w:lang w:val="en-GB"/>
        </w:rPr>
        <w:t>_______________________________________________________________________________________</w:t>
      </w:r>
    </w:p>
    <w:p w:rsidR="00B967DA" w:rsidRPr="00487772" w:rsidRDefault="00B967DA" w:rsidP="00B967DA">
      <w:pPr>
        <w:pStyle w:val="BodyTextIndent3"/>
        <w:rPr>
          <w:rFonts w:ascii="Arial Narrow" w:hAnsi="Arial Narrow"/>
          <w:lang w:val="en-GB"/>
        </w:rPr>
      </w:pPr>
    </w:p>
    <w:p w:rsidR="00B967DA" w:rsidRPr="00487772" w:rsidRDefault="00B967DA" w:rsidP="00B967DA">
      <w:pPr>
        <w:pStyle w:val="BodyText"/>
        <w:rPr>
          <w:lang w:val="en-GB"/>
        </w:rPr>
      </w:pPr>
      <w:r w:rsidRPr="00487772">
        <w:rPr>
          <w:lang w:val="en-GB"/>
        </w:rPr>
        <w:t>NAME OF THE HEAD OF THE HOUSEHOLD: __________________________________________________</w:t>
      </w:r>
      <w:r w:rsidRPr="00487772">
        <w:rPr>
          <w:lang w:val="en-GB"/>
        </w:rPr>
        <w:br w:type="column"/>
      </w:r>
      <w:r w:rsidRPr="00487772">
        <w:rPr>
          <w:rFonts w:ascii="Arial Narrow" w:hAnsi="Arial Narrow"/>
          <w:lang w:val="en-GB"/>
        </w:rPr>
        <w:lastRenderedPageBreak/>
        <w:t xml:space="preserve">NUMRI I VIZITAVE TË BËRA NGA INTERVISTUESI </w:t>
      </w:r>
    </w:p>
    <w:p w:rsidR="00B967DA" w:rsidRPr="00487772" w:rsidRDefault="00B967DA" w:rsidP="00B967DA">
      <w:pPr>
        <w:pStyle w:val="BodyText"/>
        <w:rPr>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2971"/>
        <w:gridCol w:w="6254"/>
      </w:tblGrid>
      <w:tr w:rsidR="00B967DA" w:rsidRPr="00487772">
        <w:trPr>
          <w:trHeight w:val="414"/>
        </w:trPr>
        <w:tc>
          <w:tcPr>
            <w:tcW w:w="963" w:type="dxa"/>
            <w:tcBorders>
              <w:bottom w:val="single" w:sz="4" w:space="0" w:color="auto"/>
            </w:tcBorders>
          </w:tcPr>
          <w:p w:rsidR="00B967DA" w:rsidRPr="00487772" w:rsidRDefault="00B967DA" w:rsidP="00B967DA">
            <w:pPr>
              <w:pStyle w:val="BodyText"/>
              <w:rPr>
                <w:rFonts w:ascii="Arial Narrow" w:hAnsi="Arial Narrow"/>
                <w:sz w:val="28"/>
                <w:lang w:val="en-GB"/>
              </w:rPr>
            </w:pPr>
            <w:r w:rsidRPr="00487772">
              <w:rPr>
                <w:rFonts w:ascii="Arial Narrow" w:hAnsi="Arial Narrow"/>
                <w:sz w:val="28"/>
                <w:lang w:val="en-GB"/>
              </w:rPr>
              <w:t>Numri</w:t>
            </w:r>
          </w:p>
        </w:tc>
        <w:tc>
          <w:tcPr>
            <w:tcW w:w="2971" w:type="dxa"/>
            <w:tcBorders>
              <w:bottom w:val="single" w:sz="4" w:space="0" w:color="auto"/>
            </w:tcBorders>
          </w:tcPr>
          <w:p w:rsidR="00B967DA" w:rsidRPr="00487772" w:rsidRDefault="00B967DA" w:rsidP="00B967DA">
            <w:pPr>
              <w:pStyle w:val="BodyText"/>
              <w:rPr>
                <w:rFonts w:ascii="Arial Narrow" w:hAnsi="Arial Narrow"/>
                <w:sz w:val="28"/>
                <w:lang w:val="en-GB"/>
              </w:rPr>
            </w:pPr>
            <w:r w:rsidRPr="00487772">
              <w:rPr>
                <w:rFonts w:ascii="Arial Narrow" w:hAnsi="Arial Narrow"/>
                <w:sz w:val="28"/>
                <w:lang w:val="en-GB"/>
              </w:rPr>
              <w:t>Koha</w:t>
            </w:r>
          </w:p>
        </w:tc>
        <w:tc>
          <w:tcPr>
            <w:tcW w:w="6254" w:type="dxa"/>
            <w:tcBorders>
              <w:bottom w:val="single" w:sz="4" w:space="0" w:color="auto"/>
            </w:tcBorders>
          </w:tcPr>
          <w:p w:rsidR="00B967DA" w:rsidRPr="00487772" w:rsidRDefault="00B967DA" w:rsidP="00B967DA">
            <w:pPr>
              <w:pStyle w:val="BodyText"/>
              <w:rPr>
                <w:rFonts w:ascii="Arial Narrow" w:hAnsi="Arial Narrow"/>
                <w:i/>
                <w:iCs/>
                <w:sz w:val="28"/>
                <w:lang w:val="en-GB"/>
              </w:rPr>
            </w:pPr>
            <w:r w:rsidRPr="00487772">
              <w:rPr>
                <w:rFonts w:ascii="Arial Narrow" w:hAnsi="Arial Narrow"/>
                <w:i/>
                <w:iCs/>
                <w:sz w:val="28"/>
                <w:lang w:val="en-GB"/>
              </w:rPr>
              <w:t>Qëllimi</w:t>
            </w:r>
          </w:p>
        </w:tc>
      </w:tr>
      <w:tr w:rsidR="00B967DA" w:rsidRPr="00487772">
        <w:tc>
          <w:tcPr>
            <w:tcW w:w="963" w:type="dxa"/>
            <w:tcBorders>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1</w:t>
            </w:r>
          </w:p>
        </w:tc>
        <w:tc>
          <w:tcPr>
            <w:tcW w:w="2971" w:type="dxa"/>
            <w:tcBorders>
              <w:bottom w:val="single" w:sz="4" w:space="0" w:color="auto"/>
            </w:tcBorders>
          </w:tcPr>
          <w:p w:rsidR="00B967DA" w:rsidRPr="00487772" w:rsidRDefault="00B967DA" w:rsidP="00B967DA">
            <w:pPr>
              <w:pStyle w:val="BodyText"/>
              <w:rPr>
                <w:rFonts w:ascii="Arial Narrow" w:hAnsi="Arial Narrow"/>
                <w:lang w:val="en-GB"/>
              </w:rPr>
            </w:pPr>
            <w:smartTag w:uri="urn:schemas-microsoft-com:office:smarttags" w:element="place">
              <w:r w:rsidRPr="00487772">
                <w:rPr>
                  <w:rFonts w:ascii="Arial Narrow" w:hAnsi="Arial Narrow"/>
                  <w:lang w:val="en-GB"/>
                </w:rPr>
                <w:t>Para</w:t>
              </w:r>
            </w:smartTag>
            <w:r w:rsidRPr="00487772">
              <w:rPr>
                <w:rFonts w:ascii="Arial Narrow" w:hAnsi="Arial Narrow"/>
                <w:lang w:val="en-GB"/>
              </w:rPr>
              <w:t xml:space="preserve"> muajit regjistrues</w:t>
            </w:r>
          </w:p>
        </w:tc>
        <w:tc>
          <w:tcPr>
            <w:tcW w:w="6254" w:type="dxa"/>
            <w:tcBorders>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a) të identifikohet ekonomia shtëpiake</w:t>
            </w:r>
          </w:p>
          <w:p w:rsidR="00B967DA" w:rsidRPr="00487772" w:rsidRDefault="00B967DA" w:rsidP="00B967DA">
            <w:pPr>
              <w:pStyle w:val="BodyText"/>
              <w:rPr>
                <w:rFonts w:ascii="Arial Narrow" w:hAnsi="Arial Narrow"/>
                <w:lang w:val="en-GB"/>
              </w:rPr>
            </w:pPr>
            <w:r w:rsidRPr="00487772">
              <w:rPr>
                <w:rFonts w:ascii="Arial Narrow" w:hAnsi="Arial Narrow"/>
                <w:lang w:val="en-GB"/>
              </w:rPr>
              <w:t>b) të paraqitet anketa</w:t>
            </w:r>
          </w:p>
          <w:p w:rsidR="00B967DA" w:rsidRPr="00487772" w:rsidRDefault="00B967DA" w:rsidP="00B967DA">
            <w:pPr>
              <w:pStyle w:val="BodyText"/>
              <w:rPr>
                <w:rFonts w:ascii="Arial Narrow" w:hAnsi="Arial Narrow"/>
                <w:lang w:val="en-GB"/>
              </w:rPr>
            </w:pPr>
            <w:r w:rsidRPr="00487772">
              <w:rPr>
                <w:rFonts w:ascii="Arial Narrow" w:hAnsi="Arial Narrow"/>
                <w:lang w:val="en-GB"/>
              </w:rPr>
              <w:t>c) të realizohet vizita e parë</w:t>
            </w:r>
          </w:p>
          <w:p w:rsidR="00B967DA" w:rsidRPr="00487772" w:rsidRDefault="00B967DA" w:rsidP="00B967DA">
            <w:pPr>
              <w:pStyle w:val="BodyText"/>
              <w:rPr>
                <w:rFonts w:ascii="Arial Narrow" w:hAnsi="Arial Narrow"/>
                <w:lang w:val="en-GB"/>
              </w:rPr>
            </w:pPr>
            <w:r w:rsidRPr="00487772">
              <w:rPr>
                <w:rFonts w:ascii="Arial Narrow" w:hAnsi="Arial Narrow"/>
                <w:lang w:val="en-GB"/>
              </w:rPr>
              <w:t>d) spjegimi dhe dorëzimi i librit regjistrues (ditarit)</w:t>
            </w:r>
          </w:p>
          <w:p w:rsidR="00B967DA" w:rsidRPr="00487772" w:rsidRDefault="00B967DA" w:rsidP="00B967DA">
            <w:pPr>
              <w:pStyle w:val="BodyText"/>
              <w:rPr>
                <w:rFonts w:ascii="Arial Narrow" w:hAnsi="Arial Narrow"/>
                <w:lang w:val="en-GB"/>
              </w:rPr>
            </w:pPr>
            <w:r w:rsidRPr="00487772">
              <w:rPr>
                <w:rFonts w:ascii="Arial Narrow" w:hAnsi="Arial Narrow"/>
                <w:lang w:val="en-GB"/>
              </w:rPr>
              <w:t>e) caktimi i vizitave të mëtutjeshme</w:t>
            </w:r>
          </w:p>
          <w:p w:rsidR="00B967DA" w:rsidRPr="00487772" w:rsidRDefault="00B967DA" w:rsidP="00B967DA">
            <w:pPr>
              <w:pStyle w:val="BodyText"/>
              <w:rPr>
                <w:rFonts w:ascii="Arial Narrow" w:hAnsi="Arial Narrow"/>
                <w:lang w:val="en-GB"/>
              </w:rPr>
            </w:pPr>
          </w:p>
        </w:tc>
      </w:tr>
      <w:tr w:rsidR="00B967DA" w:rsidRPr="00487772">
        <w:tc>
          <w:tcPr>
            <w:tcW w:w="963"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2</w:t>
            </w:r>
          </w:p>
        </w:tc>
        <w:tc>
          <w:tcPr>
            <w:tcW w:w="2971"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Pas javës së parë të anketës</w:t>
            </w:r>
          </w:p>
          <w:p w:rsidR="00B967DA" w:rsidRPr="00487772" w:rsidRDefault="00B967DA" w:rsidP="00B967DA">
            <w:pPr>
              <w:pStyle w:val="BodyText"/>
              <w:rPr>
                <w:rFonts w:ascii="Arial Narrow" w:hAnsi="Arial Narrow"/>
                <w:lang w:val="en-GB"/>
              </w:rPr>
            </w:pPr>
            <w:r w:rsidRPr="00487772">
              <w:rPr>
                <w:rFonts w:ascii="Arial Narrow" w:hAnsi="Arial Narrow"/>
                <w:lang w:val="en-GB"/>
              </w:rPr>
              <w:t>(dita e 7 – 9 e muajit)</w:t>
            </w:r>
          </w:p>
          <w:p w:rsidR="00B967DA" w:rsidRPr="00487772" w:rsidRDefault="00B967DA" w:rsidP="00B967DA">
            <w:pPr>
              <w:pStyle w:val="BodyText"/>
              <w:rPr>
                <w:rFonts w:ascii="Arial Narrow" w:hAnsi="Arial Narrow"/>
                <w:lang w:val="en-GB"/>
              </w:rPr>
            </w:pPr>
          </w:p>
        </w:tc>
        <w:tc>
          <w:tcPr>
            <w:tcW w:w="6254"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 xml:space="preserve">a) Të monitorohet plotësimi i librit të shënimeve dhe përgjegjjeve në pyetje </w:t>
            </w:r>
          </w:p>
          <w:p w:rsidR="00B967DA" w:rsidRPr="00487772" w:rsidRDefault="00B967DA" w:rsidP="00B967DA">
            <w:pPr>
              <w:pStyle w:val="BodyText"/>
              <w:rPr>
                <w:rFonts w:ascii="Arial Narrow" w:hAnsi="Arial Narrow"/>
                <w:lang w:val="en-GB"/>
              </w:rPr>
            </w:pPr>
            <w:r w:rsidRPr="00487772">
              <w:rPr>
                <w:rFonts w:ascii="Arial Narrow" w:hAnsi="Arial Narrow"/>
                <w:lang w:val="en-GB"/>
              </w:rPr>
              <w:t>b) Të kompletoj librin e shënimeve për javën e parë dhe të bëhet shifrimi</w:t>
            </w:r>
          </w:p>
          <w:p w:rsidR="00B967DA" w:rsidRPr="00487772" w:rsidRDefault="00B967DA" w:rsidP="00B967DA">
            <w:pPr>
              <w:pStyle w:val="BodyText"/>
              <w:rPr>
                <w:rFonts w:ascii="Arial Narrow" w:hAnsi="Arial Narrow"/>
                <w:lang w:val="en-GB"/>
              </w:rPr>
            </w:pPr>
            <w:r w:rsidRPr="00487772">
              <w:rPr>
                <w:rFonts w:ascii="Arial Narrow" w:hAnsi="Arial Narrow"/>
                <w:lang w:val="en-GB"/>
              </w:rPr>
              <w:t xml:space="preserve">c) Bëni kontrollimin </w:t>
            </w:r>
          </w:p>
        </w:tc>
      </w:tr>
      <w:tr w:rsidR="00B967DA" w:rsidRPr="00487772">
        <w:tc>
          <w:tcPr>
            <w:tcW w:w="963"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3</w:t>
            </w:r>
          </w:p>
        </w:tc>
        <w:tc>
          <w:tcPr>
            <w:tcW w:w="2971"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Pas javës së dytë të anketës</w:t>
            </w:r>
          </w:p>
          <w:p w:rsidR="00B967DA" w:rsidRPr="00487772" w:rsidRDefault="00B967DA" w:rsidP="00B967DA">
            <w:pPr>
              <w:pStyle w:val="BodyText"/>
              <w:rPr>
                <w:rFonts w:ascii="Arial Narrow" w:hAnsi="Arial Narrow"/>
                <w:lang w:val="en-GB"/>
              </w:rPr>
            </w:pPr>
            <w:r w:rsidRPr="00487772">
              <w:rPr>
                <w:rFonts w:ascii="Arial Narrow" w:hAnsi="Arial Narrow"/>
                <w:lang w:val="en-GB"/>
              </w:rPr>
              <w:t>(dita  e 14 – 16 e muajit)</w:t>
            </w:r>
          </w:p>
          <w:p w:rsidR="00B967DA" w:rsidRPr="00487772" w:rsidRDefault="00B967DA" w:rsidP="00B967DA">
            <w:pPr>
              <w:pStyle w:val="BodyText"/>
              <w:rPr>
                <w:rFonts w:ascii="Arial Narrow" w:hAnsi="Arial Narrow"/>
                <w:lang w:val="en-GB"/>
              </w:rPr>
            </w:pPr>
          </w:p>
        </w:tc>
        <w:tc>
          <w:tcPr>
            <w:tcW w:w="6254"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a)Të monitorohet plotësimi i librit të shënimeve (ditarin) dhe pergjigjeve në pyetje</w:t>
            </w:r>
          </w:p>
          <w:p w:rsidR="00B967DA" w:rsidRPr="00487772" w:rsidRDefault="00B967DA" w:rsidP="00B967DA">
            <w:pPr>
              <w:pStyle w:val="BodyText"/>
              <w:rPr>
                <w:rFonts w:ascii="Arial Narrow" w:hAnsi="Arial Narrow"/>
                <w:lang w:val="en-GB"/>
              </w:rPr>
            </w:pPr>
            <w:r w:rsidRPr="00487772">
              <w:rPr>
                <w:rFonts w:ascii="Arial Narrow" w:hAnsi="Arial Narrow"/>
                <w:lang w:val="en-GB"/>
              </w:rPr>
              <w:t>b) Të kompletoj librin e shënimeve për javën e dytë dhe të bëhet shifrimi</w:t>
            </w:r>
          </w:p>
          <w:p w:rsidR="00B967DA" w:rsidRPr="00487772" w:rsidRDefault="00B967DA" w:rsidP="00B967DA">
            <w:pPr>
              <w:pStyle w:val="BodyText"/>
              <w:rPr>
                <w:rFonts w:ascii="Arial Narrow" w:hAnsi="Arial Narrow"/>
                <w:lang w:val="en-GB"/>
              </w:rPr>
            </w:pPr>
            <w:r w:rsidRPr="00487772">
              <w:rPr>
                <w:rFonts w:ascii="Arial Narrow" w:hAnsi="Arial Narrow"/>
                <w:lang w:val="en-GB"/>
              </w:rPr>
              <w:t>c) Bëni kontrollin</w:t>
            </w:r>
          </w:p>
        </w:tc>
      </w:tr>
      <w:tr w:rsidR="00B967DA" w:rsidRPr="00487772">
        <w:tc>
          <w:tcPr>
            <w:tcW w:w="963"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4</w:t>
            </w:r>
          </w:p>
        </w:tc>
        <w:tc>
          <w:tcPr>
            <w:tcW w:w="2971"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Pas javës së tretë të anketës</w:t>
            </w:r>
          </w:p>
          <w:p w:rsidR="00B967DA" w:rsidRPr="00487772" w:rsidRDefault="00B967DA" w:rsidP="00B967DA">
            <w:pPr>
              <w:pStyle w:val="BodyText"/>
              <w:rPr>
                <w:rFonts w:ascii="Arial Narrow" w:hAnsi="Arial Narrow"/>
                <w:lang w:val="en-GB"/>
              </w:rPr>
            </w:pPr>
            <w:r w:rsidRPr="00487772">
              <w:rPr>
                <w:rFonts w:ascii="Arial Narrow" w:hAnsi="Arial Narrow"/>
                <w:lang w:val="en-GB"/>
              </w:rPr>
              <w:t>(dita  e 21 – 23 e muajit)</w:t>
            </w:r>
          </w:p>
          <w:p w:rsidR="00B967DA" w:rsidRPr="00487772" w:rsidRDefault="00B967DA" w:rsidP="00B967DA">
            <w:pPr>
              <w:pStyle w:val="BodyText"/>
              <w:rPr>
                <w:rFonts w:ascii="Arial Narrow" w:hAnsi="Arial Narrow"/>
                <w:lang w:val="en-GB"/>
              </w:rPr>
            </w:pPr>
          </w:p>
        </w:tc>
        <w:tc>
          <w:tcPr>
            <w:tcW w:w="6254" w:type="dxa"/>
            <w:tcBorders>
              <w:top w:val="single" w:sz="4" w:space="0" w:color="auto"/>
              <w:bottom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 xml:space="preserve">a) Të monitorohet plotësimi i librit të shënimeve dhe përgjegjjeve në pyetje </w:t>
            </w:r>
          </w:p>
          <w:p w:rsidR="00B967DA" w:rsidRPr="00487772" w:rsidRDefault="00B967DA" w:rsidP="00B967DA">
            <w:pPr>
              <w:pStyle w:val="BodyText"/>
              <w:rPr>
                <w:rFonts w:ascii="Arial Narrow" w:hAnsi="Arial Narrow"/>
                <w:lang w:val="en-GB"/>
              </w:rPr>
            </w:pPr>
            <w:r w:rsidRPr="00487772">
              <w:rPr>
                <w:rFonts w:ascii="Arial Narrow" w:hAnsi="Arial Narrow"/>
                <w:lang w:val="en-GB"/>
              </w:rPr>
              <w:t>b) Të kompletoj librin e shënimeve për javën e parë dhe të bëhet shifrimi</w:t>
            </w:r>
          </w:p>
          <w:p w:rsidR="00B967DA" w:rsidRPr="00487772" w:rsidRDefault="00B967DA" w:rsidP="00B967DA">
            <w:pPr>
              <w:pStyle w:val="BodyText"/>
              <w:rPr>
                <w:rFonts w:ascii="Arial Narrow" w:hAnsi="Arial Narrow"/>
                <w:lang w:val="en-GB"/>
              </w:rPr>
            </w:pPr>
            <w:r w:rsidRPr="00487772">
              <w:rPr>
                <w:rFonts w:ascii="Arial Narrow" w:hAnsi="Arial Narrow"/>
                <w:lang w:val="en-GB"/>
              </w:rPr>
              <w:t>c) Bëni kontrollimin</w:t>
            </w:r>
          </w:p>
        </w:tc>
      </w:tr>
      <w:tr w:rsidR="00B967DA" w:rsidRPr="00487772">
        <w:tc>
          <w:tcPr>
            <w:tcW w:w="963" w:type="dxa"/>
            <w:tcBorders>
              <w:top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5</w:t>
            </w:r>
          </w:p>
        </w:tc>
        <w:tc>
          <w:tcPr>
            <w:tcW w:w="2971" w:type="dxa"/>
            <w:tcBorders>
              <w:top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Drejtpërdrejt pas muajit të plotë</w:t>
            </w:r>
          </w:p>
          <w:p w:rsidR="00B967DA" w:rsidRPr="00487772" w:rsidRDefault="00B967DA" w:rsidP="00B967DA">
            <w:pPr>
              <w:pStyle w:val="BodyText"/>
              <w:rPr>
                <w:lang w:val="en-GB"/>
              </w:rPr>
            </w:pPr>
            <w:r w:rsidRPr="00487772">
              <w:rPr>
                <w:lang w:val="en-GB"/>
              </w:rPr>
              <w:t>(31 – 02)</w:t>
            </w:r>
          </w:p>
        </w:tc>
        <w:tc>
          <w:tcPr>
            <w:tcW w:w="6254" w:type="dxa"/>
            <w:tcBorders>
              <w:top w:val="single" w:sz="4" w:space="0" w:color="auto"/>
            </w:tcBorders>
          </w:tcPr>
          <w:p w:rsidR="00B967DA" w:rsidRPr="00487772" w:rsidRDefault="00B967DA" w:rsidP="00B967DA">
            <w:pPr>
              <w:pStyle w:val="BodyText"/>
              <w:rPr>
                <w:rFonts w:ascii="Arial Narrow" w:hAnsi="Arial Narrow"/>
                <w:lang w:val="en-GB"/>
              </w:rPr>
            </w:pPr>
            <w:r w:rsidRPr="00487772">
              <w:rPr>
                <w:rFonts w:ascii="Arial Narrow" w:hAnsi="Arial Narrow"/>
                <w:lang w:val="en-GB"/>
              </w:rPr>
              <w:t xml:space="preserve">a) Të monitorohet plotësimi i librit të shënimeve dhe përgjegjjeve në pyetje </w:t>
            </w:r>
          </w:p>
          <w:p w:rsidR="00B967DA" w:rsidRPr="00487772" w:rsidRDefault="00B967DA" w:rsidP="00B967DA">
            <w:pPr>
              <w:pStyle w:val="BodyText"/>
              <w:rPr>
                <w:rFonts w:ascii="Arial Narrow" w:hAnsi="Arial Narrow"/>
                <w:lang w:val="en-GB"/>
              </w:rPr>
            </w:pPr>
            <w:r w:rsidRPr="00487772">
              <w:rPr>
                <w:rFonts w:ascii="Arial Narrow" w:hAnsi="Arial Narrow"/>
                <w:lang w:val="en-GB"/>
              </w:rPr>
              <w:t>b) Të kompletoj librin e shënimeve për javën e fundit dhe të bëhet shifrimi</w:t>
            </w:r>
          </w:p>
        </w:tc>
      </w:tr>
    </w:tbl>
    <w:p w:rsidR="00B967DA" w:rsidRPr="00487772" w:rsidRDefault="00B967DA" w:rsidP="00B967DA">
      <w:pPr>
        <w:pStyle w:val="BodyText"/>
        <w:rPr>
          <w:lang w:val="en-GB"/>
        </w:rPr>
      </w:pPr>
    </w:p>
    <w:p w:rsidR="00B967DA" w:rsidRPr="00487772" w:rsidRDefault="00B967DA" w:rsidP="00B967DA">
      <w:pPr>
        <w:pStyle w:val="BodyText"/>
        <w:rPr>
          <w:lang w:val="en-GB"/>
        </w:rPr>
      </w:pPr>
      <w:r w:rsidRPr="00487772">
        <w:rPr>
          <w:lang w:val="en-GB"/>
        </w:rPr>
        <w:t>TË DHËNAT PËR KONTROLLIM TË PYETËSORIT:</w:t>
      </w:r>
    </w:p>
    <w:p w:rsidR="00B967DA" w:rsidRPr="00487772" w:rsidRDefault="00B967DA" w:rsidP="00B967DA">
      <w:pPr>
        <w:pStyle w:val="BodyText"/>
        <w:rPr>
          <w:lang w:val="en-GB"/>
        </w:rPr>
      </w:pPr>
      <w:r w:rsidRPr="00487772">
        <w:rPr>
          <w:lang w:val="en-GB"/>
        </w:rPr>
        <w:t>NAME OF INTERVIEWER:   _____________________________</w:t>
      </w:r>
    </w:p>
    <w:p w:rsidR="00B967DA" w:rsidRPr="00487772" w:rsidRDefault="00B967DA" w:rsidP="00B967DA">
      <w:pPr>
        <w:pStyle w:val="BodyText"/>
        <w:rPr>
          <w:lang w:val="en-GB"/>
        </w:rPr>
      </w:pPr>
      <w:r w:rsidRPr="00487772">
        <w:rPr>
          <w:lang w:val="en-GB"/>
        </w:rPr>
        <w:t>NAME OF SUPERVISOR:    _____________________________</w:t>
      </w:r>
    </w:p>
    <w:p w:rsidR="00B967DA" w:rsidRPr="00487772" w:rsidRDefault="00B967DA" w:rsidP="00B967DA">
      <w:pPr>
        <w:pStyle w:val="BodyText"/>
        <w:rPr>
          <w:lang w:val="en-GB"/>
        </w:rPr>
      </w:pPr>
      <w:r w:rsidRPr="00487772">
        <w:rPr>
          <w:lang w:val="en-GB"/>
        </w:rPr>
        <w:t xml:space="preserve">END OF INTREVIEW </w:t>
      </w:r>
    </w:p>
    <w:p w:rsidR="001E56AC" w:rsidRPr="00487772" w:rsidRDefault="00B967DA" w:rsidP="00B967DA">
      <w:pPr>
        <w:pStyle w:val="BodyText"/>
        <w:rPr>
          <w:lang w:val="en-GB"/>
        </w:rPr>
      </w:pPr>
      <w:r w:rsidRPr="00487772">
        <w:rPr>
          <w:lang w:val="en-GB"/>
        </w:rPr>
        <w:t>DATE: ________________</w:t>
      </w:r>
    </w:p>
    <w:p w:rsidR="00B40A1F" w:rsidRDefault="00B40A1F">
      <w:r>
        <w:br w:type="page"/>
      </w:r>
    </w:p>
    <w:tbl>
      <w:tblPr>
        <w:tblW w:w="110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8"/>
        <w:gridCol w:w="920"/>
        <w:gridCol w:w="533"/>
        <w:gridCol w:w="907"/>
        <w:gridCol w:w="540"/>
        <w:gridCol w:w="900"/>
        <w:gridCol w:w="540"/>
        <w:gridCol w:w="877"/>
        <w:gridCol w:w="563"/>
        <w:gridCol w:w="540"/>
        <w:gridCol w:w="900"/>
        <w:gridCol w:w="540"/>
        <w:gridCol w:w="1080"/>
      </w:tblGrid>
      <w:tr w:rsidR="00B967DA" w:rsidRPr="00487772">
        <w:trPr>
          <w:cantSplit/>
        </w:trPr>
        <w:tc>
          <w:tcPr>
            <w:tcW w:w="2248" w:type="dxa"/>
            <w:tcBorders>
              <w:bottom w:val="nil"/>
            </w:tcBorders>
            <w:shd w:val="clear" w:color="auto" w:fill="B3B3B3"/>
          </w:tcPr>
          <w:p w:rsidR="00B967DA" w:rsidRPr="00487772" w:rsidRDefault="00B967DA" w:rsidP="00B967DA">
            <w:pPr>
              <w:pStyle w:val="BodyText"/>
              <w:rPr>
                <w:lang w:val="en-GB"/>
              </w:rPr>
            </w:pPr>
            <w:r w:rsidRPr="00487772">
              <w:rPr>
                <w:lang w:val="en-GB"/>
              </w:rPr>
              <w:lastRenderedPageBreak/>
              <w:br w:type="column"/>
              <w:t>Did you during</w:t>
            </w:r>
          </w:p>
        </w:tc>
        <w:tc>
          <w:tcPr>
            <w:tcW w:w="1453" w:type="dxa"/>
            <w:gridSpan w:val="2"/>
            <w:shd w:val="clear" w:color="auto" w:fill="B3B3B3"/>
          </w:tcPr>
          <w:p w:rsidR="00B967DA" w:rsidRPr="00487772" w:rsidRDefault="00B967DA" w:rsidP="00B967DA">
            <w:pPr>
              <w:pStyle w:val="BodyText"/>
              <w:rPr>
                <w:lang w:val="en-GB"/>
              </w:rPr>
            </w:pPr>
            <w:r w:rsidRPr="00487772">
              <w:rPr>
                <w:lang w:val="en-GB"/>
              </w:rPr>
              <w:t>1</w:t>
            </w:r>
            <w:r w:rsidRPr="00487772">
              <w:rPr>
                <w:vertAlign w:val="superscript"/>
                <w:lang w:val="en-GB"/>
              </w:rPr>
              <w:t>st</w:t>
            </w:r>
            <w:r w:rsidRPr="00487772">
              <w:rPr>
                <w:lang w:val="en-GB"/>
              </w:rPr>
              <w:t xml:space="preserve"> week</w:t>
            </w:r>
          </w:p>
        </w:tc>
        <w:tc>
          <w:tcPr>
            <w:tcW w:w="1447" w:type="dxa"/>
            <w:gridSpan w:val="2"/>
            <w:shd w:val="clear" w:color="auto" w:fill="B3B3B3"/>
          </w:tcPr>
          <w:p w:rsidR="00B967DA" w:rsidRPr="00487772" w:rsidRDefault="00B967DA" w:rsidP="00B967DA">
            <w:pPr>
              <w:pStyle w:val="BodyText"/>
              <w:rPr>
                <w:lang w:val="en-GB"/>
              </w:rPr>
            </w:pPr>
            <w:r w:rsidRPr="00487772">
              <w:rPr>
                <w:lang w:val="en-GB"/>
              </w:rPr>
              <w:t>2</w:t>
            </w:r>
            <w:r w:rsidRPr="00487772">
              <w:rPr>
                <w:vertAlign w:val="superscript"/>
                <w:lang w:val="en-GB"/>
              </w:rPr>
              <w:t>nd</w:t>
            </w:r>
            <w:r w:rsidRPr="00487772">
              <w:rPr>
                <w:lang w:val="en-GB"/>
              </w:rPr>
              <w:t xml:space="preserve"> week</w:t>
            </w:r>
          </w:p>
        </w:tc>
        <w:tc>
          <w:tcPr>
            <w:tcW w:w="1440" w:type="dxa"/>
            <w:gridSpan w:val="2"/>
            <w:shd w:val="clear" w:color="auto" w:fill="B3B3B3"/>
          </w:tcPr>
          <w:p w:rsidR="00B967DA" w:rsidRPr="00487772" w:rsidRDefault="00B967DA" w:rsidP="00B967DA">
            <w:pPr>
              <w:pStyle w:val="BodyText"/>
              <w:rPr>
                <w:lang w:val="en-GB"/>
              </w:rPr>
            </w:pPr>
            <w:r w:rsidRPr="00487772">
              <w:rPr>
                <w:lang w:val="en-GB"/>
              </w:rPr>
              <w:t>3</w:t>
            </w:r>
            <w:r w:rsidRPr="00487772">
              <w:rPr>
                <w:vertAlign w:val="superscript"/>
                <w:lang w:val="en-GB"/>
              </w:rPr>
              <w:t>rd</w:t>
            </w:r>
            <w:r w:rsidRPr="00487772">
              <w:rPr>
                <w:lang w:val="en-GB"/>
              </w:rPr>
              <w:t xml:space="preserve"> week</w:t>
            </w:r>
          </w:p>
        </w:tc>
        <w:tc>
          <w:tcPr>
            <w:tcW w:w="1440" w:type="dxa"/>
            <w:gridSpan w:val="2"/>
            <w:shd w:val="clear" w:color="auto" w:fill="B3B3B3"/>
          </w:tcPr>
          <w:p w:rsidR="00B967DA" w:rsidRPr="00487772" w:rsidRDefault="00B967DA" w:rsidP="00B967DA">
            <w:pPr>
              <w:pStyle w:val="BodyText"/>
              <w:rPr>
                <w:lang w:val="en-GB"/>
              </w:rPr>
            </w:pPr>
            <w:r w:rsidRPr="00487772">
              <w:rPr>
                <w:lang w:val="en-GB"/>
              </w:rPr>
              <w:t>4</w:t>
            </w:r>
            <w:r w:rsidRPr="00487772">
              <w:rPr>
                <w:vertAlign w:val="superscript"/>
                <w:lang w:val="en-GB"/>
              </w:rPr>
              <w:t>th</w:t>
            </w:r>
            <w:r w:rsidRPr="00487772">
              <w:rPr>
                <w:lang w:val="en-GB"/>
              </w:rPr>
              <w:t xml:space="preserve"> week</w:t>
            </w:r>
          </w:p>
        </w:tc>
        <w:tc>
          <w:tcPr>
            <w:tcW w:w="540" w:type="dxa"/>
            <w:tcBorders>
              <w:bottom w:val="nil"/>
            </w:tcBorders>
            <w:shd w:val="clear" w:color="auto" w:fill="B3B3B3"/>
          </w:tcPr>
          <w:p w:rsidR="00B967DA" w:rsidRPr="00487772" w:rsidRDefault="00B967DA" w:rsidP="00B967DA">
            <w:pPr>
              <w:pStyle w:val="BodyText"/>
              <w:rPr>
                <w:sz w:val="16"/>
                <w:lang w:val="en-GB"/>
              </w:rPr>
            </w:pPr>
            <w:r w:rsidRPr="00487772">
              <w:rPr>
                <w:sz w:val="16"/>
                <w:lang w:val="en-GB"/>
              </w:rPr>
              <w:t>Item</w:t>
            </w:r>
          </w:p>
        </w:tc>
        <w:tc>
          <w:tcPr>
            <w:tcW w:w="1440" w:type="dxa"/>
            <w:gridSpan w:val="2"/>
            <w:shd w:val="clear" w:color="auto" w:fill="B3B3B3"/>
          </w:tcPr>
          <w:p w:rsidR="00B967DA" w:rsidRPr="00487772" w:rsidRDefault="00B967DA" w:rsidP="00B967DA">
            <w:pPr>
              <w:pStyle w:val="BodyText"/>
              <w:rPr>
                <w:lang w:val="en-GB"/>
              </w:rPr>
            </w:pPr>
            <w:r w:rsidRPr="00487772">
              <w:rPr>
                <w:lang w:val="en-GB"/>
              </w:rPr>
              <w:t>Whole month</w:t>
            </w:r>
          </w:p>
        </w:tc>
        <w:tc>
          <w:tcPr>
            <w:tcW w:w="1080" w:type="dxa"/>
            <w:tcBorders>
              <w:bottom w:val="nil"/>
            </w:tcBorders>
            <w:shd w:val="clear" w:color="auto" w:fill="B3B3B3"/>
          </w:tcPr>
          <w:p w:rsidR="00B967DA" w:rsidRPr="00487772" w:rsidRDefault="00B967DA" w:rsidP="00B967DA">
            <w:pPr>
              <w:pStyle w:val="BodyText"/>
              <w:rPr>
                <w:lang w:val="en-GB"/>
              </w:rPr>
            </w:pPr>
            <w:r w:rsidRPr="00487772">
              <w:rPr>
                <w:lang w:val="en-GB"/>
              </w:rPr>
              <w:t>Comments</w:t>
            </w:r>
          </w:p>
        </w:tc>
      </w:tr>
      <w:tr w:rsidR="00B967DA" w:rsidRPr="00487772">
        <w:tc>
          <w:tcPr>
            <w:tcW w:w="2248" w:type="dxa"/>
            <w:tcBorders>
              <w:top w:val="nil"/>
            </w:tcBorders>
            <w:shd w:val="clear" w:color="auto" w:fill="B3B3B3"/>
          </w:tcPr>
          <w:p w:rsidR="00B967DA" w:rsidRPr="00487772" w:rsidRDefault="00B967DA" w:rsidP="00B967DA">
            <w:pPr>
              <w:pStyle w:val="BodyText"/>
              <w:rPr>
                <w:sz w:val="20"/>
                <w:lang w:val="en-GB"/>
              </w:rPr>
            </w:pPr>
            <w:r w:rsidRPr="00487772">
              <w:rPr>
                <w:sz w:val="20"/>
                <w:lang w:val="en-GB"/>
              </w:rPr>
              <w:t>past week buy or pay</w:t>
            </w:r>
          </w:p>
        </w:tc>
        <w:tc>
          <w:tcPr>
            <w:tcW w:w="920" w:type="dxa"/>
            <w:shd w:val="clear" w:color="auto" w:fill="B3B3B3"/>
          </w:tcPr>
          <w:p w:rsidR="00B967DA" w:rsidRPr="00487772" w:rsidRDefault="00B967DA" w:rsidP="00B967DA">
            <w:pPr>
              <w:pStyle w:val="BodyText"/>
              <w:rPr>
                <w:sz w:val="16"/>
                <w:lang w:val="en-GB"/>
              </w:rPr>
            </w:pPr>
            <w:r w:rsidRPr="00487772">
              <w:rPr>
                <w:lang w:val="en-GB"/>
              </w:rPr>
              <w:t>€</w:t>
            </w:r>
            <w:r w:rsidRPr="00487772">
              <w:rPr>
                <w:sz w:val="16"/>
                <w:lang w:val="en-GB"/>
              </w:rPr>
              <w:t>.</w:t>
            </w:r>
          </w:p>
        </w:tc>
        <w:tc>
          <w:tcPr>
            <w:tcW w:w="533" w:type="dxa"/>
            <w:tcBorders>
              <w:bottom w:val="single" w:sz="4" w:space="0" w:color="auto"/>
            </w:tcBorders>
            <w:shd w:val="clear" w:color="auto" w:fill="B3B3B3"/>
          </w:tcPr>
          <w:p w:rsidR="00B967DA" w:rsidRPr="00487772" w:rsidRDefault="00B967DA" w:rsidP="00B967DA">
            <w:pPr>
              <w:pStyle w:val="BodyText"/>
              <w:rPr>
                <w:sz w:val="16"/>
                <w:lang w:val="en-GB"/>
              </w:rPr>
            </w:pPr>
            <w:r w:rsidRPr="00487772">
              <w:rPr>
                <w:sz w:val="16"/>
                <w:lang w:val="en-GB"/>
              </w:rPr>
              <w:t>c</w:t>
            </w:r>
          </w:p>
        </w:tc>
        <w:tc>
          <w:tcPr>
            <w:tcW w:w="907" w:type="dxa"/>
            <w:shd w:val="clear" w:color="auto" w:fill="B3B3B3"/>
          </w:tcPr>
          <w:p w:rsidR="00B967DA" w:rsidRPr="00487772" w:rsidRDefault="00B967DA" w:rsidP="00B967DA">
            <w:pPr>
              <w:pStyle w:val="BodyText"/>
              <w:rPr>
                <w:sz w:val="16"/>
                <w:lang w:val="en-GB"/>
              </w:rPr>
            </w:pPr>
            <w:r w:rsidRPr="00487772">
              <w:rPr>
                <w:lang w:val="en-GB"/>
              </w:rPr>
              <w:t>€</w:t>
            </w:r>
          </w:p>
        </w:tc>
        <w:tc>
          <w:tcPr>
            <w:tcW w:w="540" w:type="dxa"/>
            <w:tcBorders>
              <w:bottom w:val="single" w:sz="4" w:space="0" w:color="auto"/>
            </w:tcBorders>
            <w:shd w:val="clear" w:color="auto" w:fill="B3B3B3"/>
          </w:tcPr>
          <w:p w:rsidR="00B967DA" w:rsidRPr="00487772" w:rsidRDefault="00B967DA" w:rsidP="00B967DA">
            <w:pPr>
              <w:pStyle w:val="BodyText"/>
              <w:rPr>
                <w:sz w:val="16"/>
                <w:lang w:val="en-GB"/>
              </w:rPr>
            </w:pPr>
            <w:r w:rsidRPr="00487772">
              <w:rPr>
                <w:sz w:val="16"/>
                <w:lang w:val="en-GB"/>
              </w:rPr>
              <w:t>c</w:t>
            </w:r>
          </w:p>
        </w:tc>
        <w:tc>
          <w:tcPr>
            <w:tcW w:w="900" w:type="dxa"/>
            <w:shd w:val="clear" w:color="auto" w:fill="B3B3B3"/>
          </w:tcPr>
          <w:p w:rsidR="00B967DA" w:rsidRPr="00487772" w:rsidRDefault="00B967DA" w:rsidP="00B967DA">
            <w:pPr>
              <w:pStyle w:val="BodyText"/>
              <w:rPr>
                <w:sz w:val="16"/>
                <w:lang w:val="en-GB"/>
              </w:rPr>
            </w:pPr>
            <w:r w:rsidRPr="00487772">
              <w:rPr>
                <w:lang w:val="en-GB"/>
              </w:rPr>
              <w:t>€</w:t>
            </w:r>
          </w:p>
        </w:tc>
        <w:tc>
          <w:tcPr>
            <w:tcW w:w="540" w:type="dxa"/>
            <w:tcBorders>
              <w:bottom w:val="single" w:sz="4" w:space="0" w:color="auto"/>
            </w:tcBorders>
            <w:shd w:val="clear" w:color="auto" w:fill="B3B3B3"/>
          </w:tcPr>
          <w:p w:rsidR="00B967DA" w:rsidRPr="00487772" w:rsidRDefault="00B967DA" w:rsidP="00B967DA">
            <w:pPr>
              <w:pStyle w:val="BodyText"/>
              <w:rPr>
                <w:sz w:val="16"/>
                <w:lang w:val="en-GB"/>
              </w:rPr>
            </w:pPr>
            <w:r w:rsidRPr="00487772">
              <w:rPr>
                <w:sz w:val="16"/>
                <w:lang w:val="en-GB"/>
              </w:rPr>
              <w:t>c</w:t>
            </w:r>
          </w:p>
        </w:tc>
        <w:tc>
          <w:tcPr>
            <w:tcW w:w="877" w:type="dxa"/>
            <w:shd w:val="clear" w:color="auto" w:fill="B3B3B3"/>
          </w:tcPr>
          <w:p w:rsidR="00B967DA" w:rsidRPr="00487772" w:rsidRDefault="00B967DA" w:rsidP="00B967DA">
            <w:pPr>
              <w:pStyle w:val="BodyText"/>
              <w:rPr>
                <w:sz w:val="16"/>
                <w:lang w:val="en-GB"/>
              </w:rPr>
            </w:pPr>
            <w:r w:rsidRPr="00487772">
              <w:rPr>
                <w:lang w:val="en-GB"/>
              </w:rPr>
              <w:t>€</w:t>
            </w:r>
          </w:p>
        </w:tc>
        <w:tc>
          <w:tcPr>
            <w:tcW w:w="563" w:type="dxa"/>
            <w:tcBorders>
              <w:bottom w:val="single" w:sz="4" w:space="0" w:color="auto"/>
            </w:tcBorders>
            <w:shd w:val="clear" w:color="auto" w:fill="B3B3B3"/>
          </w:tcPr>
          <w:p w:rsidR="00B967DA" w:rsidRPr="00487772" w:rsidRDefault="00B967DA" w:rsidP="00B967DA">
            <w:pPr>
              <w:pStyle w:val="BodyText"/>
              <w:rPr>
                <w:sz w:val="16"/>
                <w:lang w:val="en-GB"/>
              </w:rPr>
            </w:pPr>
            <w:r w:rsidRPr="00487772">
              <w:rPr>
                <w:sz w:val="16"/>
                <w:lang w:val="en-GB"/>
              </w:rPr>
              <w:t>c</w:t>
            </w:r>
          </w:p>
        </w:tc>
        <w:tc>
          <w:tcPr>
            <w:tcW w:w="540" w:type="dxa"/>
            <w:tcBorders>
              <w:top w:val="nil"/>
            </w:tcBorders>
            <w:shd w:val="clear" w:color="auto" w:fill="B3B3B3"/>
          </w:tcPr>
          <w:p w:rsidR="00B967DA" w:rsidRPr="00487772" w:rsidRDefault="00B967DA" w:rsidP="00B967DA">
            <w:pPr>
              <w:pStyle w:val="BodyText"/>
              <w:rPr>
                <w:sz w:val="16"/>
                <w:lang w:val="en-GB"/>
              </w:rPr>
            </w:pPr>
            <w:r w:rsidRPr="00487772">
              <w:rPr>
                <w:sz w:val="16"/>
                <w:lang w:val="en-GB"/>
              </w:rPr>
              <w:t>No.</w:t>
            </w:r>
          </w:p>
        </w:tc>
        <w:tc>
          <w:tcPr>
            <w:tcW w:w="900" w:type="dxa"/>
            <w:shd w:val="clear" w:color="auto" w:fill="B3B3B3"/>
          </w:tcPr>
          <w:p w:rsidR="00B967DA" w:rsidRPr="00487772" w:rsidRDefault="00B967DA" w:rsidP="00B967DA">
            <w:pPr>
              <w:pStyle w:val="BodyText"/>
              <w:rPr>
                <w:sz w:val="16"/>
                <w:lang w:val="en-GB"/>
              </w:rPr>
            </w:pPr>
            <w:r w:rsidRPr="00487772">
              <w:rPr>
                <w:lang w:val="en-GB"/>
              </w:rPr>
              <w:t>€</w:t>
            </w:r>
          </w:p>
        </w:tc>
        <w:tc>
          <w:tcPr>
            <w:tcW w:w="540" w:type="dxa"/>
            <w:tcBorders>
              <w:bottom w:val="single" w:sz="4" w:space="0" w:color="auto"/>
            </w:tcBorders>
            <w:shd w:val="clear" w:color="auto" w:fill="B3B3B3"/>
          </w:tcPr>
          <w:p w:rsidR="00B967DA" w:rsidRPr="00487772" w:rsidRDefault="00B967DA" w:rsidP="00B967DA">
            <w:pPr>
              <w:pStyle w:val="BodyText"/>
              <w:rPr>
                <w:sz w:val="16"/>
                <w:lang w:val="en-GB"/>
              </w:rPr>
            </w:pPr>
            <w:r w:rsidRPr="00487772">
              <w:rPr>
                <w:sz w:val="16"/>
                <w:lang w:val="en-GB"/>
              </w:rPr>
              <w:t>c</w:t>
            </w:r>
          </w:p>
        </w:tc>
        <w:tc>
          <w:tcPr>
            <w:tcW w:w="1080" w:type="dxa"/>
            <w:tcBorders>
              <w:top w:val="nil"/>
            </w:tcBorders>
            <w:shd w:val="clear" w:color="auto" w:fill="B3B3B3"/>
          </w:tcPr>
          <w:p w:rsidR="00B967DA" w:rsidRPr="00487772" w:rsidRDefault="00B967DA" w:rsidP="00B967DA">
            <w:pPr>
              <w:pStyle w:val="BodyText"/>
              <w:rPr>
                <w:sz w:val="16"/>
                <w:lang w:val="en-GB"/>
              </w:rPr>
            </w:pPr>
          </w:p>
        </w:tc>
      </w:tr>
      <w:tr w:rsidR="00B967DA" w:rsidRPr="00487772">
        <w:tc>
          <w:tcPr>
            <w:tcW w:w="2248" w:type="dxa"/>
          </w:tcPr>
          <w:p w:rsidR="00B967DA" w:rsidRPr="00487772" w:rsidRDefault="00B967DA" w:rsidP="00B967DA">
            <w:pPr>
              <w:pStyle w:val="BodyText"/>
              <w:rPr>
                <w:sz w:val="20"/>
                <w:lang w:val="en-GB"/>
              </w:rPr>
            </w:pPr>
            <w:r w:rsidRPr="00487772">
              <w:rPr>
                <w:sz w:val="20"/>
                <w:lang w:val="en-GB"/>
              </w:rPr>
              <w:t>…domestic services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sz w:val="20"/>
                <w:lang w:val="en-GB"/>
              </w:rPr>
            </w:pPr>
            <w:r w:rsidRPr="00487772">
              <w:rPr>
                <w:sz w:val="20"/>
                <w:lang w:val="en-GB"/>
              </w:rPr>
              <w:t>…costs for health</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lang w:val="en-GB"/>
              </w:rPr>
            </w:pPr>
            <w:r w:rsidRPr="00487772">
              <w:rPr>
                <w:lang w:val="en-GB"/>
              </w:rPr>
              <w:t>Medicaments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lang w:val="en-GB"/>
              </w:rPr>
            </w:pPr>
            <w:r w:rsidRPr="00487772">
              <w:rPr>
                <w:lang w:val="en-GB"/>
              </w:rPr>
              <w:t>Pharmaceutical applianc.</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lang w:val="en-GB"/>
              </w:rPr>
            </w:pPr>
            <w:r w:rsidRPr="00487772">
              <w:rPr>
                <w:lang w:val="en-GB"/>
              </w:rPr>
              <w:t>Therapeutic equipment</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sz w:val="20"/>
                <w:lang w:val="en-GB"/>
              </w:rPr>
            </w:pPr>
            <w:r w:rsidRPr="00487772">
              <w:rPr>
                <w:lang w:val="en-GB"/>
              </w:rPr>
              <w:t>Other medical products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lang w:val="en-GB"/>
              </w:rPr>
            </w:pPr>
            <w:r w:rsidRPr="00487772">
              <w:rPr>
                <w:lang w:val="en-GB"/>
              </w:rPr>
              <w:t>Out-patient medical, dental, paramed. services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sz w:val="20"/>
                <w:lang w:val="en-GB"/>
              </w:rPr>
            </w:pPr>
            <w:r w:rsidRPr="00487772">
              <w:rPr>
                <w:sz w:val="20"/>
                <w:lang w:val="en-GB"/>
              </w:rPr>
              <w:t>Hospital services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lang w:val="en-GB"/>
              </w:rPr>
            </w:pPr>
            <w:r w:rsidRPr="00487772">
              <w:rPr>
                <w:lang w:val="en-GB"/>
              </w:rPr>
              <w:t>Health administration, accom, food, ambul.</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sz w:val="20"/>
                <w:lang w:val="en-GB"/>
              </w:rPr>
            </w:pPr>
            <w:r w:rsidRPr="00487772">
              <w:rPr>
                <w:sz w:val="20"/>
                <w:lang w:val="en-GB"/>
              </w:rPr>
              <w:t>Traditional medicines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r w:rsidR="00B967DA" w:rsidRPr="00487772">
        <w:tc>
          <w:tcPr>
            <w:tcW w:w="2248" w:type="dxa"/>
          </w:tcPr>
          <w:p w:rsidR="00B967DA" w:rsidRPr="00487772" w:rsidRDefault="00B967DA" w:rsidP="00B967DA">
            <w:pPr>
              <w:pStyle w:val="BodyText"/>
              <w:rPr>
                <w:lang w:val="en-GB"/>
              </w:rPr>
            </w:pPr>
            <w:r w:rsidRPr="00487772">
              <w:rPr>
                <w:lang w:val="en-GB"/>
              </w:rPr>
              <w:t>Other medical services</w:t>
            </w:r>
          </w:p>
        </w:tc>
        <w:tc>
          <w:tcPr>
            <w:tcW w:w="920" w:type="dxa"/>
          </w:tcPr>
          <w:p w:rsidR="00B967DA" w:rsidRPr="00487772" w:rsidRDefault="00B967DA" w:rsidP="00B967DA">
            <w:pPr>
              <w:pStyle w:val="BodyText"/>
              <w:rPr>
                <w:sz w:val="20"/>
                <w:lang w:val="en-GB"/>
              </w:rPr>
            </w:pPr>
          </w:p>
        </w:tc>
        <w:tc>
          <w:tcPr>
            <w:tcW w:w="533" w:type="dxa"/>
            <w:shd w:val="pct25" w:color="auto" w:fill="auto"/>
          </w:tcPr>
          <w:p w:rsidR="00B967DA" w:rsidRPr="00487772" w:rsidRDefault="00B967DA" w:rsidP="00B967DA">
            <w:pPr>
              <w:pStyle w:val="BodyText"/>
              <w:rPr>
                <w:sz w:val="20"/>
                <w:lang w:val="en-GB"/>
              </w:rPr>
            </w:pPr>
          </w:p>
        </w:tc>
        <w:tc>
          <w:tcPr>
            <w:tcW w:w="907"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877" w:type="dxa"/>
          </w:tcPr>
          <w:p w:rsidR="00B967DA" w:rsidRPr="00487772" w:rsidRDefault="00B967DA" w:rsidP="00B967DA">
            <w:pPr>
              <w:pStyle w:val="BodyText"/>
              <w:rPr>
                <w:sz w:val="20"/>
                <w:lang w:val="en-GB"/>
              </w:rPr>
            </w:pPr>
          </w:p>
        </w:tc>
        <w:tc>
          <w:tcPr>
            <w:tcW w:w="563" w:type="dxa"/>
            <w:shd w:val="pct25" w:color="auto" w:fill="auto"/>
          </w:tcPr>
          <w:p w:rsidR="00B967DA" w:rsidRPr="00487772" w:rsidRDefault="00B967DA" w:rsidP="00B967DA">
            <w:pPr>
              <w:pStyle w:val="BodyText"/>
              <w:rPr>
                <w:sz w:val="20"/>
                <w:lang w:val="en-GB"/>
              </w:rPr>
            </w:pPr>
          </w:p>
        </w:tc>
        <w:tc>
          <w:tcPr>
            <w:tcW w:w="540" w:type="dxa"/>
          </w:tcPr>
          <w:p w:rsidR="00B967DA" w:rsidRPr="00487772" w:rsidRDefault="00B967DA" w:rsidP="00B967DA">
            <w:pPr>
              <w:pStyle w:val="BodyText"/>
              <w:rPr>
                <w:sz w:val="20"/>
                <w:lang w:val="en-GB"/>
              </w:rPr>
            </w:pPr>
          </w:p>
        </w:tc>
        <w:tc>
          <w:tcPr>
            <w:tcW w:w="900" w:type="dxa"/>
          </w:tcPr>
          <w:p w:rsidR="00B967DA" w:rsidRPr="00487772" w:rsidRDefault="00B967DA" w:rsidP="00B967DA">
            <w:pPr>
              <w:pStyle w:val="BodyText"/>
              <w:rPr>
                <w:sz w:val="20"/>
                <w:lang w:val="en-GB"/>
              </w:rPr>
            </w:pPr>
          </w:p>
        </w:tc>
        <w:tc>
          <w:tcPr>
            <w:tcW w:w="540" w:type="dxa"/>
            <w:shd w:val="pct25" w:color="auto" w:fill="auto"/>
          </w:tcPr>
          <w:p w:rsidR="00B967DA" w:rsidRPr="00487772" w:rsidRDefault="00B967DA" w:rsidP="00B967DA">
            <w:pPr>
              <w:pStyle w:val="BodyText"/>
              <w:rPr>
                <w:sz w:val="20"/>
                <w:lang w:val="en-GB"/>
              </w:rPr>
            </w:pPr>
          </w:p>
        </w:tc>
        <w:tc>
          <w:tcPr>
            <w:tcW w:w="1080" w:type="dxa"/>
          </w:tcPr>
          <w:p w:rsidR="00B967DA" w:rsidRPr="00487772" w:rsidRDefault="00B967DA" w:rsidP="00B967DA">
            <w:pPr>
              <w:pStyle w:val="BodyText"/>
              <w:rPr>
                <w:sz w:val="20"/>
                <w:lang w:val="en-GB"/>
              </w:rPr>
            </w:pPr>
          </w:p>
        </w:tc>
      </w:tr>
    </w:tbl>
    <w:p w:rsidR="00B967DA" w:rsidRPr="00487772" w:rsidRDefault="00B967DA" w:rsidP="00B967DA">
      <w:pPr>
        <w:pStyle w:val="BodyText"/>
        <w:rPr>
          <w:lang w:val="en-GB"/>
        </w:rPr>
      </w:pPr>
    </w:p>
    <w:p w:rsidR="00A357F3" w:rsidRDefault="00A357F3" w:rsidP="00487772">
      <w:pPr>
        <w:pStyle w:val="BodyText"/>
      </w:pPr>
    </w:p>
    <w:p w:rsidR="00AF6121" w:rsidRDefault="00AF6121" w:rsidP="00AF6121">
      <w:pPr>
        <w:pStyle w:val="Heading1"/>
        <w:numPr>
          <w:ilvl w:val="0"/>
          <w:numId w:val="0"/>
        </w:numPr>
        <w:spacing w:line="360" w:lineRule="auto"/>
        <w:jc w:val="both"/>
        <w:rPr>
          <w:bCs w:val="0"/>
          <w:sz w:val="24"/>
          <w:lang w:val="en-GB"/>
        </w:rPr>
        <w:sectPr w:rsidR="00AF6121" w:rsidSect="00C942D3">
          <w:pgSz w:w="11906" w:h="16838"/>
          <w:pgMar w:top="1418" w:right="1418" w:bottom="1418" w:left="1418" w:header="709" w:footer="709" w:gutter="0"/>
          <w:cols w:space="708"/>
          <w:docGrid w:linePitch="360"/>
        </w:sectPr>
      </w:pPr>
    </w:p>
    <w:p w:rsidR="00AF6121" w:rsidRPr="00487772" w:rsidRDefault="00AF6121" w:rsidP="00AF6121">
      <w:pPr>
        <w:pStyle w:val="Heading1"/>
        <w:numPr>
          <w:ilvl w:val="0"/>
          <w:numId w:val="0"/>
        </w:numPr>
        <w:spacing w:line="360" w:lineRule="auto"/>
        <w:jc w:val="both"/>
        <w:rPr>
          <w:rFonts w:ascii="Arial Narrow" w:hAnsi="Arial Narrow"/>
          <w:lang w:val="en-GB"/>
        </w:rPr>
      </w:pPr>
      <w:bookmarkStart w:id="21" w:name="_Toc175548186"/>
      <w:r>
        <w:rPr>
          <w:bCs w:val="0"/>
          <w:sz w:val="24"/>
          <w:lang w:val="en-GB"/>
        </w:rPr>
        <w:lastRenderedPageBreak/>
        <w:t>Annex</w:t>
      </w:r>
      <w:r w:rsidRPr="00487772">
        <w:rPr>
          <w:bCs w:val="0"/>
          <w:sz w:val="24"/>
          <w:lang w:val="en-GB"/>
        </w:rPr>
        <w:t xml:space="preserve"> </w:t>
      </w:r>
      <w:r>
        <w:rPr>
          <w:bCs w:val="0"/>
          <w:sz w:val="24"/>
          <w:lang w:val="en-GB"/>
        </w:rPr>
        <w:t>VII</w:t>
      </w:r>
      <w:bookmarkEnd w:id="21"/>
    </w:p>
    <w:p w:rsidR="00AF6121" w:rsidRDefault="00AF6121" w:rsidP="00AF6121">
      <w:pPr>
        <w:pStyle w:val="BodyText"/>
        <w:jc w:val="center"/>
        <w:rPr>
          <w:b/>
        </w:rPr>
      </w:pPr>
      <w:r w:rsidRPr="00AF6121">
        <w:rPr>
          <w:b/>
        </w:rPr>
        <w:t xml:space="preserve">The data on </w:t>
      </w:r>
      <w:r>
        <w:rPr>
          <w:b/>
        </w:rPr>
        <w:t xml:space="preserve">health care </w:t>
      </w:r>
      <w:r w:rsidRPr="00AF6121">
        <w:rPr>
          <w:b/>
        </w:rPr>
        <w:t xml:space="preserve">revenues and expenditures </w:t>
      </w:r>
      <w:r>
        <w:rPr>
          <w:b/>
        </w:rPr>
        <w:t>of central government</w:t>
      </w:r>
      <w:r w:rsidR="00C942D3">
        <w:rPr>
          <w:b/>
        </w:rPr>
        <w:t>, 2005</w:t>
      </w:r>
      <w:r w:rsidR="00F3250E">
        <w:rPr>
          <w:rStyle w:val="FootnoteReference"/>
          <w:b/>
        </w:rPr>
        <w:footnoteReference w:id="12"/>
      </w:r>
    </w:p>
    <w:p w:rsidR="00AF6121" w:rsidRPr="00AF6121" w:rsidRDefault="00AF6121" w:rsidP="00AF6121">
      <w:pPr>
        <w:pStyle w:val="BodyText"/>
        <w:jc w:val="center"/>
        <w:rPr>
          <w:b/>
        </w:rPr>
      </w:pPr>
    </w:p>
    <w:tbl>
      <w:tblPr>
        <w:tblW w:w="15631" w:type="dxa"/>
        <w:tblInd w:w="-650" w:type="dxa"/>
        <w:tblCellMar>
          <w:left w:w="70" w:type="dxa"/>
          <w:right w:w="70" w:type="dxa"/>
        </w:tblCellMar>
        <w:tblLook w:val="0000"/>
      </w:tblPr>
      <w:tblGrid>
        <w:gridCol w:w="620"/>
        <w:gridCol w:w="2001"/>
        <w:gridCol w:w="2419"/>
        <w:gridCol w:w="3264"/>
        <w:gridCol w:w="971"/>
        <w:gridCol w:w="1181"/>
        <w:gridCol w:w="1181"/>
        <w:gridCol w:w="991"/>
        <w:gridCol w:w="1081"/>
        <w:gridCol w:w="841"/>
        <w:gridCol w:w="1081"/>
      </w:tblGrid>
      <w:tr w:rsidR="00AF6121" w:rsidTr="00714415">
        <w:trPr>
          <w:trHeight w:val="960"/>
        </w:trPr>
        <w:tc>
          <w:tcPr>
            <w:tcW w:w="620" w:type="dxa"/>
            <w:tcBorders>
              <w:top w:val="single" w:sz="4" w:space="0" w:color="auto"/>
              <w:left w:val="single" w:sz="4" w:space="0" w:color="auto"/>
              <w:bottom w:val="single" w:sz="4" w:space="0" w:color="auto"/>
              <w:right w:val="single" w:sz="4" w:space="0" w:color="auto"/>
            </w:tcBorders>
            <w:shd w:val="clear" w:color="auto" w:fill="auto"/>
          </w:tcPr>
          <w:p w:rsidR="00AF6121" w:rsidRDefault="00AF6121">
            <w:pPr>
              <w:jc w:val="center"/>
              <w:rPr>
                <w:rFonts w:ascii="Arial" w:hAnsi="Arial" w:cs="Arial"/>
                <w:b/>
                <w:bCs/>
                <w:sz w:val="18"/>
                <w:szCs w:val="18"/>
              </w:rPr>
            </w:pPr>
            <w:r>
              <w:rPr>
                <w:rFonts w:ascii="Arial" w:hAnsi="Arial" w:cs="Arial"/>
                <w:b/>
                <w:bCs/>
                <w:sz w:val="18"/>
                <w:szCs w:val="18"/>
              </w:rPr>
              <w:t>Func. / Sub Func. Code</w:t>
            </w:r>
          </w:p>
        </w:tc>
        <w:tc>
          <w:tcPr>
            <w:tcW w:w="2001" w:type="dxa"/>
            <w:tcBorders>
              <w:top w:val="single" w:sz="4" w:space="0" w:color="auto"/>
              <w:left w:val="nil"/>
              <w:bottom w:val="single" w:sz="4" w:space="0" w:color="auto"/>
              <w:right w:val="single" w:sz="4" w:space="0" w:color="auto"/>
            </w:tcBorders>
            <w:shd w:val="clear" w:color="auto" w:fill="auto"/>
            <w:vAlign w:val="center"/>
          </w:tcPr>
          <w:p w:rsidR="00AF6121" w:rsidRDefault="00AF6121">
            <w:pPr>
              <w:rPr>
                <w:rFonts w:ascii="Arial" w:hAnsi="Arial" w:cs="Arial"/>
                <w:b/>
                <w:bCs/>
                <w:sz w:val="18"/>
                <w:szCs w:val="18"/>
              </w:rPr>
            </w:pPr>
            <w:r>
              <w:rPr>
                <w:rFonts w:ascii="Arial" w:hAnsi="Arial" w:cs="Arial"/>
                <w:b/>
                <w:bCs/>
                <w:sz w:val="18"/>
                <w:szCs w:val="18"/>
              </w:rPr>
              <w:t>Ministries/Institutions</w:t>
            </w:r>
          </w:p>
        </w:tc>
        <w:tc>
          <w:tcPr>
            <w:tcW w:w="2419" w:type="dxa"/>
            <w:tcBorders>
              <w:top w:val="single" w:sz="4" w:space="0" w:color="auto"/>
              <w:left w:val="nil"/>
              <w:bottom w:val="single" w:sz="4" w:space="0" w:color="auto"/>
              <w:right w:val="single" w:sz="4" w:space="0" w:color="auto"/>
            </w:tcBorders>
            <w:shd w:val="clear" w:color="auto" w:fill="auto"/>
            <w:vAlign w:val="center"/>
          </w:tcPr>
          <w:p w:rsidR="00AF6121" w:rsidRDefault="00AF6121">
            <w:pPr>
              <w:rPr>
                <w:rFonts w:ascii="Arial" w:hAnsi="Arial" w:cs="Arial"/>
                <w:b/>
                <w:bCs/>
                <w:sz w:val="18"/>
                <w:szCs w:val="18"/>
              </w:rPr>
            </w:pPr>
            <w:r>
              <w:rPr>
                <w:rFonts w:ascii="Arial" w:hAnsi="Arial" w:cs="Arial"/>
                <w:b/>
                <w:bCs/>
                <w:sz w:val="18"/>
                <w:szCs w:val="18"/>
              </w:rPr>
              <w:t>Departments</w:t>
            </w:r>
          </w:p>
        </w:tc>
        <w:tc>
          <w:tcPr>
            <w:tcW w:w="3264" w:type="dxa"/>
            <w:tcBorders>
              <w:top w:val="single" w:sz="4" w:space="0" w:color="auto"/>
              <w:left w:val="nil"/>
              <w:bottom w:val="single" w:sz="4" w:space="0" w:color="auto"/>
              <w:right w:val="single" w:sz="4" w:space="0" w:color="auto"/>
            </w:tcBorders>
            <w:shd w:val="clear" w:color="auto" w:fill="auto"/>
            <w:vAlign w:val="center"/>
          </w:tcPr>
          <w:p w:rsidR="00AF6121" w:rsidRDefault="00AF6121">
            <w:pPr>
              <w:rPr>
                <w:rFonts w:ascii="Arial" w:hAnsi="Arial" w:cs="Arial"/>
                <w:b/>
                <w:bCs/>
                <w:sz w:val="18"/>
                <w:szCs w:val="18"/>
              </w:rPr>
            </w:pPr>
            <w:r>
              <w:rPr>
                <w:rFonts w:ascii="Arial" w:hAnsi="Arial" w:cs="Arial"/>
                <w:b/>
                <w:bCs/>
                <w:sz w:val="18"/>
                <w:szCs w:val="18"/>
              </w:rPr>
              <w:t>Programmes</w:t>
            </w:r>
          </w:p>
        </w:tc>
        <w:tc>
          <w:tcPr>
            <w:tcW w:w="97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Maximum Number of Staff in 2005</w:t>
            </w:r>
          </w:p>
        </w:tc>
        <w:tc>
          <w:tcPr>
            <w:tcW w:w="118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Wages and Salaries</w:t>
            </w:r>
          </w:p>
        </w:tc>
        <w:tc>
          <w:tcPr>
            <w:tcW w:w="118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Goods and Services</w:t>
            </w:r>
          </w:p>
        </w:tc>
        <w:tc>
          <w:tcPr>
            <w:tcW w:w="99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Subsidies and Transfers</w:t>
            </w:r>
          </w:p>
        </w:tc>
        <w:tc>
          <w:tcPr>
            <w:tcW w:w="108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Capital Outlays</w:t>
            </w:r>
          </w:p>
        </w:tc>
        <w:tc>
          <w:tcPr>
            <w:tcW w:w="84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Reserve</w:t>
            </w:r>
          </w:p>
        </w:tc>
        <w:tc>
          <w:tcPr>
            <w:tcW w:w="1081" w:type="dxa"/>
            <w:tcBorders>
              <w:top w:val="single" w:sz="4" w:space="0" w:color="auto"/>
              <w:left w:val="nil"/>
              <w:bottom w:val="single" w:sz="4" w:space="0" w:color="auto"/>
              <w:right w:val="single" w:sz="4" w:space="0" w:color="auto"/>
            </w:tcBorders>
            <w:shd w:val="clear" w:color="auto" w:fill="auto"/>
            <w:vAlign w:val="center"/>
          </w:tcPr>
          <w:p w:rsidR="00AF6121" w:rsidRDefault="00AF6121">
            <w:pPr>
              <w:jc w:val="right"/>
              <w:rPr>
                <w:rFonts w:ascii="Arial" w:hAnsi="Arial" w:cs="Arial"/>
                <w:b/>
                <w:bCs/>
                <w:sz w:val="18"/>
                <w:szCs w:val="18"/>
              </w:rPr>
            </w:pPr>
            <w:r>
              <w:rPr>
                <w:rFonts w:ascii="Arial" w:hAnsi="Arial" w:cs="Arial"/>
                <w:b/>
                <w:bCs/>
                <w:sz w:val="18"/>
                <w:szCs w:val="18"/>
              </w:rPr>
              <w:t>Total 2005</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 </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Ministry of Health</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17635B">
            <w:pPr>
              <w:jc w:val="right"/>
              <w:rPr>
                <w:rFonts w:ascii="Arial" w:hAnsi="Arial" w:cs="Arial"/>
                <w:b/>
                <w:bCs/>
                <w:sz w:val="18"/>
                <w:szCs w:val="18"/>
              </w:rPr>
            </w:pPr>
            <w:r>
              <w:rPr>
                <w:rFonts w:ascii="Arial" w:hAnsi="Arial" w:cs="Arial"/>
                <w:b/>
                <w:bCs/>
                <w:sz w:val="18"/>
                <w:szCs w:val="18"/>
              </w:rPr>
              <w:t xml:space="preserve"> </w:t>
            </w:r>
            <w:r w:rsidR="00AF6121">
              <w:rPr>
                <w:rFonts w:ascii="Arial" w:hAnsi="Arial" w:cs="Arial"/>
                <w:b/>
                <w:bCs/>
                <w:sz w:val="18"/>
                <w:szCs w:val="18"/>
              </w:rPr>
              <w:t xml:space="preserve">  7 513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17 920 441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25 443 918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724 082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8 100 000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  52 188 441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b/>
                <w:bCs/>
                <w:sz w:val="18"/>
                <w:szCs w:val="18"/>
              </w:rPr>
            </w:pPr>
            <w:r>
              <w:rPr>
                <w:rFonts w:ascii="Arial" w:hAnsi="Arial" w:cs="Arial"/>
                <w:b/>
                <w:bCs/>
                <w:sz w:val="18"/>
                <w:szCs w:val="18"/>
              </w:rPr>
              <w:t> </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xml:space="preserve">Hospitals Health Services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6141</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13 951 313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12 663 528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3 835 928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  30 450 769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xml:space="preserve">University Clinical Center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2871</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6 763 945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7 127 000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1 645 928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15 536 873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Gjilan Regional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540</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1 206 411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786 398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225 000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2 217 809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Prizren Regional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778</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1 753 777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1 186 836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863 000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3 803 613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Gjakove Regional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575</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1 209 384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926 820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285 000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2 421 204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Peje Regional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570</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1 245 562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840 272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285 000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2 370 834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Mitrovica Regional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324</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724 548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885 222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215 000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1 824 770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Vushtrri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118</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271 666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248 980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600 646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Ferizaj Hospital</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219</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450 476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340 000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145 000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935 476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 </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0723</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Dental Clinic</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146</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325 544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322 000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92 000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739 544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b/>
                <w:bCs/>
                <w:sz w:val="18"/>
                <w:szCs w:val="18"/>
              </w:rPr>
            </w:pPr>
            <w:r>
              <w:rPr>
                <w:rFonts w:ascii="Arial" w:hAnsi="Arial" w:cs="Arial"/>
                <w:b/>
                <w:bCs/>
                <w:sz w:val="18"/>
                <w:szCs w:val="18"/>
              </w:rPr>
              <w:t> </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Other Health Services</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814</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1 913 389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11 334 402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724 082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1 277 872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  15 249 745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0721</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Primary Health Care</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10</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24 083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641 940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530 000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1 196 023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0740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Institute for Public Health</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287</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715 361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605 000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150 000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1 470 361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lastRenderedPageBreak/>
              <w:t>0732</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Kosovo Mental Health Services</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172</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397 876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505 922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223 000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1 126 798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0711</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Pharmaceuticals Programme</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8 758 893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8 758 893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0722</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Occupational Health Programme</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86</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203 715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151 672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123 632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479 019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0950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Nursing Division</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10</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25 838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63 440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94 278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0722</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Minorities Health Programme</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195</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420 088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352 035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51 240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823 363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0760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Overseas Medical Hardship Treatment</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724 082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724 082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0732</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xml:space="preserve">National Entity of Blood Transfusion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54</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126 428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255 500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195 000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576 928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 </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Department of Administration</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b/>
                <w:bCs/>
                <w:sz w:val="18"/>
                <w:szCs w:val="18"/>
              </w:rPr>
            </w:pPr>
            <w:r>
              <w:rPr>
                <w:rFonts w:ascii="Arial" w:hAnsi="Arial" w:cs="Arial"/>
                <w:b/>
                <w:bCs/>
                <w:sz w:val="18"/>
                <w:szCs w:val="18"/>
              </w:rPr>
              <w:t> </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558</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2 055 739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1 445 988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2 986 200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b/>
                <w:bCs/>
                <w:sz w:val="18"/>
                <w:szCs w:val="18"/>
              </w:rPr>
            </w:pPr>
            <w:r>
              <w:rPr>
                <w:rFonts w:ascii="Arial" w:hAnsi="Arial" w:cs="Arial"/>
                <w:b/>
                <w:bCs/>
                <w:sz w:val="18"/>
                <w:szCs w:val="18"/>
              </w:rPr>
              <w:t xml:space="preserve">    6 487 927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0130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Division of Central Administration</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123</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383 809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498 500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1 760 000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2 642 309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0760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Health Care Commissioning Agency</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4</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27 403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64 000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101 403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0760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Kosovo Drug Regulatory Authority</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25</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86 907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205 100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1 155 000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1 447 007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0760</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Other Programmes</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58</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131 343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204 388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41 200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376 931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0111</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Office of the Minister</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12</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67 880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60 000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20 000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147 880 </w:t>
            </w:r>
          </w:p>
        </w:tc>
      </w:tr>
      <w:tr w:rsidR="00AF6121" w:rsidTr="00714415">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AF6121" w:rsidRDefault="00AF6121">
            <w:pPr>
              <w:jc w:val="center"/>
              <w:rPr>
                <w:rFonts w:ascii="Arial" w:hAnsi="Arial" w:cs="Arial"/>
                <w:sz w:val="18"/>
                <w:szCs w:val="18"/>
              </w:rPr>
            </w:pPr>
            <w:r>
              <w:rPr>
                <w:rFonts w:ascii="Arial" w:hAnsi="Arial" w:cs="Arial"/>
                <w:sz w:val="18"/>
                <w:szCs w:val="18"/>
              </w:rPr>
              <w:t>0941</w:t>
            </w:r>
          </w:p>
        </w:tc>
        <w:tc>
          <w:tcPr>
            <w:tcW w:w="2001"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2419"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 </w:t>
            </w:r>
          </w:p>
        </w:tc>
        <w:tc>
          <w:tcPr>
            <w:tcW w:w="3264" w:type="dxa"/>
            <w:tcBorders>
              <w:top w:val="nil"/>
              <w:left w:val="nil"/>
              <w:bottom w:val="single" w:sz="4" w:space="0" w:color="auto"/>
              <w:right w:val="single" w:sz="4" w:space="0" w:color="auto"/>
            </w:tcBorders>
            <w:shd w:val="clear" w:color="auto" w:fill="auto"/>
            <w:noWrap/>
            <w:vAlign w:val="bottom"/>
          </w:tcPr>
          <w:p w:rsidR="00AF6121" w:rsidRDefault="00AF6121">
            <w:pPr>
              <w:rPr>
                <w:rFonts w:ascii="Arial" w:hAnsi="Arial" w:cs="Arial"/>
                <w:sz w:val="18"/>
                <w:szCs w:val="18"/>
              </w:rPr>
            </w:pPr>
            <w:r>
              <w:rPr>
                <w:rFonts w:ascii="Arial" w:hAnsi="Arial" w:cs="Arial"/>
                <w:sz w:val="18"/>
                <w:szCs w:val="18"/>
              </w:rPr>
              <w:t>Resident doctors</w:t>
            </w:r>
          </w:p>
        </w:tc>
        <w:tc>
          <w:tcPr>
            <w:tcW w:w="97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336</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1 358 397 </w:t>
            </w:r>
          </w:p>
        </w:tc>
        <w:tc>
          <w:tcPr>
            <w:tcW w:w="11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414 000 </w:t>
            </w:r>
          </w:p>
        </w:tc>
        <w:tc>
          <w:tcPr>
            <w:tcW w:w="99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84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w:t>
            </w:r>
          </w:p>
        </w:tc>
        <w:tc>
          <w:tcPr>
            <w:tcW w:w="1081" w:type="dxa"/>
            <w:tcBorders>
              <w:top w:val="nil"/>
              <w:left w:val="nil"/>
              <w:bottom w:val="single" w:sz="4" w:space="0" w:color="auto"/>
              <w:right w:val="single" w:sz="4" w:space="0" w:color="auto"/>
            </w:tcBorders>
            <w:shd w:val="clear" w:color="auto" w:fill="auto"/>
            <w:noWrap/>
            <w:vAlign w:val="bottom"/>
          </w:tcPr>
          <w:p w:rsidR="00AF6121" w:rsidRDefault="00AF6121">
            <w:pPr>
              <w:jc w:val="right"/>
              <w:rPr>
                <w:rFonts w:ascii="Arial" w:hAnsi="Arial" w:cs="Arial"/>
                <w:sz w:val="18"/>
                <w:szCs w:val="18"/>
              </w:rPr>
            </w:pPr>
            <w:r>
              <w:rPr>
                <w:rFonts w:ascii="Arial" w:hAnsi="Arial" w:cs="Arial"/>
                <w:sz w:val="18"/>
                <w:szCs w:val="18"/>
              </w:rPr>
              <w:t xml:space="preserve">    1 772 397 </w:t>
            </w:r>
          </w:p>
        </w:tc>
      </w:tr>
    </w:tbl>
    <w:p w:rsidR="00AF6121" w:rsidRDefault="00AF6121" w:rsidP="00487772">
      <w:pPr>
        <w:pStyle w:val="BodyText"/>
      </w:pPr>
    </w:p>
    <w:p w:rsidR="00AF6121" w:rsidRDefault="00AF6121" w:rsidP="00AF6121">
      <w:pPr>
        <w:pStyle w:val="Heading1"/>
        <w:numPr>
          <w:ilvl w:val="0"/>
          <w:numId w:val="0"/>
        </w:numPr>
        <w:spacing w:line="360" w:lineRule="auto"/>
        <w:jc w:val="both"/>
        <w:sectPr w:rsidR="00AF6121" w:rsidSect="00C942D3">
          <w:pgSz w:w="16838" w:h="11906" w:orient="landscape"/>
          <w:pgMar w:top="1418" w:right="1418" w:bottom="1418" w:left="1418" w:header="709" w:footer="709" w:gutter="0"/>
          <w:cols w:space="708"/>
          <w:docGrid w:linePitch="360"/>
        </w:sectPr>
      </w:pPr>
    </w:p>
    <w:p w:rsidR="00AF6121" w:rsidRPr="00487772" w:rsidRDefault="00AF6121" w:rsidP="00AF6121">
      <w:pPr>
        <w:pStyle w:val="Heading1"/>
        <w:numPr>
          <w:ilvl w:val="0"/>
          <w:numId w:val="0"/>
        </w:numPr>
        <w:spacing w:line="360" w:lineRule="auto"/>
        <w:jc w:val="both"/>
        <w:rPr>
          <w:rFonts w:ascii="Arial Narrow" w:hAnsi="Arial Narrow"/>
          <w:lang w:val="en-GB"/>
        </w:rPr>
      </w:pPr>
      <w:bookmarkStart w:id="22" w:name="_Toc175548187"/>
      <w:r>
        <w:rPr>
          <w:bCs w:val="0"/>
          <w:sz w:val="24"/>
          <w:lang w:val="en-GB"/>
        </w:rPr>
        <w:lastRenderedPageBreak/>
        <w:t>Annex</w:t>
      </w:r>
      <w:r w:rsidRPr="00487772">
        <w:rPr>
          <w:bCs w:val="0"/>
          <w:sz w:val="24"/>
          <w:lang w:val="en-GB"/>
        </w:rPr>
        <w:t xml:space="preserve"> </w:t>
      </w:r>
      <w:r>
        <w:rPr>
          <w:bCs w:val="0"/>
          <w:sz w:val="24"/>
          <w:lang w:val="en-GB"/>
        </w:rPr>
        <w:t>VIII</w:t>
      </w:r>
      <w:bookmarkEnd w:id="22"/>
    </w:p>
    <w:p w:rsidR="00AF6121" w:rsidRDefault="00AF6121" w:rsidP="00AF6121">
      <w:pPr>
        <w:pStyle w:val="BodyText"/>
        <w:jc w:val="center"/>
        <w:rPr>
          <w:b/>
        </w:rPr>
      </w:pPr>
    </w:p>
    <w:p w:rsidR="00AF6121" w:rsidRDefault="00C942D3" w:rsidP="00AF6121">
      <w:pPr>
        <w:pStyle w:val="BodyText"/>
        <w:jc w:val="center"/>
        <w:rPr>
          <w:b/>
        </w:rPr>
      </w:pPr>
      <w:r>
        <w:rPr>
          <w:b/>
        </w:rPr>
        <w:t>Donors’ health care expenditures, 2005</w:t>
      </w:r>
      <w:r w:rsidR="00EA47BD">
        <w:rPr>
          <w:rStyle w:val="FootnoteReference"/>
          <w:b/>
        </w:rPr>
        <w:footnoteReference w:id="13"/>
      </w:r>
    </w:p>
    <w:p w:rsidR="00A357F3" w:rsidRPr="00487772" w:rsidRDefault="00A357F3" w:rsidP="00487772">
      <w:pPr>
        <w:pStyle w:val="BodyText"/>
      </w:pPr>
    </w:p>
    <w:tbl>
      <w:tblPr>
        <w:tblW w:w="9479" w:type="dxa"/>
        <w:tblInd w:w="55" w:type="dxa"/>
        <w:tblLayout w:type="fixed"/>
        <w:tblCellMar>
          <w:left w:w="70" w:type="dxa"/>
          <w:right w:w="70" w:type="dxa"/>
        </w:tblCellMar>
        <w:tblLook w:val="0000"/>
      </w:tblPr>
      <w:tblGrid>
        <w:gridCol w:w="1200"/>
        <w:gridCol w:w="1154"/>
        <w:gridCol w:w="1181"/>
        <w:gridCol w:w="1171"/>
        <w:gridCol w:w="1080"/>
        <w:gridCol w:w="1091"/>
        <w:gridCol w:w="1058"/>
        <w:gridCol w:w="793"/>
        <w:gridCol w:w="751"/>
      </w:tblGrid>
      <w:tr w:rsidR="00A357F3" w:rsidRPr="00C942D3">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Donor</w:t>
            </w:r>
          </w:p>
        </w:tc>
        <w:tc>
          <w:tcPr>
            <w:tcW w:w="1154" w:type="dxa"/>
            <w:tcBorders>
              <w:top w:val="single" w:sz="4" w:space="0" w:color="auto"/>
              <w:left w:val="nil"/>
              <w:bottom w:val="single" w:sz="4" w:space="0" w:color="auto"/>
              <w:right w:val="single" w:sz="4" w:space="0" w:color="auto"/>
            </w:tcBorders>
            <w:shd w:val="clear" w:color="000000" w:fill="auto"/>
            <w:noWrap/>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Subsector</w:t>
            </w:r>
          </w:p>
        </w:tc>
        <w:tc>
          <w:tcPr>
            <w:tcW w:w="1181" w:type="dxa"/>
            <w:tcBorders>
              <w:top w:val="single" w:sz="4" w:space="0" w:color="auto"/>
              <w:left w:val="nil"/>
              <w:bottom w:val="single" w:sz="4" w:space="0" w:color="auto"/>
              <w:right w:val="single" w:sz="4" w:space="0" w:color="auto"/>
            </w:tcBorders>
            <w:shd w:val="clear" w:color="000000" w:fill="auto"/>
            <w:noWrap/>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Description</w:t>
            </w:r>
          </w:p>
        </w:tc>
        <w:tc>
          <w:tcPr>
            <w:tcW w:w="1171" w:type="dxa"/>
            <w:tcBorders>
              <w:top w:val="single" w:sz="4" w:space="0" w:color="auto"/>
              <w:left w:val="nil"/>
              <w:bottom w:val="single" w:sz="4" w:space="0" w:color="auto"/>
              <w:right w:val="single" w:sz="4" w:space="0" w:color="auto"/>
            </w:tcBorders>
            <w:shd w:val="clear" w:color="000000" w:fill="auto"/>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Intervention type</w:t>
            </w:r>
          </w:p>
        </w:tc>
        <w:tc>
          <w:tcPr>
            <w:tcW w:w="1080" w:type="dxa"/>
            <w:tcBorders>
              <w:top w:val="single" w:sz="4" w:space="0" w:color="auto"/>
              <w:left w:val="nil"/>
              <w:bottom w:val="single" w:sz="4" w:space="0" w:color="auto"/>
              <w:right w:val="single" w:sz="4" w:space="0" w:color="auto"/>
            </w:tcBorders>
            <w:shd w:val="clear" w:color="000000" w:fill="auto"/>
            <w:noWrap/>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Committed</w:t>
            </w:r>
          </w:p>
        </w:tc>
        <w:tc>
          <w:tcPr>
            <w:tcW w:w="1091" w:type="dxa"/>
            <w:tcBorders>
              <w:top w:val="single" w:sz="4" w:space="0" w:color="auto"/>
              <w:left w:val="nil"/>
              <w:bottom w:val="single" w:sz="4" w:space="0" w:color="auto"/>
              <w:right w:val="single" w:sz="4" w:space="0" w:color="auto"/>
            </w:tcBorders>
            <w:shd w:val="clear" w:color="000000" w:fill="auto"/>
            <w:noWrap/>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Contracted</w:t>
            </w:r>
          </w:p>
        </w:tc>
        <w:tc>
          <w:tcPr>
            <w:tcW w:w="1058" w:type="dxa"/>
            <w:tcBorders>
              <w:top w:val="single" w:sz="4" w:space="0" w:color="auto"/>
              <w:left w:val="nil"/>
              <w:bottom w:val="single" w:sz="4" w:space="0" w:color="auto"/>
              <w:right w:val="single" w:sz="4" w:space="0" w:color="auto"/>
            </w:tcBorders>
            <w:shd w:val="clear" w:color="000000" w:fill="auto"/>
            <w:noWrap/>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Spent</w:t>
            </w:r>
          </w:p>
        </w:tc>
        <w:tc>
          <w:tcPr>
            <w:tcW w:w="793" w:type="dxa"/>
            <w:tcBorders>
              <w:top w:val="single" w:sz="4" w:space="0" w:color="auto"/>
              <w:left w:val="nil"/>
              <w:bottom w:val="single" w:sz="4" w:space="0" w:color="auto"/>
              <w:right w:val="single" w:sz="4" w:space="0" w:color="auto"/>
            </w:tcBorders>
            <w:shd w:val="clear" w:color="000000" w:fill="auto"/>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Aid Modality</w:t>
            </w:r>
          </w:p>
        </w:tc>
        <w:tc>
          <w:tcPr>
            <w:tcW w:w="751" w:type="dxa"/>
            <w:tcBorders>
              <w:top w:val="single" w:sz="4" w:space="0" w:color="auto"/>
              <w:left w:val="nil"/>
              <w:bottom w:val="single" w:sz="4" w:space="0" w:color="auto"/>
              <w:right w:val="single" w:sz="4" w:space="0" w:color="auto"/>
            </w:tcBorders>
            <w:shd w:val="clear" w:color="000000" w:fill="auto"/>
            <w:vAlign w:val="bottom"/>
          </w:tcPr>
          <w:p w:rsidR="00A357F3" w:rsidRPr="00C942D3" w:rsidRDefault="00A357F3">
            <w:pPr>
              <w:jc w:val="center"/>
              <w:rPr>
                <w:rFonts w:ascii="Arial" w:hAnsi="Arial" w:cs="Arial"/>
                <w:b/>
                <w:bCs/>
                <w:sz w:val="18"/>
                <w:szCs w:val="18"/>
              </w:rPr>
            </w:pPr>
            <w:r w:rsidRPr="00C942D3">
              <w:rPr>
                <w:rFonts w:ascii="Arial" w:hAnsi="Arial" w:cs="Arial"/>
                <w:b/>
                <w:bCs/>
                <w:sz w:val="18"/>
                <w:szCs w:val="18"/>
              </w:rPr>
              <w:t>Project Status</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EU (EAR)</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Support to Ministry of Health</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€ 695,97</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4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UNDP</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 xml:space="preserve">HIV/AIDS in Kosovo </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€ 71,00</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€ 15,00</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1575"/>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UNDP</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 xml:space="preserve">Preventive Development Advocacy for HIV/ AIDS in Kosovo </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€ 71,00</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€ 64,00</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4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USA</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HIV/AIDS-FSHI</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€ 156,19</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Luxembourg</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Hospitals</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Refurbishment and strengthening of the Prizren Hospital</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CI</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€ 881,17</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€ 881,17</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€ 1 417,72</w:t>
            </w:r>
          </w:p>
        </w:tc>
        <w:tc>
          <w:tcPr>
            <w:tcW w:w="793"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UK</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Support to the Ministry of Health</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€ 855,00</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€ 855,00</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€ 855,00</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Finland</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Development of Nursing in Kosovo</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€ 733,76</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€ 733,76</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€ 733,76</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2475"/>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Italy</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Technical Assistance, Re-trainig and Professional Training for the staff of the Peja Regional Hospital</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€ 558,91</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€ 558,91</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€ 558,91</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9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lastRenderedPageBreak/>
              <w:t>Switzerland</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Mental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Intensive Care Psychiatric Unit</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CI</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€ 502,67</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€ 502,67</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€ 502,67</w:t>
            </w:r>
          </w:p>
        </w:tc>
        <w:tc>
          <w:tcPr>
            <w:tcW w:w="793"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1575"/>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Other Governmental</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Tuberculosis Prevention and tretment activities in Kosovo</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€ 447,61</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DDG</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N</w:t>
            </w:r>
          </w:p>
        </w:tc>
      </w:tr>
      <w:tr w:rsidR="00A357F3" w:rsidRPr="00C942D3">
        <w:trPr>
          <w:trHeight w:val="9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USA</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Partnership AIHDA / DMS</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€ 415,85</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EU (EAR)</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Support to the Ministry of Health</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€ 300,00</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€ 300,00</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EU (EAR)</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Emergency Medical Care Enhancement</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€ 305,06</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€305,06</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18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Sweden</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Hospitals</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Regional programme to fight HIV/aids Support to local NGOs and clinical sector</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€ 215,52</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€ 215,52</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€ 215,52</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N</w:t>
            </w:r>
          </w:p>
        </w:tc>
      </w:tr>
      <w:tr w:rsidR="00A357F3" w:rsidRPr="00C942D3">
        <w:trPr>
          <w:trHeight w:val="4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UNICEF</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Immunization Plus</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€ 83,91</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€ 83,91</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€ 83,91</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N</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Japan</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Medical Equipment for Ambulance</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€ 72,35</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€ 72,35</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€ 72,35</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DDG</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675"/>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UNICEF</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Parentig Initiative - BPI</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O</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€ 65,00</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€ 65,00</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€ 65,00</w:t>
            </w:r>
          </w:p>
        </w:tc>
        <w:tc>
          <w:tcPr>
            <w:tcW w:w="793"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9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UNICEF</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Mother and Child Health Care Services</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€ 41,23</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€ 41,23</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€ 41,23</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N</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UNICEF</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Policies, legislation on Safe Motherhood and Early Childhood</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€ 28,97</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€ 28,97</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€ 28,97</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9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UNDP</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Education for Novo Bërd</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€ 13,17</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€ 13,16</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€ 13,16</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DDG</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N</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lastRenderedPageBreak/>
              <w:t>UNICEF</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Universal Salt Iodisation and reduction of IDD</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€ 8,53</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€ 8,53</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€ 8,53</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UNDP</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Care System Administration and Management</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 - Shterpce Municipality</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€ 7,21</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€ 7,21</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€ 7,21</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DDG</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675"/>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IOM</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Counter Trafficking Programme</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€ 6,40</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€ 5,12</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€ 1,92</w:t>
            </w:r>
          </w:p>
        </w:tc>
        <w:tc>
          <w:tcPr>
            <w:tcW w:w="793"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DDG</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N</w:t>
            </w:r>
          </w:p>
        </w:tc>
      </w:tr>
      <w:tr w:rsidR="00A357F3" w:rsidRPr="00C942D3">
        <w:trPr>
          <w:trHeight w:val="9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UNICEF</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Mother and Child Health Care Serices</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O</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€ 4,69</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€ 4,69</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€ 4,69</w:t>
            </w:r>
          </w:p>
        </w:tc>
        <w:tc>
          <w:tcPr>
            <w:tcW w:w="793"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4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UNDP</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Public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Health</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€ 4,18</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€ 1,23</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€ 1,23</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DDG</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C</w:t>
            </w:r>
          </w:p>
        </w:tc>
      </w:tr>
      <w:tr w:rsidR="00A357F3" w:rsidRPr="00C942D3">
        <w:trPr>
          <w:trHeight w:val="135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USA</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Mental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Iniciative for inclusion of people with mental disabilities</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€ 241,02</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€ 241,02</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€ 59,81</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900"/>
        </w:trPr>
        <w:tc>
          <w:tcPr>
            <w:tcW w:w="1200" w:type="dxa"/>
            <w:tcBorders>
              <w:top w:val="nil"/>
              <w:left w:val="single" w:sz="4" w:space="0" w:color="auto"/>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Denmark</w:t>
            </w:r>
          </w:p>
        </w:tc>
        <w:tc>
          <w:tcPr>
            <w:tcW w:w="1154"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Mental Health</w:t>
            </w:r>
          </w:p>
        </w:tc>
        <w:tc>
          <w:tcPr>
            <w:tcW w:w="1181" w:type="dxa"/>
            <w:tcBorders>
              <w:top w:val="nil"/>
              <w:left w:val="nil"/>
              <w:bottom w:val="single" w:sz="4" w:space="0" w:color="auto"/>
              <w:right w:val="single" w:sz="4" w:space="0" w:color="auto"/>
            </w:tcBorders>
            <w:shd w:val="clear" w:color="auto" w:fill="auto"/>
            <w:vAlign w:val="bottom"/>
          </w:tcPr>
          <w:p w:rsidR="00A357F3" w:rsidRPr="00C942D3" w:rsidRDefault="00A357F3">
            <w:pPr>
              <w:rPr>
                <w:rFonts w:ascii="Arial" w:hAnsi="Arial" w:cs="Arial"/>
                <w:sz w:val="16"/>
                <w:szCs w:val="16"/>
              </w:rPr>
            </w:pPr>
            <w:r w:rsidRPr="00C942D3">
              <w:rPr>
                <w:rFonts w:ascii="Arial" w:hAnsi="Arial" w:cs="Arial"/>
                <w:sz w:val="16"/>
                <w:szCs w:val="16"/>
              </w:rPr>
              <w:t>Treatment of Traumatized Persons</w:t>
            </w:r>
          </w:p>
        </w:tc>
        <w:tc>
          <w:tcPr>
            <w:tcW w:w="1171"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TA</w:t>
            </w:r>
          </w:p>
        </w:tc>
        <w:tc>
          <w:tcPr>
            <w:tcW w:w="1080"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€ 0,39</w:t>
            </w:r>
          </w:p>
        </w:tc>
        <w:tc>
          <w:tcPr>
            <w:tcW w:w="1091"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€ 0,39</w:t>
            </w:r>
          </w:p>
        </w:tc>
        <w:tc>
          <w:tcPr>
            <w:tcW w:w="1058" w:type="dxa"/>
            <w:tcBorders>
              <w:top w:val="nil"/>
              <w:left w:val="nil"/>
              <w:bottom w:val="single" w:sz="4" w:space="0" w:color="auto"/>
              <w:right w:val="single" w:sz="4" w:space="0" w:color="auto"/>
            </w:tcBorders>
            <w:shd w:val="clear" w:color="auto" w:fill="auto"/>
            <w:vAlign w:val="bottom"/>
          </w:tcPr>
          <w:p w:rsidR="00A357F3" w:rsidRPr="00C942D3" w:rsidRDefault="00A357F3">
            <w:pPr>
              <w:jc w:val="right"/>
              <w:rPr>
                <w:rFonts w:ascii="Arial" w:hAnsi="Arial" w:cs="Arial"/>
                <w:sz w:val="16"/>
                <w:szCs w:val="16"/>
              </w:rPr>
            </w:pPr>
            <w:r w:rsidRPr="00C942D3">
              <w:rPr>
                <w:rFonts w:ascii="Arial" w:hAnsi="Arial" w:cs="Arial"/>
                <w:sz w:val="16"/>
                <w:szCs w:val="16"/>
              </w:rPr>
              <w:t>€ 0,35</w:t>
            </w:r>
          </w:p>
        </w:tc>
        <w:tc>
          <w:tcPr>
            <w:tcW w:w="793" w:type="dxa"/>
            <w:tcBorders>
              <w:top w:val="nil"/>
              <w:left w:val="nil"/>
              <w:bottom w:val="single" w:sz="4" w:space="0" w:color="auto"/>
              <w:right w:val="single" w:sz="4" w:space="0" w:color="auto"/>
            </w:tcBorders>
            <w:shd w:val="clear" w:color="auto" w:fill="auto"/>
            <w:vAlign w:val="bottom"/>
          </w:tcPr>
          <w:p w:rsidR="00A357F3" w:rsidRPr="00C942D3" w:rsidRDefault="00A357F3">
            <w:pPr>
              <w:jc w:val="center"/>
              <w:rPr>
                <w:rFonts w:ascii="Arial" w:hAnsi="Arial" w:cs="Arial"/>
                <w:sz w:val="16"/>
                <w:szCs w:val="16"/>
              </w:rPr>
            </w:pPr>
            <w:r w:rsidRPr="00C942D3">
              <w:rPr>
                <w:rFonts w:ascii="Arial" w:hAnsi="Arial" w:cs="Arial"/>
                <w:sz w:val="16"/>
                <w:szCs w:val="16"/>
              </w:rPr>
              <w:t>P</w:t>
            </w:r>
          </w:p>
        </w:tc>
        <w:tc>
          <w:tcPr>
            <w:tcW w:w="751" w:type="dxa"/>
            <w:tcBorders>
              <w:top w:val="nil"/>
              <w:left w:val="nil"/>
              <w:bottom w:val="single" w:sz="4" w:space="0" w:color="auto"/>
              <w:right w:val="single" w:sz="4" w:space="0" w:color="auto"/>
            </w:tcBorders>
            <w:shd w:val="clear" w:color="auto" w:fill="auto"/>
            <w:noWrap/>
            <w:vAlign w:val="bottom"/>
          </w:tcPr>
          <w:p w:rsidR="00A357F3" w:rsidRPr="00C942D3" w:rsidRDefault="00A357F3">
            <w:pPr>
              <w:jc w:val="center"/>
              <w:rPr>
                <w:rFonts w:ascii="Arial" w:hAnsi="Arial" w:cs="Arial"/>
                <w:sz w:val="20"/>
                <w:szCs w:val="20"/>
              </w:rPr>
            </w:pPr>
            <w:r w:rsidRPr="00C942D3">
              <w:rPr>
                <w:rFonts w:ascii="Arial" w:hAnsi="Arial" w:cs="Arial"/>
                <w:sz w:val="20"/>
                <w:szCs w:val="20"/>
              </w:rPr>
              <w:t>O</w:t>
            </w:r>
          </w:p>
        </w:tc>
      </w:tr>
      <w:tr w:rsidR="00A357F3" w:rsidRPr="00C942D3">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7F3" w:rsidRPr="00C942D3" w:rsidRDefault="00A357F3">
            <w:pPr>
              <w:rPr>
                <w:rFonts w:ascii="Arial" w:hAnsi="Arial" w:cs="Arial"/>
                <w:b/>
                <w:bCs/>
                <w:sz w:val="18"/>
                <w:szCs w:val="18"/>
              </w:rPr>
            </w:pPr>
            <w:r w:rsidRPr="00C942D3">
              <w:rPr>
                <w:rFonts w:ascii="Arial" w:hAnsi="Arial" w:cs="Arial"/>
                <w:b/>
                <w:bCs/>
                <w:sz w:val="18"/>
                <w:szCs w:val="18"/>
              </w:rPr>
              <w:t> </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rPr>
                <w:rFonts w:ascii="Arial" w:hAnsi="Arial" w:cs="Arial"/>
                <w:b/>
                <w:bCs/>
                <w:sz w:val="18"/>
                <w:szCs w:val="18"/>
              </w:rPr>
            </w:pPr>
            <w:r w:rsidRPr="00C942D3">
              <w:rPr>
                <w:rFonts w:ascii="Arial" w:hAnsi="Arial" w:cs="Arial"/>
                <w:b/>
                <w:bCs/>
                <w:sz w:val="18"/>
                <w:szCs w:val="18"/>
              </w:rPr>
              <w:t> </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rPr>
                <w:rFonts w:ascii="Arial" w:hAnsi="Arial" w:cs="Arial"/>
                <w:b/>
                <w:bCs/>
                <w:sz w:val="18"/>
                <w:szCs w:val="18"/>
              </w:rPr>
            </w:pPr>
            <w:r w:rsidRPr="00C942D3">
              <w:rPr>
                <w:rFonts w:ascii="Arial" w:hAnsi="Arial" w:cs="Arial"/>
                <w:b/>
                <w:bCs/>
                <w:sz w:val="18"/>
                <w:szCs w:val="18"/>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rPr>
                <w:rFonts w:ascii="Arial" w:hAnsi="Arial" w:cs="Arial"/>
                <w:b/>
                <w:bCs/>
                <w:sz w:val="18"/>
                <w:szCs w:val="18"/>
              </w:rPr>
            </w:pPr>
            <w:r w:rsidRPr="00C942D3">
              <w:rPr>
                <w:rFonts w:ascii="Arial" w:hAnsi="Arial" w:cs="Arial"/>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jc w:val="right"/>
              <w:rPr>
                <w:rFonts w:ascii="Arial" w:hAnsi="Arial" w:cs="Arial"/>
                <w:b/>
                <w:bCs/>
                <w:sz w:val="18"/>
                <w:szCs w:val="18"/>
              </w:rPr>
            </w:pPr>
            <w:r w:rsidRPr="00C942D3">
              <w:rPr>
                <w:rFonts w:ascii="Arial" w:hAnsi="Arial" w:cs="Arial"/>
                <w:b/>
                <w:bCs/>
                <w:sz w:val="18"/>
                <w:szCs w:val="18"/>
              </w:rPr>
              <w:t>€ 5 792,60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jc w:val="right"/>
              <w:rPr>
                <w:rFonts w:ascii="Arial" w:hAnsi="Arial" w:cs="Arial"/>
                <w:b/>
                <w:bCs/>
                <w:sz w:val="18"/>
                <w:szCs w:val="18"/>
              </w:rPr>
            </w:pPr>
            <w:r w:rsidRPr="00C942D3">
              <w:rPr>
                <w:rFonts w:ascii="Arial" w:hAnsi="Arial" w:cs="Arial"/>
                <w:b/>
                <w:bCs/>
                <w:sz w:val="18"/>
                <w:szCs w:val="18"/>
              </w:rPr>
              <w:t>€ 5 066,90</w:t>
            </w:r>
          </w:p>
        </w:tc>
        <w:tc>
          <w:tcPr>
            <w:tcW w:w="1058"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jc w:val="right"/>
              <w:rPr>
                <w:rFonts w:ascii="Arial" w:hAnsi="Arial" w:cs="Arial"/>
                <w:b/>
                <w:bCs/>
                <w:sz w:val="18"/>
                <w:szCs w:val="18"/>
              </w:rPr>
            </w:pPr>
            <w:r w:rsidRPr="00C942D3">
              <w:rPr>
                <w:rFonts w:ascii="Arial" w:hAnsi="Arial" w:cs="Arial"/>
                <w:b/>
                <w:bCs/>
                <w:sz w:val="18"/>
                <w:szCs w:val="18"/>
              </w:rPr>
              <w:t>€ 5 603,10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rPr>
                <w:rFonts w:ascii="Arial" w:hAnsi="Arial" w:cs="Arial"/>
                <w:b/>
                <w:bCs/>
                <w:sz w:val="18"/>
                <w:szCs w:val="18"/>
              </w:rPr>
            </w:pPr>
            <w:r w:rsidRPr="00C942D3">
              <w:rPr>
                <w:rFonts w:ascii="Arial" w:hAnsi="Arial" w:cs="Arial"/>
                <w:b/>
                <w:bCs/>
                <w:sz w:val="18"/>
                <w:szCs w:val="18"/>
              </w:rPr>
              <w:t> </w:t>
            </w:r>
          </w:p>
        </w:tc>
        <w:tc>
          <w:tcPr>
            <w:tcW w:w="751" w:type="dxa"/>
            <w:tcBorders>
              <w:top w:val="single" w:sz="4" w:space="0" w:color="auto"/>
              <w:left w:val="nil"/>
              <w:bottom w:val="single" w:sz="4" w:space="0" w:color="auto"/>
              <w:right w:val="single" w:sz="4" w:space="0" w:color="auto"/>
            </w:tcBorders>
            <w:shd w:val="clear" w:color="auto" w:fill="auto"/>
            <w:noWrap/>
            <w:vAlign w:val="bottom"/>
          </w:tcPr>
          <w:p w:rsidR="00A357F3" w:rsidRPr="00C942D3" w:rsidRDefault="00A357F3">
            <w:pPr>
              <w:rPr>
                <w:rFonts w:ascii="Arial" w:hAnsi="Arial" w:cs="Arial"/>
                <w:b/>
                <w:bCs/>
                <w:sz w:val="18"/>
                <w:szCs w:val="18"/>
              </w:rPr>
            </w:pPr>
            <w:r w:rsidRPr="00C942D3">
              <w:rPr>
                <w:rFonts w:ascii="Arial" w:hAnsi="Arial" w:cs="Arial"/>
                <w:b/>
                <w:bCs/>
                <w:sz w:val="18"/>
                <w:szCs w:val="18"/>
              </w:rPr>
              <w:t> </w:t>
            </w:r>
          </w:p>
        </w:tc>
      </w:tr>
    </w:tbl>
    <w:p w:rsidR="00B967DA" w:rsidRPr="00487772" w:rsidRDefault="00B967DA" w:rsidP="00487772">
      <w:pPr>
        <w:pStyle w:val="BodyText"/>
      </w:pPr>
    </w:p>
    <w:sectPr w:rsidR="00B967DA" w:rsidRPr="00487772" w:rsidSect="00C942D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E0" w:rsidRDefault="00DE3FE0">
      <w:r>
        <w:separator/>
      </w:r>
    </w:p>
  </w:endnote>
  <w:endnote w:type="continuationSeparator" w:id="0">
    <w:p w:rsidR="00DE3FE0" w:rsidRDefault="00DE3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05" w:rsidRDefault="003E42DF" w:rsidP="00562D30">
    <w:pPr>
      <w:pStyle w:val="Footer"/>
      <w:framePr w:wrap="around" w:vAnchor="text" w:hAnchor="margin" w:xAlign="right" w:y="1"/>
      <w:rPr>
        <w:rStyle w:val="PageNumber"/>
      </w:rPr>
    </w:pPr>
    <w:r>
      <w:rPr>
        <w:rStyle w:val="PageNumber"/>
      </w:rPr>
      <w:fldChar w:fldCharType="begin"/>
    </w:r>
    <w:r w:rsidR="00725A05">
      <w:rPr>
        <w:rStyle w:val="PageNumber"/>
      </w:rPr>
      <w:instrText xml:space="preserve">PAGE  </w:instrText>
    </w:r>
    <w:r>
      <w:rPr>
        <w:rStyle w:val="PageNumber"/>
      </w:rPr>
      <w:fldChar w:fldCharType="end"/>
    </w:r>
  </w:p>
  <w:p w:rsidR="00725A05" w:rsidRDefault="00725A05" w:rsidP="00286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05" w:rsidRDefault="003E42DF" w:rsidP="00562D30">
    <w:pPr>
      <w:pStyle w:val="Footer"/>
      <w:framePr w:wrap="around" w:vAnchor="text" w:hAnchor="margin" w:xAlign="right" w:y="1"/>
      <w:rPr>
        <w:rStyle w:val="PageNumber"/>
      </w:rPr>
    </w:pPr>
    <w:r>
      <w:rPr>
        <w:rStyle w:val="PageNumber"/>
      </w:rPr>
      <w:fldChar w:fldCharType="begin"/>
    </w:r>
    <w:r w:rsidR="00725A05">
      <w:rPr>
        <w:rStyle w:val="PageNumber"/>
      </w:rPr>
      <w:instrText xml:space="preserve">PAGE  </w:instrText>
    </w:r>
    <w:r>
      <w:rPr>
        <w:rStyle w:val="PageNumber"/>
      </w:rPr>
      <w:fldChar w:fldCharType="separate"/>
    </w:r>
    <w:r w:rsidR="00D673D8">
      <w:rPr>
        <w:rStyle w:val="PageNumber"/>
        <w:noProof/>
      </w:rPr>
      <w:t>1</w:t>
    </w:r>
    <w:r>
      <w:rPr>
        <w:rStyle w:val="PageNumber"/>
      </w:rPr>
      <w:fldChar w:fldCharType="end"/>
    </w:r>
  </w:p>
  <w:p w:rsidR="00725A05" w:rsidRDefault="00725A05" w:rsidP="00286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E0" w:rsidRDefault="00DE3FE0">
      <w:r>
        <w:separator/>
      </w:r>
    </w:p>
  </w:footnote>
  <w:footnote w:type="continuationSeparator" w:id="0">
    <w:p w:rsidR="00DE3FE0" w:rsidRDefault="00DE3FE0">
      <w:r>
        <w:continuationSeparator/>
      </w:r>
    </w:p>
  </w:footnote>
  <w:footnote w:id="1">
    <w:p w:rsidR="00513C09" w:rsidRDefault="00513C09">
      <w:pPr>
        <w:pStyle w:val="FootnoteText"/>
      </w:pPr>
      <w:r>
        <w:rPr>
          <w:rStyle w:val="FootnoteReference"/>
        </w:rPr>
        <w:footnoteRef/>
      </w:r>
      <w:r>
        <w:t xml:space="preserve">  </w:t>
      </w:r>
      <w:hyperlink r:id="rId1" w:history="1">
        <w:r w:rsidRPr="008533B6">
          <w:rPr>
            <w:rStyle w:val="Hyperlink"/>
          </w:rPr>
          <w:t>http://www.oecd.org/document/8/0,3343,en_2649_201185_2742536_1_1_1_1,00.html</w:t>
        </w:r>
      </w:hyperlink>
    </w:p>
    <w:p w:rsidR="00513C09" w:rsidRPr="00513C09" w:rsidRDefault="00513C09">
      <w:pPr>
        <w:pStyle w:val="FootnoteText"/>
      </w:pPr>
    </w:p>
  </w:footnote>
  <w:footnote w:id="2">
    <w:p w:rsidR="00725A05" w:rsidRPr="00400B8F" w:rsidRDefault="00725A05">
      <w:pPr>
        <w:pStyle w:val="FootnoteText"/>
        <w:rPr>
          <w:lang w:val="et-EE"/>
        </w:rPr>
      </w:pPr>
      <w:r>
        <w:rPr>
          <w:rStyle w:val="FootnoteReference"/>
        </w:rPr>
        <w:footnoteRef/>
      </w:r>
      <w:r>
        <w:t xml:space="preserve"> </w:t>
      </w:r>
      <w:proofErr w:type="gramStart"/>
      <w:r>
        <w:rPr>
          <w:lang w:val="en-GB"/>
        </w:rPr>
        <w:t>Manual  “</w:t>
      </w:r>
      <w:proofErr w:type="gramEnd"/>
      <w:r>
        <w:rPr>
          <w:lang w:val="en-GB"/>
        </w:rPr>
        <w:t>System Health Accounts (SHA)”, version 1.0.</w:t>
      </w:r>
    </w:p>
  </w:footnote>
  <w:footnote w:id="3">
    <w:p w:rsidR="00725A05" w:rsidRPr="00EF33B5" w:rsidRDefault="00725A05" w:rsidP="00121CFC">
      <w:pPr>
        <w:autoSpaceDE w:val="0"/>
        <w:autoSpaceDN w:val="0"/>
        <w:adjustRightInd w:val="0"/>
        <w:rPr>
          <w:bCs/>
          <w:sz w:val="20"/>
          <w:szCs w:val="20"/>
          <w:lang w:val="en-GB"/>
        </w:rPr>
      </w:pPr>
      <w:r w:rsidRPr="00EF33B5">
        <w:rPr>
          <w:rStyle w:val="FootnoteReference"/>
          <w:sz w:val="20"/>
          <w:szCs w:val="20"/>
        </w:rPr>
        <w:footnoteRef/>
      </w:r>
      <w:r w:rsidRPr="00EF33B5">
        <w:rPr>
          <w:sz w:val="20"/>
          <w:szCs w:val="20"/>
        </w:rPr>
        <w:t xml:space="preserve"> </w:t>
      </w:r>
      <w:r w:rsidRPr="00EF33B5">
        <w:rPr>
          <w:sz w:val="20"/>
          <w:szCs w:val="20"/>
          <w:lang w:val="en-GB"/>
        </w:rPr>
        <w:t xml:space="preserve">Budget 2005, Mr. Zilif Lufi, </w:t>
      </w:r>
      <w:r w:rsidRPr="00EF33B5">
        <w:rPr>
          <w:bCs/>
          <w:sz w:val="20"/>
          <w:szCs w:val="20"/>
          <w:lang w:val="en-GB"/>
        </w:rPr>
        <w:t>Deputy Director, Treasury, MEF, April 20, 2007</w:t>
      </w:r>
    </w:p>
  </w:footnote>
  <w:footnote w:id="4">
    <w:p w:rsidR="00725A05" w:rsidRPr="00B273DB" w:rsidRDefault="00725A05">
      <w:pPr>
        <w:pStyle w:val="FootnoteText"/>
      </w:pPr>
      <w:r w:rsidRPr="00EF33B5">
        <w:rPr>
          <w:rStyle w:val="FootnoteReference"/>
        </w:rPr>
        <w:footnoteRef/>
      </w:r>
      <w:r w:rsidRPr="00EF33B5">
        <w:t xml:space="preserve"> HBS 2005, Mr Bashkin Bellaqa, director of department of social statistics, April 19, 2007</w:t>
      </w:r>
    </w:p>
  </w:footnote>
  <w:footnote w:id="5">
    <w:p w:rsidR="00725A05" w:rsidRPr="00396896" w:rsidRDefault="00725A05" w:rsidP="00396896">
      <w:pPr>
        <w:pStyle w:val="Caption"/>
        <w:jc w:val="both"/>
        <w:rPr>
          <w:rFonts w:ascii="Times New Roman" w:hAnsi="Times New Roman" w:cs="Times New Roman"/>
          <w:b w:val="0"/>
          <w:szCs w:val="20"/>
          <w:lang w:val="et-EE"/>
        </w:rPr>
      </w:pPr>
      <w:r w:rsidRPr="00396896">
        <w:rPr>
          <w:rStyle w:val="FootnoteReference"/>
          <w:rFonts w:ascii="Times New Roman" w:hAnsi="Times New Roman" w:cs="Times New Roman"/>
          <w:b w:val="0"/>
        </w:rPr>
        <w:footnoteRef/>
      </w:r>
      <w:r w:rsidRPr="00396896">
        <w:rPr>
          <w:rFonts w:ascii="Times New Roman" w:hAnsi="Times New Roman" w:cs="Times New Roman"/>
          <w:b w:val="0"/>
        </w:rPr>
        <w:t xml:space="preserve"> </w:t>
      </w:r>
      <w:proofErr w:type="gramStart"/>
      <w:r w:rsidRPr="00396896">
        <w:rPr>
          <w:rFonts w:ascii="Times New Roman" w:hAnsi="Times New Roman" w:cs="Times New Roman"/>
          <w:b w:val="0"/>
          <w:lang w:val="en-GB"/>
        </w:rPr>
        <w:t>In report „</w:t>
      </w:r>
      <w:r w:rsidRPr="00396896">
        <w:rPr>
          <w:rFonts w:ascii="Times New Roman" w:hAnsi="Times New Roman" w:cs="Times New Roman"/>
          <w:b w:val="0"/>
          <w:color w:val="000000"/>
          <w:lang w:val="en-GB"/>
        </w:rPr>
        <w:t xml:space="preserve">Kosovo Public Expenditure and Institutional Review” (13 April 2006, </w:t>
      </w:r>
      <w:r w:rsidRPr="00396896">
        <w:rPr>
          <w:rFonts w:ascii="Times New Roman" w:hAnsi="Times New Roman" w:cs="Times New Roman"/>
          <w:b w:val="0"/>
          <w:lang w:val="en-GB"/>
        </w:rPr>
        <w:t>Poverty Reduction and Economic Management Unit</w:t>
      </w:r>
      <w:r w:rsidRPr="00396896">
        <w:rPr>
          <w:rFonts w:ascii="Times New Roman" w:hAnsi="Times New Roman" w:cs="Times New Roman"/>
          <w:b w:val="0"/>
          <w:color w:val="000000"/>
          <w:lang w:val="en-GB"/>
        </w:rPr>
        <w:t xml:space="preserve">, </w:t>
      </w:r>
      <w:bookmarkStart w:id="8" w:name="_Toc114563536"/>
      <w:smartTag w:uri="urn:schemas-microsoft-com:office:smarttags" w:element="place">
        <w:r w:rsidR="00B31503">
          <w:rPr>
            <w:rFonts w:ascii="Times New Roman" w:hAnsi="Times New Roman" w:cs="Times New Roman"/>
            <w:b w:val="0"/>
            <w:lang w:val="en-GB"/>
          </w:rPr>
          <w:t>Europe</w:t>
        </w:r>
      </w:smartTag>
      <w:r w:rsidR="00B31503">
        <w:rPr>
          <w:rFonts w:ascii="Times New Roman" w:hAnsi="Times New Roman" w:cs="Times New Roman"/>
          <w:b w:val="0"/>
          <w:lang w:val="en-GB"/>
        </w:rPr>
        <w:t xml:space="preserve"> and Central Asia Region</w:t>
      </w:r>
      <w:r w:rsidRPr="00396896">
        <w:rPr>
          <w:rFonts w:ascii="Times New Roman" w:hAnsi="Times New Roman" w:cs="Times New Roman"/>
          <w:b w:val="0"/>
          <w:lang w:val="en-GB"/>
        </w:rPr>
        <w:t>.</w:t>
      </w:r>
      <w:proofErr w:type="gramEnd"/>
      <w:r w:rsidRPr="00396896">
        <w:rPr>
          <w:rFonts w:ascii="Times New Roman" w:hAnsi="Times New Roman" w:cs="Times New Roman"/>
          <w:b w:val="0"/>
          <w:lang w:val="en-GB"/>
        </w:rPr>
        <w:t xml:space="preserve"> Health Financing, Main Indicators 2001 – 2004</w:t>
      </w:r>
      <w:bookmarkEnd w:id="8"/>
      <w:r w:rsidRPr="00396896">
        <w:rPr>
          <w:rFonts w:ascii="Times New Roman" w:hAnsi="Times New Roman" w:cs="Times New Roman"/>
          <w:b w:val="0"/>
          <w:lang w:val="en-GB"/>
        </w:rPr>
        <w:t xml:space="preserve">) </w:t>
      </w:r>
      <w:r w:rsidRPr="00396896">
        <w:rPr>
          <w:rFonts w:ascii="Times New Roman" w:hAnsi="Times New Roman" w:cs="Times New Roman"/>
          <w:b w:val="0"/>
          <w:color w:val="000000"/>
          <w:lang w:val="en-GB"/>
        </w:rPr>
        <w:t xml:space="preserve">health care expenditures per capita for 2003 were </w:t>
      </w:r>
      <w:r w:rsidRPr="00396896">
        <w:rPr>
          <w:rFonts w:ascii="Times New Roman" w:hAnsi="Times New Roman" w:cs="Times New Roman"/>
          <w:b w:val="0"/>
          <w:lang w:val="en-GB"/>
        </w:rPr>
        <w:t xml:space="preserve">61.1 € and 2004 – 81.5 €. </w:t>
      </w:r>
      <w:r w:rsidRPr="00396896">
        <w:rPr>
          <w:rFonts w:ascii="Times New Roman" w:hAnsi="Times New Roman" w:cs="Times New Roman"/>
          <w:b w:val="0"/>
          <w:szCs w:val="20"/>
          <w:lang w:val="en-GB"/>
        </w:rPr>
        <w:t>LSMS 2000, HBS 2002 and author</w:t>
      </w:r>
      <w:r>
        <w:rPr>
          <w:rFonts w:ascii="Times New Roman" w:hAnsi="Times New Roman" w:cs="Times New Roman"/>
          <w:b w:val="0"/>
          <w:szCs w:val="20"/>
          <w:lang w:val="en-GB"/>
        </w:rPr>
        <w:t>s</w:t>
      </w:r>
      <w:r w:rsidRPr="00396896">
        <w:rPr>
          <w:rFonts w:ascii="Times New Roman" w:hAnsi="Times New Roman" w:cs="Times New Roman"/>
          <w:b w:val="0"/>
          <w:szCs w:val="20"/>
          <w:lang w:val="en-GB"/>
        </w:rPr>
        <w:t xml:space="preserve"> </w:t>
      </w:r>
      <w:r>
        <w:rPr>
          <w:rFonts w:ascii="Times New Roman" w:hAnsi="Times New Roman" w:cs="Times New Roman"/>
          <w:b w:val="0"/>
          <w:szCs w:val="20"/>
          <w:lang w:val="en-GB"/>
        </w:rPr>
        <w:t xml:space="preserve">own </w:t>
      </w:r>
      <w:r w:rsidRPr="00396896">
        <w:rPr>
          <w:rFonts w:ascii="Times New Roman" w:hAnsi="Times New Roman" w:cs="Times New Roman"/>
          <w:b w:val="0"/>
          <w:szCs w:val="20"/>
          <w:lang w:val="en-GB"/>
        </w:rPr>
        <w:t>estimations were used</w:t>
      </w:r>
      <w:r w:rsidRPr="00396896">
        <w:rPr>
          <w:rFonts w:ascii="Times New Roman" w:hAnsi="Times New Roman" w:cs="Times New Roman"/>
          <w:b w:val="0"/>
          <w:lang w:val="en-GB"/>
        </w:rPr>
        <w:t xml:space="preserve"> in </w:t>
      </w:r>
      <w:r>
        <w:rPr>
          <w:rFonts w:ascii="Times New Roman" w:hAnsi="Times New Roman" w:cs="Times New Roman"/>
          <w:b w:val="0"/>
          <w:lang w:val="en-GB"/>
        </w:rPr>
        <w:t xml:space="preserve">the </w:t>
      </w:r>
      <w:r w:rsidRPr="00396896">
        <w:rPr>
          <w:rFonts w:ascii="Times New Roman" w:hAnsi="Times New Roman" w:cs="Times New Roman"/>
          <w:b w:val="0"/>
          <w:lang w:val="en-GB"/>
        </w:rPr>
        <w:t>report</w:t>
      </w:r>
      <w:r w:rsidRPr="00396896">
        <w:rPr>
          <w:rFonts w:ascii="Times New Roman" w:hAnsi="Times New Roman" w:cs="Times New Roman"/>
          <w:b w:val="0"/>
          <w:szCs w:val="20"/>
          <w:lang w:val="en-GB"/>
        </w:rPr>
        <w:t>.</w:t>
      </w:r>
      <w:r>
        <w:rPr>
          <w:rFonts w:ascii="Times New Roman" w:hAnsi="Times New Roman" w:cs="Times New Roman"/>
          <w:b w:val="0"/>
          <w:szCs w:val="20"/>
          <w:lang w:val="en-GB"/>
        </w:rPr>
        <w:t xml:space="preserve"> Therefore it </w:t>
      </w:r>
      <w:r w:rsidRPr="00396896">
        <w:rPr>
          <w:rFonts w:ascii="Times New Roman" w:hAnsi="Times New Roman" w:cs="Times New Roman"/>
          <w:b w:val="0"/>
          <w:szCs w:val="20"/>
          <w:lang w:val="en-GB"/>
        </w:rPr>
        <w:t>prove</w:t>
      </w:r>
      <w:r>
        <w:rPr>
          <w:rFonts w:ascii="Times New Roman" w:hAnsi="Times New Roman" w:cs="Times New Roman"/>
          <w:b w:val="0"/>
          <w:szCs w:val="20"/>
          <w:lang w:val="en-GB"/>
        </w:rPr>
        <w:t>s once again that preliminary NHA data is underestimated. However this time it was not possible to use old data from LSMS 2000</w:t>
      </w:r>
      <w:r w:rsidRPr="00396896">
        <w:rPr>
          <w:rFonts w:ascii="Times New Roman" w:hAnsi="Times New Roman" w:cs="Times New Roman"/>
          <w:b w:val="0"/>
          <w:szCs w:val="20"/>
          <w:lang w:val="en-GB"/>
        </w:rPr>
        <w:t xml:space="preserve"> </w:t>
      </w:r>
      <w:r>
        <w:rPr>
          <w:rFonts w:ascii="Times New Roman" w:hAnsi="Times New Roman" w:cs="Times New Roman"/>
          <w:b w:val="0"/>
          <w:szCs w:val="20"/>
          <w:lang w:val="en-GB"/>
        </w:rPr>
        <w:t>for NHA 2005.</w:t>
      </w:r>
    </w:p>
  </w:footnote>
  <w:footnote w:id="6">
    <w:p w:rsidR="00F84D69" w:rsidRPr="00F07264" w:rsidRDefault="00F84D69" w:rsidP="00F84D69">
      <w:pPr>
        <w:pStyle w:val="FootnoteText"/>
      </w:pPr>
      <w:r>
        <w:rPr>
          <w:rStyle w:val="FootnoteReference"/>
        </w:rPr>
        <w:footnoteRef/>
      </w:r>
      <w:r>
        <w:t xml:space="preserve"> I</w:t>
      </w:r>
      <w:r w:rsidRPr="00F07264">
        <w:t>n the circumstances</w:t>
      </w:r>
      <w:r>
        <w:t xml:space="preserve"> of NHA 2005 </w:t>
      </w:r>
      <w:r>
        <w:rPr>
          <w:lang w:val="en-GB"/>
        </w:rPr>
        <w:t>m</w:t>
      </w:r>
      <w:r w:rsidRPr="00487772">
        <w:rPr>
          <w:lang w:val="en-GB"/>
        </w:rPr>
        <w:t>edical products for outpatients</w:t>
      </w:r>
      <w:r>
        <w:rPr>
          <w:lang w:val="en-GB"/>
        </w:rPr>
        <w:t>=</w:t>
      </w:r>
      <w:r>
        <w:t xml:space="preserve"> pharmaceuticals.</w:t>
      </w:r>
    </w:p>
  </w:footnote>
  <w:footnote w:id="7">
    <w:p w:rsidR="00725A05" w:rsidRPr="00E75897" w:rsidRDefault="00725A05" w:rsidP="00E75897">
      <w:pPr>
        <w:pStyle w:val="FootnoteText"/>
        <w:jc w:val="both"/>
      </w:pPr>
      <w:r>
        <w:rPr>
          <w:rStyle w:val="FootnoteReference"/>
        </w:rPr>
        <w:footnoteRef/>
      </w:r>
      <w:r>
        <w:t xml:space="preserve"> Deviation by primary, secondary and tertiary health care is not an issue for</w:t>
      </w:r>
      <w:r w:rsidRPr="00E75897">
        <w:t xml:space="preserve"> </w:t>
      </w:r>
      <w:r>
        <w:t xml:space="preserve">NHA. Therefore it was not conducted in the preliminary NHA. However if country is interested in such kind of </w:t>
      </w:r>
      <w:r w:rsidRPr="00E75897">
        <w:t>distribution</w:t>
      </w:r>
      <w:r>
        <w:t>, it should be done in future.</w:t>
      </w:r>
    </w:p>
  </w:footnote>
  <w:footnote w:id="8">
    <w:p w:rsidR="00725A05" w:rsidRPr="000D21BF" w:rsidRDefault="00725A05">
      <w:pPr>
        <w:pStyle w:val="FootnoteText"/>
      </w:pPr>
      <w:r>
        <w:rPr>
          <w:rStyle w:val="FootnoteReference"/>
        </w:rPr>
        <w:footnoteRef/>
      </w:r>
      <w:r>
        <w:t xml:space="preserve"> I</w:t>
      </w:r>
      <w:r w:rsidRPr="00F07264">
        <w:t>n the circumstances</w:t>
      </w:r>
      <w:r>
        <w:t xml:space="preserve"> of NHA 2005 </w:t>
      </w:r>
      <w:r>
        <w:rPr>
          <w:lang w:val="en-GB"/>
        </w:rPr>
        <w:t>m</w:t>
      </w:r>
      <w:r w:rsidRPr="00487772">
        <w:rPr>
          <w:lang w:val="en-GB"/>
        </w:rPr>
        <w:t>edical products for outpatients</w:t>
      </w:r>
      <w:r>
        <w:rPr>
          <w:lang w:val="en-GB"/>
        </w:rPr>
        <w:t>=</w:t>
      </w:r>
      <w:r>
        <w:t xml:space="preserve"> pharmaceuticals.</w:t>
      </w:r>
    </w:p>
  </w:footnote>
  <w:footnote w:id="9">
    <w:p w:rsidR="00725A05" w:rsidRPr="000E1E15" w:rsidRDefault="00725A05">
      <w:pPr>
        <w:pStyle w:val="FootnoteText"/>
      </w:pPr>
      <w:r>
        <w:rPr>
          <w:rStyle w:val="FootnoteReference"/>
        </w:rPr>
        <w:footnoteRef/>
      </w:r>
      <w:r>
        <w:t xml:space="preserve"> </w:t>
      </w:r>
      <w:proofErr w:type="gramStart"/>
      <w:r>
        <w:t>Usually  -</w:t>
      </w:r>
      <w:proofErr w:type="gramEnd"/>
      <w:r>
        <w:t xml:space="preserve"> pharmacies and </w:t>
      </w:r>
      <w:r w:rsidRPr="000E1E15">
        <w:t>chemist's shop</w:t>
      </w:r>
      <w:r>
        <w:t>s.</w:t>
      </w:r>
    </w:p>
  </w:footnote>
  <w:footnote w:id="10">
    <w:p w:rsidR="00725A05" w:rsidRDefault="00725A05" w:rsidP="00487772">
      <w:pPr>
        <w:pStyle w:val="FootnoteText"/>
      </w:pPr>
      <w:r>
        <w:rPr>
          <w:rStyle w:val="FootnoteReference"/>
        </w:rPr>
        <w:footnoteRef/>
      </w:r>
      <w:r>
        <w:t xml:space="preserve"> </w:t>
      </w:r>
      <w:proofErr w:type="gramStart"/>
      <w:r>
        <w:t xml:space="preserve">Meeting with Valbona from DFID in January </w:t>
      </w:r>
      <w:smartTag w:uri="urn:schemas-microsoft-com:office:smarttags" w:element="metricconverter">
        <w:smartTagPr>
          <w:attr w:name="ProductID" w:val="2007. In"/>
        </w:smartTagPr>
        <w:r>
          <w:t>2007.</w:t>
        </w:r>
        <w:proofErr w:type="gramEnd"/>
        <w:r w:rsidRPr="00AF5CFD">
          <w:rPr>
            <w:color w:val="000000"/>
          </w:rPr>
          <w:t xml:space="preserve"> </w:t>
        </w:r>
        <w:r>
          <w:rPr>
            <w:color w:val="000000"/>
          </w:rPr>
          <w:t>I</w:t>
        </w:r>
        <w:r w:rsidRPr="00863C5F">
          <w:rPr>
            <w:color w:val="000000"/>
          </w:rPr>
          <w:t>n</w:t>
        </w:r>
      </w:smartTag>
      <w:r w:rsidRPr="00863C5F">
        <w:rPr>
          <w:color w:val="000000"/>
        </w:rPr>
        <w:t xml:space="preserve"> April</w:t>
      </w:r>
      <w:r>
        <w:rPr>
          <w:color w:val="000000"/>
        </w:rPr>
        <w:t xml:space="preserve"> 2007DFID</w:t>
      </w:r>
      <w:r w:rsidRPr="00863C5F">
        <w:rPr>
          <w:color w:val="000000"/>
        </w:rPr>
        <w:t xml:space="preserve"> plan</w:t>
      </w:r>
      <w:r>
        <w:rPr>
          <w:color w:val="000000"/>
        </w:rPr>
        <w:t>s</w:t>
      </w:r>
      <w:r w:rsidRPr="00863C5F">
        <w:rPr>
          <w:color w:val="000000"/>
        </w:rPr>
        <w:t xml:space="preserve"> to bring a team of experts to work with MOH in designing </w:t>
      </w:r>
      <w:r>
        <w:rPr>
          <w:color w:val="000000"/>
        </w:rPr>
        <w:t>a future</w:t>
      </w:r>
      <w:r w:rsidRPr="00863C5F">
        <w:rPr>
          <w:color w:val="000000"/>
        </w:rPr>
        <w:t xml:space="preserve"> project</w:t>
      </w:r>
      <w:r>
        <w:rPr>
          <w:color w:val="000000"/>
        </w:rPr>
        <w:t>.</w:t>
      </w:r>
    </w:p>
  </w:footnote>
  <w:footnote w:id="11">
    <w:p w:rsidR="00725A05" w:rsidRPr="005349F6" w:rsidRDefault="00725A05" w:rsidP="005349F6">
      <w:pPr>
        <w:pStyle w:val="FootnoteText"/>
        <w:jc w:val="both"/>
        <w:rPr>
          <w:lang w:val="et-EE"/>
        </w:rPr>
      </w:pPr>
      <w:r>
        <w:rPr>
          <w:rStyle w:val="FootnoteReference"/>
        </w:rPr>
        <w:footnoteRef/>
      </w:r>
      <w:r>
        <w:t xml:space="preserve"> The list of the health care providers is far from </w:t>
      </w:r>
      <w:r w:rsidRPr="005349F6">
        <w:t>complete</w:t>
      </w:r>
      <w:r>
        <w:t xml:space="preserve">. However it was not possible to classified health care providers by ICHA-HP, because no final list of health facilities exists. Firstly, all </w:t>
      </w:r>
      <w:r w:rsidRPr="005349F6">
        <w:rPr>
          <w:lang w:val="en-GB"/>
        </w:rPr>
        <w:t xml:space="preserve">entities that deliver health service </w:t>
      </w:r>
      <w:r>
        <w:rPr>
          <w:lang w:val="en-GB"/>
        </w:rPr>
        <w:t>should be list, both public and private.</w:t>
      </w:r>
    </w:p>
    <w:p w:rsidR="00725A05" w:rsidRPr="005349F6" w:rsidRDefault="00725A05">
      <w:pPr>
        <w:pStyle w:val="FootnoteText"/>
        <w:rPr>
          <w:lang w:val="et-EE"/>
        </w:rPr>
      </w:pPr>
    </w:p>
  </w:footnote>
  <w:footnote w:id="12">
    <w:p w:rsidR="00725A05" w:rsidRPr="00F3250E" w:rsidRDefault="00725A05" w:rsidP="00F3250E">
      <w:pPr>
        <w:pStyle w:val="Footer"/>
        <w:rPr>
          <w:sz w:val="20"/>
          <w:szCs w:val="20"/>
        </w:rPr>
      </w:pPr>
      <w:r w:rsidRPr="00F3250E">
        <w:rPr>
          <w:rStyle w:val="FootnoteReference"/>
          <w:sz w:val="20"/>
          <w:szCs w:val="20"/>
        </w:rPr>
        <w:footnoteRef/>
      </w:r>
      <w:r w:rsidRPr="00F3250E">
        <w:rPr>
          <w:sz w:val="20"/>
          <w:szCs w:val="20"/>
        </w:rPr>
        <w:t xml:space="preserve"> </w:t>
      </w:r>
      <w:r w:rsidRPr="00EA47BD">
        <w:rPr>
          <w:sz w:val="20"/>
          <w:szCs w:val="20"/>
          <w:lang w:val="en-GB"/>
        </w:rPr>
        <w:t>Source: MEF, Treasury</w:t>
      </w:r>
    </w:p>
  </w:footnote>
  <w:footnote w:id="13">
    <w:p w:rsidR="00725A05" w:rsidRPr="00EA47BD" w:rsidRDefault="00725A05">
      <w:pPr>
        <w:pStyle w:val="FootnoteText"/>
        <w:rPr>
          <w:lang w:val="et-EE"/>
        </w:rPr>
      </w:pPr>
      <w:r>
        <w:rPr>
          <w:rStyle w:val="FootnoteReference"/>
        </w:rPr>
        <w:footnoteRef/>
      </w:r>
      <w:r>
        <w:t xml:space="preserve"> </w:t>
      </w:r>
      <w:r w:rsidRPr="00EA47BD">
        <w:rPr>
          <w:lang w:val="en-GB"/>
        </w:rPr>
        <w:t>Source: MEF, Treasury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clip_image001"/>
      </v:shape>
    </w:pict>
  </w:numPicBullet>
  <w:abstractNum w:abstractNumId="0">
    <w:nsid w:val="FFFFFF89"/>
    <w:multiLevelType w:val="singleLevel"/>
    <w:tmpl w:val="361C5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AE4268"/>
    <w:multiLevelType w:val="hybridMultilevel"/>
    <w:tmpl w:val="3310773C"/>
    <w:lvl w:ilvl="0" w:tplc="0425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A555508"/>
    <w:multiLevelType w:val="hybridMultilevel"/>
    <w:tmpl w:val="A96AE7E8"/>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234E2C84"/>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8130D36"/>
    <w:multiLevelType w:val="hybridMultilevel"/>
    <w:tmpl w:val="4A24B8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CF7CEA"/>
    <w:multiLevelType w:val="hybridMultilevel"/>
    <w:tmpl w:val="CFFED46E"/>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36494148"/>
    <w:multiLevelType w:val="hybridMultilevel"/>
    <w:tmpl w:val="77B03F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154B69"/>
    <w:multiLevelType w:val="hybridMultilevel"/>
    <w:tmpl w:val="7C985D28"/>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nsid w:val="46125A38"/>
    <w:multiLevelType w:val="hybridMultilevel"/>
    <w:tmpl w:val="BC36F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6"/>
  </w:num>
  <w:num w:numId="5">
    <w:abstractNumId w:val="4"/>
  </w:num>
  <w:num w:numId="6">
    <w:abstractNumId w:val="0"/>
  </w:num>
  <w:num w:numId="7">
    <w:abstractNumId w:val="1"/>
  </w:num>
  <w:num w:numId="8">
    <w:abstractNumId w:val="5"/>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95064"/>
    <w:rsid w:val="00000672"/>
    <w:rsid w:val="00011586"/>
    <w:rsid w:val="000123E9"/>
    <w:rsid w:val="00023A18"/>
    <w:rsid w:val="0002531B"/>
    <w:rsid w:val="00031E9D"/>
    <w:rsid w:val="00035FDA"/>
    <w:rsid w:val="00040881"/>
    <w:rsid w:val="00040B07"/>
    <w:rsid w:val="00045162"/>
    <w:rsid w:val="00053523"/>
    <w:rsid w:val="0005533F"/>
    <w:rsid w:val="00060789"/>
    <w:rsid w:val="000641B6"/>
    <w:rsid w:val="000656EE"/>
    <w:rsid w:val="00072629"/>
    <w:rsid w:val="00076C34"/>
    <w:rsid w:val="000851CF"/>
    <w:rsid w:val="00086E3E"/>
    <w:rsid w:val="000A1F74"/>
    <w:rsid w:val="000A4A8A"/>
    <w:rsid w:val="000C0344"/>
    <w:rsid w:val="000C7202"/>
    <w:rsid w:val="000C730A"/>
    <w:rsid w:val="000C776D"/>
    <w:rsid w:val="000C7E66"/>
    <w:rsid w:val="000D0821"/>
    <w:rsid w:val="000D21BF"/>
    <w:rsid w:val="000D48E9"/>
    <w:rsid w:val="000D5D4D"/>
    <w:rsid w:val="000D6580"/>
    <w:rsid w:val="000E1E15"/>
    <w:rsid w:val="000E1F9D"/>
    <w:rsid w:val="000E29A3"/>
    <w:rsid w:val="000E2CFE"/>
    <w:rsid w:val="000E6814"/>
    <w:rsid w:val="000E6DBF"/>
    <w:rsid w:val="000E6E9A"/>
    <w:rsid w:val="000F54DD"/>
    <w:rsid w:val="000F7407"/>
    <w:rsid w:val="000F7A25"/>
    <w:rsid w:val="0011056F"/>
    <w:rsid w:val="00110D75"/>
    <w:rsid w:val="00114D5E"/>
    <w:rsid w:val="00120847"/>
    <w:rsid w:val="00121CFC"/>
    <w:rsid w:val="001224D7"/>
    <w:rsid w:val="00122797"/>
    <w:rsid w:val="00123129"/>
    <w:rsid w:val="00124D44"/>
    <w:rsid w:val="00125D58"/>
    <w:rsid w:val="0012682B"/>
    <w:rsid w:val="00136719"/>
    <w:rsid w:val="00150704"/>
    <w:rsid w:val="00150B91"/>
    <w:rsid w:val="00157668"/>
    <w:rsid w:val="00160E9F"/>
    <w:rsid w:val="00176326"/>
    <w:rsid w:val="0017635B"/>
    <w:rsid w:val="00177360"/>
    <w:rsid w:val="00187DF8"/>
    <w:rsid w:val="00195B91"/>
    <w:rsid w:val="001A1D91"/>
    <w:rsid w:val="001A4AC9"/>
    <w:rsid w:val="001A6DA4"/>
    <w:rsid w:val="001C3AFB"/>
    <w:rsid w:val="001C7C1D"/>
    <w:rsid w:val="001D5FA5"/>
    <w:rsid w:val="001E018F"/>
    <w:rsid w:val="001E2820"/>
    <w:rsid w:val="001E56AC"/>
    <w:rsid w:val="001F7869"/>
    <w:rsid w:val="00201A6B"/>
    <w:rsid w:val="002106F9"/>
    <w:rsid w:val="00213459"/>
    <w:rsid w:val="00224A56"/>
    <w:rsid w:val="00234493"/>
    <w:rsid w:val="00240971"/>
    <w:rsid w:val="00240A68"/>
    <w:rsid w:val="00243819"/>
    <w:rsid w:val="002470C5"/>
    <w:rsid w:val="0025415A"/>
    <w:rsid w:val="00260B15"/>
    <w:rsid w:val="0027137B"/>
    <w:rsid w:val="00271EAE"/>
    <w:rsid w:val="00273725"/>
    <w:rsid w:val="00275B02"/>
    <w:rsid w:val="00277568"/>
    <w:rsid w:val="0028629A"/>
    <w:rsid w:val="00286B7A"/>
    <w:rsid w:val="00287A4F"/>
    <w:rsid w:val="00290666"/>
    <w:rsid w:val="002A2450"/>
    <w:rsid w:val="002A4B2F"/>
    <w:rsid w:val="002D3195"/>
    <w:rsid w:val="002E4C95"/>
    <w:rsid w:val="002F4496"/>
    <w:rsid w:val="002F5DB0"/>
    <w:rsid w:val="002F6723"/>
    <w:rsid w:val="003026D3"/>
    <w:rsid w:val="00311326"/>
    <w:rsid w:val="003179F9"/>
    <w:rsid w:val="003243AE"/>
    <w:rsid w:val="00327C00"/>
    <w:rsid w:val="00331C54"/>
    <w:rsid w:val="003320D1"/>
    <w:rsid w:val="0033678C"/>
    <w:rsid w:val="0034120C"/>
    <w:rsid w:val="00343E01"/>
    <w:rsid w:val="00351AD8"/>
    <w:rsid w:val="00393655"/>
    <w:rsid w:val="00394417"/>
    <w:rsid w:val="00396896"/>
    <w:rsid w:val="00396BA9"/>
    <w:rsid w:val="003A0B14"/>
    <w:rsid w:val="003A4A71"/>
    <w:rsid w:val="003B569E"/>
    <w:rsid w:val="003C6E3E"/>
    <w:rsid w:val="003C7B70"/>
    <w:rsid w:val="003D0492"/>
    <w:rsid w:val="003D10F3"/>
    <w:rsid w:val="003D372F"/>
    <w:rsid w:val="003D5165"/>
    <w:rsid w:val="003E0DA5"/>
    <w:rsid w:val="003E35F5"/>
    <w:rsid w:val="003E42DF"/>
    <w:rsid w:val="003E5950"/>
    <w:rsid w:val="003F13B7"/>
    <w:rsid w:val="003F7C93"/>
    <w:rsid w:val="00400B8F"/>
    <w:rsid w:val="0040451F"/>
    <w:rsid w:val="00414F99"/>
    <w:rsid w:val="00420606"/>
    <w:rsid w:val="00423664"/>
    <w:rsid w:val="00424EAD"/>
    <w:rsid w:val="00433D45"/>
    <w:rsid w:val="00435601"/>
    <w:rsid w:val="00447C42"/>
    <w:rsid w:val="00450697"/>
    <w:rsid w:val="0045182F"/>
    <w:rsid w:val="004576FC"/>
    <w:rsid w:val="00457F08"/>
    <w:rsid w:val="00470283"/>
    <w:rsid w:val="00476E1E"/>
    <w:rsid w:val="004848E9"/>
    <w:rsid w:val="00486D63"/>
    <w:rsid w:val="00487772"/>
    <w:rsid w:val="004A51BF"/>
    <w:rsid w:val="004B3D9D"/>
    <w:rsid w:val="004C3A32"/>
    <w:rsid w:val="004C4BCF"/>
    <w:rsid w:val="004C5566"/>
    <w:rsid w:val="004D6AE7"/>
    <w:rsid w:val="004D6DAC"/>
    <w:rsid w:val="004F3D66"/>
    <w:rsid w:val="005033E7"/>
    <w:rsid w:val="00503B23"/>
    <w:rsid w:val="00513C09"/>
    <w:rsid w:val="00520B19"/>
    <w:rsid w:val="00522665"/>
    <w:rsid w:val="00527996"/>
    <w:rsid w:val="0053233A"/>
    <w:rsid w:val="00533E0F"/>
    <w:rsid w:val="005349F6"/>
    <w:rsid w:val="00536400"/>
    <w:rsid w:val="00536662"/>
    <w:rsid w:val="00547F6A"/>
    <w:rsid w:val="00557164"/>
    <w:rsid w:val="0056296C"/>
    <w:rsid w:val="00562D30"/>
    <w:rsid w:val="00566DD1"/>
    <w:rsid w:val="0058581A"/>
    <w:rsid w:val="005B3E0C"/>
    <w:rsid w:val="005B430A"/>
    <w:rsid w:val="005C0452"/>
    <w:rsid w:val="005C3DFF"/>
    <w:rsid w:val="005D101A"/>
    <w:rsid w:val="005E62B6"/>
    <w:rsid w:val="005F0DA1"/>
    <w:rsid w:val="006000E6"/>
    <w:rsid w:val="00604534"/>
    <w:rsid w:val="00610CBE"/>
    <w:rsid w:val="006112A4"/>
    <w:rsid w:val="00621E2F"/>
    <w:rsid w:val="00625E18"/>
    <w:rsid w:val="00632F20"/>
    <w:rsid w:val="00633EEE"/>
    <w:rsid w:val="0063671D"/>
    <w:rsid w:val="00636C94"/>
    <w:rsid w:val="00643BB9"/>
    <w:rsid w:val="00653F35"/>
    <w:rsid w:val="0065570E"/>
    <w:rsid w:val="00660021"/>
    <w:rsid w:val="00661EF1"/>
    <w:rsid w:val="00664B3C"/>
    <w:rsid w:val="00665BBA"/>
    <w:rsid w:val="006675E5"/>
    <w:rsid w:val="006677E5"/>
    <w:rsid w:val="00675656"/>
    <w:rsid w:val="00681306"/>
    <w:rsid w:val="00684605"/>
    <w:rsid w:val="00696315"/>
    <w:rsid w:val="00697B82"/>
    <w:rsid w:val="006A52B0"/>
    <w:rsid w:val="006B1311"/>
    <w:rsid w:val="006B73EA"/>
    <w:rsid w:val="006C4CE7"/>
    <w:rsid w:val="006D264C"/>
    <w:rsid w:val="006E02D7"/>
    <w:rsid w:val="006E336E"/>
    <w:rsid w:val="006E71E8"/>
    <w:rsid w:val="006F0C52"/>
    <w:rsid w:val="006F2508"/>
    <w:rsid w:val="006F2D71"/>
    <w:rsid w:val="006F64CF"/>
    <w:rsid w:val="006F7F58"/>
    <w:rsid w:val="007021F8"/>
    <w:rsid w:val="00702FBF"/>
    <w:rsid w:val="007129DD"/>
    <w:rsid w:val="00714415"/>
    <w:rsid w:val="0071605C"/>
    <w:rsid w:val="0072074B"/>
    <w:rsid w:val="00723058"/>
    <w:rsid w:val="00724ACC"/>
    <w:rsid w:val="007256CC"/>
    <w:rsid w:val="00725A05"/>
    <w:rsid w:val="007260DE"/>
    <w:rsid w:val="007347AC"/>
    <w:rsid w:val="0074355F"/>
    <w:rsid w:val="00747124"/>
    <w:rsid w:val="0076281B"/>
    <w:rsid w:val="007654E9"/>
    <w:rsid w:val="0077031D"/>
    <w:rsid w:val="00772DEB"/>
    <w:rsid w:val="007759A6"/>
    <w:rsid w:val="00776272"/>
    <w:rsid w:val="00776628"/>
    <w:rsid w:val="00780F31"/>
    <w:rsid w:val="007A160C"/>
    <w:rsid w:val="007B0D4B"/>
    <w:rsid w:val="007B2376"/>
    <w:rsid w:val="007B666D"/>
    <w:rsid w:val="007C0ADF"/>
    <w:rsid w:val="007D6A15"/>
    <w:rsid w:val="007D7D2F"/>
    <w:rsid w:val="007F3E93"/>
    <w:rsid w:val="00803A5D"/>
    <w:rsid w:val="00812310"/>
    <w:rsid w:val="00815F78"/>
    <w:rsid w:val="00822616"/>
    <w:rsid w:val="008528A4"/>
    <w:rsid w:val="00856C63"/>
    <w:rsid w:val="00864512"/>
    <w:rsid w:val="00874ADB"/>
    <w:rsid w:val="008755C7"/>
    <w:rsid w:val="00877A44"/>
    <w:rsid w:val="00894C91"/>
    <w:rsid w:val="008959C1"/>
    <w:rsid w:val="008973B9"/>
    <w:rsid w:val="008A5B1C"/>
    <w:rsid w:val="008B11BF"/>
    <w:rsid w:val="008B4201"/>
    <w:rsid w:val="008B6DD9"/>
    <w:rsid w:val="008B6F0F"/>
    <w:rsid w:val="008C5EC1"/>
    <w:rsid w:val="008D32A6"/>
    <w:rsid w:val="008D7096"/>
    <w:rsid w:val="008E11BF"/>
    <w:rsid w:val="008E7017"/>
    <w:rsid w:val="008E7E00"/>
    <w:rsid w:val="008F01C7"/>
    <w:rsid w:val="008F678D"/>
    <w:rsid w:val="0090120D"/>
    <w:rsid w:val="00904392"/>
    <w:rsid w:val="00920065"/>
    <w:rsid w:val="00920B6B"/>
    <w:rsid w:val="00926118"/>
    <w:rsid w:val="00930246"/>
    <w:rsid w:val="00931222"/>
    <w:rsid w:val="00936A35"/>
    <w:rsid w:val="00937461"/>
    <w:rsid w:val="009406AE"/>
    <w:rsid w:val="00940CE8"/>
    <w:rsid w:val="009423E9"/>
    <w:rsid w:val="009427AC"/>
    <w:rsid w:val="00943057"/>
    <w:rsid w:val="0094375B"/>
    <w:rsid w:val="00947DF5"/>
    <w:rsid w:val="009501E5"/>
    <w:rsid w:val="0095271B"/>
    <w:rsid w:val="0095281C"/>
    <w:rsid w:val="009547FF"/>
    <w:rsid w:val="00955456"/>
    <w:rsid w:val="00961A03"/>
    <w:rsid w:val="00962C33"/>
    <w:rsid w:val="00963D4B"/>
    <w:rsid w:val="00970C7C"/>
    <w:rsid w:val="00973088"/>
    <w:rsid w:val="009A70C2"/>
    <w:rsid w:val="009A74C0"/>
    <w:rsid w:val="009D1013"/>
    <w:rsid w:val="009D7113"/>
    <w:rsid w:val="009E76AE"/>
    <w:rsid w:val="009F4AA0"/>
    <w:rsid w:val="009F66A6"/>
    <w:rsid w:val="00A025AC"/>
    <w:rsid w:val="00A115E9"/>
    <w:rsid w:val="00A2114A"/>
    <w:rsid w:val="00A22D80"/>
    <w:rsid w:val="00A23577"/>
    <w:rsid w:val="00A23F77"/>
    <w:rsid w:val="00A32818"/>
    <w:rsid w:val="00A357F3"/>
    <w:rsid w:val="00A50F68"/>
    <w:rsid w:val="00A517C8"/>
    <w:rsid w:val="00A54480"/>
    <w:rsid w:val="00A569F6"/>
    <w:rsid w:val="00A600C6"/>
    <w:rsid w:val="00A67213"/>
    <w:rsid w:val="00A72D54"/>
    <w:rsid w:val="00A7738E"/>
    <w:rsid w:val="00A974A8"/>
    <w:rsid w:val="00AA2146"/>
    <w:rsid w:val="00AA52FE"/>
    <w:rsid w:val="00AD15D8"/>
    <w:rsid w:val="00AD409D"/>
    <w:rsid w:val="00AD434F"/>
    <w:rsid w:val="00AE1980"/>
    <w:rsid w:val="00AE5A2D"/>
    <w:rsid w:val="00AF14B1"/>
    <w:rsid w:val="00AF5F1A"/>
    <w:rsid w:val="00AF6121"/>
    <w:rsid w:val="00AF7DED"/>
    <w:rsid w:val="00B01724"/>
    <w:rsid w:val="00B273DB"/>
    <w:rsid w:val="00B2769A"/>
    <w:rsid w:val="00B31503"/>
    <w:rsid w:val="00B3621D"/>
    <w:rsid w:val="00B37DA5"/>
    <w:rsid w:val="00B40A1F"/>
    <w:rsid w:val="00B428FD"/>
    <w:rsid w:val="00B5160F"/>
    <w:rsid w:val="00B518A8"/>
    <w:rsid w:val="00B54014"/>
    <w:rsid w:val="00B60BAE"/>
    <w:rsid w:val="00B71567"/>
    <w:rsid w:val="00B744D8"/>
    <w:rsid w:val="00B81811"/>
    <w:rsid w:val="00B8501A"/>
    <w:rsid w:val="00B95ABE"/>
    <w:rsid w:val="00B967DA"/>
    <w:rsid w:val="00BA0FBF"/>
    <w:rsid w:val="00BA458F"/>
    <w:rsid w:val="00BB0CD6"/>
    <w:rsid w:val="00BB7027"/>
    <w:rsid w:val="00BC4229"/>
    <w:rsid w:val="00BC6935"/>
    <w:rsid w:val="00BC7D36"/>
    <w:rsid w:val="00BD31D9"/>
    <w:rsid w:val="00BD4CBC"/>
    <w:rsid w:val="00BD5E7C"/>
    <w:rsid w:val="00BE1C08"/>
    <w:rsid w:val="00BE3FD1"/>
    <w:rsid w:val="00BE43A0"/>
    <w:rsid w:val="00BE4555"/>
    <w:rsid w:val="00BE4960"/>
    <w:rsid w:val="00BE7611"/>
    <w:rsid w:val="00BE7AD2"/>
    <w:rsid w:val="00C0470F"/>
    <w:rsid w:val="00C04982"/>
    <w:rsid w:val="00C05F40"/>
    <w:rsid w:val="00C07D09"/>
    <w:rsid w:val="00C42D97"/>
    <w:rsid w:val="00C45A38"/>
    <w:rsid w:val="00C47CDE"/>
    <w:rsid w:val="00C51699"/>
    <w:rsid w:val="00C67CA0"/>
    <w:rsid w:val="00C7274A"/>
    <w:rsid w:val="00C74A21"/>
    <w:rsid w:val="00C87F4E"/>
    <w:rsid w:val="00C942D3"/>
    <w:rsid w:val="00CA1278"/>
    <w:rsid w:val="00CA53C2"/>
    <w:rsid w:val="00CA7C2E"/>
    <w:rsid w:val="00CB02C5"/>
    <w:rsid w:val="00CB5A1A"/>
    <w:rsid w:val="00CB72BF"/>
    <w:rsid w:val="00CC5BCD"/>
    <w:rsid w:val="00CC733F"/>
    <w:rsid w:val="00CE4CBA"/>
    <w:rsid w:val="00CF3C66"/>
    <w:rsid w:val="00D04619"/>
    <w:rsid w:val="00D17753"/>
    <w:rsid w:val="00D26482"/>
    <w:rsid w:val="00D3220A"/>
    <w:rsid w:val="00D3447B"/>
    <w:rsid w:val="00D36C9C"/>
    <w:rsid w:val="00D40D43"/>
    <w:rsid w:val="00D62D06"/>
    <w:rsid w:val="00D66813"/>
    <w:rsid w:val="00D66BA1"/>
    <w:rsid w:val="00D673D8"/>
    <w:rsid w:val="00D75FA7"/>
    <w:rsid w:val="00D76FE1"/>
    <w:rsid w:val="00D8588A"/>
    <w:rsid w:val="00D908BD"/>
    <w:rsid w:val="00D915BB"/>
    <w:rsid w:val="00D94592"/>
    <w:rsid w:val="00D9582A"/>
    <w:rsid w:val="00D97504"/>
    <w:rsid w:val="00DA162D"/>
    <w:rsid w:val="00DA7BE3"/>
    <w:rsid w:val="00DB3E9D"/>
    <w:rsid w:val="00DB73EB"/>
    <w:rsid w:val="00DC14B5"/>
    <w:rsid w:val="00DD0D87"/>
    <w:rsid w:val="00DD0DBB"/>
    <w:rsid w:val="00DE3FE0"/>
    <w:rsid w:val="00DE51CA"/>
    <w:rsid w:val="00DE7B62"/>
    <w:rsid w:val="00DF7A47"/>
    <w:rsid w:val="00E02DD3"/>
    <w:rsid w:val="00E27B2C"/>
    <w:rsid w:val="00E27FBA"/>
    <w:rsid w:val="00E30816"/>
    <w:rsid w:val="00E31F16"/>
    <w:rsid w:val="00E726AE"/>
    <w:rsid w:val="00E72960"/>
    <w:rsid w:val="00E7575B"/>
    <w:rsid w:val="00E75897"/>
    <w:rsid w:val="00EA47BD"/>
    <w:rsid w:val="00EA7E8F"/>
    <w:rsid w:val="00EB0A6A"/>
    <w:rsid w:val="00EC127B"/>
    <w:rsid w:val="00EC21D1"/>
    <w:rsid w:val="00EC349F"/>
    <w:rsid w:val="00ED73EC"/>
    <w:rsid w:val="00EE6EAF"/>
    <w:rsid w:val="00EF33B5"/>
    <w:rsid w:val="00F00E08"/>
    <w:rsid w:val="00F0429E"/>
    <w:rsid w:val="00F07264"/>
    <w:rsid w:val="00F10293"/>
    <w:rsid w:val="00F161A6"/>
    <w:rsid w:val="00F243CC"/>
    <w:rsid w:val="00F2697C"/>
    <w:rsid w:val="00F26CAF"/>
    <w:rsid w:val="00F3250E"/>
    <w:rsid w:val="00F42122"/>
    <w:rsid w:val="00F4490A"/>
    <w:rsid w:val="00F4642C"/>
    <w:rsid w:val="00F538FC"/>
    <w:rsid w:val="00F53EC1"/>
    <w:rsid w:val="00F56236"/>
    <w:rsid w:val="00F72A63"/>
    <w:rsid w:val="00F73D48"/>
    <w:rsid w:val="00F7515F"/>
    <w:rsid w:val="00F84D69"/>
    <w:rsid w:val="00F95064"/>
    <w:rsid w:val="00FA43F0"/>
    <w:rsid w:val="00FB1135"/>
    <w:rsid w:val="00FB5A40"/>
    <w:rsid w:val="00FB5D37"/>
    <w:rsid w:val="00FB5D70"/>
    <w:rsid w:val="00FC0E2F"/>
    <w:rsid w:val="00FD40FD"/>
    <w:rsid w:val="00FD4CCD"/>
    <w:rsid w:val="00FD5747"/>
    <w:rsid w:val="00FE6491"/>
    <w:rsid w:val="00FF2AA1"/>
    <w:rsid w:val="00FF4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D75"/>
    <w:rPr>
      <w:sz w:val="24"/>
      <w:szCs w:val="24"/>
      <w:lang w:val="et-EE" w:eastAsia="et-EE"/>
    </w:rPr>
  </w:style>
  <w:style w:type="paragraph" w:styleId="Heading1">
    <w:name w:val="heading 1"/>
    <w:basedOn w:val="Normal"/>
    <w:next w:val="Normal"/>
    <w:qFormat/>
    <w:rsid w:val="0028629A"/>
    <w:pPr>
      <w:keepNext/>
      <w:numPr>
        <w:numId w:val="1"/>
      </w:numPr>
      <w:jc w:val="center"/>
      <w:outlineLvl w:val="0"/>
    </w:pPr>
    <w:rPr>
      <w:b/>
      <w:bCs/>
      <w:sz w:val="32"/>
      <w:lang w:val="en-US" w:eastAsia="en-US"/>
    </w:rPr>
  </w:style>
  <w:style w:type="paragraph" w:styleId="Heading2">
    <w:name w:val="heading 2"/>
    <w:basedOn w:val="Normal"/>
    <w:next w:val="Normal"/>
    <w:qFormat/>
    <w:rsid w:val="0028629A"/>
    <w:pPr>
      <w:keepNext/>
      <w:numPr>
        <w:ilvl w:val="1"/>
        <w:numId w:val="1"/>
      </w:numPr>
      <w:jc w:val="both"/>
      <w:outlineLvl w:val="1"/>
    </w:pPr>
    <w:rPr>
      <w:snapToGrid w:val="0"/>
      <w:sz w:val="28"/>
      <w:lang w:val="en-US" w:eastAsia="en-US"/>
    </w:rPr>
  </w:style>
  <w:style w:type="paragraph" w:styleId="Heading3">
    <w:name w:val="heading 3"/>
    <w:aliases w:val="Pealkiri 3 Märk"/>
    <w:basedOn w:val="Normal"/>
    <w:next w:val="Normal"/>
    <w:qFormat/>
    <w:rsid w:val="0028629A"/>
    <w:pPr>
      <w:keepNext/>
      <w:numPr>
        <w:ilvl w:val="2"/>
        <w:numId w:val="1"/>
      </w:numPr>
      <w:jc w:val="both"/>
      <w:outlineLvl w:val="2"/>
    </w:pPr>
    <w:rPr>
      <w:i/>
      <w:iCs/>
      <w:sz w:val="28"/>
      <w:lang w:val="en-US" w:eastAsia="en-US"/>
    </w:rPr>
  </w:style>
  <w:style w:type="paragraph" w:styleId="Heading4">
    <w:name w:val="heading 4"/>
    <w:basedOn w:val="Normal"/>
    <w:next w:val="Normal"/>
    <w:qFormat/>
    <w:rsid w:val="00B967DA"/>
    <w:pPr>
      <w:keepNext/>
      <w:spacing w:before="240" w:after="60"/>
      <w:outlineLvl w:val="3"/>
    </w:pPr>
    <w:rPr>
      <w:b/>
      <w:bCs/>
      <w:sz w:val="28"/>
      <w:szCs w:val="28"/>
    </w:rPr>
  </w:style>
  <w:style w:type="paragraph" w:styleId="Heading5">
    <w:name w:val="heading 5"/>
    <w:basedOn w:val="Normal"/>
    <w:next w:val="Normal"/>
    <w:qFormat/>
    <w:rsid w:val="0028629A"/>
    <w:pPr>
      <w:numPr>
        <w:ilvl w:val="4"/>
        <w:numId w:val="1"/>
      </w:numPr>
      <w:spacing w:before="240" w:after="60"/>
      <w:outlineLvl w:val="4"/>
    </w:pPr>
    <w:rPr>
      <w:b/>
      <w:bCs/>
      <w:i/>
      <w:iCs/>
      <w:sz w:val="26"/>
      <w:szCs w:val="26"/>
      <w:lang w:val="en-US" w:eastAsia="en-US"/>
    </w:rPr>
  </w:style>
  <w:style w:type="paragraph" w:styleId="Heading6">
    <w:name w:val="heading 6"/>
    <w:basedOn w:val="Normal"/>
    <w:next w:val="Normal"/>
    <w:qFormat/>
    <w:rsid w:val="0028629A"/>
    <w:pPr>
      <w:numPr>
        <w:ilvl w:val="5"/>
        <w:numId w:val="1"/>
      </w:numPr>
      <w:spacing w:before="240" w:after="60"/>
      <w:outlineLvl w:val="5"/>
    </w:pPr>
    <w:rPr>
      <w:b/>
      <w:bCs/>
      <w:sz w:val="22"/>
      <w:szCs w:val="22"/>
      <w:lang w:val="en-US" w:eastAsia="en-US"/>
    </w:rPr>
  </w:style>
  <w:style w:type="paragraph" w:styleId="Heading7">
    <w:name w:val="heading 7"/>
    <w:basedOn w:val="Normal"/>
    <w:next w:val="Normal"/>
    <w:qFormat/>
    <w:rsid w:val="00B967DA"/>
    <w:pPr>
      <w:spacing w:before="240" w:after="60"/>
      <w:outlineLvl w:val="6"/>
    </w:pPr>
  </w:style>
  <w:style w:type="paragraph" w:styleId="Heading8">
    <w:name w:val="heading 8"/>
    <w:basedOn w:val="Normal"/>
    <w:next w:val="Normal"/>
    <w:qFormat/>
    <w:rsid w:val="00B967DA"/>
    <w:pPr>
      <w:spacing w:before="240" w:after="60"/>
      <w:outlineLvl w:val="7"/>
    </w:pPr>
    <w:rPr>
      <w:i/>
      <w:iCs/>
    </w:rPr>
  </w:style>
  <w:style w:type="paragraph" w:styleId="Heading9">
    <w:name w:val="heading 9"/>
    <w:basedOn w:val="Normal"/>
    <w:next w:val="Normal"/>
    <w:qFormat/>
    <w:rsid w:val="00B967D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MrkMrk">
    <w:name w:val="Char Märk Märk"/>
    <w:basedOn w:val="Normal"/>
    <w:rsid w:val="00A50F68"/>
    <w:pPr>
      <w:spacing w:after="160" w:line="240" w:lineRule="exact"/>
    </w:pPr>
    <w:rPr>
      <w:rFonts w:ascii="Tahoma" w:hAnsi="Tahoma"/>
      <w:sz w:val="20"/>
      <w:szCs w:val="20"/>
      <w:lang w:val="en-US" w:eastAsia="en-US"/>
    </w:rPr>
  </w:style>
  <w:style w:type="character" w:styleId="FootnoteReference">
    <w:name w:val="footnote reference"/>
    <w:basedOn w:val="DefaultParagraphFont"/>
    <w:semiHidden/>
    <w:rsid w:val="0028629A"/>
    <w:rPr>
      <w:vertAlign w:val="superscript"/>
    </w:rPr>
  </w:style>
  <w:style w:type="paragraph" w:styleId="FootnoteText">
    <w:name w:val="footnote text"/>
    <w:basedOn w:val="Normal"/>
    <w:semiHidden/>
    <w:rsid w:val="0028629A"/>
    <w:rPr>
      <w:sz w:val="20"/>
      <w:szCs w:val="20"/>
      <w:lang w:val="en-US" w:eastAsia="en-US"/>
    </w:rPr>
  </w:style>
  <w:style w:type="paragraph" w:styleId="Footer">
    <w:name w:val="footer"/>
    <w:basedOn w:val="Normal"/>
    <w:rsid w:val="0028629A"/>
    <w:pPr>
      <w:tabs>
        <w:tab w:val="center" w:pos="4536"/>
        <w:tab w:val="right" w:pos="9072"/>
      </w:tabs>
    </w:pPr>
  </w:style>
  <w:style w:type="character" w:styleId="PageNumber">
    <w:name w:val="page number"/>
    <w:basedOn w:val="DefaultParagraphFont"/>
    <w:rsid w:val="0028629A"/>
  </w:style>
  <w:style w:type="paragraph" w:styleId="Title">
    <w:name w:val="Title"/>
    <w:basedOn w:val="Normal"/>
    <w:qFormat/>
    <w:rsid w:val="00D66BA1"/>
    <w:pPr>
      <w:autoSpaceDE w:val="0"/>
      <w:autoSpaceDN w:val="0"/>
      <w:jc w:val="center"/>
    </w:pPr>
    <w:rPr>
      <w:b/>
      <w:bCs/>
      <w:lang w:eastAsia="en-US"/>
    </w:rPr>
  </w:style>
  <w:style w:type="paragraph" w:styleId="TOC1">
    <w:name w:val="toc 1"/>
    <w:basedOn w:val="Normal"/>
    <w:next w:val="Normal"/>
    <w:autoRedefine/>
    <w:semiHidden/>
    <w:rsid w:val="007654E9"/>
    <w:pPr>
      <w:tabs>
        <w:tab w:val="right" w:leader="dot" w:pos="9062"/>
      </w:tabs>
      <w:spacing w:line="360" w:lineRule="auto"/>
    </w:pPr>
    <w:rPr>
      <w:lang w:val="en-GB" w:eastAsia="en-US"/>
    </w:rPr>
  </w:style>
  <w:style w:type="paragraph" w:styleId="TOC2">
    <w:name w:val="toc 2"/>
    <w:basedOn w:val="Normal"/>
    <w:next w:val="Normal"/>
    <w:autoRedefine/>
    <w:semiHidden/>
    <w:rsid w:val="0095271B"/>
    <w:pPr>
      <w:tabs>
        <w:tab w:val="left" w:pos="960"/>
        <w:tab w:val="right" w:leader="dot" w:pos="9062"/>
      </w:tabs>
      <w:spacing w:line="360" w:lineRule="auto"/>
      <w:ind w:left="240"/>
    </w:pPr>
    <w:rPr>
      <w:lang w:val="en-GB" w:eastAsia="en-US"/>
    </w:rPr>
  </w:style>
  <w:style w:type="paragraph" w:styleId="TOC3">
    <w:name w:val="toc 3"/>
    <w:basedOn w:val="Normal"/>
    <w:next w:val="Normal"/>
    <w:autoRedefine/>
    <w:semiHidden/>
    <w:rsid w:val="00D66BA1"/>
    <w:pPr>
      <w:ind w:left="480"/>
    </w:pPr>
    <w:rPr>
      <w:lang w:val="en-US" w:eastAsia="en-US"/>
    </w:rPr>
  </w:style>
  <w:style w:type="table" w:styleId="TableGrid">
    <w:name w:val="Table Grid"/>
    <w:basedOn w:val="TableNormal"/>
    <w:rsid w:val="006E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6DBF"/>
    <w:pPr>
      <w:spacing w:after="120"/>
    </w:pPr>
    <w:rPr>
      <w:lang w:val="en-US" w:eastAsia="en-US"/>
    </w:rPr>
  </w:style>
  <w:style w:type="paragraph" w:customStyle="1" w:styleId="CharChar">
    <w:name w:val="Char Char"/>
    <w:basedOn w:val="Normal"/>
    <w:rsid w:val="00053523"/>
    <w:pPr>
      <w:spacing w:after="160" w:line="240" w:lineRule="exact"/>
    </w:pPr>
    <w:rPr>
      <w:rFonts w:ascii="Tahoma" w:hAnsi="Tahoma"/>
      <w:sz w:val="20"/>
      <w:szCs w:val="20"/>
      <w:lang w:val="en-US" w:eastAsia="en-US"/>
    </w:rPr>
  </w:style>
  <w:style w:type="paragraph" w:styleId="BalloonText">
    <w:name w:val="Balloon Text"/>
    <w:basedOn w:val="Normal"/>
    <w:semiHidden/>
    <w:rsid w:val="00931222"/>
    <w:rPr>
      <w:rFonts w:ascii="Tahoma" w:hAnsi="Tahoma" w:cs="Tahoma"/>
      <w:sz w:val="16"/>
      <w:szCs w:val="16"/>
    </w:rPr>
  </w:style>
  <w:style w:type="paragraph" w:styleId="BodyTextIndent3">
    <w:name w:val="Body Text Indent 3"/>
    <w:basedOn w:val="Normal"/>
    <w:rsid w:val="00B967DA"/>
    <w:pPr>
      <w:spacing w:after="120"/>
      <w:ind w:left="283"/>
    </w:pPr>
    <w:rPr>
      <w:sz w:val="16"/>
      <w:szCs w:val="16"/>
    </w:rPr>
  </w:style>
  <w:style w:type="paragraph" w:styleId="BodyText2">
    <w:name w:val="Body Text 2"/>
    <w:basedOn w:val="Normal"/>
    <w:rsid w:val="00B967DA"/>
    <w:pPr>
      <w:tabs>
        <w:tab w:val="right" w:pos="10440"/>
      </w:tabs>
      <w:spacing w:before="120"/>
      <w:jc w:val="center"/>
    </w:pPr>
    <w:rPr>
      <w:rFonts w:ascii="Arial" w:hAnsi="Arial" w:cs="Arial"/>
      <w:sz w:val="20"/>
      <w:lang w:val="en-US" w:eastAsia="en-US"/>
    </w:rPr>
  </w:style>
  <w:style w:type="paragraph" w:styleId="BodyText3">
    <w:name w:val="Body Text 3"/>
    <w:basedOn w:val="Normal"/>
    <w:rsid w:val="00B967DA"/>
    <w:pPr>
      <w:tabs>
        <w:tab w:val="right" w:pos="10440"/>
      </w:tabs>
    </w:pPr>
    <w:rPr>
      <w:rFonts w:ascii="Arial" w:hAnsi="Arial" w:cs="Arial"/>
      <w:sz w:val="20"/>
      <w:lang w:val="en-US" w:eastAsia="en-US"/>
    </w:rPr>
  </w:style>
  <w:style w:type="paragraph" w:styleId="Header">
    <w:name w:val="header"/>
    <w:basedOn w:val="Normal"/>
    <w:rsid w:val="00B967DA"/>
    <w:pPr>
      <w:tabs>
        <w:tab w:val="center" w:pos="4320"/>
        <w:tab w:val="right" w:pos="8640"/>
      </w:tabs>
    </w:pPr>
    <w:rPr>
      <w:lang w:val="en-US" w:eastAsia="en-US"/>
    </w:rPr>
  </w:style>
  <w:style w:type="paragraph" w:styleId="Caption">
    <w:name w:val="caption"/>
    <w:basedOn w:val="Normal"/>
    <w:next w:val="Normal"/>
    <w:qFormat/>
    <w:rsid w:val="00B967DA"/>
    <w:pPr>
      <w:tabs>
        <w:tab w:val="right" w:pos="10440"/>
      </w:tabs>
      <w:spacing w:before="60" w:after="60"/>
    </w:pPr>
    <w:rPr>
      <w:rFonts w:ascii="Arial" w:hAnsi="Arial" w:cs="Arial"/>
      <w:b/>
      <w:bCs/>
      <w:sz w:val="20"/>
      <w:lang w:val="sr-Cyrl-CS" w:eastAsia="en-US"/>
    </w:rPr>
  </w:style>
  <w:style w:type="paragraph" w:styleId="ListBullet">
    <w:name w:val="List Bullet"/>
    <w:basedOn w:val="Normal"/>
    <w:autoRedefine/>
    <w:rsid w:val="00487772"/>
    <w:pPr>
      <w:numPr>
        <w:numId w:val="6"/>
      </w:numPr>
      <w:tabs>
        <w:tab w:val="clear" w:pos="360"/>
      </w:tabs>
      <w:ind w:left="900" w:hanging="400"/>
      <w:jc w:val="both"/>
    </w:pPr>
    <w:rPr>
      <w:kern w:val="12"/>
      <w:szCs w:val="20"/>
      <w:lang w:val="en-GB" w:eastAsia="de-DE"/>
    </w:rPr>
  </w:style>
  <w:style w:type="paragraph" w:customStyle="1" w:styleId="Aufzhlungszeichen1">
    <w:name w:val="Aufzählungszeichen1"/>
    <w:basedOn w:val="ListBullet"/>
    <w:rsid w:val="00487772"/>
    <w:pPr>
      <w:ind w:left="400"/>
    </w:pPr>
  </w:style>
  <w:style w:type="character" w:styleId="Hyperlink">
    <w:name w:val="Hyperlink"/>
    <w:basedOn w:val="DefaultParagraphFont"/>
    <w:rsid w:val="00513C09"/>
    <w:rPr>
      <w:color w:val="0000FF"/>
      <w:u w:val="single"/>
    </w:rPr>
  </w:style>
</w:styles>
</file>

<file path=word/webSettings.xml><?xml version="1.0" encoding="utf-8"?>
<w:webSettings xmlns:r="http://schemas.openxmlformats.org/officeDocument/2006/relationships" xmlns:w="http://schemas.openxmlformats.org/wordprocessingml/2006/main">
  <w:divs>
    <w:div w:id="45298515">
      <w:bodyDiv w:val="1"/>
      <w:marLeft w:val="0"/>
      <w:marRight w:val="0"/>
      <w:marTop w:val="0"/>
      <w:marBottom w:val="0"/>
      <w:divBdr>
        <w:top w:val="none" w:sz="0" w:space="0" w:color="auto"/>
        <w:left w:val="none" w:sz="0" w:space="0" w:color="auto"/>
        <w:bottom w:val="none" w:sz="0" w:space="0" w:color="auto"/>
        <w:right w:val="none" w:sz="0" w:space="0" w:color="auto"/>
      </w:divBdr>
    </w:div>
    <w:div w:id="201014655">
      <w:bodyDiv w:val="1"/>
      <w:marLeft w:val="0"/>
      <w:marRight w:val="0"/>
      <w:marTop w:val="0"/>
      <w:marBottom w:val="0"/>
      <w:divBdr>
        <w:top w:val="none" w:sz="0" w:space="0" w:color="auto"/>
        <w:left w:val="none" w:sz="0" w:space="0" w:color="auto"/>
        <w:bottom w:val="none" w:sz="0" w:space="0" w:color="auto"/>
        <w:right w:val="none" w:sz="0" w:space="0" w:color="auto"/>
      </w:divBdr>
      <w:divsChild>
        <w:div w:id="537820399">
          <w:marLeft w:val="0"/>
          <w:marRight w:val="0"/>
          <w:marTop w:val="0"/>
          <w:marBottom w:val="0"/>
          <w:divBdr>
            <w:top w:val="none" w:sz="0" w:space="0" w:color="auto"/>
            <w:left w:val="none" w:sz="0" w:space="0" w:color="auto"/>
            <w:bottom w:val="none" w:sz="0" w:space="0" w:color="auto"/>
            <w:right w:val="none" w:sz="0" w:space="0" w:color="auto"/>
          </w:divBdr>
          <w:divsChild>
            <w:div w:id="4250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365">
      <w:bodyDiv w:val="1"/>
      <w:marLeft w:val="0"/>
      <w:marRight w:val="0"/>
      <w:marTop w:val="0"/>
      <w:marBottom w:val="0"/>
      <w:divBdr>
        <w:top w:val="none" w:sz="0" w:space="0" w:color="auto"/>
        <w:left w:val="none" w:sz="0" w:space="0" w:color="auto"/>
        <w:bottom w:val="none" w:sz="0" w:space="0" w:color="auto"/>
        <w:right w:val="none" w:sz="0" w:space="0" w:color="auto"/>
      </w:divBdr>
    </w:div>
    <w:div w:id="341395641">
      <w:bodyDiv w:val="1"/>
      <w:marLeft w:val="0"/>
      <w:marRight w:val="0"/>
      <w:marTop w:val="0"/>
      <w:marBottom w:val="0"/>
      <w:divBdr>
        <w:top w:val="none" w:sz="0" w:space="0" w:color="auto"/>
        <w:left w:val="none" w:sz="0" w:space="0" w:color="auto"/>
        <w:bottom w:val="none" w:sz="0" w:space="0" w:color="auto"/>
        <w:right w:val="none" w:sz="0" w:space="0" w:color="auto"/>
      </w:divBdr>
      <w:divsChild>
        <w:div w:id="1956599277">
          <w:marLeft w:val="0"/>
          <w:marRight w:val="0"/>
          <w:marTop w:val="0"/>
          <w:marBottom w:val="0"/>
          <w:divBdr>
            <w:top w:val="none" w:sz="0" w:space="0" w:color="auto"/>
            <w:left w:val="none" w:sz="0" w:space="0" w:color="auto"/>
            <w:bottom w:val="none" w:sz="0" w:space="0" w:color="auto"/>
            <w:right w:val="none" w:sz="0" w:space="0" w:color="auto"/>
          </w:divBdr>
          <w:divsChild>
            <w:div w:id="1206605972">
              <w:marLeft w:val="0"/>
              <w:marRight w:val="0"/>
              <w:marTop w:val="0"/>
              <w:marBottom w:val="0"/>
              <w:divBdr>
                <w:top w:val="none" w:sz="0" w:space="0" w:color="auto"/>
                <w:left w:val="none" w:sz="0" w:space="0" w:color="auto"/>
                <w:bottom w:val="none" w:sz="0" w:space="0" w:color="auto"/>
                <w:right w:val="none" w:sz="0" w:space="0" w:color="auto"/>
              </w:divBdr>
            </w:div>
            <w:div w:id="1366442228">
              <w:marLeft w:val="0"/>
              <w:marRight w:val="0"/>
              <w:marTop w:val="0"/>
              <w:marBottom w:val="0"/>
              <w:divBdr>
                <w:top w:val="none" w:sz="0" w:space="0" w:color="auto"/>
                <w:left w:val="none" w:sz="0" w:space="0" w:color="auto"/>
                <w:bottom w:val="none" w:sz="0" w:space="0" w:color="auto"/>
                <w:right w:val="none" w:sz="0" w:space="0" w:color="auto"/>
              </w:divBdr>
            </w:div>
            <w:div w:id="1466776449">
              <w:marLeft w:val="0"/>
              <w:marRight w:val="0"/>
              <w:marTop w:val="0"/>
              <w:marBottom w:val="0"/>
              <w:divBdr>
                <w:top w:val="none" w:sz="0" w:space="0" w:color="auto"/>
                <w:left w:val="none" w:sz="0" w:space="0" w:color="auto"/>
                <w:bottom w:val="none" w:sz="0" w:space="0" w:color="auto"/>
                <w:right w:val="none" w:sz="0" w:space="0" w:color="auto"/>
              </w:divBdr>
            </w:div>
            <w:div w:id="1966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4717">
      <w:bodyDiv w:val="1"/>
      <w:marLeft w:val="0"/>
      <w:marRight w:val="0"/>
      <w:marTop w:val="0"/>
      <w:marBottom w:val="0"/>
      <w:divBdr>
        <w:top w:val="none" w:sz="0" w:space="0" w:color="auto"/>
        <w:left w:val="none" w:sz="0" w:space="0" w:color="auto"/>
        <w:bottom w:val="none" w:sz="0" w:space="0" w:color="auto"/>
        <w:right w:val="none" w:sz="0" w:space="0" w:color="auto"/>
      </w:divBdr>
    </w:div>
    <w:div w:id="488249981">
      <w:bodyDiv w:val="1"/>
      <w:marLeft w:val="0"/>
      <w:marRight w:val="0"/>
      <w:marTop w:val="0"/>
      <w:marBottom w:val="0"/>
      <w:divBdr>
        <w:top w:val="none" w:sz="0" w:space="0" w:color="auto"/>
        <w:left w:val="none" w:sz="0" w:space="0" w:color="auto"/>
        <w:bottom w:val="none" w:sz="0" w:space="0" w:color="auto"/>
        <w:right w:val="none" w:sz="0" w:space="0" w:color="auto"/>
      </w:divBdr>
    </w:div>
    <w:div w:id="609049755">
      <w:bodyDiv w:val="1"/>
      <w:marLeft w:val="0"/>
      <w:marRight w:val="0"/>
      <w:marTop w:val="0"/>
      <w:marBottom w:val="0"/>
      <w:divBdr>
        <w:top w:val="none" w:sz="0" w:space="0" w:color="auto"/>
        <w:left w:val="none" w:sz="0" w:space="0" w:color="auto"/>
        <w:bottom w:val="none" w:sz="0" w:space="0" w:color="auto"/>
        <w:right w:val="none" w:sz="0" w:space="0" w:color="auto"/>
      </w:divBdr>
    </w:div>
    <w:div w:id="799686369">
      <w:bodyDiv w:val="1"/>
      <w:marLeft w:val="0"/>
      <w:marRight w:val="0"/>
      <w:marTop w:val="0"/>
      <w:marBottom w:val="0"/>
      <w:divBdr>
        <w:top w:val="none" w:sz="0" w:space="0" w:color="auto"/>
        <w:left w:val="none" w:sz="0" w:space="0" w:color="auto"/>
        <w:bottom w:val="none" w:sz="0" w:space="0" w:color="auto"/>
        <w:right w:val="none" w:sz="0" w:space="0" w:color="auto"/>
      </w:divBdr>
      <w:divsChild>
        <w:div w:id="1028335440">
          <w:marLeft w:val="0"/>
          <w:marRight w:val="0"/>
          <w:marTop w:val="0"/>
          <w:marBottom w:val="0"/>
          <w:divBdr>
            <w:top w:val="none" w:sz="0" w:space="0" w:color="auto"/>
            <w:left w:val="none" w:sz="0" w:space="0" w:color="auto"/>
            <w:bottom w:val="none" w:sz="0" w:space="0" w:color="auto"/>
            <w:right w:val="none" w:sz="0" w:space="0" w:color="auto"/>
          </w:divBdr>
          <w:divsChild>
            <w:div w:id="507644927">
              <w:marLeft w:val="0"/>
              <w:marRight w:val="0"/>
              <w:marTop w:val="0"/>
              <w:marBottom w:val="0"/>
              <w:divBdr>
                <w:top w:val="none" w:sz="0" w:space="0" w:color="auto"/>
                <w:left w:val="none" w:sz="0" w:space="0" w:color="auto"/>
                <w:bottom w:val="none" w:sz="0" w:space="0" w:color="auto"/>
                <w:right w:val="none" w:sz="0" w:space="0" w:color="auto"/>
              </w:divBdr>
            </w:div>
            <w:div w:id="920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247">
      <w:bodyDiv w:val="1"/>
      <w:marLeft w:val="0"/>
      <w:marRight w:val="0"/>
      <w:marTop w:val="0"/>
      <w:marBottom w:val="0"/>
      <w:divBdr>
        <w:top w:val="none" w:sz="0" w:space="0" w:color="auto"/>
        <w:left w:val="none" w:sz="0" w:space="0" w:color="auto"/>
        <w:bottom w:val="none" w:sz="0" w:space="0" w:color="auto"/>
        <w:right w:val="none" w:sz="0" w:space="0" w:color="auto"/>
      </w:divBdr>
    </w:div>
    <w:div w:id="882212754">
      <w:bodyDiv w:val="1"/>
      <w:marLeft w:val="0"/>
      <w:marRight w:val="0"/>
      <w:marTop w:val="0"/>
      <w:marBottom w:val="0"/>
      <w:divBdr>
        <w:top w:val="none" w:sz="0" w:space="0" w:color="auto"/>
        <w:left w:val="none" w:sz="0" w:space="0" w:color="auto"/>
        <w:bottom w:val="none" w:sz="0" w:space="0" w:color="auto"/>
        <w:right w:val="none" w:sz="0" w:space="0" w:color="auto"/>
      </w:divBdr>
    </w:div>
    <w:div w:id="899553741">
      <w:bodyDiv w:val="1"/>
      <w:marLeft w:val="0"/>
      <w:marRight w:val="0"/>
      <w:marTop w:val="0"/>
      <w:marBottom w:val="0"/>
      <w:divBdr>
        <w:top w:val="none" w:sz="0" w:space="0" w:color="auto"/>
        <w:left w:val="none" w:sz="0" w:space="0" w:color="auto"/>
        <w:bottom w:val="none" w:sz="0" w:space="0" w:color="auto"/>
        <w:right w:val="none" w:sz="0" w:space="0" w:color="auto"/>
      </w:divBdr>
    </w:div>
    <w:div w:id="936791426">
      <w:bodyDiv w:val="1"/>
      <w:marLeft w:val="0"/>
      <w:marRight w:val="0"/>
      <w:marTop w:val="0"/>
      <w:marBottom w:val="0"/>
      <w:divBdr>
        <w:top w:val="none" w:sz="0" w:space="0" w:color="auto"/>
        <w:left w:val="none" w:sz="0" w:space="0" w:color="auto"/>
        <w:bottom w:val="none" w:sz="0" w:space="0" w:color="auto"/>
        <w:right w:val="none" w:sz="0" w:space="0" w:color="auto"/>
      </w:divBdr>
    </w:div>
    <w:div w:id="999700322">
      <w:bodyDiv w:val="1"/>
      <w:marLeft w:val="0"/>
      <w:marRight w:val="0"/>
      <w:marTop w:val="0"/>
      <w:marBottom w:val="0"/>
      <w:divBdr>
        <w:top w:val="none" w:sz="0" w:space="0" w:color="auto"/>
        <w:left w:val="none" w:sz="0" w:space="0" w:color="auto"/>
        <w:bottom w:val="none" w:sz="0" w:space="0" w:color="auto"/>
        <w:right w:val="none" w:sz="0" w:space="0" w:color="auto"/>
      </w:divBdr>
    </w:div>
    <w:div w:id="1110927394">
      <w:bodyDiv w:val="1"/>
      <w:marLeft w:val="0"/>
      <w:marRight w:val="0"/>
      <w:marTop w:val="0"/>
      <w:marBottom w:val="0"/>
      <w:divBdr>
        <w:top w:val="none" w:sz="0" w:space="0" w:color="auto"/>
        <w:left w:val="none" w:sz="0" w:space="0" w:color="auto"/>
        <w:bottom w:val="none" w:sz="0" w:space="0" w:color="auto"/>
        <w:right w:val="none" w:sz="0" w:space="0" w:color="auto"/>
      </w:divBdr>
    </w:div>
    <w:div w:id="1114640312">
      <w:bodyDiv w:val="1"/>
      <w:marLeft w:val="0"/>
      <w:marRight w:val="0"/>
      <w:marTop w:val="0"/>
      <w:marBottom w:val="0"/>
      <w:divBdr>
        <w:top w:val="none" w:sz="0" w:space="0" w:color="auto"/>
        <w:left w:val="none" w:sz="0" w:space="0" w:color="auto"/>
        <w:bottom w:val="none" w:sz="0" w:space="0" w:color="auto"/>
        <w:right w:val="none" w:sz="0" w:space="0" w:color="auto"/>
      </w:divBdr>
    </w:div>
    <w:div w:id="1265311060">
      <w:bodyDiv w:val="1"/>
      <w:marLeft w:val="0"/>
      <w:marRight w:val="0"/>
      <w:marTop w:val="0"/>
      <w:marBottom w:val="0"/>
      <w:divBdr>
        <w:top w:val="none" w:sz="0" w:space="0" w:color="auto"/>
        <w:left w:val="none" w:sz="0" w:space="0" w:color="auto"/>
        <w:bottom w:val="none" w:sz="0" w:space="0" w:color="auto"/>
        <w:right w:val="none" w:sz="0" w:space="0" w:color="auto"/>
      </w:divBdr>
    </w:div>
    <w:div w:id="1289823162">
      <w:bodyDiv w:val="1"/>
      <w:marLeft w:val="0"/>
      <w:marRight w:val="0"/>
      <w:marTop w:val="0"/>
      <w:marBottom w:val="0"/>
      <w:divBdr>
        <w:top w:val="none" w:sz="0" w:space="0" w:color="auto"/>
        <w:left w:val="none" w:sz="0" w:space="0" w:color="auto"/>
        <w:bottom w:val="none" w:sz="0" w:space="0" w:color="auto"/>
        <w:right w:val="none" w:sz="0" w:space="0" w:color="auto"/>
      </w:divBdr>
    </w:div>
    <w:div w:id="1390883595">
      <w:bodyDiv w:val="1"/>
      <w:marLeft w:val="0"/>
      <w:marRight w:val="0"/>
      <w:marTop w:val="0"/>
      <w:marBottom w:val="0"/>
      <w:divBdr>
        <w:top w:val="none" w:sz="0" w:space="0" w:color="auto"/>
        <w:left w:val="none" w:sz="0" w:space="0" w:color="auto"/>
        <w:bottom w:val="none" w:sz="0" w:space="0" w:color="auto"/>
        <w:right w:val="none" w:sz="0" w:space="0" w:color="auto"/>
      </w:divBdr>
    </w:div>
    <w:div w:id="1454400140">
      <w:bodyDiv w:val="1"/>
      <w:marLeft w:val="0"/>
      <w:marRight w:val="0"/>
      <w:marTop w:val="0"/>
      <w:marBottom w:val="0"/>
      <w:divBdr>
        <w:top w:val="none" w:sz="0" w:space="0" w:color="auto"/>
        <w:left w:val="none" w:sz="0" w:space="0" w:color="auto"/>
        <w:bottom w:val="none" w:sz="0" w:space="0" w:color="auto"/>
        <w:right w:val="none" w:sz="0" w:space="0" w:color="auto"/>
      </w:divBdr>
    </w:div>
    <w:div w:id="1532718573">
      <w:bodyDiv w:val="1"/>
      <w:marLeft w:val="0"/>
      <w:marRight w:val="0"/>
      <w:marTop w:val="0"/>
      <w:marBottom w:val="0"/>
      <w:divBdr>
        <w:top w:val="none" w:sz="0" w:space="0" w:color="auto"/>
        <w:left w:val="none" w:sz="0" w:space="0" w:color="auto"/>
        <w:bottom w:val="none" w:sz="0" w:space="0" w:color="auto"/>
        <w:right w:val="none" w:sz="0" w:space="0" w:color="auto"/>
      </w:divBdr>
    </w:div>
    <w:div w:id="1539782943">
      <w:bodyDiv w:val="1"/>
      <w:marLeft w:val="0"/>
      <w:marRight w:val="0"/>
      <w:marTop w:val="0"/>
      <w:marBottom w:val="0"/>
      <w:divBdr>
        <w:top w:val="none" w:sz="0" w:space="0" w:color="auto"/>
        <w:left w:val="none" w:sz="0" w:space="0" w:color="auto"/>
        <w:bottom w:val="none" w:sz="0" w:space="0" w:color="auto"/>
        <w:right w:val="none" w:sz="0" w:space="0" w:color="auto"/>
      </w:divBdr>
      <w:divsChild>
        <w:div w:id="1539782769">
          <w:marLeft w:val="0"/>
          <w:marRight w:val="0"/>
          <w:marTop w:val="0"/>
          <w:marBottom w:val="0"/>
          <w:divBdr>
            <w:top w:val="none" w:sz="0" w:space="0" w:color="auto"/>
            <w:left w:val="none" w:sz="0" w:space="0" w:color="auto"/>
            <w:bottom w:val="none" w:sz="0" w:space="0" w:color="auto"/>
            <w:right w:val="none" w:sz="0" w:space="0" w:color="auto"/>
          </w:divBdr>
          <w:divsChild>
            <w:div w:id="440807994">
              <w:marLeft w:val="0"/>
              <w:marRight w:val="0"/>
              <w:marTop w:val="0"/>
              <w:marBottom w:val="0"/>
              <w:divBdr>
                <w:top w:val="none" w:sz="0" w:space="0" w:color="auto"/>
                <w:left w:val="none" w:sz="0" w:space="0" w:color="auto"/>
                <w:bottom w:val="none" w:sz="0" w:space="0" w:color="auto"/>
                <w:right w:val="none" w:sz="0" w:space="0" w:color="auto"/>
              </w:divBdr>
            </w:div>
            <w:div w:id="525801068">
              <w:marLeft w:val="0"/>
              <w:marRight w:val="0"/>
              <w:marTop w:val="0"/>
              <w:marBottom w:val="0"/>
              <w:divBdr>
                <w:top w:val="none" w:sz="0" w:space="0" w:color="auto"/>
                <w:left w:val="none" w:sz="0" w:space="0" w:color="auto"/>
                <w:bottom w:val="none" w:sz="0" w:space="0" w:color="auto"/>
                <w:right w:val="none" w:sz="0" w:space="0" w:color="auto"/>
              </w:divBdr>
            </w:div>
            <w:div w:id="913515123">
              <w:marLeft w:val="0"/>
              <w:marRight w:val="0"/>
              <w:marTop w:val="0"/>
              <w:marBottom w:val="0"/>
              <w:divBdr>
                <w:top w:val="none" w:sz="0" w:space="0" w:color="auto"/>
                <w:left w:val="none" w:sz="0" w:space="0" w:color="auto"/>
                <w:bottom w:val="none" w:sz="0" w:space="0" w:color="auto"/>
                <w:right w:val="none" w:sz="0" w:space="0" w:color="auto"/>
              </w:divBdr>
            </w:div>
            <w:div w:id="977035555">
              <w:marLeft w:val="0"/>
              <w:marRight w:val="0"/>
              <w:marTop w:val="0"/>
              <w:marBottom w:val="0"/>
              <w:divBdr>
                <w:top w:val="none" w:sz="0" w:space="0" w:color="auto"/>
                <w:left w:val="none" w:sz="0" w:space="0" w:color="auto"/>
                <w:bottom w:val="none" w:sz="0" w:space="0" w:color="auto"/>
                <w:right w:val="none" w:sz="0" w:space="0" w:color="auto"/>
              </w:divBdr>
            </w:div>
            <w:div w:id="1180000552">
              <w:marLeft w:val="0"/>
              <w:marRight w:val="0"/>
              <w:marTop w:val="0"/>
              <w:marBottom w:val="0"/>
              <w:divBdr>
                <w:top w:val="none" w:sz="0" w:space="0" w:color="auto"/>
                <w:left w:val="none" w:sz="0" w:space="0" w:color="auto"/>
                <w:bottom w:val="none" w:sz="0" w:space="0" w:color="auto"/>
                <w:right w:val="none" w:sz="0" w:space="0" w:color="auto"/>
              </w:divBdr>
            </w:div>
            <w:div w:id="1962298832">
              <w:marLeft w:val="0"/>
              <w:marRight w:val="0"/>
              <w:marTop w:val="0"/>
              <w:marBottom w:val="0"/>
              <w:divBdr>
                <w:top w:val="none" w:sz="0" w:space="0" w:color="auto"/>
                <w:left w:val="none" w:sz="0" w:space="0" w:color="auto"/>
                <w:bottom w:val="none" w:sz="0" w:space="0" w:color="auto"/>
                <w:right w:val="none" w:sz="0" w:space="0" w:color="auto"/>
              </w:divBdr>
            </w:div>
            <w:div w:id="19898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3800">
      <w:bodyDiv w:val="1"/>
      <w:marLeft w:val="0"/>
      <w:marRight w:val="0"/>
      <w:marTop w:val="0"/>
      <w:marBottom w:val="0"/>
      <w:divBdr>
        <w:top w:val="none" w:sz="0" w:space="0" w:color="auto"/>
        <w:left w:val="none" w:sz="0" w:space="0" w:color="auto"/>
        <w:bottom w:val="none" w:sz="0" w:space="0" w:color="auto"/>
        <w:right w:val="none" w:sz="0" w:space="0" w:color="auto"/>
      </w:divBdr>
    </w:div>
    <w:div w:id="1823228068">
      <w:bodyDiv w:val="1"/>
      <w:marLeft w:val="0"/>
      <w:marRight w:val="0"/>
      <w:marTop w:val="0"/>
      <w:marBottom w:val="0"/>
      <w:divBdr>
        <w:top w:val="none" w:sz="0" w:space="0" w:color="auto"/>
        <w:left w:val="none" w:sz="0" w:space="0" w:color="auto"/>
        <w:bottom w:val="none" w:sz="0" w:space="0" w:color="auto"/>
        <w:right w:val="none" w:sz="0" w:space="0" w:color="auto"/>
      </w:divBdr>
    </w:div>
    <w:div w:id="1828323748">
      <w:bodyDiv w:val="1"/>
      <w:marLeft w:val="0"/>
      <w:marRight w:val="0"/>
      <w:marTop w:val="0"/>
      <w:marBottom w:val="0"/>
      <w:divBdr>
        <w:top w:val="none" w:sz="0" w:space="0" w:color="auto"/>
        <w:left w:val="none" w:sz="0" w:space="0" w:color="auto"/>
        <w:bottom w:val="none" w:sz="0" w:space="0" w:color="auto"/>
        <w:right w:val="none" w:sz="0" w:space="0" w:color="auto"/>
      </w:divBdr>
      <w:divsChild>
        <w:div w:id="1947229914">
          <w:marLeft w:val="0"/>
          <w:marRight w:val="0"/>
          <w:marTop w:val="0"/>
          <w:marBottom w:val="0"/>
          <w:divBdr>
            <w:top w:val="none" w:sz="0" w:space="0" w:color="auto"/>
            <w:left w:val="none" w:sz="0" w:space="0" w:color="auto"/>
            <w:bottom w:val="none" w:sz="0" w:space="0" w:color="auto"/>
            <w:right w:val="none" w:sz="0" w:space="0" w:color="auto"/>
          </w:divBdr>
        </w:div>
      </w:divsChild>
    </w:div>
    <w:div w:id="1982149657">
      <w:bodyDiv w:val="1"/>
      <w:marLeft w:val="0"/>
      <w:marRight w:val="0"/>
      <w:marTop w:val="0"/>
      <w:marBottom w:val="0"/>
      <w:divBdr>
        <w:top w:val="none" w:sz="0" w:space="0" w:color="auto"/>
        <w:left w:val="none" w:sz="0" w:space="0" w:color="auto"/>
        <w:bottom w:val="none" w:sz="0" w:space="0" w:color="auto"/>
        <w:right w:val="none" w:sz="0" w:space="0" w:color="auto"/>
      </w:divBdr>
    </w:div>
    <w:div w:id="20594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ocument/8/0,3343,en_2649_201185_2742536_1_1_1_1,0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9334</Words>
  <Characters>56109</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1</vt:lpstr>
    </vt:vector>
  </TitlesOfParts>
  <Company>Sotsiaalministeerium</Company>
  <LinksUpToDate>false</LinksUpToDate>
  <CharactersWithSpaces>65313</CharactersWithSpaces>
  <SharedDoc>false</SharedDoc>
  <HLinks>
    <vt:vector size="6" baseType="variant">
      <vt:variant>
        <vt:i4>8126479</vt:i4>
      </vt:variant>
      <vt:variant>
        <vt:i4>0</vt:i4>
      </vt:variant>
      <vt:variant>
        <vt:i4>0</vt:i4>
      </vt:variant>
      <vt:variant>
        <vt:i4>5</vt:i4>
      </vt:variant>
      <vt:variant>
        <vt:lpwstr>http://www.oecd.org/document/8/0,3343,en_2649_201185_2742536_1_1_1_1,00.html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Natalja</dc:creator>
  <cp:lastModifiedBy>wb426104</cp:lastModifiedBy>
  <cp:revision>3</cp:revision>
  <cp:lastPrinted>2007-06-27T07:16:00Z</cp:lastPrinted>
  <dcterms:created xsi:type="dcterms:W3CDTF">2012-06-06T20:58:00Z</dcterms:created>
  <dcterms:modified xsi:type="dcterms:W3CDTF">2012-06-12T14:35:00Z</dcterms:modified>
</cp:coreProperties>
</file>