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3.xml" ContentType="application/vnd.ms-office.chartcolorstyle+xml"/>
  <Override PartName="/word/charts/style3.xml" ContentType="application/vnd.ms-office.chart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theme/theme1.xml" ContentType="application/vnd.openxmlformats-officedocument.theme+xml"/>
  <Override PartName="/word/charts/chart5.xml" ContentType="application/vnd.openxmlformats-officedocument.drawingml.chart+xml"/>
  <Override PartName="/word/charts/colors4.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0111778" w14:textId="77777777" w:rsidR="00772F11" w:rsidRPr="00F92093" w:rsidRDefault="00772F11" w:rsidP="00F92093">
      <w:pPr>
        <w:tabs>
          <w:tab w:val="left" w:pos="5507"/>
        </w:tabs>
        <w:autoSpaceDE w:val="0"/>
        <w:autoSpaceDN w:val="0"/>
        <w:adjustRightInd w:val="0"/>
        <w:jc w:val="center"/>
        <w:divId w:val="1525092435"/>
        <w:rPr>
          <w:b/>
          <w:iCs/>
          <w:color w:val="000000"/>
          <w:sz w:val="22"/>
          <w:szCs w:val="22"/>
          <w:lang w:eastAsia="en-US"/>
        </w:rPr>
      </w:pPr>
      <w:bookmarkStart w:id="0" w:name="COVERPAGE"/>
      <w:bookmarkEnd w:id="0"/>
      <w:r w:rsidRPr="00F92093">
        <w:rPr>
          <w:b/>
          <w:iCs/>
          <w:color w:val="000000"/>
          <w:sz w:val="22"/>
          <w:szCs w:val="22"/>
          <w:lang w:eastAsia="en-US"/>
        </w:rPr>
        <w:t xml:space="preserve">Document of </w:t>
      </w:r>
      <w:r w:rsidRPr="00F92093">
        <w:rPr>
          <w:b/>
          <w:iCs/>
          <w:color w:val="000000"/>
          <w:sz w:val="22"/>
          <w:szCs w:val="22"/>
          <w:lang w:eastAsia="en-US"/>
        </w:rPr>
        <w:br/>
        <w:t>The World Bank</w:t>
      </w:r>
    </w:p>
    <w:p w14:paraId="5ABE3B85" w14:textId="77777777" w:rsidR="00772F11" w:rsidRDefault="00772F11">
      <w:pPr>
        <w:divId w:val="1525092435"/>
        <w:rPr>
          <w:rFonts w:eastAsia="Times New Roman"/>
        </w:rPr>
      </w:pPr>
    </w:p>
    <w:p w14:paraId="4EFE50EE" w14:textId="77777777" w:rsidR="00772F11" w:rsidRDefault="00772F11">
      <w:pPr>
        <w:pStyle w:val="NormalWeb"/>
        <w:jc w:val="right"/>
        <w:divId w:val="1525092435"/>
        <w:rPr>
          <w:rFonts w:eastAsia="Times New Roman"/>
        </w:rPr>
      </w:pPr>
      <w:r>
        <w:br/>
        <w:t>Report No: ICR00002949</w:t>
      </w:r>
    </w:p>
    <w:tbl>
      <w:tblPr>
        <w:tblW w:w="5000" w:type="pct"/>
        <w:tblCellSpacing w:w="0" w:type="dxa"/>
        <w:tblCellMar>
          <w:left w:w="0" w:type="dxa"/>
          <w:right w:w="0" w:type="dxa"/>
        </w:tblCellMar>
        <w:tblLook w:val="04A0" w:firstRow="1" w:lastRow="0" w:firstColumn="1" w:lastColumn="0" w:noHBand="0" w:noVBand="1"/>
      </w:tblPr>
      <w:tblGrid>
        <w:gridCol w:w="8640"/>
      </w:tblGrid>
      <w:tr w:rsidR="00AF0AC5" w:rsidRPr="00AF0AC5" w14:paraId="78698945" w14:textId="77777777">
        <w:trPr>
          <w:divId w:val="1525092435"/>
          <w:tblCellSpacing w:w="0" w:type="dxa"/>
        </w:trPr>
        <w:tc>
          <w:tcPr>
            <w:tcW w:w="0" w:type="auto"/>
            <w:vAlign w:val="center"/>
            <w:hideMark/>
          </w:tcPr>
          <w:p w14:paraId="0D739EB8" w14:textId="3672BD25" w:rsidR="00772F11" w:rsidRPr="00AF0AC5" w:rsidRDefault="00772F11">
            <w:pPr>
              <w:pStyle w:val="NormalWeb"/>
              <w:jc w:val="center"/>
              <w:rPr>
                <w:rFonts w:eastAsia="Times New Roman"/>
              </w:rPr>
            </w:pPr>
            <w:r w:rsidRPr="00AF0AC5">
              <w:t>IMPLEMENTATION COMPLETION AND RESULTS REPORT</w:t>
            </w:r>
            <w:r w:rsidRPr="00AF0AC5">
              <w:br/>
              <w:t>(IDA-40690 IDA-46870 TF-13074 TF-54740 TF-94002 TF-94827)</w:t>
            </w:r>
          </w:p>
          <w:p w14:paraId="40BF5522" w14:textId="77777777" w:rsidR="00772F11" w:rsidRPr="00AF0AC5" w:rsidRDefault="00772F11" w:rsidP="00F92093">
            <w:pPr>
              <w:pStyle w:val="NormalWeb"/>
              <w:jc w:val="center"/>
            </w:pPr>
            <w:r w:rsidRPr="00AF0AC5">
              <w:t>ON A</w:t>
            </w:r>
          </w:p>
          <w:p w14:paraId="0731D54B" w14:textId="3F32EBFC" w:rsidR="00772F11" w:rsidRPr="00AF0AC5" w:rsidRDefault="001842CE">
            <w:pPr>
              <w:pStyle w:val="NormalWeb"/>
              <w:jc w:val="center"/>
            </w:pPr>
            <w:r w:rsidRPr="00AF0AC5">
              <w:t xml:space="preserve">IDA CREDIT (40690) </w:t>
            </w:r>
            <w:r w:rsidR="00772F11" w:rsidRPr="00AF0AC5">
              <w:t xml:space="preserve">IN THE AMOUNT OF </w:t>
            </w:r>
            <w:r w:rsidRPr="00AF0AC5">
              <w:t>XDR 5.14 MILLION (US$ 7.75 MILLION EQUIVALENT)</w:t>
            </w:r>
            <w:r w:rsidR="00772F11" w:rsidRPr="00AF0AC5">
              <w:br/>
              <w:t>(</w:t>
            </w:r>
            <w:r w:rsidR="00AC7BDF" w:rsidRPr="00AF0AC5">
              <w:t xml:space="preserve"> May 26, 2005</w:t>
            </w:r>
            <w:r w:rsidR="00772F11" w:rsidRPr="00AF0AC5">
              <w:t>)</w:t>
            </w:r>
          </w:p>
          <w:p w14:paraId="215E3A2F" w14:textId="1180C44E" w:rsidR="00AC7BDF" w:rsidRPr="00AF0AC5" w:rsidRDefault="00AC7BDF" w:rsidP="00AC7BDF">
            <w:pPr>
              <w:pStyle w:val="NormalWeb"/>
              <w:jc w:val="center"/>
            </w:pPr>
          </w:p>
          <w:p w14:paraId="071FE3B5" w14:textId="74490F9F" w:rsidR="00AC7BDF" w:rsidRPr="00AF0AC5" w:rsidRDefault="00AC7BDF" w:rsidP="00AC7BDF">
            <w:pPr>
              <w:pStyle w:val="NormalWeb"/>
              <w:jc w:val="center"/>
            </w:pPr>
            <w:r w:rsidRPr="00AF0AC5">
              <w:t xml:space="preserve">SDC GRANT (TF94002) IN THE AMOUNT OF US$ 0.680 MILLION </w:t>
            </w:r>
            <w:r w:rsidRPr="00AF0AC5">
              <w:br/>
              <w:t>( April 6, 2009)</w:t>
            </w:r>
          </w:p>
          <w:p w14:paraId="5982EF72" w14:textId="523481A9" w:rsidR="00AC7BDF" w:rsidRPr="00AF0AC5" w:rsidRDefault="00AC7BDF" w:rsidP="00AC7BDF">
            <w:pPr>
              <w:pStyle w:val="NormalWeb"/>
              <w:jc w:val="center"/>
            </w:pPr>
            <w:r w:rsidRPr="00AF0AC5">
              <w:t xml:space="preserve">KOREA GRANT (TF94827) IN THE AMOUNT OF US$ 0.700 MILLION </w:t>
            </w:r>
            <w:r w:rsidRPr="00AF0AC5">
              <w:br/>
              <w:t>( April 28, 2010)</w:t>
            </w:r>
          </w:p>
          <w:p w14:paraId="4C329D3F" w14:textId="3F96AB10" w:rsidR="00AC7BDF" w:rsidRPr="00AF0AC5" w:rsidRDefault="00AC7BDF" w:rsidP="00AC7BDF">
            <w:pPr>
              <w:pStyle w:val="NormalWeb"/>
              <w:jc w:val="center"/>
            </w:pPr>
            <w:r w:rsidRPr="00AF0AC5">
              <w:t>IDA CREDIT (46870) IN THE AMOUNT OF XDR 6.3 MILLION (US$ 10 MILLION EQUIVALENT)</w:t>
            </w:r>
            <w:r w:rsidRPr="00AF0AC5">
              <w:br/>
              <w:t xml:space="preserve">( </w:t>
            </w:r>
            <w:r w:rsidR="00C73D58" w:rsidRPr="00AF0AC5">
              <w:t>February</w:t>
            </w:r>
            <w:r w:rsidRPr="00AF0AC5">
              <w:t xml:space="preserve"> 2</w:t>
            </w:r>
            <w:r w:rsidR="00C73D58" w:rsidRPr="00AF0AC5">
              <w:t>3</w:t>
            </w:r>
            <w:r w:rsidRPr="00AF0AC5">
              <w:t>, 20</w:t>
            </w:r>
            <w:r w:rsidR="00C73D58" w:rsidRPr="00AF0AC5">
              <w:t>10</w:t>
            </w:r>
            <w:r w:rsidRPr="00AF0AC5">
              <w:t>)</w:t>
            </w:r>
          </w:p>
          <w:p w14:paraId="0D2BE5F0" w14:textId="78B5DFB2" w:rsidR="00C73D58" w:rsidRPr="00AF0AC5" w:rsidRDefault="00C73D58" w:rsidP="00C73D58">
            <w:pPr>
              <w:pStyle w:val="NormalWeb"/>
              <w:jc w:val="center"/>
            </w:pPr>
            <w:r w:rsidRPr="00AF0AC5">
              <w:t xml:space="preserve">SDC GRANT (TF13074) IN THE AMOUNT OF US$ 1.525 MILLION </w:t>
            </w:r>
            <w:r w:rsidRPr="00AF0AC5">
              <w:br/>
              <w:t>( September 5, 2012)</w:t>
            </w:r>
          </w:p>
          <w:p w14:paraId="1DD04CDB" w14:textId="1F93FE09" w:rsidR="00772F11" w:rsidRPr="00AF0AC5" w:rsidRDefault="00772F11">
            <w:pPr>
              <w:pStyle w:val="NormalWeb"/>
              <w:jc w:val="center"/>
            </w:pPr>
            <w:r w:rsidRPr="00AF0AC5">
              <w:t xml:space="preserve">TO </w:t>
            </w:r>
          </w:p>
          <w:p w14:paraId="5B212049" w14:textId="2224CBB2" w:rsidR="00772F11" w:rsidRPr="00AF0AC5" w:rsidRDefault="0019728C">
            <w:pPr>
              <w:pStyle w:val="NormalWeb"/>
              <w:jc w:val="center"/>
            </w:pPr>
            <w:r w:rsidRPr="00AF0AC5">
              <w:t>MONGOLIA</w:t>
            </w:r>
          </w:p>
          <w:p w14:paraId="20E0693D" w14:textId="77777777" w:rsidR="00772F11" w:rsidRPr="00AF0AC5" w:rsidRDefault="00772F11">
            <w:pPr>
              <w:pStyle w:val="NormalWeb"/>
              <w:jc w:val="center"/>
            </w:pPr>
            <w:r w:rsidRPr="00AF0AC5">
              <w:t>FOR A</w:t>
            </w:r>
          </w:p>
          <w:p w14:paraId="5C31FF08" w14:textId="411FDA32" w:rsidR="00772F11" w:rsidRPr="00AF0AC5" w:rsidRDefault="007D6725">
            <w:pPr>
              <w:pStyle w:val="NormalWeb"/>
              <w:jc w:val="center"/>
            </w:pPr>
            <w:r w:rsidRPr="00AF0AC5">
              <w:t>INDEX-BASED LIVESTOCK INSURANCE PROJECT</w:t>
            </w:r>
          </w:p>
          <w:p w14:paraId="0511C6C1" w14:textId="042E3F4C" w:rsidR="00772F11" w:rsidRPr="00AF0AC5" w:rsidRDefault="000D47D0">
            <w:pPr>
              <w:pStyle w:val="NormalWeb"/>
              <w:jc w:val="center"/>
            </w:pPr>
            <w:r>
              <w:t>September 21</w:t>
            </w:r>
            <w:r w:rsidR="00772F11" w:rsidRPr="00AF0AC5">
              <w:t xml:space="preserve">, </w:t>
            </w:r>
            <w:r w:rsidR="0019728C" w:rsidRPr="00AF0AC5">
              <w:t>2016</w:t>
            </w:r>
          </w:p>
          <w:p w14:paraId="16027C5C" w14:textId="5C2CACE9" w:rsidR="00772F11" w:rsidRPr="00AF0AC5" w:rsidRDefault="000833CB" w:rsidP="000833CB">
            <w:pPr>
              <w:pStyle w:val="NormalWeb"/>
              <w:rPr>
                <w:rFonts w:eastAsia="Times New Roman"/>
              </w:rPr>
            </w:pPr>
            <w:r w:rsidRPr="00AF0AC5">
              <w:t>Finance and Markets Global Practice</w:t>
            </w:r>
            <w:r w:rsidR="005A4EF0">
              <w:br/>
            </w:r>
            <w:r w:rsidRPr="00AF0AC5">
              <w:t>Mongolia Country Unit</w:t>
            </w:r>
            <w:r w:rsidR="005A4EF0">
              <w:br/>
            </w:r>
            <w:r w:rsidRPr="00AF0AC5">
              <w:t>East Asia and Pacific Region</w:t>
            </w:r>
          </w:p>
        </w:tc>
      </w:tr>
    </w:tbl>
    <w:p w14:paraId="7C8D5974" w14:textId="77777777" w:rsidR="00F745CE" w:rsidRDefault="00F745CE">
      <w:pPr>
        <w:rPr>
          <w:rFonts w:eastAsia="Times New Roman"/>
          <w:lang w:eastAsia="en-US"/>
        </w:rPr>
        <w:sectPr w:rsidR="00F745CE" w:rsidSect="002C11DD">
          <w:footerReference w:type="default" r:id="rId8"/>
          <w:pgSz w:w="12240" w:h="15840"/>
          <w:pgMar w:top="1440" w:right="1800" w:bottom="1440" w:left="1800" w:header="720" w:footer="720" w:gutter="0"/>
          <w:pgNumType w:fmt="lowerRoman" w:start="1"/>
          <w:cols w:space="720"/>
          <w:docGrid w:linePitch="360"/>
        </w:sectPr>
      </w:pPr>
    </w:p>
    <w:p w14:paraId="514308FA" w14:textId="35B3F3A4" w:rsidR="00E03DE1" w:rsidRDefault="00E03DE1">
      <w:pPr>
        <w:rPr>
          <w:vanish/>
        </w:rPr>
      </w:pPr>
    </w:p>
    <w:p w14:paraId="13BC3B36" w14:textId="77777777" w:rsidR="001E0E8C" w:rsidRPr="00F92093" w:rsidRDefault="001E0E8C" w:rsidP="001E0E8C">
      <w:pPr>
        <w:tabs>
          <w:tab w:val="left" w:pos="5507"/>
        </w:tabs>
        <w:autoSpaceDE w:val="0"/>
        <w:autoSpaceDN w:val="0"/>
        <w:adjustRightInd w:val="0"/>
        <w:jc w:val="center"/>
        <w:rPr>
          <w:iCs/>
          <w:color w:val="000000"/>
          <w:sz w:val="21"/>
          <w:szCs w:val="21"/>
          <w:lang w:eastAsia="en-US"/>
        </w:rPr>
      </w:pPr>
      <w:r w:rsidRPr="00F92093">
        <w:rPr>
          <w:iCs/>
          <w:color w:val="000000"/>
          <w:sz w:val="21"/>
          <w:szCs w:val="21"/>
          <w:lang w:eastAsia="en-US"/>
        </w:rPr>
        <w:t>CURRENCY EQUIVALENTS</w:t>
      </w:r>
    </w:p>
    <w:p w14:paraId="02E2DEDA" w14:textId="5396A62E" w:rsidR="001E0E8C" w:rsidRPr="00F92093" w:rsidRDefault="001E0E8C" w:rsidP="001E0E8C">
      <w:pPr>
        <w:tabs>
          <w:tab w:val="left" w:pos="5507"/>
        </w:tabs>
        <w:autoSpaceDE w:val="0"/>
        <w:autoSpaceDN w:val="0"/>
        <w:adjustRightInd w:val="0"/>
        <w:jc w:val="center"/>
        <w:rPr>
          <w:iCs/>
          <w:color w:val="000000"/>
          <w:sz w:val="21"/>
          <w:szCs w:val="21"/>
          <w:lang w:eastAsia="en-US"/>
        </w:rPr>
      </w:pPr>
      <w:r w:rsidRPr="00F92093">
        <w:rPr>
          <w:iCs/>
          <w:color w:val="000000"/>
          <w:sz w:val="21"/>
          <w:szCs w:val="21"/>
          <w:lang w:eastAsia="en-US"/>
        </w:rPr>
        <w:t xml:space="preserve">(Exchange Rate Effective </w:t>
      </w:r>
      <w:r w:rsidR="0019728C" w:rsidRPr="00F92093">
        <w:rPr>
          <w:iCs/>
          <w:color w:val="000000"/>
          <w:sz w:val="21"/>
          <w:szCs w:val="21"/>
          <w:lang w:eastAsia="en-US"/>
        </w:rPr>
        <w:t>May 2016</w:t>
      </w:r>
      <w:r w:rsidRPr="00F92093">
        <w:rPr>
          <w:iCs/>
          <w:color w:val="000000"/>
          <w:sz w:val="21"/>
          <w:szCs w:val="21"/>
          <w:lang w:eastAsia="en-US"/>
        </w:rPr>
        <w:t>)</w:t>
      </w:r>
    </w:p>
    <w:p w14:paraId="1AC72A39" w14:textId="13F0DDD1" w:rsidR="001E0E8C" w:rsidRPr="00F92093" w:rsidRDefault="001E0E8C" w:rsidP="00F92093">
      <w:pPr>
        <w:tabs>
          <w:tab w:val="left" w:pos="5507"/>
        </w:tabs>
        <w:autoSpaceDE w:val="0"/>
        <w:autoSpaceDN w:val="0"/>
        <w:adjustRightInd w:val="0"/>
        <w:jc w:val="center"/>
        <w:rPr>
          <w:iCs/>
          <w:color w:val="000000"/>
          <w:sz w:val="21"/>
          <w:szCs w:val="21"/>
          <w:lang w:eastAsia="en-US"/>
        </w:rPr>
      </w:pPr>
      <w:r w:rsidRPr="00F92093">
        <w:rPr>
          <w:iCs/>
          <w:color w:val="000000"/>
          <w:sz w:val="21"/>
          <w:szCs w:val="21"/>
          <w:lang w:eastAsia="en-US"/>
        </w:rPr>
        <w:t>Currency Unit</w:t>
      </w:r>
      <w:r w:rsidR="001C00E2" w:rsidRPr="00F92093">
        <w:rPr>
          <w:iCs/>
          <w:color w:val="000000"/>
          <w:sz w:val="21"/>
          <w:szCs w:val="21"/>
          <w:lang w:eastAsia="en-US"/>
        </w:rPr>
        <w:t xml:space="preserve"> </w:t>
      </w:r>
      <w:r w:rsidRPr="00F92093">
        <w:rPr>
          <w:iCs/>
          <w:color w:val="000000"/>
          <w:sz w:val="21"/>
          <w:szCs w:val="21"/>
          <w:lang w:eastAsia="en-US"/>
        </w:rPr>
        <w:t>=</w:t>
      </w:r>
      <w:r w:rsidR="001C00E2" w:rsidRPr="00F92093">
        <w:rPr>
          <w:iCs/>
          <w:color w:val="000000"/>
          <w:sz w:val="21"/>
          <w:szCs w:val="21"/>
          <w:lang w:eastAsia="en-US"/>
        </w:rPr>
        <w:t xml:space="preserve"> </w:t>
      </w:r>
      <w:bookmarkStart w:id="1" w:name="curuni_fld"/>
      <w:bookmarkEnd w:id="1"/>
      <w:r w:rsidR="0019728C" w:rsidRPr="00F92093">
        <w:rPr>
          <w:iCs/>
          <w:color w:val="000000"/>
          <w:sz w:val="21"/>
          <w:szCs w:val="21"/>
          <w:lang w:eastAsia="en-US"/>
        </w:rPr>
        <w:t>Mongolian Tugrik</w:t>
      </w:r>
    </w:p>
    <w:p w14:paraId="65AB7F48" w14:textId="6E54D937" w:rsidR="001E0E8C" w:rsidRPr="00F92093" w:rsidRDefault="0019728C" w:rsidP="00F92093">
      <w:pPr>
        <w:tabs>
          <w:tab w:val="left" w:pos="5507"/>
        </w:tabs>
        <w:autoSpaceDE w:val="0"/>
        <w:autoSpaceDN w:val="0"/>
        <w:adjustRightInd w:val="0"/>
        <w:jc w:val="center"/>
        <w:rPr>
          <w:iCs/>
          <w:color w:val="000000"/>
          <w:sz w:val="21"/>
          <w:szCs w:val="21"/>
          <w:lang w:eastAsia="en-US"/>
        </w:rPr>
      </w:pPr>
      <w:bookmarkStart w:id="2" w:name="curabbr_fld"/>
      <w:bookmarkEnd w:id="2"/>
      <w:r w:rsidRPr="00F92093">
        <w:rPr>
          <w:iCs/>
          <w:color w:val="000000"/>
          <w:sz w:val="21"/>
          <w:szCs w:val="21"/>
          <w:lang w:eastAsia="en-US"/>
        </w:rPr>
        <w:t>MNT</w:t>
      </w:r>
      <w:r w:rsidR="001E0E8C" w:rsidRPr="00F92093">
        <w:rPr>
          <w:iCs/>
          <w:color w:val="000000"/>
          <w:sz w:val="21"/>
          <w:szCs w:val="21"/>
          <w:lang w:eastAsia="en-US"/>
        </w:rPr>
        <w:t xml:space="preserve"> 1.00 = US$ </w:t>
      </w:r>
      <w:r w:rsidRPr="00F92093">
        <w:rPr>
          <w:iCs/>
          <w:color w:val="000000"/>
          <w:sz w:val="21"/>
          <w:szCs w:val="21"/>
          <w:lang w:eastAsia="en-US"/>
        </w:rPr>
        <w:t>0.0005</w:t>
      </w:r>
    </w:p>
    <w:p w14:paraId="7F3EDE4B" w14:textId="472EE9D5" w:rsidR="001E0E8C" w:rsidRPr="00F92093" w:rsidRDefault="001E0E8C" w:rsidP="00F92093">
      <w:pPr>
        <w:tabs>
          <w:tab w:val="left" w:pos="5507"/>
        </w:tabs>
        <w:autoSpaceDE w:val="0"/>
        <w:autoSpaceDN w:val="0"/>
        <w:adjustRightInd w:val="0"/>
        <w:jc w:val="center"/>
        <w:rPr>
          <w:iCs/>
          <w:color w:val="000000"/>
          <w:sz w:val="21"/>
          <w:szCs w:val="21"/>
          <w:lang w:eastAsia="en-US"/>
        </w:rPr>
      </w:pPr>
      <w:r w:rsidRPr="00F92093">
        <w:rPr>
          <w:iCs/>
          <w:color w:val="000000"/>
          <w:sz w:val="21"/>
          <w:szCs w:val="21"/>
          <w:lang w:eastAsia="en-US"/>
        </w:rPr>
        <w:t xml:space="preserve">US$ 1.00 = </w:t>
      </w:r>
      <w:r w:rsidR="0019728C" w:rsidRPr="00F92093">
        <w:rPr>
          <w:iCs/>
          <w:color w:val="000000"/>
          <w:sz w:val="21"/>
          <w:szCs w:val="21"/>
          <w:lang w:eastAsia="en-US"/>
        </w:rPr>
        <w:t>MNT</w:t>
      </w:r>
      <w:r w:rsidRPr="00F92093">
        <w:rPr>
          <w:iCs/>
          <w:color w:val="000000"/>
          <w:sz w:val="21"/>
          <w:szCs w:val="21"/>
          <w:lang w:eastAsia="en-US"/>
        </w:rPr>
        <w:t xml:space="preserve"> </w:t>
      </w:r>
      <w:r w:rsidR="0019728C" w:rsidRPr="00F92093">
        <w:rPr>
          <w:iCs/>
          <w:color w:val="000000"/>
          <w:sz w:val="21"/>
          <w:szCs w:val="21"/>
          <w:lang w:eastAsia="en-US"/>
        </w:rPr>
        <w:t>2,004</w:t>
      </w:r>
      <w:r w:rsidRPr="00F92093">
        <w:rPr>
          <w:iCs/>
          <w:color w:val="000000"/>
          <w:sz w:val="21"/>
          <w:szCs w:val="21"/>
          <w:lang w:eastAsia="en-US"/>
        </w:rPr>
        <w:t xml:space="preserve">  </w:t>
      </w:r>
    </w:p>
    <w:p w14:paraId="01D4B22A" w14:textId="77777777" w:rsidR="001E0E8C" w:rsidRPr="00F92093" w:rsidRDefault="001E0E8C" w:rsidP="001E0E8C">
      <w:pPr>
        <w:tabs>
          <w:tab w:val="left" w:pos="5507"/>
        </w:tabs>
        <w:autoSpaceDE w:val="0"/>
        <w:autoSpaceDN w:val="0"/>
        <w:adjustRightInd w:val="0"/>
        <w:jc w:val="center"/>
        <w:rPr>
          <w:iCs/>
          <w:color w:val="000000"/>
          <w:sz w:val="21"/>
          <w:szCs w:val="21"/>
          <w:lang w:eastAsia="en-US"/>
        </w:rPr>
      </w:pPr>
      <w:r w:rsidRPr="00F92093">
        <w:rPr>
          <w:iCs/>
          <w:color w:val="000000"/>
          <w:sz w:val="21"/>
          <w:szCs w:val="21"/>
          <w:lang w:eastAsia="en-US"/>
        </w:rPr>
        <w:t>FISCAL YEAR</w:t>
      </w:r>
    </w:p>
    <w:p w14:paraId="57C3A583" w14:textId="42B70AB8" w:rsidR="001E0E8C" w:rsidRPr="00F92093" w:rsidRDefault="0019728C" w:rsidP="001E0E8C">
      <w:pPr>
        <w:tabs>
          <w:tab w:val="left" w:pos="5507"/>
        </w:tabs>
        <w:autoSpaceDE w:val="0"/>
        <w:autoSpaceDN w:val="0"/>
        <w:adjustRightInd w:val="0"/>
        <w:jc w:val="center"/>
        <w:rPr>
          <w:iCs/>
          <w:color w:val="000000"/>
          <w:sz w:val="21"/>
          <w:szCs w:val="21"/>
          <w:lang w:eastAsia="en-US"/>
        </w:rPr>
      </w:pPr>
      <w:bookmarkStart w:id="3" w:name="fisyea_fld"/>
      <w:bookmarkEnd w:id="3"/>
      <w:r w:rsidRPr="00F92093">
        <w:rPr>
          <w:iCs/>
          <w:color w:val="000000"/>
          <w:sz w:val="21"/>
          <w:szCs w:val="21"/>
          <w:lang w:eastAsia="en-US"/>
        </w:rPr>
        <w:t xml:space="preserve">July 1- June 30 </w:t>
      </w:r>
    </w:p>
    <w:p w14:paraId="07B16B89" w14:textId="77777777" w:rsidR="001E0E8C" w:rsidRDefault="001E0E8C" w:rsidP="001E0E8C">
      <w:pPr>
        <w:tabs>
          <w:tab w:val="left" w:pos="5507"/>
        </w:tabs>
        <w:autoSpaceDE w:val="0"/>
        <w:autoSpaceDN w:val="0"/>
        <w:adjustRightInd w:val="0"/>
        <w:jc w:val="center"/>
        <w:rPr>
          <w:iCs/>
        </w:rPr>
      </w:pPr>
    </w:p>
    <w:p w14:paraId="3C772230" w14:textId="77777777" w:rsidR="001E0E8C" w:rsidRDefault="001E0E8C" w:rsidP="001E0E8C">
      <w:pPr>
        <w:tabs>
          <w:tab w:val="left" w:pos="5507"/>
        </w:tabs>
        <w:autoSpaceDE w:val="0"/>
        <w:autoSpaceDN w:val="0"/>
        <w:adjustRightInd w:val="0"/>
        <w:jc w:val="center"/>
        <w:rPr>
          <w:iCs/>
        </w:rPr>
      </w:pPr>
      <w:r>
        <w:rPr>
          <w:iCs/>
        </w:rPr>
        <w:t>ABBREVIATIONS AND ACRONYMS</w:t>
      </w:r>
    </w:p>
    <w:p w14:paraId="416766DA" w14:textId="77777777" w:rsidR="00E7533E" w:rsidRDefault="00E7533E">
      <w:pPr>
        <w:jc w:val="center"/>
      </w:pPr>
    </w:p>
    <w:p w14:paraId="6BC7FA3B" w14:textId="4471D939" w:rsidR="00584674" w:rsidRPr="001B00D9" w:rsidRDefault="00584674" w:rsidP="006F16D4">
      <w:pPr>
        <w:tabs>
          <w:tab w:val="left" w:pos="1440"/>
        </w:tabs>
        <w:autoSpaceDE w:val="0"/>
        <w:autoSpaceDN w:val="0"/>
        <w:adjustRightInd w:val="0"/>
        <w:ind w:left="1350" w:hanging="1350"/>
        <w:rPr>
          <w:lang w:eastAsia="en-US"/>
        </w:rPr>
      </w:pPr>
      <w:bookmarkStart w:id="4" w:name="ACRONYMS"/>
      <w:bookmarkEnd w:id="4"/>
      <w:r w:rsidRPr="001B00D9">
        <w:rPr>
          <w:lang w:eastAsia="en-US"/>
        </w:rPr>
        <w:t>AF</w:t>
      </w:r>
      <w:r>
        <w:rPr>
          <w:lang w:eastAsia="en-US"/>
        </w:rPr>
        <w:tab/>
      </w:r>
      <w:r w:rsidRPr="001B00D9">
        <w:rPr>
          <w:lang w:eastAsia="en-US"/>
        </w:rPr>
        <w:t>Additional Financing</w:t>
      </w:r>
    </w:p>
    <w:p w14:paraId="71D792C8" w14:textId="77777777" w:rsidR="00584674" w:rsidRDefault="00584674" w:rsidP="006F16D4">
      <w:pPr>
        <w:tabs>
          <w:tab w:val="left" w:pos="1440"/>
        </w:tabs>
        <w:autoSpaceDE w:val="0"/>
        <w:autoSpaceDN w:val="0"/>
        <w:adjustRightInd w:val="0"/>
        <w:ind w:left="1350" w:hanging="1350"/>
        <w:rPr>
          <w:lang w:eastAsia="en-US"/>
        </w:rPr>
      </w:pPr>
      <w:r>
        <w:rPr>
          <w:lang w:eastAsia="en-US"/>
        </w:rPr>
        <w:t>AFBM</w:t>
      </w:r>
      <w:r>
        <w:rPr>
          <w:lang w:eastAsia="en-US"/>
        </w:rPr>
        <w:tab/>
        <w:t>Annual Field Based Monitoring</w:t>
      </w:r>
    </w:p>
    <w:p w14:paraId="7626EB7A" w14:textId="77777777" w:rsidR="00584674" w:rsidRDefault="00584674" w:rsidP="006F16D4">
      <w:pPr>
        <w:tabs>
          <w:tab w:val="left" w:pos="1440"/>
        </w:tabs>
        <w:autoSpaceDE w:val="0"/>
        <w:autoSpaceDN w:val="0"/>
        <w:adjustRightInd w:val="0"/>
        <w:ind w:left="1350" w:hanging="1350"/>
        <w:rPr>
          <w:lang w:eastAsia="en-US"/>
        </w:rPr>
      </w:pPr>
      <w:r>
        <w:rPr>
          <w:lang w:eastAsia="en-US"/>
        </w:rPr>
        <w:t>AgRe</w:t>
      </w:r>
      <w:r>
        <w:rPr>
          <w:lang w:eastAsia="en-US"/>
        </w:rPr>
        <w:tab/>
      </w:r>
      <w:r w:rsidRPr="00FC1077">
        <w:rPr>
          <w:lang w:eastAsia="en-US"/>
        </w:rPr>
        <w:t>Agricultural Reinsurance (AgR</w:t>
      </w:r>
      <w:r>
        <w:rPr>
          <w:lang w:eastAsia="en-US"/>
        </w:rPr>
        <w:t>e</w:t>
      </w:r>
      <w:r w:rsidRPr="00FC1077">
        <w:rPr>
          <w:lang w:eastAsia="en-US"/>
        </w:rPr>
        <w:t>) company</w:t>
      </w:r>
    </w:p>
    <w:p w14:paraId="4E24AC05" w14:textId="41646B36" w:rsidR="00584674" w:rsidRPr="00DD1E0F" w:rsidRDefault="00584674" w:rsidP="006F16D4">
      <w:pPr>
        <w:tabs>
          <w:tab w:val="left" w:pos="1440"/>
        </w:tabs>
        <w:autoSpaceDE w:val="0"/>
        <w:autoSpaceDN w:val="0"/>
        <w:adjustRightInd w:val="0"/>
        <w:ind w:left="1350" w:hanging="1350"/>
        <w:rPr>
          <w:lang w:eastAsia="en-US"/>
        </w:rPr>
      </w:pPr>
      <w:r w:rsidRPr="00A56A64">
        <w:rPr>
          <w:lang w:eastAsia="en-US"/>
        </w:rPr>
        <w:t>Aimag</w:t>
      </w:r>
      <w:r w:rsidRPr="00A56A64">
        <w:rPr>
          <w:lang w:eastAsia="en-US"/>
        </w:rPr>
        <w:tab/>
      </w:r>
      <w:r w:rsidRPr="00DD1E0F">
        <w:rPr>
          <w:lang w:eastAsia="en-US"/>
        </w:rPr>
        <w:t>Province of Mongolia</w:t>
      </w:r>
    </w:p>
    <w:p w14:paraId="6FE809AA" w14:textId="66D2D5E4" w:rsidR="00584674" w:rsidRDefault="00584674" w:rsidP="006F16D4">
      <w:pPr>
        <w:tabs>
          <w:tab w:val="left" w:pos="1440"/>
        </w:tabs>
        <w:autoSpaceDE w:val="0"/>
        <w:autoSpaceDN w:val="0"/>
        <w:adjustRightInd w:val="0"/>
        <w:ind w:left="1350" w:hanging="1350"/>
        <w:rPr>
          <w:lang w:eastAsia="en-US"/>
        </w:rPr>
      </w:pPr>
      <w:r w:rsidRPr="001B00D9">
        <w:rPr>
          <w:lang w:eastAsia="en-US"/>
        </w:rPr>
        <w:t>AM</w:t>
      </w:r>
      <w:r>
        <w:rPr>
          <w:lang w:eastAsia="en-US"/>
        </w:rPr>
        <w:tab/>
      </w:r>
      <w:r w:rsidRPr="001B00D9">
        <w:rPr>
          <w:lang w:eastAsia="en-US"/>
        </w:rPr>
        <w:t>Aide Memoire</w:t>
      </w:r>
    </w:p>
    <w:p w14:paraId="33C7B465" w14:textId="77777777" w:rsidR="00584674" w:rsidRDefault="00584674" w:rsidP="006F16D4">
      <w:pPr>
        <w:tabs>
          <w:tab w:val="left" w:pos="1440"/>
        </w:tabs>
        <w:autoSpaceDE w:val="0"/>
        <w:autoSpaceDN w:val="0"/>
        <w:adjustRightInd w:val="0"/>
        <w:ind w:left="1350" w:hanging="1350"/>
        <w:rPr>
          <w:lang w:eastAsia="en-US"/>
        </w:rPr>
      </w:pPr>
      <w:r>
        <w:rPr>
          <w:lang w:eastAsia="en-US"/>
        </w:rPr>
        <w:t>BIP</w:t>
      </w:r>
      <w:r>
        <w:rPr>
          <w:lang w:eastAsia="en-US"/>
        </w:rPr>
        <w:tab/>
        <w:t>Base Insurance Product</w:t>
      </w:r>
    </w:p>
    <w:p w14:paraId="0F60676D" w14:textId="77777777" w:rsidR="00584674" w:rsidRDefault="00584674" w:rsidP="006F16D4">
      <w:pPr>
        <w:tabs>
          <w:tab w:val="left" w:pos="1440"/>
        </w:tabs>
        <w:autoSpaceDE w:val="0"/>
        <w:autoSpaceDN w:val="0"/>
        <w:adjustRightInd w:val="0"/>
        <w:ind w:left="1350" w:hanging="1350"/>
        <w:rPr>
          <w:lang w:eastAsia="en-US"/>
        </w:rPr>
      </w:pPr>
      <w:r>
        <w:rPr>
          <w:lang w:eastAsia="en-US"/>
        </w:rPr>
        <w:t>CAS</w:t>
      </w:r>
      <w:r>
        <w:rPr>
          <w:lang w:eastAsia="en-US"/>
        </w:rPr>
        <w:tab/>
        <w:t>Country Assistance Strategy</w:t>
      </w:r>
    </w:p>
    <w:p w14:paraId="006C872F" w14:textId="77777777"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 xml:space="preserve">CDF </w:t>
      </w:r>
      <w:r>
        <w:rPr>
          <w:lang w:eastAsia="en-US"/>
        </w:rPr>
        <w:tab/>
      </w:r>
      <w:r w:rsidRPr="00DD1E0F">
        <w:rPr>
          <w:lang w:eastAsia="en-US"/>
        </w:rPr>
        <w:t>Contingent Debt Facility</w:t>
      </w:r>
    </w:p>
    <w:p w14:paraId="5E8ACD98" w14:textId="77777777" w:rsidR="00584674" w:rsidRPr="001B00D9" w:rsidRDefault="00584674" w:rsidP="006F16D4">
      <w:pPr>
        <w:tabs>
          <w:tab w:val="left" w:pos="1440"/>
        </w:tabs>
        <w:autoSpaceDE w:val="0"/>
        <w:autoSpaceDN w:val="0"/>
        <w:adjustRightInd w:val="0"/>
        <w:ind w:left="1350" w:hanging="1350"/>
        <w:rPr>
          <w:lang w:eastAsia="en-US"/>
        </w:rPr>
      </w:pPr>
      <w:r>
        <w:rPr>
          <w:lang w:eastAsia="en-US"/>
        </w:rPr>
        <w:t>CEO</w:t>
      </w:r>
      <w:r>
        <w:rPr>
          <w:lang w:eastAsia="en-US"/>
        </w:rPr>
        <w:tab/>
        <w:t>Chief Executive Officer</w:t>
      </w:r>
    </w:p>
    <w:p w14:paraId="0DFE30EA" w14:textId="77777777"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 xml:space="preserve">CHF </w:t>
      </w:r>
      <w:r>
        <w:rPr>
          <w:lang w:eastAsia="en-US"/>
        </w:rPr>
        <w:tab/>
      </w:r>
      <w:r w:rsidRPr="00DD1E0F">
        <w:rPr>
          <w:lang w:eastAsia="en-US"/>
        </w:rPr>
        <w:t>Swiss francs</w:t>
      </w:r>
    </w:p>
    <w:p w14:paraId="0B610A85" w14:textId="77777777" w:rsidR="00584674" w:rsidRDefault="00584674" w:rsidP="006F16D4">
      <w:pPr>
        <w:tabs>
          <w:tab w:val="left" w:pos="1440"/>
        </w:tabs>
        <w:autoSpaceDE w:val="0"/>
        <w:autoSpaceDN w:val="0"/>
        <w:adjustRightInd w:val="0"/>
        <w:ind w:left="1350" w:hanging="1350"/>
        <w:rPr>
          <w:lang w:eastAsia="en-US"/>
        </w:rPr>
      </w:pPr>
      <w:r>
        <w:rPr>
          <w:lang w:eastAsia="en-US"/>
        </w:rPr>
        <w:t>DCA</w:t>
      </w:r>
      <w:r>
        <w:rPr>
          <w:lang w:eastAsia="en-US"/>
        </w:rPr>
        <w:tab/>
        <w:t>Development Credit Agreement</w:t>
      </w:r>
    </w:p>
    <w:p w14:paraId="24DD4D16" w14:textId="273BD171" w:rsidR="00584674" w:rsidRDefault="00584674" w:rsidP="006F16D4">
      <w:pPr>
        <w:tabs>
          <w:tab w:val="left" w:pos="1440"/>
        </w:tabs>
        <w:autoSpaceDE w:val="0"/>
        <w:autoSpaceDN w:val="0"/>
        <w:adjustRightInd w:val="0"/>
        <w:ind w:left="1350" w:hanging="1350"/>
        <w:rPr>
          <w:lang w:eastAsia="en-US"/>
        </w:rPr>
      </w:pPr>
      <w:r>
        <w:rPr>
          <w:lang w:eastAsia="en-US"/>
        </w:rPr>
        <w:t>DRP</w:t>
      </w:r>
      <w:r>
        <w:rPr>
          <w:lang w:eastAsia="en-US"/>
        </w:rPr>
        <w:tab/>
        <w:t>Disaster Response Produ</w:t>
      </w:r>
      <w:r w:rsidR="002A1655">
        <w:rPr>
          <w:lang w:eastAsia="en-US"/>
        </w:rPr>
        <w:t>c</w:t>
      </w:r>
      <w:r>
        <w:rPr>
          <w:lang w:eastAsia="en-US"/>
        </w:rPr>
        <w:t>t</w:t>
      </w:r>
    </w:p>
    <w:p w14:paraId="1A81C8D1" w14:textId="3A5CA083" w:rsidR="00584674" w:rsidRPr="00584674" w:rsidRDefault="00584674" w:rsidP="006F16D4">
      <w:pPr>
        <w:tabs>
          <w:tab w:val="left" w:pos="1440"/>
        </w:tabs>
        <w:autoSpaceDE w:val="0"/>
        <w:autoSpaceDN w:val="0"/>
        <w:adjustRightInd w:val="0"/>
        <w:ind w:left="1350" w:hanging="1350"/>
        <w:rPr>
          <w:lang w:eastAsia="en-US"/>
        </w:rPr>
      </w:pPr>
      <w:r w:rsidRPr="00584674">
        <w:rPr>
          <w:lang w:eastAsia="en-US"/>
        </w:rPr>
        <w:t>GIC</w:t>
      </w:r>
      <w:r w:rsidRPr="00584674">
        <w:rPr>
          <w:lang w:eastAsia="en-US"/>
        </w:rPr>
        <w:tab/>
        <w:t>Guaranteed Indemnity Contribution</w:t>
      </w:r>
    </w:p>
    <w:p w14:paraId="58E30461" w14:textId="77777777" w:rsidR="00584674" w:rsidRPr="00DD1E0F" w:rsidRDefault="00584674" w:rsidP="006F16D4">
      <w:pPr>
        <w:tabs>
          <w:tab w:val="left" w:pos="1440"/>
        </w:tabs>
        <w:autoSpaceDE w:val="0"/>
        <w:autoSpaceDN w:val="0"/>
        <w:adjustRightInd w:val="0"/>
        <w:ind w:left="1350" w:hanging="1350"/>
        <w:rPr>
          <w:lang w:eastAsia="en-US"/>
        </w:rPr>
      </w:pPr>
      <w:r w:rsidRPr="00A56A64">
        <w:rPr>
          <w:lang w:eastAsia="en-US"/>
        </w:rPr>
        <w:t xml:space="preserve">dzud </w:t>
      </w:r>
      <w:r w:rsidRPr="00A56A64">
        <w:rPr>
          <w:lang w:eastAsia="en-US"/>
        </w:rPr>
        <w:tab/>
      </w:r>
      <w:r w:rsidRPr="00DD1E0F">
        <w:rPr>
          <w:lang w:eastAsia="en-US"/>
        </w:rPr>
        <w:t>extreme weather conditions causing widespread livestock mortality</w:t>
      </w:r>
    </w:p>
    <w:p w14:paraId="182BF0B5" w14:textId="77777777"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 xml:space="preserve">FA </w:t>
      </w:r>
      <w:r>
        <w:rPr>
          <w:lang w:eastAsia="en-US"/>
        </w:rPr>
        <w:tab/>
      </w:r>
      <w:r w:rsidRPr="00DD1E0F">
        <w:rPr>
          <w:lang w:eastAsia="en-US"/>
        </w:rPr>
        <w:t>Financing Agreement</w:t>
      </w:r>
    </w:p>
    <w:p w14:paraId="68BDFFB5" w14:textId="77777777"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 xml:space="preserve">FIRST </w:t>
      </w:r>
      <w:r>
        <w:rPr>
          <w:lang w:eastAsia="en-US"/>
        </w:rPr>
        <w:tab/>
      </w:r>
      <w:r w:rsidRPr="00DD1E0F">
        <w:rPr>
          <w:lang w:eastAsia="en-US"/>
        </w:rPr>
        <w:t>Financial Sector Reform and Strengthening Initiative</w:t>
      </w:r>
    </w:p>
    <w:p w14:paraId="5C07A62F" w14:textId="77777777" w:rsidR="00584674" w:rsidRDefault="00584674" w:rsidP="006F16D4">
      <w:pPr>
        <w:tabs>
          <w:tab w:val="left" w:pos="1440"/>
        </w:tabs>
        <w:autoSpaceDE w:val="0"/>
        <w:autoSpaceDN w:val="0"/>
        <w:adjustRightInd w:val="0"/>
        <w:ind w:left="1350" w:hanging="1350"/>
        <w:rPr>
          <w:lang w:eastAsia="en-US"/>
        </w:rPr>
      </w:pPr>
      <w:r>
        <w:rPr>
          <w:lang w:eastAsia="en-US"/>
        </w:rPr>
        <w:t>FRC</w:t>
      </w:r>
      <w:r>
        <w:rPr>
          <w:lang w:eastAsia="en-US"/>
        </w:rPr>
        <w:tab/>
        <w:t xml:space="preserve">Federal Regulatory Mission </w:t>
      </w:r>
    </w:p>
    <w:p w14:paraId="2C7F3457" w14:textId="77777777" w:rsidR="00584674" w:rsidRDefault="00584674" w:rsidP="006F16D4">
      <w:pPr>
        <w:tabs>
          <w:tab w:val="left" w:pos="1440"/>
        </w:tabs>
        <w:autoSpaceDE w:val="0"/>
        <w:autoSpaceDN w:val="0"/>
        <w:adjustRightInd w:val="0"/>
        <w:ind w:left="1350" w:hanging="1350"/>
        <w:rPr>
          <w:lang w:eastAsia="en-US"/>
        </w:rPr>
      </w:pPr>
      <w:r>
        <w:rPr>
          <w:lang w:eastAsia="en-US"/>
        </w:rPr>
        <w:t>GAFSP</w:t>
      </w:r>
      <w:r>
        <w:rPr>
          <w:lang w:eastAsia="en-US"/>
        </w:rPr>
        <w:tab/>
        <w:t>the Global Agriculture and Food Security Program</w:t>
      </w:r>
    </w:p>
    <w:p w14:paraId="2707AA39" w14:textId="77777777"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 xml:space="preserve">GCC </w:t>
      </w:r>
      <w:r>
        <w:rPr>
          <w:lang w:eastAsia="en-US"/>
        </w:rPr>
        <w:tab/>
      </w:r>
      <w:r w:rsidRPr="00DD1E0F">
        <w:rPr>
          <w:lang w:eastAsia="en-US"/>
        </w:rPr>
        <w:t>Government Catastrophic Coverage</w:t>
      </w:r>
    </w:p>
    <w:p w14:paraId="6C1A2485" w14:textId="77777777" w:rsidR="00584674" w:rsidRDefault="00584674" w:rsidP="006F16D4">
      <w:pPr>
        <w:tabs>
          <w:tab w:val="left" w:pos="1440"/>
        </w:tabs>
        <w:autoSpaceDE w:val="0"/>
        <w:autoSpaceDN w:val="0"/>
        <w:adjustRightInd w:val="0"/>
        <w:ind w:left="1350" w:hanging="1350"/>
        <w:rPr>
          <w:lang w:eastAsia="en-US"/>
        </w:rPr>
      </w:pPr>
      <w:r>
        <w:rPr>
          <w:lang w:eastAsia="en-US"/>
        </w:rPr>
        <w:t xml:space="preserve">GDP </w:t>
      </w:r>
      <w:r>
        <w:rPr>
          <w:lang w:eastAsia="en-US"/>
        </w:rPr>
        <w:tab/>
        <w:t>Gross Domestic Product</w:t>
      </w:r>
    </w:p>
    <w:p w14:paraId="41F7FE06" w14:textId="77777777" w:rsidR="00584674" w:rsidRDefault="00584674" w:rsidP="006F16D4">
      <w:pPr>
        <w:tabs>
          <w:tab w:val="left" w:pos="1440"/>
        </w:tabs>
        <w:autoSpaceDE w:val="0"/>
        <w:autoSpaceDN w:val="0"/>
        <w:adjustRightInd w:val="0"/>
        <w:ind w:left="1350" w:hanging="1350"/>
        <w:rPr>
          <w:lang w:eastAsia="en-US"/>
        </w:rPr>
      </w:pPr>
      <w:r>
        <w:rPr>
          <w:lang w:eastAsia="en-US"/>
        </w:rPr>
        <w:t>GoM</w:t>
      </w:r>
      <w:r>
        <w:rPr>
          <w:lang w:eastAsia="en-US"/>
        </w:rPr>
        <w:tab/>
        <w:t>Government of Mongolia</w:t>
      </w:r>
    </w:p>
    <w:p w14:paraId="5D27C6BB" w14:textId="77777777" w:rsidR="00584674" w:rsidRDefault="00584674" w:rsidP="006F16D4">
      <w:pPr>
        <w:tabs>
          <w:tab w:val="left" w:pos="1440"/>
        </w:tabs>
        <w:autoSpaceDE w:val="0"/>
        <w:autoSpaceDN w:val="0"/>
        <w:adjustRightInd w:val="0"/>
        <w:ind w:left="1350" w:hanging="1350"/>
        <w:rPr>
          <w:lang w:eastAsia="en-US"/>
        </w:rPr>
      </w:pPr>
      <w:r>
        <w:rPr>
          <w:lang w:eastAsia="en-US"/>
        </w:rPr>
        <w:t>IBLI</w:t>
      </w:r>
      <w:r>
        <w:rPr>
          <w:lang w:eastAsia="en-US"/>
        </w:rPr>
        <w:tab/>
        <w:t>Index Based Livestock Insurance</w:t>
      </w:r>
    </w:p>
    <w:p w14:paraId="166DD903" w14:textId="13A12478" w:rsidR="00584674" w:rsidRPr="00584674" w:rsidRDefault="00584674" w:rsidP="006F16D4">
      <w:pPr>
        <w:tabs>
          <w:tab w:val="left" w:pos="1440"/>
        </w:tabs>
        <w:autoSpaceDE w:val="0"/>
        <w:autoSpaceDN w:val="0"/>
        <w:adjustRightInd w:val="0"/>
        <w:ind w:left="1350" w:hanging="1350"/>
        <w:rPr>
          <w:lang w:eastAsia="en-US"/>
        </w:rPr>
      </w:pPr>
      <w:r>
        <w:rPr>
          <w:lang w:eastAsia="en-US"/>
        </w:rPr>
        <w:t>IBLIP</w:t>
      </w:r>
      <w:r>
        <w:rPr>
          <w:lang w:eastAsia="en-US"/>
        </w:rPr>
        <w:tab/>
      </w:r>
      <w:r w:rsidRPr="00584674">
        <w:rPr>
          <w:lang w:eastAsia="en-US"/>
        </w:rPr>
        <w:t>Index-based Livestock Insurance Project</w:t>
      </w:r>
    </w:p>
    <w:p w14:paraId="3EF7A616" w14:textId="53A1E603" w:rsidR="00584674" w:rsidRDefault="00584674" w:rsidP="006F16D4">
      <w:pPr>
        <w:tabs>
          <w:tab w:val="left" w:pos="1440"/>
        </w:tabs>
        <w:autoSpaceDE w:val="0"/>
        <w:autoSpaceDN w:val="0"/>
        <w:adjustRightInd w:val="0"/>
        <w:ind w:left="1350" w:hanging="1350"/>
        <w:rPr>
          <w:lang w:eastAsia="en-US"/>
        </w:rPr>
      </w:pPr>
      <w:r w:rsidRPr="00DD1E0F">
        <w:rPr>
          <w:lang w:eastAsia="en-US"/>
        </w:rPr>
        <w:t>IDA</w:t>
      </w:r>
      <w:r>
        <w:rPr>
          <w:lang w:eastAsia="en-US"/>
        </w:rPr>
        <w:tab/>
      </w:r>
      <w:r w:rsidRPr="00DD1E0F">
        <w:rPr>
          <w:lang w:eastAsia="en-US"/>
        </w:rPr>
        <w:t>International Development Association</w:t>
      </w:r>
    </w:p>
    <w:p w14:paraId="483E806D" w14:textId="07CA1EC7" w:rsidR="00C27B27" w:rsidRPr="00C27B27" w:rsidRDefault="00C27B27" w:rsidP="006F16D4">
      <w:pPr>
        <w:tabs>
          <w:tab w:val="left" w:pos="1440"/>
        </w:tabs>
        <w:autoSpaceDE w:val="0"/>
        <w:autoSpaceDN w:val="0"/>
        <w:adjustRightInd w:val="0"/>
        <w:ind w:left="1350" w:hanging="1350"/>
        <w:rPr>
          <w:lang w:eastAsia="en-US"/>
        </w:rPr>
      </w:pPr>
      <w:r>
        <w:rPr>
          <w:lang w:eastAsia="en-US"/>
        </w:rPr>
        <w:t>IFAD</w:t>
      </w:r>
      <w:r>
        <w:rPr>
          <w:lang w:eastAsia="en-US"/>
        </w:rPr>
        <w:tab/>
      </w:r>
      <w:r w:rsidRPr="00C27B27">
        <w:rPr>
          <w:lang w:eastAsia="en-US"/>
        </w:rPr>
        <w:t>International Fund for Agricultural Development</w:t>
      </w:r>
    </w:p>
    <w:p w14:paraId="3DAB631F" w14:textId="77777777" w:rsidR="00584674" w:rsidRDefault="00584674" w:rsidP="006F16D4">
      <w:pPr>
        <w:tabs>
          <w:tab w:val="left" w:pos="1440"/>
        </w:tabs>
        <w:autoSpaceDE w:val="0"/>
        <w:autoSpaceDN w:val="0"/>
        <w:adjustRightInd w:val="0"/>
        <w:ind w:left="1350" w:hanging="1350"/>
        <w:rPr>
          <w:lang w:eastAsia="en-US"/>
        </w:rPr>
      </w:pPr>
      <w:r>
        <w:rPr>
          <w:lang w:eastAsia="en-US"/>
        </w:rPr>
        <w:t xml:space="preserve">IE </w:t>
      </w:r>
      <w:r>
        <w:rPr>
          <w:lang w:eastAsia="en-US"/>
        </w:rPr>
        <w:tab/>
        <w:t>Impact Evaluation</w:t>
      </w:r>
    </w:p>
    <w:p w14:paraId="7228E7D7" w14:textId="77777777" w:rsidR="005A4EF0" w:rsidRDefault="005A4EF0" w:rsidP="005A4EF0">
      <w:pPr>
        <w:tabs>
          <w:tab w:val="left" w:pos="1440"/>
        </w:tabs>
        <w:autoSpaceDE w:val="0"/>
        <w:autoSpaceDN w:val="0"/>
        <w:adjustRightInd w:val="0"/>
        <w:ind w:left="1350" w:hanging="1350"/>
        <w:rPr>
          <w:lang w:eastAsia="en-US"/>
        </w:rPr>
      </w:pPr>
      <w:r w:rsidRPr="00A56A64">
        <w:rPr>
          <w:lang w:eastAsia="en-US"/>
        </w:rPr>
        <w:t xml:space="preserve">IPF </w:t>
      </w:r>
      <w:r w:rsidRPr="00A56A64">
        <w:rPr>
          <w:lang w:eastAsia="en-US"/>
        </w:rPr>
        <w:tab/>
        <w:t>Indigenous Peoples Planning Framework</w:t>
      </w:r>
    </w:p>
    <w:p w14:paraId="730680E3" w14:textId="77777777" w:rsidR="00584674" w:rsidRDefault="00584674" w:rsidP="006F16D4">
      <w:pPr>
        <w:tabs>
          <w:tab w:val="left" w:pos="1440"/>
        </w:tabs>
        <w:autoSpaceDE w:val="0"/>
        <w:autoSpaceDN w:val="0"/>
        <w:adjustRightInd w:val="0"/>
        <w:ind w:left="1350" w:hanging="1350"/>
        <w:rPr>
          <w:lang w:eastAsia="en-US"/>
        </w:rPr>
      </w:pPr>
      <w:r w:rsidRPr="00B7045F">
        <w:rPr>
          <w:lang w:eastAsia="en-US"/>
        </w:rPr>
        <w:t>KPI</w:t>
      </w:r>
      <w:r w:rsidRPr="00B7045F">
        <w:rPr>
          <w:lang w:eastAsia="en-US"/>
        </w:rPr>
        <w:tab/>
        <w:t>Key Performance Indicators</w:t>
      </w:r>
    </w:p>
    <w:p w14:paraId="5B8B827E" w14:textId="10D401A7" w:rsidR="00584674" w:rsidRPr="0049537D" w:rsidRDefault="00A56A64" w:rsidP="00A56A64">
      <w:pPr>
        <w:tabs>
          <w:tab w:val="left" w:pos="1440"/>
        </w:tabs>
        <w:autoSpaceDE w:val="0"/>
        <w:autoSpaceDN w:val="0"/>
        <w:adjustRightInd w:val="0"/>
        <w:ind w:left="1350" w:hanging="1350"/>
        <w:rPr>
          <w:lang w:eastAsia="en-US"/>
        </w:rPr>
      </w:pPr>
      <w:r>
        <w:rPr>
          <w:lang w:eastAsia="en-US"/>
        </w:rPr>
        <w:t>LAMP</w:t>
      </w:r>
      <w:r>
        <w:rPr>
          <w:lang w:eastAsia="en-US"/>
        </w:rPr>
        <w:tab/>
      </w:r>
      <w:r w:rsidR="00584674">
        <w:rPr>
          <w:lang w:eastAsia="en-US"/>
        </w:rPr>
        <w:t>Livestock and Agricultural Marketing Project</w:t>
      </w:r>
    </w:p>
    <w:p w14:paraId="068EBD6B" w14:textId="305015F2" w:rsidR="00C27B27" w:rsidRDefault="00C27B27" w:rsidP="00A56A64">
      <w:pPr>
        <w:tabs>
          <w:tab w:val="left" w:pos="1440"/>
        </w:tabs>
        <w:autoSpaceDE w:val="0"/>
        <w:autoSpaceDN w:val="0"/>
        <w:adjustRightInd w:val="0"/>
        <w:ind w:left="1350" w:hanging="1350"/>
        <w:rPr>
          <w:lang w:eastAsia="en-US"/>
        </w:rPr>
      </w:pPr>
      <w:r w:rsidRPr="00C27B27">
        <w:rPr>
          <w:lang w:eastAsia="en-US"/>
        </w:rPr>
        <w:t>LIP</w:t>
      </w:r>
      <w:r w:rsidRPr="00C27B27">
        <w:rPr>
          <w:lang w:eastAsia="en-US"/>
        </w:rPr>
        <w:tab/>
        <w:t>Livestock Insurance Indemnity Pool</w:t>
      </w:r>
    </w:p>
    <w:p w14:paraId="121A09B2" w14:textId="77777777" w:rsidR="00584674" w:rsidRDefault="00584674" w:rsidP="006F16D4">
      <w:pPr>
        <w:tabs>
          <w:tab w:val="left" w:pos="1440"/>
        </w:tabs>
        <w:autoSpaceDE w:val="0"/>
        <w:autoSpaceDN w:val="0"/>
        <w:adjustRightInd w:val="0"/>
        <w:ind w:left="1350" w:hanging="1350"/>
        <w:rPr>
          <w:lang w:eastAsia="en-US"/>
        </w:rPr>
      </w:pPr>
      <w:r>
        <w:rPr>
          <w:lang w:eastAsia="en-US"/>
        </w:rPr>
        <w:t>LRI</w:t>
      </w:r>
      <w:r>
        <w:rPr>
          <w:lang w:eastAsia="en-US"/>
        </w:rPr>
        <w:tab/>
        <w:t xml:space="preserve">Livestock R Insurance </w:t>
      </w:r>
    </w:p>
    <w:p w14:paraId="0BF2B70D" w14:textId="77777777" w:rsidR="00584674" w:rsidRDefault="00584674" w:rsidP="006F16D4">
      <w:pPr>
        <w:tabs>
          <w:tab w:val="left" w:pos="1440"/>
        </w:tabs>
        <w:autoSpaceDE w:val="0"/>
        <w:autoSpaceDN w:val="0"/>
        <w:adjustRightInd w:val="0"/>
        <w:ind w:left="1350" w:hanging="1350"/>
        <w:rPr>
          <w:lang w:eastAsia="en-US"/>
        </w:rPr>
      </w:pPr>
      <w:r>
        <w:rPr>
          <w:lang w:eastAsia="en-US"/>
        </w:rPr>
        <w:t>M&amp;E</w:t>
      </w:r>
      <w:r>
        <w:rPr>
          <w:lang w:eastAsia="en-US"/>
        </w:rPr>
        <w:tab/>
        <w:t>Monitoring and Evaluation</w:t>
      </w:r>
    </w:p>
    <w:p w14:paraId="096D57EF" w14:textId="7D08FF73" w:rsidR="00371624" w:rsidRDefault="00371624" w:rsidP="006F16D4">
      <w:pPr>
        <w:tabs>
          <w:tab w:val="left" w:pos="1440"/>
        </w:tabs>
        <w:autoSpaceDE w:val="0"/>
        <w:autoSpaceDN w:val="0"/>
        <w:adjustRightInd w:val="0"/>
        <w:ind w:left="1350" w:hanging="1350"/>
        <w:rPr>
          <w:lang w:eastAsia="en-US"/>
        </w:rPr>
      </w:pPr>
      <w:r w:rsidRPr="00371624">
        <w:rPr>
          <w:lang w:eastAsia="en-US"/>
        </w:rPr>
        <w:t>MIS</w:t>
      </w:r>
      <w:r w:rsidRPr="00371624">
        <w:rPr>
          <w:lang w:eastAsia="en-US"/>
        </w:rPr>
        <w:tab/>
        <w:t>Management Information Systems</w:t>
      </w:r>
    </w:p>
    <w:p w14:paraId="796528D7" w14:textId="77777777" w:rsidR="00584674" w:rsidRDefault="00584674" w:rsidP="006F16D4">
      <w:pPr>
        <w:tabs>
          <w:tab w:val="left" w:pos="1440"/>
        </w:tabs>
        <w:autoSpaceDE w:val="0"/>
        <w:autoSpaceDN w:val="0"/>
        <w:adjustRightInd w:val="0"/>
        <w:ind w:left="1350" w:hanging="1350"/>
        <w:rPr>
          <w:lang w:eastAsia="en-US"/>
        </w:rPr>
      </w:pPr>
      <w:r>
        <w:rPr>
          <w:lang w:eastAsia="en-US"/>
        </w:rPr>
        <w:t>MoFA</w:t>
      </w:r>
      <w:r>
        <w:rPr>
          <w:lang w:eastAsia="en-US"/>
        </w:rPr>
        <w:tab/>
      </w:r>
      <w:r w:rsidRPr="002A2CFB">
        <w:rPr>
          <w:lang w:eastAsia="en-US"/>
        </w:rPr>
        <w:t>Ministry of Food and Agriculture</w:t>
      </w:r>
    </w:p>
    <w:p w14:paraId="6F07D8EA" w14:textId="684B9522" w:rsidR="00CC6B2A" w:rsidRDefault="00CC6B2A" w:rsidP="00A56A64">
      <w:pPr>
        <w:tabs>
          <w:tab w:val="left" w:pos="1440"/>
        </w:tabs>
        <w:autoSpaceDE w:val="0"/>
        <w:autoSpaceDN w:val="0"/>
        <w:adjustRightInd w:val="0"/>
        <w:ind w:left="1350" w:hanging="1350"/>
        <w:rPr>
          <w:lang w:eastAsia="en-US"/>
        </w:rPr>
      </w:pPr>
      <w:r>
        <w:rPr>
          <w:lang w:eastAsia="en-US"/>
        </w:rPr>
        <w:t>MoF</w:t>
      </w:r>
      <w:r>
        <w:rPr>
          <w:lang w:eastAsia="en-US"/>
        </w:rPr>
        <w:tab/>
        <w:t>Ministry of Finance</w:t>
      </w:r>
    </w:p>
    <w:p w14:paraId="3D1C3517" w14:textId="59E99436" w:rsidR="00CC6B2A" w:rsidRPr="002A2CFB" w:rsidRDefault="005A4EF0" w:rsidP="00A56A64">
      <w:pPr>
        <w:tabs>
          <w:tab w:val="left" w:pos="1440"/>
        </w:tabs>
        <w:autoSpaceDE w:val="0"/>
        <w:autoSpaceDN w:val="0"/>
        <w:adjustRightInd w:val="0"/>
        <w:ind w:left="1350" w:hanging="1350"/>
        <w:rPr>
          <w:lang w:eastAsia="en-US"/>
        </w:rPr>
      </w:pPr>
      <w:r>
        <w:rPr>
          <w:lang w:eastAsia="en-US"/>
        </w:rPr>
        <w:t>MNT</w:t>
      </w:r>
      <w:r>
        <w:rPr>
          <w:lang w:eastAsia="en-US"/>
        </w:rPr>
        <w:tab/>
        <w:t>Mongolian Tugrik</w:t>
      </w:r>
    </w:p>
    <w:p w14:paraId="38DCA602" w14:textId="77777777" w:rsidR="00584674" w:rsidRDefault="00584674" w:rsidP="006F16D4">
      <w:pPr>
        <w:tabs>
          <w:tab w:val="left" w:pos="1440"/>
        </w:tabs>
        <w:autoSpaceDE w:val="0"/>
        <w:autoSpaceDN w:val="0"/>
        <w:adjustRightInd w:val="0"/>
        <w:ind w:left="1350" w:hanging="1350"/>
        <w:rPr>
          <w:lang w:eastAsia="en-US"/>
        </w:rPr>
      </w:pPr>
      <w:r>
        <w:rPr>
          <w:lang w:eastAsia="en-US"/>
        </w:rPr>
        <w:lastRenderedPageBreak/>
        <w:t>NSO</w:t>
      </w:r>
      <w:r>
        <w:rPr>
          <w:lang w:eastAsia="en-US"/>
        </w:rPr>
        <w:tab/>
        <w:t>National Statistics Office</w:t>
      </w:r>
    </w:p>
    <w:p w14:paraId="33273901" w14:textId="74922031" w:rsidR="00CC6B2A" w:rsidRPr="00A56A64" w:rsidRDefault="00CC6B2A" w:rsidP="006F16D4">
      <w:pPr>
        <w:tabs>
          <w:tab w:val="left" w:pos="1440"/>
        </w:tabs>
        <w:autoSpaceDE w:val="0"/>
        <w:autoSpaceDN w:val="0"/>
        <w:adjustRightInd w:val="0"/>
        <w:ind w:left="1350" w:hanging="1350"/>
        <w:rPr>
          <w:lang w:eastAsia="en-US"/>
        </w:rPr>
      </w:pPr>
      <w:r w:rsidRPr="00A56A64">
        <w:rPr>
          <w:lang w:eastAsia="en-US"/>
        </w:rPr>
        <w:t>NDVI</w:t>
      </w:r>
      <w:r w:rsidRPr="00A56A64">
        <w:rPr>
          <w:lang w:eastAsia="en-US"/>
        </w:rPr>
        <w:tab/>
        <w:t>Normalized Differentiated Vegetation Index</w:t>
      </w:r>
    </w:p>
    <w:p w14:paraId="66717A8B" w14:textId="780E9740" w:rsidR="00CC6B2A" w:rsidRPr="00CC6B2A" w:rsidRDefault="00A56A64" w:rsidP="00A56A64">
      <w:pPr>
        <w:tabs>
          <w:tab w:val="left" w:pos="1440"/>
        </w:tabs>
        <w:autoSpaceDE w:val="0"/>
        <w:autoSpaceDN w:val="0"/>
        <w:adjustRightInd w:val="0"/>
        <w:ind w:left="1350" w:hanging="1350"/>
        <w:rPr>
          <w:lang w:eastAsia="en-US"/>
        </w:rPr>
      </w:pPr>
      <w:r>
        <w:rPr>
          <w:lang w:eastAsia="en-US"/>
        </w:rPr>
        <w:t>NGO</w:t>
      </w:r>
      <w:r>
        <w:rPr>
          <w:lang w:eastAsia="en-US"/>
        </w:rPr>
        <w:tab/>
      </w:r>
      <w:r w:rsidR="00CC6B2A" w:rsidRPr="00CC6B2A">
        <w:rPr>
          <w:lang w:eastAsia="en-US"/>
        </w:rPr>
        <w:t>Non-Government Organization</w:t>
      </w:r>
    </w:p>
    <w:p w14:paraId="03D975C5" w14:textId="77777777" w:rsidR="00584674" w:rsidRDefault="00584674" w:rsidP="006F16D4">
      <w:pPr>
        <w:tabs>
          <w:tab w:val="left" w:pos="1440"/>
        </w:tabs>
        <w:autoSpaceDE w:val="0"/>
        <w:autoSpaceDN w:val="0"/>
        <w:adjustRightInd w:val="0"/>
        <w:ind w:left="1350" w:hanging="1350"/>
        <w:rPr>
          <w:lang w:eastAsia="en-US"/>
        </w:rPr>
      </w:pPr>
      <w:r>
        <w:rPr>
          <w:lang w:eastAsia="en-US"/>
        </w:rPr>
        <w:t>PAD</w:t>
      </w:r>
      <w:r>
        <w:rPr>
          <w:lang w:eastAsia="en-US"/>
        </w:rPr>
        <w:tab/>
        <w:t xml:space="preserve">Project Appraisal Document </w:t>
      </w:r>
    </w:p>
    <w:p w14:paraId="4887AE47" w14:textId="77777777" w:rsidR="00584674" w:rsidRDefault="00584674" w:rsidP="006F16D4">
      <w:pPr>
        <w:tabs>
          <w:tab w:val="left" w:pos="1440"/>
        </w:tabs>
        <w:autoSpaceDE w:val="0"/>
        <w:autoSpaceDN w:val="0"/>
        <w:adjustRightInd w:val="0"/>
        <w:ind w:left="1350" w:hanging="1350"/>
        <w:rPr>
          <w:lang w:eastAsia="en-US"/>
        </w:rPr>
      </w:pPr>
      <w:r>
        <w:rPr>
          <w:lang w:eastAsia="en-US"/>
        </w:rPr>
        <w:t>PDO</w:t>
      </w:r>
      <w:r>
        <w:rPr>
          <w:lang w:eastAsia="en-US"/>
        </w:rPr>
        <w:tab/>
        <w:t xml:space="preserve">Project development Objective </w:t>
      </w:r>
    </w:p>
    <w:p w14:paraId="1835BDFA" w14:textId="77777777"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 xml:space="preserve">PHRD </w:t>
      </w:r>
      <w:r>
        <w:rPr>
          <w:lang w:eastAsia="en-US"/>
        </w:rPr>
        <w:tab/>
      </w:r>
      <w:r w:rsidRPr="00DD1E0F">
        <w:rPr>
          <w:lang w:eastAsia="en-US"/>
        </w:rPr>
        <w:t>Policy and Human Resources Development Fund (Government of Japan)</w:t>
      </w:r>
    </w:p>
    <w:p w14:paraId="60C5CDAD" w14:textId="77777777" w:rsidR="00584674" w:rsidRDefault="00584674" w:rsidP="006F16D4">
      <w:pPr>
        <w:tabs>
          <w:tab w:val="left" w:pos="1440"/>
        </w:tabs>
        <w:autoSpaceDE w:val="0"/>
        <w:autoSpaceDN w:val="0"/>
        <w:adjustRightInd w:val="0"/>
        <w:ind w:left="1350" w:hanging="1350"/>
        <w:rPr>
          <w:lang w:eastAsia="en-US"/>
        </w:rPr>
      </w:pPr>
      <w:r w:rsidRPr="00DD1E0F">
        <w:rPr>
          <w:lang w:eastAsia="en-US"/>
        </w:rPr>
        <w:t xml:space="preserve">PIU </w:t>
      </w:r>
      <w:r>
        <w:rPr>
          <w:lang w:eastAsia="en-US"/>
        </w:rPr>
        <w:tab/>
      </w:r>
      <w:r w:rsidRPr="00DD1E0F">
        <w:rPr>
          <w:lang w:eastAsia="en-US"/>
        </w:rPr>
        <w:t>Project Implementation Unit</w:t>
      </w:r>
    </w:p>
    <w:p w14:paraId="376074A9" w14:textId="323D968E" w:rsidR="00CC6B2A" w:rsidRPr="00A56A64" w:rsidRDefault="00CC6B2A" w:rsidP="006F16D4">
      <w:pPr>
        <w:tabs>
          <w:tab w:val="left" w:pos="1440"/>
        </w:tabs>
        <w:autoSpaceDE w:val="0"/>
        <w:autoSpaceDN w:val="0"/>
        <w:adjustRightInd w:val="0"/>
        <w:ind w:left="1350" w:hanging="1350"/>
        <w:rPr>
          <w:lang w:eastAsia="en-US"/>
        </w:rPr>
      </w:pPr>
      <w:r w:rsidRPr="00A56A64">
        <w:rPr>
          <w:lang w:eastAsia="en-US"/>
        </w:rPr>
        <w:t>PIM</w:t>
      </w:r>
      <w:r w:rsidRPr="00A56A64">
        <w:rPr>
          <w:lang w:eastAsia="en-US"/>
        </w:rPr>
        <w:tab/>
        <w:t>Project Implementation Manual</w:t>
      </w:r>
    </w:p>
    <w:p w14:paraId="7FC59D79" w14:textId="44721990" w:rsidR="00CC6B2A" w:rsidRPr="00DD1E0F" w:rsidRDefault="00CC6B2A" w:rsidP="006F16D4">
      <w:pPr>
        <w:tabs>
          <w:tab w:val="left" w:pos="1440"/>
        </w:tabs>
        <w:autoSpaceDE w:val="0"/>
        <w:autoSpaceDN w:val="0"/>
        <w:adjustRightInd w:val="0"/>
        <w:ind w:left="1350" w:hanging="1350"/>
        <w:rPr>
          <w:lang w:eastAsia="en-US"/>
        </w:rPr>
      </w:pPr>
      <w:r w:rsidRPr="00A56A64">
        <w:rPr>
          <w:lang w:eastAsia="en-US"/>
        </w:rPr>
        <w:t>PPA</w:t>
      </w:r>
      <w:r w:rsidRPr="00A56A64">
        <w:rPr>
          <w:lang w:eastAsia="en-US"/>
        </w:rPr>
        <w:tab/>
        <w:t xml:space="preserve">Promotion and Public </w:t>
      </w:r>
      <w:r w:rsidR="00A56A64" w:rsidRPr="00A56A64">
        <w:rPr>
          <w:lang w:eastAsia="en-US"/>
        </w:rPr>
        <w:t>Awareness</w:t>
      </w:r>
    </w:p>
    <w:p w14:paraId="1F7045FC" w14:textId="77777777" w:rsidR="00584674" w:rsidRDefault="00584674" w:rsidP="006F16D4">
      <w:pPr>
        <w:tabs>
          <w:tab w:val="left" w:pos="1440"/>
        </w:tabs>
        <w:autoSpaceDE w:val="0"/>
        <w:autoSpaceDN w:val="0"/>
        <w:adjustRightInd w:val="0"/>
        <w:ind w:left="1350" w:hanging="1350"/>
        <w:rPr>
          <w:lang w:eastAsia="en-US"/>
        </w:rPr>
      </w:pPr>
      <w:r>
        <w:rPr>
          <w:lang w:eastAsia="en-US"/>
        </w:rPr>
        <w:t>PIU</w:t>
      </w:r>
      <w:r>
        <w:rPr>
          <w:lang w:eastAsia="en-US"/>
        </w:rPr>
        <w:tab/>
        <w:t>Project Implementation Unit</w:t>
      </w:r>
    </w:p>
    <w:p w14:paraId="313989BF" w14:textId="77777777" w:rsidR="00584674" w:rsidRDefault="00584674" w:rsidP="006F16D4">
      <w:pPr>
        <w:tabs>
          <w:tab w:val="left" w:pos="1440"/>
        </w:tabs>
        <w:autoSpaceDE w:val="0"/>
        <w:autoSpaceDN w:val="0"/>
        <w:adjustRightInd w:val="0"/>
        <w:ind w:left="1350" w:hanging="1350"/>
        <w:rPr>
          <w:lang w:eastAsia="en-US"/>
        </w:rPr>
      </w:pPr>
      <w:r>
        <w:rPr>
          <w:lang w:eastAsia="en-US"/>
        </w:rPr>
        <w:t>PRM</w:t>
      </w:r>
      <w:r>
        <w:rPr>
          <w:lang w:eastAsia="en-US"/>
        </w:rPr>
        <w:tab/>
        <w:t>Pastoral Risk Management</w:t>
      </w:r>
    </w:p>
    <w:p w14:paraId="07663CE1" w14:textId="77777777" w:rsidR="00584674" w:rsidRDefault="00584674" w:rsidP="006F16D4">
      <w:pPr>
        <w:tabs>
          <w:tab w:val="left" w:pos="1440"/>
        </w:tabs>
        <w:autoSpaceDE w:val="0"/>
        <w:autoSpaceDN w:val="0"/>
        <w:adjustRightInd w:val="0"/>
        <w:ind w:left="1350" w:hanging="1350"/>
        <w:rPr>
          <w:lang w:eastAsia="en-US"/>
        </w:rPr>
      </w:pPr>
      <w:r>
        <w:rPr>
          <w:lang w:eastAsia="en-US"/>
        </w:rPr>
        <w:t>PRSP</w:t>
      </w:r>
      <w:r>
        <w:rPr>
          <w:lang w:eastAsia="en-US"/>
        </w:rPr>
        <w:tab/>
        <w:t>Poverty Reduction Strategy Paper</w:t>
      </w:r>
    </w:p>
    <w:p w14:paraId="783A4B11" w14:textId="748C9413"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SDC</w:t>
      </w:r>
      <w:r>
        <w:rPr>
          <w:lang w:eastAsia="en-US"/>
        </w:rPr>
        <w:tab/>
      </w:r>
      <w:r w:rsidRPr="00DD1E0F">
        <w:rPr>
          <w:lang w:eastAsia="en-US"/>
        </w:rPr>
        <w:t>Swiss Agency for Development and Cooperation</w:t>
      </w:r>
    </w:p>
    <w:p w14:paraId="6F5EC861" w14:textId="5019A100" w:rsidR="00584674" w:rsidRPr="00DD1E0F" w:rsidRDefault="00584674" w:rsidP="006F16D4">
      <w:pPr>
        <w:tabs>
          <w:tab w:val="left" w:pos="1440"/>
        </w:tabs>
        <w:autoSpaceDE w:val="0"/>
        <w:autoSpaceDN w:val="0"/>
        <w:adjustRightInd w:val="0"/>
        <w:ind w:left="1350" w:hanging="1350"/>
        <w:rPr>
          <w:lang w:eastAsia="en-US"/>
        </w:rPr>
      </w:pPr>
      <w:r w:rsidRPr="00DD1E0F">
        <w:rPr>
          <w:lang w:eastAsia="en-US"/>
        </w:rPr>
        <w:t>SDR</w:t>
      </w:r>
      <w:r>
        <w:rPr>
          <w:lang w:eastAsia="en-US"/>
        </w:rPr>
        <w:tab/>
      </w:r>
      <w:r w:rsidRPr="00DD1E0F">
        <w:rPr>
          <w:lang w:eastAsia="en-US"/>
        </w:rPr>
        <w:t>Special Drawing Rights</w:t>
      </w:r>
    </w:p>
    <w:p w14:paraId="223A1F29" w14:textId="77777777" w:rsidR="00584674" w:rsidRDefault="00584674" w:rsidP="006F16D4">
      <w:pPr>
        <w:tabs>
          <w:tab w:val="left" w:pos="1440"/>
        </w:tabs>
        <w:autoSpaceDE w:val="0"/>
        <w:autoSpaceDN w:val="0"/>
        <w:adjustRightInd w:val="0"/>
        <w:ind w:left="1350" w:hanging="1350"/>
        <w:rPr>
          <w:lang w:eastAsia="en-US"/>
        </w:rPr>
      </w:pPr>
      <w:r>
        <w:rPr>
          <w:lang w:eastAsia="en-US"/>
        </w:rPr>
        <w:t>SLP</w:t>
      </w:r>
      <w:r>
        <w:rPr>
          <w:lang w:eastAsia="en-US"/>
        </w:rPr>
        <w:tab/>
        <w:t>Sustainable Livelihoods Project</w:t>
      </w:r>
    </w:p>
    <w:p w14:paraId="6EDE714C" w14:textId="66AD5B75" w:rsidR="00CC6B2A" w:rsidRDefault="00CC6B2A" w:rsidP="006F16D4">
      <w:pPr>
        <w:tabs>
          <w:tab w:val="left" w:pos="1440"/>
        </w:tabs>
        <w:autoSpaceDE w:val="0"/>
        <w:autoSpaceDN w:val="0"/>
        <w:adjustRightInd w:val="0"/>
        <w:ind w:left="1350" w:hanging="1350"/>
        <w:rPr>
          <w:lang w:eastAsia="en-US"/>
        </w:rPr>
      </w:pPr>
      <w:r>
        <w:rPr>
          <w:lang w:eastAsia="en-US"/>
        </w:rPr>
        <w:t>Sum</w:t>
      </w:r>
      <w:r>
        <w:rPr>
          <w:lang w:eastAsia="en-US"/>
        </w:rPr>
        <w:tab/>
        <w:t>Rural district</w:t>
      </w:r>
    </w:p>
    <w:p w14:paraId="2ACA2D5B" w14:textId="77777777" w:rsidR="00584674" w:rsidRDefault="00584674" w:rsidP="006F16D4">
      <w:pPr>
        <w:tabs>
          <w:tab w:val="left" w:pos="1440"/>
        </w:tabs>
        <w:autoSpaceDE w:val="0"/>
        <w:autoSpaceDN w:val="0"/>
        <w:adjustRightInd w:val="0"/>
        <w:ind w:left="1350" w:hanging="1350"/>
        <w:rPr>
          <w:lang w:eastAsia="en-US"/>
        </w:rPr>
      </w:pPr>
      <w:r>
        <w:rPr>
          <w:lang w:eastAsia="en-US"/>
        </w:rPr>
        <w:t>TF</w:t>
      </w:r>
      <w:r>
        <w:rPr>
          <w:lang w:eastAsia="en-US"/>
        </w:rPr>
        <w:tab/>
        <w:t>Trust Fund</w:t>
      </w:r>
    </w:p>
    <w:p w14:paraId="293ABE26" w14:textId="77777777" w:rsidR="00584674" w:rsidRDefault="00584674" w:rsidP="006F16D4">
      <w:pPr>
        <w:tabs>
          <w:tab w:val="left" w:pos="1440"/>
        </w:tabs>
        <w:autoSpaceDE w:val="0"/>
        <w:autoSpaceDN w:val="0"/>
        <w:adjustRightInd w:val="0"/>
        <w:ind w:left="1350" w:hanging="1350"/>
        <w:rPr>
          <w:lang w:eastAsia="en-US"/>
        </w:rPr>
      </w:pPr>
      <w:r w:rsidRPr="00DD1E0F">
        <w:rPr>
          <w:lang w:eastAsia="en-US"/>
        </w:rPr>
        <w:t xml:space="preserve">USD </w:t>
      </w:r>
      <w:r>
        <w:rPr>
          <w:lang w:eastAsia="en-US"/>
        </w:rPr>
        <w:tab/>
      </w:r>
      <w:r w:rsidRPr="00DD1E0F">
        <w:rPr>
          <w:lang w:eastAsia="en-US"/>
        </w:rPr>
        <w:t>United States Dollars</w:t>
      </w:r>
    </w:p>
    <w:p w14:paraId="239A723E" w14:textId="771D8D16" w:rsidR="00CC6B2A" w:rsidRDefault="00CC6B2A" w:rsidP="006F16D4">
      <w:pPr>
        <w:tabs>
          <w:tab w:val="left" w:pos="1440"/>
        </w:tabs>
        <w:autoSpaceDE w:val="0"/>
        <w:autoSpaceDN w:val="0"/>
        <w:adjustRightInd w:val="0"/>
        <w:ind w:left="1350" w:hanging="1350"/>
        <w:rPr>
          <w:lang w:eastAsia="en-US"/>
        </w:rPr>
      </w:pPr>
      <w:r>
        <w:rPr>
          <w:lang w:eastAsia="en-US"/>
        </w:rPr>
        <w:t>UNDP</w:t>
      </w:r>
      <w:r>
        <w:rPr>
          <w:lang w:eastAsia="en-US"/>
        </w:rPr>
        <w:tab/>
        <w:t>United Nations Development Program</w:t>
      </w:r>
    </w:p>
    <w:p w14:paraId="43BA79A8" w14:textId="3B9237D7" w:rsidR="00CC6B2A" w:rsidRDefault="00CC6B2A" w:rsidP="006F16D4">
      <w:pPr>
        <w:tabs>
          <w:tab w:val="left" w:pos="1440"/>
        </w:tabs>
        <w:autoSpaceDE w:val="0"/>
        <w:autoSpaceDN w:val="0"/>
        <w:adjustRightInd w:val="0"/>
        <w:ind w:left="1350" w:hanging="1350"/>
        <w:rPr>
          <w:lang w:eastAsia="en-US"/>
        </w:rPr>
      </w:pPr>
      <w:r>
        <w:rPr>
          <w:lang w:eastAsia="en-US"/>
        </w:rPr>
        <w:t>USAID</w:t>
      </w:r>
      <w:r>
        <w:rPr>
          <w:lang w:eastAsia="en-US"/>
        </w:rPr>
        <w:tab/>
        <w:t>United States Agency for International Development</w:t>
      </w:r>
    </w:p>
    <w:p w14:paraId="4D9D7339" w14:textId="77777777" w:rsidR="00584674" w:rsidRDefault="00584674" w:rsidP="006F16D4">
      <w:pPr>
        <w:tabs>
          <w:tab w:val="left" w:pos="1440"/>
        </w:tabs>
        <w:autoSpaceDE w:val="0"/>
        <w:autoSpaceDN w:val="0"/>
        <w:adjustRightInd w:val="0"/>
        <w:ind w:left="1350" w:hanging="1350"/>
        <w:rPr>
          <w:lang w:eastAsia="en-US"/>
        </w:rPr>
      </w:pPr>
      <w:r>
        <w:rPr>
          <w:lang w:eastAsia="en-US"/>
        </w:rPr>
        <w:t>WB</w:t>
      </w:r>
      <w:r>
        <w:rPr>
          <w:lang w:eastAsia="en-US"/>
        </w:rPr>
        <w:tab/>
        <w:t>World Bank</w:t>
      </w:r>
    </w:p>
    <w:p w14:paraId="70E7B561" w14:textId="77777777" w:rsidR="005A4EF0" w:rsidRDefault="005A4EF0" w:rsidP="006F16D4">
      <w:pPr>
        <w:tabs>
          <w:tab w:val="left" w:pos="1440"/>
        </w:tabs>
        <w:autoSpaceDE w:val="0"/>
        <w:autoSpaceDN w:val="0"/>
        <w:adjustRightInd w:val="0"/>
        <w:ind w:left="1350" w:hanging="1350"/>
        <w:rPr>
          <w:lang w:eastAsia="en-US"/>
        </w:rPr>
      </w:pPr>
    </w:p>
    <w:p w14:paraId="04263B4F" w14:textId="77777777" w:rsidR="005A4EF0" w:rsidRDefault="005A4EF0" w:rsidP="006F16D4">
      <w:pPr>
        <w:tabs>
          <w:tab w:val="left" w:pos="1440"/>
        </w:tabs>
        <w:autoSpaceDE w:val="0"/>
        <w:autoSpaceDN w:val="0"/>
        <w:adjustRightInd w:val="0"/>
        <w:ind w:left="1350" w:hanging="1350"/>
        <w:rPr>
          <w:lang w:eastAsia="en-US"/>
        </w:rPr>
      </w:pPr>
    </w:p>
    <w:p w14:paraId="49BDFCEC" w14:textId="77777777" w:rsidR="005A4EF0" w:rsidRDefault="005A4EF0" w:rsidP="006F16D4">
      <w:pPr>
        <w:tabs>
          <w:tab w:val="left" w:pos="1440"/>
        </w:tabs>
        <w:autoSpaceDE w:val="0"/>
        <w:autoSpaceDN w:val="0"/>
        <w:adjustRightInd w:val="0"/>
        <w:ind w:left="1350" w:hanging="1350"/>
        <w:rPr>
          <w:lang w:eastAsia="en-US"/>
        </w:rPr>
      </w:pPr>
    </w:p>
    <w:p w14:paraId="189CBE8E" w14:textId="77777777" w:rsidR="005A4EF0" w:rsidRDefault="005A4EF0" w:rsidP="006F16D4">
      <w:pPr>
        <w:tabs>
          <w:tab w:val="left" w:pos="1440"/>
        </w:tabs>
        <w:autoSpaceDE w:val="0"/>
        <w:autoSpaceDN w:val="0"/>
        <w:adjustRightInd w:val="0"/>
        <w:ind w:left="1350" w:hanging="1350"/>
        <w:rPr>
          <w:lang w:eastAsia="en-US"/>
        </w:rPr>
      </w:pPr>
    </w:p>
    <w:p w14:paraId="0337E7E4" w14:textId="77777777" w:rsidR="005A4EF0" w:rsidRDefault="005A4EF0" w:rsidP="006F16D4">
      <w:pPr>
        <w:tabs>
          <w:tab w:val="left" w:pos="1440"/>
        </w:tabs>
        <w:autoSpaceDE w:val="0"/>
        <w:autoSpaceDN w:val="0"/>
        <w:adjustRightInd w:val="0"/>
        <w:ind w:left="1350" w:hanging="1350"/>
        <w:rPr>
          <w:lang w:eastAsia="en-US"/>
        </w:rPr>
      </w:pPr>
    </w:p>
    <w:p w14:paraId="12C7C0FD" w14:textId="77777777" w:rsidR="005A4EF0" w:rsidRDefault="005A4EF0" w:rsidP="006F16D4">
      <w:pPr>
        <w:tabs>
          <w:tab w:val="left" w:pos="1440"/>
        </w:tabs>
        <w:autoSpaceDE w:val="0"/>
        <w:autoSpaceDN w:val="0"/>
        <w:adjustRightInd w:val="0"/>
        <w:ind w:left="1350" w:hanging="1350"/>
        <w:rPr>
          <w:lang w:eastAsia="en-US"/>
        </w:rPr>
      </w:pPr>
    </w:p>
    <w:p w14:paraId="1443755E" w14:textId="77777777" w:rsidR="005A4EF0" w:rsidRDefault="005A4EF0" w:rsidP="006F16D4">
      <w:pPr>
        <w:tabs>
          <w:tab w:val="left" w:pos="1440"/>
        </w:tabs>
        <w:autoSpaceDE w:val="0"/>
        <w:autoSpaceDN w:val="0"/>
        <w:adjustRightInd w:val="0"/>
        <w:ind w:left="1350" w:hanging="1350"/>
        <w:rPr>
          <w:lang w:eastAsia="en-US"/>
        </w:rPr>
      </w:pPr>
    </w:p>
    <w:p w14:paraId="7AFA5E41" w14:textId="77777777" w:rsidR="005A4EF0" w:rsidRDefault="005A4EF0" w:rsidP="006F16D4">
      <w:pPr>
        <w:tabs>
          <w:tab w:val="left" w:pos="1440"/>
        </w:tabs>
        <w:autoSpaceDE w:val="0"/>
        <w:autoSpaceDN w:val="0"/>
        <w:adjustRightInd w:val="0"/>
        <w:ind w:left="1350" w:hanging="1350"/>
        <w:rPr>
          <w:lang w:eastAsia="en-US"/>
        </w:rPr>
      </w:pPr>
    </w:p>
    <w:p w14:paraId="71FECBE9" w14:textId="77777777" w:rsidR="005A4EF0" w:rsidRDefault="005A4EF0" w:rsidP="006F16D4">
      <w:pPr>
        <w:tabs>
          <w:tab w:val="left" w:pos="1440"/>
        </w:tabs>
        <w:autoSpaceDE w:val="0"/>
        <w:autoSpaceDN w:val="0"/>
        <w:adjustRightInd w:val="0"/>
        <w:ind w:left="1350" w:hanging="1350"/>
        <w:rPr>
          <w:lang w:eastAsia="en-US"/>
        </w:rPr>
      </w:pPr>
    </w:p>
    <w:p w14:paraId="56E1A3DA" w14:textId="77777777" w:rsidR="005A4EF0" w:rsidRDefault="005A4EF0" w:rsidP="006F16D4">
      <w:pPr>
        <w:tabs>
          <w:tab w:val="left" w:pos="1440"/>
        </w:tabs>
        <w:autoSpaceDE w:val="0"/>
        <w:autoSpaceDN w:val="0"/>
        <w:adjustRightInd w:val="0"/>
        <w:ind w:left="1350" w:hanging="1350"/>
        <w:rPr>
          <w:lang w:eastAsia="en-US"/>
        </w:rPr>
      </w:pPr>
    </w:p>
    <w:p w14:paraId="2957C5ED" w14:textId="77777777" w:rsidR="005A4EF0" w:rsidRDefault="005A4EF0" w:rsidP="006F16D4">
      <w:pPr>
        <w:tabs>
          <w:tab w:val="left" w:pos="1440"/>
        </w:tabs>
        <w:autoSpaceDE w:val="0"/>
        <w:autoSpaceDN w:val="0"/>
        <w:adjustRightInd w:val="0"/>
        <w:ind w:left="1350" w:hanging="1350"/>
        <w:rPr>
          <w:lang w:eastAsia="en-US"/>
        </w:rPr>
      </w:pPr>
    </w:p>
    <w:p w14:paraId="2750E5DF" w14:textId="77777777" w:rsidR="005A4EF0" w:rsidRDefault="005A4EF0" w:rsidP="006F16D4">
      <w:pPr>
        <w:tabs>
          <w:tab w:val="left" w:pos="1440"/>
        </w:tabs>
        <w:autoSpaceDE w:val="0"/>
        <w:autoSpaceDN w:val="0"/>
        <w:adjustRightInd w:val="0"/>
        <w:ind w:left="1350" w:hanging="1350"/>
        <w:rPr>
          <w:lang w:eastAsia="en-US"/>
        </w:rPr>
      </w:pPr>
    </w:p>
    <w:p w14:paraId="658F6E81" w14:textId="77777777" w:rsidR="005A4EF0" w:rsidRDefault="005A4EF0" w:rsidP="006F16D4">
      <w:pPr>
        <w:tabs>
          <w:tab w:val="left" w:pos="1440"/>
        </w:tabs>
        <w:autoSpaceDE w:val="0"/>
        <w:autoSpaceDN w:val="0"/>
        <w:adjustRightInd w:val="0"/>
        <w:ind w:left="1350" w:hanging="1350"/>
        <w:rPr>
          <w:lang w:eastAsia="en-US"/>
        </w:rPr>
      </w:pPr>
    </w:p>
    <w:p w14:paraId="4A8F4A8A" w14:textId="77777777" w:rsidR="005A4EF0" w:rsidRDefault="005A4EF0" w:rsidP="006F16D4">
      <w:pPr>
        <w:tabs>
          <w:tab w:val="left" w:pos="1440"/>
        </w:tabs>
        <w:autoSpaceDE w:val="0"/>
        <w:autoSpaceDN w:val="0"/>
        <w:adjustRightInd w:val="0"/>
        <w:ind w:left="1350" w:hanging="1350"/>
        <w:rPr>
          <w:lang w:eastAsia="en-US"/>
        </w:rPr>
      </w:pPr>
    </w:p>
    <w:p w14:paraId="762B7DC0" w14:textId="77777777" w:rsidR="005A4EF0" w:rsidRDefault="005A4EF0" w:rsidP="006F16D4">
      <w:pPr>
        <w:tabs>
          <w:tab w:val="left" w:pos="1440"/>
        </w:tabs>
        <w:autoSpaceDE w:val="0"/>
        <w:autoSpaceDN w:val="0"/>
        <w:adjustRightInd w:val="0"/>
        <w:ind w:left="1350" w:hanging="1350"/>
        <w:rPr>
          <w:lang w:eastAsia="en-US"/>
        </w:rPr>
      </w:pPr>
    </w:p>
    <w:p w14:paraId="7D8424FC" w14:textId="77777777" w:rsidR="005A4EF0" w:rsidRDefault="005A4EF0" w:rsidP="006F16D4">
      <w:pPr>
        <w:tabs>
          <w:tab w:val="left" w:pos="1440"/>
        </w:tabs>
        <w:autoSpaceDE w:val="0"/>
        <w:autoSpaceDN w:val="0"/>
        <w:adjustRightInd w:val="0"/>
        <w:ind w:left="1350" w:hanging="1350"/>
        <w:rPr>
          <w:lang w:eastAsia="en-US"/>
        </w:rPr>
      </w:pPr>
    </w:p>
    <w:p w14:paraId="7AC44ACF" w14:textId="77777777" w:rsidR="005A4EF0" w:rsidRDefault="005A4EF0" w:rsidP="006F16D4">
      <w:pPr>
        <w:tabs>
          <w:tab w:val="left" w:pos="1440"/>
        </w:tabs>
        <w:autoSpaceDE w:val="0"/>
        <w:autoSpaceDN w:val="0"/>
        <w:adjustRightInd w:val="0"/>
        <w:ind w:left="1350" w:hanging="1350"/>
        <w:rPr>
          <w:lang w:eastAsia="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624"/>
      </w:tblGrid>
      <w:tr w:rsidR="00E03DE1" w14:paraId="6F4AD212" w14:textId="77777777" w:rsidTr="002A12B8">
        <w:trPr>
          <w:trHeight w:val="199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4909" w:type="pct"/>
              <w:jc w:val="center"/>
              <w:tblCellSpacing w:w="15" w:type="dxa"/>
              <w:tblCellMar>
                <w:top w:w="15" w:type="dxa"/>
                <w:left w:w="15" w:type="dxa"/>
                <w:bottom w:w="15" w:type="dxa"/>
                <w:right w:w="15" w:type="dxa"/>
              </w:tblCellMar>
              <w:tblLook w:val="0000" w:firstRow="0" w:lastRow="0" w:firstColumn="0" w:lastColumn="0" w:noHBand="0" w:noVBand="0"/>
            </w:tblPr>
            <w:tblGrid>
              <w:gridCol w:w="4169"/>
              <w:gridCol w:w="4269"/>
            </w:tblGrid>
            <w:tr w:rsidR="00E03DE1" w14:paraId="261A58C6" w14:textId="77777777" w:rsidTr="002A12B8">
              <w:trPr>
                <w:tblCellSpacing w:w="15" w:type="dxa"/>
                <w:jc w:val="center"/>
              </w:trPr>
              <w:tc>
                <w:tcPr>
                  <w:tcW w:w="2444" w:type="pct"/>
                  <w:vAlign w:val="center"/>
                </w:tcPr>
                <w:p w14:paraId="7719423E" w14:textId="77777777" w:rsidR="00E03DE1" w:rsidRDefault="00E03DE1">
                  <w:pPr>
                    <w:pStyle w:val="Heading3"/>
                    <w:keepNext/>
                    <w:spacing w:line="200" w:lineRule="atLeast"/>
                    <w:jc w:val="right"/>
                    <w:rPr>
                      <w:b w:val="0"/>
                      <w:bCs w:val="0"/>
                    </w:rPr>
                  </w:pPr>
                  <w:bookmarkStart w:id="5" w:name="_Toc456784512"/>
                  <w:r>
                    <w:rPr>
                      <w:b w:val="0"/>
                      <w:bCs w:val="0"/>
                    </w:rPr>
                    <w:t>Vice President:</w:t>
                  </w:r>
                  <w:bookmarkEnd w:id="5"/>
                </w:p>
              </w:tc>
              <w:tc>
                <w:tcPr>
                  <w:tcW w:w="2503" w:type="pct"/>
                  <w:vAlign w:val="center"/>
                </w:tcPr>
                <w:p w14:paraId="1F0F396A" w14:textId="1CF60845" w:rsidR="00E03DE1" w:rsidRDefault="00B80007">
                  <w:pPr>
                    <w:pStyle w:val="Heading3"/>
                    <w:keepNext/>
                    <w:spacing w:line="200" w:lineRule="atLeast"/>
                    <w:rPr>
                      <w:b w:val="0"/>
                      <w:bCs w:val="0"/>
                    </w:rPr>
                  </w:pPr>
                  <w:bookmarkStart w:id="6" w:name="VP"/>
                  <w:bookmarkEnd w:id="6"/>
                  <w:r w:rsidRPr="00B80007">
                    <w:rPr>
                      <w:b w:val="0"/>
                      <w:bCs w:val="0"/>
                    </w:rPr>
                    <w:t>Victoria Kwakwa</w:t>
                  </w:r>
                </w:p>
              </w:tc>
            </w:tr>
            <w:tr w:rsidR="00E03DE1" w14:paraId="1BD337D5" w14:textId="77777777" w:rsidTr="002A12B8">
              <w:trPr>
                <w:tblCellSpacing w:w="15" w:type="dxa"/>
                <w:jc w:val="center"/>
              </w:trPr>
              <w:tc>
                <w:tcPr>
                  <w:tcW w:w="2444" w:type="pct"/>
                  <w:vAlign w:val="center"/>
                </w:tcPr>
                <w:p w14:paraId="5D5348AE" w14:textId="77777777" w:rsidR="00E03DE1" w:rsidRDefault="00E03DE1" w:rsidP="002A12B8">
                  <w:pPr>
                    <w:pStyle w:val="Heading3"/>
                    <w:keepNext/>
                    <w:spacing w:before="0" w:beforeAutospacing="0" w:line="276" w:lineRule="auto"/>
                    <w:jc w:val="right"/>
                    <w:rPr>
                      <w:b w:val="0"/>
                      <w:bCs w:val="0"/>
                    </w:rPr>
                  </w:pPr>
                  <w:bookmarkStart w:id="7" w:name="_Toc456784513"/>
                  <w:r>
                    <w:rPr>
                      <w:b w:val="0"/>
                      <w:bCs w:val="0"/>
                    </w:rPr>
                    <w:t>Country Director:</w:t>
                  </w:r>
                  <w:bookmarkEnd w:id="7"/>
                </w:p>
                <w:p w14:paraId="5BCC5F6C" w14:textId="5F182CE1" w:rsidR="002A12B8" w:rsidRDefault="002A12B8" w:rsidP="002A12B8">
                  <w:pPr>
                    <w:pStyle w:val="Heading3"/>
                    <w:keepNext/>
                    <w:spacing w:before="0" w:beforeAutospacing="0" w:line="276" w:lineRule="auto"/>
                    <w:jc w:val="right"/>
                    <w:rPr>
                      <w:b w:val="0"/>
                      <w:bCs w:val="0"/>
                    </w:rPr>
                  </w:pPr>
                  <w:r>
                    <w:rPr>
                      <w:b w:val="0"/>
                      <w:bCs w:val="0"/>
                    </w:rPr>
                    <w:t>Country Manager:</w:t>
                  </w:r>
                </w:p>
              </w:tc>
              <w:tc>
                <w:tcPr>
                  <w:tcW w:w="2503" w:type="pct"/>
                  <w:vAlign w:val="center"/>
                </w:tcPr>
                <w:p w14:paraId="03E56EE8" w14:textId="77777777" w:rsidR="002A12B8" w:rsidRDefault="005A4EF0" w:rsidP="002A12B8">
                  <w:pPr>
                    <w:pStyle w:val="Heading3"/>
                    <w:keepNext/>
                    <w:spacing w:before="0" w:beforeAutospacing="0" w:line="276" w:lineRule="auto"/>
                    <w:rPr>
                      <w:b w:val="0"/>
                      <w:bCs w:val="0"/>
                    </w:rPr>
                  </w:pPr>
                  <w:bookmarkStart w:id="8" w:name="CD"/>
                  <w:bookmarkEnd w:id="8"/>
                  <w:r>
                    <w:rPr>
                      <w:b w:val="0"/>
                      <w:bCs w:val="0"/>
                    </w:rPr>
                    <w:t>Bert Hofman</w:t>
                  </w:r>
                </w:p>
                <w:p w14:paraId="4A75949D" w14:textId="13DC6093" w:rsidR="002A12B8" w:rsidRDefault="002A12B8" w:rsidP="002A12B8">
                  <w:pPr>
                    <w:pStyle w:val="Heading3"/>
                    <w:keepNext/>
                    <w:spacing w:before="0" w:beforeAutospacing="0" w:line="276" w:lineRule="auto"/>
                    <w:rPr>
                      <w:b w:val="0"/>
                      <w:bCs w:val="0"/>
                    </w:rPr>
                  </w:pPr>
                  <w:r>
                    <w:rPr>
                      <w:b w:val="0"/>
                      <w:bCs w:val="0"/>
                    </w:rPr>
                    <w:t>James Anderson</w:t>
                  </w:r>
                </w:p>
              </w:tc>
            </w:tr>
            <w:tr w:rsidR="00E03DE1" w14:paraId="7D273746" w14:textId="77777777" w:rsidTr="002A12B8">
              <w:trPr>
                <w:tblCellSpacing w:w="15" w:type="dxa"/>
                <w:jc w:val="center"/>
              </w:trPr>
              <w:tc>
                <w:tcPr>
                  <w:tcW w:w="2444" w:type="pct"/>
                  <w:vAlign w:val="center"/>
                </w:tcPr>
                <w:p w14:paraId="1111B655" w14:textId="77777777" w:rsidR="00E03DE1" w:rsidRDefault="00E03DE1">
                  <w:pPr>
                    <w:pStyle w:val="Heading3"/>
                    <w:keepNext/>
                    <w:spacing w:line="200" w:lineRule="atLeast"/>
                    <w:jc w:val="right"/>
                    <w:rPr>
                      <w:b w:val="0"/>
                      <w:bCs w:val="0"/>
                    </w:rPr>
                  </w:pPr>
                  <w:bookmarkStart w:id="9" w:name="_Toc456784514"/>
                  <w:r>
                    <w:rPr>
                      <w:b w:val="0"/>
                      <w:bCs w:val="0"/>
                    </w:rPr>
                    <w:t>Sector Manager:</w:t>
                  </w:r>
                  <w:bookmarkEnd w:id="9"/>
                </w:p>
              </w:tc>
              <w:tc>
                <w:tcPr>
                  <w:tcW w:w="2503" w:type="pct"/>
                  <w:vAlign w:val="center"/>
                </w:tcPr>
                <w:p w14:paraId="6F8C8716" w14:textId="5C92FA47" w:rsidR="00E03DE1" w:rsidRDefault="00B80007">
                  <w:pPr>
                    <w:pStyle w:val="Heading3"/>
                    <w:keepNext/>
                    <w:spacing w:line="200" w:lineRule="atLeast"/>
                    <w:rPr>
                      <w:b w:val="0"/>
                      <w:bCs w:val="0"/>
                    </w:rPr>
                  </w:pPr>
                  <w:bookmarkStart w:id="10" w:name="SM"/>
                  <w:bookmarkEnd w:id="10"/>
                  <w:r w:rsidRPr="00B80007">
                    <w:rPr>
                      <w:b w:val="0"/>
                      <w:bCs w:val="0"/>
                    </w:rPr>
                    <w:t>James Seward</w:t>
                  </w:r>
                </w:p>
              </w:tc>
            </w:tr>
            <w:tr w:rsidR="00E03DE1" w14:paraId="2B92D2F6" w14:textId="77777777" w:rsidTr="002A12B8">
              <w:trPr>
                <w:tblCellSpacing w:w="15" w:type="dxa"/>
                <w:jc w:val="center"/>
              </w:trPr>
              <w:tc>
                <w:tcPr>
                  <w:tcW w:w="2444" w:type="pct"/>
                  <w:vAlign w:val="center"/>
                </w:tcPr>
                <w:p w14:paraId="64806200" w14:textId="11C58F40" w:rsidR="00E03DE1" w:rsidRDefault="00E03DE1">
                  <w:pPr>
                    <w:pStyle w:val="Heading3"/>
                    <w:keepNext/>
                    <w:spacing w:line="200" w:lineRule="atLeast"/>
                    <w:jc w:val="right"/>
                    <w:rPr>
                      <w:b w:val="0"/>
                      <w:bCs w:val="0"/>
                    </w:rPr>
                  </w:pPr>
                  <w:bookmarkStart w:id="11" w:name="_Toc456784515"/>
                  <w:r>
                    <w:rPr>
                      <w:b w:val="0"/>
                      <w:bCs w:val="0"/>
                    </w:rPr>
                    <w:t xml:space="preserve">Project </w:t>
                  </w:r>
                  <w:r w:rsidR="002A12B8">
                    <w:rPr>
                      <w:b w:val="0"/>
                      <w:bCs w:val="0"/>
                    </w:rPr>
                    <w:t xml:space="preserve">and ICR </w:t>
                  </w:r>
                  <w:r>
                    <w:rPr>
                      <w:b w:val="0"/>
                      <w:bCs w:val="0"/>
                    </w:rPr>
                    <w:t>Team Leader:</w:t>
                  </w:r>
                  <w:bookmarkEnd w:id="11"/>
                </w:p>
              </w:tc>
              <w:tc>
                <w:tcPr>
                  <w:tcW w:w="2503" w:type="pct"/>
                  <w:vAlign w:val="center"/>
                </w:tcPr>
                <w:p w14:paraId="2C3C97A8" w14:textId="0CB5F79C" w:rsidR="00E03DE1" w:rsidRDefault="00B80007">
                  <w:pPr>
                    <w:pStyle w:val="Heading3"/>
                    <w:keepNext/>
                    <w:spacing w:line="200" w:lineRule="atLeast"/>
                    <w:rPr>
                      <w:b w:val="0"/>
                      <w:bCs w:val="0"/>
                    </w:rPr>
                  </w:pPr>
                  <w:bookmarkStart w:id="12" w:name="PTL"/>
                  <w:bookmarkEnd w:id="12"/>
                  <w:r w:rsidRPr="00B80007">
                    <w:rPr>
                      <w:b w:val="0"/>
                      <w:bCs w:val="0"/>
                    </w:rPr>
                    <w:t>Stephane Forman</w:t>
                  </w:r>
                </w:p>
              </w:tc>
            </w:tr>
            <w:tr w:rsidR="002A12B8" w14:paraId="7EFC849A" w14:textId="77777777" w:rsidTr="002A12B8">
              <w:trPr>
                <w:tblCellSpacing w:w="15" w:type="dxa"/>
                <w:jc w:val="center"/>
              </w:trPr>
              <w:tc>
                <w:tcPr>
                  <w:tcW w:w="2444" w:type="pct"/>
                  <w:vAlign w:val="center"/>
                </w:tcPr>
                <w:p w14:paraId="3AB3F36C" w14:textId="41B7C860" w:rsidR="002A12B8" w:rsidRDefault="002A12B8">
                  <w:pPr>
                    <w:pStyle w:val="Heading3"/>
                    <w:keepNext/>
                    <w:spacing w:line="200" w:lineRule="atLeast"/>
                    <w:jc w:val="right"/>
                    <w:rPr>
                      <w:b w:val="0"/>
                      <w:bCs w:val="0"/>
                    </w:rPr>
                  </w:pPr>
                  <w:r>
                    <w:rPr>
                      <w:b w:val="0"/>
                      <w:bCs w:val="0"/>
                    </w:rPr>
                    <w:t>ICR authors:</w:t>
                  </w:r>
                </w:p>
              </w:tc>
              <w:tc>
                <w:tcPr>
                  <w:tcW w:w="2503" w:type="pct"/>
                  <w:vAlign w:val="center"/>
                </w:tcPr>
                <w:p w14:paraId="248E37B9" w14:textId="7FE8E6A4" w:rsidR="002A12B8" w:rsidRDefault="002A12B8">
                  <w:pPr>
                    <w:pStyle w:val="Heading3"/>
                    <w:keepNext/>
                    <w:spacing w:line="200" w:lineRule="atLeast"/>
                    <w:rPr>
                      <w:b w:val="0"/>
                      <w:bCs w:val="0"/>
                    </w:rPr>
                  </w:pPr>
                  <w:bookmarkStart w:id="13" w:name="ITL"/>
                  <w:bookmarkEnd w:id="13"/>
                  <w:r>
                    <w:rPr>
                      <w:b w:val="0"/>
                      <w:bCs w:val="0"/>
                    </w:rPr>
                    <w:t>Barry Patrick Maher and Ghada Elabed</w:t>
                  </w:r>
                </w:p>
              </w:tc>
            </w:tr>
          </w:tbl>
          <w:p w14:paraId="38780454" w14:textId="77777777" w:rsidR="00E03DE1" w:rsidRDefault="00E03DE1"/>
        </w:tc>
      </w:tr>
    </w:tbl>
    <w:p w14:paraId="2469E84A" w14:textId="77777777" w:rsidR="00E03DE1" w:rsidRDefault="00E03DE1" w:rsidP="005A4EF0">
      <w:pPr>
        <w:jc w:val="center"/>
        <w:rPr>
          <w:vanish/>
        </w:rPr>
      </w:pPr>
      <w:r>
        <w:rPr>
          <w:rFonts w:eastAsia="Times New Roman"/>
          <w:lang w:eastAsia="en-US"/>
        </w:rPr>
        <w:br w:type="page"/>
      </w:r>
    </w:p>
    <w:p w14:paraId="51BB75AD" w14:textId="77777777" w:rsidR="00F745CE" w:rsidRPr="00F92093" w:rsidRDefault="00F745CE" w:rsidP="005A4EF0">
      <w:pPr>
        <w:tabs>
          <w:tab w:val="left" w:pos="5507"/>
        </w:tabs>
        <w:autoSpaceDE w:val="0"/>
        <w:autoSpaceDN w:val="0"/>
        <w:adjustRightInd w:val="0"/>
        <w:jc w:val="center"/>
        <w:rPr>
          <w:b/>
          <w:iCs/>
          <w:color w:val="000000"/>
          <w:lang w:eastAsia="en-US"/>
        </w:rPr>
      </w:pPr>
      <w:r w:rsidRPr="00F92093">
        <w:rPr>
          <w:b/>
          <w:iCs/>
          <w:color w:val="000000"/>
          <w:lang w:eastAsia="en-US"/>
        </w:rPr>
        <w:lastRenderedPageBreak/>
        <w:t>MONOLIA</w:t>
      </w:r>
    </w:p>
    <w:p w14:paraId="1F9E52DA" w14:textId="0FE5EC08" w:rsidR="00F745CE" w:rsidRDefault="005A4EF0" w:rsidP="00F92093">
      <w:pPr>
        <w:tabs>
          <w:tab w:val="left" w:pos="5507"/>
        </w:tabs>
        <w:autoSpaceDE w:val="0"/>
        <w:autoSpaceDN w:val="0"/>
        <w:adjustRightInd w:val="0"/>
        <w:jc w:val="center"/>
        <w:rPr>
          <w:b/>
          <w:iCs/>
          <w:color w:val="000000"/>
          <w:lang w:eastAsia="en-US"/>
        </w:rPr>
      </w:pPr>
      <w:r>
        <w:rPr>
          <w:b/>
          <w:iCs/>
          <w:color w:val="000000"/>
          <w:lang w:eastAsia="en-US"/>
        </w:rPr>
        <w:t>INDEX</w:t>
      </w:r>
      <w:r w:rsidR="00F745CE" w:rsidRPr="00F92093">
        <w:rPr>
          <w:b/>
          <w:iCs/>
          <w:color w:val="000000"/>
          <w:lang w:eastAsia="en-US"/>
        </w:rPr>
        <w:t>-BASED LIVESTOCK INSURANCE PROJECT</w:t>
      </w:r>
    </w:p>
    <w:p w14:paraId="42DBE4C4" w14:textId="77777777" w:rsidR="00F745CE" w:rsidRDefault="00F745CE" w:rsidP="00F92093">
      <w:pPr>
        <w:tabs>
          <w:tab w:val="left" w:pos="5507"/>
        </w:tabs>
        <w:autoSpaceDE w:val="0"/>
        <w:autoSpaceDN w:val="0"/>
        <w:adjustRightInd w:val="0"/>
        <w:jc w:val="center"/>
        <w:rPr>
          <w:b/>
          <w:iCs/>
          <w:color w:val="000000"/>
          <w:lang w:eastAsia="en-US"/>
        </w:rPr>
      </w:pPr>
    </w:p>
    <w:p w14:paraId="3D87741F" w14:textId="4E61BF98" w:rsidR="00F745CE" w:rsidRPr="00F92093" w:rsidRDefault="00F745CE" w:rsidP="00F92093">
      <w:pPr>
        <w:tabs>
          <w:tab w:val="left" w:pos="5507"/>
        </w:tabs>
        <w:autoSpaceDE w:val="0"/>
        <w:autoSpaceDN w:val="0"/>
        <w:adjustRightInd w:val="0"/>
        <w:jc w:val="center"/>
        <w:rPr>
          <w:b/>
          <w:iCs/>
          <w:color w:val="000000"/>
          <w:lang w:eastAsia="en-US"/>
        </w:rPr>
      </w:pPr>
      <w:r>
        <w:rPr>
          <w:b/>
          <w:iCs/>
          <w:color w:val="000000"/>
          <w:lang w:eastAsia="en-US"/>
        </w:rPr>
        <w:t>TABLE OF CONTENTS</w:t>
      </w:r>
    </w:p>
    <w:tbl>
      <w:tblPr>
        <w:tblW w:w="5012" w:type="pct"/>
        <w:tblCellSpacing w:w="0" w:type="dxa"/>
        <w:tblCellMar>
          <w:left w:w="0" w:type="dxa"/>
          <w:right w:w="0" w:type="dxa"/>
        </w:tblCellMar>
        <w:tblLook w:val="0000" w:firstRow="0" w:lastRow="0" w:firstColumn="0" w:lastColumn="0" w:noHBand="0" w:noVBand="0"/>
      </w:tblPr>
      <w:tblGrid>
        <w:gridCol w:w="8640"/>
        <w:gridCol w:w="21"/>
      </w:tblGrid>
      <w:tr w:rsidR="00E03DE1" w:rsidRPr="00E7533E" w14:paraId="664B6333" w14:textId="77777777" w:rsidTr="005F7097">
        <w:trPr>
          <w:gridAfter w:val="1"/>
          <w:wAfter w:w="12" w:type="pct"/>
          <w:tblCellSpacing w:w="0" w:type="dxa"/>
        </w:trPr>
        <w:tc>
          <w:tcPr>
            <w:tcW w:w="4988" w:type="pct"/>
            <w:vAlign w:val="center"/>
          </w:tcPr>
          <w:p w14:paraId="19AB93A2" w14:textId="77777777" w:rsidR="00E03DE1" w:rsidRPr="00E7533E" w:rsidRDefault="00E03DE1" w:rsidP="00E7533E">
            <w:pPr>
              <w:jc w:val="center"/>
            </w:pPr>
          </w:p>
        </w:tc>
      </w:tr>
      <w:tr w:rsidR="00E03DE1" w14:paraId="0F21E788" w14:textId="77777777" w:rsidTr="005F7097">
        <w:trPr>
          <w:trHeight w:val="7740"/>
          <w:tblCellSpacing w:w="0" w:type="dxa"/>
        </w:trPr>
        <w:tc>
          <w:tcPr>
            <w:tcW w:w="4988" w:type="pct"/>
            <w:vAlign w:val="center"/>
          </w:tcPr>
          <w:tbl>
            <w:tblPr>
              <w:tblW w:w="5000" w:type="pct"/>
              <w:jc w:val="center"/>
              <w:tblCellMar>
                <w:top w:w="10" w:type="dxa"/>
                <w:left w:w="10" w:type="dxa"/>
                <w:bottom w:w="10" w:type="dxa"/>
                <w:right w:w="10" w:type="dxa"/>
              </w:tblCellMar>
              <w:tblLook w:val="0000" w:firstRow="0" w:lastRow="0" w:firstColumn="0" w:lastColumn="0" w:noHBand="0" w:noVBand="0"/>
            </w:tblPr>
            <w:tblGrid>
              <w:gridCol w:w="8640"/>
            </w:tblGrid>
            <w:tr w:rsidR="00E7533E" w:rsidRPr="00D23531" w14:paraId="546B5318" w14:textId="77777777" w:rsidTr="00E7533E">
              <w:trPr>
                <w:jc w:val="center"/>
              </w:trPr>
              <w:tc>
                <w:tcPr>
                  <w:tcW w:w="0" w:type="auto"/>
                  <w:tcBorders>
                    <w:top w:val="nil"/>
                    <w:left w:val="nil"/>
                    <w:bottom w:val="nil"/>
                    <w:right w:val="nil"/>
                  </w:tcBorders>
                  <w:vAlign w:val="center"/>
                </w:tcPr>
                <w:p w14:paraId="752981F4" w14:textId="77777777" w:rsidR="00E7533E" w:rsidRPr="00D23531" w:rsidRDefault="00E7533E" w:rsidP="00E7533E">
                  <w:pPr>
                    <w:rPr>
                      <w:color w:val="0000FF"/>
                      <w:sz w:val="22"/>
                      <w:szCs w:val="22"/>
                    </w:rPr>
                  </w:pPr>
                  <w:r w:rsidRPr="00D23531">
                    <w:rPr>
                      <w:color w:val="0000FF"/>
                      <w:sz w:val="22"/>
                      <w:szCs w:val="22"/>
                    </w:rPr>
                    <w:t>Data Sheet</w:t>
                  </w:r>
                </w:p>
              </w:tc>
            </w:tr>
            <w:tr w:rsidR="00E7533E" w14:paraId="5242583E" w14:textId="77777777" w:rsidTr="00E7533E">
              <w:trPr>
                <w:jc w:val="center"/>
              </w:trPr>
              <w:tc>
                <w:tcPr>
                  <w:tcW w:w="0" w:type="auto"/>
                  <w:tcBorders>
                    <w:top w:val="nil"/>
                    <w:left w:val="nil"/>
                    <w:bottom w:val="nil"/>
                    <w:right w:val="nil"/>
                  </w:tcBorders>
                  <w:vAlign w:val="center"/>
                </w:tcPr>
                <w:p w14:paraId="345F9776"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A. Basic Information</w:t>
                  </w:r>
                </w:p>
              </w:tc>
            </w:tr>
            <w:tr w:rsidR="00E7533E" w14:paraId="74872DB6" w14:textId="77777777" w:rsidTr="00E7533E">
              <w:trPr>
                <w:jc w:val="center"/>
              </w:trPr>
              <w:tc>
                <w:tcPr>
                  <w:tcW w:w="0" w:type="auto"/>
                  <w:tcBorders>
                    <w:top w:val="nil"/>
                    <w:left w:val="nil"/>
                    <w:bottom w:val="nil"/>
                    <w:right w:val="nil"/>
                  </w:tcBorders>
                  <w:vAlign w:val="center"/>
                </w:tcPr>
                <w:p w14:paraId="56401C36"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B. Key Dates</w:t>
                  </w:r>
                </w:p>
              </w:tc>
            </w:tr>
            <w:tr w:rsidR="00E7533E" w14:paraId="51A4D116" w14:textId="77777777" w:rsidTr="00E7533E">
              <w:trPr>
                <w:jc w:val="center"/>
              </w:trPr>
              <w:tc>
                <w:tcPr>
                  <w:tcW w:w="0" w:type="auto"/>
                  <w:tcBorders>
                    <w:top w:val="nil"/>
                    <w:left w:val="nil"/>
                    <w:bottom w:val="nil"/>
                    <w:right w:val="nil"/>
                  </w:tcBorders>
                  <w:vAlign w:val="center"/>
                </w:tcPr>
                <w:p w14:paraId="00F1A71E"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C. Ratings Summary</w:t>
                  </w:r>
                </w:p>
              </w:tc>
            </w:tr>
            <w:tr w:rsidR="00E7533E" w14:paraId="0D3A72A6" w14:textId="77777777" w:rsidTr="00E7533E">
              <w:trPr>
                <w:jc w:val="center"/>
              </w:trPr>
              <w:tc>
                <w:tcPr>
                  <w:tcW w:w="0" w:type="auto"/>
                  <w:tcBorders>
                    <w:top w:val="nil"/>
                    <w:left w:val="nil"/>
                    <w:bottom w:val="nil"/>
                    <w:right w:val="nil"/>
                  </w:tcBorders>
                  <w:vAlign w:val="center"/>
                </w:tcPr>
                <w:p w14:paraId="3AF612C2"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D. Sector and Theme Codes</w:t>
                  </w:r>
                </w:p>
              </w:tc>
            </w:tr>
            <w:tr w:rsidR="00E7533E" w14:paraId="2209FAD5" w14:textId="77777777" w:rsidTr="00E7533E">
              <w:trPr>
                <w:jc w:val="center"/>
              </w:trPr>
              <w:tc>
                <w:tcPr>
                  <w:tcW w:w="0" w:type="auto"/>
                  <w:tcBorders>
                    <w:top w:val="nil"/>
                    <w:left w:val="nil"/>
                    <w:bottom w:val="nil"/>
                    <w:right w:val="nil"/>
                  </w:tcBorders>
                  <w:vAlign w:val="center"/>
                </w:tcPr>
                <w:p w14:paraId="164CF970"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E. Bank Staff</w:t>
                  </w:r>
                </w:p>
              </w:tc>
            </w:tr>
            <w:tr w:rsidR="00E7533E" w14:paraId="388044BF" w14:textId="77777777" w:rsidTr="00E7533E">
              <w:trPr>
                <w:jc w:val="center"/>
              </w:trPr>
              <w:tc>
                <w:tcPr>
                  <w:tcW w:w="0" w:type="auto"/>
                  <w:tcBorders>
                    <w:top w:val="nil"/>
                    <w:left w:val="nil"/>
                    <w:bottom w:val="nil"/>
                    <w:right w:val="nil"/>
                  </w:tcBorders>
                  <w:vAlign w:val="center"/>
                </w:tcPr>
                <w:p w14:paraId="73E8793E"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F. Results Framework Analysis</w:t>
                  </w:r>
                </w:p>
              </w:tc>
            </w:tr>
            <w:tr w:rsidR="00E7533E" w14:paraId="6BCC5E54" w14:textId="77777777" w:rsidTr="00E7533E">
              <w:trPr>
                <w:jc w:val="center"/>
              </w:trPr>
              <w:tc>
                <w:tcPr>
                  <w:tcW w:w="0" w:type="auto"/>
                  <w:tcBorders>
                    <w:top w:val="nil"/>
                    <w:left w:val="nil"/>
                    <w:bottom w:val="nil"/>
                    <w:right w:val="nil"/>
                  </w:tcBorders>
                  <w:vAlign w:val="center"/>
                </w:tcPr>
                <w:p w14:paraId="2BDA2BBB"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G. Ratings of Project Performance in ISRs</w:t>
                  </w:r>
                </w:p>
              </w:tc>
            </w:tr>
            <w:tr w:rsidR="00E7533E" w14:paraId="619D29C0" w14:textId="77777777" w:rsidTr="00E7533E">
              <w:trPr>
                <w:jc w:val="center"/>
              </w:trPr>
              <w:tc>
                <w:tcPr>
                  <w:tcW w:w="0" w:type="auto"/>
                  <w:tcBorders>
                    <w:top w:val="nil"/>
                    <w:left w:val="nil"/>
                    <w:bottom w:val="nil"/>
                    <w:right w:val="nil"/>
                  </w:tcBorders>
                  <w:vAlign w:val="center"/>
                </w:tcPr>
                <w:p w14:paraId="1A4B9B9A" w14:textId="77777777" w:rsidR="00E7533E" w:rsidRDefault="00E7533E" w:rsidP="00E7533E">
                  <w:pPr>
                    <w:tabs>
                      <w:tab w:val="left" w:pos="380"/>
                    </w:tabs>
                    <w:rPr>
                      <w:color w:val="000000"/>
                      <w:sz w:val="22"/>
                      <w:szCs w:val="22"/>
                    </w:rPr>
                  </w:pPr>
                  <w:r>
                    <w:rPr>
                      <w:color w:val="000000"/>
                      <w:sz w:val="22"/>
                      <w:szCs w:val="22"/>
                    </w:rPr>
                    <w:tab/>
                  </w:r>
                  <w:r w:rsidRPr="00772F11">
                    <w:rPr>
                      <w:color w:val="000000"/>
                      <w:sz w:val="22"/>
                      <w:szCs w:val="22"/>
                    </w:rPr>
                    <w:t xml:space="preserve">H. Restructuring </w:t>
                  </w:r>
                </w:p>
              </w:tc>
            </w:tr>
            <w:tr w:rsidR="00C67D43" w14:paraId="6D439B76" w14:textId="77777777" w:rsidTr="00E7533E">
              <w:trPr>
                <w:jc w:val="center"/>
              </w:trPr>
              <w:tc>
                <w:tcPr>
                  <w:tcW w:w="0" w:type="auto"/>
                  <w:tcBorders>
                    <w:top w:val="nil"/>
                    <w:left w:val="nil"/>
                    <w:bottom w:val="nil"/>
                    <w:right w:val="nil"/>
                  </w:tcBorders>
                  <w:vAlign w:val="center"/>
                </w:tcPr>
                <w:p w14:paraId="65579D8A" w14:textId="77777777" w:rsidR="00C67D43" w:rsidRPr="00C67D43" w:rsidRDefault="00E07BAC" w:rsidP="00E7533E">
                  <w:pPr>
                    <w:tabs>
                      <w:tab w:val="left" w:pos="380"/>
                    </w:tabs>
                    <w:rPr>
                      <w:color w:val="0000FF"/>
                      <w:sz w:val="22"/>
                      <w:szCs w:val="22"/>
                    </w:rPr>
                  </w:pPr>
                  <w:r>
                    <w:rPr>
                      <w:color w:val="000000"/>
                      <w:sz w:val="22"/>
                      <w:szCs w:val="22"/>
                    </w:rPr>
                    <w:tab/>
                  </w:r>
                  <w:r w:rsidR="00C67D43" w:rsidRPr="005A4EF0">
                    <w:rPr>
                      <w:sz w:val="22"/>
                      <w:szCs w:val="22"/>
                    </w:rPr>
                    <w:t>I.  Disbursement Graph</w:t>
                  </w:r>
                </w:p>
              </w:tc>
            </w:tr>
          </w:tbl>
          <w:sdt>
            <w:sdtPr>
              <w:rPr>
                <w:rFonts w:ascii="Times New Roman" w:eastAsia="MS Mincho" w:hAnsi="Times New Roman" w:cs="Times New Roman"/>
                <w:color w:val="auto"/>
                <w:sz w:val="24"/>
                <w:szCs w:val="24"/>
                <w:lang w:eastAsia="ja-JP"/>
              </w:rPr>
              <w:id w:val="962078894"/>
              <w:docPartObj>
                <w:docPartGallery w:val="Table of Contents"/>
                <w:docPartUnique/>
              </w:docPartObj>
            </w:sdtPr>
            <w:sdtEndPr>
              <w:rPr>
                <w:b/>
                <w:bCs/>
                <w:noProof/>
              </w:rPr>
            </w:sdtEndPr>
            <w:sdtContent>
              <w:p w14:paraId="0FC5B7D5" w14:textId="6A9C6D0C" w:rsidR="008523E1" w:rsidRPr="00BA1CAE" w:rsidRDefault="006F16D4" w:rsidP="00BA1CAE">
                <w:pPr>
                  <w:pStyle w:val="TOCHeading"/>
                  <w:rPr>
                    <w:noProof/>
                  </w:rPr>
                </w:pPr>
                <w:r>
                  <w:t>Contents</w:t>
                </w:r>
                <w:r>
                  <w:fldChar w:fldCharType="begin"/>
                </w:r>
                <w:r>
                  <w:instrText xml:space="preserve"> TOC \o "1-3" \h \z \u </w:instrText>
                </w:r>
                <w:r>
                  <w:fldChar w:fldCharType="separate"/>
                </w:r>
              </w:p>
              <w:p w14:paraId="2F2A247F" w14:textId="77777777" w:rsidR="008523E1" w:rsidRDefault="00601B66">
                <w:pPr>
                  <w:pStyle w:val="TOC2"/>
                  <w:rPr>
                    <w:rFonts w:asciiTheme="minorHAnsi" w:eastAsiaTheme="minorEastAsia" w:hAnsiTheme="minorHAnsi" w:cstheme="minorBidi"/>
                    <w:noProof/>
                    <w:sz w:val="22"/>
                    <w:szCs w:val="22"/>
                    <w:lang w:eastAsia="en-US"/>
                  </w:rPr>
                </w:pPr>
                <w:hyperlink w:anchor="_Toc456784517" w:history="1">
                  <w:r w:rsidR="008523E1" w:rsidRPr="0095457E">
                    <w:rPr>
                      <w:rStyle w:val="Hyperlink"/>
                      <w:noProof/>
                    </w:rPr>
                    <w:t>1. Project Context, Development Objectives and Design</w:t>
                  </w:r>
                  <w:r w:rsidR="008523E1">
                    <w:rPr>
                      <w:noProof/>
                      <w:webHidden/>
                    </w:rPr>
                    <w:tab/>
                  </w:r>
                  <w:r w:rsidR="008523E1">
                    <w:rPr>
                      <w:noProof/>
                      <w:webHidden/>
                    </w:rPr>
                    <w:fldChar w:fldCharType="begin"/>
                  </w:r>
                  <w:r w:rsidR="008523E1">
                    <w:rPr>
                      <w:noProof/>
                      <w:webHidden/>
                    </w:rPr>
                    <w:instrText xml:space="preserve"> PAGEREF _Toc456784517 \h </w:instrText>
                  </w:r>
                  <w:r w:rsidR="008523E1">
                    <w:rPr>
                      <w:noProof/>
                      <w:webHidden/>
                    </w:rPr>
                  </w:r>
                  <w:r w:rsidR="008523E1">
                    <w:rPr>
                      <w:noProof/>
                      <w:webHidden/>
                    </w:rPr>
                    <w:fldChar w:fldCharType="separate"/>
                  </w:r>
                  <w:r w:rsidR="00D41562">
                    <w:rPr>
                      <w:noProof/>
                      <w:webHidden/>
                    </w:rPr>
                    <w:t>1</w:t>
                  </w:r>
                  <w:r w:rsidR="008523E1">
                    <w:rPr>
                      <w:noProof/>
                      <w:webHidden/>
                    </w:rPr>
                    <w:fldChar w:fldCharType="end"/>
                  </w:r>
                </w:hyperlink>
              </w:p>
              <w:p w14:paraId="59ACF33E" w14:textId="16D682C3" w:rsidR="008523E1" w:rsidRDefault="00601B66">
                <w:pPr>
                  <w:pStyle w:val="TOC2"/>
                  <w:rPr>
                    <w:rFonts w:asciiTheme="minorHAnsi" w:eastAsiaTheme="minorEastAsia" w:hAnsiTheme="minorHAnsi" w:cstheme="minorBidi"/>
                    <w:noProof/>
                    <w:sz w:val="22"/>
                    <w:szCs w:val="22"/>
                    <w:lang w:eastAsia="en-US"/>
                  </w:rPr>
                </w:pPr>
                <w:hyperlink w:anchor="_Toc456784525" w:history="1">
                  <w:r w:rsidR="008523E1" w:rsidRPr="0095457E">
                    <w:rPr>
                      <w:rStyle w:val="Hyperlink"/>
                      <w:noProof/>
                    </w:rPr>
                    <w:t>2. Key Factors Affecting Implementation and Outcomes</w:t>
                  </w:r>
                  <w:r w:rsidR="008523E1">
                    <w:rPr>
                      <w:noProof/>
                      <w:webHidden/>
                    </w:rPr>
                    <w:tab/>
                  </w:r>
                  <w:r w:rsidR="008523E1">
                    <w:rPr>
                      <w:noProof/>
                      <w:webHidden/>
                    </w:rPr>
                    <w:fldChar w:fldCharType="begin"/>
                  </w:r>
                  <w:r w:rsidR="008523E1">
                    <w:rPr>
                      <w:noProof/>
                      <w:webHidden/>
                    </w:rPr>
                    <w:instrText xml:space="preserve"> PAGEREF _Toc456784525 \h </w:instrText>
                  </w:r>
                  <w:r w:rsidR="008523E1">
                    <w:rPr>
                      <w:noProof/>
                      <w:webHidden/>
                    </w:rPr>
                  </w:r>
                  <w:r w:rsidR="008523E1">
                    <w:rPr>
                      <w:noProof/>
                      <w:webHidden/>
                    </w:rPr>
                    <w:fldChar w:fldCharType="separate"/>
                  </w:r>
                  <w:r w:rsidR="00D41562">
                    <w:rPr>
                      <w:noProof/>
                      <w:webHidden/>
                    </w:rPr>
                    <w:t>9</w:t>
                  </w:r>
                  <w:r w:rsidR="008523E1">
                    <w:rPr>
                      <w:noProof/>
                      <w:webHidden/>
                    </w:rPr>
                    <w:fldChar w:fldCharType="end"/>
                  </w:r>
                </w:hyperlink>
              </w:p>
              <w:p w14:paraId="0C0442AE" w14:textId="77777777" w:rsidR="008523E1" w:rsidRDefault="00601B66">
                <w:pPr>
                  <w:pStyle w:val="TOC2"/>
                  <w:rPr>
                    <w:rFonts w:asciiTheme="minorHAnsi" w:eastAsiaTheme="minorEastAsia" w:hAnsiTheme="minorHAnsi" w:cstheme="minorBidi"/>
                    <w:noProof/>
                    <w:sz w:val="22"/>
                    <w:szCs w:val="22"/>
                    <w:lang w:eastAsia="en-US"/>
                  </w:rPr>
                </w:pPr>
                <w:hyperlink w:anchor="_Toc456784531" w:history="1">
                  <w:r w:rsidR="008523E1" w:rsidRPr="0095457E">
                    <w:rPr>
                      <w:rStyle w:val="Hyperlink"/>
                      <w:noProof/>
                    </w:rPr>
                    <w:t>3. Assessment of Outcomes</w:t>
                  </w:r>
                  <w:r w:rsidR="008523E1">
                    <w:rPr>
                      <w:noProof/>
                      <w:webHidden/>
                    </w:rPr>
                    <w:tab/>
                  </w:r>
                  <w:r w:rsidR="008523E1">
                    <w:rPr>
                      <w:noProof/>
                      <w:webHidden/>
                    </w:rPr>
                    <w:fldChar w:fldCharType="begin"/>
                  </w:r>
                  <w:r w:rsidR="008523E1">
                    <w:rPr>
                      <w:noProof/>
                      <w:webHidden/>
                    </w:rPr>
                    <w:instrText xml:space="preserve"> PAGEREF _Toc456784531 \h </w:instrText>
                  </w:r>
                  <w:r w:rsidR="008523E1">
                    <w:rPr>
                      <w:noProof/>
                      <w:webHidden/>
                    </w:rPr>
                  </w:r>
                  <w:r w:rsidR="008523E1">
                    <w:rPr>
                      <w:noProof/>
                      <w:webHidden/>
                    </w:rPr>
                    <w:fldChar w:fldCharType="separate"/>
                  </w:r>
                  <w:r w:rsidR="00D41562">
                    <w:rPr>
                      <w:noProof/>
                      <w:webHidden/>
                    </w:rPr>
                    <w:t>18</w:t>
                  </w:r>
                  <w:r w:rsidR="008523E1">
                    <w:rPr>
                      <w:noProof/>
                      <w:webHidden/>
                    </w:rPr>
                    <w:fldChar w:fldCharType="end"/>
                  </w:r>
                </w:hyperlink>
              </w:p>
              <w:p w14:paraId="117D3265" w14:textId="4BE63D9E" w:rsidR="008523E1" w:rsidRDefault="00601B66">
                <w:pPr>
                  <w:pStyle w:val="TOC2"/>
                  <w:rPr>
                    <w:rFonts w:asciiTheme="minorHAnsi" w:eastAsiaTheme="minorEastAsia" w:hAnsiTheme="minorHAnsi" w:cstheme="minorBidi"/>
                    <w:noProof/>
                    <w:sz w:val="22"/>
                    <w:szCs w:val="22"/>
                    <w:lang w:eastAsia="en-US"/>
                  </w:rPr>
                </w:pPr>
                <w:hyperlink w:anchor="_Toc456784537" w:history="1">
                  <w:r w:rsidR="008523E1" w:rsidRPr="0095457E">
                    <w:rPr>
                      <w:rStyle w:val="Hyperlink"/>
                      <w:noProof/>
                    </w:rPr>
                    <w:t>4. Assessment of Risk to Development Outcome</w:t>
                  </w:r>
                  <w:r w:rsidR="008523E1">
                    <w:rPr>
                      <w:noProof/>
                      <w:webHidden/>
                    </w:rPr>
                    <w:tab/>
                  </w:r>
                  <w:r w:rsidR="008523E1">
                    <w:rPr>
                      <w:noProof/>
                      <w:webHidden/>
                    </w:rPr>
                    <w:fldChar w:fldCharType="begin"/>
                  </w:r>
                  <w:r w:rsidR="008523E1">
                    <w:rPr>
                      <w:noProof/>
                      <w:webHidden/>
                    </w:rPr>
                    <w:instrText xml:space="preserve"> PAGEREF _Toc456784537 \h </w:instrText>
                  </w:r>
                  <w:r w:rsidR="008523E1">
                    <w:rPr>
                      <w:noProof/>
                      <w:webHidden/>
                    </w:rPr>
                  </w:r>
                  <w:r w:rsidR="008523E1">
                    <w:rPr>
                      <w:noProof/>
                      <w:webHidden/>
                    </w:rPr>
                    <w:fldChar w:fldCharType="separate"/>
                  </w:r>
                  <w:r w:rsidR="00D41562">
                    <w:rPr>
                      <w:noProof/>
                      <w:webHidden/>
                    </w:rPr>
                    <w:t>2</w:t>
                  </w:r>
                  <w:r w:rsidR="008523E1">
                    <w:rPr>
                      <w:noProof/>
                      <w:webHidden/>
                    </w:rPr>
                    <w:fldChar w:fldCharType="end"/>
                  </w:r>
                </w:hyperlink>
                <w:r w:rsidR="00BE7936">
                  <w:rPr>
                    <w:noProof/>
                  </w:rPr>
                  <w:t>9</w:t>
                </w:r>
              </w:p>
              <w:p w14:paraId="0B0309D6" w14:textId="77BB56C5" w:rsidR="008523E1" w:rsidRDefault="00601B66">
                <w:pPr>
                  <w:pStyle w:val="TOC2"/>
                  <w:rPr>
                    <w:rFonts w:asciiTheme="minorHAnsi" w:eastAsiaTheme="minorEastAsia" w:hAnsiTheme="minorHAnsi" w:cstheme="minorBidi"/>
                    <w:noProof/>
                    <w:sz w:val="22"/>
                    <w:szCs w:val="22"/>
                    <w:lang w:eastAsia="en-US"/>
                  </w:rPr>
                </w:pPr>
                <w:hyperlink w:anchor="_Toc456784538" w:history="1">
                  <w:r w:rsidR="008523E1" w:rsidRPr="0095457E">
                    <w:rPr>
                      <w:rStyle w:val="Hyperlink"/>
                      <w:noProof/>
                    </w:rPr>
                    <w:t>5. Assessment of Bank and Borrower Performance</w:t>
                  </w:r>
                  <w:r w:rsidR="008523E1">
                    <w:rPr>
                      <w:noProof/>
                      <w:webHidden/>
                    </w:rPr>
                    <w:tab/>
                  </w:r>
                </w:hyperlink>
                <w:r w:rsidR="00BE7936">
                  <w:rPr>
                    <w:noProof/>
                  </w:rPr>
                  <w:t>30</w:t>
                </w:r>
              </w:p>
              <w:p w14:paraId="36433E99" w14:textId="30A71A60" w:rsidR="008523E1" w:rsidRDefault="00601B66">
                <w:pPr>
                  <w:pStyle w:val="TOC2"/>
                  <w:rPr>
                    <w:rFonts w:asciiTheme="minorHAnsi" w:eastAsiaTheme="minorEastAsia" w:hAnsiTheme="minorHAnsi" w:cstheme="minorBidi"/>
                    <w:noProof/>
                    <w:sz w:val="22"/>
                    <w:szCs w:val="22"/>
                    <w:lang w:eastAsia="en-US"/>
                  </w:rPr>
                </w:pPr>
                <w:hyperlink w:anchor="_Toc456784541" w:history="1">
                  <w:r w:rsidR="008523E1" w:rsidRPr="0095457E">
                    <w:rPr>
                      <w:rStyle w:val="Hyperlink"/>
                      <w:noProof/>
                    </w:rPr>
                    <w:t>6. Lessons Learned</w:t>
                  </w:r>
                  <w:r w:rsidR="008523E1">
                    <w:rPr>
                      <w:noProof/>
                      <w:webHidden/>
                    </w:rPr>
                    <w:tab/>
                  </w:r>
                  <w:r w:rsidR="008523E1">
                    <w:rPr>
                      <w:noProof/>
                      <w:webHidden/>
                    </w:rPr>
                    <w:fldChar w:fldCharType="begin"/>
                  </w:r>
                  <w:r w:rsidR="008523E1">
                    <w:rPr>
                      <w:noProof/>
                      <w:webHidden/>
                    </w:rPr>
                    <w:instrText xml:space="preserve"> PAGEREF _Toc456784541 \h </w:instrText>
                  </w:r>
                  <w:r w:rsidR="008523E1">
                    <w:rPr>
                      <w:noProof/>
                      <w:webHidden/>
                    </w:rPr>
                  </w:r>
                  <w:r w:rsidR="008523E1">
                    <w:rPr>
                      <w:noProof/>
                      <w:webHidden/>
                    </w:rPr>
                    <w:fldChar w:fldCharType="separate"/>
                  </w:r>
                  <w:r w:rsidR="00D41562">
                    <w:rPr>
                      <w:noProof/>
                      <w:webHidden/>
                    </w:rPr>
                    <w:t>3</w:t>
                  </w:r>
                  <w:r w:rsidR="008523E1">
                    <w:rPr>
                      <w:noProof/>
                      <w:webHidden/>
                    </w:rPr>
                    <w:fldChar w:fldCharType="end"/>
                  </w:r>
                </w:hyperlink>
                <w:r w:rsidR="00BE7936">
                  <w:rPr>
                    <w:noProof/>
                  </w:rPr>
                  <w:t>2</w:t>
                </w:r>
              </w:p>
              <w:p w14:paraId="470467BE" w14:textId="77777777" w:rsidR="008523E1" w:rsidRDefault="00601B66">
                <w:pPr>
                  <w:pStyle w:val="TOC2"/>
                  <w:rPr>
                    <w:rFonts w:asciiTheme="minorHAnsi" w:eastAsiaTheme="minorEastAsia" w:hAnsiTheme="minorHAnsi" w:cstheme="minorBidi"/>
                    <w:noProof/>
                    <w:sz w:val="22"/>
                    <w:szCs w:val="22"/>
                    <w:lang w:eastAsia="en-US"/>
                  </w:rPr>
                </w:pPr>
                <w:hyperlink w:anchor="_Toc456784543" w:history="1">
                  <w:r w:rsidR="008523E1" w:rsidRPr="0095457E">
                    <w:rPr>
                      <w:rStyle w:val="Hyperlink"/>
                      <w:noProof/>
                    </w:rPr>
                    <w:t>Annex 1. Project Costs and Financing</w:t>
                  </w:r>
                  <w:r w:rsidR="008523E1">
                    <w:rPr>
                      <w:noProof/>
                      <w:webHidden/>
                    </w:rPr>
                    <w:tab/>
                  </w:r>
                  <w:r w:rsidR="008523E1">
                    <w:rPr>
                      <w:noProof/>
                      <w:webHidden/>
                    </w:rPr>
                    <w:fldChar w:fldCharType="begin"/>
                  </w:r>
                  <w:r w:rsidR="008523E1">
                    <w:rPr>
                      <w:noProof/>
                      <w:webHidden/>
                    </w:rPr>
                    <w:instrText xml:space="preserve"> PAGEREF _Toc456784543 \h </w:instrText>
                  </w:r>
                  <w:r w:rsidR="008523E1">
                    <w:rPr>
                      <w:noProof/>
                      <w:webHidden/>
                    </w:rPr>
                  </w:r>
                  <w:r w:rsidR="008523E1">
                    <w:rPr>
                      <w:noProof/>
                      <w:webHidden/>
                    </w:rPr>
                    <w:fldChar w:fldCharType="separate"/>
                  </w:r>
                  <w:r w:rsidR="00D41562">
                    <w:rPr>
                      <w:noProof/>
                      <w:webHidden/>
                    </w:rPr>
                    <w:t>35</w:t>
                  </w:r>
                  <w:r w:rsidR="008523E1">
                    <w:rPr>
                      <w:noProof/>
                      <w:webHidden/>
                    </w:rPr>
                    <w:fldChar w:fldCharType="end"/>
                  </w:r>
                </w:hyperlink>
              </w:p>
              <w:p w14:paraId="6DD4F362" w14:textId="26D8B747" w:rsidR="008523E1" w:rsidRDefault="00601B66">
                <w:pPr>
                  <w:pStyle w:val="TOC2"/>
                  <w:rPr>
                    <w:rFonts w:asciiTheme="minorHAnsi" w:eastAsiaTheme="minorEastAsia" w:hAnsiTheme="minorHAnsi" w:cstheme="minorBidi"/>
                    <w:noProof/>
                    <w:sz w:val="22"/>
                    <w:szCs w:val="22"/>
                    <w:lang w:eastAsia="en-US"/>
                  </w:rPr>
                </w:pPr>
                <w:hyperlink w:anchor="_Toc456784546" w:history="1">
                  <w:r w:rsidR="008523E1" w:rsidRPr="0095457E">
                    <w:rPr>
                      <w:rStyle w:val="Hyperlink"/>
                      <w:noProof/>
                    </w:rPr>
                    <w:t>Annex 2. Outputs by Component</w:t>
                  </w:r>
                  <w:r w:rsidR="008523E1">
                    <w:rPr>
                      <w:noProof/>
                      <w:webHidden/>
                    </w:rPr>
                    <w:tab/>
                  </w:r>
                  <w:r w:rsidR="008523E1">
                    <w:rPr>
                      <w:noProof/>
                      <w:webHidden/>
                    </w:rPr>
                    <w:fldChar w:fldCharType="begin"/>
                  </w:r>
                  <w:r w:rsidR="008523E1">
                    <w:rPr>
                      <w:noProof/>
                      <w:webHidden/>
                    </w:rPr>
                    <w:instrText xml:space="preserve"> PAGEREF _Toc456784546 \h </w:instrText>
                  </w:r>
                  <w:r w:rsidR="008523E1">
                    <w:rPr>
                      <w:noProof/>
                      <w:webHidden/>
                    </w:rPr>
                  </w:r>
                  <w:r w:rsidR="008523E1">
                    <w:rPr>
                      <w:noProof/>
                      <w:webHidden/>
                    </w:rPr>
                    <w:fldChar w:fldCharType="separate"/>
                  </w:r>
                  <w:r w:rsidR="00D41562">
                    <w:rPr>
                      <w:noProof/>
                      <w:webHidden/>
                    </w:rPr>
                    <w:t>37</w:t>
                  </w:r>
                  <w:r w:rsidR="008523E1">
                    <w:rPr>
                      <w:noProof/>
                      <w:webHidden/>
                    </w:rPr>
                    <w:fldChar w:fldCharType="end"/>
                  </w:r>
                </w:hyperlink>
              </w:p>
              <w:p w14:paraId="1D89FB01" w14:textId="742B56CD" w:rsidR="008523E1" w:rsidRDefault="00601B66">
                <w:pPr>
                  <w:pStyle w:val="TOC2"/>
                  <w:rPr>
                    <w:rFonts w:asciiTheme="minorHAnsi" w:eastAsiaTheme="minorEastAsia" w:hAnsiTheme="minorHAnsi" w:cstheme="minorBidi"/>
                    <w:noProof/>
                    <w:sz w:val="22"/>
                    <w:szCs w:val="22"/>
                    <w:lang w:eastAsia="en-US"/>
                  </w:rPr>
                </w:pPr>
                <w:hyperlink w:anchor="_Toc456784547" w:history="1">
                  <w:r w:rsidR="008523E1" w:rsidRPr="0095457E">
                    <w:rPr>
                      <w:rStyle w:val="Hyperlink"/>
                      <w:noProof/>
                    </w:rPr>
                    <w:t>Annex 3. Economic and Financial Analysis</w:t>
                  </w:r>
                  <w:r w:rsidR="008523E1">
                    <w:rPr>
                      <w:noProof/>
                      <w:webHidden/>
                    </w:rPr>
                    <w:tab/>
                  </w:r>
                  <w:r w:rsidR="008523E1">
                    <w:rPr>
                      <w:noProof/>
                      <w:webHidden/>
                    </w:rPr>
                    <w:fldChar w:fldCharType="begin"/>
                  </w:r>
                  <w:r w:rsidR="008523E1">
                    <w:rPr>
                      <w:noProof/>
                      <w:webHidden/>
                    </w:rPr>
                    <w:instrText xml:space="preserve"> PAGEREF _Toc456784547 \h </w:instrText>
                  </w:r>
                  <w:r w:rsidR="008523E1">
                    <w:rPr>
                      <w:noProof/>
                      <w:webHidden/>
                    </w:rPr>
                  </w:r>
                  <w:r w:rsidR="008523E1">
                    <w:rPr>
                      <w:noProof/>
                      <w:webHidden/>
                    </w:rPr>
                    <w:fldChar w:fldCharType="separate"/>
                  </w:r>
                  <w:r w:rsidR="00D41562">
                    <w:rPr>
                      <w:noProof/>
                      <w:webHidden/>
                    </w:rPr>
                    <w:t>49</w:t>
                  </w:r>
                  <w:r w:rsidR="008523E1">
                    <w:rPr>
                      <w:noProof/>
                      <w:webHidden/>
                    </w:rPr>
                    <w:fldChar w:fldCharType="end"/>
                  </w:r>
                </w:hyperlink>
              </w:p>
              <w:p w14:paraId="516F0757" w14:textId="54A0EAD2" w:rsidR="008523E1" w:rsidRDefault="00601B66">
                <w:pPr>
                  <w:pStyle w:val="TOC2"/>
                  <w:rPr>
                    <w:rFonts w:asciiTheme="minorHAnsi" w:eastAsiaTheme="minorEastAsia" w:hAnsiTheme="minorHAnsi" w:cstheme="minorBidi"/>
                    <w:noProof/>
                    <w:sz w:val="22"/>
                    <w:szCs w:val="22"/>
                    <w:lang w:eastAsia="en-US"/>
                  </w:rPr>
                </w:pPr>
                <w:hyperlink w:anchor="_Toc456784548" w:history="1">
                  <w:r w:rsidR="008523E1" w:rsidRPr="0095457E">
                    <w:rPr>
                      <w:rStyle w:val="Hyperlink"/>
                      <w:noProof/>
                    </w:rPr>
                    <w:t>Annex 4. Bank Lending and Implementation Support/Supervision Processes</w:t>
                  </w:r>
                  <w:r w:rsidR="008523E1">
                    <w:rPr>
                      <w:noProof/>
                      <w:webHidden/>
                    </w:rPr>
                    <w:tab/>
                  </w:r>
                  <w:r w:rsidR="008523E1">
                    <w:rPr>
                      <w:noProof/>
                      <w:webHidden/>
                    </w:rPr>
                    <w:fldChar w:fldCharType="begin"/>
                  </w:r>
                  <w:r w:rsidR="008523E1">
                    <w:rPr>
                      <w:noProof/>
                      <w:webHidden/>
                    </w:rPr>
                    <w:instrText xml:space="preserve"> PAGEREF _Toc456784548 \h </w:instrText>
                  </w:r>
                  <w:r w:rsidR="008523E1">
                    <w:rPr>
                      <w:noProof/>
                      <w:webHidden/>
                    </w:rPr>
                  </w:r>
                  <w:r w:rsidR="008523E1">
                    <w:rPr>
                      <w:noProof/>
                      <w:webHidden/>
                    </w:rPr>
                    <w:fldChar w:fldCharType="separate"/>
                  </w:r>
                  <w:r w:rsidR="00D41562">
                    <w:rPr>
                      <w:noProof/>
                      <w:webHidden/>
                    </w:rPr>
                    <w:t>58</w:t>
                  </w:r>
                  <w:r w:rsidR="008523E1">
                    <w:rPr>
                      <w:noProof/>
                      <w:webHidden/>
                    </w:rPr>
                    <w:fldChar w:fldCharType="end"/>
                  </w:r>
                </w:hyperlink>
              </w:p>
              <w:p w14:paraId="655E9B76" w14:textId="635D2890" w:rsidR="008523E1" w:rsidRDefault="00601B66">
                <w:pPr>
                  <w:pStyle w:val="TOC2"/>
                  <w:rPr>
                    <w:rFonts w:asciiTheme="minorHAnsi" w:eastAsiaTheme="minorEastAsia" w:hAnsiTheme="minorHAnsi" w:cstheme="minorBidi"/>
                    <w:noProof/>
                    <w:sz w:val="22"/>
                    <w:szCs w:val="22"/>
                    <w:lang w:eastAsia="en-US"/>
                  </w:rPr>
                </w:pPr>
                <w:hyperlink w:anchor="_Toc456784556" w:history="1">
                  <w:r w:rsidR="008523E1" w:rsidRPr="0095457E">
                    <w:rPr>
                      <w:rStyle w:val="Hyperlink"/>
                      <w:noProof/>
                    </w:rPr>
                    <w:t>Annex 5. Impact evaluation Summary</w:t>
                  </w:r>
                  <w:r w:rsidR="008523E1">
                    <w:rPr>
                      <w:noProof/>
                      <w:webHidden/>
                    </w:rPr>
                    <w:tab/>
                  </w:r>
                  <w:r w:rsidR="008523E1">
                    <w:rPr>
                      <w:noProof/>
                      <w:webHidden/>
                    </w:rPr>
                    <w:fldChar w:fldCharType="begin"/>
                  </w:r>
                  <w:r w:rsidR="008523E1">
                    <w:rPr>
                      <w:noProof/>
                      <w:webHidden/>
                    </w:rPr>
                    <w:instrText xml:space="preserve"> PAGEREF _Toc456784556 \h </w:instrText>
                  </w:r>
                  <w:r w:rsidR="008523E1">
                    <w:rPr>
                      <w:noProof/>
                      <w:webHidden/>
                    </w:rPr>
                  </w:r>
                  <w:r w:rsidR="008523E1">
                    <w:rPr>
                      <w:noProof/>
                      <w:webHidden/>
                    </w:rPr>
                    <w:fldChar w:fldCharType="separate"/>
                  </w:r>
                  <w:r w:rsidR="00D41562">
                    <w:rPr>
                      <w:noProof/>
                      <w:webHidden/>
                    </w:rPr>
                    <w:t>60</w:t>
                  </w:r>
                  <w:r w:rsidR="008523E1">
                    <w:rPr>
                      <w:noProof/>
                      <w:webHidden/>
                    </w:rPr>
                    <w:fldChar w:fldCharType="end"/>
                  </w:r>
                </w:hyperlink>
              </w:p>
              <w:p w14:paraId="309CCAF8" w14:textId="0CA0F000" w:rsidR="008523E1" w:rsidRDefault="00601B66">
                <w:pPr>
                  <w:pStyle w:val="TOC2"/>
                  <w:rPr>
                    <w:rFonts w:asciiTheme="minorHAnsi" w:eastAsiaTheme="minorEastAsia" w:hAnsiTheme="minorHAnsi" w:cstheme="minorBidi"/>
                    <w:noProof/>
                    <w:sz w:val="22"/>
                    <w:szCs w:val="22"/>
                    <w:lang w:eastAsia="en-US"/>
                  </w:rPr>
                </w:pPr>
                <w:hyperlink w:anchor="_Toc456784558" w:history="1"/>
                <w:hyperlink w:anchor="_Toc456784559" w:history="1"/>
              </w:p>
              <w:p w14:paraId="0A235813" w14:textId="1A26AAE2" w:rsidR="008523E1" w:rsidRDefault="008523E1">
                <w:pPr>
                  <w:pStyle w:val="TOC2"/>
                  <w:rPr>
                    <w:rFonts w:asciiTheme="minorHAnsi" w:eastAsiaTheme="minorEastAsia" w:hAnsiTheme="minorHAnsi" w:cstheme="minorBidi"/>
                    <w:noProof/>
                    <w:sz w:val="22"/>
                    <w:szCs w:val="22"/>
                    <w:lang w:eastAsia="en-US"/>
                  </w:rPr>
                </w:pPr>
              </w:p>
              <w:p w14:paraId="35A928DE" w14:textId="482D49CD" w:rsidR="006F16D4" w:rsidRDefault="006F16D4">
                <w:r>
                  <w:rPr>
                    <w:b/>
                    <w:bCs/>
                    <w:noProof/>
                  </w:rPr>
                  <w:fldChar w:fldCharType="end"/>
                </w:r>
              </w:p>
            </w:sdtContent>
          </w:sdt>
          <w:p w14:paraId="1BF6B72D" w14:textId="0E10553C" w:rsidR="00E7533E" w:rsidRDefault="00E7533E" w:rsidP="000411CD"/>
          <w:p w14:paraId="616621B9" w14:textId="77777777" w:rsidR="005F7097" w:rsidRDefault="005F7097" w:rsidP="000411CD">
            <w:r>
              <w:t>MAP</w:t>
            </w:r>
          </w:p>
          <w:p w14:paraId="204305D1" w14:textId="77777777" w:rsidR="00112EAD" w:rsidRDefault="00112EAD" w:rsidP="000411CD"/>
          <w:p w14:paraId="17EF3282" w14:textId="77777777" w:rsidR="00112EAD" w:rsidRDefault="00112EAD" w:rsidP="000411CD">
            <w:r>
              <w:t>Text Boxes, Tables and Figures</w:t>
            </w:r>
          </w:p>
          <w:p w14:paraId="55722249" w14:textId="77777777" w:rsidR="008523E1" w:rsidRPr="00F27600" w:rsidRDefault="00085220">
            <w:pPr>
              <w:pStyle w:val="TableofFigures"/>
              <w:tabs>
                <w:tab w:val="right" w:leader="dot" w:pos="8630"/>
              </w:tabs>
              <w:rPr>
                <w:rFonts w:asciiTheme="minorHAnsi" w:eastAsiaTheme="minorEastAsia" w:hAnsiTheme="minorHAnsi" w:cstheme="minorBidi"/>
                <w:noProof/>
                <w:sz w:val="22"/>
                <w:szCs w:val="22"/>
                <w:lang w:eastAsia="en-US"/>
              </w:rPr>
            </w:pPr>
            <w:r>
              <w:fldChar w:fldCharType="begin"/>
            </w:r>
            <w:r>
              <w:instrText xml:space="preserve"> TOC \h \z \c "Figure" </w:instrText>
            </w:r>
            <w:r>
              <w:fldChar w:fldCharType="separate"/>
            </w:r>
            <w:hyperlink w:anchor="_Toc456784561" w:history="1">
              <w:r w:rsidR="008523E1" w:rsidRPr="00F27600">
                <w:rPr>
                  <w:rStyle w:val="Hyperlink"/>
                  <w:iCs/>
                  <w:noProof/>
                </w:rPr>
                <w:t>Figure 1 Evolution of the number of insured herders</w:t>
              </w:r>
              <w:r w:rsidR="008523E1" w:rsidRPr="00F27600">
                <w:rPr>
                  <w:noProof/>
                  <w:webHidden/>
                </w:rPr>
                <w:tab/>
              </w:r>
              <w:r w:rsidR="008523E1" w:rsidRPr="00F27600">
                <w:rPr>
                  <w:noProof/>
                  <w:webHidden/>
                </w:rPr>
                <w:fldChar w:fldCharType="begin"/>
              </w:r>
              <w:r w:rsidR="008523E1" w:rsidRPr="00F27600">
                <w:rPr>
                  <w:noProof/>
                  <w:webHidden/>
                </w:rPr>
                <w:instrText xml:space="preserve"> PAGEREF _Toc456784561 \h </w:instrText>
              </w:r>
              <w:r w:rsidR="008523E1" w:rsidRPr="00F27600">
                <w:rPr>
                  <w:noProof/>
                  <w:webHidden/>
                </w:rPr>
              </w:r>
              <w:r w:rsidR="008523E1" w:rsidRPr="00F27600">
                <w:rPr>
                  <w:noProof/>
                  <w:webHidden/>
                </w:rPr>
                <w:fldChar w:fldCharType="separate"/>
              </w:r>
              <w:r w:rsidR="00D41562">
                <w:rPr>
                  <w:noProof/>
                  <w:webHidden/>
                </w:rPr>
                <w:t>12</w:t>
              </w:r>
              <w:r w:rsidR="008523E1" w:rsidRPr="00F27600">
                <w:rPr>
                  <w:noProof/>
                  <w:webHidden/>
                </w:rPr>
                <w:fldChar w:fldCharType="end"/>
              </w:r>
            </w:hyperlink>
          </w:p>
          <w:p w14:paraId="169A21BD" w14:textId="06A07F71" w:rsidR="008523E1" w:rsidRPr="00F27600" w:rsidRDefault="00601B66">
            <w:pPr>
              <w:pStyle w:val="TableofFigures"/>
              <w:tabs>
                <w:tab w:val="right" w:leader="dot" w:pos="8630"/>
              </w:tabs>
              <w:rPr>
                <w:rFonts w:asciiTheme="minorHAnsi" w:eastAsiaTheme="minorEastAsia" w:hAnsiTheme="minorHAnsi" w:cstheme="minorBidi"/>
                <w:noProof/>
                <w:sz w:val="22"/>
                <w:szCs w:val="22"/>
                <w:lang w:eastAsia="en-US"/>
              </w:rPr>
            </w:pPr>
            <w:hyperlink w:anchor="_Toc456784562" w:history="1">
              <w:r w:rsidR="008523E1" w:rsidRPr="00F27600">
                <w:rPr>
                  <w:rStyle w:val="Hyperlink"/>
                  <w:iCs/>
                  <w:noProof/>
                </w:rPr>
                <w:t xml:space="preserve">Figure </w:t>
              </w:r>
              <w:r w:rsidR="00694469">
                <w:rPr>
                  <w:rStyle w:val="Hyperlink"/>
                  <w:iCs/>
                  <w:noProof/>
                </w:rPr>
                <w:t>2</w:t>
              </w:r>
              <w:r w:rsidR="008523E1" w:rsidRPr="00F27600">
                <w:rPr>
                  <w:rStyle w:val="Hyperlink"/>
                  <w:iCs/>
                  <w:noProof/>
                </w:rPr>
                <w:t>: Premium collected and loss experience</w:t>
              </w:r>
              <w:r w:rsidR="008523E1" w:rsidRPr="00F27600">
                <w:rPr>
                  <w:noProof/>
                  <w:webHidden/>
                </w:rPr>
                <w:tab/>
              </w:r>
              <w:r w:rsidR="008523E1" w:rsidRPr="00F27600">
                <w:rPr>
                  <w:noProof/>
                  <w:webHidden/>
                </w:rPr>
                <w:fldChar w:fldCharType="begin"/>
              </w:r>
              <w:r w:rsidR="008523E1" w:rsidRPr="00F27600">
                <w:rPr>
                  <w:noProof/>
                  <w:webHidden/>
                </w:rPr>
                <w:instrText xml:space="preserve"> PAGEREF _Toc456784562 \h </w:instrText>
              </w:r>
              <w:r w:rsidR="008523E1" w:rsidRPr="00F27600">
                <w:rPr>
                  <w:noProof/>
                  <w:webHidden/>
                </w:rPr>
              </w:r>
              <w:r w:rsidR="008523E1" w:rsidRPr="00F27600">
                <w:rPr>
                  <w:noProof/>
                  <w:webHidden/>
                </w:rPr>
                <w:fldChar w:fldCharType="separate"/>
              </w:r>
              <w:r w:rsidR="00D41562">
                <w:rPr>
                  <w:noProof/>
                  <w:webHidden/>
                </w:rPr>
                <w:t>13</w:t>
              </w:r>
              <w:r w:rsidR="008523E1" w:rsidRPr="00F27600">
                <w:rPr>
                  <w:noProof/>
                  <w:webHidden/>
                </w:rPr>
                <w:fldChar w:fldCharType="end"/>
              </w:r>
            </w:hyperlink>
          </w:p>
          <w:p w14:paraId="320D139F" w14:textId="4AFD1D24" w:rsidR="008523E1" w:rsidRDefault="00694469">
            <w:pPr>
              <w:pStyle w:val="TableofFigures"/>
              <w:tabs>
                <w:tab w:val="right" w:leader="dot" w:pos="8630"/>
              </w:tabs>
              <w:rPr>
                <w:rFonts w:asciiTheme="minorHAnsi" w:eastAsiaTheme="minorEastAsia" w:hAnsiTheme="minorHAnsi" w:cstheme="minorBidi"/>
                <w:noProof/>
                <w:sz w:val="22"/>
                <w:szCs w:val="22"/>
                <w:lang w:eastAsia="en-US"/>
              </w:rPr>
            </w:pPr>
            <w:hyperlink w:anchor="_Toc456784563" w:history="1">
              <w:r w:rsidR="008523E1" w:rsidRPr="00577861">
                <w:rPr>
                  <w:rStyle w:val="Hyperlink"/>
                  <w:noProof/>
                </w:rPr>
                <w:t xml:space="preserve">Figure </w:t>
              </w:r>
              <w:r>
                <w:rPr>
                  <w:rStyle w:val="Hyperlink"/>
                  <w:noProof/>
                </w:rPr>
                <w:t>3</w:t>
              </w:r>
              <w:r w:rsidR="008523E1" w:rsidRPr="00577861">
                <w:rPr>
                  <w:rStyle w:val="Hyperlink"/>
                  <w:noProof/>
                </w:rPr>
                <w:t>: Impact of purchasing IBLI on post dzud herd sizes</w:t>
              </w:r>
              <w:r w:rsidR="008523E1">
                <w:rPr>
                  <w:noProof/>
                  <w:webHidden/>
                </w:rPr>
                <w:tab/>
              </w:r>
              <w:r w:rsidR="008523E1">
                <w:rPr>
                  <w:noProof/>
                  <w:webHidden/>
                </w:rPr>
                <w:fldChar w:fldCharType="begin"/>
              </w:r>
              <w:r w:rsidR="008523E1">
                <w:rPr>
                  <w:noProof/>
                  <w:webHidden/>
                </w:rPr>
                <w:instrText xml:space="preserve"> PAGEREF _Toc456784563 \h </w:instrText>
              </w:r>
              <w:r w:rsidR="008523E1">
                <w:rPr>
                  <w:noProof/>
                  <w:webHidden/>
                </w:rPr>
              </w:r>
              <w:r w:rsidR="008523E1">
                <w:rPr>
                  <w:noProof/>
                  <w:webHidden/>
                </w:rPr>
                <w:fldChar w:fldCharType="separate"/>
              </w:r>
              <w:r w:rsidR="00D41562">
                <w:rPr>
                  <w:noProof/>
                  <w:webHidden/>
                </w:rPr>
                <w:t>21</w:t>
              </w:r>
              <w:r w:rsidR="008523E1">
                <w:rPr>
                  <w:noProof/>
                  <w:webHidden/>
                </w:rPr>
                <w:fldChar w:fldCharType="end"/>
              </w:r>
            </w:hyperlink>
          </w:p>
          <w:p w14:paraId="4D506D93" w14:textId="7E562C0F" w:rsidR="00112EAD" w:rsidRDefault="00085220" w:rsidP="000411CD">
            <w:r>
              <w:fldChar w:fldCharType="end"/>
            </w:r>
          </w:p>
        </w:tc>
        <w:tc>
          <w:tcPr>
            <w:tcW w:w="12" w:type="pct"/>
            <w:vAlign w:val="center"/>
          </w:tcPr>
          <w:p w14:paraId="218890A6" w14:textId="77777777" w:rsidR="00E03DE1" w:rsidRDefault="00E03DE1">
            <w:pPr>
              <w:rPr>
                <w:sz w:val="20"/>
                <w:szCs w:val="20"/>
              </w:rPr>
            </w:pPr>
          </w:p>
        </w:tc>
      </w:tr>
    </w:tbl>
    <w:p w14:paraId="22BBFADD" w14:textId="4E715F98" w:rsidR="001E0E8C" w:rsidRDefault="001E0E8C"/>
    <w:p w14:paraId="2093BB71" w14:textId="77777777" w:rsidR="000411CD" w:rsidRDefault="001E0E8C">
      <w:r>
        <w:br w:type="page"/>
      </w: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2156"/>
        <w:gridCol w:w="2156"/>
        <w:gridCol w:w="2156"/>
        <w:gridCol w:w="2156"/>
      </w:tblGrid>
      <w:tr w:rsidR="00F96911" w14:paraId="1D677FBD" w14:textId="77777777" w:rsidTr="005A4EF0">
        <w:tc>
          <w:tcPr>
            <w:tcW w:w="8624" w:type="dxa"/>
            <w:gridSpan w:val="4"/>
            <w:tcBorders>
              <w:top w:val="single" w:sz="6" w:space="0" w:color="B1B1B1"/>
              <w:left w:val="single" w:sz="6" w:space="0" w:color="B1B1B1"/>
              <w:bottom w:val="single" w:sz="6" w:space="0" w:color="B1B1B1"/>
              <w:right w:val="single" w:sz="6" w:space="0" w:color="B1B1B1"/>
            </w:tcBorders>
            <w:shd w:val="clear" w:color="auto" w:fill="CDCCCC"/>
            <w:vAlign w:val="center"/>
          </w:tcPr>
          <w:tbl>
            <w:tblPr>
              <w:tblW w:w="5000" w:type="pct"/>
              <w:tblLayout w:type="fixed"/>
              <w:tblCellMar>
                <w:top w:w="15" w:type="dxa"/>
                <w:left w:w="15" w:type="dxa"/>
                <w:bottom w:w="15" w:type="dxa"/>
                <w:right w:w="15" w:type="dxa"/>
              </w:tblCellMar>
              <w:tblLook w:val="0000" w:firstRow="0" w:lastRow="0" w:firstColumn="0" w:lastColumn="0" w:noHBand="0" w:noVBand="0"/>
            </w:tblPr>
            <w:tblGrid>
              <w:gridCol w:w="8594"/>
            </w:tblGrid>
            <w:tr w:rsidR="00F96911" w14:paraId="3FCB4611" w14:textId="77777777" w:rsidTr="00D51717">
              <w:tc>
                <w:tcPr>
                  <w:tcW w:w="8640" w:type="dxa"/>
                  <w:tcBorders>
                    <w:top w:val="nil"/>
                    <w:left w:val="nil"/>
                    <w:bottom w:val="nil"/>
                    <w:right w:val="nil"/>
                  </w:tcBorders>
                  <w:shd w:val="clear" w:color="auto" w:fill="CDCCCC"/>
                </w:tcPr>
                <w:tbl>
                  <w:tblPr>
                    <w:tblW w:w="5000" w:type="pct"/>
                    <w:tblLayout w:type="fixed"/>
                    <w:tblCellMar>
                      <w:top w:w="10" w:type="dxa"/>
                      <w:left w:w="10" w:type="dxa"/>
                      <w:bottom w:w="10" w:type="dxa"/>
                      <w:right w:w="10" w:type="dxa"/>
                    </w:tblCellMar>
                    <w:tblLook w:val="0000" w:firstRow="0" w:lastRow="0" w:firstColumn="0" w:lastColumn="0" w:noHBand="0" w:noVBand="0"/>
                  </w:tblPr>
                  <w:tblGrid>
                    <w:gridCol w:w="8564"/>
                  </w:tblGrid>
                  <w:tr w:rsidR="00F96911" w14:paraId="08DE1CB6" w14:textId="77777777" w:rsidTr="00D51717">
                    <w:tc>
                      <w:tcPr>
                        <w:tcW w:w="8610" w:type="dxa"/>
                        <w:tcBorders>
                          <w:top w:val="nil"/>
                          <w:left w:val="nil"/>
                          <w:bottom w:val="nil"/>
                          <w:right w:val="nil"/>
                        </w:tcBorders>
                        <w:shd w:val="clear" w:color="auto" w:fill="CDCCCC"/>
                        <w:vAlign w:val="center"/>
                      </w:tcPr>
                      <w:p w14:paraId="0459ECCD" w14:textId="77777777" w:rsidR="00F96911" w:rsidRDefault="00F96911" w:rsidP="00D51717">
                        <w:pPr>
                          <w:pStyle w:val="ICRTOC"/>
                          <w:keepLines/>
                        </w:pPr>
                        <w:bookmarkStart w:id="14" w:name="_IL1"/>
                        <w:r>
                          <w:rPr>
                            <w:rStyle w:val="Strong"/>
                            <w:b/>
                            <w:bCs/>
                          </w:rPr>
                          <w:lastRenderedPageBreak/>
                          <w:t>A. Basic Information</w:t>
                        </w:r>
                        <w:bookmarkEnd w:id="14"/>
                        <w:r>
                          <w:t xml:space="preserve"> </w:t>
                        </w:r>
                      </w:p>
                    </w:tc>
                  </w:tr>
                </w:tbl>
                <w:p w14:paraId="4C003A59" w14:textId="77777777" w:rsidR="00F96911" w:rsidRDefault="00F96911" w:rsidP="00D51717">
                  <w:pPr>
                    <w:pStyle w:val="Heading2"/>
                  </w:pPr>
                </w:p>
              </w:tc>
            </w:tr>
          </w:tbl>
          <w:p w14:paraId="744BDCEE" w14:textId="77777777" w:rsidR="00F96911" w:rsidRDefault="00F96911" w:rsidP="00D51717">
            <w:pPr>
              <w:pStyle w:val="Heading2"/>
            </w:pPr>
          </w:p>
        </w:tc>
      </w:tr>
      <w:tr w:rsidR="00F96911" w14:paraId="36D82689" w14:textId="77777777" w:rsidTr="005A4EF0">
        <w:tc>
          <w:tcPr>
            <w:tcW w:w="2156" w:type="dxa"/>
            <w:tcBorders>
              <w:top w:val="single" w:sz="6" w:space="0" w:color="B1B1B1"/>
              <w:left w:val="single" w:sz="6" w:space="0" w:color="B1B1B1"/>
              <w:bottom w:val="single" w:sz="6" w:space="0" w:color="B1B1B1"/>
              <w:right w:val="single" w:sz="6" w:space="0" w:color="B1B1B1"/>
            </w:tcBorders>
            <w:vAlign w:val="center"/>
          </w:tcPr>
          <w:p w14:paraId="269C3115" w14:textId="77777777" w:rsidR="00F96911" w:rsidRDefault="00F96911" w:rsidP="00D51717">
            <w:pPr>
              <w:spacing w:line="300" w:lineRule="atLeast"/>
              <w:rPr>
                <w:color w:val="000000"/>
                <w:sz w:val="22"/>
                <w:szCs w:val="22"/>
              </w:rPr>
            </w:pPr>
            <w:r>
              <w:rPr>
                <w:color w:val="000000"/>
                <w:sz w:val="22"/>
                <w:szCs w:val="22"/>
              </w:rPr>
              <w:t>Country:</w:t>
            </w:r>
          </w:p>
        </w:tc>
        <w:tc>
          <w:tcPr>
            <w:tcW w:w="2156" w:type="dxa"/>
            <w:tcBorders>
              <w:top w:val="single" w:sz="6" w:space="0" w:color="B1B1B1"/>
              <w:left w:val="single" w:sz="6" w:space="0" w:color="B1B1B1"/>
              <w:bottom w:val="single" w:sz="6" w:space="0" w:color="B1B1B1"/>
              <w:right w:val="single" w:sz="6" w:space="0" w:color="B1B1B1"/>
            </w:tcBorders>
            <w:vAlign w:val="center"/>
          </w:tcPr>
          <w:p w14:paraId="5113A7AD" w14:textId="77777777" w:rsidR="00F96911" w:rsidRDefault="00F96911" w:rsidP="00D51717">
            <w:pPr>
              <w:spacing w:line="300" w:lineRule="atLeast"/>
              <w:rPr>
                <w:color w:val="000000"/>
                <w:sz w:val="22"/>
                <w:szCs w:val="22"/>
              </w:rPr>
            </w:pPr>
            <w:bookmarkStart w:id="15" w:name="countr_fld"/>
            <w:r>
              <w:rPr>
                <w:color w:val="000000"/>
                <w:sz w:val="22"/>
                <w:szCs w:val="22"/>
              </w:rPr>
              <w:t>Mongolia</w:t>
            </w:r>
            <w:bookmarkEnd w:id="15"/>
          </w:p>
        </w:tc>
        <w:tc>
          <w:tcPr>
            <w:tcW w:w="2156" w:type="dxa"/>
            <w:tcBorders>
              <w:top w:val="single" w:sz="6" w:space="0" w:color="B1B1B1"/>
              <w:left w:val="single" w:sz="6" w:space="0" w:color="B1B1B1"/>
              <w:bottom w:val="single" w:sz="6" w:space="0" w:color="B1B1B1"/>
              <w:right w:val="single" w:sz="6" w:space="0" w:color="B1B1B1"/>
            </w:tcBorders>
            <w:vAlign w:val="center"/>
          </w:tcPr>
          <w:p w14:paraId="7A1488C3" w14:textId="77777777" w:rsidR="00F96911" w:rsidRDefault="00F96911" w:rsidP="00D51717">
            <w:pPr>
              <w:spacing w:line="300" w:lineRule="atLeast"/>
              <w:rPr>
                <w:color w:val="000000"/>
                <w:sz w:val="22"/>
                <w:szCs w:val="22"/>
              </w:rPr>
            </w:pPr>
            <w:r>
              <w:rPr>
                <w:color w:val="000000"/>
                <w:sz w:val="22"/>
                <w:szCs w:val="22"/>
              </w:rPr>
              <w:t>Project Name:</w:t>
            </w:r>
          </w:p>
        </w:tc>
        <w:tc>
          <w:tcPr>
            <w:tcW w:w="2156" w:type="dxa"/>
            <w:tcBorders>
              <w:top w:val="single" w:sz="6" w:space="0" w:color="B1B1B1"/>
              <w:left w:val="single" w:sz="6" w:space="0" w:color="B1B1B1"/>
              <w:bottom w:val="single" w:sz="6" w:space="0" w:color="B1B1B1"/>
              <w:right w:val="single" w:sz="6" w:space="0" w:color="B1B1B1"/>
            </w:tcBorders>
            <w:vAlign w:val="center"/>
          </w:tcPr>
          <w:p w14:paraId="00CF96C8" w14:textId="77777777" w:rsidR="00F96911" w:rsidRDefault="00F96911" w:rsidP="00D51717">
            <w:pPr>
              <w:spacing w:line="300" w:lineRule="atLeast"/>
              <w:rPr>
                <w:color w:val="000000"/>
                <w:sz w:val="22"/>
                <w:szCs w:val="22"/>
              </w:rPr>
            </w:pPr>
            <w:bookmarkStart w:id="16" w:name="pronam_fld"/>
            <w:r>
              <w:rPr>
                <w:color w:val="000000"/>
                <w:sz w:val="22"/>
                <w:szCs w:val="22"/>
              </w:rPr>
              <w:t>MN-Index-Based Livestock Insurance</w:t>
            </w:r>
            <w:bookmarkEnd w:id="16"/>
          </w:p>
        </w:tc>
      </w:tr>
      <w:tr w:rsidR="00F96911" w14:paraId="0CF75200" w14:textId="77777777" w:rsidTr="005A4EF0">
        <w:tc>
          <w:tcPr>
            <w:tcW w:w="2156" w:type="dxa"/>
            <w:tcBorders>
              <w:top w:val="single" w:sz="6" w:space="0" w:color="B1B1B1"/>
              <w:left w:val="single" w:sz="6" w:space="0" w:color="B1B1B1"/>
              <w:bottom w:val="single" w:sz="6" w:space="0" w:color="B1B1B1"/>
              <w:right w:val="single" w:sz="6" w:space="0" w:color="B1B1B1"/>
            </w:tcBorders>
            <w:vAlign w:val="center"/>
          </w:tcPr>
          <w:p w14:paraId="1D4B323C" w14:textId="77777777" w:rsidR="00F96911" w:rsidRDefault="00F96911" w:rsidP="00D51717">
            <w:pPr>
              <w:spacing w:line="300" w:lineRule="atLeast"/>
              <w:rPr>
                <w:color w:val="000000"/>
                <w:sz w:val="22"/>
                <w:szCs w:val="22"/>
              </w:rPr>
            </w:pPr>
            <w:r>
              <w:rPr>
                <w:color w:val="000000"/>
                <w:sz w:val="22"/>
                <w:szCs w:val="22"/>
              </w:rPr>
              <w:t>Project ID:</w:t>
            </w:r>
          </w:p>
        </w:tc>
        <w:tc>
          <w:tcPr>
            <w:tcW w:w="2156" w:type="dxa"/>
            <w:tcBorders>
              <w:top w:val="single" w:sz="6" w:space="0" w:color="B1B1B1"/>
              <w:left w:val="single" w:sz="6" w:space="0" w:color="B1B1B1"/>
              <w:bottom w:val="single" w:sz="6" w:space="0" w:color="B1B1B1"/>
              <w:right w:val="single" w:sz="6" w:space="0" w:color="B1B1B1"/>
            </w:tcBorders>
            <w:vAlign w:val="center"/>
          </w:tcPr>
          <w:p w14:paraId="68D2EC47" w14:textId="77777777" w:rsidR="00F96911" w:rsidRDefault="00F96911" w:rsidP="00D51717">
            <w:pPr>
              <w:spacing w:line="300" w:lineRule="atLeast"/>
              <w:rPr>
                <w:color w:val="000000"/>
                <w:sz w:val="22"/>
                <w:szCs w:val="22"/>
              </w:rPr>
            </w:pPr>
            <w:bookmarkStart w:id="17" w:name="projid_fld"/>
            <w:r>
              <w:rPr>
                <w:color w:val="000000"/>
                <w:sz w:val="22"/>
                <w:szCs w:val="22"/>
              </w:rPr>
              <w:t>P088816</w:t>
            </w:r>
            <w:bookmarkEnd w:id="17"/>
          </w:p>
        </w:tc>
        <w:tc>
          <w:tcPr>
            <w:tcW w:w="2156" w:type="dxa"/>
            <w:tcBorders>
              <w:top w:val="single" w:sz="6" w:space="0" w:color="B1B1B1"/>
              <w:left w:val="single" w:sz="6" w:space="0" w:color="B1B1B1"/>
              <w:bottom w:val="single" w:sz="6" w:space="0" w:color="B1B1B1"/>
              <w:right w:val="single" w:sz="6" w:space="0" w:color="B1B1B1"/>
            </w:tcBorders>
            <w:vAlign w:val="center"/>
          </w:tcPr>
          <w:p w14:paraId="7EBF60BE" w14:textId="77777777" w:rsidR="00F96911" w:rsidRDefault="00F96911" w:rsidP="00D51717">
            <w:pPr>
              <w:spacing w:line="300" w:lineRule="atLeast"/>
              <w:rPr>
                <w:color w:val="000000"/>
                <w:sz w:val="22"/>
                <w:szCs w:val="22"/>
              </w:rPr>
            </w:pPr>
            <w:r>
              <w:rPr>
                <w:color w:val="000000"/>
                <w:sz w:val="22"/>
                <w:szCs w:val="22"/>
              </w:rPr>
              <w:t>L/C/TF Number(s):</w:t>
            </w:r>
          </w:p>
        </w:tc>
        <w:tc>
          <w:tcPr>
            <w:tcW w:w="2156" w:type="dxa"/>
            <w:tcBorders>
              <w:top w:val="single" w:sz="6" w:space="0" w:color="B1B1B1"/>
              <w:left w:val="single" w:sz="6" w:space="0" w:color="B1B1B1"/>
              <w:bottom w:val="single" w:sz="6" w:space="0" w:color="B1B1B1"/>
              <w:right w:val="single" w:sz="6" w:space="0" w:color="B1B1B1"/>
            </w:tcBorders>
            <w:vAlign w:val="center"/>
          </w:tcPr>
          <w:p w14:paraId="0EEF4A05" w14:textId="77777777" w:rsidR="00F96911" w:rsidRDefault="00F96911" w:rsidP="00D51717">
            <w:pPr>
              <w:spacing w:line="300" w:lineRule="atLeast"/>
              <w:rPr>
                <w:color w:val="000000"/>
                <w:sz w:val="22"/>
                <w:szCs w:val="22"/>
              </w:rPr>
            </w:pPr>
            <w:bookmarkStart w:id="18" w:name="lctfnu_fld"/>
            <w:r>
              <w:rPr>
                <w:color w:val="000000"/>
                <w:sz w:val="22"/>
                <w:szCs w:val="22"/>
              </w:rPr>
              <w:t>IDA-40690,IDA-46870,TF-13074,TF-54740,TF-94002,TF-94827</w:t>
            </w:r>
            <w:bookmarkEnd w:id="18"/>
            <w:r>
              <w:rPr>
                <w:color w:val="000000"/>
                <w:sz w:val="22"/>
                <w:szCs w:val="22"/>
              </w:rPr>
              <w:t>, TF 53738, FIRST</w:t>
            </w:r>
          </w:p>
        </w:tc>
      </w:tr>
      <w:tr w:rsidR="00F96911" w14:paraId="135F7F8F" w14:textId="77777777" w:rsidTr="005A4EF0">
        <w:tc>
          <w:tcPr>
            <w:tcW w:w="2156" w:type="dxa"/>
            <w:tcBorders>
              <w:top w:val="single" w:sz="6" w:space="0" w:color="B1B1B1"/>
              <w:left w:val="single" w:sz="6" w:space="0" w:color="B1B1B1"/>
              <w:bottom w:val="single" w:sz="6" w:space="0" w:color="B1B1B1"/>
              <w:right w:val="single" w:sz="6" w:space="0" w:color="B1B1B1"/>
            </w:tcBorders>
            <w:vAlign w:val="center"/>
          </w:tcPr>
          <w:p w14:paraId="0711759D" w14:textId="77777777" w:rsidR="00F96911" w:rsidRDefault="00F96911" w:rsidP="00D51717">
            <w:pPr>
              <w:spacing w:line="300" w:lineRule="atLeast"/>
              <w:rPr>
                <w:color w:val="000000"/>
                <w:sz w:val="22"/>
                <w:szCs w:val="22"/>
              </w:rPr>
            </w:pPr>
            <w:r>
              <w:rPr>
                <w:color w:val="000000"/>
                <w:sz w:val="22"/>
                <w:szCs w:val="22"/>
              </w:rPr>
              <w:t>ICR Date:</w:t>
            </w:r>
          </w:p>
        </w:tc>
        <w:tc>
          <w:tcPr>
            <w:tcW w:w="2156" w:type="dxa"/>
            <w:tcBorders>
              <w:top w:val="single" w:sz="6" w:space="0" w:color="B1B1B1"/>
              <w:left w:val="single" w:sz="6" w:space="0" w:color="B1B1B1"/>
              <w:bottom w:val="single" w:sz="6" w:space="0" w:color="B1B1B1"/>
              <w:right w:val="single" w:sz="6" w:space="0" w:color="B1B1B1"/>
            </w:tcBorders>
            <w:vAlign w:val="center"/>
          </w:tcPr>
          <w:p w14:paraId="43D9B092" w14:textId="77777777" w:rsidR="00F96911" w:rsidRDefault="00F96911" w:rsidP="00D51717">
            <w:pPr>
              <w:spacing w:line="300" w:lineRule="atLeast"/>
              <w:rPr>
                <w:color w:val="000000"/>
                <w:sz w:val="22"/>
                <w:szCs w:val="22"/>
              </w:rPr>
            </w:pPr>
            <w:bookmarkStart w:id="19" w:name="icrdat_fld"/>
            <w:r>
              <w:rPr>
                <w:color w:val="000000"/>
                <w:sz w:val="22"/>
                <w:szCs w:val="22"/>
              </w:rPr>
              <w:t>09/30/</w:t>
            </w:r>
            <w:bookmarkEnd w:id="19"/>
            <w:r>
              <w:rPr>
                <w:color w:val="000000"/>
                <w:sz w:val="22"/>
                <w:szCs w:val="22"/>
              </w:rPr>
              <w:t>2016</w:t>
            </w:r>
          </w:p>
        </w:tc>
        <w:tc>
          <w:tcPr>
            <w:tcW w:w="2156" w:type="dxa"/>
            <w:tcBorders>
              <w:top w:val="single" w:sz="6" w:space="0" w:color="B1B1B1"/>
              <w:left w:val="single" w:sz="6" w:space="0" w:color="B1B1B1"/>
              <w:bottom w:val="single" w:sz="6" w:space="0" w:color="B1B1B1"/>
              <w:right w:val="single" w:sz="6" w:space="0" w:color="B1B1B1"/>
            </w:tcBorders>
            <w:vAlign w:val="center"/>
          </w:tcPr>
          <w:p w14:paraId="1157B525" w14:textId="77777777" w:rsidR="00F96911" w:rsidRDefault="00F96911" w:rsidP="00D51717">
            <w:pPr>
              <w:spacing w:line="300" w:lineRule="atLeast"/>
              <w:rPr>
                <w:color w:val="000000"/>
                <w:sz w:val="22"/>
                <w:szCs w:val="22"/>
              </w:rPr>
            </w:pPr>
            <w:r>
              <w:rPr>
                <w:color w:val="000000"/>
                <w:sz w:val="22"/>
                <w:szCs w:val="22"/>
              </w:rPr>
              <w:t>ICR Type:</w:t>
            </w:r>
          </w:p>
        </w:tc>
        <w:tc>
          <w:tcPr>
            <w:tcW w:w="2156" w:type="dxa"/>
            <w:tcBorders>
              <w:top w:val="single" w:sz="6" w:space="0" w:color="B1B1B1"/>
              <w:left w:val="single" w:sz="6" w:space="0" w:color="B1B1B1"/>
              <w:bottom w:val="single" w:sz="6" w:space="0" w:color="B1B1B1"/>
              <w:right w:val="single" w:sz="6" w:space="0" w:color="B1B1B1"/>
            </w:tcBorders>
            <w:vAlign w:val="center"/>
          </w:tcPr>
          <w:p w14:paraId="6CCD19B1" w14:textId="77777777" w:rsidR="00F96911" w:rsidRDefault="00F96911" w:rsidP="00D51717">
            <w:pPr>
              <w:spacing w:line="300" w:lineRule="atLeast"/>
              <w:rPr>
                <w:color w:val="000000"/>
                <w:sz w:val="22"/>
                <w:szCs w:val="22"/>
              </w:rPr>
            </w:pPr>
            <w:bookmarkStart w:id="20" w:name="icrtyp_fld"/>
            <w:r>
              <w:rPr>
                <w:color w:val="000000"/>
                <w:sz w:val="22"/>
                <w:szCs w:val="22"/>
              </w:rPr>
              <w:t>Core ICR</w:t>
            </w:r>
            <w:bookmarkEnd w:id="20"/>
          </w:p>
        </w:tc>
      </w:tr>
      <w:tr w:rsidR="00F96911" w14:paraId="0604B9F1" w14:textId="77777777" w:rsidTr="005A4EF0">
        <w:tc>
          <w:tcPr>
            <w:tcW w:w="2156" w:type="dxa"/>
            <w:tcBorders>
              <w:top w:val="single" w:sz="6" w:space="0" w:color="B1B1B1"/>
              <w:left w:val="single" w:sz="6" w:space="0" w:color="B1B1B1"/>
              <w:bottom w:val="single" w:sz="6" w:space="0" w:color="B1B1B1"/>
              <w:right w:val="single" w:sz="6" w:space="0" w:color="B1B1B1"/>
            </w:tcBorders>
            <w:vAlign w:val="center"/>
          </w:tcPr>
          <w:p w14:paraId="51AD45EC" w14:textId="77777777" w:rsidR="00F96911" w:rsidRDefault="00F96911" w:rsidP="00D51717">
            <w:pPr>
              <w:spacing w:line="300" w:lineRule="atLeast"/>
              <w:rPr>
                <w:color w:val="000000"/>
                <w:sz w:val="22"/>
                <w:szCs w:val="22"/>
              </w:rPr>
            </w:pPr>
            <w:r>
              <w:rPr>
                <w:color w:val="000000"/>
                <w:sz w:val="22"/>
                <w:szCs w:val="22"/>
              </w:rPr>
              <w:t>Lending Instrument:</w:t>
            </w:r>
          </w:p>
        </w:tc>
        <w:tc>
          <w:tcPr>
            <w:tcW w:w="2156" w:type="dxa"/>
            <w:tcBorders>
              <w:top w:val="single" w:sz="6" w:space="0" w:color="B1B1B1"/>
              <w:left w:val="single" w:sz="6" w:space="0" w:color="B1B1B1"/>
              <w:bottom w:val="single" w:sz="6" w:space="0" w:color="B1B1B1"/>
              <w:right w:val="single" w:sz="6" w:space="0" w:color="B1B1B1"/>
            </w:tcBorders>
            <w:vAlign w:val="center"/>
          </w:tcPr>
          <w:p w14:paraId="7F6058AE" w14:textId="77777777" w:rsidR="00F96911" w:rsidRDefault="00F96911" w:rsidP="00D51717">
            <w:pPr>
              <w:spacing w:line="300" w:lineRule="atLeast"/>
              <w:rPr>
                <w:color w:val="000000"/>
                <w:sz w:val="22"/>
                <w:szCs w:val="22"/>
              </w:rPr>
            </w:pPr>
            <w:bookmarkStart w:id="21" w:name="lenins_fld"/>
            <w:r>
              <w:rPr>
                <w:color w:val="000000"/>
                <w:sz w:val="22"/>
                <w:szCs w:val="22"/>
              </w:rPr>
              <w:t>SIL</w:t>
            </w:r>
            <w:bookmarkEnd w:id="21"/>
          </w:p>
        </w:tc>
        <w:tc>
          <w:tcPr>
            <w:tcW w:w="2156" w:type="dxa"/>
            <w:tcBorders>
              <w:top w:val="single" w:sz="6" w:space="0" w:color="B1B1B1"/>
              <w:left w:val="single" w:sz="6" w:space="0" w:color="B1B1B1"/>
              <w:bottom w:val="single" w:sz="6" w:space="0" w:color="B1B1B1"/>
              <w:right w:val="single" w:sz="6" w:space="0" w:color="B1B1B1"/>
            </w:tcBorders>
            <w:vAlign w:val="center"/>
          </w:tcPr>
          <w:p w14:paraId="2E370545" w14:textId="77777777" w:rsidR="00F96911" w:rsidRDefault="00F96911" w:rsidP="00D51717">
            <w:pPr>
              <w:spacing w:line="300" w:lineRule="atLeast"/>
              <w:rPr>
                <w:color w:val="000000"/>
                <w:sz w:val="22"/>
                <w:szCs w:val="22"/>
              </w:rPr>
            </w:pPr>
            <w:bookmarkStart w:id="22" w:name="borrow_fld_lbl"/>
            <w:r>
              <w:rPr>
                <w:color w:val="000000"/>
                <w:sz w:val="22"/>
                <w:szCs w:val="22"/>
              </w:rPr>
              <w:t>Borrower:</w:t>
            </w:r>
            <w:bookmarkEnd w:id="22"/>
          </w:p>
        </w:tc>
        <w:tc>
          <w:tcPr>
            <w:tcW w:w="2156" w:type="dxa"/>
            <w:tcBorders>
              <w:top w:val="single" w:sz="6" w:space="0" w:color="B1B1B1"/>
              <w:left w:val="single" w:sz="6" w:space="0" w:color="B1B1B1"/>
              <w:bottom w:val="single" w:sz="6" w:space="0" w:color="B1B1B1"/>
              <w:right w:val="single" w:sz="6" w:space="0" w:color="B1B1B1"/>
            </w:tcBorders>
            <w:vAlign w:val="center"/>
          </w:tcPr>
          <w:p w14:paraId="0FD1FDDD" w14:textId="77777777" w:rsidR="00F96911" w:rsidRDefault="00F96911" w:rsidP="00D51717">
            <w:pPr>
              <w:spacing w:line="300" w:lineRule="atLeast"/>
              <w:rPr>
                <w:color w:val="000000"/>
                <w:sz w:val="22"/>
                <w:szCs w:val="22"/>
              </w:rPr>
            </w:pPr>
            <w:bookmarkStart w:id="23" w:name="borrow_fld"/>
            <w:r>
              <w:rPr>
                <w:color w:val="000000"/>
                <w:sz w:val="22"/>
                <w:szCs w:val="22"/>
              </w:rPr>
              <w:t>GOVERNMENT OF MONGOLIA</w:t>
            </w:r>
            <w:bookmarkEnd w:id="23"/>
          </w:p>
        </w:tc>
      </w:tr>
      <w:tr w:rsidR="00F96911" w14:paraId="1C98E337" w14:textId="77777777" w:rsidTr="005A4EF0">
        <w:tc>
          <w:tcPr>
            <w:tcW w:w="2156" w:type="dxa"/>
            <w:tcBorders>
              <w:top w:val="single" w:sz="6" w:space="0" w:color="B1B1B1"/>
              <w:left w:val="single" w:sz="6" w:space="0" w:color="B1B1B1"/>
              <w:bottom w:val="single" w:sz="6" w:space="0" w:color="B1B1B1"/>
              <w:right w:val="single" w:sz="6" w:space="0" w:color="B1B1B1"/>
            </w:tcBorders>
            <w:vAlign w:val="center"/>
          </w:tcPr>
          <w:p w14:paraId="7E5DFDEE" w14:textId="77777777" w:rsidR="00F96911" w:rsidRDefault="00F96911" w:rsidP="00D51717">
            <w:pPr>
              <w:spacing w:line="300" w:lineRule="atLeast"/>
              <w:rPr>
                <w:color w:val="000000"/>
                <w:sz w:val="22"/>
                <w:szCs w:val="22"/>
              </w:rPr>
            </w:pPr>
            <w:r>
              <w:rPr>
                <w:color w:val="000000"/>
                <w:sz w:val="22"/>
                <w:szCs w:val="22"/>
              </w:rPr>
              <w:t>Original Total Commitment:</w:t>
            </w:r>
          </w:p>
        </w:tc>
        <w:tc>
          <w:tcPr>
            <w:tcW w:w="2156" w:type="dxa"/>
            <w:tcBorders>
              <w:top w:val="single" w:sz="6" w:space="0" w:color="B1B1B1"/>
              <w:left w:val="single" w:sz="6" w:space="0" w:color="B1B1B1"/>
              <w:bottom w:val="single" w:sz="6" w:space="0" w:color="B1B1B1"/>
              <w:right w:val="single" w:sz="6" w:space="0" w:color="B1B1B1"/>
            </w:tcBorders>
            <w:vAlign w:val="center"/>
          </w:tcPr>
          <w:p w14:paraId="76E39A2E" w14:textId="77777777" w:rsidR="00F96911" w:rsidRDefault="00F96911" w:rsidP="00D51717">
            <w:pPr>
              <w:spacing w:line="300" w:lineRule="atLeast"/>
              <w:rPr>
                <w:color w:val="000000"/>
                <w:sz w:val="22"/>
                <w:szCs w:val="22"/>
              </w:rPr>
            </w:pPr>
            <w:bookmarkStart w:id="24" w:name="oritot_fld"/>
            <w:r>
              <w:rPr>
                <w:color w:val="000000"/>
                <w:sz w:val="22"/>
                <w:szCs w:val="22"/>
              </w:rPr>
              <w:t>$7.75</w:t>
            </w:r>
            <w:bookmarkEnd w:id="24"/>
            <w:r>
              <w:rPr>
                <w:color w:val="000000"/>
                <w:sz w:val="22"/>
                <w:szCs w:val="22"/>
              </w:rPr>
              <w:t xml:space="preserve"> million equivalent </w:t>
            </w:r>
          </w:p>
        </w:tc>
        <w:tc>
          <w:tcPr>
            <w:tcW w:w="2156" w:type="dxa"/>
            <w:tcBorders>
              <w:top w:val="single" w:sz="6" w:space="0" w:color="B1B1B1"/>
              <w:left w:val="single" w:sz="6" w:space="0" w:color="B1B1B1"/>
              <w:bottom w:val="single" w:sz="6" w:space="0" w:color="B1B1B1"/>
              <w:right w:val="single" w:sz="6" w:space="0" w:color="B1B1B1"/>
            </w:tcBorders>
            <w:vAlign w:val="center"/>
          </w:tcPr>
          <w:p w14:paraId="149EC755" w14:textId="77777777" w:rsidR="00F96911" w:rsidRDefault="00F96911" w:rsidP="00D51717">
            <w:pPr>
              <w:spacing w:line="300" w:lineRule="atLeast"/>
              <w:rPr>
                <w:color w:val="000000"/>
                <w:sz w:val="22"/>
                <w:szCs w:val="22"/>
              </w:rPr>
            </w:pPr>
            <w:r>
              <w:rPr>
                <w:color w:val="000000"/>
                <w:sz w:val="22"/>
                <w:szCs w:val="22"/>
              </w:rPr>
              <w:t>Disbursed Amount:</w:t>
            </w:r>
          </w:p>
        </w:tc>
        <w:tc>
          <w:tcPr>
            <w:tcW w:w="2156" w:type="dxa"/>
            <w:tcBorders>
              <w:top w:val="single" w:sz="6" w:space="0" w:color="B1B1B1"/>
              <w:left w:val="single" w:sz="6" w:space="0" w:color="B1B1B1"/>
              <w:bottom w:val="single" w:sz="6" w:space="0" w:color="B1B1B1"/>
              <w:right w:val="single" w:sz="6" w:space="0" w:color="B1B1B1"/>
            </w:tcBorders>
            <w:vAlign w:val="center"/>
          </w:tcPr>
          <w:p w14:paraId="2A51BBA8" w14:textId="77777777" w:rsidR="00F96911" w:rsidRDefault="00F96911" w:rsidP="00D51717">
            <w:pPr>
              <w:spacing w:line="300" w:lineRule="atLeast"/>
              <w:rPr>
                <w:color w:val="000000"/>
                <w:sz w:val="22"/>
                <w:szCs w:val="22"/>
              </w:rPr>
            </w:pPr>
            <w:r>
              <w:rPr>
                <w:color w:val="000000"/>
                <w:sz w:val="22"/>
                <w:szCs w:val="22"/>
              </w:rPr>
              <w:t>$13.01 million equivalent</w:t>
            </w:r>
          </w:p>
        </w:tc>
      </w:tr>
      <w:tr w:rsidR="00F96911" w14:paraId="7CA244BF" w14:textId="77777777" w:rsidTr="005A4EF0">
        <w:tc>
          <w:tcPr>
            <w:tcW w:w="2156" w:type="dxa"/>
            <w:tcBorders>
              <w:top w:val="single" w:sz="6" w:space="0" w:color="B1B1B1"/>
              <w:left w:val="single" w:sz="6" w:space="0" w:color="B1B1B1"/>
              <w:bottom w:val="single" w:sz="6" w:space="0" w:color="B1B1B1"/>
              <w:right w:val="single" w:sz="6" w:space="0" w:color="B1B1B1"/>
            </w:tcBorders>
            <w:vAlign w:val="center"/>
          </w:tcPr>
          <w:p w14:paraId="30517DE3" w14:textId="77777777" w:rsidR="00F96911" w:rsidRDefault="00F96911" w:rsidP="00D51717">
            <w:pPr>
              <w:spacing w:line="300" w:lineRule="atLeast"/>
              <w:rPr>
                <w:color w:val="000000"/>
                <w:sz w:val="22"/>
                <w:szCs w:val="22"/>
              </w:rPr>
            </w:pPr>
            <w:bookmarkStart w:id="25" w:name="revamt_fld_lbl"/>
            <w:r>
              <w:rPr>
                <w:color w:val="000000"/>
                <w:sz w:val="22"/>
                <w:szCs w:val="22"/>
              </w:rPr>
              <w:t>Revised Amount:</w:t>
            </w:r>
            <w:bookmarkEnd w:id="25"/>
          </w:p>
        </w:tc>
        <w:tc>
          <w:tcPr>
            <w:tcW w:w="2156" w:type="dxa"/>
            <w:tcBorders>
              <w:top w:val="single" w:sz="6" w:space="0" w:color="B1B1B1"/>
              <w:left w:val="single" w:sz="6" w:space="0" w:color="B1B1B1"/>
              <w:bottom w:val="single" w:sz="6" w:space="0" w:color="B1B1B1"/>
              <w:right w:val="single" w:sz="6" w:space="0" w:color="B1B1B1"/>
            </w:tcBorders>
            <w:vAlign w:val="center"/>
          </w:tcPr>
          <w:p w14:paraId="41573D30" w14:textId="77777777" w:rsidR="00F96911" w:rsidRDefault="00F96911" w:rsidP="00D51717">
            <w:pPr>
              <w:spacing w:line="300" w:lineRule="atLeast"/>
              <w:rPr>
                <w:color w:val="000000"/>
                <w:sz w:val="22"/>
                <w:szCs w:val="22"/>
              </w:rPr>
            </w:pPr>
            <w:r>
              <w:rPr>
                <w:color w:val="000000"/>
                <w:sz w:val="22"/>
                <w:szCs w:val="22"/>
              </w:rPr>
              <w:t>$20.58 million equivalent</w:t>
            </w:r>
          </w:p>
        </w:tc>
        <w:tc>
          <w:tcPr>
            <w:tcW w:w="2156" w:type="dxa"/>
            <w:tcBorders>
              <w:top w:val="single" w:sz="6" w:space="0" w:color="B1B1B1"/>
              <w:left w:val="single" w:sz="6" w:space="0" w:color="B1B1B1"/>
              <w:bottom w:val="single" w:sz="6" w:space="0" w:color="B1B1B1"/>
              <w:right w:val="single" w:sz="6" w:space="0" w:color="B1B1B1"/>
            </w:tcBorders>
            <w:vAlign w:val="center"/>
          </w:tcPr>
          <w:p w14:paraId="4AD33E77" w14:textId="77777777" w:rsidR="00F96911" w:rsidRDefault="00F96911" w:rsidP="00D51717">
            <w:pPr>
              <w:spacing w:line="300" w:lineRule="atLeast"/>
              <w:rPr>
                <w:color w:val="000000"/>
                <w:sz w:val="22"/>
                <w:szCs w:val="22"/>
              </w:rPr>
            </w:pPr>
          </w:p>
        </w:tc>
        <w:tc>
          <w:tcPr>
            <w:tcW w:w="2156" w:type="dxa"/>
            <w:tcBorders>
              <w:top w:val="single" w:sz="6" w:space="0" w:color="B1B1B1"/>
              <w:left w:val="single" w:sz="6" w:space="0" w:color="B1B1B1"/>
              <w:bottom w:val="single" w:sz="6" w:space="0" w:color="B1B1B1"/>
              <w:right w:val="single" w:sz="6" w:space="0" w:color="B1B1B1"/>
            </w:tcBorders>
            <w:vAlign w:val="center"/>
          </w:tcPr>
          <w:p w14:paraId="251047E1" w14:textId="77777777" w:rsidR="00F96911" w:rsidRDefault="00F96911" w:rsidP="00D51717">
            <w:pPr>
              <w:spacing w:line="300" w:lineRule="atLeast"/>
              <w:rPr>
                <w:color w:val="000000"/>
                <w:sz w:val="22"/>
                <w:szCs w:val="22"/>
              </w:rPr>
            </w:pPr>
          </w:p>
        </w:tc>
      </w:tr>
      <w:tr w:rsidR="00F96911" w14:paraId="0A9CF7DA" w14:textId="77777777" w:rsidTr="005A4EF0">
        <w:tc>
          <w:tcPr>
            <w:tcW w:w="8624" w:type="dxa"/>
            <w:gridSpan w:val="4"/>
            <w:tcBorders>
              <w:top w:val="single" w:sz="6" w:space="0" w:color="B1B1B1"/>
              <w:left w:val="single" w:sz="6" w:space="0" w:color="B1B1B1"/>
              <w:bottom w:val="single" w:sz="6" w:space="0" w:color="B1B1B1"/>
              <w:right w:val="single" w:sz="6" w:space="0" w:color="B1B1B1"/>
            </w:tcBorders>
            <w:vAlign w:val="center"/>
          </w:tcPr>
          <w:p w14:paraId="7834548F" w14:textId="77777777" w:rsidR="00F96911" w:rsidRDefault="00F96911" w:rsidP="00D51717">
            <w:pPr>
              <w:spacing w:line="300" w:lineRule="atLeast"/>
              <w:rPr>
                <w:color w:val="000000"/>
                <w:sz w:val="22"/>
                <w:szCs w:val="22"/>
              </w:rPr>
            </w:pPr>
            <w:r>
              <w:rPr>
                <w:rStyle w:val="Strong"/>
                <w:color w:val="000000"/>
                <w:sz w:val="22"/>
                <w:szCs w:val="22"/>
              </w:rPr>
              <w:t xml:space="preserve">Environmental Category: </w:t>
            </w:r>
            <w:bookmarkStart w:id="26" w:name="envcat_fld"/>
            <w:r>
              <w:rPr>
                <w:rStyle w:val="Strong"/>
                <w:color w:val="000000"/>
                <w:sz w:val="22"/>
                <w:szCs w:val="22"/>
              </w:rPr>
              <w:t>C</w:t>
            </w:r>
            <w:bookmarkEnd w:id="26"/>
          </w:p>
        </w:tc>
      </w:tr>
      <w:tr w:rsidR="00F96911" w14:paraId="7B7FA7A9" w14:textId="77777777" w:rsidTr="005A4EF0">
        <w:tc>
          <w:tcPr>
            <w:tcW w:w="8624" w:type="dxa"/>
            <w:gridSpan w:val="4"/>
            <w:tcBorders>
              <w:top w:val="single" w:sz="6" w:space="0" w:color="B1B1B1"/>
              <w:left w:val="single" w:sz="6" w:space="0" w:color="B1B1B1"/>
              <w:bottom w:val="single" w:sz="6" w:space="0" w:color="B1B1B1"/>
              <w:right w:val="single" w:sz="6" w:space="0" w:color="B1B1B1"/>
            </w:tcBorders>
            <w:vAlign w:val="center"/>
          </w:tcPr>
          <w:p w14:paraId="34D8C80F" w14:textId="532455CD" w:rsidR="00F96911" w:rsidRDefault="00F96911" w:rsidP="002A12B8">
            <w:pPr>
              <w:spacing w:line="300" w:lineRule="atLeast"/>
              <w:rPr>
                <w:color w:val="000000"/>
                <w:sz w:val="22"/>
                <w:szCs w:val="22"/>
              </w:rPr>
            </w:pPr>
            <w:r>
              <w:rPr>
                <w:rStyle w:val="Strong"/>
                <w:color w:val="000000"/>
                <w:sz w:val="22"/>
                <w:szCs w:val="22"/>
              </w:rPr>
              <w:t>Implementing Agencies:</w:t>
            </w:r>
            <w:r>
              <w:rPr>
                <w:rStyle w:val="Strong"/>
                <w:b w:val="0"/>
                <w:color w:val="000000"/>
                <w:sz w:val="22"/>
                <w:szCs w:val="22"/>
              </w:rPr>
              <w:t xml:space="preserve"> </w:t>
            </w:r>
            <w:r>
              <w:rPr>
                <w:color w:val="000000"/>
                <w:sz w:val="22"/>
                <w:szCs w:val="22"/>
              </w:rPr>
              <w:t xml:space="preserve"> </w:t>
            </w:r>
            <w:bookmarkStart w:id="27" w:name="IMP_AGEN_COL_1"/>
            <w:r>
              <w:rPr>
                <w:color w:val="000000"/>
                <w:sz w:val="22"/>
                <w:szCs w:val="22"/>
              </w:rPr>
              <w:t>Ministry of Finance</w:t>
            </w:r>
            <w:bookmarkEnd w:id="27"/>
            <w:r>
              <w:rPr>
                <w:color w:val="000000"/>
                <w:sz w:val="22"/>
                <w:szCs w:val="22"/>
              </w:rPr>
              <w:t xml:space="preserve"> </w:t>
            </w:r>
            <w:bookmarkStart w:id="28" w:name="IMP_AGEN"/>
            <w:bookmarkEnd w:id="28"/>
          </w:p>
        </w:tc>
      </w:tr>
      <w:tr w:rsidR="00F96911" w14:paraId="6EB8ACC6" w14:textId="77777777" w:rsidTr="005A4EF0">
        <w:trPr>
          <w:cantSplit/>
        </w:trPr>
        <w:tc>
          <w:tcPr>
            <w:tcW w:w="8624" w:type="dxa"/>
            <w:gridSpan w:val="4"/>
            <w:tcBorders>
              <w:top w:val="single" w:sz="6" w:space="0" w:color="B1B1B1"/>
              <w:left w:val="single" w:sz="6" w:space="0" w:color="B1B1B1"/>
              <w:bottom w:val="single" w:sz="6" w:space="0" w:color="B1B1B1"/>
              <w:right w:val="single" w:sz="6" w:space="0" w:color="B1B1B1"/>
            </w:tcBorders>
            <w:vAlign w:val="center"/>
          </w:tcPr>
          <w:p w14:paraId="74FB7B5E" w14:textId="2E25257B" w:rsidR="00F96911" w:rsidRDefault="005A4EF0" w:rsidP="00D51717">
            <w:pPr>
              <w:keepLines/>
              <w:spacing w:line="300" w:lineRule="atLeast"/>
              <w:rPr>
                <w:rStyle w:val="Strong"/>
                <w:b w:val="0"/>
                <w:color w:val="000000"/>
                <w:sz w:val="22"/>
                <w:szCs w:val="22"/>
              </w:rPr>
            </w:pPr>
            <w:r>
              <w:rPr>
                <w:rStyle w:val="Strong"/>
                <w:color w:val="000000"/>
                <w:sz w:val="22"/>
                <w:szCs w:val="22"/>
              </w:rPr>
              <w:t>Co-financ</w:t>
            </w:r>
            <w:r w:rsidR="002A12B8">
              <w:rPr>
                <w:rStyle w:val="Strong"/>
                <w:color w:val="000000"/>
                <w:sz w:val="22"/>
                <w:szCs w:val="22"/>
              </w:rPr>
              <w:t>ers /</w:t>
            </w:r>
            <w:r w:rsidR="00F96911">
              <w:rPr>
                <w:rStyle w:val="Strong"/>
                <w:color w:val="000000"/>
                <w:sz w:val="22"/>
                <w:szCs w:val="22"/>
              </w:rPr>
              <w:t xml:space="preserve"> Other External Partners:</w:t>
            </w:r>
            <w:r w:rsidR="00F96911">
              <w:rPr>
                <w:rStyle w:val="Strong"/>
                <w:b w:val="0"/>
                <w:color w:val="000000"/>
                <w:sz w:val="22"/>
                <w:szCs w:val="22"/>
              </w:rPr>
              <w:t xml:space="preserve"> </w:t>
            </w:r>
            <w:bookmarkStart w:id="29" w:name="EXT_PART"/>
            <w:bookmarkEnd w:id="29"/>
            <w:r w:rsidR="002A12B8">
              <w:rPr>
                <w:rStyle w:val="Strong"/>
                <w:b w:val="0"/>
                <w:color w:val="000000"/>
                <w:sz w:val="22"/>
                <w:szCs w:val="22"/>
              </w:rPr>
              <w:t>Swiss Agency for Development, Republic of Korea</w:t>
            </w:r>
          </w:p>
        </w:tc>
      </w:tr>
    </w:tbl>
    <w:p w14:paraId="3DC909DD" w14:textId="77777777" w:rsidR="00F96911" w:rsidRDefault="00F96911" w:rsidP="00F96911"/>
    <w:tbl>
      <w:tblPr>
        <w:tblW w:w="5000" w:type="pct"/>
        <w:tblLayout w:type="fixed"/>
        <w:tblCellMar>
          <w:top w:w="15" w:type="dxa"/>
          <w:left w:w="15" w:type="dxa"/>
          <w:bottom w:w="15" w:type="dxa"/>
          <w:right w:w="15" w:type="dxa"/>
        </w:tblCellMar>
        <w:tblLook w:val="0000" w:firstRow="0" w:lastRow="0" w:firstColumn="0" w:lastColumn="0" w:noHBand="0" w:noVBand="0"/>
      </w:tblPr>
      <w:tblGrid>
        <w:gridCol w:w="1724"/>
        <w:gridCol w:w="1725"/>
        <w:gridCol w:w="1725"/>
        <w:gridCol w:w="1725"/>
        <w:gridCol w:w="1725"/>
      </w:tblGrid>
      <w:tr w:rsidR="00F96911" w14:paraId="6FA7ED9C" w14:textId="77777777" w:rsidTr="00D51717">
        <w:tc>
          <w:tcPr>
            <w:tcW w:w="8670" w:type="dxa"/>
            <w:gridSpan w:val="5"/>
            <w:tcBorders>
              <w:top w:val="single" w:sz="6" w:space="0" w:color="B1B1B1"/>
              <w:left w:val="single" w:sz="6" w:space="0" w:color="B1B1B1"/>
              <w:bottom w:val="single" w:sz="6" w:space="0" w:color="B1B1B1"/>
              <w:right w:val="single" w:sz="6" w:space="0" w:color="B1B1B1"/>
            </w:tcBorders>
            <w:shd w:val="clear" w:color="auto" w:fill="CDCCCC"/>
            <w:vAlign w:val="center"/>
          </w:tcPr>
          <w:p w14:paraId="648C2658" w14:textId="77777777" w:rsidR="00F96911" w:rsidRDefault="00F96911" w:rsidP="00D51717">
            <w:pPr>
              <w:pStyle w:val="Heading2"/>
              <w:keepNext/>
              <w:keepLines/>
            </w:pPr>
            <w:bookmarkStart w:id="30" w:name="_IL2"/>
            <w:bookmarkStart w:id="31" w:name="_Toc147483790"/>
            <w:r>
              <w:t>B. Key Dates</w:t>
            </w:r>
            <w:bookmarkEnd w:id="30"/>
            <w:bookmarkEnd w:id="31"/>
            <w:r>
              <w:t xml:space="preserve"> </w:t>
            </w:r>
          </w:p>
        </w:tc>
      </w:tr>
      <w:tr w:rsidR="00F96911" w14:paraId="74546FA5" w14:textId="77777777" w:rsidTr="00D51717">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18536C3D" w14:textId="77777777" w:rsidR="00F96911" w:rsidRDefault="00F96911" w:rsidP="00D51717">
            <w:pPr>
              <w:keepNext/>
              <w:keepLines/>
              <w:jc w:val="center"/>
              <w:rPr>
                <w:b/>
                <w:bCs/>
                <w:color w:val="606060"/>
                <w:sz w:val="22"/>
                <w:szCs w:val="22"/>
              </w:rPr>
            </w:pPr>
            <w:r>
              <w:rPr>
                <w:b/>
                <w:bCs/>
                <w:color w:val="606060"/>
                <w:sz w:val="22"/>
                <w:szCs w:val="22"/>
              </w:rPr>
              <w:t>Process</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36C2FA9" w14:textId="77777777" w:rsidR="00F96911" w:rsidRDefault="00F96911" w:rsidP="00D51717">
            <w:pPr>
              <w:keepNext/>
              <w:keepLines/>
              <w:jc w:val="center"/>
              <w:rPr>
                <w:b/>
                <w:bCs/>
                <w:color w:val="606060"/>
                <w:sz w:val="22"/>
                <w:szCs w:val="22"/>
              </w:rPr>
            </w:pPr>
            <w:r>
              <w:rPr>
                <w:b/>
                <w:bCs/>
                <w:color w:val="606060"/>
                <w:sz w:val="22"/>
                <w:szCs w:val="22"/>
              </w:rPr>
              <w:t>Date</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86D3584" w14:textId="77777777" w:rsidR="00F96911" w:rsidRDefault="00F96911" w:rsidP="00D51717">
            <w:pPr>
              <w:keepNext/>
              <w:keepLines/>
              <w:jc w:val="center"/>
              <w:rPr>
                <w:b/>
                <w:bCs/>
                <w:color w:val="606060"/>
                <w:sz w:val="22"/>
                <w:szCs w:val="22"/>
              </w:rPr>
            </w:pPr>
            <w:r>
              <w:rPr>
                <w:b/>
                <w:bCs/>
                <w:color w:val="606060"/>
                <w:sz w:val="22"/>
                <w:szCs w:val="22"/>
              </w:rPr>
              <w:t>Process</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10AB01F7" w14:textId="77777777" w:rsidR="00F96911" w:rsidRDefault="00F96911" w:rsidP="00D51717">
            <w:pPr>
              <w:keepNext/>
              <w:keepLines/>
              <w:jc w:val="center"/>
              <w:rPr>
                <w:b/>
                <w:bCs/>
                <w:color w:val="606060"/>
                <w:sz w:val="22"/>
                <w:szCs w:val="22"/>
              </w:rPr>
            </w:pPr>
            <w:r>
              <w:rPr>
                <w:b/>
                <w:bCs/>
                <w:color w:val="606060"/>
                <w:sz w:val="22"/>
                <w:szCs w:val="22"/>
              </w:rPr>
              <w:t>Original Date</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B7721B2" w14:textId="77777777" w:rsidR="00F96911" w:rsidRDefault="00F96911" w:rsidP="00D51717">
            <w:pPr>
              <w:keepNext/>
              <w:keepLines/>
              <w:jc w:val="center"/>
              <w:rPr>
                <w:b/>
                <w:bCs/>
                <w:color w:val="606060"/>
                <w:sz w:val="22"/>
                <w:szCs w:val="22"/>
              </w:rPr>
            </w:pPr>
            <w:r>
              <w:rPr>
                <w:b/>
                <w:bCs/>
                <w:color w:val="606060"/>
                <w:sz w:val="22"/>
                <w:szCs w:val="22"/>
              </w:rPr>
              <w:t>Revised / Actual Date(s)</w:t>
            </w:r>
          </w:p>
        </w:tc>
      </w:tr>
      <w:tr w:rsidR="00F96911" w14:paraId="6F179E6E" w14:textId="77777777" w:rsidTr="00D51717">
        <w:tc>
          <w:tcPr>
            <w:tcW w:w="1734" w:type="dxa"/>
            <w:tcBorders>
              <w:top w:val="single" w:sz="6" w:space="0" w:color="B1B1B1"/>
              <w:left w:val="single" w:sz="6" w:space="0" w:color="B1B1B1"/>
              <w:bottom w:val="single" w:sz="6" w:space="0" w:color="B1B1B1"/>
              <w:right w:val="single" w:sz="6" w:space="0" w:color="B1B1B1"/>
            </w:tcBorders>
            <w:vAlign w:val="center"/>
          </w:tcPr>
          <w:p w14:paraId="664BFFCE" w14:textId="77777777" w:rsidR="00F96911" w:rsidRDefault="00F96911" w:rsidP="00D51717">
            <w:pPr>
              <w:spacing w:line="300" w:lineRule="atLeast"/>
              <w:rPr>
                <w:color w:val="000000"/>
                <w:sz w:val="22"/>
                <w:szCs w:val="22"/>
              </w:rPr>
            </w:pPr>
            <w:r>
              <w:rPr>
                <w:color w:val="000000"/>
                <w:sz w:val="22"/>
                <w:szCs w:val="22"/>
              </w:rPr>
              <w:t xml:space="preserve"> Concept Review:</w:t>
            </w:r>
          </w:p>
        </w:tc>
        <w:tc>
          <w:tcPr>
            <w:tcW w:w="1734" w:type="dxa"/>
            <w:tcBorders>
              <w:top w:val="single" w:sz="6" w:space="0" w:color="B1B1B1"/>
              <w:left w:val="single" w:sz="6" w:space="0" w:color="B1B1B1"/>
              <w:bottom w:val="single" w:sz="6" w:space="0" w:color="B1B1B1"/>
              <w:right w:val="single" w:sz="6" w:space="0" w:color="B1B1B1"/>
            </w:tcBorders>
            <w:vAlign w:val="center"/>
          </w:tcPr>
          <w:p w14:paraId="0CA16D36" w14:textId="77777777" w:rsidR="00F96911" w:rsidRDefault="00F96911" w:rsidP="00D51717">
            <w:pPr>
              <w:spacing w:line="300" w:lineRule="atLeast"/>
              <w:jc w:val="center"/>
              <w:rPr>
                <w:color w:val="000000"/>
                <w:sz w:val="22"/>
                <w:szCs w:val="22"/>
              </w:rPr>
            </w:pPr>
            <w:r>
              <w:rPr>
                <w:color w:val="000000"/>
                <w:sz w:val="22"/>
                <w:szCs w:val="22"/>
              </w:rPr>
              <w:t>07/20/2004</w:t>
            </w:r>
          </w:p>
        </w:tc>
        <w:tc>
          <w:tcPr>
            <w:tcW w:w="1734" w:type="dxa"/>
            <w:tcBorders>
              <w:top w:val="single" w:sz="6" w:space="0" w:color="B1B1B1"/>
              <w:left w:val="single" w:sz="6" w:space="0" w:color="B1B1B1"/>
              <w:bottom w:val="single" w:sz="6" w:space="0" w:color="B1B1B1"/>
              <w:right w:val="single" w:sz="6" w:space="0" w:color="B1B1B1"/>
            </w:tcBorders>
            <w:vAlign w:val="center"/>
          </w:tcPr>
          <w:p w14:paraId="27E76F42" w14:textId="77777777" w:rsidR="00F96911" w:rsidRDefault="00F96911" w:rsidP="00D51717">
            <w:pPr>
              <w:spacing w:line="300" w:lineRule="atLeast"/>
              <w:rPr>
                <w:color w:val="000000"/>
                <w:sz w:val="22"/>
                <w:szCs w:val="22"/>
              </w:rPr>
            </w:pPr>
            <w:r>
              <w:rPr>
                <w:color w:val="000000"/>
                <w:sz w:val="22"/>
                <w:szCs w:val="22"/>
              </w:rPr>
              <w:t>Effectiveness:</w:t>
            </w:r>
          </w:p>
        </w:tc>
        <w:tc>
          <w:tcPr>
            <w:tcW w:w="1734" w:type="dxa"/>
            <w:tcBorders>
              <w:top w:val="single" w:sz="6" w:space="0" w:color="B1B1B1"/>
              <w:left w:val="single" w:sz="6" w:space="0" w:color="B1B1B1"/>
              <w:bottom w:val="single" w:sz="6" w:space="0" w:color="B1B1B1"/>
              <w:right w:val="single" w:sz="6" w:space="0" w:color="B1B1B1"/>
            </w:tcBorders>
            <w:vAlign w:val="center"/>
          </w:tcPr>
          <w:p w14:paraId="74A40B1E" w14:textId="77777777" w:rsidR="00F96911" w:rsidRDefault="00F96911" w:rsidP="00D51717">
            <w:pPr>
              <w:spacing w:line="300" w:lineRule="atLeast"/>
              <w:jc w:val="center"/>
              <w:rPr>
                <w:color w:val="000000"/>
                <w:sz w:val="22"/>
                <w:szCs w:val="22"/>
              </w:rPr>
            </w:pPr>
            <w:r>
              <w:rPr>
                <w:color w:val="000000"/>
                <w:sz w:val="22"/>
                <w:szCs w:val="22"/>
              </w:rPr>
              <w:t>09/01/2005</w:t>
            </w:r>
          </w:p>
        </w:tc>
        <w:tc>
          <w:tcPr>
            <w:tcW w:w="1734" w:type="dxa"/>
            <w:tcBorders>
              <w:top w:val="single" w:sz="6" w:space="0" w:color="B1B1B1"/>
              <w:left w:val="single" w:sz="6" w:space="0" w:color="B1B1B1"/>
              <w:bottom w:val="single" w:sz="6" w:space="0" w:color="B1B1B1"/>
              <w:right w:val="single" w:sz="6" w:space="0" w:color="B1B1B1"/>
            </w:tcBorders>
            <w:vAlign w:val="center"/>
          </w:tcPr>
          <w:p w14:paraId="544B7D6D" w14:textId="77777777" w:rsidR="00F96911" w:rsidRDefault="00F96911" w:rsidP="00D51717">
            <w:pPr>
              <w:spacing w:line="300" w:lineRule="atLeast"/>
              <w:jc w:val="center"/>
              <w:rPr>
                <w:color w:val="000000"/>
                <w:sz w:val="22"/>
                <w:szCs w:val="22"/>
              </w:rPr>
            </w:pPr>
            <w:r>
              <w:rPr>
                <w:color w:val="000000"/>
                <w:sz w:val="22"/>
                <w:szCs w:val="22"/>
              </w:rPr>
              <w:t>09/01/2005</w:t>
            </w:r>
          </w:p>
        </w:tc>
      </w:tr>
      <w:tr w:rsidR="00F96911" w14:paraId="346BE773" w14:textId="77777777" w:rsidTr="00D51717">
        <w:tc>
          <w:tcPr>
            <w:tcW w:w="1734" w:type="dxa"/>
            <w:tcBorders>
              <w:top w:val="single" w:sz="6" w:space="0" w:color="B1B1B1"/>
              <w:left w:val="single" w:sz="6" w:space="0" w:color="B1B1B1"/>
              <w:bottom w:val="single" w:sz="6" w:space="0" w:color="B1B1B1"/>
              <w:right w:val="single" w:sz="6" w:space="0" w:color="B1B1B1"/>
            </w:tcBorders>
            <w:vAlign w:val="center"/>
          </w:tcPr>
          <w:p w14:paraId="7825C803" w14:textId="77777777" w:rsidR="00F96911" w:rsidRDefault="00F96911" w:rsidP="00D51717">
            <w:pPr>
              <w:spacing w:line="300" w:lineRule="atLeast"/>
              <w:rPr>
                <w:color w:val="000000"/>
                <w:sz w:val="22"/>
                <w:szCs w:val="22"/>
              </w:rPr>
            </w:pPr>
            <w:r>
              <w:rPr>
                <w:color w:val="000000"/>
                <w:sz w:val="22"/>
                <w:szCs w:val="22"/>
              </w:rPr>
              <w:t xml:space="preserve"> Appraisal:</w:t>
            </w:r>
          </w:p>
        </w:tc>
        <w:tc>
          <w:tcPr>
            <w:tcW w:w="1734" w:type="dxa"/>
            <w:tcBorders>
              <w:top w:val="single" w:sz="6" w:space="0" w:color="B1B1B1"/>
              <w:left w:val="single" w:sz="6" w:space="0" w:color="B1B1B1"/>
              <w:bottom w:val="single" w:sz="6" w:space="0" w:color="B1B1B1"/>
              <w:right w:val="single" w:sz="6" w:space="0" w:color="B1B1B1"/>
            </w:tcBorders>
            <w:vAlign w:val="center"/>
          </w:tcPr>
          <w:p w14:paraId="5C770436" w14:textId="77777777" w:rsidR="00F96911" w:rsidRDefault="00F96911" w:rsidP="00D51717">
            <w:pPr>
              <w:spacing w:line="300" w:lineRule="atLeast"/>
              <w:jc w:val="center"/>
              <w:rPr>
                <w:color w:val="000000"/>
                <w:sz w:val="22"/>
                <w:szCs w:val="22"/>
              </w:rPr>
            </w:pPr>
            <w:r>
              <w:rPr>
                <w:color w:val="000000"/>
                <w:sz w:val="22"/>
                <w:szCs w:val="22"/>
              </w:rPr>
              <w:t>03/21/2005</w:t>
            </w:r>
          </w:p>
        </w:tc>
        <w:tc>
          <w:tcPr>
            <w:tcW w:w="1734" w:type="dxa"/>
            <w:tcBorders>
              <w:top w:val="single" w:sz="6" w:space="0" w:color="B1B1B1"/>
              <w:left w:val="single" w:sz="6" w:space="0" w:color="B1B1B1"/>
              <w:bottom w:val="single" w:sz="6" w:space="0" w:color="B1B1B1"/>
              <w:right w:val="single" w:sz="6" w:space="0" w:color="B1B1B1"/>
            </w:tcBorders>
            <w:vAlign w:val="center"/>
          </w:tcPr>
          <w:p w14:paraId="5CE985D3" w14:textId="77777777" w:rsidR="00F96911" w:rsidRDefault="00F96911" w:rsidP="00D51717">
            <w:pPr>
              <w:spacing w:line="300" w:lineRule="atLeast"/>
              <w:rPr>
                <w:color w:val="000000"/>
                <w:sz w:val="22"/>
                <w:szCs w:val="22"/>
              </w:rPr>
            </w:pPr>
            <w:r>
              <w:rPr>
                <w:color w:val="000000"/>
                <w:sz w:val="22"/>
                <w:szCs w:val="22"/>
              </w:rPr>
              <w:t>Restructuring(s):</w:t>
            </w:r>
          </w:p>
        </w:tc>
        <w:tc>
          <w:tcPr>
            <w:tcW w:w="1734" w:type="dxa"/>
            <w:tcBorders>
              <w:top w:val="single" w:sz="6" w:space="0" w:color="B1B1B1"/>
              <w:left w:val="single" w:sz="6" w:space="0" w:color="B1B1B1"/>
              <w:bottom w:val="single" w:sz="6" w:space="0" w:color="B1B1B1"/>
              <w:right w:val="single" w:sz="6" w:space="0" w:color="B1B1B1"/>
            </w:tcBorders>
            <w:vAlign w:val="center"/>
          </w:tcPr>
          <w:p w14:paraId="05BFD350" w14:textId="77777777" w:rsidR="00F96911" w:rsidRDefault="00F96911" w:rsidP="00D51717">
            <w:pPr>
              <w:spacing w:line="300" w:lineRule="atLeast"/>
              <w:jc w:val="center"/>
              <w:rPr>
                <w:color w:val="000000"/>
                <w:sz w:val="22"/>
                <w:szCs w:val="22"/>
              </w:rPr>
            </w:pPr>
          </w:p>
        </w:tc>
        <w:tc>
          <w:tcPr>
            <w:tcW w:w="1734" w:type="dxa"/>
            <w:tcBorders>
              <w:top w:val="single" w:sz="6" w:space="0" w:color="B1B1B1"/>
              <w:left w:val="single" w:sz="6" w:space="0" w:color="B1B1B1"/>
              <w:bottom w:val="single" w:sz="6" w:space="0" w:color="B1B1B1"/>
              <w:right w:val="single" w:sz="6" w:space="0" w:color="B1B1B1"/>
            </w:tcBorders>
            <w:vAlign w:val="center"/>
          </w:tcPr>
          <w:p w14:paraId="2B1A4781" w14:textId="77777777" w:rsidR="00F96911" w:rsidRDefault="00F96911" w:rsidP="00D51717">
            <w:pPr>
              <w:spacing w:line="300" w:lineRule="atLeast"/>
              <w:jc w:val="center"/>
              <w:rPr>
                <w:color w:val="000000"/>
                <w:sz w:val="22"/>
                <w:szCs w:val="22"/>
              </w:rPr>
            </w:pPr>
            <w:r>
              <w:rPr>
                <w:color w:val="000000"/>
                <w:sz w:val="22"/>
                <w:szCs w:val="22"/>
              </w:rPr>
              <w:t>June 2008</w:t>
            </w:r>
          </w:p>
          <w:p w14:paraId="2A35F67B" w14:textId="77777777" w:rsidR="00F96911" w:rsidRDefault="00F96911" w:rsidP="00D51717">
            <w:pPr>
              <w:spacing w:line="300" w:lineRule="atLeast"/>
              <w:jc w:val="center"/>
              <w:rPr>
                <w:color w:val="000000"/>
                <w:sz w:val="22"/>
                <w:szCs w:val="22"/>
              </w:rPr>
            </w:pPr>
            <w:r>
              <w:rPr>
                <w:color w:val="000000"/>
                <w:sz w:val="22"/>
                <w:szCs w:val="22"/>
              </w:rPr>
              <w:t>03/12/2008</w:t>
            </w:r>
          </w:p>
          <w:p w14:paraId="733DA59F" w14:textId="77777777" w:rsidR="00F96911" w:rsidRDefault="00F96911" w:rsidP="00D51717">
            <w:pPr>
              <w:spacing w:line="300" w:lineRule="atLeast"/>
              <w:jc w:val="center"/>
              <w:rPr>
                <w:color w:val="000000"/>
                <w:sz w:val="22"/>
                <w:szCs w:val="22"/>
              </w:rPr>
            </w:pPr>
            <w:r>
              <w:rPr>
                <w:color w:val="000000"/>
                <w:sz w:val="22"/>
                <w:szCs w:val="22"/>
              </w:rPr>
              <w:t>07/17/2009</w:t>
            </w:r>
          </w:p>
          <w:p w14:paraId="1F07B5E8" w14:textId="77777777" w:rsidR="00F96911" w:rsidRDefault="00F96911" w:rsidP="00D51717">
            <w:pPr>
              <w:spacing w:line="300" w:lineRule="atLeast"/>
              <w:jc w:val="center"/>
              <w:rPr>
                <w:color w:val="000000"/>
                <w:sz w:val="22"/>
                <w:szCs w:val="22"/>
              </w:rPr>
            </w:pPr>
            <w:r>
              <w:rPr>
                <w:color w:val="000000"/>
                <w:sz w:val="22"/>
                <w:szCs w:val="22"/>
              </w:rPr>
              <w:t>02/24/2010</w:t>
            </w:r>
          </w:p>
          <w:p w14:paraId="05DA438D" w14:textId="77777777" w:rsidR="00F96911" w:rsidRDefault="00F96911" w:rsidP="00D51717">
            <w:pPr>
              <w:spacing w:line="300" w:lineRule="atLeast"/>
              <w:jc w:val="center"/>
              <w:rPr>
                <w:color w:val="000000"/>
                <w:sz w:val="22"/>
                <w:szCs w:val="22"/>
              </w:rPr>
            </w:pPr>
            <w:r>
              <w:rPr>
                <w:color w:val="000000"/>
                <w:sz w:val="22"/>
                <w:szCs w:val="22"/>
              </w:rPr>
              <w:t>03/30/2012</w:t>
            </w:r>
          </w:p>
          <w:p w14:paraId="215E2987" w14:textId="77777777" w:rsidR="00F96911" w:rsidRDefault="00F96911" w:rsidP="00D51717">
            <w:pPr>
              <w:spacing w:line="300" w:lineRule="atLeast"/>
              <w:jc w:val="center"/>
              <w:rPr>
                <w:color w:val="000000"/>
                <w:sz w:val="22"/>
                <w:szCs w:val="22"/>
              </w:rPr>
            </w:pPr>
            <w:r>
              <w:rPr>
                <w:color w:val="000000"/>
                <w:sz w:val="22"/>
                <w:szCs w:val="22"/>
              </w:rPr>
              <w:t>08/29/2013</w:t>
            </w:r>
          </w:p>
        </w:tc>
      </w:tr>
      <w:tr w:rsidR="00F96911" w14:paraId="29DF6952" w14:textId="77777777" w:rsidTr="00D51717">
        <w:tc>
          <w:tcPr>
            <w:tcW w:w="1734" w:type="dxa"/>
            <w:tcBorders>
              <w:top w:val="single" w:sz="6" w:space="0" w:color="B1B1B1"/>
              <w:left w:val="single" w:sz="6" w:space="0" w:color="B1B1B1"/>
              <w:bottom w:val="single" w:sz="6" w:space="0" w:color="B1B1B1"/>
              <w:right w:val="single" w:sz="6" w:space="0" w:color="B1B1B1"/>
            </w:tcBorders>
            <w:vAlign w:val="center"/>
          </w:tcPr>
          <w:p w14:paraId="2A9B0497" w14:textId="77777777" w:rsidR="00F96911" w:rsidRDefault="00F96911" w:rsidP="00D51717">
            <w:pPr>
              <w:spacing w:line="300" w:lineRule="atLeast"/>
              <w:rPr>
                <w:color w:val="000000"/>
                <w:sz w:val="22"/>
                <w:szCs w:val="22"/>
              </w:rPr>
            </w:pPr>
            <w:r>
              <w:rPr>
                <w:color w:val="000000"/>
                <w:sz w:val="22"/>
                <w:szCs w:val="22"/>
              </w:rPr>
              <w:t xml:space="preserve"> Approval:</w:t>
            </w:r>
          </w:p>
        </w:tc>
        <w:tc>
          <w:tcPr>
            <w:tcW w:w="1734" w:type="dxa"/>
            <w:tcBorders>
              <w:top w:val="single" w:sz="6" w:space="0" w:color="B1B1B1"/>
              <w:left w:val="single" w:sz="6" w:space="0" w:color="B1B1B1"/>
              <w:bottom w:val="single" w:sz="6" w:space="0" w:color="B1B1B1"/>
              <w:right w:val="single" w:sz="6" w:space="0" w:color="B1B1B1"/>
            </w:tcBorders>
            <w:vAlign w:val="center"/>
          </w:tcPr>
          <w:p w14:paraId="180BD838" w14:textId="77777777" w:rsidR="00F96911" w:rsidRDefault="00F96911" w:rsidP="00D51717">
            <w:pPr>
              <w:spacing w:line="300" w:lineRule="atLeast"/>
              <w:jc w:val="center"/>
              <w:rPr>
                <w:color w:val="000000"/>
                <w:sz w:val="22"/>
                <w:szCs w:val="22"/>
              </w:rPr>
            </w:pPr>
            <w:r>
              <w:rPr>
                <w:color w:val="000000"/>
                <w:sz w:val="22"/>
                <w:szCs w:val="22"/>
              </w:rPr>
              <w:t>05/26/2005</w:t>
            </w:r>
          </w:p>
        </w:tc>
        <w:tc>
          <w:tcPr>
            <w:tcW w:w="1734" w:type="dxa"/>
            <w:tcBorders>
              <w:top w:val="single" w:sz="6" w:space="0" w:color="B1B1B1"/>
              <w:left w:val="single" w:sz="6" w:space="0" w:color="B1B1B1"/>
              <w:bottom w:val="single" w:sz="6" w:space="0" w:color="B1B1B1"/>
              <w:right w:val="single" w:sz="6" w:space="0" w:color="B1B1B1"/>
            </w:tcBorders>
            <w:vAlign w:val="center"/>
          </w:tcPr>
          <w:p w14:paraId="19729B23" w14:textId="77777777" w:rsidR="00F96911" w:rsidRDefault="00F96911" w:rsidP="00D51717">
            <w:pPr>
              <w:spacing w:line="300" w:lineRule="atLeast"/>
              <w:rPr>
                <w:color w:val="000000"/>
                <w:sz w:val="22"/>
                <w:szCs w:val="22"/>
              </w:rPr>
            </w:pPr>
            <w:r>
              <w:rPr>
                <w:color w:val="000000"/>
                <w:sz w:val="22"/>
                <w:szCs w:val="22"/>
              </w:rPr>
              <w:t>Mid-term Review:</w:t>
            </w:r>
          </w:p>
        </w:tc>
        <w:tc>
          <w:tcPr>
            <w:tcW w:w="1734" w:type="dxa"/>
            <w:tcBorders>
              <w:top w:val="single" w:sz="6" w:space="0" w:color="B1B1B1"/>
              <w:left w:val="single" w:sz="6" w:space="0" w:color="B1B1B1"/>
              <w:bottom w:val="single" w:sz="6" w:space="0" w:color="B1B1B1"/>
              <w:right w:val="single" w:sz="6" w:space="0" w:color="B1B1B1"/>
            </w:tcBorders>
            <w:vAlign w:val="center"/>
          </w:tcPr>
          <w:p w14:paraId="5CB6496E" w14:textId="77777777" w:rsidR="00F96911" w:rsidRDefault="00F96911" w:rsidP="00D51717">
            <w:pPr>
              <w:spacing w:line="300" w:lineRule="atLeast"/>
              <w:jc w:val="center"/>
              <w:rPr>
                <w:color w:val="000000"/>
                <w:sz w:val="22"/>
                <w:szCs w:val="22"/>
              </w:rPr>
            </w:pPr>
            <w:r>
              <w:rPr>
                <w:color w:val="000000"/>
                <w:sz w:val="22"/>
                <w:szCs w:val="22"/>
              </w:rPr>
              <w:t>10/06/2008</w:t>
            </w:r>
          </w:p>
        </w:tc>
        <w:tc>
          <w:tcPr>
            <w:tcW w:w="1734" w:type="dxa"/>
            <w:tcBorders>
              <w:top w:val="single" w:sz="6" w:space="0" w:color="B1B1B1"/>
              <w:left w:val="single" w:sz="6" w:space="0" w:color="B1B1B1"/>
              <w:bottom w:val="single" w:sz="6" w:space="0" w:color="B1B1B1"/>
              <w:right w:val="single" w:sz="6" w:space="0" w:color="B1B1B1"/>
            </w:tcBorders>
            <w:vAlign w:val="center"/>
          </w:tcPr>
          <w:p w14:paraId="582BF83F" w14:textId="77777777" w:rsidR="00F96911" w:rsidRDefault="00F96911" w:rsidP="00D51717">
            <w:pPr>
              <w:spacing w:line="300" w:lineRule="atLeast"/>
              <w:jc w:val="center"/>
              <w:rPr>
                <w:color w:val="000000"/>
                <w:sz w:val="22"/>
                <w:szCs w:val="22"/>
              </w:rPr>
            </w:pPr>
            <w:r>
              <w:rPr>
                <w:color w:val="000000"/>
                <w:sz w:val="22"/>
                <w:szCs w:val="22"/>
              </w:rPr>
              <w:t>10/09/2007</w:t>
            </w:r>
          </w:p>
        </w:tc>
      </w:tr>
      <w:tr w:rsidR="00F96911" w14:paraId="17EB2A35" w14:textId="77777777" w:rsidTr="00D51717">
        <w:tc>
          <w:tcPr>
            <w:tcW w:w="1734" w:type="dxa"/>
            <w:tcBorders>
              <w:top w:val="single" w:sz="6" w:space="0" w:color="B1B1B1"/>
              <w:left w:val="single" w:sz="6" w:space="0" w:color="B1B1B1"/>
              <w:bottom w:val="single" w:sz="6" w:space="0" w:color="B1B1B1"/>
              <w:right w:val="single" w:sz="6" w:space="0" w:color="B1B1B1"/>
            </w:tcBorders>
            <w:vAlign w:val="center"/>
          </w:tcPr>
          <w:p w14:paraId="7AD83FDC" w14:textId="77777777" w:rsidR="00F96911" w:rsidRDefault="00F96911" w:rsidP="00D51717">
            <w:pPr>
              <w:spacing w:line="300" w:lineRule="atLeast"/>
              <w:rPr>
                <w:color w:val="000000"/>
                <w:sz w:val="22"/>
                <w:szCs w:val="22"/>
              </w:rPr>
            </w:pPr>
            <w:r>
              <w:rPr>
                <w:color w:val="000000"/>
                <w:sz w:val="22"/>
                <w:szCs w:val="22"/>
              </w:rPr>
              <w:t xml:space="preserve"> </w:t>
            </w:r>
            <w:bookmarkStart w:id="32" w:name="MILESTONE_COL_1"/>
            <w:bookmarkEnd w:id="32"/>
          </w:p>
        </w:tc>
        <w:tc>
          <w:tcPr>
            <w:tcW w:w="1734" w:type="dxa"/>
            <w:tcBorders>
              <w:top w:val="single" w:sz="6" w:space="0" w:color="B1B1B1"/>
              <w:left w:val="single" w:sz="6" w:space="0" w:color="B1B1B1"/>
              <w:bottom w:val="single" w:sz="6" w:space="0" w:color="B1B1B1"/>
              <w:right w:val="single" w:sz="6" w:space="0" w:color="B1B1B1"/>
            </w:tcBorders>
            <w:vAlign w:val="center"/>
          </w:tcPr>
          <w:p w14:paraId="5516C94A" w14:textId="77777777" w:rsidR="00F96911" w:rsidRDefault="00F96911" w:rsidP="00D51717">
            <w:pPr>
              <w:spacing w:line="300" w:lineRule="atLeast"/>
              <w:jc w:val="center"/>
              <w:rPr>
                <w:color w:val="000000"/>
                <w:sz w:val="22"/>
                <w:szCs w:val="22"/>
              </w:rPr>
            </w:pPr>
            <w:bookmarkStart w:id="33" w:name="MILESTONE_COL_2"/>
            <w:bookmarkEnd w:id="33"/>
          </w:p>
        </w:tc>
        <w:tc>
          <w:tcPr>
            <w:tcW w:w="1734" w:type="dxa"/>
            <w:tcBorders>
              <w:top w:val="single" w:sz="6" w:space="0" w:color="B1B1B1"/>
              <w:left w:val="single" w:sz="6" w:space="0" w:color="B1B1B1"/>
              <w:bottom w:val="single" w:sz="6" w:space="0" w:color="B1B1B1"/>
              <w:right w:val="single" w:sz="6" w:space="0" w:color="B1B1B1"/>
            </w:tcBorders>
            <w:vAlign w:val="center"/>
          </w:tcPr>
          <w:p w14:paraId="66350B26" w14:textId="77777777" w:rsidR="00F96911" w:rsidRDefault="00F96911" w:rsidP="00D51717">
            <w:pPr>
              <w:spacing w:line="300" w:lineRule="atLeast"/>
              <w:rPr>
                <w:color w:val="000000"/>
                <w:sz w:val="22"/>
                <w:szCs w:val="22"/>
              </w:rPr>
            </w:pPr>
            <w:bookmarkStart w:id="34" w:name="MILESTONE_COL_3"/>
            <w:r>
              <w:rPr>
                <w:color w:val="000000"/>
                <w:sz w:val="22"/>
                <w:szCs w:val="22"/>
              </w:rPr>
              <w:t>Closing:</w:t>
            </w:r>
            <w:bookmarkEnd w:id="34"/>
          </w:p>
        </w:tc>
        <w:tc>
          <w:tcPr>
            <w:tcW w:w="1734" w:type="dxa"/>
            <w:tcBorders>
              <w:top w:val="single" w:sz="6" w:space="0" w:color="B1B1B1"/>
              <w:left w:val="single" w:sz="6" w:space="0" w:color="B1B1B1"/>
              <w:bottom w:val="single" w:sz="6" w:space="0" w:color="B1B1B1"/>
              <w:right w:val="single" w:sz="6" w:space="0" w:color="B1B1B1"/>
            </w:tcBorders>
            <w:vAlign w:val="center"/>
          </w:tcPr>
          <w:p w14:paraId="1BF9A6E5" w14:textId="77777777" w:rsidR="00F96911" w:rsidRDefault="00F96911" w:rsidP="00D51717">
            <w:pPr>
              <w:spacing w:line="300" w:lineRule="atLeast"/>
              <w:jc w:val="center"/>
              <w:rPr>
                <w:color w:val="000000"/>
                <w:sz w:val="22"/>
                <w:szCs w:val="22"/>
              </w:rPr>
            </w:pPr>
            <w:bookmarkStart w:id="35" w:name="MILESTONE_COL_4"/>
            <w:r>
              <w:rPr>
                <w:color w:val="000000"/>
                <w:sz w:val="22"/>
                <w:szCs w:val="22"/>
              </w:rPr>
              <w:t>06/30/2010</w:t>
            </w:r>
            <w:bookmarkEnd w:id="35"/>
          </w:p>
        </w:tc>
        <w:tc>
          <w:tcPr>
            <w:tcW w:w="1734" w:type="dxa"/>
            <w:tcBorders>
              <w:top w:val="single" w:sz="6" w:space="0" w:color="B1B1B1"/>
              <w:left w:val="single" w:sz="6" w:space="0" w:color="B1B1B1"/>
              <w:bottom w:val="single" w:sz="6" w:space="0" w:color="B1B1B1"/>
              <w:right w:val="single" w:sz="6" w:space="0" w:color="B1B1B1"/>
            </w:tcBorders>
            <w:vAlign w:val="center"/>
          </w:tcPr>
          <w:p w14:paraId="53845CDB" w14:textId="77777777" w:rsidR="00F96911" w:rsidRDefault="00F96911" w:rsidP="00D51717">
            <w:pPr>
              <w:spacing w:line="300" w:lineRule="atLeast"/>
              <w:jc w:val="center"/>
              <w:rPr>
                <w:color w:val="000000"/>
                <w:sz w:val="22"/>
                <w:szCs w:val="22"/>
              </w:rPr>
            </w:pPr>
            <w:bookmarkStart w:id="36" w:name="MILESTONE_COL_5"/>
            <w:r>
              <w:rPr>
                <w:color w:val="000000"/>
                <w:sz w:val="22"/>
                <w:szCs w:val="22"/>
              </w:rPr>
              <w:t>03/31/2016</w:t>
            </w:r>
            <w:bookmarkEnd w:id="36"/>
          </w:p>
        </w:tc>
      </w:tr>
    </w:tbl>
    <w:p w14:paraId="33BEF544" w14:textId="77777777" w:rsidR="00F96911" w:rsidRDefault="00F96911" w:rsidP="00F96911">
      <w:bookmarkStart w:id="37" w:name="MILESTONE"/>
      <w:bookmarkEnd w:id="37"/>
    </w:p>
    <w:tbl>
      <w:tblPr>
        <w:tblW w:w="5000" w:type="pct"/>
        <w:tblLayout w:type="fixed"/>
        <w:tblCellMar>
          <w:top w:w="15" w:type="dxa"/>
          <w:left w:w="15" w:type="dxa"/>
          <w:bottom w:w="15" w:type="dxa"/>
          <w:right w:w="15" w:type="dxa"/>
        </w:tblCellMar>
        <w:tblLook w:val="0000" w:firstRow="0" w:lastRow="0" w:firstColumn="0" w:lastColumn="0" w:noHBand="0" w:noVBand="0"/>
      </w:tblPr>
      <w:tblGrid>
        <w:gridCol w:w="4312"/>
        <w:gridCol w:w="4312"/>
      </w:tblGrid>
      <w:tr w:rsidR="00F96911" w14:paraId="44F1037D" w14:textId="77777777" w:rsidTr="00D51717">
        <w:tc>
          <w:tcPr>
            <w:tcW w:w="8670" w:type="dxa"/>
            <w:gridSpan w:val="2"/>
            <w:tcBorders>
              <w:top w:val="single" w:sz="6" w:space="0" w:color="B1B1B1"/>
              <w:left w:val="single" w:sz="6" w:space="0" w:color="B1B1B1"/>
              <w:bottom w:val="single" w:sz="6" w:space="0" w:color="B1B1B1"/>
              <w:right w:val="single" w:sz="6" w:space="0" w:color="B1B1B1"/>
            </w:tcBorders>
            <w:shd w:val="clear" w:color="auto" w:fill="CDCCCC"/>
            <w:vAlign w:val="center"/>
          </w:tcPr>
          <w:p w14:paraId="3FD40C84" w14:textId="77777777" w:rsidR="00F96911" w:rsidRDefault="00F96911" w:rsidP="00D51717">
            <w:pPr>
              <w:pStyle w:val="Heading2"/>
              <w:keepNext/>
              <w:keepLines/>
            </w:pPr>
            <w:bookmarkStart w:id="38" w:name="_IL3"/>
            <w:bookmarkStart w:id="39" w:name="_Toc147483791"/>
            <w:r>
              <w:t>C. Ratings Summary</w:t>
            </w:r>
            <w:bookmarkEnd w:id="38"/>
            <w:bookmarkEnd w:id="39"/>
            <w:r>
              <w:t xml:space="preserve"> </w:t>
            </w:r>
          </w:p>
        </w:tc>
      </w:tr>
      <w:tr w:rsidR="00F96911" w14:paraId="70C71FF3" w14:textId="77777777" w:rsidTr="00D51717">
        <w:tc>
          <w:tcPr>
            <w:tcW w:w="8670" w:type="dxa"/>
            <w:gridSpan w:val="2"/>
            <w:tcBorders>
              <w:top w:val="single" w:sz="6" w:space="0" w:color="B1B1B1"/>
              <w:left w:val="single" w:sz="6" w:space="0" w:color="B1B1B1"/>
              <w:bottom w:val="single" w:sz="6" w:space="0" w:color="B1B1B1"/>
              <w:right w:val="single" w:sz="6" w:space="0" w:color="B1B1B1"/>
            </w:tcBorders>
            <w:vAlign w:val="center"/>
          </w:tcPr>
          <w:p w14:paraId="6D1F9C96" w14:textId="77777777" w:rsidR="00F96911" w:rsidRDefault="00F96911" w:rsidP="00D51717">
            <w:pPr>
              <w:keepNext/>
              <w:keepLines/>
              <w:rPr>
                <w:b/>
                <w:sz w:val="22"/>
                <w:szCs w:val="22"/>
              </w:rPr>
            </w:pPr>
            <w:r>
              <w:rPr>
                <w:b/>
                <w:sz w:val="22"/>
                <w:szCs w:val="22"/>
              </w:rPr>
              <w:t>C.1 Performance Rating by ICR</w:t>
            </w:r>
          </w:p>
        </w:tc>
      </w:tr>
      <w:tr w:rsidR="00F96911" w14:paraId="22772497" w14:textId="77777777" w:rsidTr="00D51717">
        <w:tc>
          <w:tcPr>
            <w:tcW w:w="4335" w:type="dxa"/>
            <w:tcBorders>
              <w:top w:val="single" w:sz="6" w:space="0" w:color="B1B1B1"/>
              <w:left w:val="single" w:sz="6" w:space="0" w:color="B1B1B1"/>
              <w:bottom w:val="single" w:sz="6" w:space="0" w:color="B1B1B1"/>
              <w:right w:val="single" w:sz="6" w:space="0" w:color="B1B1B1"/>
            </w:tcBorders>
            <w:vAlign w:val="center"/>
          </w:tcPr>
          <w:p w14:paraId="2221980D" w14:textId="77777777" w:rsidR="00F96911" w:rsidRDefault="00F96911" w:rsidP="00D51717">
            <w:pPr>
              <w:spacing w:line="300" w:lineRule="atLeast"/>
              <w:rPr>
                <w:color w:val="000000"/>
                <w:sz w:val="22"/>
                <w:szCs w:val="22"/>
              </w:rPr>
            </w:pPr>
            <w:r>
              <w:rPr>
                <w:color w:val="000000"/>
                <w:sz w:val="22"/>
                <w:szCs w:val="22"/>
              </w:rPr>
              <w:t xml:space="preserve"> Outcomes:</w:t>
            </w:r>
          </w:p>
        </w:tc>
        <w:tc>
          <w:tcPr>
            <w:tcW w:w="4335" w:type="dxa"/>
            <w:tcBorders>
              <w:top w:val="single" w:sz="6" w:space="0" w:color="B1B1B1"/>
              <w:left w:val="single" w:sz="6" w:space="0" w:color="B1B1B1"/>
              <w:bottom w:val="single" w:sz="6" w:space="0" w:color="B1B1B1"/>
              <w:right w:val="single" w:sz="6" w:space="0" w:color="B1B1B1"/>
            </w:tcBorders>
            <w:vAlign w:val="center"/>
          </w:tcPr>
          <w:p w14:paraId="3BDB76CC" w14:textId="77777777" w:rsidR="00F96911" w:rsidRDefault="00D64344" w:rsidP="00D51717">
            <w:pPr>
              <w:spacing w:line="300" w:lineRule="atLeast"/>
              <w:rPr>
                <w:color w:val="000000"/>
                <w:sz w:val="22"/>
                <w:szCs w:val="22"/>
              </w:rPr>
            </w:pPr>
            <w:r>
              <w:rPr>
                <w:color w:val="000000"/>
                <w:sz w:val="22"/>
                <w:szCs w:val="22"/>
              </w:rPr>
              <w:t xml:space="preserve">IBLIP- pilot: </w:t>
            </w:r>
            <w:r w:rsidR="00F96911">
              <w:rPr>
                <w:color w:val="000000"/>
                <w:sz w:val="22"/>
                <w:szCs w:val="22"/>
              </w:rPr>
              <w:t>Highly Satisfactory</w:t>
            </w:r>
          </w:p>
          <w:p w14:paraId="3FE4BD24" w14:textId="77777777" w:rsidR="00D64344" w:rsidRDefault="00D64344" w:rsidP="00D64344">
            <w:pPr>
              <w:spacing w:line="300" w:lineRule="atLeast"/>
              <w:rPr>
                <w:color w:val="000000"/>
                <w:sz w:val="22"/>
                <w:szCs w:val="22"/>
              </w:rPr>
            </w:pPr>
            <w:r>
              <w:rPr>
                <w:color w:val="000000"/>
                <w:sz w:val="22"/>
                <w:szCs w:val="22"/>
              </w:rPr>
              <w:t>IBLIP- AF: Highly Satisfactory</w:t>
            </w:r>
          </w:p>
          <w:p w14:paraId="7DD2FE6A" w14:textId="5A6C0726" w:rsidR="00FF6818" w:rsidRDefault="001160A9" w:rsidP="001160A9">
            <w:pPr>
              <w:spacing w:line="300" w:lineRule="atLeast"/>
              <w:rPr>
                <w:color w:val="000000"/>
                <w:sz w:val="22"/>
                <w:szCs w:val="22"/>
              </w:rPr>
            </w:pPr>
            <w:r>
              <w:rPr>
                <w:color w:val="000000"/>
                <w:sz w:val="22"/>
                <w:szCs w:val="22"/>
              </w:rPr>
              <w:t xml:space="preserve">Overall </w:t>
            </w:r>
            <w:r w:rsidR="00FF6818">
              <w:rPr>
                <w:color w:val="000000"/>
                <w:sz w:val="22"/>
                <w:szCs w:val="22"/>
              </w:rPr>
              <w:t xml:space="preserve"> rating: Highly </w:t>
            </w:r>
            <w:r>
              <w:rPr>
                <w:color w:val="000000"/>
                <w:sz w:val="22"/>
                <w:szCs w:val="22"/>
              </w:rPr>
              <w:t>Satisfactory</w:t>
            </w:r>
          </w:p>
        </w:tc>
      </w:tr>
      <w:tr w:rsidR="00F96911" w14:paraId="7AEBFC00" w14:textId="77777777" w:rsidTr="00D51717">
        <w:tc>
          <w:tcPr>
            <w:tcW w:w="4335" w:type="dxa"/>
            <w:tcBorders>
              <w:top w:val="single" w:sz="6" w:space="0" w:color="B1B1B1"/>
              <w:left w:val="single" w:sz="6" w:space="0" w:color="B1B1B1"/>
              <w:bottom w:val="single" w:sz="6" w:space="0" w:color="B1B1B1"/>
              <w:right w:val="single" w:sz="6" w:space="0" w:color="B1B1B1"/>
            </w:tcBorders>
            <w:vAlign w:val="center"/>
          </w:tcPr>
          <w:p w14:paraId="4FC386E7" w14:textId="77777777" w:rsidR="00F96911" w:rsidRDefault="00F96911" w:rsidP="00D51717">
            <w:pPr>
              <w:spacing w:line="300" w:lineRule="atLeast"/>
              <w:rPr>
                <w:color w:val="000000"/>
                <w:sz w:val="22"/>
                <w:szCs w:val="22"/>
              </w:rPr>
            </w:pPr>
            <w:r>
              <w:rPr>
                <w:color w:val="000000"/>
                <w:sz w:val="22"/>
                <w:szCs w:val="22"/>
              </w:rPr>
              <w:t xml:space="preserve"> Risk to Development Outcome:</w:t>
            </w:r>
          </w:p>
        </w:tc>
        <w:tc>
          <w:tcPr>
            <w:tcW w:w="4335" w:type="dxa"/>
            <w:tcBorders>
              <w:top w:val="single" w:sz="6" w:space="0" w:color="B1B1B1"/>
              <w:left w:val="single" w:sz="6" w:space="0" w:color="B1B1B1"/>
              <w:bottom w:val="single" w:sz="6" w:space="0" w:color="B1B1B1"/>
              <w:right w:val="single" w:sz="6" w:space="0" w:color="B1B1B1"/>
            </w:tcBorders>
            <w:vAlign w:val="center"/>
          </w:tcPr>
          <w:p w14:paraId="1B1B21CA" w14:textId="77777777" w:rsidR="00F96911" w:rsidRDefault="00F96911" w:rsidP="00D51717">
            <w:pPr>
              <w:spacing w:line="300" w:lineRule="atLeast"/>
              <w:rPr>
                <w:color w:val="000000"/>
                <w:sz w:val="22"/>
                <w:szCs w:val="22"/>
              </w:rPr>
            </w:pPr>
            <w:r>
              <w:rPr>
                <w:color w:val="000000"/>
                <w:sz w:val="22"/>
                <w:szCs w:val="22"/>
              </w:rPr>
              <w:t>Substantial</w:t>
            </w:r>
          </w:p>
        </w:tc>
      </w:tr>
      <w:tr w:rsidR="00F96911" w14:paraId="17A29987" w14:textId="77777777" w:rsidTr="00D51717">
        <w:tc>
          <w:tcPr>
            <w:tcW w:w="4335" w:type="dxa"/>
            <w:tcBorders>
              <w:top w:val="single" w:sz="6" w:space="0" w:color="B1B1B1"/>
              <w:left w:val="single" w:sz="6" w:space="0" w:color="B1B1B1"/>
              <w:bottom w:val="single" w:sz="6" w:space="0" w:color="B1B1B1"/>
              <w:right w:val="single" w:sz="6" w:space="0" w:color="B1B1B1"/>
            </w:tcBorders>
            <w:vAlign w:val="center"/>
          </w:tcPr>
          <w:p w14:paraId="4A2F7FFD" w14:textId="77777777" w:rsidR="00F96911" w:rsidRDefault="00F96911" w:rsidP="00D51717">
            <w:pPr>
              <w:spacing w:line="300" w:lineRule="atLeast"/>
              <w:rPr>
                <w:color w:val="000000"/>
                <w:sz w:val="22"/>
                <w:szCs w:val="22"/>
              </w:rPr>
            </w:pPr>
            <w:r>
              <w:rPr>
                <w:color w:val="000000"/>
                <w:sz w:val="22"/>
                <w:szCs w:val="22"/>
              </w:rPr>
              <w:t xml:space="preserve"> Bank Performance:</w:t>
            </w:r>
          </w:p>
        </w:tc>
        <w:tc>
          <w:tcPr>
            <w:tcW w:w="4335" w:type="dxa"/>
            <w:tcBorders>
              <w:top w:val="single" w:sz="6" w:space="0" w:color="B1B1B1"/>
              <w:left w:val="single" w:sz="6" w:space="0" w:color="B1B1B1"/>
              <w:bottom w:val="single" w:sz="6" w:space="0" w:color="B1B1B1"/>
              <w:right w:val="single" w:sz="6" w:space="0" w:color="B1B1B1"/>
            </w:tcBorders>
            <w:vAlign w:val="center"/>
          </w:tcPr>
          <w:p w14:paraId="1B4DEDA5" w14:textId="77777777" w:rsidR="00F96911" w:rsidRDefault="00F96911" w:rsidP="00D51717">
            <w:pPr>
              <w:spacing w:line="300" w:lineRule="atLeast"/>
              <w:rPr>
                <w:color w:val="000000"/>
                <w:sz w:val="22"/>
                <w:szCs w:val="22"/>
              </w:rPr>
            </w:pPr>
            <w:r>
              <w:rPr>
                <w:color w:val="000000"/>
                <w:sz w:val="22"/>
                <w:szCs w:val="22"/>
              </w:rPr>
              <w:t>Satisfactory</w:t>
            </w:r>
          </w:p>
        </w:tc>
      </w:tr>
      <w:tr w:rsidR="00F96911" w14:paraId="5C925765" w14:textId="77777777" w:rsidTr="00D51717">
        <w:tc>
          <w:tcPr>
            <w:tcW w:w="4335" w:type="dxa"/>
            <w:tcBorders>
              <w:top w:val="single" w:sz="6" w:space="0" w:color="B1B1B1"/>
              <w:left w:val="single" w:sz="6" w:space="0" w:color="B1B1B1"/>
              <w:bottom w:val="single" w:sz="6" w:space="0" w:color="B1B1B1"/>
              <w:right w:val="single" w:sz="6" w:space="0" w:color="B1B1B1"/>
            </w:tcBorders>
            <w:vAlign w:val="center"/>
          </w:tcPr>
          <w:p w14:paraId="53E88790" w14:textId="77777777" w:rsidR="00F96911" w:rsidRDefault="00F96911" w:rsidP="00D51717">
            <w:pPr>
              <w:spacing w:line="300" w:lineRule="atLeast"/>
              <w:rPr>
                <w:color w:val="000000"/>
                <w:sz w:val="22"/>
                <w:szCs w:val="22"/>
              </w:rPr>
            </w:pPr>
            <w:r>
              <w:rPr>
                <w:color w:val="000000"/>
                <w:sz w:val="22"/>
                <w:szCs w:val="22"/>
              </w:rPr>
              <w:t xml:space="preserve"> </w:t>
            </w:r>
            <w:bookmarkStart w:id="40" w:name="SEC_3_1_COL_1"/>
            <w:r>
              <w:rPr>
                <w:color w:val="000000"/>
                <w:sz w:val="22"/>
                <w:szCs w:val="22"/>
              </w:rPr>
              <w:t>Borrower Performance:</w:t>
            </w:r>
            <w:bookmarkEnd w:id="40"/>
          </w:p>
        </w:tc>
        <w:tc>
          <w:tcPr>
            <w:tcW w:w="4335" w:type="dxa"/>
            <w:tcBorders>
              <w:top w:val="single" w:sz="6" w:space="0" w:color="B1B1B1"/>
              <w:left w:val="single" w:sz="6" w:space="0" w:color="B1B1B1"/>
              <w:bottom w:val="single" w:sz="6" w:space="0" w:color="B1B1B1"/>
              <w:right w:val="single" w:sz="6" w:space="0" w:color="B1B1B1"/>
            </w:tcBorders>
            <w:vAlign w:val="center"/>
          </w:tcPr>
          <w:p w14:paraId="1AA59002" w14:textId="77777777" w:rsidR="00F96911" w:rsidRDefault="00F96911" w:rsidP="00D51717">
            <w:pPr>
              <w:spacing w:line="300" w:lineRule="atLeast"/>
              <w:rPr>
                <w:color w:val="000000"/>
                <w:sz w:val="22"/>
                <w:szCs w:val="22"/>
              </w:rPr>
            </w:pPr>
            <w:bookmarkStart w:id="41" w:name="SEC_3_1_COL_2"/>
            <w:bookmarkEnd w:id="41"/>
            <w:r>
              <w:rPr>
                <w:color w:val="000000"/>
                <w:sz w:val="22"/>
                <w:szCs w:val="22"/>
              </w:rPr>
              <w:t>Satisfactory</w:t>
            </w:r>
          </w:p>
        </w:tc>
      </w:tr>
    </w:tbl>
    <w:p w14:paraId="3F1F9F35" w14:textId="77777777" w:rsidR="00F96911" w:rsidRDefault="00F96911" w:rsidP="00F96911">
      <w:pPr>
        <w:rPr>
          <w:sz w:val="2"/>
          <w:szCs w:val="2"/>
        </w:rPr>
      </w:pPr>
      <w:bookmarkStart w:id="42" w:name="SEC_3_1"/>
      <w:bookmarkEnd w:id="42"/>
    </w:p>
    <w:tbl>
      <w:tblPr>
        <w:tblW w:w="5000" w:type="pct"/>
        <w:tblCellMar>
          <w:top w:w="10" w:type="dxa"/>
          <w:left w:w="10" w:type="dxa"/>
          <w:bottom w:w="10" w:type="dxa"/>
          <w:right w:w="10" w:type="dxa"/>
        </w:tblCellMar>
        <w:tblLook w:val="0000" w:firstRow="0" w:lastRow="0" w:firstColumn="0" w:lastColumn="0" w:noHBand="0" w:noVBand="0"/>
      </w:tblPr>
      <w:tblGrid>
        <w:gridCol w:w="2157"/>
        <w:gridCol w:w="185"/>
        <w:gridCol w:w="1973"/>
        <w:gridCol w:w="860"/>
        <w:gridCol w:w="1110"/>
        <w:gridCol w:w="188"/>
        <w:gridCol w:w="507"/>
        <w:gridCol w:w="1650"/>
      </w:tblGrid>
      <w:tr w:rsidR="00F96911" w14:paraId="0EE05873" w14:textId="77777777" w:rsidTr="00D51717">
        <w:tc>
          <w:tcPr>
            <w:tcW w:w="5000" w:type="pct"/>
            <w:gridSpan w:val="8"/>
            <w:tcBorders>
              <w:top w:val="single" w:sz="4" w:space="0" w:color="B1B1B1"/>
              <w:left w:val="single" w:sz="4" w:space="0" w:color="B1B1B1"/>
              <w:bottom w:val="single" w:sz="4" w:space="0" w:color="B1B1B1"/>
              <w:right w:val="single" w:sz="4" w:space="0" w:color="B1B1B1"/>
            </w:tcBorders>
            <w:shd w:val="clear" w:color="auto" w:fill="F1F1F1"/>
            <w:vAlign w:val="center"/>
          </w:tcPr>
          <w:p w14:paraId="3B2B8028" w14:textId="77777777" w:rsidR="00F96911" w:rsidRDefault="00F96911" w:rsidP="00D51717">
            <w:pPr>
              <w:keepNext/>
              <w:keepLines/>
              <w:rPr>
                <w:b/>
                <w:bCs/>
                <w:color w:val="606060"/>
                <w:sz w:val="22"/>
                <w:szCs w:val="22"/>
              </w:rPr>
            </w:pPr>
            <w:r>
              <w:rPr>
                <w:b/>
                <w:sz w:val="22"/>
                <w:szCs w:val="22"/>
              </w:rPr>
              <w:lastRenderedPageBreak/>
              <w:t>C.2  Detailed Ratings of Bank and Borrower Performance (by ICR)</w:t>
            </w:r>
          </w:p>
        </w:tc>
      </w:tr>
      <w:tr w:rsidR="00F96911" w14:paraId="5BEBCBDC" w14:textId="77777777" w:rsidTr="00D51717">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4FADE60E" w14:textId="77777777" w:rsidR="00F96911" w:rsidRDefault="00F96911" w:rsidP="00D51717">
            <w:pPr>
              <w:keepNext/>
              <w:jc w:val="center"/>
              <w:rPr>
                <w:b/>
                <w:bCs/>
                <w:color w:val="606060"/>
                <w:sz w:val="22"/>
                <w:szCs w:val="22"/>
              </w:rPr>
            </w:pPr>
            <w:r>
              <w:rPr>
                <w:b/>
                <w:bCs/>
                <w:color w:val="606060"/>
                <w:sz w:val="22"/>
                <w:szCs w:val="22"/>
              </w:rPr>
              <w:t>Bank</w:t>
            </w:r>
          </w:p>
        </w:tc>
        <w:tc>
          <w:tcPr>
            <w:tcW w:w="1250"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5D5F7C5A" w14:textId="77777777" w:rsidR="00F96911" w:rsidRDefault="00F96911" w:rsidP="00D51717">
            <w:pPr>
              <w:keepNext/>
              <w:keepLines/>
              <w:jc w:val="center"/>
              <w:rPr>
                <w:b/>
                <w:bCs/>
                <w:color w:val="606060"/>
                <w:sz w:val="22"/>
                <w:szCs w:val="22"/>
              </w:rPr>
            </w:pPr>
            <w:r>
              <w:rPr>
                <w:b/>
                <w:bCs/>
                <w:color w:val="606060"/>
                <w:sz w:val="22"/>
                <w:szCs w:val="22"/>
              </w:rPr>
              <w:t>Ratings</w:t>
            </w:r>
          </w:p>
        </w:tc>
        <w:tc>
          <w:tcPr>
            <w:tcW w:w="1250" w:type="pct"/>
            <w:gridSpan w:val="3"/>
            <w:tcBorders>
              <w:top w:val="single" w:sz="4" w:space="0" w:color="B1B1B1"/>
              <w:left w:val="single" w:sz="4" w:space="0" w:color="B1B1B1"/>
              <w:bottom w:val="single" w:sz="4" w:space="0" w:color="B1B1B1"/>
              <w:right w:val="single" w:sz="4" w:space="0" w:color="B1B1B1"/>
            </w:tcBorders>
            <w:shd w:val="clear" w:color="auto" w:fill="F1F1F1"/>
            <w:vAlign w:val="center"/>
          </w:tcPr>
          <w:p w14:paraId="33327DA9" w14:textId="77777777" w:rsidR="00F96911" w:rsidRDefault="00F96911" w:rsidP="00D51717">
            <w:pPr>
              <w:keepNext/>
              <w:jc w:val="center"/>
              <w:rPr>
                <w:b/>
                <w:bCs/>
                <w:color w:val="606060"/>
                <w:sz w:val="22"/>
                <w:szCs w:val="22"/>
              </w:rPr>
            </w:pPr>
            <w:r>
              <w:rPr>
                <w:b/>
                <w:bCs/>
                <w:color w:val="606060"/>
                <w:sz w:val="22"/>
                <w:szCs w:val="22"/>
              </w:rPr>
              <w:t>Borrower</w:t>
            </w:r>
          </w:p>
        </w:tc>
        <w:tc>
          <w:tcPr>
            <w:tcW w:w="1250"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330B84A0" w14:textId="77777777" w:rsidR="00F96911" w:rsidRDefault="00F96911" w:rsidP="00D51717">
            <w:pPr>
              <w:keepNext/>
              <w:jc w:val="center"/>
              <w:rPr>
                <w:b/>
                <w:bCs/>
                <w:color w:val="606060"/>
                <w:sz w:val="22"/>
                <w:szCs w:val="22"/>
              </w:rPr>
            </w:pPr>
            <w:r>
              <w:rPr>
                <w:b/>
                <w:bCs/>
                <w:color w:val="606060"/>
                <w:sz w:val="22"/>
                <w:szCs w:val="22"/>
              </w:rPr>
              <w:t>Ratings</w:t>
            </w:r>
          </w:p>
        </w:tc>
      </w:tr>
      <w:tr w:rsidR="00F96911" w14:paraId="616E5991" w14:textId="77777777" w:rsidTr="005A4EF0">
        <w:tc>
          <w:tcPr>
            <w:tcW w:w="1250" w:type="pct"/>
            <w:tcBorders>
              <w:top w:val="single" w:sz="4" w:space="0" w:color="B1B1B1"/>
              <w:left w:val="single" w:sz="4" w:space="0" w:color="B1B1B1"/>
              <w:bottom w:val="single" w:sz="4" w:space="0" w:color="B1B1B1"/>
              <w:right w:val="single" w:sz="4" w:space="0" w:color="B1B1B1"/>
            </w:tcBorders>
            <w:vAlign w:val="center"/>
          </w:tcPr>
          <w:p w14:paraId="7FF899AC" w14:textId="77777777" w:rsidR="00F96911" w:rsidRDefault="00F96911" w:rsidP="00D51717">
            <w:pPr>
              <w:keepLines/>
              <w:spacing w:line="200" w:lineRule="atLeast"/>
              <w:rPr>
                <w:color w:val="000000"/>
                <w:sz w:val="22"/>
                <w:szCs w:val="22"/>
              </w:rPr>
            </w:pPr>
            <w:r>
              <w:rPr>
                <w:color w:val="000000"/>
                <w:sz w:val="22"/>
                <w:szCs w:val="22"/>
              </w:rPr>
              <w:t>Quality at Entry:</w:t>
            </w:r>
          </w:p>
        </w:tc>
        <w:tc>
          <w:tcPr>
            <w:tcW w:w="1250" w:type="pct"/>
            <w:gridSpan w:val="2"/>
            <w:tcBorders>
              <w:top w:val="single" w:sz="4" w:space="0" w:color="B1B1B1"/>
              <w:left w:val="single" w:sz="4" w:space="0" w:color="B1B1B1"/>
              <w:bottom w:val="single" w:sz="4" w:space="0" w:color="B1B1B1"/>
              <w:right w:val="single" w:sz="4" w:space="0" w:color="B1B1B1"/>
            </w:tcBorders>
            <w:vAlign w:val="center"/>
          </w:tcPr>
          <w:p w14:paraId="7F2C6B1E" w14:textId="77777777" w:rsidR="00F96911" w:rsidRDefault="00F96911" w:rsidP="00D51717">
            <w:pPr>
              <w:keepLines/>
              <w:spacing w:line="200" w:lineRule="atLeast"/>
              <w:rPr>
                <w:color w:val="000000"/>
                <w:sz w:val="22"/>
                <w:szCs w:val="22"/>
              </w:rPr>
            </w:pPr>
            <w:bookmarkStart w:id="43" w:name="RAT_1"/>
            <w:bookmarkEnd w:id="43"/>
            <w:r>
              <w:rPr>
                <w:color w:val="000000"/>
                <w:sz w:val="22"/>
                <w:szCs w:val="22"/>
              </w:rPr>
              <w:t>Highly Satisfactory</w:t>
            </w:r>
          </w:p>
        </w:tc>
        <w:tc>
          <w:tcPr>
            <w:tcW w:w="1250" w:type="pct"/>
            <w:gridSpan w:val="3"/>
            <w:tcBorders>
              <w:top w:val="single" w:sz="4" w:space="0" w:color="B1B1B1"/>
              <w:left w:val="single" w:sz="4" w:space="0" w:color="B1B1B1"/>
              <w:bottom w:val="single" w:sz="4" w:space="0" w:color="B1B1B1"/>
              <w:right w:val="single" w:sz="4" w:space="0" w:color="B1B1B1"/>
            </w:tcBorders>
            <w:vAlign w:val="center"/>
          </w:tcPr>
          <w:p w14:paraId="6616660B" w14:textId="77777777" w:rsidR="00F96911" w:rsidRDefault="00F96911" w:rsidP="00D51717">
            <w:pPr>
              <w:keepLines/>
              <w:spacing w:line="200" w:lineRule="atLeast"/>
              <w:rPr>
                <w:color w:val="000000"/>
                <w:sz w:val="22"/>
                <w:szCs w:val="22"/>
              </w:rPr>
            </w:pPr>
            <w:r>
              <w:rPr>
                <w:color w:val="000000"/>
                <w:sz w:val="22"/>
                <w:szCs w:val="22"/>
              </w:rPr>
              <w:t>Government:</w:t>
            </w:r>
          </w:p>
        </w:tc>
        <w:tc>
          <w:tcPr>
            <w:tcW w:w="1250" w:type="pct"/>
            <w:gridSpan w:val="2"/>
            <w:tcBorders>
              <w:top w:val="single" w:sz="4" w:space="0" w:color="B1B1B1"/>
              <w:left w:val="single" w:sz="4" w:space="0" w:color="B1B1B1"/>
              <w:bottom w:val="single" w:sz="4" w:space="0" w:color="B1B1B1"/>
              <w:right w:val="single" w:sz="4" w:space="0" w:color="B1B1B1"/>
            </w:tcBorders>
            <w:vAlign w:val="center"/>
          </w:tcPr>
          <w:p w14:paraId="04558F7D" w14:textId="77777777" w:rsidR="00F96911" w:rsidRDefault="00F96911" w:rsidP="00D51717">
            <w:pPr>
              <w:keepLines/>
              <w:spacing w:line="200" w:lineRule="atLeast"/>
              <w:rPr>
                <w:color w:val="000000"/>
                <w:sz w:val="22"/>
                <w:szCs w:val="22"/>
              </w:rPr>
            </w:pPr>
            <w:bookmarkStart w:id="44" w:name="RAT_4"/>
            <w:bookmarkEnd w:id="44"/>
            <w:r w:rsidRPr="00434E3E">
              <w:rPr>
                <w:color w:val="000000"/>
                <w:sz w:val="22"/>
                <w:szCs w:val="22"/>
              </w:rPr>
              <w:t>Satisfactory</w:t>
            </w:r>
          </w:p>
        </w:tc>
      </w:tr>
      <w:tr w:rsidR="00F96911" w14:paraId="67652569" w14:textId="77777777" w:rsidTr="005A4EF0">
        <w:tc>
          <w:tcPr>
            <w:tcW w:w="1250" w:type="pct"/>
            <w:tcBorders>
              <w:top w:val="single" w:sz="4" w:space="0" w:color="B1B1B1"/>
              <w:left w:val="single" w:sz="4" w:space="0" w:color="B1B1B1"/>
              <w:bottom w:val="single" w:sz="4" w:space="0" w:color="B1B1B1"/>
              <w:right w:val="single" w:sz="4" w:space="0" w:color="B1B1B1"/>
            </w:tcBorders>
            <w:vAlign w:val="center"/>
          </w:tcPr>
          <w:p w14:paraId="616F017D" w14:textId="77777777" w:rsidR="00F96911" w:rsidRDefault="00F96911" w:rsidP="00D51717">
            <w:pPr>
              <w:keepLines/>
              <w:spacing w:line="200" w:lineRule="atLeast"/>
              <w:rPr>
                <w:color w:val="000000"/>
                <w:sz w:val="22"/>
                <w:szCs w:val="22"/>
              </w:rPr>
            </w:pPr>
            <w:r>
              <w:rPr>
                <w:color w:val="000000"/>
                <w:sz w:val="22"/>
                <w:szCs w:val="22"/>
              </w:rPr>
              <w:t>Quality of Supervision:</w:t>
            </w:r>
          </w:p>
        </w:tc>
        <w:tc>
          <w:tcPr>
            <w:tcW w:w="1250" w:type="pct"/>
            <w:gridSpan w:val="2"/>
            <w:tcBorders>
              <w:top w:val="single" w:sz="4" w:space="0" w:color="B1B1B1"/>
              <w:left w:val="single" w:sz="4" w:space="0" w:color="B1B1B1"/>
              <w:bottom w:val="single" w:sz="4" w:space="0" w:color="B1B1B1"/>
              <w:right w:val="single" w:sz="4" w:space="0" w:color="B1B1B1"/>
            </w:tcBorders>
            <w:vAlign w:val="center"/>
          </w:tcPr>
          <w:p w14:paraId="7A99153D" w14:textId="77777777" w:rsidR="00F96911" w:rsidRDefault="00F96911" w:rsidP="00D51717">
            <w:pPr>
              <w:keepLines/>
              <w:spacing w:line="200" w:lineRule="atLeast"/>
              <w:rPr>
                <w:color w:val="000000"/>
                <w:sz w:val="22"/>
                <w:szCs w:val="22"/>
              </w:rPr>
            </w:pPr>
            <w:bookmarkStart w:id="45" w:name="RAT_2"/>
            <w:bookmarkEnd w:id="45"/>
            <w:r w:rsidRPr="00434E3E">
              <w:rPr>
                <w:color w:val="000000"/>
                <w:sz w:val="22"/>
                <w:szCs w:val="22"/>
              </w:rPr>
              <w:t>Satisfactory</w:t>
            </w:r>
          </w:p>
        </w:tc>
        <w:tc>
          <w:tcPr>
            <w:tcW w:w="1250" w:type="pct"/>
            <w:gridSpan w:val="3"/>
            <w:tcBorders>
              <w:top w:val="single" w:sz="4" w:space="0" w:color="B1B1B1"/>
              <w:left w:val="single" w:sz="4" w:space="0" w:color="B1B1B1"/>
              <w:bottom w:val="single" w:sz="4" w:space="0" w:color="B1B1B1"/>
              <w:right w:val="single" w:sz="4" w:space="0" w:color="B1B1B1"/>
            </w:tcBorders>
            <w:vAlign w:val="center"/>
          </w:tcPr>
          <w:p w14:paraId="5DD0B686" w14:textId="77777777" w:rsidR="00F96911" w:rsidRDefault="00F96911" w:rsidP="00D51717">
            <w:pPr>
              <w:keepLines/>
              <w:spacing w:line="200" w:lineRule="atLeast"/>
              <w:rPr>
                <w:color w:val="000000"/>
                <w:sz w:val="22"/>
                <w:szCs w:val="22"/>
              </w:rPr>
            </w:pPr>
            <w:r>
              <w:rPr>
                <w:color w:val="000000"/>
                <w:sz w:val="22"/>
                <w:szCs w:val="22"/>
              </w:rPr>
              <w:t>Implementing Agency/Agencies:</w:t>
            </w:r>
          </w:p>
        </w:tc>
        <w:tc>
          <w:tcPr>
            <w:tcW w:w="1250" w:type="pct"/>
            <w:gridSpan w:val="2"/>
            <w:tcBorders>
              <w:top w:val="single" w:sz="4" w:space="0" w:color="B1B1B1"/>
              <w:left w:val="single" w:sz="4" w:space="0" w:color="B1B1B1"/>
              <w:bottom w:val="single" w:sz="4" w:space="0" w:color="B1B1B1"/>
              <w:right w:val="single" w:sz="4" w:space="0" w:color="B1B1B1"/>
            </w:tcBorders>
            <w:vAlign w:val="center"/>
          </w:tcPr>
          <w:p w14:paraId="2AF72C24" w14:textId="77777777" w:rsidR="00F96911" w:rsidRDefault="00F96911" w:rsidP="00D51717">
            <w:pPr>
              <w:keepLines/>
              <w:spacing w:line="200" w:lineRule="atLeast"/>
              <w:rPr>
                <w:color w:val="000000"/>
                <w:sz w:val="22"/>
                <w:szCs w:val="22"/>
              </w:rPr>
            </w:pPr>
            <w:bookmarkStart w:id="46" w:name="RAT_5"/>
            <w:bookmarkEnd w:id="46"/>
            <w:r>
              <w:rPr>
                <w:color w:val="000000"/>
                <w:sz w:val="22"/>
                <w:szCs w:val="22"/>
              </w:rPr>
              <w:t>Satisfactory</w:t>
            </w:r>
          </w:p>
        </w:tc>
      </w:tr>
      <w:tr w:rsidR="00F96911" w14:paraId="796D1269" w14:textId="77777777" w:rsidTr="005A4EF0">
        <w:tc>
          <w:tcPr>
            <w:tcW w:w="1250" w:type="pct"/>
            <w:tcBorders>
              <w:top w:val="single" w:sz="4" w:space="0" w:color="B1B1B1"/>
              <w:left w:val="single" w:sz="4" w:space="0" w:color="B1B1B1"/>
              <w:bottom w:val="single" w:sz="4" w:space="0" w:color="B1B1B1"/>
              <w:right w:val="single" w:sz="4" w:space="0" w:color="B1B1B1"/>
            </w:tcBorders>
            <w:vAlign w:val="center"/>
          </w:tcPr>
          <w:p w14:paraId="2E592029" w14:textId="77777777" w:rsidR="00F96911" w:rsidRDefault="00F96911" w:rsidP="00D51717">
            <w:pPr>
              <w:keepLines/>
              <w:spacing w:line="200" w:lineRule="atLeast"/>
              <w:rPr>
                <w:color w:val="000000"/>
                <w:sz w:val="22"/>
                <w:szCs w:val="22"/>
              </w:rPr>
            </w:pPr>
            <w:r>
              <w:rPr>
                <w:rStyle w:val="Strong"/>
                <w:color w:val="000000"/>
                <w:sz w:val="22"/>
                <w:szCs w:val="22"/>
              </w:rPr>
              <w:t>Overall Bank Performance:</w:t>
            </w:r>
          </w:p>
        </w:tc>
        <w:tc>
          <w:tcPr>
            <w:tcW w:w="1250" w:type="pct"/>
            <w:gridSpan w:val="2"/>
            <w:tcBorders>
              <w:top w:val="single" w:sz="4" w:space="0" w:color="B1B1B1"/>
              <w:left w:val="single" w:sz="4" w:space="0" w:color="B1B1B1"/>
              <w:bottom w:val="single" w:sz="4" w:space="0" w:color="B1B1B1"/>
              <w:right w:val="single" w:sz="4" w:space="0" w:color="B1B1B1"/>
            </w:tcBorders>
            <w:vAlign w:val="center"/>
          </w:tcPr>
          <w:p w14:paraId="2C3397C4" w14:textId="77777777" w:rsidR="00F96911" w:rsidRDefault="00F96911" w:rsidP="00D51717">
            <w:pPr>
              <w:keepLines/>
              <w:spacing w:line="200" w:lineRule="atLeast"/>
              <w:rPr>
                <w:color w:val="000000"/>
                <w:sz w:val="22"/>
                <w:szCs w:val="22"/>
              </w:rPr>
            </w:pPr>
            <w:bookmarkStart w:id="47" w:name="RAT_3"/>
            <w:bookmarkEnd w:id="47"/>
            <w:r w:rsidRPr="00434E3E">
              <w:rPr>
                <w:color w:val="000000"/>
                <w:sz w:val="22"/>
                <w:szCs w:val="22"/>
              </w:rPr>
              <w:t>Satisfactory</w:t>
            </w:r>
          </w:p>
        </w:tc>
        <w:tc>
          <w:tcPr>
            <w:tcW w:w="1250" w:type="pct"/>
            <w:gridSpan w:val="3"/>
            <w:tcBorders>
              <w:top w:val="single" w:sz="4" w:space="0" w:color="B1B1B1"/>
              <w:left w:val="single" w:sz="4" w:space="0" w:color="B1B1B1"/>
              <w:bottom w:val="single" w:sz="4" w:space="0" w:color="B1B1B1"/>
              <w:right w:val="single" w:sz="4" w:space="0" w:color="B1B1B1"/>
            </w:tcBorders>
            <w:vAlign w:val="center"/>
          </w:tcPr>
          <w:p w14:paraId="52520FFF" w14:textId="77777777" w:rsidR="00F96911" w:rsidRDefault="00F96911" w:rsidP="00D51717">
            <w:pPr>
              <w:keepLines/>
              <w:spacing w:line="200" w:lineRule="atLeast"/>
              <w:rPr>
                <w:color w:val="000000"/>
                <w:sz w:val="22"/>
                <w:szCs w:val="22"/>
              </w:rPr>
            </w:pPr>
            <w:r>
              <w:rPr>
                <w:rStyle w:val="Strong"/>
                <w:color w:val="000000"/>
                <w:sz w:val="22"/>
                <w:szCs w:val="22"/>
              </w:rPr>
              <w:t>Overall Borrower Performance:</w:t>
            </w:r>
          </w:p>
        </w:tc>
        <w:tc>
          <w:tcPr>
            <w:tcW w:w="1250" w:type="pct"/>
            <w:gridSpan w:val="2"/>
            <w:tcBorders>
              <w:top w:val="single" w:sz="4" w:space="0" w:color="B1B1B1"/>
              <w:left w:val="single" w:sz="4" w:space="0" w:color="B1B1B1"/>
              <w:bottom w:val="single" w:sz="4" w:space="0" w:color="B1B1B1"/>
              <w:right w:val="single" w:sz="4" w:space="0" w:color="B1B1B1"/>
            </w:tcBorders>
            <w:vAlign w:val="center"/>
          </w:tcPr>
          <w:p w14:paraId="313C82A7" w14:textId="77777777" w:rsidR="00F96911" w:rsidRDefault="00F96911" w:rsidP="00D51717">
            <w:pPr>
              <w:keepLines/>
              <w:spacing w:line="200" w:lineRule="atLeast"/>
              <w:rPr>
                <w:color w:val="000000"/>
                <w:sz w:val="22"/>
                <w:szCs w:val="22"/>
              </w:rPr>
            </w:pPr>
            <w:bookmarkStart w:id="48" w:name="RAT_6"/>
            <w:bookmarkEnd w:id="48"/>
            <w:r>
              <w:rPr>
                <w:color w:val="000000"/>
                <w:sz w:val="22"/>
                <w:szCs w:val="22"/>
              </w:rPr>
              <w:t>Satisfactory</w:t>
            </w:r>
          </w:p>
        </w:tc>
      </w:tr>
      <w:tr w:rsidR="00F96911" w14:paraId="7EFE39FA" w14:textId="77777777" w:rsidTr="005A4EF0">
        <w:tblPrEx>
          <w:tblCellMar>
            <w:top w:w="15" w:type="dxa"/>
            <w:left w:w="15" w:type="dxa"/>
            <w:bottom w:w="15" w:type="dxa"/>
            <w:right w:w="15" w:type="dxa"/>
          </w:tblCellMar>
        </w:tblPrEx>
        <w:tc>
          <w:tcPr>
            <w:tcW w:w="5000" w:type="pct"/>
            <w:gridSpan w:val="8"/>
            <w:tcBorders>
              <w:top w:val="single" w:sz="6" w:space="0" w:color="B1B1B1"/>
              <w:left w:val="single" w:sz="6" w:space="0" w:color="B1B1B1"/>
              <w:bottom w:val="single" w:sz="6" w:space="0" w:color="B1B1B1"/>
              <w:right w:val="single" w:sz="6" w:space="0" w:color="B1B1B1"/>
            </w:tcBorders>
            <w:shd w:val="clear" w:color="auto" w:fill="F2F2F2" w:themeFill="background1" w:themeFillShade="F2"/>
            <w:vAlign w:val="center"/>
          </w:tcPr>
          <w:p w14:paraId="0459AAE8" w14:textId="77777777" w:rsidR="00F96911" w:rsidRDefault="00F96911" w:rsidP="00D51717">
            <w:pPr>
              <w:keepNext/>
              <w:keepLines/>
            </w:pPr>
            <w:r>
              <w:rPr>
                <w:b/>
                <w:sz w:val="22"/>
                <w:szCs w:val="22"/>
              </w:rPr>
              <w:t>C.3 Quality at Entry and Implementation Performance Indicators</w:t>
            </w:r>
          </w:p>
        </w:tc>
      </w:tr>
      <w:tr w:rsidR="00F96911" w14:paraId="6FC3686B" w14:textId="77777777" w:rsidTr="005A4EF0">
        <w:tblPrEx>
          <w:tblCellMar>
            <w:top w:w="15" w:type="dxa"/>
            <w:left w:w="15" w:type="dxa"/>
            <w:bottom w:w="15" w:type="dxa"/>
            <w:right w:w="15" w:type="dxa"/>
          </w:tblCellMar>
        </w:tblPrEx>
        <w:tc>
          <w:tcPr>
            <w:tcW w:w="1357" w:type="pct"/>
            <w:gridSpan w:val="2"/>
            <w:tcBorders>
              <w:top w:val="single" w:sz="6" w:space="0" w:color="B1B1B1"/>
              <w:left w:val="single" w:sz="6" w:space="0" w:color="B1B1B1"/>
              <w:bottom w:val="single" w:sz="6" w:space="0" w:color="B1B1B1"/>
              <w:right w:val="single" w:sz="6" w:space="0" w:color="B1B1B1"/>
            </w:tcBorders>
            <w:shd w:val="clear" w:color="auto" w:fill="F1F1F1"/>
            <w:vAlign w:val="center"/>
          </w:tcPr>
          <w:p w14:paraId="7A0338C2" w14:textId="77777777" w:rsidR="00F96911" w:rsidRDefault="00F96911" w:rsidP="00D51717">
            <w:pPr>
              <w:keepNext/>
              <w:keepLines/>
              <w:jc w:val="center"/>
              <w:rPr>
                <w:b/>
                <w:bCs/>
                <w:color w:val="606060"/>
                <w:sz w:val="22"/>
                <w:szCs w:val="22"/>
              </w:rPr>
            </w:pPr>
            <w:r>
              <w:rPr>
                <w:b/>
                <w:bCs/>
                <w:color w:val="606060"/>
                <w:sz w:val="22"/>
                <w:szCs w:val="22"/>
              </w:rPr>
              <w:t>Implementation Performance</w:t>
            </w:r>
          </w:p>
        </w:tc>
        <w:tc>
          <w:tcPr>
            <w:tcW w:w="1143" w:type="pct"/>
            <w:tcBorders>
              <w:top w:val="single" w:sz="6" w:space="0" w:color="B1B1B1"/>
              <w:left w:val="single" w:sz="6" w:space="0" w:color="B1B1B1"/>
              <w:bottom w:val="single" w:sz="6" w:space="0" w:color="B1B1B1"/>
              <w:right w:val="single" w:sz="6" w:space="0" w:color="B1B1B1"/>
            </w:tcBorders>
            <w:shd w:val="clear" w:color="auto" w:fill="F1F1F1"/>
            <w:vAlign w:val="center"/>
          </w:tcPr>
          <w:p w14:paraId="68A55DF0" w14:textId="77777777" w:rsidR="00F96911" w:rsidRDefault="00F96911" w:rsidP="00D51717">
            <w:pPr>
              <w:keepNext/>
              <w:keepLines/>
              <w:jc w:val="center"/>
              <w:rPr>
                <w:b/>
                <w:bCs/>
                <w:color w:val="606060"/>
                <w:sz w:val="22"/>
                <w:szCs w:val="22"/>
              </w:rPr>
            </w:pPr>
            <w:r>
              <w:rPr>
                <w:b/>
                <w:bCs/>
                <w:color w:val="606060"/>
                <w:sz w:val="22"/>
                <w:szCs w:val="22"/>
              </w:rPr>
              <w:t>Indicators</w:t>
            </w:r>
          </w:p>
        </w:tc>
        <w:tc>
          <w:tcPr>
            <w:tcW w:w="1141" w:type="pct"/>
            <w:gridSpan w:val="2"/>
            <w:tcBorders>
              <w:top w:val="single" w:sz="6" w:space="0" w:color="B1B1B1"/>
              <w:left w:val="single" w:sz="6" w:space="0" w:color="B1B1B1"/>
              <w:bottom w:val="single" w:sz="6" w:space="0" w:color="B1B1B1"/>
              <w:right w:val="single" w:sz="6" w:space="0" w:color="B1B1B1"/>
            </w:tcBorders>
            <w:shd w:val="clear" w:color="auto" w:fill="F1F1F1"/>
            <w:vAlign w:val="center"/>
          </w:tcPr>
          <w:p w14:paraId="2B11BCF2" w14:textId="77777777" w:rsidR="00F96911" w:rsidRDefault="00F96911" w:rsidP="00D51717">
            <w:pPr>
              <w:keepNext/>
              <w:keepLines/>
              <w:jc w:val="center"/>
              <w:rPr>
                <w:b/>
                <w:bCs/>
                <w:color w:val="606060"/>
                <w:sz w:val="22"/>
                <w:szCs w:val="22"/>
              </w:rPr>
            </w:pPr>
            <w:r>
              <w:rPr>
                <w:b/>
                <w:bCs/>
                <w:color w:val="606060"/>
                <w:sz w:val="22"/>
                <w:szCs w:val="22"/>
              </w:rPr>
              <w:t>QAG Assessments (if any)</w:t>
            </w:r>
          </w:p>
        </w:tc>
        <w:tc>
          <w:tcPr>
            <w:tcW w:w="1359" w:type="pct"/>
            <w:gridSpan w:val="3"/>
            <w:tcBorders>
              <w:top w:val="single" w:sz="6" w:space="0" w:color="B1B1B1"/>
              <w:left w:val="single" w:sz="6" w:space="0" w:color="B1B1B1"/>
              <w:bottom w:val="single" w:sz="6" w:space="0" w:color="B1B1B1"/>
              <w:right w:val="single" w:sz="6" w:space="0" w:color="B1B1B1"/>
            </w:tcBorders>
            <w:shd w:val="clear" w:color="auto" w:fill="F1F1F1"/>
            <w:vAlign w:val="center"/>
          </w:tcPr>
          <w:p w14:paraId="628A53F2" w14:textId="77777777" w:rsidR="00F96911" w:rsidRDefault="00F96911" w:rsidP="00D51717">
            <w:pPr>
              <w:keepNext/>
              <w:keepLines/>
              <w:jc w:val="center"/>
              <w:rPr>
                <w:b/>
                <w:bCs/>
                <w:color w:val="606060"/>
                <w:sz w:val="22"/>
                <w:szCs w:val="22"/>
              </w:rPr>
            </w:pPr>
            <w:r>
              <w:rPr>
                <w:b/>
                <w:bCs/>
                <w:color w:val="606060"/>
                <w:sz w:val="22"/>
                <w:szCs w:val="22"/>
              </w:rPr>
              <w:t xml:space="preserve">Rating </w:t>
            </w:r>
          </w:p>
        </w:tc>
      </w:tr>
      <w:tr w:rsidR="00F96911" w14:paraId="1C8B5FA1" w14:textId="77777777" w:rsidTr="005A4EF0">
        <w:tblPrEx>
          <w:tblCellMar>
            <w:top w:w="15" w:type="dxa"/>
            <w:left w:w="15" w:type="dxa"/>
            <w:bottom w:w="15" w:type="dxa"/>
            <w:right w:w="15" w:type="dxa"/>
          </w:tblCellMar>
        </w:tblPrEx>
        <w:tc>
          <w:tcPr>
            <w:tcW w:w="1357" w:type="pct"/>
            <w:gridSpan w:val="2"/>
            <w:tcBorders>
              <w:top w:val="single" w:sz="6" w:space="0" w:color="B1B1B1"/>
              <w:left w:val="single" w:sz="6" w:space="0" w:color="B1B1B1"/>
              <w:bottom w:val="single" w:sz="6" w:space="0" w:color="B1B1B1"/>
              <w:right w:val="single" w:sz="6" w:space="0" w:color="B1B1B1"/>
            </w:tcBorders>
            <w:vAlign w:val="center"/>
          </w:tcPr>
          <w:p w14:paraId="3689B43A" w14:textId="77777777" w:rsidR="00F96911" w:rsidRDefault="00F96911" w:rsidP="00D51717">
            <w:pPr>
              <w:spacing w:line="300" w:lineRule="atLeast"/>
              <w:rPr>
                <w:color w:val="000000"/>
                <w:sz w:val="22"/>
                <w:szCs w:val="22"/>
              </w:rPr>
            </w:pPr>
            <w:r>
              <w:rPr>
                <w:color w:val="000000"/>
                <w:sz w:val="22"/>
                <w:szCs w:val="22"/>
              </w:rPr>
              <w:t xml:space="preserve"> Potential Problem Project at any time (Yes/No):</w:t>
            </w:r>
          </w:p>
        </w:tc>
        <w:tc>
          <w:tcPr>
            <w:tcW w:w="1143" w:type="pct"/>
            <w:tcBorders>
              <w:top w:val="single" w:sz="6" w:space="0" w:color="B1B1B1"/>
              <w:left w:val="single" w:sz="6" w:space="0" w:color="B1B1B1"/>
              <w:bottom w:val="single" w:sz="6" w:space="0" w:color="B1B1B1"/>
              <w:right w:val="single" w:sz="6" w:space="0" w:color="B1B1B1"/>
            </w:tcBorders>
            <w:vAlign w:val="center"/>
          </w:tcPr>
          <w:p w14:paraId="5BD3E983" w14:textId="77777777" w:rsidR="00F96911" w:rsidRDefault="00F96911" w:rsidP="00D51717">
            <w:pPr>
              <w:spacing w:line="300" w:lineRule="atLeast"/>
              <w:rPr>
                <w:color w:val="000000"/>
                <w:sz w:val="22"/>
                <w:szCs w:val="22"/>
              </w:rPr>
            </w:pPr>
            <w:r>
              <w:rPr>
                <w:color w:val="000000"/>
                <w:sz w:val="22"/>
                <w:szCs w:val="22"/>
              </w:rPr>
              <w:t>No</w:t>
            </w:r>
          </w:p>
        </w:tc>
        <w:tc>
          <w:tcPr>
            <w:tcW w:w="1141" w:type="pct"/>
            <w:gridSpan w:val="2"/>
            <w:tcBorders>
              <w:top w:val="single" w:sz="6" w:space="0" w:color="B1B1B1"/>
              <w:left w:val="single" w:sz="6" w:space="0" w:color="B1B1B1"/>
              <w:bottom w:val="single" w:sz="6" w:space="0" w:color="B1B1B1"/>
              <w:right w:val="single" w:sz="6" w:space="0" w:color="B1B1B1"/>
            </w:tcBorders>
            <w:vAlign w:val="center"/>
          </w:tcPr>
          <w:p w14:paraId="6BB23BA0" w14:textId="77777777" w:rsidR="00F96911" w:rsidRDefault="00F96911" w:rsidP="00D51717">
            <w:pPr>
              <w:spacing w:line="300" w:lineRule="atLeast"/>
              <w:rPr>
                <w:color w:val="000000"/>
                <w:sz w:val="22"/>
                <w:szCs w:val="22"/>
              </w:rPr>
            </w:pPr>
            <w:r>
              <w:rPr>
                <w:color w:val="000000"/>
                <w:sz w:val="22"/>
                <w:szCs w:val="22"/>
              </w:rPr>
              <w:t>Quality at Entry (QEA):</w:t>
            </w:r>
          </w:p>
        </w:tc>
        <w:tc>
          <w:tcPr>
            <w:tcW w:w="1359" w:type="pct"/>
            <w:gridSpan w:val="3"/>
            <w:tcBorders>
              <w:top w:val="single" w:sz="6" w:space="0" w:color="B1B1B1"/>
              <w:left w:val="single" w:sz="6" w:space="0" w:color="B1B1B1"/>
              <w:bottom w:val="single" w:sz="6" w:space="0" w:color="B1B1B1"/>
              <w:right w:val="single" w:sz="6" w:space="0" w:color="B1B1B1"/>
            </w:tcBorders>
            <w:vAlign w:val="center"/>
          </w:tcPr>
          <w:p w14:paraId="2FA65EB0" w14:textId="77777777" w:rsidR="00F96911" w:rsidRDefault="00F96911" w:rsidP="00D51717">
            <w:pPr>
              <w:spacing w:line="300" w:lineRule="atLeast"/>
              <w:rPr>
                <w:color w:val="000000"/>
                <w:sz w:val="22"/>
                <w:szCs w:val="22"/>
              </w:rPr>
            </w:pPr>
            <w:r>
              <w:rPr>
                <w:color w:val="000000"/>
                <w:sz w:val="22"/>
                <w:szCs w:val="22"/>
              </w:rPr>
              <w:t>None</w:t>
            </w:r>
          </w:p>
        </w:tc>
      </w:tr>
      <w:tr w:rsidR="00F96911" w14:paraId="342F3E6C" w14:textId="77777777" w:rsidTr="005A4EF0">
        <w:tblPrEx>
          <w:tblCellMar>
            <w:top w:w="15" w:type="dxa"/>
            <w:left w:w="15" w:type="dxa"/>
            <w:bottom w:w="15" w:type="dxa"/>
            <w:right w:w="15" w:type="dxa"/>
          </w:tblCellMar>
        </w:tblPrEx>
        <w:tc>
          <w:tcPr>
            <w:tcW w:w="1357" w:type="pct"/>
            <w:gridSpan w:val="2"/>
            <w:tcBorders>
              <w:top w:val="single" w:sz="6" w:space="0" w:color="B1B1B1"/>
              <w:left w:val="single" w:sz="6" w:space="0" w:color="B1B1B1"/>
              <w:bottom w:val="single" w:sz="6" w:space="0" w:color="B1B1B1"/>
              <w:right w:val="single" w:sz="6" w:space="0" w:color="B1B1B1"/>
            </w:tcBorders>
            <w:vAlign w:val="center"/>
          </w:tcPr>
          <w:p w14:paraId="29E0673A" w14:textId="77777777" w:rsidR="00F96911" w:rsidRDefault="00F96911" w:rsidP="00D51717">
            <w:pPr>
              <w:spacing w:line="300" w:lineRule="atLeast"/>
              <w:rPr>
                <w:color w:val="000000"/>
                <w:sz w:val="22"/>
                <w:szCs w:val="22"/>
              </w:rPr>
            </w:pPr>
            <w:r>
              <w:rPr>
                <w:color w:val="000000"/>
                <w:sz w:val="22"/>
                <w:szCs w:val="22"/>
              </w:rPr>
              <w:t xml:space="preserve"> Problem Project at any time (Yes/No):</w:t>
            </w:r>
          </w:p>
        </w:tc>
        <w:tc>
          <w:tcPr>
            <w:tcW w:w="1143" w:type="pct"/>
            <w:tcBorders>
              <w:top w:val="single" w:sz="6" w:space="0" w:color="B1B1B1"/>
              <w:left w:val="single" w:sz="6" w:space="0" w:color="B1B1B1"/>
              <w:bottom w:val="single" w:sz="6" w:space="0" w:color="B1B1B1"/>
              <w:right w:val="single" w:sz="6" w:space="0" w:color="B1B1B1"/>
            </w:tcBorders>
            <w:vAlign w:val="center"/>
          </w:tcPr>
          <w:p w14:paraId="20E4D757" w14:textId="77777777" w:rsidR="00F96911" w:rsidRDefault="00F96911" w:rsidP="00D51717">
            <w:pPr>
              <w:spacing w:line="300" w:lineRule="atLeast"/>
              <w:rPr>
                <w:color w:val="000000"/>
                <w:sz w:val="22"/>
                <w:szCs w:val="22"/>
              </w:rPr>
            </w:pPr>
            <w:r>
              <w:rPr>
                <w:color w:val="000000"/>
                <w:sz w:val="22"/>
                <w:szCs w:val="22"/>
              </w:rPr>
              <w:t>No</w:t>
            </w:r>
          </w:p>
        </w:tc>
        <w:tc>
          <w:tcPr>
            <w:tcW w:w="1141" w:type="pct"/>
            <w:gridSpan w:val="2"/>
            <w:tcBorders>
              <w:top w:val="single" w:sz="6" w:space="0" w:color="B1B1B1"/>
              <w:left w:val="single" w:sz="6" w:space="0" w:color="B1B1B1"/>
              <w:bottom w:val="single" w:sz="6" w:space="0" w:color="B1B1B1"/>
              <w:right w:val="single" w:sz="6" w:space="0" w:color="B1B1B1"/>
            </w:tcBorders>
            <w:vAlign w:val="center"/>
          </w:tcPr>
          <w:p w14:paraId="0625F216" w14:textId="77777777" w:rsidR="00F96911" w:rsidRDefault="00F96911" w:rsidP="00D51717">
            <w:pPr>
              <w:spacing w:line="300" w:lineRule="atLeast"/>
              <w:rPr>
                <w:color w:val="000000"/>
                <w:sz w:val="22"/>
                <w:szCs w:val="22"/>
              </w:rPr>
            </w:pPr>
            <w:r>
              <w:rPr>
                <w:color w:val="000000"/>
                <w:sz w:val="22"/>
                <w:szCs w:val="22"/>
              </w:rPr>
              <w:t>Quality of Supervision (QSA):</w:t>
            </w:r>
          </w:p>
        </w:tc>
        <w:tc>
          <w:tcPr>
            <w:tcW w:w="1359" w:type="pct"/>
            <w:gridSpan w:val="3"/>
            <w:tcBorders>
              <w:top w:val="single" w:sz="6" w:space="0" w:color="B1B1B1"/>
              <w:left w:val="single" w:sz="6" w:space="0" w:color="B1B1B1"/>
              <w:bottom w:val="single" w:sz="6" w:space="0" w:color="B1B1B1"/>
              <w:right w:val="single" w:sz="6" w:space="0" w:color="B1B1B1"/>
            </w:tcBorders>
            <w:vAlign w:val="center"/>
          </w:tcPr>
          <w:p w14:paraId="78C4E26C" w14:textId="77777777" w:rsidR="00F96911" w:rsidRDefault="00F96911" w:rsidP="00D51717">
            <w:pPr>
              <w:spacing w:line="300" w:lineRule="atLeast"/>
              <w:rPr>
                <w:color w:val="000000"/>
                <w:sz w:val="22"/>
                <w:szCs w:val="22"/>
              </w:rPr>
            </w:pPr>
            <w:r>
              <w:rPr>
                <w:color w:val="000000"/>
                <w:sz w:val="22"/>
                <w:szCs w:val="22"/>
              </w:rPr>
              <w:t>None</w:t>
            </w:r>
          </w:p>
        </w:tc>
      </w:tr>
      <w:tr w:rsidR="00F96911" w14:paraId="2E78C672" w14:textId="77777777" w:rsidTr="005A4EF0">
        <w:tblPrEx>
          <w:tblCellMar>
            <w:top w:w="15" w:type="dxa"/>
            <w:left w:w="15" w:type="dxa"/>
            <w:bottom w:w="15" w:type="dxa"/>
            <w:right w:w="15" w:type="dxa"/>
          </w:tblCellMar>
        </w:tblPrEx>
        <w:tc>
          <w:tcPr>
            <w:tcW w:w="1357" w:type="pct"/>
            <w:gridSpan w:val="2"/>
            <w:tcBorders>
              <w:top w:val="single" w:sz="6" w:space="0" w:color="B1B1B1"/>
              <w:left w:val="single" w:sz="6" w:space="0" w:color="B1B1B1"/>
              <w:bottom w:val="single" w:sz="6" w:space="0" w:color="B1B1B1"/>
              <w:right w:val="single" w:sz="6" w:space="0" w:color="B1B1B1"/>
            </w:tcBorders>
            <w:vAlign w:val="center"/>
          </w:tcPr>
          <w:p w14:paraId="137A9260" w14:textId="77777777" w:rsidR="00F96911" w:rsidRDefault="00F96911" w:rsidP="00D51717">
            <w:pPr>
              <w:spacing w:line="300" w:lineRule="atLeast"/>
              <w:rPr>
                <w:color w:val="000000"/>
                <w:sz w:val="22"/>
                <w:szCs w:val="22"/>
              </w:rPr>
            </w:pPr>
            <w:r>
              <w:rPr>
                <w:color w:val="000000"/>
                <w:sz w:val="22"/>
                <w:szCs w:val="22"/>
              </w:rPr>
              <w:t xml:space="preserve"> </w:t>
            </w:r>
            <w:bookmarkStart w:id="49" w:name="SEC_3_2_COL_1"/>
            <w:r>
              <w:rPr>
                <w:color w:val="000000"/>
                <w:sz w:val="22"/>
                <w:szCs w:val="22"/>
              </w:rPr>
              <w:t>DO rating before Closing/Inactive status:</w:t>
            </w:r>
            <w:bookmarkEnd w:id="49"/>
          </w:p>
        </w:tc>
        <w:tc>
          <w:tcPr>
            <w:tcW w:w="1143" w:type="pct"/>
            <w:tcBorders>
              <w:top w:val="single" w:sz="6" w:space="0" w:color="B1B1B1"/>
              <w:left w:val="single" w:sz="6" w:space="0" w:color="B1B1B1"/>
              <w:bottom w:val="single" w:sz="6" w:space="0" w:color="B1B1B1"/>
              <w:right w:val="single" w:sz="6" w:space="0" w:color="B1B1B1"/>
            </w:tcBorders>
            <w:vAlign w:val="center"/>
          </w:tcPr>
          <w:p w14:paraId="604E17E2" w14:textId="77777777" w:rsidR="00F96911" w:rsidRDefault="00F96911" w:rsidP="00D51717">
            <w:pPr>
              <w:spacing w:line="300" w:lineRule="atLeast"/>
              <w:rPr>
                <w:color w:val="000000"/>
                <w:sz w:val="22"/>
                <w:szCs w:val="22"/>
              </w:rPr>
            </w:pPr>
            <w:bookmarkStart w:id="50" w:name="SEC_3_2_COL_2"/>
            <w:r>
              <w:rPr>
                <w:color w:val="000000"/>
                <w:sz w:val="22"/>
                <w:szCs w:val="22"/>
              </w:rPr>
              <w:t>Satisfactory</w:t>
            </w:r>
            <w:bookmarkEnd w:id="50"/>
          </w:p>
        </w:tc>
        <w:tc>
          <w:tcPr>
            <w:tcW w:w="1141" w:type="pct"/>
            <w:gridSpan w:val="2"/>
            <w:tcBorders>
              <w:top w:val="single" w:sz="6" w:space="0" w:color="B1B1B1"/>
              <w:left w:val="single" w:sz="6" w:space="0" w:color="B1B1B1"/>
              <w:bottom w:val="single" w:sz="6" w:space="0" w:color="B1B1B1"/>
              <w:right w:val="single" w:sz="6" w:space="0" w:color="B1B1B1"/>
            </w:tcBorders>
            <w:vAlign w:val="center"/>
          </w:tcPr>
          <w:p w14:paraId="2EF71CFB" w14:textId="77777777" w:rsidR="00F96911" w:rsidRDefault="00F96911" w:rsidP="00D51717">
            <w:pPr>
              <w:spacing w:line="300" w:lineRule="atLeast"/>
              <w:rPr>
                <w:color w:val="000000"/>
                <w:sz w:val="22"/>
                <w:szCs w:val="22"/>
              </w:rPr>
            </w:pPr>
            <w:bookmarkStart w:id="51" w:name="SEC_3_2_COL_3"/>
            <w:bookmarkEnd w:id="51"/>
          </w:p>
        </w:tc>
        <w:tc>
          <w:tcPr>
            <w:tcW w:w="1359" w:type="pct"/>
            <w:gridSpan w:val="3"/>
            <w:tcBorders>
              <w:top w:val="single" w:sz="6" w:space="0" w:color="B1B1B1"/>
              <w:left w:val="single" w:sz="6" w:space="0" w:color="B1B1B1"/>
              <w:bottom w:val="single" w:sz="6" w:space="0" w:color="B1B1B1"/>
              <w:right w:val="single" w:sz="6" w:space="0" w:color="B1B1B1"/>
            </w:tcBorders>
            <w:vAlign w:val="center"/>
          </w:tcPr>
          <w:p w14:paraId="591FA7E4" w14:textId="77777777" w:rsidR="00F96911" w:rsidRDefault="00F96911" w:rsidP="00D51717">
            <w:pPr>
              <w:spacing w:line="300" w:lineRule="atLeast"/>
              <w:rPr>
                <w:color w:val="000000"/>
                <w:sz w:val="22"/>
                <w:szCs w:val="22"/>
              </w:rPr>
            </w:pPr>
            <w:bookmarkStart w:id="52" w:name="SEC_3_2_COL_4"/>
            <w:bookmarkEnd w:id="52"/>
          </w:p>
        </w:tc>
      </w:tr>
      <w:tr w:rsidR="00F96911" w14:paraId="40567F95" w14:textId="77777777" w:rsidTr="005A4EF0">
        <w:tblPrEx>
          <w:tblCellMar>
            <w:top w:w="15" w:type="dxa"/>
            <w:left w:w="15" w:type="dxa"/>
            <w:bottom w:w="15" w:type="dxa"/>
            <w:right w:w="15" w:type="dxa"/>
          </w:tblCellMar>
        </w:tblPrEx>
        <w:tc>
          <w:tcPr>
            <w:tcW w:w="4997" w:type="pct"/>
            <w:gridSpan w:val="8"/>
            <w:tcBorders>
              <w:top w:val="single" w:sz="6" w:space="0" w:color="B1B1B1"/>
              <w:left w:val="single" w:sz="6" w:space="0" w:color="B1B1B1"/>
              <w:bottom w:val="single" w:sz="6" w:space="0" w:color="B1B1B1"/>
              <w:right w:val="single" w:sz="6" w:space="0" w:color="B1B1B1"/>
            </w:tcBorders>
            <w:shd w:val="clear" w:color="auto" w:fill="CDCCCC"/>
            <w:vAlign w:val="center"/>
          </w:tcPr>
          <w:p w14:paraId="477A77E6" w14:textId="23D352BC" w:rsidR="00F96911" w:rsidRDefault="00F96911" w:rsidP="00D51717">
            <w:pPr>
              <w:pStyle w:val="Heading2"/>
              <w:keepNext/>
              <w:keepLines/>
            </w:pPr>
            <w:bookmarkStart w:id="53" w:name="SEC_3_2"/>
            <w:bookmarkStart w:id="54" w:name="_IL4"/>
            <w:bookmarkStart w:id="55" w:name="_Toc147483792"/>
            <w:bookmarkEnd w:id="53"/>
            <w:r>
              <w:t>D. Sector and Theme Codes</w:t>
            </w:r>
            <w:bookmarkEnd w:id="54"/>
            <w:bookmarkEnd w:id="55"/>
            <w:r>
              <w:t xml:space="preserve"> </w:t>
            </w:r>
          </w:p>
        </w:tc>
      </w:tr>
      <w:tr w:rsidR="00F96911" w14:paraId="4329B40F" w14:textId="77777777" w:rsidTr="005A4EF0">
        <w:tblPrEx>
          <w:tblCellMar>
            <w:top w:w="15" w:type="dxa"/>
            <w:left w:w="15" w:type="dxa"/>
            <w:bottom w:w="15" w:type="dxa"/>
            <w:right w:w="15" w:type="dxa"/>
          </w:tblCellMar>
        </w:tblPrEx>
        <w:tc>
          <w:tcPr>
            <w:tcW w:w="2998" w:type="pct"/>
            <w:gridSpan w:val="4"/>
            <w:tcBorders>
              <w:top w:val="single" w:sz="6" w:space="0" w:color="B1B1B1"/>
              <w:left w:val="single" w:sz="6" w:space="0" w:color="B1B1B1"/>
              <w:bottom w:val="single" w:sz="6" w:space="0" w:color="B1B1B1"/>
              <w:right w:val="single" w:sz="6" w:space="0" w:color="B1B1B1"/>
            </w:tcBorders>
            <w:shd w:val="clear" w:color="auto" w:fill="F1F1F1"/>
            <w:vAlign w:val="center"/>
          </w:tcPr>
          <w:p w14:paraId="5169467A" w14:textId="77777777" w:rsidR="00F96911" w:rsidRDefault="00F96911" w:rsidP="00D51717">
            <w:pPr>
              <w:keepNext/>
              <w:keepLines/>
              <w:jc w:val="center"/>
              <w:rPr>
                <w:b/>
                <w:bCs/>
                <w:color w:val="606060"/>
                <w:sz w:val="22"/>
                <w:szCs w:val="22"/>
              </w:rPr>
            </w:pPr>
          </w:p>
        </w:tc>
        <w:tc>
          <w:tcPr>
            <w:tcW w:w="1046" w:type="pct"/>
            <w:gridSpan w:val="3"/>
            <w:tcBorders>
              <w:top w:val="single" w:sz="6" w:space="0" w:color="B1B1B1"/>
              <w:left w:val="single" w:sz="6" w:space="0" w:color="B1B1B1"/>
              <w:bottom w:val="single" w:sz="6" w:space="0" w:color="B1B1B1"/>
              <w:right w:val="single" w:sz="6" w:space="0" w:color="B1B1B1"/>
            </w:tcBorders>
            <w:shd w:val="clear" w:color="auto" w:fill="F1F1F1"/>
            <w:vAlign w:val="center"/>
          </w:tcPr>
          <w:p w14:paraId="4EC19DDF" w14:textId="77777777" w:rsidR="00F96911" w:rsidRDefault="00F96911" w:rsidP="00D51717">
            <w:pPr>
              <w:keepNext/>
              <w:keepLines/>
              <w:jc w:val="center"/>
              <w:rPr>
                <w:b/>
                <w:bCs/>
                <w:color w:val="606060"/>
                <w:sz w:val="22"/>
                <w:szCs w:val="22"/>
              </w:rPr>
            </w:pPr>
            <w:r>
              <w:rPr>
                <w:b/>
                <w:bCs/>
                <w:color w:val="606060"/>
                <w:sz w:val="22"/>
                <w:szCs w:val="22"/>
              </w:rPr>
              <w:t>Original</w:t>
            </w:r>
          </w:p>
        </w:tc>
        <w:tc>
          <w:tcPr>
            <w:tcW w:w="952" w:type="pct"/>
            <w:tcBorders>
              <w:top w:val="single" w:sz="6" w:space="0" w:color="B1B1B1"/>
              <w:left w:val="single" w:sz="6" w:space="0" w:color="B1B1B1"/>
              <w:bottom w:val="single" w:sz="6" w:space="0" w:color="B1B1B1"/>
              <w:right w:val="single" w:sz="6" w:space="0" w:color="B1B1B1"/>
            </w:tcBorders>
            <w:shd w:val="clear" w:color="auto" w:fill="F1F1F1"/>
            <w:vAlign w:val="center"/>
          </w:tcPr>
          <w:p w14:paraId="74D24EE6" w14:textId="77777777" w:rsidR="00F96911" w:rsidRDefault="00F96911" w:rsidP="00D51717">
            <w:pPr>
              <w:keepNext/>
              <w:keepLines/>
              <w:jc w:val="center"/>
              <w:rPr>
                <w:b/>
                <w:bCs/>
                <w:color w:val="606060"/>
                <w:sz w:val="22"/>
                <w:szCs w:val="22"/>
              </w:rPr>
            </w:pPr>
            <w:r>
              <w:rPr>
                <w:b/>
                <w:bCs/>
                <w:color w:val="606060"/>
                <w:sz w:val="22"/>
                <w:szCs w:val="22"/>
              </w:rPr>
              <w:t>Actual</w:t>
            </w:r>
          </w:p>
        </w:tc>
      </w:tr>
      <w:tr w:rsidR="00F96911" w14:paraId="2EFDC897" w14:textId="77777777" w:rsidTr="005A4EF0">
        <w:tblPrEx>
          <w:tblCellMar>
            <w:top w:w="15" w:type="dxa"/>
            <w:left w:w="15" w:type="dxa"/>
            <w:bottom w:w="15" w:type="dxa"/>
            <w:right w:w="15" w:type="dxa"/>
          </w:tblCellMar>
        </w:tblPrEx>
        <w:tc>
          <w:tcPr>
            <w:tcW w:w="2998" w:type="pct"/>
            <w:gridSpan w:val="4"/>
            <w:tcBorders>
              <w:top w:val="single" w:sz="6" w:space="0" w:color="B1B1B1"/>
              <w:left w:val="single" w:sz="6" w:space="0" w:color="B1B1B1"/>
              <w:bottom w:val="single" w:sz="6" w:space="0" w:color="B1B1B1"/>
              <w:right w:val="single" w:sz="6" w:space="0" w:color="B1B1B1"/>
            </w:tcBorders>
            <w:vAlign w:val="center"/>
          </w:tcPr>
          <w:p w14:paraId="31ED6982" w14:textId="77777777" w:rsidR="00F96911" w:rsidRDefault="00F96911" w:rsidP="00D51717">
            <w:pPr>
              <w:keepNext/>
              <w:keepLines/>
              <w:spacing w:line="300" w:lineRule="atLeast"/>
              <w:rPr>
                <w:b/>
                <w:color w:val="000000"/>
                <w:sz w:val="22"/>
                <w:szCs w:val="22"/>
              </w:rPr>
            </w:pPr>
            <w:r>
              <w:rPr>
                <w:rStyle w:val="Strong"/>
                <w:color w:val="000000"/>
                <w:sz w:val="22"/>
                <w:szCs w:val="22"/>
              </w:rPr>
              <w:t>Sector Code (as % of total Bank financing)</w:t>
            </w:r>
          </w:p>
        </w:tc>
        <w:tc>
          <w:tcPr>
            <w:tcW w:w="1046" w:type="pct"/>
            <w:gridSpan w:val="3"/>
            <w:tcBorders>
              <w:top w:val="single" w:sz="6" w:space="0" w:color="B1B1B1"/>
              <w:left w:val="single" w:sz="6" w:space="0" w:color="B1B1B1"/>
              <w:bottom w:val="single" w:sz="6" w:space="0" w:color="B1B1B1"/>
              <w:right w:val="single" w:sz="6" w:space="0" w:color="B1B1B1"/>
            </w:tcBorders>
            <w:vAlign w:val="center"/>
          </w:tcPr>
          <w:p w14:paraId="7BF573B1" w14:textId="77777777" w:rsidR="00F96911" w:rsidRDefault="00F96911" w:rsidP="00D51717">
            <w:pPr>
              <w:keepNext/>
              <w:keepLines/>
              <w:spacing w:line="300" w:lineRule="atLeast"/>
              <w:rPr>
                <w:color w:val="000000"/>
                <w:sz w:val="22"/>
                <w:szCs w:val="22"/>
              </w:rPr>
            </w:pPr>
          </w:p>
        </w:tc>
        <w:tc>
          <w:tcPr>
            <w:tcW w:w="952" w:type="pct"/>
            <w:tcBorders>
              <w:top w:val="single" w:sz="6" w:space="0" w:color="B1B1B1"/>
              <w:left w:val="single" w:sz="6" w:space="0" w:color="B1B1B1"/>
              <w:bottom w:val="single" w:sz="6" w:space="0" w:color="B1B1B1"/>
              <w:right w:val="single" w:sz="6" w:space="0" w:color="B1B1B1"/>
            </w:tcBorders>
            <w:vAlign w:val="center"/>
          </w:tcPr>
          <w:p w14:paraId="12645AD8" w14:textId="77777777" w:rsidR="00F96911" w:rsidRDefault="00F96911" w:rsidP="00D51717">
            <w:pPr>
              <w:keepNext/>
              <w:keepLines/>
              <w:spacing w:line="300" w:lineRule="atLeast"/>
              <w:rPr>
                <w:color w:val="000000"/>
                <w:sz w:val="22"/>
                <w:szCs w:val="22"/>
              </w:rPr>
            </w:pPr>
          </w:p>
        </w:tc>
      </w:tr>
      <w:tr w:rsidR="00F96911" w14:paraId="598BCE25" w14:textId="77777777" w:rsidTr="005A4EF0">
        <w:tblPrEx>
          <w:tblCellMar>
            <w:top w:w="15" w:type="dxa"/>
            <w:left w:w="15" w:type="dxa"/>
            <w:bottom w:w="15" w:type="dxa"/>
            <w:right w:w="15" w:type="dxa"/>
          </w:tblCellMar>
        </w:tblPrEx>
        <w:tc>
          <w:tcPr>
            <w:tcW w:w="2998" w:type="pct"/>
            <w:gridSpan w:val="4"/>
            <w:tcBorders>
              <w:top w:val="single" w:sz="6" w:space="0" w:color="B1B1B1"/>
              <w:left w:val="single" w:sz="6" w:space="0" w:color="B1B1B1"/>
              <w:bottom w:val="single" w:sz="6" w:space="0" w:color="B1B1B1"/>
              <w:right w:val="single" w:sz="6" w:space="0" w:color="B1B1B1"/>
            </w:tcBorders>
            <w:vAlign w:val="center"/>
          </w:tcPr>
          <w:p w14:paraId="59052491" w14:textId="77777777" w:rsidR="00F96911" w:rsidRDefault="00F96911" w:rsidP="00D51717">
            <w:pPr>
              <w:spacing w:line="300" w:lineRule="atLeast"/>
              <w:rPr>
                <w:color w:val="000000"/>
                <w:sz w:val="22"/>
                <w:szCs w:val="22"/>
              </w:rPr>
            </w:pPr>
            <w:r>
              <w:rPr>
                <w:color w:val="000000"/>
                <w:sz w:val="22"/>
                <w:szCs w:val="22"/>
              </w:rPr>
              <w:t xml:space="preserve"> Central Government</w:t>
            </w:r>
          </w:p>
        </w:tc>
        <w:tc>
          <w:tcPr>
            <w:tcW w:w="1046" w:type="pct"/>
            <w:gridSpan w:val="3"/>
            <w:tcBorders>
              <w:top w:val="single" w:sz="6" w:space="0" w:color="B1B1B1"/>
              <w:left w:val="single" w:sz="6" w:space="0" w:color="B1B1B1"/>
              <w:bottom w:val="single" w:sz="6" w:space="0" w:color="B1B1B1"/>
              <w:right w:val="single" w:sz="6" w:space="0" w:color="B1B1B1"/>
            </w:tcBorders>
            <w:vAlign w:val="center"/>
          </w:tcPr>
          <w:p w14:paraId="3558B51B" w14:textId="77777777" w:rsidR="00F96911" w:rsidRDefault="00F96911" w:rsidP="00D51717">
            <w:pPr>
              <w:tabs>
                <w:tab w:val="decimal" w:pos="918"/>
              </w:tabs>
              <w:spacing w:line="300" w:lineRule="atLeast"/>
              <w:rPr>
                <w:color w:val="000000"/>
                <w:sz w:val="22"/>
                <w:szCs w:val="22"/>
              </w:rPr>
            </w:pPr>
            <w:r>
              <w:rPr>
                <w:color w:val="000000"/>
                <w:sz w:val="22"/>
                <w:szCs w:val="22"/>
              </w:rPr>
              <w:t>14</w:t>
            </w:r>
          </w:p>
        </w:tc>
        <w:tc>
          <w:tcPr>
            <w:tcW w:w="952" w:type="pct"/>
            <w:tcBorders>
              <w:top w:val="single" w:sz="6" w:space="0" w:color="B1B1B1"/>
              <w:left w:val="single" w:sz="6" w:space="0" w:color="B1B1B1"/>
              <w:bottom w:val="single" w:sz="6" w:space="0" w:color="B1B1B1"/>
              <w:right w:val="single" w:sz="6" w:space="0" w:color="B1B1B1"/>
            </w:tcBorders>
            <w:vAlign w:val="center"/>
          </w:tcPr>
          <w:p w14:paraId="27288BE6" w14:textId="77777777" w:rsidR="00F96911" w:rsidRDefault="00F96911" w:rsidP="00D51717">
            <w:pPr>
              <w:tabs>
                <w:tab w:val="decimal" w:pos="918"/>
              </w:tabs>
              <w:spacing w:line="300" w:lineRule="atLeast"/>
              <w:rPr>
                <w:color w:val="000000"/>
                <w:sz w:val="22"/>
                <w:szCs w:val="22"/>
              </w:rPr>
            </w:pPr>
            <w:r>
              <w:rPr>
                <w:color w:val="000000"/>
                <w:sz w:val="22"/>
                <w:szCs w:val="22"/>
              </w:rPr>
              <w:t>14</w:t>
            </w:r>
          </w:p>
        </w:tc>
      </w:tr>
      <w:tr w:rsidR="00F96911" w14:paraId="6C98D715" w14:textId="77777777" w:rsidTr="005A4EF0">
        <w:tblPrEx>
          <w:tblCellMar>
            <w:top w:w="15" w:type="dxa"/>
            <w:left w:w="15" w:type="dxa"/>
            <w:bottom w:w="15" w:type="dxa"/>
            <w:right w:w="15" w:type="dxa"/>
          </w:tblCellMar>
        </w:tblPrEx>
        <w:tc>
          <w:tcPr>
            <w:tcW w:w="2998" w:type="pct"/>
            <w:gridSpan w:val="4"/>
            <w:tcBorders>
              <w:top w:val="single" w:sz="6" w:space="0" w:color="B1B1B1"/>
              <w:left w:val="single" w:sz="6" w:space="0" w:color="B1B1B1"/>
              <w:bottom w:val="single" w:sz="6" w:space="0" w:color="B1B1B1"/>
              <w:right w:val="single" w:sz="6" w:space="0" w:color="B1B1B1"/>
            </w:tcBorders>
            <w:vAlign w:val="center"/>
          </w:tcPr>
          <w:p w14:paraId="6370483E" w14:textId="77777777" w:rsidR="00F96911" w:rsidRDefault="00F96911" w:rsidP="00D51717">
            <w:pPr>
              <w:spacing w:line="300" w:lineRule="atLeast"/>
              <w:rPr>
                <w:color w:val="000000"/>
                <w:sz w:val="22"/>
                <w:szCs w:val="22"/>
              </w:rPr>
            </w:pPr>
            <w:r>
              <w:rPr>
                <w:color w:val="000000"/>
                <w:sz w:val="22"/>
                <w:szCs w:val="22"/>
              </w:rPr>
              <w:t xml:space="preserve"> Insurance and Pension</w:t>
            </w:r>
          </w:p>
        </w:tc>
        <w:tc>
          <w:tcPr>
            <w:tcW w:w="1046" w:type="pct"/>
            <w:gridSpan w:val="3"/>
            <w:tcBorders>
              <w:top w:val="single" w:sz="6" w:space="0" w:color="B1B1B1"/>
              <w:left w:val="single" w:sz="6" w:space="0" w:color="B1B1B1"/>
              <w:bottom w:val="single" w:sz="6" w:space="0" w:color="B1B1B1"/>
              <w:right w:val="single" w:sz="6" w:space="0" w:color="B1B1B1"/>
            </w:tcBorders>
            <w:vAlign w:val="center"/>
          </w:tcPr>
          <w:p w14:paraId="65905474" w14:textId="77777777" w:rsidR="00F96911" w:rsidRDefault="00F96911" w:rsidP="00D51717">
            <w:pPr>
              <w:tabs>
                <w:tab w:val="decimal" w:pos="918"/>
              </w:tabs>
              <w:spacing w:line="300" w:lineRule="atLeast"/>
              <w:rPr>
                <w:color w:val="000000"/>
                <w:sz w:val="22"/>
                <w:szCs w:val="22"/>
              </w:rPr>
            </w:pPr>
            <w:r>
              <w:rPr>
                <w:color w:val="000000"/>
                <w:sz w:val="22"/>
                <w:szCs w:val="22"/>
              </w:rPr>
              <w:t>20</w:t>
            </w:r>
          </w:p>
        </w:tc>
        <w:tc>
          <w:tcPr>
            <w:tcW w:w="952" w:type="pct"/>
            <w:tcBorders>
              <w:top w:val="single" w:sz="6" w:space="0" w:color="B1B1B1"/>
              <w:left w:val="single" w:sz="6" w:space="0" w:color="B1B1B1"/>
              <w:bottom w:val="single" w:sz="6" w:space="0" w:color="B1B1B1"/>
              <w:right w:val="single" w:sz="6" w:space="0" w:color="B1B1B1"/>
            </w:tcBorders>
            <w:vAlign w:val="center"/>
          </w:tcPr>
          <w:p w14:paraId="6D04CF7D" w14:textId="77777777" w:rsidR="00F96911" w:rsidRDefault="00F96911" w:rsidP="00D51717">
            <w:pPr>
              <w:tabs>
                <w:tab w:val="decimal" w:pos="918"/>
              </w:tabs>
              <w:spacing w:line="300" w:lineRule="atLeast"/>
              <w:rPr>
                <w:color w:val="000000"/>
                <w:sz w:val="22"/>
                <w:szCs w:val="22"/>
              </w:rPr>
            </w:pPr>
            <w:r>
              <w:rPr>
                <w:color w:val="000000"/>
                <w:sz w:val="22"/>
                <w:szCs w:val="22"/>
              </w:rPr>
              <w:t>20</w:t>
            </w:r>
          </w:p>
        </w:tc>
      </w:tr>
      <w:tr w:rsidR="00F96911" w14:paraId="7B9AD819" w14:textId="77777777" w:rsidTr="005A4EF0">
        <w:tblPrEx>
          <w:tblCellMar>
            <w:top w:w="15" w:type="dxa"/>
            <w:left w:w="15" w:type="dxa"/>
            <w:bottom w:w="15" w:type="dxa"/>
            <w:right w:w="15" w:type="dxa"/>
          </w:tblCellMar>
        </w:tblPrEx>
        <w:tc>
          <w:tcPr>
            <w:tcW w:w="2998" w:type="pct"/>
            <w:gridSpan w:val="4"/>
            <w:tcBorders>
              <w:top w:val="single" w:sz="6" w:space="0" w:color="B1B1B1"/>
              <w:left w:val="single" w:sz="6" w:space="0" w:color="B1B1B1"/>
              <w:bottom w:val="single" w:sz="6" w:space="0" w:color="B1B1B1"/>
              <w:right w:val="single" w:sz="6" w:space="0" w:color="B1B1B1"/>
            </w:tcBorders>
            <w:vAlign w:val="center"/>
          </w:tcPr>
          <w:p w14:paraId="3E803764" w14:textId="77777777" w:rsidR="00F96911" w:rsidRDefault="00F96911" w:rsidP="00D51717">
            <w:pPr>
              <w:spacing w:line="300" w:lineRule="atLeast"/>
              <w:rPr>
                <w:color w:val="000000"/>
                <w:sz w:val="22"/>
                <w:szCs w:val="22"/>
              </w:rPr>
            </w:pPr>
            <w:r>
              <w:rPr>
                <w:color w:val="000000"/>
                <w:sz w:val="22"/>
                <w:szCs w:val="22"/>
              </w:rPr>
              <w:t xml:space="preserve"> </w:t>
            </w:r>
            <w:bookmarkStart w:id="56" w:name="SECTORS_COL_1"/>
            <w:r>
              <w:rPr>
                <w:color w:val="000000"/>
                <w:sz w:val="22"/>
                <w:szCs w:val="22"/>
              </w:rPr>
              <w:t>Other Agriculture, Fishing and Forestry</w:t>
            </w:r>
            <w:bookmarkEnd w:id="56"/>
          </w:p>
        </w:tc>
        <w:tc>
          <w:tcPr>
            <w:tcW w:w="1046" w:type="pct"/>
            <w:gridSpan w:val="3"/>
            <w:tcBorders>
              <w:top w:val="single" w:sz="6" w:space="0" w:color="B1B1B1"/>
              <w:left w:val="single" w:sz="6" w:space="0" w:color="B1B1B1"/>
              <w:bottom w:val="single" w:sz="6" w:space="0" w:color="B1B1B1"/>
              <w:right w:val="single" w:sz="6" w:space="0" w:color="B1B1B1"/>
            </w:tcBorders>
            <w:vAlign w:val="center"/>
          </w:tcPr>
          <w:p w14:paraId="57D9CD6B" w14:textId="77777777" w:rsidR="00F96911" w:rsidRDefault="00F96911" w:rsidP="00D51717">
            <w:pPr>
              <w:tabs>
                <w:tab w:val="decimal" w:pos="918"/>
              </w:tabs>
              <w:spacing w:line="300" w:lineRule="atLeast"/>
              <w:rPr>
                <w:color w:val="000000"/>
                <w:sz w:val="22"/>
                <w:szCs w:val="22"/>
              </w:rPr>
            </w:pPr>
            <w:bookmarkStart w:id="57" w:name="SECTORS_COL_2"/>
            <w:r>
              <w:rPr>
                <w:color w:val="000000"/>
                <w:sz w:val="22"/>
                <w:szCs w:val="22"/>
              </w:rPr>
              <w:t>66</w:t>
            </w:r>
            <w:bookmarkEnd w:id="57"/>
          </w:p>
        </w:tc>
        <w:tc>
          <w:tcPr>
            <w:tcW w:w="952" w:type="pct"/>
            <w:tcBorders>
              <w:top w:val="single" w:sz="6" w:space="0" w:color="B1B1B1"/>
              <w:left w:val="single" w:sz="6" w:space="0" w:color="B1B1B1"/>
              <w:bottom w:val="single" w:sz="6" w:space="0" w:color="B1B1B1"/>
              <w:right w:val="single" w:sz="6" w:space="0" w:color="B1B1B1"/>
            </w:tcBorders>
            <w:vAlign w:val="center"/>
          </w:tcPr>
          <w:p w14:paraId="59AA76C2" w14:textId="77777777" w:rsidR="00F96911" w:rsidRDefault="00F96911" w:rsidP="00D51717">
            <w:pPr>
              <w:tabs>
                <w:tab w:val="decimal" w:pos="918"/>
              </w:tabs>
              <w:spacing w:line="300" w:lineRule="atLeast"/>
              <w:rPr>
                <w:color w:val="000000"/>
                <w:sz w:val="22"/>
                <w:szCs w:val="22"/>
              </w:rPr>
            </w:pPr>
            <w:bookmarkStart w:id="58" w:name="SECTORS_COL_3"/>
            <w:r>
              <w:rPr>
                <w:color w:val="000000"/>
                <w:sz w:val="22"/>
                <w:szCs w:val="22"/>
              </w:rPr>
              <w:t>66</w:t>
            </w:r>
            <w:bookmarkEnd w:id="58"/>
          </w:p>
        </w:tc>
      </w:tr>
    </w:tbl>
    <w:p w14:paraId="7E613F4C" w14:textId="77777777" w:rsidR="00F96911" w:rsidRDefault="00F96911" w:rsidP="00F96911">
      <w:pPr>
        <w:tabs>
          <w:tab w:val="left" w:pos="5202"/>
          <w:tab w:val="left" w:pos="6936"/>
        </w:tabs>
        <w:rPr>
          <w:b/>
          <w:bCs/>
          <w:color w:val="606060"/>
          <w:sz w:val="2"/>
          <w:szCs w:val="2"/>
        </w:rPr>
      </w:pPr>
      <w:bookmarkStart w:id="59" w:name="SECTORS"/>
      <w:bookmarkEnd w:id="59"/>
    </w:p>
    <w:p w14:paraId="73C64F80" w14:textId="77777777" w:rsidR="00F96911" w:rsidRDefault="00F96911" w:rsidP="00F96911">
      <w:pPr>
        <w:tabs>
          <w:tab w:val="left" w:pos="5202"/>
          <w:tab w:val="left" w:pos="6936"/>
        </w:tabs>
        <w:rPr>
          <w:b/>
          <w:bCs/>
          <w:color w:val="606060"/>
          <w:sz w:val="2"/>
          <w:szCs w:val="2"/>
        </w:rPr>
      </w:pPr>
    </w:p>
    <w:tbl>
      <w:tblPr>
        <w:tblW w:w="5009" w:type="pct"/>
        <w:tblInd w:w="-8" w:type="dxa"/>
        <w:tblLayout w:type="fixed"/>
        <w:tblCellMar>
          <w:top w:w="15" w:type="dxa"/>
          <w:left w:w="15" w:type="dxa"/>
          <w:bottom w:w="15" w:type="dxa"/>
          <w:right w:w="15" w:type="dxa"/>
        </w:tblCellMar>
        <w:tblLook w:val="0000" w:firstRow="0" w:lastRow="0" w:firstColumn="0" w:lastColumn="0" w:noHBand="0" w:noVBand="0"/>
      </w:tblPr>
      <w:tblGrid>
        <w:gridCol w:w="8"/>
        <w:gridCol w:w="2343"/>
        <w:gridCol w:w="662"/>
        <w:gridCol w:w="1739"/>
        <w:gridCol w:w="436"/>
        <w:gridCol w:w="303"/>
        <w:gridCol w:w="770"/>
        <w:gridCol w:w="715"/>
        <w:gridCol w:w="12"/>
        <w:gridCol w:w="1644"/>
        <w:gridCol w:w="8"/>
      </w:tblGrid>
      <w:tr w:rsidR="00F96911" w14:paraId="20261F8F"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shd w:val="clear" w:color="auto" w:fill="F1F1F1"/>
            <w:vAlign w:val="center"/>
          </w:tcPr>
          <w:p w14:paraId="19E4DC4F" w14:textId="77777777" w:rsidR="00F96911" w:rsidRDefault="00F96911" w:rsidP="00D51717">
            <w:pPr>
              <w:keepNext/>
              <w:keepLines/>
              <w:jc w:val="center"/>
              <w:rPr>
                <w:b/>
                <w:bCs/>
                <w:color w:val="606060"/>
                <w:sz w:val="22"/>
                <w:szCs w:val="22"/>
              </w:rPr>
            </w:pPr>
          </w:p>
        </w:tc>
        <w:tc>
          <w:tcPr>
            <w:tcW w:w="1800" w:type="dxa"/>
            <w:gridSpan w:val="4"/>
            <w:tcBorders>
              <w:top w:val="single" w:sz="6" w:space="0" w:color="B1B1B1"/>
              <w:left w:val="single" w:sz="6" w:space="0" w:color="B1B1B1"/>
              <w:bottom w:val="single" w:sz="6" w:space="0" w:color="B1B1B1"/>
              <w:right w:val="single" w:sz="6" w:space="0" w:color="B1B1B1"/>
            </w:tcBorders>
            <w:shd w:val="clear" w:color="auto" w:fill="F1F1F1"/>
            <w:vAlign w:val="center"/>
          </w:tcPr>
          <w:p w14:paraId="7BE49172" w14:textId="77777777" w:rsidR="00F96911" w:rsidRDefault="00F96911" w:rsidP="00D51717">
            <w:pPr>
              <w:keepNext/>
              <w:keepLines/>
              <w:jc w:val="center"/>
              <w:rPr>
                <w:b/>
                <w:bCs/>
                <w:color w:val="606060"/>
                <w:sz w:val="22"/>
                <w:szCs w:val="22"/>
              </w:rPr>
            </w:pPr>
            <w:r>
              <w:rPr>
                <w:b/>
                <w:bCs/>
                <w:color w:val="606060"/>
                <w:sz w:val="22"/>
                <w:szCs w:val="22"/>
              </w:rPr>
              <w:t xml:space="preserve"> </w:t>
            </w:r>
          </w:p>
        </w:tc>
        <w:tc>
          <w:tcPr>
            <w:tcW w:w="164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AACBEF3" w14:textId="77777777" w:rsidR="00F96911" w:rsidRDefault="00F96911" w:rsidP="00D51717">
            <w:pPr>
              <w:keepNext/>
              <w:keepLines/>
              <w:jc w:val="center"/>
              <w:rPr>
                <w:b/>
                <w:bCs/>
                <w:color w:val="606060"/>
                <w:sz w:val="22"/>
                <w:szCs w:val="22"/>
              </w:rPr>
            </w:pPr>
            <w:r>
              <w:rPr>
                <w:b/>
                <w:bCs/>
                <w:color w:val="606060"/>
                <w:sz w:val="22"/>
                <w:szCs w:val="22"/>
              </w:rPr>
              <w:t xml:space="preserve"> </w:t>
            </w:r>
          </w:p>
        </w:tc>
      </w:tr>
      <w:tr w:rsidR="00F96911" w14:paraId="354DE979"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vAlign w:val="center"/>
          </w:tcPr>
          <w:p w14:paraId="71957C06" w14:textId="77777777" w:rsidR="00F96911" w:rsidRDefault="00F96911" w:rsidP="00D51717">
            <w:pPr>
              <w:keepNext/>
              <w:keepLines/>
              <w:spacing w:line="300" w:lineRule="atLeast"/>
              <w:rPr>
                <w:b/>
                <w:color w:val="000000"/>
                <w:sz w:val="22"/>
                <w:szCs w:val="22"/>
              </w:rPr>
            </w:pPr>
            <w:r>
              <w:rPr>
                <w:rStyle w:val="Strong"/>
                <w:color w:val="000000"/>
                <w:sz w:val="22"/>
                <w:szCs w:val="22"/>
              </w:rPr>
              <w:t>Theme Code (as % of total Bank financing)</w:t>
            </w:r>
          </w:p>
        </w:tc>
        <w:tc>
          <w:tcPr>
            <w:tcW w:w="1800" w:type="dxa"/>
            <w:gridSpan w:val="4"/>
            <w:tcBorders>
              <w:top w:val="single" w:sz="6" w:space="0" w:color="B1B1B1"/>
              <w:left w:val="single" w:sz="6" w:space="0" w:color="B1B1B1"/>
              <w:bottom w:val="single" w:sz="6" w:space="0" w:color="B1B1B1"/>
              <w:right w:val="single" w:sz="6" w:space="0" w:color="B1B1B1"/>
            </w:tcBorders>
            <w:vAlign w:val="center"/>
          </w:tcPr>
          <w:p w14:paraId="0EC3F289" w14:textId="77777777" w:rsidR="00F96911" w:rsidRDefault="00F96911" w:rsidP="00D51717">
            <w:pPr>
              <w:keepNext/>
              <w:keepLines/>
              <w:spacing w:line="300" w:lineRule="atLeast"/>
              <w:rPr>
                <w:color w:val="000000"/>
                <w:sz w:val="22"/>
                <w:szCs w:val="22"/>
              </w:rPr>
            </w:pPr>
          </w:p>
        </w:tc>
        <w:tc>
          <w:tcPr>
            <w:tcW w:w="1644" w:type="dxa"/>
            <w:tcBorders>
              <w:top w:val="single" w:sz="6" w:space="0" w:color="B1B1B1"/>
              <w:left w:val="single" w:sz="6" w:space="0" w:color="B1B1B1"/>
              <w:bottom w:val="single" w:sz="6" w:space="0" w:color="B1B1B1"/>
              <w:right w:val="single" w:sz="6" w:space="0" w:color="B1B1B1"/>
            </w:tcBorders>
            <w:vAlign w:val="center"/>
          </w:tcPr>
          <w:p w14:paraId="0E3C2B18" w14:textId="77777777" w:rsidR="00F96911" w:rsidRDefault="00F96911" w:rsidP="00D51717">
            <w:pPr>
              <w:keepNext/>
              <w:keepLines/>
              <w:spacing w:line="300" w:lineRule="atLeast"/>
              <w:rPr>
                <w:color w:val="000000"/>
                <w:sz w:val="22"/>
                <w:szCs w:val="22"/>
              </w:rPr>
            </w:pPr>
          </w:p>
        </w:tc>
      </w:tr>
      <w:tr w:rsidR="00F96911" w14:paraId="155F1709"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vAlign w:val="center"/>
          </w:tcPr>
          <w:p w14:paraId="090291D0" w14:textId="77777777" w:rsidR="00F96911" w:rsidRDefault="00F96911" w:rsidP="00D51717">
            <w:pPr>
              <w:spacing w:line="300" w:lineRule="atLeast"/>
              <w:rPr>
                <w:color w:val="000000"/>
                <w:sz w:val="22"/>
                <w:szCs w:val="22"/>
              </w:rPr>
            </w:pPr>
            <w:r>
              <w:rPr>
                <w:color w:val="000000"/>
                <w:sz w:val="22"/>
                <w:szCs w:val="22"/>
              </w:rPr>
              <w:t xml:space="preserve"> Natural disaster management</w:t>
            </w:r>
          </w:p>
        </w:tc>
        <w:tc>
          <w:tcPr>
            <w:tcW w:w="1800" w:type="dxa"/>
            <w:gridSpan w:val="4"/>
            <w:tcBorders>
              <w:top w:val="single" w:sz="6" w:space="0" w:color="B1B1B1"/>
              <w:left w:val="single" w:sz="6" w:space="0" w:color="B1B1B1"/>
              <w:bottom w:val="single" w:sz="6" w:space="0" w:color="B1B1B1"/>
              <w:right w:val="single" w:sz="6" w:space="0" w:color="B1B1B1"/>
            </w:tcBorders>
            <w:vAlign w:val="center"/>
          </w:tcPr>
          <w:p w14:paraId="42A09DA6" w14:textId="77777777" w:rsidR="00F96911" w:rsidRDefault="00F96911" w:rsidP="00D51717">
            <w:pPr>
              <w:spacing w:line="300" w:lineRule="atLeast"/>
              <w:jc w:val="center"/>
              <w:rPr>
                <w:color w:val="000000"/>
                <w:sz w:val="22"/>
                <w:szCs w:val="22"/>
              </w:rPr>
            </w:pPr>
            <w:r>
              <w:rPr>
                <w:color w:val="000000"/>
                <w:sz w:val="22"/>
                <w:szCs w:val="22"/>
              </w:rPr>
              <w:t>24</w:t>
            </w:r>
          </w:p>
        </w:tc>
        <w:tc>
          <w:tcPr>
            <w:tcW w:w="1644" w:type="dxa"/>
            <w:tcBorders>
              <w:top w:val="single" w:sz="6" w:space="0" w:color="B1B1B1"/>
              <w:left w:val="single" w:sz="6" w:space="0" w:color="B1B1B1"/>
              <w:bottom w:val="single" w:sz="6" w:space="0" w:color="B1B1B1"/>
              <w:right w:val="single" w:sz="6" w:space="0" w:color="B1B1B1"/>
            </w:tcBorders>
            <w:vAlign w:val="center"/>
          </w:tcPr>
          <w:p w14:paraId="26CCAEEA" w14:textId="77777777" w:rsidR="00F96911" w:rsidRDefault="00F96911" w:rsidP="00D51717">
            <w:pPr>
              <w:spacing w:line="300" w:lineRule="atLeast"/>
              <w:jc w:val="center"/>
              <w:rPr>
                <w:color w:val="000000"/>
                <w:sz w:val="22"/>
                <w:szCs w:val="22"/>
              </w:rPr>
            </w:pPr>
            <w:r>
              <w:rPr>
                <w:color w:val="000000"/>
                <w:sz w:val="22"/>
                <w:szCs w:val="22"/>
              </w:rPr>
              <w:t>24</w:t>
            </w:r>
          </w:p>
        </w:tc>
      </w:tr>
      <w:tr w:rsidR="00F96911" w14:paraId="548CF943"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vAlign w:val="center"/>
          </w:tcPr>
          <w:p w14:paraId="7C036771" w14:textId="77777777" w:rsidR="00F96911" w:rsidRDefault="00F96911" w:rsidP="00D51717">
            <w:pPr>
              <w:spacing w:line="300" w:lineRule="atLeast"/>
              <w:rPr>
                <w:color w:val="000000"/>
                <w:sz w:val="22"/>
                <w:szCs w:val="22"/>
              </w:rPr>
            </w:pPr>
            <w:r>
              <w:rPr>
                <w:color w:val="000000"/>
                <w:sz w:val="22"/>
                <w:szCs w:val="22"/>
              </w:rPr>
              <w:t xml:space="preserve"> Other Private Sector Development</w:t>
            </w:r>
          </w:p>
        </w:tc>
        <w:tc>
          <w:tcPr>
            <w:tcW w:w="1800" w:type="dxa"/>
            <w:gridSpan w:val="4"/>
            <w:tcBorders>
              <w:top w:val="single" w:sz="6" w:space="0" w:color="B1B1B1"/>
              <w:left w:val="single" w:sz="6" w:space="0" w:color="B1B1B1"/>
              <w:bottom w:val="single" w:sz="6" w:space="0" w:color="B1B1B1"/>
              <w:right w:val="single" w:sz="6" w:space="0" w:color="B1B1B1"/>
            </w:tcBorders>
            <w:vAlign w:val="center"/>
          </w:tcPr>
          <w:p w14:paraId="29A45C94" w14:textId="77777777" w:rsidR="00F96911" w:rsidRDefault="00F96911" w:rsidP="00D51717">
            <w:pPr>
              <w:spacing w:line="300" w:lineRule="atLeast"/>
              <w:jc w:val="center"/>
              <w:rPr>
                <w:color w:val="000000"/>
                <w:sz w:val="22"/>
                <w:szCs w:val="22"/>
              </w:rPr>
            </w:pPr>
            <w:r>
              <w:rPr>
                <w:color w:val="000000"/>
                <w:sz w:val="22"/>
                <w:szCs w:val="22"/>
              </w:rPr>
              <w:t>13</w:t>
            </w:r>
          </w:p>
        </w:tc>
        <w:tc>
          <w:tcPr>
            <w:tcW w:w="1644" w:type="dxa"/>
            <w:tcBorders>
              <w:top w:val="single" w:sz="6" w:space="0" w:color="B1B1B1"/>
              <w:left w:val="single" w:sz="6" w:space="0" w:color="B1B1B1"/>
              <w:bottom w:val="single" w:sz="6" w:space="0" w:color="B1B1B1"/>
              <w:right w:val="single" w:sz="6" w:space="0" w:color="B1B1B1"/>
            </w:tcBorders>
            <w:vAlign w:val="center"/>
          </w:tcPr>
          <w:p w14:paraId="21805D6E" w14:textId="77777777" w:rsidR="00F96911" w:rsidRDefault="00F96911" w:rsidP="00D51717">
            <w:pPr>
              <w:spacing w:line="300" w:lineRule="atLeast"/>
              <w:jc w:val="center"/>
              <w:rPr>
                <w:color w:val="000000"/>
                <w:sz w:val="22"/>
                <w:szCs w:val="22"/>
              </w:rPr>
            </w:pPr>
            <w:r>
              <w:rPr>
                <w:color w:val="000000"/>
                <w:sz w:val="22"/>
                <w:szCs w:val="22"/>
              </w:rPr>
              <w:t>13</w:t>
            </w:r>
          </w:p>
        </w:tc>
      </w:tr>
      <w:tr w:rsidR="00F96911" w14:paraId="6E497331"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vAlign w:val="center"/>
          </w:tcPr>
          <w:p w14:paraId="3F4350F0" w14:textId="77777777" w:rsidR="00F96911" w:rsidRDefault="00F96911" w:rsidP="00D51717">
            <w:pPr>
              <w:spacing w:line="300" w:lineRule="atLeast"/>
              <w:rPr>
                <w:color w:val="000000"/>
                <w:sz w:val="22"/>
                <w:szCs w:val="22"/>
              </w:rPr>
            </w:pPr>
            <w:r>
              <w:rPr>
                <w:color w:val="000000"/>
                <w:sz w:val="22"/>
                <w:szCs w:val="22"/>
              </w:rPr>
              <w:t xml:space="preserve"> Other social development</w:t>
            </w:r>
          </w:p>
        </w:tc>
        <w:tc>
          <w:tcPr>
            <w:tcW w:w="1800" w:type="dxa"/>
            <w:gridSpan w:val="4"/>
            <w:tcBorders>
              <w:top w:val="single" w:sz="6" w:space="0" w:color="B1B1B1"/>
              <w:left w:val="single" w:sz="6" w:space="0" w:color="B1B1B1"/>
              <w:bottom w:val="single" w:sz="6" w:space="0" w:color="B1B1B1"/>
              <w:right w:val="single" w:sz="6" w:space="0" w:color="B1B1B1"/>
            </w:tcBorders>
            <w:vAlign w:val="center"/>
          </w:tcPr>
          <w:p w14:paraId="1484D99D" w14:textId="77777777" w:rsidR="00F96911" w:rsidRDefault="00F96911" w:rsidP="00D51717">
            <w:pPr>
              <w:spacing w:line="300" w:lineRule="atLeast"/>
              <w:jc w:val="center"/>
              <w:rPr>
                <w:color w:val="000000"/>
                <w:sz w:val="22"/>
                <w:szCs w:val="22"/>
              </w:rPr>
            </w:pPr>
            <w:r>
              <w:rPr>
                <w:color w:val="000000"/>
                <w:sz w:val="22"/>
                <w:szCs w:val="22"/>
              </w:rPr>
              <w:t>25</w:t>
            </w:r>
          </w:p>
        </w:tc>
        <w:tc>
          <w:tcPr>
            <w:tcW w:w="1644" w:type="dxa"/>
            <w:tcBorders>
              <w:top w:val="single" w:sz="6" w:space="0" w:color="B1B1B1"/>
              <w:left w:val="single" w:sz="6" w:space="0" w:color="B1B1B1"/>
              <w:bottom w:val="single" w:sz="6" w:space="0" w:color="B1B1B1"/>
              <w:right w:val="single" w:sz="6" w:space="0" w:color="B1B1B1"/>
            </w:tcBorders>
            <w:vAlign w:val="center"/>
          </w:tcPr>
          <w:p w14:paraId="479D0805" w14:textId="77777777" w:rsidR="00F96911" w:rsidRDefault="00F96911" w:rsidP="00D51717">
            <w:pPr>
              <w:spacing w:line="300" w:lineRule="atLeast"/>
              <w:jc w:val="center"/>
              <w:rPr>
                <w:color w:val="000000"/>
                <w:sz w:val="22"/>
                <w:szCs w:val="22"/>
              </w:rPr>
            </w:pPr>
            <w:r>
              <w:rPr>
                <w:color w:val="000000"/>
                <w:sz w:val="22"/>
                <w:szCs w:val="22"/>
              </w:rPr>
              <w:t>25</w:t>
            </w:r>
          </w:p>
        </w:tc>
      </w:tr>
      <w:tr w:rsidR="00F96911" w14:paraId="7585CC87"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vAlign w:val="center"/>
          </w:tcPr>
          <w:p w14:paraId="12D514AB" w14:textId="77777777" w:rsidR="00F96911" w:rsidRDefault="00F96911" w:rsidP="00D51717">
            <w:pPr>
              <w:spacing w:line="300" w:lineRule="atLeast"/>
              <w:rPr>
                <w:color w:val="000000"/>
                <w:sz w:val="22"/>
                <w:szCs w:val="22"/>
              </w:rPr>
            </w:pPr>
            <w:r>
              <w:rPr>
                <w:color w:val="000000"/>
                <w:sz w:val="22"/>
                <w:szCs w:val="22"/>
              </w:rPr>
              <w:t xml:space="preserve"> Regulation and competition policy</w:t>
            </w:r>
          </w:p>
        </w:tc>
        <w:tc>
          <w:tcPr>
            <w:tcW w:w="1800" w:type="dxa"/>
            <w:gridSpan w:val="4"/>
            <w:tcBorders>
              <w:top w:val="single" w:sz="6" w:space="0" w:color="B1B1B1"/>
              <w:left w:val="single" w:sz="6" w:space="0" w:color="B1B1B1"/>
              <w:bottom w:val="single" w:sz="6" w:space="0" w:color="B1B1B1"/>
              <w:right w:val="single" w:sz="6" w:space="0" w:color="B1B1B1"/>
            </w:tcBorders>
            <w:vAlign w:val="center"/>
          </w:tcPr>
          <w:p w14:paraId="13868CF6" w14:textId="77777777" w:rsidR="00F96911" w:rsidRDefault="00F96911" w:rsidP="00D51717">
            <w:pPr>
              <w:spacing w:line="300" w:lineRule="atLeast"/>
              <w:jc w:val="center"/>
              <w:rPr>
                <w:color w:val="000000"/>
                <w:sz w:val="22"/>
                <w:szCs w:val="22"/>
              </w:rPr>
            </w:pPr>
            <w:r>
              <w:rPr>
                <w:color w:val="000000"/>
                <w:sz w:val="22"/>
                <w:szCs w:val="22"/>
              </w:rPr>
              <w:t>13</w:t>
            </w:r>
          </w:p>
        </w:tc>
        <w:tc>
          <w:tcPr>
            <w:tcW w:w="1644" w:type="dxa"/>
            <w:tcBorders>
              <w:top w:val="single" w:sz="6" w:space="0" w:color="B1B1B1"/>
              <w:left w:val="single" w:sz="6" w:space="0" w:color="B1B1B1"/>
              <w:bottom w:val="single" w:sz="6" w:space="0" w:color="B1B1B1"/>
              <w:right w:val="single" w:sz="6" w:space="0" w:color="B1B1B1"/>
            </w:tcBorders>
            <w:vAlign w:val="center"/>
          </w:tcPr>
          <w:p w14:paraId="2BDA6C9F" w14:textId="77777777" w:rsidR="00F96911" w:rsidRDefault="00F96911" w:rsidP="00D51717">
            <w:pPr>
              <w:spacing w:line="300" w:lineRule="atLeast"/>
              <w:jc w:val="center"/>
              <w:rPr>
                <w:color w:val="000000"/>
                <w:sz w:val="22"/>
                <w:szCs w:val="22"/>
              </w:rPr>
            </w:pPr>
            <w:r>
              <w:rPr>
                <w:color w:val="000000"/>
                <w:sz w:val="22"/>
                <w:szCs w:val="22"/>
              </w:rPr>
              <w:t>13</w:t>
            </w:r>
          </w:p>
        </w:tc>
      </w:tr>
      <w:tr w:rsidR="00F96911" w14:paraId="34AB6409" w14:textId="77777777" w:rsidTr="005A4EF0">
        <w:trPr>
          <w:gridBefore w:val="1"/>
          <w:gridAfter w:val="1"/>
          <w:wBefore w:w="8" w:type="dxa"/>
          <w:wAfter w:w="8" w:type="dxa"/>
        </w:trPr>
        <w:tc>
          <w:tcPr>
            <w:tcW w:w="5180" w:type="dxa"/>
            <w:gridSpan w:val="4"/>
            <w:tcBorders>
              <w:top w:val="single" w:sz="6" w:space="0" w:color="B1B1B1"/>
              <w:left w:val="single" w:sz="6" w:space="0" w:color="B1B1B1"/>
              <w:bottom w:val="single" w:sz="6" w:space="0" w:color="B1B1B1"/>
              <w:right w:val="single" w:sz="6" w:space="0" w:color="B1B1B1"/>
            </w:tcBorders>
            <w:vAlign w:val="center"/>
          </w:tcPr>
          <w:p w14:paraId="29043CCC" w14:textId="77777777" w:rsidR="00F96911" w:rsidRDefault="00F96911" w:rsidP="00D51717">
            <w:pPr>
              <w:spacing w:line="300" w:lineRule="atLeast"/>
              <w:rPr>
                <w:color w:val="000000"/>
                <w:sz w:val="22"/>
                <w:szCs w:val="22"/>
              </w:rPr>
            </w:pPr>
            <w:r>
              <w:rPr>
                <w:color w:val="000000"/>
                <w:sz w:val="22"/>
                <w:szCs w:val="22"/>
              </w:rPr>
              <w:t xml:space="preserve"> </w:t>
            </w:r>
            <w:bookmarkStart w:id="60" w:name="THEMES_COL_1"/>
            <w:r>
              <w:rPr>
                <w:color w:val="000000"/>
                <w:sz w:val="22"/>
                <w:szCs w:val="22"/>
              </w:rPr>
              <w:t>Rural services and infrastructure</w:t>
            </w:r>
            <w:bookmarkEnd w:id="60"/>
          </w:p>
        </w:tc>
        <w:tc>
          <w:tcPr>
            <w:tcW w:w="1800" w:type="dxa"/>
            <w:gridSpan w:val="4"/>
            <w:tcBorders>
              <w:top w:val="single" w:sz="6" w:space="0" w:color="B1B1B1"/>
              <w:left w:val="single" w:sz="6" w:space="0" w:color="B1B1B1"/>
              <w:bottom w:val="single" w:sz="6" w:space="0" w:color="B1B1B1"/>
              <w:right w:val="single" w:sz="6" w:space="0" w:color="B1B1B1"/>
            </w:tcBorders>
            <w:vAlign w:val="center"/>
          </w:tcPr>
          <w:p w14:paraId="229D2B5D" w14:textId="77777777" w:rsidR="00F96911" w:rsidRDefault="00F96911" w:rsidP="00D51717">
            <w:pPr>
              <w:spacing w:line="300" w:lineRule="atLeast"/>
              <w:jc w:val="center"/>
              <w:rPr>
                <w:color w:val="000000"/>
                <w:sz w:val="22"/>
                <w:szCs w:val="22"/>
              </w:rPr>
            </w:pPr>
            <w:bookmarkStart w:id="61" w:name="THEMES_COL_2"/>
            <w:r>
              <w:rPr>
                <w:color w:val="000000"/>
                <w:sz w:val="22"/>
                <w:szCs w:val="22"/>
              </w:rPr>
              <w:t>25</w:t>
            </w:r>
            <w:bookmarkEnd w:id="61"/>
          </w:p>
        </w:tc>
        <w:tc>
          <w:tcPr>
            <w:tcW w:w="1644" w:type="dxa"/>
            <w:tcBorders>
              <w:top w:val="single" w:sz="6" w:space="0" w:color="B1B1B1"/>
              <w:left w:val="single" w:sz="6" w:space="0" w:color="B1B1B1"/>
              <w:bottom w:val="single" w:sz="6" w:space="0" w:color="B1B1B1"/>
              <w:right w:val="single" w:sz="6" w:space="0" w:color="B1B1B1"/>
            </w:tcBorders>
            <w:vAlign w:val="center"/>
          </w:tcPr>
          <w:p w14:paraId="02954CAE" w14:textId="77777777" w:rsidR="00F96911" w:rsidRDefault="00F96911" w:rsidP="00D51717">
            <w:pPr>
              <w:spacing w:line="300" w:lineRule="atLeast"/>
              <w:jc w:val="center"/>
              <w:rPr>
                <w:color w:val="000000"/>
                <w:sz w:val="22"/>
                <w:szCs w:val="22"/>
              </w:rPr>
            </w:pPr>
            <w:bookmarkStart w:id="62" w:name="THEMES_COL_3"/>
            <w:r>
              <w:rPr>
                <w:color w:val="000000"/>
                <w:sz w:val="22"/>
                <w:szCs w:val="22"/>
              </w:rPr>
              <w:t>25</w:t>
            </w:r>
            <w:bookmarkEnd w:id="62"/>
          </w:p>
        </w:tc>
      </w:tr>
      <w:tr w:rsidR="00F96911" w14:paraId="187FC4FD" w14:textId="77777777" w:rsidTr="005A4EF0">
        <w:trPr>
          <w:gridBefore w:val="1"/>
          <w:gridAfter w:val="1"/>
          <w:wBefore w:w="8" w:type="dxa"/>
          <w:wAfter w:w="8" w:type="dxa"/>
        </w:trPr>
        <w:tc>
          <w:tcPr>
            <w:tcW w:w="8624" w:type="dxa"/>
            <w:gridSpan w:val="9"/>
            <w:tcBorders>
              <w:top w:val="single" w:sz="6" w:space="0" w:color="B1B1B1"/>
              <w:left w:val="single" w:sz="6" w:space="0" w:color="B1B1B1"/>
              <w:bottom w:val="single" w:sz="6" w:space="0" w:color="B1B1B1"/>
              <w:right w:val="single" w:sz="6" w:space="0" w:color="B1B1B1"/>
            </w:tcBorders>
            <w:shd w:val="clear" w:color="auto" w:fill="CDCCCC"/>
            <w:vAlign w:val="center"/>
          </w:tcPr>
          <w:p w14:paraId="0A84821A" w14:textId="1E5AE0D6" w:rsidR="00F96911" w:rsidRDefault="00F96911" w:rsidP="00D51717">
            <w:pPr>
              <w:pStyle w:val="Heading2"/>
              <w:keepNext/>
              <w:keepLines/>
            </w:pPr>
            <w:bookmarkStart w:id="63" w:name="THEMES"/>
            <w:bookmarkStart w:id="64" w:name="_IL5"/>
            <w:bookmarkStart w:id="65" w:name="_Toc147483793"/>
            <w:bookmarkEnd w:id="63"/>
            <w:r>
              <w:t>E. Bank Staff</w:t>
            </w:r>
            <w:bookmarkEnd w:id="64"/>
            <w:bookmarkEnd w:id="65"/>
            <w:r>
              <w:t xml:space="preserve"> </w:t>
            </w:r>
          </w:p>
        </w:tc>
      </w:tr>
      <w:tr w:rsidR="00F96911" w14:paraId="3132DA9C"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8B4D175" w14:textId="77777777" w:rsidR="00F96911" w:rsidRDefault="00F96911" w:rsidP="00D51717">
            <w:pPr>
              <w:keepNext/>
              <w:keepLines/>
              <w:jc w:val="center"/>
              <w:rPr>
                <w:b/>
                <w:bCs/>
                <w:color w:val="606060"/>
                <w:sz w:val="22"/>
                <w:szCs w:val="22"/>
              </w:rPr>
            </w:pPr>
            <w:r>
              <w:rPr>
                <w:b/>
                <w:bCs/>
                <w:color w:val="606060"/>
                <w:sz w:val="22"/>
                <w:szCs w:val="22"/>
              </w:rPr>
              <w:t>Positions</w:t>
            </w:r>
          </w:p>
        </w:tc>
        <w:tc>
          <w:tcPr>
            <w:tcW w:w="3140" w:type="dxa"/>
            <w:gridSpan w:val="4"/>
            <w:tcBorders>
              <w:top w:val="single" w:sz="6" w:space="0" w:color="B1B1B1"/>
              <w:left w:val="single" w:sz="6" w:space="0" w:color="B1B1B1"/>
              <w:bottom w:val="single" w:sz="6" w:space="0" w:color="B1B1B1"/>
              <w:right w:val="single" w:sz="6" w:space="0" w:color="B1B1B1"/>
            </w:tcBorders>
            <w:shd w:val="clear" w:color="auto" w:fill="F1F1F1"/>
            <w:vAlign w:val="center"/>
          </w:tcPr>
          <w:p w14:paraId="4BD47482" w14:textId="77777777" w:rsidR="00F96911" w:rsidRDefault="00F96911" w:rsidP="00D51717">
            <w:pPr>
              <w:keepNext/>
              <w:keepLines/>
              <w:jc w:val="center"/>
              <w:rPr>
                <w:b/>
                <w:bCs/>
                <w:color w:val="606060"/>
                <w:sz w:val="22"/>
                <w:szCs w:val="22"/>
              </w:rPr>
            </w:pPr>
            <w:r>
              <w:rPr>
                <w:b/>
                <w:bCs/>
                <w:color w:val="606060"/>
                <w:sz w:val="22"/>
                <w:szCs w:val="22"/>
              </w:rPr>
              <w:t>At ICR</w:t>
            </w:r>
          </w:p>
        </w:tc>
        <w:tc>
          <w:tcPr>
            <w:tcW w:w="3141" w:type="dxa"/>
            <w:gridSpan w:val="4"/>
            <w:tcBorders>
              <w:top w:val="single" w:sz="6" w:space="0" w:color="B1B1B1"/>
              <w:left w:val="single" w:sz="6" w:space="0" w:color="B1B1B1"/>
              <w:bottom w:val="single" w:sz="6" w:space="0" w:color="B1B1B1"/>
              <w:right w:val="single" w:sz="6" w:space="0" w:color="B1B1B1"/>
            </w:tcBorders>
            <w:shd w:val="clear" w:color="auto" w:fill="F1F1F1"/>
            <w:vAlign w:val="center"/>
          </w:tcPr>
          <w:p w14:paraId="30867492" w14:textId="77777777" w:rsidR="00F96911" w:rsidRDefault="00F96911" w:rsidP="00D51717">
            <w:pPr>
              <w:keepNext/>
              <w:keepLines/>
              <w:jc w:val="center"/>
              <w:rPr>
                <w:b/>
                <w:bCs/>
                <w:color w:val="606060"/>
                <w:sz w:val="22"/>
                <w:szCs w:val="22"/>
              </w:rPr>
            </w:pPr>
            <w:r>
              <w:rPr>
                <w:b/>
                <w:bCs/>
                <w:color w:val="606060"/>
                <w:sz w:val="22"/>
                <w:szCs w:val="22"/>
              </w:rPr>
              <w:t>At Approval</w:t>
            </w:r>
          </w:p>
        </w:tc>
      </w:tr>
      <w:tr w:rsidR="00F96911" w14:paraId="2D58D75C"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noWrap/>
            <w:vAlign w:val="center"/>
          </w:tcPr>
          <w:p w14:paraId="06F956C9" w14:textId="77777777" w:rsidR="00F96911" w:rsidRDefault="00F96911" w:rsidP="00D51717">
            <w:pPr>
              <w:spacing w:line="300" w:lineRule="atLeast"/>
              <w:rPr>
                <w:color w:val="000000"/>
                <w:sz w:val="22"/>
                <w:szCs w:val="22"/>
              </w:rPr>
            </w:pPr>
            <w:r>
              <w:rPr>
                <w:color w:val="000000"/>
                <w:sz w:val="22"/>
                <w:szCs w:val="22"/>
              </w:rPr>
              <w:t xml:space="preserve"> Vice President:</w:t>
            </w:r>
          </w:p>
        </w:tc>
        <w:tc>
          <w:tcPr>
            <w:tcW w:w="3140" w:type="dxa"/>
            <w:gridSpan w:val="4"/>
            <w:tcBorders>
              <w:top w:val="single" w:sz="6" w:space="0" w:color="B1B1B1"/>
              <w:left w:val="single" w:sz="6" w:space="0" w:color="B1B1B1"/>
              <w:bottom w:val="single" w:sz="6" w:space="0" w:color="B1B1B1"/>
              <w:right w:val="single" w:sz="6" w:space="0" w:color="B1B1B1"/>
            </w:tcBorders>
            <w:noWrap/>
            <w:vAlign w:val="center"/>
          </w:tcPr>
          <w:p w14:paraId="268314C5" w14:textId="77777777" w:rsidR="00F96911" w:rsidRDefault="00F96911" w:rsidP="00D51717">
            <w:pPr>
              <w:spacing w:line="300" w:lineRule="atLeast"/>
              <w:rPr>
                <w:color w:val="000000"/>
                <w:sz w:val="22"/>
                <w:szCs w:val="22"/>
              </w:rPr>
            </w:pPr>
            <w:r w:rsidRPr="005A2BAF">
              <w:rPr>
                <w:color w:val="000000"/>
                <w:sz w:val="22"/>
                <w:szCs w:val="22"/>
              </w:rPr>
              <w:t>Victoria Kwakwa</w:t>
            </w:r>
          </w:p>
        </w:tc>
        <w:tc>
          <w:tcPr>
            <w:tcW w:w="3141" w:type="dxa"/>
            <w:gridSpan w:val="4"/>
            <w:tcBorders>
              <w:top w:val="single" w:sz="6" w:space="0" w:color="B1B1B1"/>
              <w:left w:val="single" w:sz="6" w:space="0" w:color="B1B1B1"/>
              <w:bottom w:val="single" w:sz="6" w:space="0" w:color="B1B1B1"/>
              <w:right w:val="single" w:sz="6" w:space="0" w:color="B1B1B1"/>
            </w:tcBorders>
            <w:noWrap/>
            <w:vAlign w:val="center"/>
          </w:tcPr>
          <w:p w14:paraId="0DC08271" w14:textId="77777777" w:rsidR="00F96911" w:rsidRDefault="00F96911" w:rsidP="00D51717">
            <w:pPr>
              <w:spacing w:line="300" w:lineRule="atLeast"/>
              <w:rPr>
                <w:color w:val="000000"/>
                <w:sz w:val="22"/>
                <w:szCs w:val="22"/>
              </w:rPr>
            </w:pPr>
            <w:r w:rsidRPr="005A2BAF">
              <w:rPr>
                <w:color w:val="000000"/>
                <w:sz w:val="22"/>
                <w:szCs w:val="22"/>
              </w:rPr>
              <w:t>Jemal-ud-din Kassum,</w:t>
            </w:r>
          </w:p>
        </w:tc>
      </w:tr>
      <w:tr w:rsidR="00F96911" w14:paraId="19A09D88"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noWrap/>
            <w:vAlign w:val="center"/>
          </w:tcPr>
          <w:p w14:paraId="444AA1A3" w14:textId="77777777" w:rsidR="00F96911" w:rsidRDefault="00F96911" w:rsidP="00D51717">
            <w:pPr>
              <w:spacing w:line="300" w:lineRule="atLeast"/>
              <w:rPr>
                <w:color w:val="000000"/>
                <w:sz w:val="22"/>
                <w:szCs w:val="22"/>
              </w:rPr>
            </w:pPr>
            <w:r>
              <w:rPr>
                <w:color w:val="000000"/>
                <w:sz w:val="22"/>
                <w:szCs w:val="22"/>
              </w:rPr>
              <w:t xml:space="preserve"> Country Director/Manager:</w:t>
            </w:r>
          </w:p>
        </w:tc>
        <w:tc>
          <w:tcPr>
            <w:tcW w:w="3140" w:type="dxa"/>
            <w:gridSpan w:val="4"/>
            <w:tcBorders>
              <w:top w:val="single" w:sz="6" w:space="0" w:color="B1B1B1"/>
              <w:left w:val="single" w:sz="6" w:space="0" w:color="B1B1B1"/>
              <w:bottom w:val="single" w:sz="6" w:space="0" w:color="B1B1B1"/>
              <w:right w:val="single" w:sz="6" w:space="0" w:color="B1B1B1"/>
            </w:tcBorders>
            <w:noWrap/>
            <w:vAlign w:val="center"/>
          </w:tcPr>
          <w:p w14:paraId="7E27D369" w14:textId="6FF13471" w:rsidR="00F96911" w:rsidRDefault="005A4EF0" w:rsidP="00D51717">
            <w:pPr>
              <w:spacing w:line="300" w:lineRule="atLeast"/>
              <w:rPr>
                <w:color w:val="000000"/>
                <w:sz w:val="22"/>
                <w:szCs w:val="22"/>
              </w:rPr>
            </w:pPr>
            <w:r>
              <w:rPr>
                <w:color w:val="000000"/>
                <w:sz w:val="22"/>
                <w:szCs w:val="22"/>
              </w:rPr>
              <w:t>Bert Hofman</w:t>
            </w:r>
            <w:r w:rsidR="00D13D0D">
              <w:rPr>
                <w:color w:val="000000"/>
                <w:sz w:val="22"/>
                <w:szCs w:val="22"/>
              </w:rPr>
              <w:t>/James Anderson</w:t>
            </w:r>
          </w:p>
        </w:tc>
        <w:tc>
          <w:tcPr>
            <w:tcW w:w="3141" w:type="dxa"/>
            <w:gridSpan w:val="4"/>
            <w:tcBorders>
              <w:top w:val="single" w:sz="6" w:space="0" w:color="B1B1B1"/>
              <w:left w:val="single" w:sz="6" w:space="0" w:color="B1B1B1"/>
              <w:bottom w:val="single" w:sz="6" w:space="0" w:color="B1B1B1"/>
              <w:right w:val="single" w:sz="6" w:space="0" w:color="B1B1B1"/>
            </w:tcBorders>
            <w:noWrap/>
            <w:vAlign w:val="center"/>
          </w:tcPr>
          <w:p w14:paraId="58E6643F" w14:textId="77777777" w:rsidR="00F96911" w:rsidRDefault="00F96911" w:rsidP="00D51717">
            <w:pPr>
              <w:spacing w:line="300" w:lineRule="atLeast"/>
              <w:rPr>
                <w:color w:val="000000"/>
                <w:sz w:val="22"/>
                <w:szCs w:val="22"/>
              </w:rPr>
            </w:pPr>
            <w:r>
              <w:rPr>
                <w:color w:val="000000"/>
                <w:sz w:val="22"/>
                <w:szCs w:val="22"/>
              </w:rPr>
              <w:t>David R. Dollar</w:t>
            </w:r>
          </w:p>
        </w:tc>
      </w:tr>
      <w:tr w:rsidR="00F96911" w14:paraId="668544A5"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noWrap/>
            <w:vAlign w:val="center"/>
          </w:tcPr>
          <w:p w14:paraId="41C81950" w14:textId="77777777" w:rsidR="00F96911" w:rsidRDefault="00F96911" w:rsidP="00D51717">
            <w:pPr>
              <w:spacing w:line="300" w:lineRule="atLeast"/>
              <w:rPr>
                <w:color w:val="000000"/>
                <w:sz w:val="22"/>
                <w:szCs w:val="22"/>
              </w:rPr>
            </w:pPr>
            <w:r>
              <w:rPr>
                <w:color w:val="000000"/>
                <w:sz w:val="22"/>
                <w:szCs w:val="22"/>
              </w:rPr>
              <w:t xml:space="preserve"> Practice Manager/Manager:</w:t>
            </w:r>
          </w:p>
        </w:tc>
        <w:tc>
          <w:tcPr>
            <w:tcW w:w="3140" w:type="dxa"/>
            <w:gridSpan w:val="4"/>
            <w:tcBorders>
              <w:top w:val="single" w:sz="6" w:space="0" w:color="B1B1B1"/>
              <w:left w:val="single" w:sz="6" w:space="0" w:color="B1B1B1"/>
              <w:bottom w:val="single" w:sz="6" w:space="0" w:color="B1B1B1"/>
              <w:right w:val="single" w:sz="6" w:space="0" w:color="B1B1B1"/>
            </w:tcBorders>
            <w:noWrap/>
            <w:vAlign w:val="center"/>
          </w:tcPr>
          <w:p w14:paraId="347FE0AA" w14:textId="77777777" w:rsidR="00F96911" w:rsidRDefault="00F96911" w:rsidP="00D51717">
            <w:pPr>
              <w:spacing w:line="300" w:lineRule="atLeast"/>
              <w:rPr>
                <w:color w:val="000000"/>
                <w:sz w:val="22"/>
                <w:szCs w:val="22"/>
              </w:rPr>
            </w:pPr>
            <w:r w:rsidRPr="00F011BF">
              <w:rPr>
                <w:color w:val="000000"/>
                <w:sz w:val="22"/>
                <w:szCs w:val="22"/>
              </w:rPr>
              <w:t>James Seward</w:t>
            </w:r>
          </w:p>
        </w:tc>
        <w:tc>
          <w:tcPr>
            <w:tcW w:w="3141" w:type="dxa"/>
            <w:gridSpan w:val="4"/>
            <w:tcBorders>
              <w:top w:val="single" w:sz="6" w:space="0" w:color="B1B1B1"/>
              <w:left w:val="single" w:sz="6" w:space="0" w:color="B1B1B1"/>
              <w:bottom w:val="single" w:sz="6" w:space="0" w:color="B1B1B1"/>
              <w:right w:val="single" w:sz="6" w:space="0" w:color="B1B1B1"/>
            </w:tcBorders>
            <w:noWrap/>
            <w:vAlign w:val="center"/>
          </w:tcPr>
          <w:p w14:paraId="28DAA1FE" w14:textId="77777777" w:rsidR="00F96911" w:rsidRDefault="00F96911" w:rsidP="00D51717">
            <w:pPr>
              <w:spacing w:line="300" w:lineRule="atLeast"/>
              <w:rPr>
                <w:color w:val="000000"/>
                <w:sz w:val="22"/>
                <w:szCs w:val="22"/>
              </w:rPr>
            </w:pPr>
            <w:r>
              <w:rPr>
                <w:color w:val="000000"/>
                <w:sz w:val="22"/>
                <w:szCs w:val="22"/>
              </w:rPr>
              <w:t>Hoonae Kim</w:t>
            </w:r>
          </w:p>
        </w:tc>
      </w:tr>
      <w:tr w:rsidR="00F96911" w14:paraId="40D72AA3"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noWrap/>
            <w:vAlign w:val="center"/>
          </w:tcPr>
          <w:p w14:paraId="21A750B3" w14:textId="77777777" w:rsidR="00F96911" w:rsidRDefault="00F96911" w:rsidP="00D51717">
            <w:pPr>
              <w:spacing w:line="300" w:lineRule="atLeast"/>
              <w:rPr>
                <w:color w:val="000000"/>
                <w:sz w:val="22"/>
                <w:szCs w:val="22"/>
              </w:rPr>
            </w:pPr>
            <w:r>
              <w:rPr>
                <w:color w:val="000000"/>
                <w:sz w:val="22"/>
                <w:szCs w:val="22"/>
              </w:rPr>
              <w:t xml:space="preserve"> Project Team Leader:</w:t>
            </w:r>
          </w:p>
        </w:tc>
        <w:tc>
          <w:tcPr>
            <w:tcW w:w="3140" w:type="dxa"/>
            <w:gridSpan w:val="4"/>
            <w:tcBorders>
              <w:top w:val="single" w:sz="6" w:space="0" w:color="B1B1B1"/>
              <w:left w:val="single" w:sz="6" w:space="0" w:color="B1B1B1"/>
              <w:bottom w:val="single" w:sz="6" w:space="0" w:color="B1B1B1"/>
              <w:right w:val="single" w:sz="6" w:space="0" w:color="B1B1B1"/>
            </w:tcBorders>
            <w:noWrap/>
            <w:vAlign w:val="center"/>
          </w:tcPr>
          <w:p w14:paraId="2ACFA5F1" w14:textId="77777777" w:rsidR="00F96911" w:rsidRDefault="00F96911" w:rsidP="00D51717">
            <w:pPr>
              <w:spacing w:line="300" w:lineRule="atLeast"/>
              <w:rPr>
                <w:color w:val="000000"/>
                <w:sz w:val="22"/>
                <w:szCs w:val="22"/>
              </w:rPr>
            </w:pPr>
            <w:r>
              <w:rPr>
                <w:color w:val="000000"/>
                <w:sz w:val="22"/>
                <w:szCs w:val="22"/>
              </w:rPr>
              <w:t>Stephane Forman</w:t>
            </w:r>
          </w:p>
        </w:tc>
        <w:tc>
          <w:tcPr>
            <w:tcW w:w="3141" w:type="dxa"/>
            <w:gridSpan w:val="4"/>
            <w:tcBorders>
              <w:top w:val="single" w:sz="6" w:space="0" w:color="B1B1B1"/>
              <w:left w:val="single" w:sz="6" w:space="0" w:color="B1B1B1"/>
              <w:bottom w:val="single" w:sz="6" w:space="0" w:color="B1B1B1"/>
              <w:right w:val="single" w:sz="6" w:space="0" w:color="B1B1B1"/>
            </w:tcBorders>
            <w:noWrap/>
            <w:vAlign w:val="center"/>
          </w:tcPr>
          <w:p w14:paraId="7B1DC9E4" w14:textId="621BAC8F" w:rsidR="00F96911" w:rsidRDefault="00F96911" w:rsidP="00D51717">
            <w:pPr>
              <w:spacing w:line="300" w:lineRule="atLeast"/>
              <w:rPr>
                <w:color w:val="000000"/>
                <w:sz w:val="22"/>
                <w:szCs w:val="22"/>
              </w:rPr>
            </w:pPr>
            <w:r w:rsidRPr="005A2BAF">
              <w:rPr>
                <w:color w:val="000000"/>
                <w:sz w:val="22"/>
                <w:szCs w:val="22"/>
              </w:rPr>
              <w:t>Nathan M. Belete</w:t>
            </w:r>
          </w:p>
        </w:tc>
      </w:tr>
      <w:tr w:rsidR="00F96911" w14:paraId="0F657ADE"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noWrap/>
            <w:vAlign w:val="center"/>
          </w:tcPr>
          <w:p w14:paraId="198B7DF8" w14:textId="77777777" w:rsidR="00F96911" w:rsidRDefault="00F96911" w:rsidP="00D51717">
            <w:pPr>
              <w:spacing w:line="300" w:lineRule="atLeast"/>
              <w:rPr>
                <w:color w:val="000000"/>
                <w:sz w:val="22"/>
                <w:szCs w:val="22"/>
              </w:rPr>
            </w:pPr>
            <w:r>
              <w:rPr>
                <w:color w:val="000000"/>
                <w:sz w:val="22"/>
                <w:szCs w:val="22"/>
              </w:rPr>
              <w:t xml:space="preserve"> ICR Team Leader:</w:t>
            </w:r>
          </w:p>
        </w:tc>
        <w:tc>
          <w:tcPr>
            <w:tcW w:w="3140" w:type="dxa"/>
            <w:gridSpan w:val="4"/>
            <w:tcBorders>
              <w:top w:val="single" w:sz="6" w:space="0" w:color="B1B1B1"/>
              <w:left w:val="single" w:sz="6" w:space="0" w:color="B1B1B1"/>
              <w:bottom w:val="single" w:sz="6" w:space="0" w:color="B1B1B1"/>
              <w:right w:val="single" w:sz="6" w:space="0" w:color="B1B1B1"/>
            </w:tcBorders>
            <w:noWrap/>
            <w:vAlign w:val="center"/>
          </w:tcPr>
          <w:p w14:paraId="176C42E7" w14:textId="77777777" w:rsidR="00F96911" w:rsidRDefault="00F96911" w:rsidP="00D51717">
            <w:pPr>
              <w:spacing w:line="300" w:lineRule="atLeast"/>
              <w:rPr>
                <w:color w:val="000000"/>
                <w:sz w:val="22"/>
                <w:szCs w:val="22"/>
              </w:rPr>
            </w:pPr>
            <w:r>
              <w:rPr>
                <w:color w:val="000000"/>
                <w:sz w:val="22"/>
                <w:szCs w:val="22"/>
              </w:rPr>
              <w:t>Stephane Forman</w:t>
            </w:r>
          </w:p>
        </w:tc>
        <w:tc>
          <w:tcPr>
            <w:tcW w:w="3141" w:type="dxa"/>
            <w:gridSpan w:val="4"/>
            <w:tcBorders>
              <w:top w:val="single" w:sz="6" w:space="0" w:color="B1B1B1"/>
              <w:left w:val="single" w:sz="6" w:space="0" w:color="B1B1B1"/>
              <w:bottom w:val="single" w:sz="6" w:space="0" w:color="B1B1B1"/>
              <w:right w:val="single" w:sz="6" w:space="0" w:color="B1B1B1"/>
            </w:tcBorders>
            <w:noWrap/>
            <w:vAlign w:val="center"/>
          </w:tcPr>
          <w:p w14:paraId="2F4F470D" w14:textId="77777777" w:rsidR="00F96911" w:rsidRDefault="00F96911" w:rsidP="00D51717">
            <w:pPr>
              <w:spacing w:line="300" w:lineRule="atLeast"/>
              <w:rPr>
                <w:color w:val="000000"/>
                <w:sz w:val="22"/>
                <w:szCs w:val="22"/>
              </w:rPr>
            </w:pPr>
          </w:p>
        </w:tc>
      </w:tr>
      <w:tr w:rsidR="00F96911" w14:paraId="619DC4EF" w14:textId="77777777" w:rsidTr="005A4EF0">
        <w:trPr>
          <w:gridBefore w:val="1"/>
          <w:gridAfter w:val="1"/>
          <w:wBefore w:w="8" w:type="dxa"/>
          <w:wAfter w:w="8" w:type="dxa"/>
        </w:trPr>
        <w:tc>
          <w:tcPr>
            <w:tcW w:w="2343" w:type="dxa"/>
            <w:tcBorders>
              <w:top w:val="single" w:sz="6" w:space="0" w:color="B1B1B1"/>
              <w:left w:val="single" w:sz="6" w:space="0" w:color="B1B1B1"/>
              <w:bottom w:val="single" w:sz="6" w:space="0" w:color="B1B1B1"/>
              <w:right w:val="single" w:sz="6" w:space="0" w:color="B1B1B1"/>
            </w:tcBorders>
            <w:noWrap/>
            <w:vAlign w:val="center"/>
          </w:tcPr>
          <w:p w14:paraId="43275284" w14:textId="77777777" w:rsidR="00F96911" w:rsidRDefault="00F96911" w:rsidP="00D51717">
            <w:pPr>
              <w:spacing w:line="300" w:lineRule="atLeast"/>
              <w:rPr>
                <w:color w:val="000000"/>
                <w:sz w:val="22"/>
                <w:szCs w:val="22"/>
              </w:rPr>
            </w:pPr>
            <w:r>
              <w:rPr>
                <w:color w:val="000000"/>
                <w:sz w:val="22"/>
                <w:szCs w:val="22"/>
              </w:rPr>
              <w:t xml:space="preserve"> </w:t>
            </w:r>
            <w:bookmarkStart w:id="66" w:name="BANK_STAFF_COL_1"/>
            <w:r>
              <w:rPr>
                <w:color w:val="000000"/>
                <w:sz w:val="22"/>
                <w:szCs w:val="22"/>
              </w:rPr>
              <w:t>ICR Primary Authors :</w:t>
            </w:r>
            <w:bookmarkEnd w:id="66"/>
          </w:p>
        </w:tc>
        <w:tc>
          <w:tcPr>
            <w:tcW w:w="3140" w:type="dxa"/>
            <w:gridSpan w:val="4"/>
            <w:tcBorders>
              <w:top w:val="single" w:sz="6" w:space="0" w:color="B1B1B1"/>
              <w:left w:val="single" w:sz="6" w:space="0" w:color="B1B1B1"/>
              <w:bottom w:val="single" w:sz="6" w:space="0" w:color="B1B1B1"/>
              <w:right w:val="single" w:sz="6" w:space="0" w:color="B1B1B1"/>
            </w:tcBorders>
            <w:noWrap/>
            <w:vAlign w:val="center"/>
          </w:tcPr>
          <w:p w14:paraId="569570D0" w14:textId="77777777" w:rsidR="00F96911" w:rsidRDefault="00F96911" w:rsidP="00D51717">
            <w:pPr>
              <w:spacing w:line="300" w:lineRule="atLeast"/>
              <w:rPr>
                <w:color w:val="000000"/>
                <w:sz w:val="22"/>
                <w:szCs w:val="22"/>
              </w:rPr>
            </w:pPr>
            <w:bookmarkStart w:id="67" w:name="BANK_STAFF_COL_4"/>
            <w:bookmarkStart w:id="68" w:name="BANK_STAFF_COL_2"/>
            <w:bookmarkEnd w:id="67"/>
            <w:bookmarkEnd w:id="68"/>
            <w:r>
              <w:rPr>
                <w:color w:val="000000"/>
                <w:sz w:val="22"/>
                <w:szCs w:val="22"/>
              </w:rPr>
              <w:t>Barry Maher and Ghada Elabed</w:t>
            </w:r>
          </w:p>
        </w:tc>
        <w:tc>
          <w:tcPr>
            <w:tcW w:w="3141" w:type="dxa"/>
            <w:gridSpan w:val="4"/>
            <w:tcBorders>
              <w:top w:val="single" w:sz="6" w:space="0" w:color="B1B1B1"/>
              <w:left w:val="single" w:sz="6" w:space="0" w:color="B1B1B1"/>
              <w:bottom w:val="single" w:sz="6" w:space="0" w:color="B1B1B1"/>
              <w:right w:val="single" w:sz="6" w:space="0" w:color="B1B1B1"/>
            </w:tcBorders>
            <w:noWrap/>
            <w:vAlign w:val="center"/>
          </w:tcPr>
          <w:p w14:paraId="3E15B3C1" w14:textId="77777777" w:rsidR="00F96911" w:rsidRDefault="00F96911" w:rsidP="00D51717">
            <w:pPr>
              <w:spacing w:line="300" w:lineRule="atLeast"/>
              <w:rPr>
                <w:color w:val="000000"/>
                <w:sz w:val="22"/>
                <w:szCs w:val="22"/>
              </w:rPr>
            </w:pPr>
            <w:bookmarkStart w:id="69" w:name="BANK_STAFF_COL_6"/>
            <w:bookmarkStart w:id="70" w:name="BANK_STAFF_COL_3"/>
            <w:bookmarkEnd w:id="69"/>
            <w:bookmarkEnd w:id="70"/>
          </w:p>
        </w:tc>
      </w:tr>
      <w:tr w:rsidR="00F96911" w14:paraId="029756D3" w14:textId="77777777" w:rsidTr="005A4EF0">
        <w:tblPrEx>
          <w:tblCellMar>
            <w:top w:w="0" w:type="dxa"/>
            <w:left w:w="0" w:type="dxa"/>
            <w:bottom w:w="0" w:type="dxa"/>
            <w:right w:w="0" w:type="dxa"/>
          </w:tblCellMar>
        </w:tblPrEx>
        <w:tc>
          <w:tcPr>
            <w:tcW w:w="8640" w:type="dxa"/>
            <w:gridSpan w:val="11"/>
            <w:vAlign w:val="center"/>
          </w:tcPr>
          <w:p w14:paraId="11A85A27" w14:textId="77777777" w:rsidR="00F96911" w:rsidRDefault="00F96911" w:rsidP="00D51717">
            <w:pPr>
              <w:pStyle w:val="Heading2"/>
              <w:keepNext/>
            </w:pPr>
            <w:bookmarkStart w:id="71" w:name="BANK_STAFF"/>
            <w:bookmarkStart w:id="72" w:name="_IL13"/>
            <w:bookmarkEnd w:id="71"/>
            <w:r>
              <w:lastRenderedPageBreak/>
              <w:t>F. Results Framework Analysis</w:t>
            </w:r>
            <w:bookmarkEnd w:id="72"/>
            <w:r>
              <w:t xml:space="preserve"> </w:t>
            </w:r>
          </w:p>
        </w:tc>
      </w:tr>
      <w:tr w:rsidR="00F96911" w14:paraId="428BF088" w14:textId="77777777" w:rsidTr="005A4EF0">
        <w:tblPrEx>
          <w:tblCellMar>
            <w:top w:w="0" w:type="dxa"/>
            <w:left w:w="0" w:type="dxa"/>
            <w:bottom w:w="0" w:type="dxa"/>
            <w:right w:w="0" w:type="dxa"/>
          </w:tblCellMar>
        </w:tblPrEx>
        <w:tc>
          <w:tcPr>
            <w:tcW w:w="3013" w:type="dxa"/>
            <w:gridSpan w:val="3"/>
            <w:vAlign w:val="center"/>
          </w:tcPr>
          <w:p w14:paraId="02EA892A" w14:textId="77777777" w:rsidR="00F96911" w:rsidRDefault="00F96911" w:rsidP="00D51717">
            <w:pPr>
              <w:keepNext/>
            </w:pPr>
          </w:p>
        </w:tc>
        <w:tc>
          <w:tcPr>
            <w:tcW w:w="1739" w:type="dxa"/>
            <w:vAlign w:val="center"/>
          </w:tcPr>
          <w:p w14:paraId="7A9CBFB0" w14:textId="77777777" w:rsidR="00F96911" w:rsidRDefault="00F96911" w:rsidP="00D51717">
            <w:pPr>
              <w:keepNext/>
              <w:rPr>
                <w:sz w:val="20"/>
                <w:szCs w:val="20"/>
              </w:rPr>
            </w:pPr>
          </w:p>
        </w:tc>
        <w:tc>
          <w:tcPr>
            <w:tcW w:w="1509" w:type="dxa"/>
            <w:gridSpan w:val="3"/>
            <w:vAlign w:val="center"/>
          </w:tcPr>
          <w:p w14:paraId="6A72B2F3" w14:textId="77777777" w:rsidR="00F96911" w:rsidRDefault="00F96911" w:rsidP="00D51717">
            <w:pPr>
              <w:keepNext/>
              <w:rPr>
                <w:sz w:val="20"/>
                <w:szCs w:val="20"/>
              </w:rPr>
            </w:pPr>
          </w:p>
        </w:tc>
        <w:tc>
          <w:tcPr>
            <w:tcW w:w="715" w:type="dxa"/>
            <w:vAlign w:val="center"/>
          </w:tcPr>
          <w:p w14:paraId="4D47FBC1" w14:textId="77777777" w:rsidR="00F96911" w:rsidRDefault="00F96911" w:rsidP="00D51717">
            <w:pPr>
              <w:keepNext/>
              <w:rPr>
                <w:sz w:val="20"/>
                <w:szCs w:val="20"/>
              </w:rPr>
            </w:pPr>
          </w:p>
        </w:tc>
        <w:tc>
          <w:tcPr>
            <w:tcW w:w="1664" w:type="dxa"/>
            <w:gridSpan w:val="3"/>
            <w:vAlign w:val="center"/>
          </w:tcPr>
          <w:p w14:paraId="5D91EF08" w14:textId="77777777" w:rsidR="00F96911" w:rsidRDefault="00F96911" w:rsidP="00D51717">
            <w:pPr>
              <w:keepNext/>
              <w:rPr>
                <w:sz w:val="20"/>
                <w:szCs w:val="20"/>
              </w:rPr>
            </w:pPr>
          </w:p>
        </w:tc>
      </w:tr>
      <w:tr w:rsidR="00F96911" w14:paraId="01F4E45A" w14:textId="77777777" w:rsidTr="005A4EF0">
        <w:tblPrEx>
          <w:tblCellMar>
            <w:top w:w="0" w:type="dxa"/>
            <w:left w:w="0" w:type="dxa"/>
            <w:bottom w:w="0" w:type="dxa"/>
            <w:right w:w="0" w:type="dxa"/>
          </w:tblCellMar>
        </w:tblPrEx>
        <w:tc>
          <w:tcPr>
            <w:tcW w:w="8640" w:type="dxa"/>
            <w:gridSpan w:val="11"/>
            <w:vAlign w:val="center"/>
          </w:tcPr>
          <w:p w14:paraId="0D975718" w14:textId="77777777" w:rsidR="00F96911" w:rsidRDefault="00F96911" w:rsidP="00D51717">
            <w:pPr>
              <w:keepNext/>
            </w:pPr>
            <w:r>
              <w:rPr>
                <w:rStyle w:val="Strong"/>
              </w:rPr>
              <w:t>Project Development Objectives (</w:t>
            </w:r>
            <w:r>
              <w:rPr>
                <w:rStyle w:val="Strong"/>
                <w:b w:val="0"/>
              </w:rPr>
              <w:t>from Project Appraisal Document</w:t>
            </w:r>
            <w:r>
              <w:rPr>
                <w:rStyle w:val="Strong"/>
              </w:rPr>
              <w:t>)</w:t>
            </w:r>
          </w:p>
        </w:tc>
      </w:tr>
    </w:tbl>
    <w:p w14:paraId="2AE8FFC0" w14:textId="77777777" w:rsidR="00F96911" w:rsidRDefault="00F96911" w:rsidP="00F96911">
      <w:r>
        <w:t xml:space="preserve">To </w:t>
      </w:r>
      <w:r w:rsidRPr="00F60ED4">
        <w:t>ascertain the viability of Index Based Livestock Insurance in Mongolia to reduce the impact of livestock mortality for herders’ livelihoods through (i) developing and testing a pilot Index-Based Livestock Insurance Program in Selected Aimags; and (ii) building the institutional capacity and legal and institutional framework for the prospective replication and scale-up of said pilot Index Based Livestock Insurance Program nationwide</w:t>
      </w:r>
      <w:r>
        <w:t>.</w:t>
      </w:r>
    </w:p>
    <w:p w14:paraId="47A8454A" w14:textId="77777777" w:rsidR="00F96911" w:rsidRDefault="00F96911" w:rsidP="00F96911">
      <w:pPr>
        <w:pStyle w:val="NormalWeb"/>
        <w:spacing w:before="0" w:beforeAutospacing="0" w:after="0" w:afterAutospacing="0"/>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8640"/>
      </w:tblGrid>
      <w:tr w:rsidR="00F96911" w:rsidRPr="002A12B8" w14:paraId="791CACCA" w14:textId="77777777" w:rsidTr="00D51717">
        <w:tc>
          <w:tcPr>
            <w:tcW w:w="8640" w:type="dxa"/>
            <w:vAlign w:val="center"/>
          </w:tcPr>
          <w:p w14:paraId="1D76FEE1" w14:textId="77777777" w:rsidR="00F96911" w:rsidRPr="002A12B8" w:rsidRDefault="00F96911" w:rsidP="00D51717">
            <w:pPr>
              <w:keepNext/>
              <w:spacing w:line="200" w:lineRule="atLeast"/>
              <w:rPr>
                <w:color w:val="000000"/>
              </w:rPr>
            </w:pPr>
            <w:r w:rsidRPr="002A12B8">
              <w:rPr>
                <w:rStyle w:val="Strong"/>
                <w:color w:val="000000"/>
              </w:rPr>
              <w:t xml:space="preserve">Revised Project Development Objectives </w:t>
            </w:r>
            <w:r w:rsidRPr="002A12B8">
              <w:rPr>
                <w:rStyle w:val="Strong"/>
                <w:b w:val="0"/>
                <w:color w:val="000000"/>
              </w:rPr>
              <w:t>(as approved by original approving authority)</w:t>
            </w:r>
          </w:p>
        </w:tc>
      </w:tr>
    </w:tbl>
    <w:p w14:paraId="5C1DC448" w14:textId="77777777" w:rsidR="00F96911" w:rsidRDefault="00F96911" w:rsidP="00F96911">
      <w:bookmarkStart w:id="73" w:name="RPDO"/>
      <w:bookmarkEnd w:id="73"/>
      <w:r>
        <w:t>To ascertain the viability of Index Based Livestock Insurance in Mongolia to reduce the impact of livestock mortality for herders' livelihoods through: (i) scaling up Index Based Livestock Insurance Program in Selected Aimags; and (ii) building the institutional capacity and legal and institutional framework for the sustainability of the Index Based Livestock Insurance Program. </w:t>
      </w:r>
    </w:p>
    <w:tbl>
      <w:tblPr>
        <w:tblW w:w="5000" w:type="pct"/>
        <w:tblLayout w:type="fixed"/>
        <w:tblCellMar>
          <w:left w:w="0" w:type="dxa"/>
          <w:right w:w="0" w:type="dxa"/>
        </w:tblCellMar>
        <w:tblLook w:val="0000" w:firstRow="0" w:lastRow="0" w:firstColumn="0" w:lastColumn="0" w:noHBand="0" w:noVBand="0"/>
      </w:tblPr>
      <w:tblGrid>
        <w:gridCol w:w="8640"/>
      </w:tblGrid>
      <w:tr w:rsidR="00F96911" w14:paraId="7FF10D94" w14:textId="77777777" w:rsidTr="00D51717">
        <w:tc>
          <w:tcPr>
            <w:tcW w:w="8660" w:type="dxa"/>
            <w:tcBorders>
              <w:top w:val="nil"/>
              <w:left w:val="nil"/>
              <w:bottom w:val="nil"/>
              <w:right w:val="nil"/>
            </w:tcBorders>
            <w:tcMar>
              <w:top w:w="10" w:type="dxa"/>
              <w:left w:w="10" w:type="dxa"/>
              <w:bottom w:w="10" w:type="dxa"/>
              <w:right w:w="10" w:type="dxa"/>
            </w:tcMar>
            <w:vAlign w:val="center"/>
          </w:tcPr>
          <w:p w14:paraId="5AB7D1B9" w14:textId="77777777" w:rsidR="002A12B8" w:rsidRDefault="00F96911" w:rsidP="00D51717">
            <w:pPr>
              <w:keepNext/>
              <w:keepLines/>
              <w:spacing w:line="200" w:lineRule="atLeast"/>
              <w:rPr>
                <w:rStyle w:val="Strong"/>
                <w:color w:val="000000"/>
                <w:sz w:val="22"/>
                <w:szCs w:val="22"/>
              </w:rPr>
            </w:pPr>
            <w:r>
              <w:rPr>
                <w:rStyle w:val="Strong"/>
                <w:color w:val="000000"/>
                <w:sz w:val="22"/>
                <w:szCs w:val="22"/>
              </w:rPr>
              <w:t xml:space="preserve"> </w:t>
            </w:r>
          </w:p>
          <w:p w14:paraId="69AA2442" w14:textId="77777777" w:rsidR="002A12B8" w:rsidRDefault="002A12B8" w:rsidP="00D51717">
            <w:pPr>
              <w:keepNext/>
              <w:keepLines/>
              <w:spacing w:line="200" w:lineRule="atLeast"/>
              <w:rPr>
                <w:rStyle w:val="Strong"/>
                <w:color w:val="000000"/>
                <w:sz w:val="22"/>
                <w:szCs w:val="22"/>
              </w:rPr>
            </w:pPr>
          </w:p>
          <w:p w14:paraId="7CFFE494" w14:textId="58F59600" w:rsidR="00F96911" w:rsidRDefault="00F96911" w:rsidP="00D51717">
            <w:pPr>
              <w:keepNext/>
              <w:keepLines/>
              <w:spacing w:line="200" w:lineRule="atLeast"/>
              <w:rPr>
                <w:rStyle w:val="Strong"/>
                <w:color w:val="000000"/>
                <w:sz w:val="22"/>
                <w:szCs w:val="22"/>
              </w:rPr>
            </w:pPr>
            <w:r>
              <w:rPr>
                <w:rStyle w:val="Strong"/>
                <w:color w:val="000000"/>
                <w:sz w:val="22"/>
                <w:szCs w:val="22"/>
              </w:rPr>
              <w:t>(a) PDO Indicator(s)</w:t>
            </w:r>
          </w:p>
        </w:tc>
      </w:tr>
    </w:tbl>
    <w:p w14:paraId="5DA2E4DE" w14:textId="77777777" w:rsidR="00F96911" w:rsidRDefault="00F96911" w:rsidP="00F96911">
      <w:pPr>
        <w:keepNext/>
        <w:keepLines/>
        <w:spacing w:line="200" w:lineRule="atLeast"/>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1435"/>
        <w:gridCol w:w="8"/>
        <w:gridCol w:w="2331"/>
        <w:gridCol w:w="1709"/>
        <w:gridCol w:w="1326"/>
        <w:gridCol w:w="25"/>
        <w:gridCol w:w="65"/>
        <w:gridCol w:w="1731"/>
      </w:tblGrid>
      <w:tr w:rsidR="00F96911" w14:paraId="1D5E550D"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4D330D76" w14:textId="77777777" w:rsidR="00F96911" w:rsidRDefault="00F96911" w:rsidP="00D51717">
            <w:pPr>
              <w:keepNext/>
              <w:keepLines/>
              <w:jc w:val="center"/>
              <w:rPr>
                <w:b/>
                <w:bCs/>
                <w:color w:val="606060"/>
                <w:sz w:val="22"/>
                <w:szCs w:val="22"/>
              </w:rPr>
            </w:pPr>
            <w:r>
              <w:rPr>
                <w:b/>
                <w:bCs/>
                <w:color w:val="606060"/>
                <w:sz w:val="22"/>
                <w:szCs w:val="22"/>
              </w:rPr>
              <w:t>Indicator</w:t>
            </w:r>
          </w:p>
        </w:tc>
        <w:tc>
          <w:tcPr>
            <w:tcW w:w="233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A984886" w14:textId="77777777" w:rsidR="00F96911" w:rsidRDefault="00F96911" w:rsidP="00D51717">
            <w:pPr>
              <w:keepNext/>
              <w:keepLines/>
              <w:jc w:val="center"/>
              <w:rPr>
                <w:b/>
                <w:bCs/>
                <w:color w:val="606060"/>
                <w:sz w:val="22"/>
                <w:szCs w:val="22"/>
              </w:rPr>
            </w:pPr>
            <w:r>
              <w:rPr>
                <w:b/>
                <w:bCs/>
                <w:color w:val="606060"/>
                <w:sz w:val="22"/>
                <w:szCs w:val="22"/>
              </w:rPr>
              <w:t>Baseline Value</w:t>
            </w:r>
          </w:p>
        </w:tc>
        <w:tc>
          <w:tcPr>
            <w:tcW w:w="170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F2322A7" w14:textId="77777777" w:rsidR="00F96911" w:rsidRDefault="00F96911" w:rsidP="00D51717">
            <w:pPr>
              <w:keepNext/>
              <w:keepLines/>
              <w:jc w:val="center"/>
              <w:rPr>
                <w:b/>
                <w:bCs/>
                <w:color w:val="606060"/>
                <w:sz w:val="22"/>
                <w:szCs w:val="22"/>
              </w:rPr>
            </w:pPr>
            <w:r>
              <w:rPr>
                <w:b/>
                <w:bCs/>
                <w:color w:val="606060"/>
                <w:sz w:val="22"/>
                <w:szCs w:val="22"/>
              </w:rPr>
              <w:t>Original Target Values (from approval documents)</w:t>
            </w:r>
          </w:p>
        </w:tc>
        <w:tc>
          <w:tcPr>
            <w:tcW w:w="1326"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1F5690B" w14:textId="77777777" w:rsidR="00F96911" w:rsidRDefault="00F96911" w:rsidP="00D51717">
            <w:pPr>
              <w:keepNext/>
              <w:keepLines/>
              <w:jc w:val="center"/>
              <w:rPr>
                <w:b/>
                <w:bCs/>
                <w:color w:val="606060"/>
                <w:sz w:val="22"/>
                <w:szCs w:val="22"/>
              </w:rPr>
            </w:pPr>
            <w:r>
              <w:rPr>
                <w:b/>
                <w:bCs/>
                <w:color w:val="606060"/>
                <w:sz w:val="22"/>
                <w:szCs w:val="22"/>
              </w:rPr>
              <w:t>Formally Revised Target Values</w:t>
            </w:r>
          </w:p>
        </w:tc>
        <w:tc>
          <w:tcPr>
            <w:tcW w:w="1821" w:type="dxa"/>
            <w:gridSpan w:val="3"/>
            <w:tcBorders>
              <w:top w:val="single" w:sz="4" w:space="0" w:color="B1B1B1"/>
              <w:left w:val="single" w:sz="4" w:space="0" w:color="B1B1B1"/>
              <w:bottom w:val="single" w:sz="4" w:space="0" w:color="B1B1B1"/>
              <w:right w:val="single" w:sz="4" w:space="0" w:color="B1B1B1"/>
            </w:tcBorders>
            <w:shd w:val="clear" w:color="auto" w:fill="F1F1F1"/>
            <w:vAlign w:val="center"/>
          </w:tcPr>
          <w:p w14:paraId="3ECB6E96" w14:textId="77777777" w:rsidR="00F96911" w:rsidRDefault="00F96911" w:rsidP="00D51717">
            <w:pPr>
              <w:keepNext/>
              <w:keepLines/>
              <w:jc w:val="center"/>
              <w:rPr>
                <w:b/>
                <w:bCs/>
                <w:color w:val="606060"/>
                <w:sz w:val="22"/>
                <w:szCs w:val="22"/>
              </w:rPr>
            </w:pPr>
            <w:r>
              <w:rPr>
                <w:b/>
                <w:bCs/>
                <w:color w:val="606060"/>
                <w:sz w:val="22"/>
                <w:szCs w:val="22"/>
              </w:rPr>
              <w:t>Actual Value Achieved at Completion or Target Years</w:t>
            </w:r>
          </w:p>
        </w:tc>
      </w:tr>
      <w:tr w:rsidR="00F96911" w14:paraId="6937E0B0"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46F1950F" w14:textId="77777777" w:rsidR="00F96911" w:rsidRDefault="00F96911" w:rsidP="00D51717">
            <w:pPr>
              <w:keepNext/>
              <w:keepLines/>
              <w:rPr>
                <w:b/>
                <w:bCs/>
                <w:color w:val="606060"/>
                <w:sz w:val="22"/>
                <w:szCs w:val="22"/>
              </w:rPr>
            </w:pPr>
            <w:r>
              <w:rPr>
                <w:b/>
                <w:bCs/>
                <w:color w:val="606060"/>
                <w:sz w:val="22"/>
                <w:szCs w:val="22"/>
              </w:rPr>
              <w:t xml:space="preserve">Indicator 1: </w:t>
            </w:r>
          </w:p>
        </w:tc>
        <w:tc>
          <w:tcPr>
            <w:tcW w:w="7187" w:type="dxa"/>
            <w:gridSpan w:val="6"/>
            <w:tcBorders>
              <w:top w:val="single" w:sz="4" w:space="0" w:color="B1B1B1"/>
              <w:left w:val="single" w:sz="4" w:space="0" w:color="B1B1B1"/>
              <w:bottom w:val="single" w:sz="4" w:space="0" w:color="B1B1B1"/>
              <w:right w:val="single" w:sz="4" w:space="0" w:color="B1B1B1"/>
            </w:tcBorders>
            <w:shd w:val="clear" w:color="auto" w:fill="F1F1F1"/>
            <w:vAlign w:val="center"/>
          </w:tcPr>
          <w:p w14:paraId="3CF04946" w14:textId="77777777" w:rsidR="00F96911" w:rsidRPr="000B3F1F" w:rsidRDefault="00F96911" w:rsidP="00D51717">
            <w:pPr>
              <w:keepNext/>
              <w:keepLines/>
              <w:rPr>
                <w:b/>
                <w:bCs/>
                <w:color w:val="606060"/>
                <w:sz w:val="22"/>
                <w:szCs w:val="22"/>
              </w:rPr>
            </w:pPr>
            <w:r w:rsidRPr="000B3F1F">
              <w:rPr>
                <w:bCs/>
                <w:color w:val="606060"/>
                <w:sz w:val="22"/>
                <w:szCs w:val="22"/>
              </w:rPr>
              <w:t>Insurance sector indicates its intention to continue to offer IBLI products beyond the lifetime of the project</w:t>
            </w:r>
          </w:p>
        </w:tc>
      </w:tr>
      <w:tr w:rsidR="00F96911" w14:paraId="349B6488"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1FB3AD1C" w14:textId="77777777" w:rsidR="00F96911" w:rsidRPr="00934647" w:rsidRDefault="00F96911" w:rsidP="00D51717">
            <w:pPr>
              <w:keepNext/>
              <w:keepLines/>
              <w:rPr>
                <w:bCs/>
                <w:color w:val="606060"/>
                <w:sz w:val="22"/>
                <w:szCs w:val="22"/>
              </w:rPr>
            </w:pPr>
            <w:r w:rsidRPr="00934647">
              <w:rPr>
                <w:bCs/>
                <w:color w:val="606060"/>
                <w:sz w:val="22"/>
                <w:szCs w:val="22"/>
              </w:rPr>
              <w:t xml:space="preserve">Value quantitative or Qualitative </w:t>
            </w:r>
          </w:p>
          <w:p w14:paraId="4B04D799" w14:textId="77777777" w:rsidR="00F96911" w:rsidRPr="00934647" w:rsidRDefault="00F96911" w:rsidP="00D51717">
            <w:pPr>
              <w:keepNext/>
              <w:keepLines/>
              <w:rPr>
                <w:bCs/>
                <w:color w:val="606060"/>
                <w:sz w:val="22"/>
                <w:szCs w:val="22"/>
              </w:rPr>
            </w:pPr>
          </w:p>
        </w:tc>
        <w:tc>
          <w:tcPr>
            <w:tcW w:w="233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13CFECEA" w14:textId="77777777" w:rsidR="00F96911" w:rsidRPr="00FD2402" w:rsidRDefault="00F96911" w:rsidP="00D51717">
            <w:pPr>
              <w:keepNext/>
              <w:keepLines/>
              <w:rPr>
                <w:sz w:val="22"/>
              </w:rPr>
            </w:pPr>
            <w:r w:rsidRPr="00FD2402">
              <w:rPr>
                <w:sz w:val="22"/>
              </w:rPr>
              <w:t>None, as this product does not exist</w:t>
            </w:r>
          </w:p>
        </w:tc>
        <w:tc>
          <w:tcPr>
            <w:tcW w:w="170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AC088CD" w14:textId="77777777" w:rsidR="00F96911" w:rsidRPr="00FD2402" w:rsidRDefault="00F96911" w:rsidP="00D51717">
            <w:pPr>
              <w:keepNext/>
              <w:keepLines/>
              <w:rPr>
                <w:sz w:val="22"/>
              </w:rPr>
            </w:pPr>
            <w:r w:rsidRPr="00FD2402">
              <w:rPr>
                <w:sz w:val="22"/>
              </w:rPr>
              <w:t>At least two local insurance companies participate in the program.</w:t>
            </w:r>
          </w:p>
        </w:tc>
        <w:tc>
          <w:tcPr>
            <w:tcW w:w="1351"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374CF85D" w14:textId="77777777" w:rsidR="00F96911" w:rsidRPr="00FD2402" w:rsidRDefault="00F96911" w:rsidP="00D51717">
            <w:pPr>
              <w:keepNext/>
              <w:keepLines/>
              <w:rPr>
                <w:sz w:val="22"/>
              </w:rPr>
            </w:pPr>
          </w:p>
        </w:tc>
        <w:tc>
          <w:tcPr>
            <w:tcW w:w="1796"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1EE0E419" w14:textId="77777777" w:rsidR="00F96911" w:rsidRPr="00FD2402" w:rsidRDefault="00F96911" w:rsidP="00D51717">
            <w:pPr>
              <w:keepNext/>
              <w:keepLines/>
              <w:rPr>
                <w:sz w:val="22"/>
              </w:rPr>
            </w:pPr>
            <w:r w:rsidRPr="00FD2402">
              <w:rPr>
                <w:sz w:val="22"/>
              </w:rPr>
              <w:t>All 7 participating  insurance companies have agreed to continue with the program</w:t>
            </w:r>
          </w:p>
        </w:tc>
      </w:tr>
      <w:tr w:rsidR="00F96911" w14:paraId="0C714975"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486C79E4" w14:textId="77777777" w:rsidR="00F96911" w:rsidRPr="00934647" w:rsidRDefault="00F96911" w:rsidP="00D51717">
            <w:pPr>
              <w:keepNext/>
              <w:keepLines/>
              <w:rPr>
                <w:bCs/>
                <w:color w:val="606060"/>
                <w:sz w:val="22"/>
                <w:szCs w:val="22"/>
              </w:rPr>
            </w:pPr>
            <w:r w:rsidRPr="00934647">
              <w:rPr>
                <w:bCs/>
                <w:color w:val="606060"/>
                <w:sz w:val="22"/>
                <w:szCs w:val="22"/>
              </w:rPr>
              <w:t>Date Achieved</w:t>
            </w:r>
          </w:p>
          <w:p w14:paraId="048CFA6C" w14:textId="77777777" w:rsidR="00F96911" w:rsidRPr="00934647" w:rsidRDefault="00F96911" w:rsidP="00D51717">
            <w:pPr>
              <w:keepNext/>
              <w:keepLines/>
              <w:rPr>
                <w:bCs/>
                <w:color w:val="606060"/>
                <w:sz w:val="22"/>
                <w:szCs w:val="22"/>
              </w:rPr>
            </w:pPr>
          </w:p>
        </w:tc>
        <w:tc>
          <w:tcPr>
            <w:tcW w:w="233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F6FA580" w14:textId="76250F40" w:rsidR="00F96911" w:rsidRDefault="0068237C" w:rsidP="00D51717">
            <w:pPr>
              <w:keepNext/>
              <w:keepLines/>
            </w:pPr>
            <w:r>
              <w:rPr>
                <w:sz w:val="22"/>
              </w:rPr>
              <w:t>2-May-2005</w:t>
            </w:r>
          </w:p>
        </w:tc>
        <w:tc>
          <w:tcPr>
            <w:tcW w:w="170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92CF60A" w14:textId="77777777" w:rsidR="00F96911" w:rsidRDefault="00F96911" w:rsidP="00D51717">
            <w:pPr>
              <w:keepNext/>
              <w:keepLines/>
            </w:pPr>
          </w:p>
        </w:tc>
        <w:tc>
          <w:tcPr>
            <w:tcW w:w="1351"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CE7D5F7" w14:textId="77777777" w:rsidR="00F96911" w:rsidRDefault="00F96911" w:rsidP="00D51717">
            <w:pPr>
              <w:keepNext/>
              <w:keepLines/>
            </w:pPr>
          </w:p>
        </w:tc>
        <w:tc>
          <w:tcPr>
            <w:tcW w:w="1796"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650859FE" w14:textId="77777777" w:rsidR="00F96911" w:rsidRDefault="00F96911" w:rsidP="00D51717">
            <w:pPr>
              <w:keepNext/>
              <w:keepLines/>
            </w:pPr>
            <w:r>
              <w:t>31-March</w:t>
            </w:r>
            <w:r w:rsidRPr="00346960">
              <w:t>-201</w:t>
            </w:r>
            <w:r>
              <w:t>6</w:t>
            </w:r>
          </w:p>
        </w:tc>
      </w:tr>
      <w:tr w:rsidR="00F96911" w14:paraId="35BC5B39"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11BBB5B" w14:textId="77777777" w:rsidR="00F96911" w:rsidRPr="00934647" w:rsidRDefault="00F96911" w:rsidP="00D51717">
            <w:pPr>
              <w:keepNext/>
              <w:keepLines/>
              <w:rPr>
                <w:bCs/>
                <w:color w:val="606060"/>
                <w:sz w:val="22"/>
                <w:szCs w:val="22"/>
              </w:rPr>
            </w:pPr>
            <w:r w:rsidRPr="00934647">
              <w:rPr>
                <w:bCs/>
                <w:color w:val="606060"/>
                <w:sz w:val="22"/>
                <w:szCs w:val="22"/>
              </w:rPr>
              <w:t>Comments (inclu.% achievement)</w:t>
            </w:r>
          </w:p>
        </w:tc>
        <w:tc>
          <w:tcPr>
            <w:tcW w:w="7187" w:type="dxa"/>
            <w:gridSpan w:val="6"/>
            <w:tcBorders>
              <w:top w:val="single" w:sz="4" w:space="0" w:color="B1B1B1"/>
              <w:left w:val="single" w:sz="4" w:space="0" w:color="B1B1B1"/>
              <w:bottom w:val="single" w:sz="4" w:space="0" w:color="B1B1B1"/>
              <w:right w:val="single" w:sz="4" w:space="0" w:color="B1B1B1"/>
            </w:tcBorders>
            <w:shd w:val="clear" w:color="auto" w:fill="F1F1F1"/>
            <w:vAlign w:val="center"/>
          </w:tcPr>
          <w:p w14:paraId="4FEF988E" w14:textId="77777777" w:rsidR="00F96911" w:rsidRPr="00AB1F75" w:rsidRDefault="00F96911" w:rsidP="00D51717">
            <w:pPr>
              <w:keepNext/>
              <w:keepLines/>
              <w:rPr>
                <w:b/>
              </w:rPr>
            </w:pPr>
            <w:r w:rsidRPr="00E964DD">
              <w:rPr>
                <w:sz w:val="22"/>
              </w:rPr>
              <w:t>This target was surpassed (350%)</w:t>
            </w:r>
          </w:p>
        </w:tc>
      </w:tr>
      <w:tr w:rsidR="00F96911" w14:paraId="28B6A799"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1604792B" w14:textId="77777777" w:rsidR="00F96911" w:rsidRDefault="00F96911" w:rsidP="00D51717">
            <w:pPr>
              <w:keepNext/>
              <w:keepLines/>
              <w:rPr>
                <w:b/>
                <w:bCs/>
                <w:color w:val="606060"/>
                <w:sz w:val="22"/>
                <w:szCs w:val="22"/>
              </w:rPr>
            </w:pPr>
            <w:r>
              <w:rPr>
                <w:b/>
                <w:bCs/>
                <w:color w:val="606060"/>
                <w:sz w:val="22"/>
                <w:szCs w:val="22"/>
              </w:rPr>
              <w:t xml:space="preserve">Indicator 2: </w:t>
            </w:r>
          </w:p>
        </w:tc>
        <w:tc>
          <w:tcPr>
            <w:tcW w:w="7187" w:type="dxa"/>
            <w:gridSpan w:val="6"/>
            <w:tcBorders>
              <w:top w:val="single" w:sz="4" w:space="0" w:color="B1B1B1"/>
              <w:left w:val="single" w:sz="4" w:space="0" w:color="B1B1B1"/>
              <w:bottom w:val="single" w:sz="4" w:space="0" w:color="B1B1B1"/>
              <w:right w:val="single" w:sz="4" w:space="0" w:color="B1B1B1"/>
            </w:tcBorders>
            <w:shd w:val="clear" w:color="auto" w:fill="F1F1F1"/>
            <w:vAlign w:val="center"/>
          </w:tcPr>
          <w:p w14:paraId="44A929D5" w14:textId="77777777" w:rsidR="00F96911" w:rsidRPr="000B3F1F" w:rsidRDefault="00F96911" w:rsidP="00D51717">
            <w:pPr>
              <w:keepNext/>
              <w:keepLines/>
              <w:rPr>
                <w:bCs/>
                <w:color w:val="606060"/>
                <w:sz w:val="22"/>
                <w:szCs w:val="22"/>
              </w:rPr>
            </w:pPr>
            <w:r w:rsidRPr="000B3F1F">
              <w:rPr>
                <w:bCs/>
                <w:color w:val="606060"/>
                <w:sz w:val="22"/>
                <w:szCs w:val="22"/>
              </w:rPr>
              <w:t>Government commitment to IBLI demonstrated by adoption of enabling legislation</w:t>
            </w:r>
          </w:p>
        </w:tc>
      </w:tr>
      <w:tr w:rsidR="00F96911" w14:paraId="54D2F5F0" w14:textId="77777777" w:rsidTr="00D51717">
        <w:trPr>
          <w:trHeight w:val="298"/>
        </w:trPr>
        <w:tc>
          <w:tcPr>
            <w:tcW w:w="1435" w:type="dxa"/>
            <w:tcBorders>
              <w:top w:val="single" w:sz="4" w:space="0" w:color="B1B1B1"/>
              <w:left w:val="single" w:sz="4" w:space="0" w:color="B1B1B1"/>
              <w:right w:val="single" w:sz="4" w:space="0" w:color="B1B1B1"/>
            </w:tcBorders>
            <w:shd w:val="clear" w:color="auto" w:fill="F1F1F1"/>
            <w:vAlign w:val="center"/>
          </w:tcPr>
          <w:p w14:paraId="02485C8C" w14:textId="77777777" w:rsidR="00F96911" w:rsidRDefault="00F96911" w:rsidP="00D51717">
            <w:pPr>
              <w:keepNext/>
              <w:keepLines/>
            </w:pPr>
            <w:r w:rsidRPr="00FE6BDA">
              <w:rPr>
                <w:bCs/>
                <w:color w:val="606060"/>
                <w:sz w:val="22"/>
                <w:szCs w:val="22"/>
              </w:rPr>
              <w:t xml:space="preserve">Value quantitative or Qualitative </w:t>
            </w: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2D1310AC" w14:textId="77777777" w:rsidR="00F96911" w:rsidRPr="00E964DD" w:rsidRDefault="00F96911" w:rsidP="00D51717">
            <w:pPr>
              <w:keepNext/>
              <w:keepLines/>
              <w:rPr>
                <w:sz w:val="22"/>
              </w:rPr>
            </w:pPr>
            <w:r w:rsidRPr="00E964DD">
              <w:rPr>
                <w:sz w:val="22"/>
              </w:rPr>
              <w:t>no legislation</w:t>
            </w:r>
          </w:p>
        </w:tc>
        <w:tc>
          <w:tcPr>
            <w:tcW w:w="1709" w:type="dxa"/>
            <w:tcBorders>
              <w:top w:val="single" w:sz="4" w:space="0" w:color="B1B1B1"/>
              <w:left w:val="single" w:sz="4" w:space="0" w:color="B1B1B1"/>
              <w:right w:val="single" w:sz="4" w:space="0" w:color="B1B1B1"/>
            </w:tcBorders>
            <w:shd w:val="clear" w:color="auto" w:fill="F1F1F1"/>
            <w:vAlign w:val="center"/>
          </w:tcPr>
          <w:p w14:paraId="4F735799" w14:textId="77777777" w:rsidR="00F96911" w:rsidRPr="00E964DD" w:rsidRDefault="00F96911" w:rsidP="00D51717">
            <w:pPr>
              <w:keepNext/>
              <w:keepLines/>
              <w:rPr>
                <w:sz w:val="22"/>
              </w:rPr>
            </w:pPr>
            <w:r w:rsidRPr="00E964DD">
              <w:rPr>
                <w:sz w:val="22"/>
              </w:rPr>
              <w:t>New law</w:t>
            </w:r>
          </w:p>
          <w:p w14:paraId="16F47382" w14:textId="77777777" w:rsidR="00F96911" w:rsidRPr="00E964DD" w:rsidRDefault="00F96911" w:rsidP="00D51717">
            <w:pPr>
              <w:keepNext/>
              <w:keepLines/>
              <w:rPr>
                <w:sz w:val="22"/>
              </w:rPr>
            </w:pPr>
            <w:r w:rsidRPr="00E964DD">
              <w:rPr>
                <w:sz w:val="22"/>
              </w:rPr>
              <w:t>passes</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3AFFFD6C" w14:textId="77777777" w:rsidR="00F96911" w:rsidRPr="00E964DD" w:rsidRDefault="00F96911" w:rsidP="00D51717">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09A9DEBF" w14:textId="77777777" w:rsidR="00F96911" w:rsidRPr="00E964DD" w:rsidRDefault="00F96911" w:rsidP="00D51717">
            <w:pPr>
              <w:keepNext/>
              <w:keepLines/>
              <w:rPr>
                <w:sz w:val="22"/>
              </w:rPr>
            </w:pPr>
            <w:r w:rsidRPr="00E964DD">
              <w:rPr>
                <w:sz w:val="22"/>
              </w:rPr>
              <w:t>Law Passed</w:t>
            </w:r>
          </w:p>
        </w:tc>
      </w:tr>
      <w:tr w:rsidR="00F96911" w14:paraId="05489FCF"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3C31ED00" w14:textId="77777777" w:rsidR="00F96911" w:rsidRDefault="00F96911" w:rsidP="00D51717">
            <w:pPr>
              <w:keepNext/>
              <w:keepLines/>
            </w:pPr>
            <w:r w:rsidRPr="00151EAF">
              <w:rPr>
                <w:bCs/>
                <w:color w:val="606060"/>
                <w:sz w:val="22"/>
                <w:szCs w:val="22"/>
              </w:rPr>
              <w:t>Date Achieved</w:t>
            </w: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625DF9A8" w14:textId="77777777" w:rsidR="00F96911" w:rsidRPr="00E964DD" w:rsidRDefault="00F96911" w:rsidP="00D51717">
            <w:pPr>
              <w:keepNext/>
              <w:keepLines/>
              <w:rPr>
                <w:sz w:val="22"/>
              </w:rPr>
            </w:pPr>
            <w:r>
              <w:t>--</w:t>
            </w:r>
          </w:p>
        </w:tc>
        <w:tc>
          <w:tcPr>
            <w:tcW w:w="1709" w:type="dxa"/>
            <w:tcBorders>
              <w:top w:val="single" w:sz="4" w:space="0" w:color="B1B1B1"/>
              <w:left w:val="single" w:sz="4" w:space="0" w:color="B1B1B1"/>
              <w:right w:val="single" w:sz="4" w:space="0" w:color="B1B1B1"/>
            </w:tcBorders>
            <w:shd w:val="clear" w:color="auto" w:fill="F1F1F1"/>
            <w:vAlign w:val="center"/>
          </w:tcPr>
          <w:p w14:paraId="4A3F8802" w14:textId="77777777" w:rsidR="00F96911" w:rsidRPr="00E964DD" w:rsidRDefault="00F96911" w:rsidP="00D51717">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025196BD" w14:textId="77777777" w:rsidR="00F96911" w:rsidRPr="00E964DD" w:rsidRDefault="00F96911" w:rsidP="00D51717">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0F107441" w14:textId="77777777" w:rsidR="00F96911" w:rsidRPr="00E964DD" w:rsidRDefault="00F96911" w:rsidP="00D51717">
            <w:pPr>
              <w:keepNext/>
              <w:keepLines/>
              <w:rPr>
                <w:sz w:val="22"/>
              </w:rPr>
            </w:pPr>
            <w:r w:rsidRPr="00E964DD">
              <w:rPr>
                <w:sz w:val="22"/>
              </w:rPr>
              <w:t>June 13, 2014</w:t>
            </w:r>
          </w:p>
        </w:tc>
      </w:tr>
      <w:tr w:rsidR="00F96911" w14:paraId="3118E67B"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4E278989" w14:textId="77777777" w:rsidR="00F96911" w:rsidRDefault="00F96911" w:rsidP="00D51717">
            <w:pPr>
              <w:keepNext/>
              <w:keepLines/>
            </w:pPr>
            <w:r>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5DD43598" w14:textId="77777777" w:rsidR="00F96911" w:rsidRPr="00AB1F75" w:rsidRDefault="00F96911" w:rsidP="00D51717">
            <w:pPr>
              <w:keepNext/>
              <w:keepLines/>
            </w:pPr>
            <w:r w:rsidRPr="00E964DD">
              <w:rPr>
                <w:b/>
                <w:sz w:val="22"/>
              </w:rPr>
              <w:t>This target was surpassed.</w:t>
            </w:r>
            <w:r>
              <w:rPr>
                <w:sz w:val="22"/>
              </w:rPr>
              <w:t xml:space="preserve"> </w:t>
            </w:r>
            <w:r w:rsidRPr="00E964DD">
              <w:rPr>
                <w:sz w:val="22"/>
              </w:rPr>
              <w:t>IBLI Law passed by Parliament on June 13, 2014 - that provided the legal basis for the establishment of the Agriculture Reinsurance Joint Stock Company (registered by the General Authority for State Registration on September 26, 2014 under the Company Law of Mongolia).</w:t>
            </w:r>
          </w:p>
        </w:tc>
      </w:tr>
    </w:tbl>
    <w:p w14:paraId="2346BDA4" w14:textId="77777777" w:rsidR="005A4EF0" w:rsidRDefault="005A4EF0" w:rsidP="00F96911"/>
    <w:p w14:paraId="6BE5F2C0" w14:textId="77777777" w:rsidR="005A4EF0" w:rsidRDefault="005A4EF0" w:rsidP="00F96911"/>
    <w:p w14:paraId="234EC37E" w14:textId="77777777" w:rsidR="00F96911" w:rsidRDefault="00F96911" w:rsidP="00F96911">
      <w:pPr>
        <w:rPr>
          <w:rStyle w:val="Strong"/>
          <w:color w:val="000000"/>
          <w:sz w:val="22"/>
          <w:szCs w:val="22"/>
        </w:rPr>
      </w:pPr>
      <w:r>
        <w:t>(</w:t>
      </w:r>
      <w:r>
        <w:rPr>
          <w:rStyle w:val="Strong"/>
          <w:color w:val="000000"/>
          <w:sz w:val="22"/>
          <w:szCs w:val="22"/>
        </w:rPr>
        <w:t>b) Intermediate Outcome Indicator(s)</w:t>
      </w: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1435"/>
        <w:gridCol w:w="8"/>
        <w:gridCol w:w="2331"/>
        <w:gridCol w:w="1709"/>
        <w:gridCol w:w="1326"/>
        <w:gridCol w:w="25"/>
        <w:gridCol w:w="65"/>
        <w:gridCol w:w="1731"/>
      </w:tblGrid>
      <w:tr w:rsidR="00F96911" w14:paraId="49DD13F8"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1FAE8534" w14:textId="77777777" w:rsidR="00F96911" w:rsidRDefault="00F96911" w:rsidP="00D51717">
            <w:pPr>
              <w:keepNext/>
              <w:keepLines/>
              <w:jc w:val="center"/>
              <w:rPr>
                <w:b/>
                <w:bCs/>
                <w:color w:val="606060"/>
                <w:sz w:val="22"/>
                <w:szCs w:val="22"/>
              </w:rPr>
            </w:pPr>
            <w:r>
              <w:rPr>
                <w:b/>
                <w:bCs/>
                <w:color w:val="606060"/>
                <w:sz w:val="22"/>
                <w:szCs w:val="22"/>
              </w:rPr>
              <w:lastRenderedPageBreak/>
              <w:t>Indicator</w:t>
            </w:r>
          </w:p>
        </w:tc>
        <w:tc>
          <w:tcPr>
            <w:tcW w:w="233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538D9DC" w14:textId="77777777" w:rsidR="00F96911" w:rsidRDefault="00F96911" w:rsidP="00D51717">
            <w:pPr>
              <w:keepNext/>
              <w:keepLines/>
              <w:jc w:val="center"/>
              <w:rPr>
                <w:b/>
                <w:bCs/>
                <w:color w:val="606060"/>
                <w:sz w:val="22"/>
                <w:szCs w:val="22"/>
              </w:rPr>
            </w:pPr>
            <w:r>
              <w:rPr>
                <w:b/>
                <w:bCs/>
                <w:color w:val="606060"/>
                <w:sz w:val="22"/>
                <w:szCs w:val="22"/>
              </w:rPr>
              <w:t>Baseline Value</w:t>
            </w:r>
          </w:p>
        </w:tc>
        <w:tc>
          <w:tcPr>
            <w:tcW w:w="170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10A88B6" w14:textId="77777777" w:rsidR="00F96911" w:rsidRDefault="00F96911" w:rsidP="00D51717">
            <w:pPr>
              <w:keepNext/>
              <w:keepLines/>
              <w:jc w:val="center"/>
              <w:rPr>
                <w:b/>
                <w:bCs/>
                <w:color w:val="606060"/>
                <w:sz w:val="22"/>
                <w:szCs w:val="22"/>
              </w:rPr>
            </w:pPr>
            <w:r>
              <w:rPr>
                <w:b/>
                <w:bCs/>
                <w:color w:val="606060"/>
                <w:sz w:val="22"/>
                <w:szCs w:val="22"/>
              </w:rPr>
              <w:t>Original Target Values (from approval documents)</w:t>
            </w:r>
          </w:p>
        </w:tc>
        <w:tc>
          <w:tcPr>
            <w:tcW w:w="1326"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C2BAC5F" w14:textId="77777777" w:rsidR="00F96911" w:rsidRDefault="00F96911" w:rsidP="00D51717">
            <w:pPr>
              <w:keepNext/>
              <w:keepLines/>
              <w:jc w:val="center"/>
              <w:rPr>
                <w:b/>
                <w:bCs/>
                <w:color w:val="606060"/>
                <w:sz w:val="22"/>
                <w:szCs w:val="22"/>
              </w:rPr>
            </w:pPr>
            <w:r>
              <w:rPr>
                <w:b/>
                <w:bCs/>
                <w:color w:val="606060"/>
                <w:sz w:val="22"/>
                <w:szCs w:val="22"/>
              </w:rPr>
              <w:t>Formally Revised Target Values</w:t>
            </w:r>
          </w:p>
        </w:tc>
        <w:tc>
          <w:tcPr>
            <w:tcW w:w="1821" w:type="dxa"/>
            <w:gridSpan w:val="3"/>
            <w:tcBorders>
              <w:top w:val="single" w:sz="4" w:space="0" w:color="B1B1B1"/>
              <w:left w:val="single" w:sz="4" w:space="0" w:color="B1B1B1"/>
              <w:bottom w:val="single" w:sz="4" w:space="0" w:color="B1B1B1"/>
              <w:right w:val="single" w:sz="4" w:space="0" w:color="B1B1B1"/>
            </w:tcBorders>
            <w:shd w:val="clear" w:color="auto" w:fill="F1F1F1"/>
            <w:vAlign w:val="center"/>
          </w:tcPr>
          <w:p w14:paraId="728094E5" w14:textId="77777777" w:rsidR="00F96911" w:rsidRDefault="00F96911" w:rsidP="00D51717">
            <w:pPr>
              <w:keepNext/>
              <w:keepLines/>
              <w:jc w:val="center"/>
              <w:rPr>
                <w:b/>
                <w:bCs/>
                <w:color w:val="606060"/>
                <w:sz w:val="22"/>
                <w:szCs w:val="22"/>
              </w:rPr>
            </w:pPr>
            <w:r>
              <w:rPr>
                <w:b/>
                <w:bCs/>
                <w:color w:val="606060"/>
                <w:sz w:val="22"/>
                <w:szCs w:val="22"/>
              </w:rPr>
              <w:t>Actual Value Achieved at Completion or Target Years</w:t>
            </w:r>
          </w:p>
        </w:tc>
      </w:tr>
      <w:tr w:rsidR="00F96911" w14:paraId="1FCA9AB9"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4153F7D2" w14:textId="77777777" w:rsidR="00F96911" w:rsidRDefault="00F96911" w:rsidP="00D51717">
            <w:pPr>
              <w:keepNext/>
              <w:keepLines/>
              <w:rPr>
                <w:b/>
                <w:bCs/>
                <w:color w:val="606060"/>
                <w:sz w:val="22"/>
                <w:szCs w:val="22"/>
              </w:rPr>
            </w:pPr>
            <w:r>
              <w:rPr>
                <w:b/>
                <w:bCs/>
                <w:color w:val="606060"/>
                <w:sz w:val="22"/>
                <w:szCs w:val="22"/>
              </w:rPr>
              <w:t xml:space="preserve">Indicator 1: </w:t>
            </w:r>
          </w:p>
        </w:tc>
        <w:tc>
          <w:tcPr>
            <w:tcW w:w="7187" w:type="dxa"/>
            <w:gridSpan w:val="6"/>
            <w:tcBorders>
              <w:top w:val="single" w:sz="4" w:space="0" w:color="B1B1B1"/>
              <w:left w:val="single" w:sz="4" w:space="0" w:color="B1B1B1"/>
              <w:bottom w:val="single" w:sz="4" w:space="0" w:color="B1B1B1"/>
              <w:right w:val="single" w:sz="4" w:space="0" w:color="B1B1B1"/>
            </w:tcBorders>
            <w:shd w:val="clear" w:color="auto" w:fill="F1F1F1"/>
            <w:vAlign w:val="center"/>
          </w:tcPr>
          <w:p w14:paraId="4D570E40" w14:textId="77777777" w:rsidR="00F96911" w:rsidRPr="00F64CC4" w:rsidRDefault="00F96911" w:rsidP="00D51717">
            <w:pPr>
              <w:keepNext/>
              <w:keepLines/>
              <w:rPr>
                <w:bCs/>
                <w:color w:val="606060"/>
                <w:sz w:val="22"/>
                <w:szCs w:val="22"/>
              </w:rPr>
            </w:pPr>
            <w:r w:rsidRPr="00F64CC4">
              <w:rPr>
                <w:bCs/>
                <w:color w:val="606060"/>
                <w:sz w:val="22"/>
                <w:szCs w:val="22"/>
              </w:rPr>
              <w:t>Number of insurance companies participating in IBLIP</w:t>
            </w:r>
          </w:p>
        </w:tc>
      </w:tr>
      <w:tr w:rsidR="00F96911" w14:paraId="76AA3F4F"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3A9E6D25" w14:textId="77777777" w:rsidR="00F96911" w:rsidRPr="00934647" w:rsidRDefault="00F96911" w:rsidP="00D51717">
            <w:pPr>
              <w:keepNext/>
              <w:keepLines/>
              <w:rPr>
                <w:bCs/>
                <w:color w:val="606060"/>
                <w:sz w:val="22"/>
                <w:szCs w:val="22"/>
              </w:rPr>
            </w:pPr>
            <w:r w:rsidRPr="00934647">
              <w:rPr>
                <w:bCs/>
                <w:color w:val="606060"/>
                <w:sz w:val="22"/>
                <w:szCs w:val="22"/>
              </w:rPr>
              <w:t xml:space="preserve">Value quantitative or Qualitative </w:t>
            </w:r>
          </w:p>
          <w:p w14:paraId="6ACDF849" w14:textId="77777777" w:rsidR="00F96911" w:rsidRPr="00934647" w:rsidRDefault="00F96911" w:rsidP="00D51717">
            <w:pPr>
              <w:keepNext/>
              <w:keepLines/>
              <w:rPr>
                <w:bCs/>
                <w:color w:val="606060"/>
                <w:sz w:val="22"/>
                <w:szCs w:val="22"/>
              </w:rPr>
            </w:pPr>
          </w:p>
        </w:tc>
        <w:tc>
          <w:tcPr>
            <w:tcW w:w="233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ABAEC2C" w14:textId="06C71279" w:rsidR="00F96911" w:rsidRDefault="002009AE" w:rsidP="002009AE">
            <w:pPr>
              <w:keepNext/>
              <w:keepLines/>
            </w:pPr>
            <w:r>
              <w:t>0</w:t>
            </w:r>
          </w:p>
        </w:tc>
        <w:tc>
          <w:tcPr>
            <w:tcW w:w="170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003444D" w14:textId="77777777" w:rsidR="00F96911" w:rsidRDefault="00F96911" w:rsidP="00D51717">
            <w:pPr>
              <w:keepNext/>
              <w:keepLines/>
            </w:pPr>
            <w:r>
              <w:t>4</w:t>
            </w:r>
          </w:p>
        </w:tc>
        <w:tc>
          <w:tcPr>
            <w:tcW w:w="1351"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4860229A" w14:textId="77777777" w:rsidR="00F96911" w:rsidRDefault="00F96911" w:rsidP="00D51717">
            <w:pPr>
              <w:keepNext/>
              <w:keepLines/>
            </w:pPr>
          </w:p>
        </w:tc>
        <w:tc>
          <w:tcPr>
            <w:tcW w:w="1796"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2B1C45B0" w14:textId="77777777" w:rsidR="00F96911" w:rsidRDefault="00F96911" w:rsidP="00D51717">
            <w:pPr>
              <w:keepNext/>
              <w:keepLines/>
            </w:pPr>
            <w:r>
              <w:t>7</w:t>
            </w:r>
          </w:p>
        </w:tc>
      </w:tr>
      <w:tr w:rsidR="00F96911" w14:paraId="0CF3E4C8"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C4BB9C0" w14:textId="77777777" w:rsidR="00F96911" w:rsidRPr="00934647" w:rsidRDefault="00F96911" w:rsidP="00D51717">
            <w:pPr>
              <w:keepNext/>
              <w:keepLines/>
              <w:rPr>
                <w:bCs/>
                <w:color w:val="606060"/>
                <w:sz w:val="22"/>
                <w:szCs w:val="22"/>
              </w:rPr>
            </w:pPr>
            <w:r w:rsidRPr="00934647">
              <w:rPr>
                <w:bCs/>
                <w:color w:val="606060"/>
                <w:sz w:val="22"/>
                <w:szCs w:val="22"/>
              </w:rPr>
              <w:t>Date Achieved</w:t>
            </w:r>
          </w:p>
          <w:p w14:paraId="0021E4ED" w14:textId="77777777" w:rsidR="00F96911" w:rsidRPr="00934647" w:rsidRDefault="00F96911" w:rsidP="00D51717">
            <w:pPr>
              <w:keepNext/>
              <w:keepLines/>
              <w:rPr>
                <w:bCs/>
                <w:color w:val="606060"/>
                <w:sz w:val="22"/>
                <w:szCs w:val="22"/>
              </w:rPr>
            </w:pPr>
          </w:p>
        </w:tc>
        <w:tc>
          <w:tcPr>
            <w:tcW w:w="233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F581A69" w14:textId="1E1C6820" w:rsidR="00F96911" w:rsidRPr="00E964DD" w:rsidRDefault="0068237C" w:rsidP="00D51717">
            <w:pPr>
              <w:keepNext/>
              <w:keepLines/>
              <w:rPr>
                <w:sz w:val="22"/>
              </w:rPr>
            </w:pPr>
            <w:r>
              <w:rPr>
                <w:sz w:val="22"/>
              </w:rPr>
              <w:t>2-May-2005</w:t>
            </w:r>
          </w:p>
        </w:tc>
        <w:tc>
          <w:tcPr>
            <w:tcW w:w="170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1F9FE78" w14:textId="77777777" w:rsidR="00F96911" w:rsidRPr="00E964DD" w:rsidRDefault="00F96911" w:rsidP="00D51717">
            <w:pPr>
              <w:keepNext/>
              <w:keepLines/>
              <w:rPr>
                <w:sz w:val="22"/>
              </w:rPr>
            </w:pPr>
          </w:p>
        </w:tc>
        <w:tc>
          <w:tcPr>
            <w:tcW w:w="1351"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4EA41F07" w14:textId="77777777" w:rsidR="00F96911" w:rsidRPr="00E964DD" w:rsidRDefault="00F96911" w:rsidP="00D51717">
            <w:pPr>
              <w:keepNext/>
              <w:keepLines/>
              <w:rPr>
                <w:sz w:val="22"/>
              </w:rPr>
            </w:pPr>
          </w:p>
        </w:tc>
        <w:tc>
          <w:tcPr>
            <w:tcW w:w="1796"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09473CCB" w14:textId="77777777" w:rsidR="00F96911" w:rsidRPr="00E964DD" w:rsidRDefault="00F96911" w:rsidP="00D51717">
            <w:pPr>
              <w:keepNext/>
              <w:keepLines/>
              <w:rPr>
                <w:sz w:val="22"/>
              </w:rPr>
            </w:pPr>
            <w:r w:rsidRPr="00E964DD">
              <w:rPr>
                <w:sz w:val="22"/>
              </w:rPr>
              <w:t>31- Mar-2016</w:t>
            </w:r>
          </w:p>
        </w:tc>
      </w:tr>
      <w:tr w:rsidR="00F96911" w14:paraId="170D6A47"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039C8681" w14:textId="77777777" w:rsidR="00F96911" w:rsidRPr="00934647" w:rsidRDefault="00F96911" w:rsidP="00D51717">
            <w:pPr>
              <w:keepNext/>
              <w:keepLines/>
              <w:rPr>
                <w:bCs/>
                <w:color w:val="606060"/>
                <w:sz w:val="22"/>
                <w:szCs w:val="22"/>
              </w:rPr>
            </w:pPr>
            <w:r w:rsidRPr="00934647">
              <w:rPr>
                <w:bCs/>
                <w:color w:val="606060"/>
                <w:sz w:val="22"/>
                <w:szCs w:val="22"/>
              </w:rPr>
              <w:t>Comments (inclu.% achievement)</w:t>
            </w:r>
          </w:p>
        </w:tc>
        <w:tc>
          <w:tcPr>
            <w:tcW w:w="7187" w:type="dxa"/>
            <w:gridSpan w:val="6"/>
            <w:tcBorders>
              <w:top w:val="single" w:sz="4" w:space="0" w:color="B1B1B1"/>
              <w:left w:val="single" w:sz="4" w:space="0" w:color="B1B1B1"/>
              <w:bottom w:val="single" w:sz="4" w:space="0" w:color="B1B1B1"/>
              <w:right w:val="single" w:sz="4" w:space="0" w:color="B1B1B1"/>
            </w:tcBorders>
            <w:shd w:val="clear" w:color="auto" w:fill="F1F1F1"/>
            <w:vAlign w:val="center"/>
          </w:tcPr>
          <w:p w14:paraId="26E0BF08" w14:textId="77777777" w:rsidR="00F96911" w:rsidRDefault="00F96911" w:rsidP="00D51717">
            <w:pPr>
              <w:keepNext/>
              <w:keepLines/>
            </w:pPr>
            <w:r w:rsidRPr="00AC01BB">
              <w:rPr>
                <w:sz w:val="22"/>
              </w:rPr>
              <w:t>This target was surpassed (</w:t>
            </w:r>
            <w:r>
              <w:rPr>
                <w:sz w:val="22"/>
              </w:rPr>
              <w:t>175</w:t>
            </w:r>
            <w:r w:rsidRPr="00AC01BB">
              <w:rPr>
                <w:sz w:val="22"/>
              </w:rPr>
              <w:t>%)</w:t>
            </w:r>
          </w:p>
        </w:tc>
      </w:tr>
      <w:tr w:rsidR="00F96911" w14:paraId="6667C387" w14:textId="77777777" w:rsidTr="00D51717">
        <w:tc>
          <w:tcPr>
            <w:tcW w:w="144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8B2ED7F" w14:textId="77777777" w:rsidR="00F96911" w:rsidRDefault="00F96911" w:rsidP="00D51717">
            <w:pPr>
              <w:keepNext/>
              <w:keepLines/>
              <w:rPr>
                <w:b/>
                <w:bCs/>
                <w:color w:val="606060"/>
                <w:sz w:val="22"/>
                <w:szCs w:val="22"/>
              </w:rPr>
            </w:pPr>
            <w:r>
              <w:rPr>
                <w:b/>
                <w:bCs/>
                <w:color w:val="606060"/>
                <w:sz w:val="22"/>
                <w:szCs w:val="22"/>
              </w:rPr>
              <w:t xml:space="preserve">Indicator 2: </w:t>
            </w:r>
          </w:p>
        </w:tc>
        <w:tc>
          <w:tcPr>
            <w:tcW w:w="7187" w:type="dxa"/>
            <w:gridSpan w:val="6"/>
            <w:tcBorders>
              <w:top w:val="single" w:sz="4" w:space="0" w:color="B1B1B1"/>
              <w:left w:val="single" w:sz="4" w:space="0" w:color="B1B1B1"/>
              <w:bottom w:val="single" w:sz="4" w:space="0" w:color="B1B1B1"/>
              <w:right w:val="single" w:sz="4" w:space="0" w:color="B1B1B1"/>
            </w:tcBorders>
            <w:shd w:val="clear" w:color="auto" w:fill="F1F1F1"/>
            <w:vAlign w:val="center"/>
          </w:tcPr>
          <w:p w14:paraId="034E1AD3" w14:textId="77777777" w:rsidR="00F96911" w:rsidRPr="00F64CC4" w:rsidRDefault="00F96911" w:rsidP="00D51717">
            <w:pPr>
              <w:keepNext/>
              <w:keepLines/>
              <w:rPr>
                <w:bCs/>
                <w:color w:val="606060"/>
                <w:sz w:val="22"/>
                <w:szCs w:val="22"/>
              </w:rPr>
            </w:pPr>
            <w:r w:rsidRPr="00F64CC4">
              <w:rPr>
                <w:bCs/>
                <w:color w:val="606060"/>
                <w:sz w:val="22"/>
                <w:szCs w:val="22"/>
              </w:rPr>
              <w:t>% of total soums in selected aimags offering IBLI</w:t>
            </w:r>
          </w:p>
        </w:tc>
      </w:tr>
      <w:tr w:rsidR="00F96911" w14:paraId="46B14484" w14:textId="77777777" w:rsidTr="00D51717">
        <w:trPr>
          <w:trHeight w:val="298"/>
        </w:trPr>
        <w:tc>
          <w:tcPr>
            <w:tcW w:w="1435" w:type="dxa"/>
            <w:tcBorders>
              <w:top w:val="single" w:sz="4" w:space="0" w:color="B1B1B1"/>
              <w:left w:val="single" w:sz="4" w:space="0" w:color="B1B1B1"/>
              <w:right w:val="single" w:sz="4" w:space="0" w:color="B1B1B1"/>
            </w:tcBorders>
            <w:shd w:val="clear" w:color="auto" w:fill="F1F1F1"/>
            <w:vAlign w:val="center"/>
          </w:tcPr>
          <w:p w14:paraId="35C4F8B3" w14:textId="77777777" w:rsidR="00F96911" w:rsidRDefault="00F96911" w:rsidP="00D51717">
            <w:pPr>
              <w:keepNext/>
              <w:keepLines/>
            </w:pPr>
            <w:r w:rsidRPr="00FE6BDA">
              <w:rPr>
                <w:bCs/>
                <w:color w:val="606060"/>
                <w:sz w:val="22"/>
                <w:szCs w:val="22"/>
              </w:rPr>
              <w:t xml:space="preserve">Value quantitative or Qualitative </w:t>
            </w: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6085AFA9" w14:textId="42D367FF" w:rsidR="00F96911" w:rsidRPr="00E964DD" w:rsidRDefault="00F96911" w:rsidP="002009AE">
            <w:pPr>
              <w:keepNext/>
              <w:keepLines/>
              <w:rPr>
                <w:sz w:val="22"/>
              </w:rPr>
            </w:pPr>
            <w:r w:rsidRPr="00E964DD">
              <w:rPr>
                <w:sz w:val="22"/>
              </w:rPr>
              <w:t>0%</w:t>
            </w:r>
          </w:p>
        </w:tc>
        <w:tc>
          <w:tcPr>
            <w:tcW w:w="1709" w:type="dxa"/>
            <w:tcBorders>
              <w:top w:val="single" w:sz="4" w:space="0" w:color="B1B1B1"/>
              <w:left w:val="single" w:sz="4" w:space="0" w:color="B1B1B1"/>
              <w:right w:val="single" w:sz="4" w:space="0" w:color="B1B1B1"/>
            </w:tcBorders>
            <w:shd w:val="clear" w:color="auto" w:fill="F1F1F1"/>
            <w:vAlign w:val="center"/>
          </w:tcPr>
          <w:p w14:paraId="03B0CEEC" w14:textId="77777777" w:rsidR="00F96911" w:rsidRPr="00E964DD" w:rsidRDefault="00F96911" w:rsidP="00D51717">
            <w:pPr>
              <w:keepNext/>
              <w:keepLines/>
              <w:rPr>
                <w:sz w:val="22"/>
              </w:rPr>
            </w:pPr>
            <w:r w:rsidRPr="00E964DD">
              <w:rPr>
                <w:sz w:val="22"/>
              </w:rPr>
              <w:t>90%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30FEF61F" w14:textId="77777777" w:rsidR="00F96911" w:rsidRPr="00E964DD" w:rsidRDefault="00F96911" w:rsidP="00D51717">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4034DA8E" w14:textId="77777777" w:rsidR="00F96911" w:rsidRPr="00E964DD" w:rsidRDefault="00F96911" w:rsidP="00D51717">
            <w:pPr>
              <w:keepNext/>
              <w:keepLines/>
              <w:rPr>
                <w:sz w:val="22"/>
              </w:rPr>
            </w:pPr>
            <w:r w:rsidRPr="00E964DD">
              <w:rPr>
                <w:sz w:val="22"/>
              </w:rPr>
              <w:t>100%</w:t>
            </w:r>
          </w:p>
        </w:tc>
      </w:tr>
      <w:tr w:rsidR="00F96911" w14:paraId="2D6C5F28"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199E4802" w14:textId="77777777" w:rsidR="00F96911" w:rsidRDefault="00F96911" w:rsidP="00D51717">
            <w:pPr>
              <w:keepNext/>
              <w:keepLines/>
            </w:pPr>
            <w:r w:rsidRPr="00151EAF">
              <w:rPr>
                <w:bCs/>
                <w:color w:val="606060"/>
                <w:sz w:val="22"/>
                <w:szCs w:val="22"/>
              </w:rPr>
              <w:t>Date Achieved</w:t>
            </w: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683D3636" w14:textId="77777777" w:rsidR="00F96911" w:rsidRPr="00E964DD" w:rsidRDefault="00F96911" w:rsidP="00D51717">
            <w:pPr>
              <w:keepNext/>
              <w:keepLines/>
              <w:rPr>
                <w:sz w:val="22"/>
              </w:rPr>
            </w:pPr>
            <w:r w:rsidRPr="00E964DD">
              <w:rPr>
                <w:sz w:val="22"/>
              </w:rPr>
              <w:t>18-Jan-2010</w:t>
            </w:r>
          </w:p>
        </w:tc>
        <w:tc>
          <w:tcPr>
            <w:tcW w:w="1709" w:type="dxa"/>
            <w:tcBorders>
              <w:top w:val="single" w:sz="4" w:space="0" w:color="B1B1B1"/>
              <w:left w:val="single" w:sz="4" w:space="0" w:color="B1B1B1"/>
              <w:right w:val="single" w:sz="4" w:space="0" w:color="B1B1B1"/>
            </w:tcBorders>
            <w:shd w:val="clear" w:color="auto" w:fill="F1F1F1"/>
            <w:vAlign w:val="center"/>
          </w:tcPr>
          <w:p w14:paraId="0F55AC62" w14:textId="77777777" w:rsidR="00F96911" w:rsidRPr="00E964DD" w:rsidRDefault="00F96911" w:rsidP="00D51717">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64C2DB41" w14:textId="77777777" w:rsidR="00F96911" w:rsidRPr="00E964DD" w:rsidRDefault="00F96911" w:rsidP="00D51717">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22623A89" w14:textId="77777777" w:rsidR="00F96911" w:rsidRPr="00E964DD" w:rsidRDefault="00F96911" w:rsidP="00D51717">
            <w:pPr>
              <w:keepNext/>
              <w:keepLines/>
              <w:rPr>
                <w:sz w:val="22"/>
              </w:rPr>
            </w:pPr>
            <w:r w:rsidRPr="00E964DD">
              <w:rPr>
                <w:sz w:val="22"/>
              </w:rPr>
              <w:t>31- Mar-2016</w:t>
            </w:r>
          </w:p>
        </w:tc>
      </w:tr>
      <w:tr w:rsidR="00F96911" w14:paraId="08CFD64C" w14:textId="77777777" w:rsidTr="00D51717">
        <w:trPr>
          <w:trHeight w:val="296"/>
        </w:trPr>
        <w:tc>
          <w:tcPr>
            <w:tcW w:w="1435"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18B3CA7" w14:textId="77777777" w:rsidR="00F96911" w:rsidRDefault="00F96911" w:rsidP="00D51717">
            <w:pPr>
              <w:keepNext/>
              <w:keepLines/>
            </w:pPr>
            <w:r>
              <w:rPr>
                <w:bCs/>
                <w:color w:val="606060"/>
                <w:sz w:val="22"/>
                <w:szCs w:val="22"/>
              </w:rPr>
              <w:t>Comments (inclu.% achievement)</w:t>
            </w:r>
          </w:p>
        </w:tc>
        <w:tc>
          <w:tcPr>
            <w:tcW w:w="7195" w:type="dxa"/>
            <w:gridSpan w:val="7"/>
            <w:tcBorders>
              <w:top w:val="single" w:sz="4" w:space="0" w:color="B1B1B1"/>
              <w:left w:val="single" w:sz="4" w:space="0" w:color="B1B1B1"/>
              <w:bottom w:val="single" w:sz="4" w:space="0" w:color="B1B1B1"/>
              <w:right w:val="single" w:sz="4" w:space="0" w:color="B1B1B1"/>
            </w:tcBorders>
            <w:shd w:val="clear" w:color="auto" w:fill="F1F1F1"/>
            <w:vAlign w:val="center"/>
          </w:tcPr>
          <w:p w14:paraId="45A29235" w14:textId="77777777" w:rsidR="00F96911" w:rsidRPr="00E964DD" w:rsidRDefault="00F96911" w:rsidP="00D51717">
            <w:pPr>
              <w:keepNext/>
              <w:keepLines/>
              <w:rPr>
                <w:sz w:val="22"/>
              </w:rPr>
            </w:pPr>
            <w:r w:rsidRPr="00AC01BB">
              <w:rPr>
                <w:b/>
                <w:sz w:val="22"/>
              </w:rPr>
              <w:t>This target was surpassed (</w:t>
            </w:r>
            <w:r>
              <w:rPr>
                <w:b/>
                <w:sz w:val="22"/>
              </w:rPr>
              <w:t>111</w:t>
            </w:r>
            <w:r w:rsidRPr="00AC01BB">
              <w:rPr>
                <w:b/>
                <w:sz w:val="22"/>
              </w:rPr>
              <w:t xml:space="preserve">%). </w:t>
            </w:r>
            <w:r w:rsidRPr="00E964DD">
              <w:rPr>
                <w:sz w:val="22"/>
              </w:rPr>
              <w:t>330 soums of 21 aimags</w:t>
            </w:r>
            <w:r>
              <w:rPr>
                <w:sz w:val="22"/>
              </w:rPr>
              <w:t>.</w:t>
            </w:r>
          </w:p>
        </w:tc>
      </w:tr>
      <w:tr w:rsidR="00F96911" w14:paraId="58442850"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85CC953" w14:textId="77306C8A" w:rsidR="00F96911" w:rsidRDefault="00F96911" w:rsidP="00D51717">
            <w:pPr>
              <w:keepNext/>
              <w:keepLines/>
              <w:rPr>
                <w:bCs/>
                <w:color w:val="606060"/>
                <w:sz w:val="22"/>
                <w:szCs w:val="22"/>
              </w:rPr>
            </w:pPr>
            <w:r>
              <w:rPr>
                <w:b/>
                <w:bCs/>
                <w:color w:val="606060"/>
                <w:sz w:val="22"/>
                <w:szCs w:val="22"/>
              </w:rPr>
              <w:t>Indicator 3:</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0AA432F9" w14:textId="77777777" w:rsidR="00F96911" w:rsidRPr="00E964DD" w:rsidRDefault="00F96911" w:rsidP="00D51717">
            <w:pPr>
              <w:keepNext/>
              <w:keepLines/>
              <w:rPr>
                <w:sz w:val="22"/>
              </w:rPr>
            </w:pPr>
            <w:r w:rsidRPr="00E964DD">
              <w:rPr>
                <w:sz w:val="22"/>
              </w:rPr>
              <w:t>% of herders in contact with insurance agents offering LRI</w:t>
            </w:r>
          </w:p>
        </w:tc>
      </w:tr>
      <w:tr w:rsidR="00F96911" w14:paraId="629D09C7"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49CB6532" w14:textId="2E8A3408" w:rsidR="00F96911" w:rsidRPr="00934647" w:rsidRDefault="00F96911" w:rsidP="00D51717">
            <w:pPr>
              <w:keepNext/>
              <w:keepLines/>
              <w:rPr>
                <w:bCs/>
                <w:color w:val="606060"/>
                <w:sz w:val="22"/>
                <w:szCs w:val="22"/>
              </w:rPr>
            </w:pPr>
            <w:r w:rsidRPr="00934647">
              <w:rPr>
                <w:bCs/>
                <w:color w:val="606060"/>
                <w:sz w:val="22"/>
                <w:szCs w:val="22"/>
              </w:rPr>
              <w:t xml:space="preserve">Value quantitative or Qualitative </w:t>
            </w:r>
            <w:r w:rsidR="002009AE">
              <w:rPr>
                <w:bCs/>
                <w:color w:val="606060"/>
                <w:sz w:val="22"/>
                <w:szCs w:val="22"/>
              </w:rPr>
              <w:t>(Initial PDO)</w:t>
            </w:r>
          </w:p>
          <w:p w14:paraId="1AF60ABB" w14:textId="77777777" w:rsidR="00F96911" w:rsidRDefault="00F96911" w:rsidP="00D51717">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6C065A0F" w14:textId="43496958" w:rsidR="00F96911" w:rsidRPr="00E964DD" w:rsidRDefault="002009AE" w:rsidP="002009AE">
            <w:pPr>
              <w:keepNext/>
              <w:keepLines/>
              <w:rPr>
                <w:sz w:val="22"/>
              </w:rPr>
            </w:pPr>
            <w:r>
              <w:rPr>
                <w:sz w:val="22"/>
              </w:rPr>
              <w:t>0</w:t>
            </w:r>
            <w:r w:rsidR="00F96911" w:rsidRPr="00E964DD">
              <w:rPr>
                <w:sz w:val="22"/>
              </w:rPr>
              <w:t>%</w:t>
            </w:r>
          </w:p>
        </w:tc>
        <w:tc>
          <w:tcPr>
            <w:tcW w:w="1709" w:type="dxa"/>
            <w:tcBorders>
              <w:top w:val="single" w:sz="4" w:space="0" w:color="B1B1B1"/>
              <w:left w:val="single" w:sz="4" w:space="0" w:color="B1B1B1"/>
              <w:right w:val="single" w:sz="4" w:space="0" w:color="B1B1B1"/>
            </w:tcBorders>
            <w:shd w:val="clear" w:color="auto" w:fill="F1F1F1"/>
            <w:vAlign w:val="center"/>
          </w:tcPr>
          <w:p w14:paraId="4AB9DF25" w14:textId="77777777" w:rsidR="00F96911" w:rsidRPr="00E964DD" w:rsidRDefault="00F96911" w:rsidP="00D51717">
            <w:pPr>
              <w:keepNext/>
              <w:keepLines/>
              <w:rPr>
                <w:sz w:val="22"/>
              </w:rPr>
            </w:pPr>
            <w:r w:rsidRPr="00E964DD">
              <w:rPr>
                <w:sz w:val="22"/>
              </w:rPr>
              <w:t>60%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57B26548" w14:textId="77777777" w:rsidR="00F96911" w:rsidRPr="00E964DD" w:rsidRDefault="00F96911" w:rsidP="00D51717">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71E46900" w14:textId="2E257820" w:rsidR="00F96911" w:rsidRPr="00E964DD" w:rsidRDefault="00272584" w:rsidP="00272584">
            <w:pPr>
              <w:keepNext/>
              <w:keepLines/>
              <w:rPr>
                <w:sz w:val="22"/>
              </w:rPr>
            </w:pPr>
            <w:r>
              <w:rPr>
                <w:sz w:val="22"/>
              </w:rPr>
              <w:t>68</w:t>
            </w:r>
            <w:r w:rsidR="002009AE">
              <w:rPr>
                <w:sz w:val="22"/>
              </w:rPr>
              <w:t>%</w:t>
            </w:r>
          </w:p>
        </w:tc>
      </w:tr>
      <w:tr w:rsidR="00F96911" w14:paraId="07FACCF9"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3D8CFCF9" w14:textId="77777777" w:rsidR="00F96911" w:rsidRPr="00934647" w:rsidRDefault="00F96911" w:rsidP="00D51717">
            <w:pPr>
              <w:keepNext/>
              <w:keepLines/>
              <w:rPr>
                <w:bCs/>
                <w:color w:val="606060"/>
                <w:sz w:val="22"/>
                <w:szCs w:val="22"/>
              </w:rPr>
            </w:pPr>
            <w:r w:rsidRPr="00934647">
              <w:rPr>
                <w:bCs/>
                <w:color w:val="606060"/>
                <w:sz w:val="22"/>
                <w:szCs w:val="22"/>
              </w:rPr>
              <w:t>Date Achieved</w:t>
            </w:r>
          </w:p>
          <w:p w14:paraId="64D1A297" w14:textId="77777777" w:rsidR="00F96911" w:rsidRDefault="00F96911" w:rsidP="00D51717">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5957554B" w14:textId="78377BDF" w:rsidR="00F96911" w:rsidRPr="00E964DD" w:rsidRDefault="002009AE" w:rsidP="002009AE">
            <w:pPr>
              <w:keepNext/>
              <w:keepLines/>
              <w:rPr>
                <w:sz w:val="22"/>
              </w:rPr>
            </w:pPr>
            <w:r>
              <w:rPr>
                <w:sz w:val="22"/>
              </w:rPr>
              <w:t>2-May-2005</w:t>
            </w:r>
          </w:p>
        </w:tc>
        <w:tc>
          <w:tcPr>
            <w:tcW w:w="1709" w:type="dxa"/>
            <w:tcBorders>
              <w:top w:val="single" w:sz="4" w:space="0" w:color="B1B1B1"/>
              <w:left w:val="single" w:sz="4" w:space="0" w:color="B1B1B1"/>
              <w:right w:val="single" w:sz="4" w:space="0" w:color="B1B1B1"/>
            </w:tcBorders>
            <w:shd w:val="clear" w:color="auto" w:fill="F1F1F1"/>
            <w:vAlign w:val="center"/>
          </w:tcPr>
          <w:p w14:paraId="0670014E" w14:textId="77777777" w:rsidR="00F96911" w:rsidRPr="00E964DD" w:rsidRDefault="00F96911" w:rsidP="00D51717">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11EEC5C3" w14:textId="77777777" w:rsidR="00F96911" w:rsidRPr="00E964DD" w:rsidRDefault="00F96911" w:rsidP="00D51717">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102574B4" w14:textId="039807A3" w:rsidR="00F96911" w:rsidRPr="00E964DD" w:rsidRDefault="002009AE" w:rsidP="00272584">
            <w:pPr>
              <w:keepNext/>
              <w:keepLines/>
              <w:rPr>
                <w:sz w:val="22"/>
              </w:rPr>
            </w:pPr>
            <w:r>
              <w:rPr>
                <w:sz w:val="22"/>
              </w:rPr>
              <w:t>18-January-20</w:t>
            </w:r>
            <w:r w:rsidR="00272584">
              <w:rPr>
                <w:sz w:val="22"/>
              </w:rPr>
              <w:t>10</w:t>
            </w:r>
            <w:r>
              <w:rPr>
                <w:sz w:val="22"/>
              </w:rPr>
              <w:t>9</w:t>
            </w:r>
          </w:p>
        </w:tc>
      </w:tr>
      <w:tr w:rsidR="002009AE" w14:paraId="49B00C17"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18E75436" w14:textId="0CDEAD71"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r>
              <w:rPr>
                <w:bCs/>
                <w:color w:val="606060"/>
                <w:sz w:val="22"/>
                <w:szCs w:val="22"/>
              </w:rPr>
              <w:t>(Additional finance PDO)</w:t>
            </w:r>
          </w:p>
          <w:p w14:paraId="65D62440"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63399E30" w14:textId="04B0DC8F" w:rsidR="002009AE" w:rsidRPr="00E964DD" w:rsidRDefault="002009AE" w:rsidP="002009AE">
            <w:pPr>
              <w:keepNext/>
              <w:keepLines/>
              <w:rPr>
                <w:sz w:val="22"/>
              </w:rPr>
            </w:pPr>
            <w:r>
              <w:rPr>
                <w:sz w:val="22"/>
              </w:rPr>
              <w:t>68</w:t>
            </w:r>
            <w:r w:rsidRPr="00E964DD">
              <w:rPr>
                <w:sz w:val="22"/>
              </w:rPr>
              <w:t>%</w:t>
            </w:r>
          </w:p>
        </w:tc>
        <w:tc>
          <w:tcPr>
            <w:tcW w:w="1709" w:type="dxa"/>
            <w:tcBorders>
              <w:top w:val="single" w:sz="4" w:space="0" w:color="B1B1B1"/>
              <w:left w:val="single" w:sz="4" w:space="0" w:color="B1B1B1"/>
              <w:right w:val="single" w:sz="4" w:space="0" w:color="B1B1B1"/>
            </w:tcBorders>
            <w:shd w:val="clear" w:color="auto" w:fill="F1F1F1"/>
            <w:vAlign w:val="center"/>
          </w:tcPr>
          <w:p w14:paraId="347689B4" w14:textId="0C92C44E" w:rsidR="002009AE" w:rsidRPr="00E964DD" w:rsidRDefault="002009AE" w:rsidP="002009AE">
            <w:pPr>
              <w:keepNext/>
              <w:keepLines/>
              <w:rPr>
                <w:sz w:val="22"/>
              </w:rPr>
            </w:pPr>
            <w:r w:rsidRPr="00E964DD">
              <w:rPr>
                <w:sz w:val="22"/>
              </w:rPr>
              <w:t>60%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428D984E"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4D18C0FA" w14:textId="75819D81" w:rsidR="002009AE" w:rsidRPr="00E964DD" w:rsidRDefault="002009AE" w:rsidP="002009AE">
            <w:pPr>
              <w:keepNext/>
              <w:keepLines/>
              <w:rPr>
                <w:sz w:val="22"/>
              </w:rPr>
            </w:pPr>
            <w:r w:rsidRPr="00E964DD">
              <w:rPr>
                <w:sz w:val="22"/>
              </w:rPr>
              <w:t>46%</w:t>
            </w:r>
          </w:p>
        </w:tc>
      </w:tr>
      <w:tr w:rsidR="002009AE" w14:paraId="04A1F5D2"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08844E69"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29DA2BC3"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31CDAC36" w14:textId="44EFF61C" w:rsidR="002009AE" w:rsidRPr="00E964DD" w:rsidRDefault="002009AE" w:rsidP="00272584">
            <w:pPr>
              <w:keepNext/>
              <w:keepLines/>
              <w:rPr>
                <w:sz w:val="22"/>
              </w:rPr>
            </w:pPr>
            <w:r w:rsidRPr="00E964DD">
              <w:rPr>
                <w:sz w:val="22"/>
              </w:rPr>
              <w:t>18-Jan-20</w:t>
            </w:r>
            <w:r w:rsidR="00272584">
              <w:rPr>
                <w:sz w:val="22"/>
              </w:rPr>
              <w:t>10</w:t>
            </w:r>
          </w:p>
        </w:tc>
        <w:tc>
          <w:tcPr>
            <w:tcW w:w="1709" w:type="dxa"/>
            <w:tcBorders>
              <w:top w:val="single" w:sz="4" w:space="0" w:color="B1B1B1"/>
              <w:left w:val="single" w:sz="4" w:space="0" w:color="B1B1B1"/>
              <w:right w:val="single" w:sz="4" w:space="0" w:color="B1B1B1"/>
            </w:tcBorders>
            <w:shd w:val="clear" w:color="auto" w:fill="F1F1F1"/>
            <w:vAlign w:val="center"/>
          </w:tcPr>
          <w:p w14:paraId="3A545B53"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51405279"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2BA8C533" w14:textId="3B6D41D1" w:rsidR="002009AE" w:rsidRPr="00E964DD" w:rsidRDefault="002009AE" w:rsidP="002009AE">
            <w:pPr>
              <w:keepNext/>
              <w:keepLines/>
              <w:rPr>
                <w:sz w:val="22"/>
              </w:rPr>
            </w:pPr>
            <w:r w:rsidRPr="00E964DD">
              <w:rPr>
                <w:sz w:val="22"/>
              </w:rPr>
              <w:t>31- Mar-2016</w:t>
            </w:r>
          </w:p>
        </w:tc>
      </w:tr>
      <w:tr w:rsidR="002009AE" w14:paraId="54BA7564"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3B962D0C" w14:textId="77777777" w:rsidR="002009AE"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0B4AEEDE" w14:textId="1375BFC6" w:rsidR="002009AE" w:rsidRPr="00E964DD" w:rsidRDefault="002009AE" w:rsidP="00530C00">
            <w:pPr>
              <w:keepNext/>
              <w:keepLines/>
              <w:rPr>
                <w:sz w:val="22"/>
              </w:rPr>
            </w:pPr>
            <w:r w:rsidRPr="00AC01BB">
              <w:rPr>
                <w:b/>
                <w:sz w:val="22"/>
              </w:rPr>
              <w:t xml:space="preserve">This target was not met (76%). </w:t>
            </w:r>
            <w:r w:rsidR="00272584" w:rsidRPr="00C457E7">
              <w:rPr>
                <w:sz w:val="22"/>
              </w:rPr>
              <w:t>For</w:t>
            </w:r>
            <w:r w:rsidR="00272584">
              <w:rPr>
                <w:b/>
                <w:sz w:val="22"/>
              </w:rPr>
              <w:t xml:space="preserve"> </w:t>
            </w:r>
            <w:r w:rsidR="00272584" w:rsidRPr="00E964DD">
              <w:rPr>
                <w:sz w:val="22"/>
              </w:rPr>
              <w:t>pilot Aimags where the project started</w:t>
            </w:r>
            <w:r w:rsidR="00272584">
              <w:rPr>
                <w:sz w:val="22"/>
              </w:rPr>
              <w:t xml:space="preserve"> 85%</w:t>
            </w:r>
            <w:r w:rsidR="00530C00">
              <w:rPr>
                <w:sz w:val="22"/>
              </w:rPr>
              <w:t xml:space="preserve"> was achieved</w:t>
            </w:r>
            <w:r w:rsidR="00272584">
              <w:rPr>
                <w:sz w:val="22"/>
              </w:rPr>
              <w:t>, whereas it was l</w:t>
            </w:r>
            <w:r w:rsidRPr="00E964DD">
              <w:rPr>
                <w:sz w:val="22"/>
              </w:rPr>
              <w:t>ess than 50% in Aimags added in second phase</w:t>
            </w:r>
            <w:r w:rsidR="00272584">
              <w:rPr>
                <w:sz w:val="22"/>
              </w:rPr>
              <w:t>, which reflects challenges with awareness raising in all 21 Aimags</w:t>
            </w:r>
            <w:r w:rsidRPr="00E964DD">
              <w:rPr>
                <w:sz w:val="22"/>
              </w:rPr>
              <w:t>.</w:t>
            </w:r>
          </w:p>
        </w:tc>
      </w:tr>
      <w:tr w:rsidR="002009AE" w14:paraId="2824C5E5"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103666C1" w14:textId="17C0D62F" w:rsidR="002009AE" w:rsidRDefault="002009AE" w:rsidP="002009AE">
            <w:pPr>
              <w:keepNext/>
              <w:keepLines/>
              <w:rPr>
                <w:bCs/>
                <w:color w:val="606060"/>
                <w:sz w:val="22"/>
                <w:szCs w:val="22"/>
              </w:rPr>
            </w:pPr>
            <w:r>
              <w:rPr>
                <w:b/>
                <w:bCs/>
                <w:color w:val="606060"/>
                <w:sz w:val="22"/>
                <w:szCs w:val="22"/>
              </w:rPr>
              <w:t>Indicator 4:</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1210C365" w14:textId="77777777" w:rsidR="002009AE" w:rsidRPr="00E964DD" w:rsidRDefault="002009AE" w:rsidP="002009AE">
            <w:pPr>
              <w:keepNext/>
              <w:keepLines/>
              <w:rPr>
                <w:sz w:val="22"/>
              </w:rPr>
            </w:pPr>
            <w:r w:rsidRPr="00E964DD">
              <w:rPr>
                <w:sz w:val="22"/>
              </w:rPr>
              <w:t>Participating insurance companies provide contractual payments into LIIP and LRI reserves as contractually required.</w:t>
            </w:r>
          </w:p>
        </w:tc>
      </w:tr>
      <w:tr w:rsidR="002009AE" w14:paraId="31178F8F"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5C8B19E" w14:textId="77777777"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p>
          <w:p w14:paraId="1F52C28F" w14:textId="77777777" w:rsidR="002009AE"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44FE985A" w14:textId="192919BD" w:rsidR="002009AE" w:rsidRPr="00E964DD" w:rsidRDefault="002009AE" w:rsidP="002009AE">
            <w:pPr>
              <w:keepNext/>
              <w:keepLines/>
              <w:rPr>
                <w:sz w:val="22"/>
              </w:rPr>
            </w:pPr>
            <w:r w:rsidRPr="00E964DD">
              <w:rPr>
                <w:sz w:val="22"/>
              </w:rPr>
              <w:t>0</w:t>
            </w:r>
          </w:p>
        </w:tc>
        <w:tc>
          <w:tcPr>
            <w:tcW w:w="1709" w:type="dxa"/>
            <w:tcBorders>
              <w:top w:val="single" w:sz="4" w:space="0" w:color="B1B1B1"/>
              <w:left w:val="single" w:sz="4" w:space="0" w:color="B1B1B1"/>
              <w:right w:val="single" w:sz="4" w:space="0" w:color="B1B1B1"/>
            </w:tcBorders>
            <w:shd w:val="clear" w:color="auto" w:fill="F1F1F1"/>
            <w:vAlign w:val="center"/>
          </w:tcPr>
          <w:p w14:paraId="76279B92" w14:textId="77777777" w:rsidR="002009AE" w:rsidRPr="00E964DD" w:rsidRDefault="002009AE" w:rsidP="002009AE">
            <w:pPr>
              <w:keepNext/>
              <w:keepLines/>
              <w:rPr>
                <w:sz w:val="22"/>
              </w:rPr>
            </w:pPr>
            <w:r w:rsidRPr="00E964DD">
              <w:rPr>
                <w:sz w:val="22"/>
              </w:rPr>
              <w:t>100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688818F0"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4831946A" w14:textId="77777777" w:rsidR="002009AE" w:rsidRPr="00E964DD" w:rsidRDefault="002009AE" w:rsidP="002009AE">
            <w:pPr>
              <w:keepNext/>
              <w:keepLines/>
              <w:rPr>
                <w:sz w:val="22"/>
              </w:rPr>
            </w:pPr>
            <w:r w:rsidRPr="00E964DD">
              <w:rPr>
                <w:sz w:val="22"/>
              </w:rPr>
              <w:t>100</w:t>
            </w:r>
          </w:p>
        </w:tc>
      </w:tr>
      <w:tr w:rsidR="002009AE" w14:paraId="146A2AF8"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6FEB2DC0" w14:textId="77777777" w:rsidR="002009AE" w:rsidRPr="00934647" w:rsidRDefault="002009AE" w:rsidP="002009AE">
            <w:pPr>
              <w:keepNext/>
              <w:keepLines/>
              <w:rPr>
                <w:bCs/>
                <w:color w:val="606060"/>
                <w:sz w:val="22"/>
                <w:szCs w:val="22"/>
              </w:rPr>
            </w:pPr>
            <w:r w:rsidRPr="00934647">
              <w:rPr>
                <w:bCs/>
                <w:color w:val="606060"/>
                <w:sz w:val="22"/>
                <w:szCs w:val="22"/>
              </w:rPr>
              <w:lastRenderedPageBreak/>
              <w:t>Date Achieved</w:t>
            </w:r>
          </w:p>
          <w:p w14:paraId="2C46FF8F" w14:textId="77777777" w:rsidR="002009AE"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3AC6DE80" w14:textId="58CD2D31" w:rsidR="002009AE" w:rsidRPr="00E964DD" w:rsidRDefault="0068237C" w:rsidP="002009AE">
            <w:pPr>
              <w:keepNext/>
              <w:keepLines/>
              <w:rPr>
                <w:sz w:val="22"/>
              </w:rPr>
            </w:pPr>
            <w:r>
              <w:rPr>
                <w:sz w:val="22"/>
              </w:rPr>
              <w:t>2-May-2005</w:t>
            </w:r>
          </w:p>
        </w:tc>
        <w:tc>
          <w:tcPr>
            <w:tcW w:w="1709" w:type="dxa"/>
            <w:tcBorders>
              <w:top w:val="single" w:sz="4" w:space="0" w:color="B1B1B1"/>
              <w:left w:val="single" w:sz="4" w:space="0" w:color="B1B1B1"/>
              <w:right w:val="single" w:sz="4" w:space="0" w:color="B1B1B1"/>
            </w:tcBorders>
            <w:shd w:val="clear" w:color="auto" w:fill="F1F1F1"/>
            <w:vAlign w:val="center"/>
          </w:tcPr>
          <w:p w14:paraId="7A52AE43"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50F43168"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4318405E" w14:textId="77777777" w:rsidR="002009AE" w:rsidRPr="00E964DD" w:rsidRDefault="002009AE" w:rsidP="002009AE">
            <w:pPr>
              <w:keepNext/>
              <w:keepLines/>
              <w:rPr>
                <w:sz w:val="22"/>
              </w:rPr>
            </w:pPr>
            <w:r w:rsidRPr="00E964DD">
              <w:rPr>
                <w:sz w:val="22"/>
              </w:rPr>
              <w:t>31- Mar-2016</w:t>
            </w:r>
          </w:p>
        </w:tc>
      </w:tr>
      <w:tr w:rsidR="002009AE" w14:paraId="3E4BD5F5"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47FF373F" w14:textId="77777777" w:rsidR="002009AE"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24F74CD9" w14:textId="77777777" w:rsidR="002009AE" w:rsidRPr="00E964DD" w:rsidRDefault="002009AE" w:rsidP="002009AE">
            <w:pPr>
              <w:keepNext/>
              <w:keepLines/>
              <w:rPr>
                <w:sz w:val="22"/>
              </w:rPr>
            </w:pPr>
            <w:r w:rsidRPr="004B206B">
              <w:rPr>
                <w:b/>
                <w:sz w:val="22"/>
              </w:rPr>
              <w:t>This target was fully achieved (100%).</w:t>
            </w:r>
            <w:r>
              <w:rPr>
                <w:sz w:val="22"/>
              </w:rPr>
              <w:t xml:space="preserve"> </w:t>
            </w:r>
            <w:r w:rsidRPr="00E964DD">
              <w:rPr>
                <w:sz w:val="22"/>
              </w:rPr>
              <w:t>About MNT 614 million (45% of total gross premium) was deposited in the LIIP account in 2014, and MNT 245 million (18%) was allocated to the LRI Reserve account.</w:t>
            </w:r>
          </w:p>
        </w:tc>
      </w:tr>
      <w:tr w:rsidR="002009AE" w14:paraId="4531FDAE"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7E5BE986" w14:textId="1D4D6F88" w:rsidR="002009AE" w:rsidRDefault="002009AE" w:rsidP="002009AE">
            <w:pPr>
              <w:keepNext/>
              <w:keepLines/>
              <w:rPr>
                <w:bCs/>
                <w:color w:val="606060"/>
                <w:sz w:val="22"/>
                <w:szCs w:val="22"/>
              </w:rPr>
            </w:pPr>
            <w:r>
              <w:rPr>
                <w:b/>
                <w:bCs/>
                <w:color w:val="606060"/>
                <w:sz w:val="22"/>
                <w:szCs w:val="22"/>
              </w:rPr>
              <w:t>Indicator 5:</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271AAB7F" w14:textId="77777777" w:rsidR="002009AE" w:rsidRPr="00E964DD" w:rsidRDefault="002009AE" w:rsidP="002009AE">
            <w:pPr>
              <w:keepNext/>
              <w:keepLines/>
              <w:rPr>
                <w:sz w:val="22"/>
              </w:rPr>
            </w:pPr>
            <w:r w:rsidRPr="00E964DD">
              <w:rPr>
                <w:sz w:val="22"/>
              </w:rPr>
              <w:t>% of due indemnity payments distributed to soum-level institutions (banks, etc.).</w:t>
            </w:r>
          </w:p>
        </w:tc>
      </w:tr>
      <w:tr w:rsidR="002009AE" w14:paraId="15A5AF4D"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9DDCE2F" w14:textId="77777777"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p>
          <w:p w14:paraId="3D3BAFF9" w14:textId="77777777" w:rsidR="002009AE"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35DAC790" w14:textId="524BA038" w:rsidR="002009AE" w:rsidRDefault="002009AE" w:rsidP="0068237C">
            <w:pPr>
              <w:keepNext/>
              <w:keepLines/>
            </w:pPr>
            <w:r w:rsidRPr="00D0174B">
              <w:t>0</w:t>
            </w:r>
          </w:p>
        </w:tc>
        <w:tc>
          <w:tcPr>
            <w:tcW w:w="1709" w:type="dxa"/>
            <w:tcBorders>
              <w:top w:val="single" w:sz="4" w:space="0" w:color="B1B1B1"/>
              <w:left w:val="single" w:sz="4" w:space="0" w:color="B1B1B1"/>
              <w:right w:val="single" w:sz="4" w:space="0" w:color="B1B1B1"/>
            </w:tcBorders>
            <w:shd w:val="clear" w:color="auto" w:fill="F1F1F1"/>
            <w:vAlign w:val="center"/>
          </w:tcPr>
          <w:p w14:paraId="2526AC91" w14:textId="77777777" w:rsidR="002009AE" w:rsidRDefault="002009AE" w:rsidP="002009AE">
            <w:pPr>
              <w:keepNext/>
              <w:keepLines/>
            </w:pPr>
            <w:r w:rsidRPr="00D0174B">
              <w:t>100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57B6F491" w14:textId="77777777" w:rsidR="002009AE" w:rsidRDefault="002009AE" w:rsidP="002009AE">
            <w:pPr>
              <w:keepNext/>
              <w:keepLines/>
            </w:pPr>
          </w:p>
        </w:tc>
        <w:tc>
          <w:tcPr>
            <w:tcW w:w="1731" w:type="dxa"/>
            <w:tcBorders>
              <w:top w:val="single" w:sz="4" w:space="0" w:color="B1B1B1"/>
              <w:left w:val="single" w:sz="4" w:space="0" w:color="B1B1B1"/>
              <w:right w:val="single" w:sz="4" w:space="0" w:color="B1B1B1"/>
            </w:tcBorders>
            <w:shd w:val="clear" w:color="auto" w:fill="F1F1F1"/>
            <w:vAlign w:val="center"/>
          </w:tcPr>
          <w:p w14:paraId="20D139DE" w14:textId="77777777" w:rsidR="002009AE" w:rsidRDefault="002009AE" w:rsidP="002009AE">
            <w:pPr>
              <w:keepNext/>
              <w:keepLines/>
            </w:pPr>
            <w:r w:rsidRPr="00D0174B">
              <w:t>100</w:t>
            </w:r>
          </w:p>
        </w:tc>
      </w:tr>
      <w:tr w:rsidR="002009AE" w14:paraId="75072800"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1042D28D"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6E9419D3" w14:textId="77777777" w:rsidR="002009AE"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42AFB31B" w14:textId="3A4E6201" w:rsidR="002009AE" w:rsidRPr="00E964DD" w:rsidRDefault="0068237C" w:rsidP="002009AE">
            <w:pPr>
              <w:keepNext/>
              <w:keepLines/>
              <w:rPr>
                <w:sz w:val="22"/>
              </w:rPr>
            </w:pPr>
            <w:r>
              <w:rPr>
                <w:sz w:val="22"/>
              </w:rPr>
              <w:t>2-May-2005</w:t>
            </w:r>
          </w:p>
        </w:tc>
        <w:tc>
          <w:tcPr>
            <w:tcW w:w="1709" w:type="dxa"/>
            <w:tcBorders>
              <w:top w:val="single" w:sz="4" w:space="0" w:color="B1B1B1"/>
              <w:left w:val="single" w:sz="4" w:space="0" w:color="B1B1B1"/>
              <w:right w:val="single" w:sz="4" w:space="0" w:color="B1B1B1"/>
            </w:tcBorders>
            <w:shd w:val="clear" w:color="auto" w:fill="F1F1F1"/>
            <w:vAlign w:val="center"/>
          </w:tcPr>
          <w:p w14:paraId="6976EB99"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12392FCA"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36EB1EBE" w14:textId="77777777" w:rsidR="002009AE" w:rsidRPr="00E964DD" w:rsidRDefault="002009AE" w:rsidP="002009AE">
            <w:pPr>
              <w:keepNext/>
              <w:keepLines/>
              <w:rPr>
                <w:sz w:val="22"/>
              </w:rPr>
            </w:pPr>
            <w:r w:rsidRPr="00E964DD">
              <w:rPr>
                <w:sz w:val="22"/>
              </w:rPr>
              <w:t>31-Mar-2016</w:t>
            </w:r>
          </w:p>
        </w:tc>
      </w:tr>
      <w:tr w:rsidR="002009AE" w14:paraId="17D5622B"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E96850F" w14:textId="77777777" w:rsidR="002009AE"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5F7B4A11" w14:textId="77777777" w:rsidR="002009AE" w:rsidRPr="00E964DD" w:rsidRDefault="002009AE" w:rsidP="002009AE">
            <w:pPr>
              <w:keepNext/>
              <w:keepLines/>
              <w:rPr>
                <w:sz w:val="22"/>
              </w:rPr>
            </w:pPr>
            <w:r w:rsidRPr="004B206B">
              <w:rPr>
                <w:b/>
                <w:sz w:val="22"/>
              </w:rPr>
              <w:t>This target was fully achieved (100%).</w:t>
            </w:r>
            <w:r>
              <w:rPr>
                <w:sz w:val="22"/>
              </w:rPr>
              <w:t xml:space="preserve"> </w:t>
            </w:r>
            <w:r w:rsidRPr="00E964DD">
              <w:rPr>
                <w:sz w:val="22"/>
              </w:rPr>
              <w:t>MNT 40,553,678 in 2014</w:t>
            </w:r>
          </w:p>
        </w:tc>
      </w:tr>
      <w:tr w:rsidR="002009AE" w14:paraId="77F01A97"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7023C5FD" w14:textId="3EBC66E9" w:rsidR="002009AE" w:rsidRPr="00934647" w:rsidRDefault="002009AE" w:rsidP="002009AE">
            <w:pPr>
              <w:keepNext/>
              <w:keepLines/>
              <w:rPr>
                <w:bCs/>
                <w:color w:val="606060"/>
                <w:sz w:val="22"/>
                <w:szCs w:val="22"/>
              </w:rPr>
            </w:pPr>
            <w:r>
              <w:rPr>
                <w:b/>
                <w:bCs/>
                <w:color w:val="606060"/>
                <w:sz w:val="22"/>
                <w:szCs w:val="22"/>
              </w:rPr>
              <w:t>Indicator 6:</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276F67DC" w14:textId="77777777" w:rsidR="002009AE" w:rsidRPr="00E964DD" w:rsidRDefault="002009AE" w:rsidP="002009AE">
            <w:pPr>
              <w:keepNext/>
              <w:keepLines/>
              <w:rPr>
                <w:sz w:val="22"/>
              </w:rPr>
            </w:pPr>
            <w:r w:rsidRPr="00E964DD">
              <w:rPr>
                <w:sz w:val="22"/>
              </w:rPr>
              <w:t>% of due indemnity payments received by herders.</w:t>
            </w:r>
          </w:p>
        </w:tc>
      </w:tr>
      <w:tr w:rsidR="002009AE" w14:paraId="4CC5D747"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5139117C" w14:textId="77777777"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p>
          <w:p w14:paraId="15609AFD"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3626A6B1" w14:textId="6C129C26" w:rsidR="002009AE" w:rsidRPr="00E964DD" w:rsidRDefault="002009AE" w:rsidP="002009AE">
            <w:pPr>
              <w:keepNext/>
              <w:keepLines/>
              <w:rPr>
                <w:sz w:val="22"/>
              </w:rPr>
            </w:pPr>
            <w:r w:rsidRPr="00E964DD">
              <w:rPr>
                <w:sz w:val="22"/>
              </w:rPr>
              <w:t>0%</w:t>
            </w:r>
          </w:p>
        </w:tc>
        <w:tc>
          <w:tcPr>
            <w:tcW w:w="1709" w:type="dxa"/>
            <w:tcBorders>
              <w:top w:val="single" w:sz="4" w:space="0" w:color="B1B1B1"/>
              <w:left w:val="single" w:sz="4" w:space="0" w:color="B1B1B1"/>
              <w:right w:val="single" w:sz="4" w:space="0" w:color="B1B1B1"/>
            </w:tcBorders>
            <w:shd w:val="clear" w:color="auto" w:fill="F1F1F1"/>
            <w:vAlign w:val="center"/>
          </w:tcPr>
          <w:p w14:paraId="03D5926C" w14:textId="77777777" w:rsidR="002009AE" w:rsidRPr="00E964DD" w:rsidRDefault="002009AE" w:rsidP="002009AE">
            <w:pPr>
              <w:keepNext/>
              <w:keepLines/>
              <w:rPr>
                <w:sz w:val="22"/>
              </w:rPr>
            </w:pPr>
            <w:r w:rsidRPr="00E964DD">
              <w:rPr>
                <w:sz w:val="22"/>
              </w:rPr>
              <w:t>100%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335EDC9A"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5941CF98" w14:textId="77777777" w:rsidR="002009AE" w:rsidRPr="00E964DD" w:rsidRDefault="002009AE" w:rsidP="002009AE">
            <w:pPr>
              <w:keepNext/>
              <w:keepLines/>
              <w:rPr>
                <w:sz w:val="22"/>
              </w:rPr>
            </w:pPr>
            <w:r w:rsidRPr="00E964DD">
              <w:rPr>
                <w:sz w:val="22"/>
              </w:rPr>
              <w:t>100%</w:t>
            </w:r>
          </w:p>
        </w:tc>
      </w:tr>
      <w:tr w:rsidR="002009AE" w14:paraId="194CF2FC"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5CE0AF8F"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32BBE8F3"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6DE4909C" w14:textId="20FD4B34" w:rsidR="002009AE" w:rsidRPr="00E964DD" w:rsidRDefault="0068237C" w:rsidP="002009AE">
            <w:pPr>
              <w:keepNext/>
              <w:keepLines/>
              <w:rPr>
                <w:sz w:val="22"/>
              </w:rPr>
            </w:pPr>
            <w:r>
              <w:rPr>
                <w:sz w:val="22"/>
              </w:rPr>
              <w:t>2-May-2005</w:t>
            </w:r>
          </w:p>
        </w:tc>
        <w:tc>
          <w:tcPr>
            <w:tcW w:w="1709" w:type="dxa"/>
            <w:tcBorders>
              <w:top w:val="single" w:sz="4" w:space="0" w:color="B1B1B1"/>
              <w:left w:val="single" w:sz="4" w:space="0" w:color="B1B1B1"/>
              <w:right w:val="single" w:sz="4" w:space="0" w:color="B1B1B1"/>
            </w:tcBorders>
            <w:shd w:val="clear" w:color="auto" w:fill="F1F1F1"/>
            <w:vAlign w:val="center"/>
          </w:tcPr>
          <w:p w14:paraId="748CA4CF"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529B8804"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33BDF42B" w14:textId="77777777" w:rsidR="002009AE" w:rsidRPr="00E964DD" w:rsidRDefault="002009AE" w:rsidP="002009AE">
            <w:pPr>
              <w:keepNext/>
              <w:keepLines/>
              <w:rPr>
                <w:sz w:val="22"/>
              </w:rPr>
            </w:pPr>
            <w:r w:rsidRPr="00E964DD">
              <w:rPr>
                <w:sz w:val="22"/>
              </w:rPr>
              <w:t>31-Mar-2016</w:t>
            </w:r>
          </w:p>
        </w:tc>
      </w:tr>
      <w:tr w:rsidR="002009AE" w14:paraId="7106D26F"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38126D76" w14:textId="77777777" w:rsidR="002009AE" w:rsidRPr="00934647"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35FE1F62" w14:textId="77777777" w:rsidR="002009AE" w:rsidRPr="00E964DD" w:rsidRDefault="002009AE" w:rsidP="002009AE">
            <w:pPr>
              <w:keepNext/>
              <w:keepLines/>
              <w:rPr>
                <w:sz w:val="22"/>
              </w:rPr>
            </w:pPr>
            <w:r w:rsidRPr="004B206B">
              <w:rPr>
                <w:b/>
                <w:sz w:val="22"/>
              </w:rPr>
              <w:t>This target was fully achieved (100%).</w:t>
            </w:r>
            <w:r>
              <w:rPr>
                <w:sz w:val="22"/>
              </w:rPr>
              <w:t xml:space="preserve"> </w:t>
            </w:r>
            <w:r w:rsidRPr="00E964DD">
              <w:rPr>
                <w:sz w:val="22"/>
              </w:rPr>
              <w:t>MNT 278,880,220 was paid out during project.</w:t>
            </w:r>
          </w:p>
        </w:tc>
      </w:tr>
      <w:tr w:rsidR="002009AE" w14:paraId="300951C5"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DC3D261" w14:textId="5CC4BC74" w:rsidR="002009AE" w:rsidRPr="00934647" w:rsidRDefault="002009AE" w:rsidP="002009AE">
            <w:pPr>
              <w:keepNext/>
              <w:keepLines/>
              <w:rPr>
                <w:bCs/>
                <w:color w:val="606060"/>
                <w:sz w:val="22"/>
                <w:szCs w:val="22"/>
              </w:rPr>
            </w:pPr>
            <w:r>
              <w:rPr>
                <w:b/>
                <w:bCs/>
                <w:color w:val="606060"/>
                <w:sz w:val="22"/>
                <w:szCs w:val="22"/>
              </w:rPr>
              <w:t>Indicator 7:</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4C6A9600" w14:textId="77777777" w:rsidR="002009AE" w:rsidRPr="00E964DD" w:rsidRDefault="002009AE" w:rsidP="002009AE">
            <w:pPr>
              <w:keepNext/>
              <w:keepLines/>
              <w:rPr>
                <w:sz w:val="22"/>
              </w:rPr>
            </w:pPr>
            <w:r w:rsidRPr="00E964DD">
              <w:rPr>
                <w:sz w:val="22"/>
              </w:rPr>
              <w:t>% of herders in the selected area aware of the products</w:t>
            </w:r>
          </w:p>
        </w:tc>
      </w:tr>
      <w:tr w:rsidR="002009AE" w14:paraId="4ACC7C91"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7092CF40" w14:textId="77777777"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p>
          <w:p w14:paraId="4B25BE8A"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020B8A61" w14:textId="303AC4DC" w:rsidR="002009AE" w:rsidRPr="00E964DD" w:rsidRDefault="002009AE" w:rsidP="0068237C">
            <w:pPr>
              <w:keepNext/>
              <w:keepLines/>
              <w:rPr>
                <w:sz w:val="22"/>
              </w:rPr>
            </w:pPr>
            <w:r w:rsidRPr="00E964DD">
              <w:rPr>
                <w:sz w:val="22"/>
              </w:rPr>
              <w:t>0</w:t>
            </w:r>
            <w:r w:rsidR="0068237C">
              <w:rPr>
                <w:sz w:val="22"/>
              </w:rPr>
              <w:t>%</w:t>
            </w:r>
          </w:p>
        </w:tc>
        <w:tc>
          <w:tcPr>
            <w:tcW w:w="1709" w:type="dxa"/>
            <w:tcBorders>
              <w:top w:val="single" w:sz="4" w:space="0" w:color="B1B1B1"/>
              <w:left w:val="single" w:sz="4" w:space="0" w:color="B1B1B1"/>
              <w:right w:val="single" w:sz="4" w:space="0" w:color="B1B1B1"/>
            </w:tcBorders>
            <w:shd w:val="clear" w:color="auto" w:fill="F1F1F1"/>
            <w:vAlign w:val="center"/>
          </w:tcPr>
          <w:p w14:paraId="0FC86157" w14:textId="77777777" w:rsidR="002009AE" w:rsidRPr="00E964DD" w:rsidRDefault="002009AE" w:rsidP="002009AE">
            <w:pPr>
              <w:keepNext/>
              <w:keepLines/>
              <w:rPr>
                <w:sz w:val="22"/>
              </w:rPr>
            </w:pPr>
            <w:r w:rsidRPr="00E964DD">
              <w:rPr>
                <w:sz w:val="22"/>
              </w:rPr>
              <w:t>80%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154AFFA2"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793D96BB" w14:textId="77777777" w:rsidR="002009AE" w:rsidRPr="00E964DD" w:rsidRDefault="002009AE" w:rsidP="002009AE">
            <w:pPr>
              <w:keepNext/>
              <w:keepLines/>
              <w:rPr>
                <w:sz w:val="22"/>
              </w:rPr>
            </w:pPr>
            <w:r w:rsidRPr="00E964DD">
              <w:rPr>
                <w:sz w:val="22"/>
              </w:rPr>
              <w:t>85.3%</w:t>
            </w:r>
          </w:p>
        </w:tc>
      </w:tr>
      <w:tr w:rsidR="002009AE" w14:paraId="1EF81881"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1D3B19A"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51511C23"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2FB15796" w14:textId="599F03E3" w:rsidR="002009AE" w:rsidRPr="00E964DD" w:rsidRDefault="0068237C" w:rsidP="002009AE">
            <w:pPr>
              <w:keepNext/>
              <w:keepLines/>
              <w:rPr>
                <w:sz w:val="22"/>
              </w:rPr>
            </w:pPr>
            <w:r>
              <w:rPr>
                <w:sz w:val="22"/>
              </w:rPr>
              <w:t>2-May-2005</w:t>
            </w:r>
          </w:p>
        </w:tc>
        <w:tc>
          <w:tcPr>
            <w:tcW w:w="1709" w:type="dxa"/>
            <w:tcBorders>
              <w:top w:val="single" w:sz="4" w:space="0" w:color="B1B1B1"/>
              <w:left w:val="single" w:sz="4" w:space="0" w:color="B1B1B1"/>
              <w:right w:val="single" w:sz="4" w:space="0" w:color="B1B1B1"/>
            </w:tcBorders>
            <w:shd w:val="clear" w:color="auto" w:fill="F1F1F1"/>
            <w:vAlign w:val="center"/>
          </w:tcPr>
          <w:p w14:paraId="4179EC69"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7D6F4697"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30F415E1" w14:textId="77777777" w:rsidR="002009AE" w:rsidRPr="00E964DD" w:rsidRDefault="002009AE" w:rsidP="002009AE">
            <w:pPr>
              <w:keepNext/>
              <w:keepLines/>
              <w:rPr>
                <w:sz w:val="22"/>
              </w:rPr>
            </w:pPr>
            <w:r w:rsidRPr="00E964DD">
              <w:rPr>
                <w:sz w:val="22"/>
              </w:rPr>
              <w:t>31-Mar-2016</w:t>
            </w:r>
          </w:p>
        </w:tc>
      </w:tr>
      <w:tr w:rsidR="002009AE" w14:paraId="7CC8D1ED"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ED0D672" w14:textId="77777777" w:rsidR="002009AE" w:rsidRPr="00934647"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1CBF9521" w14:textId="77777777" w:rsidR="002009AE" w:rsidRPr="00E964DD" w:rsidRDefault="002009AE" w:rsidP="002009AE">
            <w:pPr>
              <w:keepNext/>
              <w:keepLines/>
              <w:rPr>
                <w:sz w:val="22"/>
              </w:rPr>
            </w:pPr>
            <w:r w:rsidRPr="00AC01BB">
              <w:rPr>
                <w:b/>
                <w:sz w:val="22"/>
              </w:rPr>
              <w:t xml:space="preserve">This target was surpassed </w:t>
            </w:r>
            <w:r>
              <w:rPr>
                <w:b/>
                <w:sz w:val="22"/>
              </w:rPr>
              <w:t xml:space="preserve">(107%). </w:t>
            </w:r>
            <w:r w:rsidRPr="00E964DD">
              <w:rPr>
                <w:sz w:val="22"/>
              </w:rPr>
              <w:t>The percentage goes up to 95.5% of herders in the 4 pilot aimags selected at the project's start.</w:t>
            </w:r>
          </w:p>
        </w:tc>
      </w:tr>
      <w:tr w:rsidR="002009AE" w14:paraId="41D9E2D2"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3F2A611E" w14:textId="027E96BF" w:rsidR="002009AE" w:rsidRPr="00934647" w:rsidRDefault="002009AE" w:rsidP="002009AE">
            <w:pPr>
              <w:keepNext/>
              <w:keepLines/>
              <w:rPr>
                <w:bCs/>
                <w:color w:val="606060"/>
                <w:sz w:val="22"/>
                <w:szCs w:val="22"/>
              </w:rPr>
            </w:pPr>
            <w:r>
              <w:rPr>
                <w:b/>
                <w:bCs/>
                <w:color w:val="606060"/>
                <w:sz w:val="22"/>
                <w:szCs w:val="22"/>
              </w:rPr>
              <w:t>Indicator 8:</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57DC84A7" w14:textId="77777777" w:rsidR="002009AE" w:rsidRPr="00E964DD" w:rsidRDefault="002009AE" w:rsidP="002009AE">
            <w:pPr>
              <w:keepNext/>
              <w:keepLines/>
              <w:rPr>
                <w:sz w:val="22"/>
              </w:rPr>
            </w:pPr>
            <w:r w:rsidRPr="00E964DD">
              <w:rPr>
                <w:sz w:val="22"/>
              </w:rPr>
              <w:t>% of herders in the pilot area receiving information from project public awareness activities</w:t>
            </w:r>
          </w:p>
        </w:tc>
      </w:tr>
      <w:tr w:rsidR="002009AE" w14:paraId="108736AF"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5EDF5832" w14:textId="77777777"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p>
          <w:p w14:paraId="39476210" w14:textId="77777777" w:rsidR="002009AE"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0289C8DF" w14:textId="4464FEBF" w:rsidR="002009AE" w:rsidRPr="00E964DD" w:rsidRDefault="002009AE" w:rsidP="002009AE">
            <w:pPr>
              <w:keepNext/>
              <w:keepLines/>
              <w:rPr>
                <w:sz w:val="22"/>
              </w:rPr>
            </w:pPr>
            <w:r w:rsidRPr="00E964DD">
              <w:rPr>
                <w:sz w:val="22"/>
              </w:rPr>
              <w:t>0%</w:t>
            </w:r>
          </w:p>
        </w:tc>
        <w:tc>
          <w:tcPr>
            <w:tcW w:w="1709" w:type="dxa"/>
            <w:tcBorders>
              <w:top w:val="single" w:sz="4" w:space="0" w:color="B1B1B1"/>
              <w:left w:val="single" w:sz="4" w:space="0" w:color="B1B1B1"/>
              <w:right w:val="single" w:sz="4" w:space="0" w:color="B1B1B1"/>
            </w:tcBorders>
            <w:shd w:val="clear" w:color="auto" w:fill="F1F1F1"/>
            <w:vAlign w:val="center"/>
          </w:tcPr>
          <w:p w14:paraId="7AEBCA4E" w14:textId="77777777" w:rsidR="002009AE" w:rsidRPr="00E964DD" w:rsidRDefault="002009AE" w:rsidP="002009AE">
            <w:pPr>
              <w:keepNext/>
              <w:keepLines/>
              <w:rPr>
                <w:sz w:val="22"/>
              </w:rPr>
            </w:pPr>
            <w:r w:rsidRPr="00E964DD">
              <w:rPr>
                <w:sz w:val="22"/>
              </w:rPr>
              <w:t>50%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42BD147D"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6AC7DD71" w14:textId="77777777" w:rsidR="002009AE" w:rsidRPr="00E964DD" w:rsidRDefault="002009AE" w:rsidP="002009AE">
            <w:pPr>
              <w:keepNext/>
              <w:keepLines/>
              <w:rPr>
                <w:sz w:val="22"/>
              </w:rPr>
            </w:pPr>
            <w:r w:rsidRPr="00E964DD">
              <w:rPr>
                <w:sz w:val="22"/>
              </w:rPr>
              <w:t>56%</w:t>
            </w:r>
          </w:p>
        </w:tc>
      </w:tr>
      <w:tr w:rsidR="002009AE" w14:paraId="46C42AA9"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E498A27"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5645C4F2" w14:textId="77777777" w:rsidR="002009AE"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4DA15C64" w14:textId="718DB2B6" w:rsidR="002009AE" w:rsidRPr="00E964DD" w:rsidRDefault="0068237C" w:rsidP="002009AE">
            <w:pPr>
              <w:keepNext/>
              <w:keepLines/>
              <w:rPr>
                <w:sz w:val="22"/>
              </w:rPr>
            </w:pPr>
            <w:r>
              <w:rPr>
                <w:sz w:val="22"/>
              </w:rPr>
              <w:t>2-May-2005</w:t>
            </w:r>
          </w:p>
        </w:tc>
        <w:tc>
          <w:tcPr>
            <w:tcW w:w="1709" w:type="dxa"/>
            <w:tcBorders>
              <w:top w:val="single" w:sz="4" w:space="0" w:color="B1B1B1"/>
              <w:left w:val="single" w:sz="4" w:space="0" w:color="B1B1B1"/>
              <w:right w:val="single" w:sz="4" w:space="0" w:color="B1B1B1"/>
            </w:tcBorders>
            <w:shd w:val="clear" w:color="auto" w:fill="F1F1F1"/>
            <w:vAlign w:val="center"/>
          </w:tcPr>
          <w:p w14:paraId="4262586C"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51E6F6E2"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249A192A" w14:textId="77777777" w:rsidR="002009AE" w:rsidRPr="00E964DD" w:rsidRDefault="002009AE" w:rsidP="002009AE">
            <w:pPr>
              <w:keepNext/>
              <w:keepLines/>
              <w:rPr>
                <w:sz w:val="22"/>
              </w:rPr>
            </w:pPr>
            <w:r w:rsidRPr="00E964DD">
              <w:rPr>
                <w:sz w:val="22"/>
              </w:rPr>
              <w:t>31-Mar-2016</w:t>
            </w:r>
          </w:p>
        </w:tc>
      </w:tr>
      <w:tr w:rsidR="002009AE" w14:paraId="6C985C64" w14:textId="77777777" w:rsidTr="00D51717">
        <w:trPr>
          <w:trHeight w:val="296"/>
        </w:trPr>
        <w:tc>
          <w:tcPr>
            <w:tcW w:w="1435"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EA57D64" w14:textId="77777777" w:rsidR="002009AE" w:rsidRPr="00934647"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bottom w:val="single" w:sz="4" w:space="0" w:color="B1B1B1"/>
              <w:right w:val="single" w:sz="4" w:space="0" w:color="B1B1B1"/>
            </w:tcBorders>
            <w:shd w:val="clear" w:color="auto" w:fill="F1F1F1"/>
            <w:vAlign w:val="center"/>
          </w:tcPr>
          <w:p w14:paraId="5DC86A06" w14:textId="77777777" w:rsidR="002009AE" w:rsidRPr="00E964DD" w:rsidRDefault="002009AE" w:rsidP="002009AE">
            <w:pPr>
              <w:keepNext/>
              <w:keepLines/>
              <w:rPr>
                <w:sz w:val="22"/>
              </w:rPr>
            </w:pPr>
            <w:r w:rsidRPr="00AC01BB">
              <w:rPr>
                <w:b/>
                <w:sz w:val="22"/>
              </w:rPr>
              <w:t xml:space="preserve">This target was surpassed </w:t>
            </w:r>
            <w:r>
              <w:rPr>
                <w:b/>
                <w:sz w:val="22"/>
              </w:rPr>
              <w:t>(112%).</w:t>
            </w:r>
          </w:p>
        </w:tc>
      </w:tr>
      <w:tr w:rsidR="002009AE" w14:paraId="40072D99"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2C1D5DF8" w14:textId="4D69C061" w:rsidR="002009AE" w:rsidRPr="00934647" w:rsidRDefault="002009AE" w:rsidP="002009AE">
            <w:pPr>
              <w:keepNext/>
              <w:keepLines/>
              <w:rPr>
                <w:bCs/>
                <w:color w:val="606060"/>
                <w:sz w:val="22"/>
                <w:szCs w:val="22"/>
              </w:rPr>
            </w:pPr>
            <w:r>
              <w:rPr>
                <w:b/>
                <w:bCs/>
                <w:color w:val="606060"/>
                <w:sz w:val="22"/>
                <w:szCs w:val="22"/>
              </w:rPr>
              <w:t>Indicator 9:</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7DAAAD76" w14:textId="77777777" w:rsidR="002009AE" w:rsidRPr="00E964DD" w:rsidRDefault="002009AE" w:rsidP="002009AE">
            <w:pPr>
              <w:keepNext/>
              <w:keepLines/>
              <w:rPr>
                <w:sz w:val="22"/>
              </w:rPr>
            </w:pPr>
            <w:r w:rsidRPr="00E964DD">
              <w:rPr>
                <w:sz w:val="22"/>
              </w:rPr>
              <w:t>Regulations for IBLI drafted.</w:t>
            </w:r>
          </w:p>
          <w:p w14:paraId="17CD74D1" w14:textId="77777777" w:rsidR="002009AE" w:rsidRPr="00E964DD" w:rsidRDefault="002009AE" w:rsidP="002009AE">
            <w:pPr>
              <w:keepNext/>
              <w:keepLines/>
              <w:rPr>
                <w:sz w:val="22"/>
              </w:rPr>
            </w:pPr>
          </w:p>
        </w:tc>
      </w:tr>
      <w:tr w:rsidR="002009AE" w14:paraId="78285731"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6E6D1ED8" w14:textId="77777777" w:rsidR="002009AE" w:rsidRPr="00934647" w:rsidRDefault="002009AE" w:rsidP="002009AE">
            <w:pPr>
              <w:keepNext/>
              <w:keepLines/>
              <w:rPr>
                <w:bCs/>
                <w:color w:val="606060"/>
                <w:sz w:val="22"/>
                <w:szCs w:val="22"/>
              </w:rPr>
            </w:pPr>
            <w:r w:rsidRPr="00934647">
              <w:rPr>
                <w:bCs/>
                <w:color w:val="606060"/>
                <w:sz w:val="22"/>
                <w:szCs w:val="22"/>
              </w:rPr>
              <w:lastRenderedPageBreak/>
              <w:t xml:space="preserve">Value quantitative or Qualitative </w:t>
            </w:r>
          </w:p>
          <w:p w14:paraId="6B45439F"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5B400E0A" w14:textId="77777777" w:rsidR="002009AE" w:rsidRPr="00E964DD" w:rsidRDefault="002009AE" w:rsidP="002009AE">
            <w:pPr>
              <w:keepNext/>
              <w:keepLines/>
              <w:rPr>
                <w:sz w:val="22"/>
              </w:rPr>
            </w:pPr>
            <w:r w:rsidRPr="00E964DD">
              <w:rPr>
                <w:sz w:val="22"/>
              </w:rPr>
              <w:t>Not drafted</w:t>
            </w:r>
          </w:p>
        </w:tc>
        <w:tc>
          <w:tcPr>
            <w:tcW w:w="1709" w:type="dxa"/>
            <w:tcBorders>
              <w:top w:val="single" w:sz="4" w:space="0" w:color="B1B1B1"/>
              <w:left w:val="single" w:sz="4" w:space="0" w:color="B1B1B1"/>
              <w:right w:val="single" w:sz="4" w:space="0" w:color="B1B1B1"/>
            </w:tcBorders>
            <w:shd w:val="clear" w:color="auto" w:fill="F1F1F1"/>
            <w:vAlign w:val="center"/>
          </w:tcPr>
          <w:p w14:paraId="43678966" w14:textId="77777777" w:rsidR="002009AE" w:rsidRPr="00E964DD" w:rsidRDefault="002009AE" w:rsidP="002009AE">
            <w:pPr>
              <w:keepNext/>
              <w:keepLines/>
              <w:rPr>
                <w:sz w:val="22"/>
              </w:rPr>
            </w:pPr>
            <w:r w:rsidRPr="00E964DD">
              <w:rPr>
                <w:sz w:val="22"/>
              </w:rPr>
              <w:t>Drafted</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760ED9E1"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32C9860C" w14:textId="77777777" w:rsidR="002009AE" w:rsidRPr="00E964DD" w:rsidRDefault="002009AE" w:rsidP="002009AE">
            <w:pPr>
              <w:keepNext/>
              <w:keepLines/>
              <w:rPr>
                <w:sz w:val="22"/>
              </w:rPr>
            </w:pPr>
            <w:r w:rsidRPr="00E964DD">
              <w:rPr>
                <w:sz w:val="22"/>
              </w:rPr>
              <w:t>Adopted</w:t>
            </w:r>
          </w:p>
        </w:tc>
      </w:tr>
      <w:tr w:rsidR="002009AE" w14:paraId="2BD967A0"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3EA5F507"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7FB5DBB1"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7EBA0072" w14:textId="77777777" w:rsidR="002009AE" w:rsidRPr="00E964DD" w:rsidRDefault="002009AE" w:rsidP="002009AE">
            <w:pPr>
              <w:keepNext/>
              <w:keepLines/>
              <w:rPr>
                <w:sz w:val="22"/>
              </w:rPr>
            </w:pPr>
            <w:r w:rsidRPr="00E964DD">
              <w:rPr>
                <w:sz w:val="22"/>
              </w:rPr>
              <w:t>18-Jan-2010</w:t>
            </w:r>
          </w:p>
        </w:tc>
        <w:tc>
          <w:tcPr>
            <w:tcW w:w="1709" w:type="dxa"/>
            <w:tcBorders>
              <w:top w:val="single" w:sz="4" w:space="0" w:color="B1B1B1"/>
              <w:left w:val="single" w:sz="4" w:space="0" w:color="B1B1B1"/>
              <w:right w:val="single" w:sz="4" w:space="0" w:color="B1B1B1"/>
            </w:tcBorders>
            <w:shd w:val="clear" w:color="auto" w:fill="F1F1F1"/>
            <w:vAlign w:val="center"/>
          </w:tcPr>
          <w:p w14:paraId="40B00C07" w14:textId="77777777" w:rsidR="002009AE" w:rsidRPr="00E964DD" w:rsidRDefault="002009AE" w:rsidP="002009AE">
            <w:pPr>
              <w:keepNext/>
              <w:keepLines/>
              <w:rPr>
                <w:sz w:val="22"/>
              </w:rPr>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3CCA30B3"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33BB19CC" w14:textId="77777777" w:rsidR="002009AE" w:rsidRPr="00E964DD" w:rsidRDefault="002009AE" w:rsidP="002009AE">
            <w:pPr>
              <w:keepNext/>
              <w:keepLines/>
              <w:rPr>
                <w:sz w:val="22"/>
              </w:rPr>
            </w:pPr>
            <w:r w:rsidRPr="00E964DD">
              <w:rPr>
                <w:sz w:val="22"/>
              </w:rPr>
              <w:t>31-Mar-2016</w:t>
            </w:r>
          </w:p>
        </w:tc>
      </w:tr>
      <w:tr w:rsidR="002009AE" w14:paraId="6FB1B3CF"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4E6927A9" w14:textId="77777777" w:rsidR="002009AE" w:rsidRPr="00934647"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332363A0" w14:textId="77777777" w:rsidR="002009AE" w:rsidRDefault="002009AE" w:rsidP="002009AE">
            <w:pPr>
              <w:keepNext/>
              <w:keepLines/>
            </w:pPr>
            <w:r w:rsidRPr="00AC01BB">
              <w:rPr>
                <w:b/>
                <w:sz w:val="22"/>
              </w:rPr>
              <w:t xml:space="preserve">This target was surpassed </w:t>
            </w:r>
            <w:r>
              <w:rPr>
                <w:b/>
                <w:sz w:val="22"/>
              </w:rPr>
              <w:t>(IBLI law adopted)</w:t>
            </w:r>
          </w:p>
        </w:tc>
      </w:tr>
      <w:tr w:rsidR="002009AE" w14:paraId="4DB23BA4"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0F4BFF5E" w14:textId="6D061C69" w:rsidR="002009AE" w:rsidRPr="00934647" w:rsidRDefault="002009AE" w:rsidP="002009AE">
            <w:pPr>
              <w:keepNext/>
              <w:keepLines/>
              <w:rPr>
                <w:bCs/>
                <w:color w:val="606060"/>
                <w:sz w:val="22"/>
                <w:szCs w:val="22"/>
              </w:rPr>
            </w:pPr>
            <w:r>
              <w:rPr>
                <w:b/>
                <w:bCs/>
                <w:color w:val="606060"/>
                <w:sz w:val="22"/>
                <w:szCs w:val="22"/>
              </w:rPr>
              <w:t>Indicator 10:</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719073AA" w14:textId="77777777" w:rsidR="002009AE" w:rsidRPr="00E964DD" w:rsidRDefault="002009AE" w:rsidP="002009AE">
            <w:pPr>
              <w:keepNext/>
              <w:keepLines/>
              <w:rPr>
                <w:sz w:val="22"/>
              </w:rPr>
            </w:pPr>
            <w:r w:rsidRPr="00E964DD">
              <w:rPr>
                <w:sz w:val="22"/>
              </w:rPr>
              <w:t>Number of soums where cost effective new methods for NSO livestock data collection and statistics introduced</w:t>
            </w:r>
          </w:p>
        </w:tc>
      </w:tr>
      <w:tr w:rsidR="002009AE" w14:paraId="4B42760B"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49A6D839" w14:textId="77777777" w:rsidR="002009AE" w:rsidRPr="00934647" w:rsidRDefault="002009AE" w:rsidP="002009AE">
            <w:pPr>
              <w:keepNext/>
              <w:keepLines/>
              <w:rPr>
                <w:bCs/>
                <w:color w:val="606060"/>
                <w:sz w:val="22"/>
                <w:szCs w:val="22"/>
              </w:rPr>
            </w:pPr>
            <w:r w:rsidRPr="00934647">
              <w:rPr>
                <w:bCs/>
                <w:color w:val="606060"/>
                <w:sz w:val="22"/>
                <w:szCs w:val="22"/>
              </w:rPr>
              <w:t xml:space="preserve">Value quantitative or Qualitative </w:t>
            </w:r>
          </w:p>
          <w:p w14:paraId="20C1CDCA"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46007202" w14:textId="77777777" w:rsidR="002009AE" w:rsidRDefault="002009AE" w:rsidP="002009AE">
            <w:pPr>
              <w:keepNext/>
              <w:keepLines/>
            </w:pPr>
            <w:r>
              <w:t>0</w:t>
            </w:r>
          </w:p>
        </w:tc>
        <w:tc>
          <w:tcPr>
            <w:tcW w:w="1709" w:type="dxa"/>
            <w:tcBorders>
              <w:top w:val="single" w:sz="4" w:space="0" w:color="B1B1B1"/>
              <w:left w:val="single" w:sz="4" w:space="0" w:color="B1B1B1"/>
              <w:right w:val="single" w:sz="4" w:space="0" w:color="B1B1B1"/>
            </w:tcBorders>
            <w:shd w:val="clear" w:color="auto" w:fill="F1F1F1"/>
            <w:vAlign w:val="center"/>
          </w:tcPr>
          <w:p w14:paraId="1A229656" w14:textId="77777777" w:rsidR="002009AE" w:rsidRPr="00E964DD" w:rsidRDefault="002009AE" w:rsidP="002009AE">
            <w:pPr>
              <w:keepNext/>
              <w:keepLines/>
              <w:rPr>
                <w:sz w:val="22"/>
              </w:rPr>
            </w:pPr>
            <w:r w:rsidRPr="00E964DD">
              <w:rPr>
                <w:sz w:val="22"/>
              </w:rPr>
              <w:t>200</w:t>
            </w: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3BEE3264" w14:textId="77777777" w:rsidR="002009AE" w:rsidRPr="00E964DD" w:rsidRDefault="002009AE" w:rsidP="002009AE">
            <w:pPr>
              <w:keepNext/>
              <w:keepLines/>
              <w:rPr>
                <w:sz w:val="22"/>
              </w:rPr>
            </w:pPr>
          </w:p>
        </w:tc>
        <w:tc>
          <w:tcPr>
            <w:tcW w:w="1731" w:type="dxa"/>
            <w:tcBorders>
              <w:top w:val="single" w:sz="4" w:space="0" w:color="B1B1B1"/>
              <w:left w:val="single" w:sz="4" w:space="0" w:color="B1B1B1"/>
              <w:right w:val="single" w:sz="4" w:space="0" w:color="B1B1B1"/>
            </w:tcBorders>
            <w:shd w:val="clear" w:color="auto" w:fill="F1F1F1"/>
            <w:vAlign w:val="center"/>
          </w:tcPr>
          <w:p w14:paraId="3C0FF54E" w14:textId="77777777" w:rsidR="002009AE" w:rsidRPr="00E964DD" w:rsidRDefault="002009AE" w:rsidP="002009AE">
            <w:pPr>
              <w:keepNext/>
              <w:keepLines/>
              <w:rPr>
                <w:sz w:val="22"/>
              </w:rPr>
            </w:pPr>
            <w:r w:rsidRPr="00E964DD">
              <w:rPr>
                <w:sz w:val="22"/>
              </w:rPr>
              <w:t>330</w:t>
            </w:r>
          </w:p>
        </w:tc>
      </w:tr>
      <w:tr w:rsidR="002009AE" w14:paraId="19DA68AD"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4FB7737D" w14:textId="77777777" w:rsidR="002009AE" w:rsidRPr="00934647" w:rsidRDefault="002009AE" w:rsidP="002009AE">
            <w:pPr>
              <w:keepNext/>
              <w:keepLines/>
              <w:rPr>
                <w:bCs/>
                <w:color w:val="606060"/>
                <w:sz w:val="22"/>
                <w:szCs w:val="22"/>
              </w:rPr>
            </w:pPr>
            <w:r w:rsidRPr="00934647">
              <w:rPr>
                <w:bCs/>
                <w:color w:val="606060"/>
                <w:sz w:val="22"/>
                <w:szCs w:val="22"/>
              </w:rPr>
              <w:t>Date Achieved</w:t>
            </w:r>
          </w:p>
          <w:p w14:paraId="4BD6670A" w14:textId="77777777" w:rsidR="002009AE" w:rsidRPr="00934647" w:rsidRDefault="002009AE" w:rsidP="002009AE">
            <w:pPr>
              <w:keepNext/>
              <w:keepLines/>
              <w:rPr>
                <w:bCs/>
                <w:color w:val="606060"/>
                <w:sz w:val="22"/>
                <w:szCs w:val="22"/>
              </w:rPr>
            </w:pPr>
          </w:p>
        </w:tc>
        <w:tc>
          <w:tcPr>
            <w:tcW w:w="2339" w:type="dxa"/>
            <w:gridSpan w:val="2"/>
            <w:tcBorders>
              <w:top w:val="single" w:sz="4" w:space="0" w:color="B1B1B1"/>
              <w:left w:val="single" w:sz="4" w:space="0" w:color="B1B1B1"/>
              <w:right w:val="single" w:sz="4" w:space="0" w:color="B1B1B1"/>
            </w:tcBorders>
            <w:shd w:val="clear" w:color="auto" w:fill="F1F1F1"/>
            <w:vAlign w:val="center"/>
          </w:tcPr>
          <w:p w14:paraId="7B3BC24C" w14:textId="77777777" w:rsidR="002009AE" w:rsidRDefault="002009AE" w:rsidP="002009AE">
            <w:pPr>
              <w:keepNext/>
              <w:keepLines/>
            </w:pPr>
            <w:r w:rsidRPr="00E964DD">
              <w:rPr>
                <w:sz w:val="22"/>
              </w:rPr>
              <w:t>18-Jan-2010</w:t>
            </w:r>
          </w:p>
        </w:tc>
        <w:tc>
          <w:tcPr>
            <w:tcW w:w="1709" w:type="dxa"/>
            <w:tcBorders>
              <w:top w:val="single" w:sz="4" w:space="0" w:color="B1B1B1"/>
              <w:left w:val="single" w:sz="4" w:space="0" w:color="B1B1B1"/>
              <w:right w:val="single" w:sz="4" w:space="0" w:color="B1B1B1"/>
            </w:tcBorders>
            <w:shd w:val="clear" w:color="auto" w:fill="F1F1F1"/>
            <w:vAlign w:val="center"/>
          </w:tcPr>
          <w:p w14:paraId="3E99CB61" w14:textId="77777777" w:rsidR="002009AE" w:rsidRDefault="002009AE" w:rsidP="002009AE">
            <w:pPr>
              <w:keepNext/>
              <w:keepLines/>
            </w:pPr>
          </w:p>
        </w:tc>
        <w:tc>
          <w:tcPr>
            <w:tcW w:w="1416" w:type="dxa"/>
            <w:gridSpan w:val="3"/>
            <w:tcBorders>
              <w:top w:val="single" w:sz="4" w:space="0" w:color="B1B1B1"/>
              <w:left w:val="single" w:sz="4" w:space="0" w:color="B1B1B1"/>
              <w:right w:val="single" w:sz="4" w:space="0" w:color="B1B1B1"/>
            </w:tcBorders>
            <w:shd w:val="clear" w:color="auto" w:fill="F1F1F1"/>
            <w:vAlign w:val="center"/>
          </w:tcPr>
          <w:p w14:paraId="2D1C2620" w14:textId="77777777" w:rsidR="002009AE" w:rsidRDefault="002009AE" w:rsidP="002009AE">
            <w:pPr>
              <w:keepNext/>
              <w:keepLines/>
            </w:pPr>
          </w:p>
        </w:tc>
        <w:tc>
          <w:tcPr>
            <w:tcW w:w="1731" w:type="dxa"/>
            <w:tcBorders>
              <w:top w:val="single" w:sz="4" w:space="0" w:color="B1B1B1"/>
              <w:left w:val="single" w:sz="4" w:space="0" w:color="B1B1B1"/>
              <w:right w:val="single" w:sz="4" w:space="0" w:color="B1B1B1"/>
            </w:tcBorders>
            <w:shd w:val="clear" w:color="auto" w:fill="F1F1F1"/>
            <w:vAlign w:val="center"/>
          </w:tcPr>
          <w:p w14:paraId="2BEF63F5" w14:textId="77777777" w:rsidR="002009AE" w:rsidRDefault="002009AE" w:rsidP="002009AE">
            <w:pPr>
              <w:keepNext/>
              <w:keepLines/>
            </w:pPr>
            <w:r w:rsidRPr="00E964DD">
              <w:rPr>
                <w:sz w:val="22"/>
              </w:rPr>
              <w:t>31-Mar-2016</w:t>
            </w:r>
          </w:p>
        </w:tc>
      </w:tr>
      <w:tr w:rsidR="002009AE" w14:paraId="4C984E8B" w14:textId="77777777" w:rsidTr="00D51717">
        <w:trPr>
          <w:trHeight w:val="296"/>
        </w:trPr>
        <w:tc>
          <w:tcPr>
            <w:tcW w:w="1435" w:type="dxa"/>
            <w:tcBorders>
              <w:top w:val="single" w:sz="4" w:space="0" w:color="B1B1B1"/>
              <w:left w:val="single" w:sz="4" w:space="0" w:color="B1B1B1"/>
              <w:right w:val="single" w:sz="4" w:space="0" w:color="B1B1B1"/>
            </w:tcBorders>
            <w:shd w:val="clear" w:color="auto" w:fill="F1F1F1"/>
            <w:vAlign w:val="center"/>
          </w:tcPr>
          <w:p w14:paraId="6AEE70F0" w14:textId="77777777" w:rsidR="002009AE" w:rsidRPr="00934647" w:rsidRDefault="002009AE" w:rsidP="002009AE">
            <w:pPr>
              <w:keepNext/>
              <w:keepLines/>
              <w:rPr>
                <w:bCs/>
                <w:color w:val="606060"/>
                <w:sz w:val="22"/>
                <w:szCs w:val="22"/>
              </w:rPr>
            </w:pPr>
            <w:r w:rsidRPr="00934647">
              <w:rPr>
                <w:bCs/>
                <w:color w:val="606060"/>
                <w:sz w:val="22"/>
                <w:szCs w:val="22"/>
              </w:rPr>
              <w:t>Comments (inclu.% achievement)</w:t>
            </w:r>
          </w:p>
        </w:tc>
        <w:tc>
          <w:tcPr>
            <w:tcW w:w="7195" w:type="dxa"/>
            <w:gridSpan w:val="7"/>
            <w:tcBorders>
              <w:top w:val="single" w:sz="4" w:space="0" w:color="B1B1B1"/>
              <w:left w:val="single" w:sz="4" w:space="0" w:color="B1B1B1"/>
              <w:right w:val="single" w:sz="4" w:space="0" w:color="B1B1B1"/>
            </w:tcBorders>
            <w:shd w:val="clear" w:color="auto" w:fill="F1F1F1"/>
            <w:vAlign w:val="center"/>
          </w:tcPr>
          <w:p w14:paraId="586F9AF3" w14:textId="77777777" w:rsidR="002009AE" w:rsidRDefault="002009AE" w:rsidP="002009AE">
            <w:pPr>
              <w:keepNext/>
              <w:keepLines/>
            </w:pPr>
            <w:r w:rsidRPr="00AC01BB">
              <w:rPr>
                <w:b/>
                <w:sz w:val="22"/>
              </w:rPr>
              <w:t xml:space="preserve">This target was surpassed </w:t>
            </w:r>
            <w:r>
              <w:rPr>
                <w:b/>
                <w:sz w:val="22"/>
              </w:rPr>
              <w:t xml:space="preserve">(165%). </w:t>
            </w:r>
            <w:r>
              <w:t>Nationwide (330 soums from 21 Aimags + UB 9 districts). This has been fully institutionalized and is being undertaken yearly now, without project support anymore.</w:t>
            </w:r>
          </w:p>
        </w:tc>
      </w:tr>
    </w:tbl>
    <w:p w14:paraId="0A0A046A" w14:textId="77777777" w:rsidR="00F96911" w:rsidRPr="00D0174B" w:rsidRDefault="00F96911" w:rsidP="00F96911">
      <w:pPr>
        <w:rPr>
          <w:sz w:val="22"/>
          <w:szCs w:val="22"/>
        </w:rPr>
      </w:pPr>
    </w:p>
    <w:p w14:paraId="3D5808C9" w14:textId="77777777" w:rsidR="00F96911" w:rsidRDefault="00F96911" w:rsidP="00F96911">
      <w:pPr>
        <w:rPr>
          <w:sz w:val="2"/>
          <w:szCs w:val="2"/>
        </w:rPr>
      </w:pPr>
    </w:p>
    <w:tbl>
      <w:tblPr>
        <w:tblW w:w="5000" w:type="pct"/>
        <w:tblCellSpacing w:w="7" w:type="dxa"/>
        <w:tblCellMar>
          <w:left w:w="0" w:type="dxa"/>
          <w:right w:w="0" w:type="dxa"/>
        </w:tblCellMar>
        <w:tblLook w:val="0000" w:firstRow="0" w:lastRow="0" w:firstColumn="0" w:lastColumn="0" w:noHBand="0" w:noVBand="0"/>
      </w:tblPr>
      <w:tblGrid>
        <w:gridCol w:w="526"/>
        <w:gridCol w:w="1462"/>
        <w:gridCol w:w="2331"/>
        <w:gridCol w:w="2331"/>
        <w:gridCol w:w="1990"/>
      </w:tblGrid>
      <w:tr w:rsidR="00F96911" w14:paraId="79F0D17B" w14:textId="77777777" w:rsidTr="00D51717">
        <w:trPr>
          <w:tblCellSpacing w:w="7" w:type="dxa"/>
        </w:trPr>
        <w:tc>
          <w:tcPr>
            <w:tcW w:w="0" w:type="auto"/>
            <w:gridSpan w:val="5"/>
            <w:vAlign w:val="center"/>
          </w:tcPr>
          <w:p w14:paraId="7555DC49" w14:textId="77777777" w:rsidR="00F96911" w:rsidRDefault="00F96911" w:rsidP="00D51717">
            <w:pPr>
              <w:pStyle w:val="Heading2"/>
              <w:keepNext/>
              <w:keepLines/>
            </w:pPr>
            <w:r>
              <w:t>G. Ratings of Project Performance in ISRs</w:t>
            </w:r>
          </w:p>
        </w:tc>
      </w:tr>
      <w:tr w:rsidR="00F96911" w14:paraId="14AE437A" w14:textId="77777777" w:rsidTr="00D51717">
        <w:trPr>
          <w:tblCellSpacing w:w="7" w:type="dxa"/>
        </w:trPr>
        <w:tc>
          <w:tcPr>
            <w:tcW w:w="0" w:type="auto"/>
            <w:gridSpan w:val="5"/>
            <w:vAlign w:val="center"/>
          </w:tcPr>
          <w:p w14:paraId="26A14A5B" w14:textId="77777777" w:rsidR="00F96911" w:rsidRDefault="00F96911" w:rsidP="00D51717">
            <w:pPr>
              <w:keepNext/>
              <w:keepLines/>
            </w:pPr>
          </w:p>
        </w:tc>
      </w:tr>
      <w:tr w:rsidR="00F96911" w14:paraId="4539E80B"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1BB7979" w14:textId="77777777" w:rsidR="00F96911" w:rsidRDefault="00F96911" w:rsidP="00D51717">
            <w:pPr>
              <w:keepNext/>
              <w:keepLines/>
              <w:jc w:val="center"/>
              <w:rPr>
                <w:b/>
                <w:bCs/>
                <w:color w:val="606060"/>
                <w:sz w:val="22"/>
                <w:szCs w:val="22"/>
              </w:rPr>
            </w:pPr>
            <w:r>
              <w:rPr>
                <w:b/>
                <w:bCs/>
                <w:color w:val="606060"/>
                <w:sz w:val="22"/>
                <w:szCs w:val="22"/>
              </w:rPr>
              <w:t>No.</w:t>
            </w:r>
          </w:p>
        </w:tc>
        <w:tc>
          <w:tcPr>
            <w:tcW w:w="144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40301BF4" w14:textId="77777777" w:rsidR="00F96911" w:rsidRDefault="00F96911" w:rsidP="00D51717">
            <w:pPr>
              <w:keepNext/>
              <w:keepLines/>
              <w:jc w:val="center"/>
              <w:rPr>
                <w:b/>
                <w:bCs/>
                <w:color w:val="606060"/>
                <w:sz w:val="22"/>
                <w:szCs w:val="22"/>
              </w:rPr>
            </w:pPr>
            <w:r>
              <w:rPr>
                <w:b/>
                <w:bCs/>
                <w:color w:val="606060"/>
                <w:sz w:val="22"/>
                <w:szCs w:val="22"/>
              </w:rPr>
              <w:t xml:space="preserve">Date ISR </w:t>
            </w:r>
          </w:p>
          <w:p w14:paraId="10AD495E" w14:textId="77777777" w:rsidR="00F96911" w:rsidRDefault="00F96911" w:rsidP="00D51717">
            <w:pPr>
              <w:keepNext/>
              <w:keepLines/>
              <w:jc w:val="center"/>
              <w:rPr>
                <w:b/>
                <w:bCs/>
                <w:color w:val="606060"/>
                <w:sz w:val="22"/>
                <w:szCs w:val="22"/>
              </w:rPr>
            </w:pPr>
            <w:r>
              <w:rPr>
                <w:b/>
                <w:bCs/>
                <w:color w:val="606060"/>
                <w:sz w:val="22"/>
                <w:szCs w:val="22"/>
              </w:rPr>
              <w:t>Archived</w:t>
            </w:r>
          </w:p>
        </w:tc>
        <w:tc>
          <w:tcPr>
            <w:tcW w:w="2318"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2E459F0" w14:textId="77777777" w:rsidR="00F96911" w:rsidRDefault="00F96911" w:rsidP="00D51717">
            <w:pPr>
              <w:keepNext/>
              <w:keepLines/>
              <w:jc w:val="center"/>
              <w:rPr>
                <w:b/>
                <w:bCs/>
                <w:color w:val="606060"/>
                <w:sz w:val="22"/>
                <w:szCs w:val="22"/>
              </w:rPr>
            </w:pPr>
            <w:r>
              <w:rPr>
                <w:b/>
                <w:bCs/>
                <w:color w:val="606060"/>
                <w:sz w:val="22"/>
                <w:szCs w:val="22"/>
              </w:rPr>
              <w:t>DO</w:t>
            </w:r>
          </w:p>
        </w:tc>
        <w:tc>
          <w:tcPr>
            <w:tcW w:w="2318"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D5B2E44" w14:textId="77777777" w:rsidR="00F96911" w:rsidRDefault="00F96911" w:rsidP="00D51717">
            <w:pPr>
              <w:keepNext/>
              <w:keepLines/>
              <w:jc w:val="center"/>
              <w:rPr>
                <w:b/>
                <w:bCs/>
                <w:color w:val="606060"/>
                <w:sz w:val="22"/>
                <w:szCs w:val="22"/>
              </w:rPr>
            </w:pPr>
            <w:r>
              <w:rPr>
                <w:b/>
                <w:bCs/>
                <w:color w:val="606060"/>
                <w:sz w:val="22"/>
                <w:szCs w:val="22"/>
              </w:rPr>
              <w:t>IP</w:t>
            </w:r>
          </w:p>
        </w:tc>
        <w:tc>
          <w:tcPr>
            <w:tcW w:w="196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E0ADDFD" w14:textId="77777777" w:rsidR="00F96911" w:rsidRDefault="00F96911" w:rsidP="00D51717">
            <w:pPr>
              <w:keepNext/>
              <w:keepLines/>
              <w:jc w:val="center"/>
              <w:rPr>
                <w:b/>
                <w:bCs/>
                <w:color w:val="606060"/>
                <w:sz w:val="22"/>
                <w:szCs w:val="22"/>
              </w:rPr>
            </w:pPr>
            <w:r>
              <w:rPr>
                <w:b/>
                <w:bCs/>
                <w:color w:val="606060"/>
                <w:sz w:val="22"/>
                <w:szCs w:val="22"/>
              </w:rPr>
              <w:t>Actual Disbursements</w:t>
            </w:r>
          </w:p>
          <w:p w14:paraId="61F31357" w14:textId="77777777" w:rsidR="00F96911" w:rsidRDefault="00F96911" w:rsidP="00D51717">
            <w:pPr>
              <w:keepNext/>
              <w:keepLines/>
              <w:jc w:val="center"/>
              <w:rPr>
                <w:b/>
                <w:bCs/>
                <w:color w:val="606060"/>
                <w:sz w:val="22"/>
                <w:szCs w:val="22"/>
              </w:rPr>
            </w:pPr>
            <w:r>
              <w:rPr>
                <w:b/>
                <w:bCs/>
                <w:color w:val="606060"/>
                <w:sz w:val="22"/>
                <w:szCs w:val="22"/>
              </w:rPr>
              <w:t>(USD millions)</w:t>
            </w:r>
          </w:p>
        </w:tc>
      </w:tr>
      <w:tr w:rsidR="00F96911" w14:paraId="5132EA63"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5987B600" w14:textId="77777777" w:rsidR="00F96911" w:rsidRDefault="00F96911" w:rsidP="00D51717">
            <w:pPr>
              <w:spacing w:line="200" w:lineRule="atLeast"/>
              <w:jc w:val="center"/>
              <w:rPr>
                <w:color w:val="000000"/>
                <w:sz w:val="22"/>
                <w:szCs w:val="22"/>
              </w:rPr>
            </w:pPr>
            <w:r>
              <w:rPr>
                <w:color w:val="000000"/>
                <w:sz w:val="22"/>
                <w:szCs w:val="22"/>
              </w:rPr>
              <w:t xml:space="preserve"> 1</w:t>
            </w:r>
          </w:p>
        </w:tc>
        <w:tc>
          <w:tcPr>
            <w:tcW w:w="1449" w:type="dxa"/>
            <w:tcBorders>
              <w:top w:val="single" w:sz="4" w:space="0" w:color="B1B1B1"/>
              <w:left w:val="single" w:sz="4" w:space="0" w:color="B1B1B1"/>
              <w:bottom w:val="single" w:sz="4" w:space="0" w:color="B1B1B1"/>
              <w:right w:val="single" w:sz="4" w:space="0" w:color="B1B1B1"/>
            </w:tcBorders>
            <w:vAlign w:val="center"/>
          </w:tcPr>
          <w:p w14:paraId="465E0D32" w14:textId="77777777" w:rsidR="00F96911" w:rsidRDefault="00F96911" w:rsidP="00D51717">
            <w:pPr>
              <w:spacing w:line="200" w:lineRule="atLeast"/>
              <w:jc w:val="center"/>
              <w:rPr>
                <w:color w:val="000000"/>
                <w:sz w:val="22"/>
                <w:szCs w:val="22"/>
              </w:rPr>
            </w:pPr>
            <w:r>
              <w:rPr>
                <w:color w:val="000000"/>
                <w:sz w:val="22"/>
                <w:szCs w:val="22"/>
              </w:rPr>
              <w:t>11/04/2005</w:t>
            </w:r>
          </w:p>
        </w:tc>
        <w:tc>
          <w:tcPr>
            <w:tcW w:w="2318" w:type="dxa"/>
            <w:tcBorders>
              <w:top w:val="single" w:sz="4" w:space="0" w:color="B1B1B1"/>
              <w:left w:val="single" w:sz="4" w:space="0" w:color="B1B1B1"/>
              <w:bottom w:val="single" w:sz="4" w:space="0" w:color="B1B1B1"/>
              <w:right w:val="single" w:sz="4" w:space="0" w:color="B1B1B1"/>
            </w:tcBorders>
            <w:vAlign w:val="center"/>
          </w:tcPr>
          <w:p w14:paraId="212CFFEC"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5662C285"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25CD5497" w14:textId="1C964DCE" w:rsidR="00F96911" w:rsidRDefault="00F96911" w:rsidP="00A82792">
            <w:pPr>
              <w:tabs>
                <w:tab w:val="decimal" w:pos="1430"/>
              </w:tabs>
              <w:spacing w:line="200" w:lineRule="atLeast"/>
              <w:rPr>
                <w:color w:val="000000"/>
                <w:sz w:val="22"/>
                <w:szCs w:val="22"/>
              </w:rPr>
            </w:pPr>
            <w:r>
              <w:rPr>
                <w:color w:val="000000"/>
                <w:sz w:val="22"/>
                <w:szCs w:val="22"/>
              </w:rPr>
              <w:t>0.15</w:t>
            </w:r>
          </w:p>
        </w:tc>
      </w:tr>
      <w:tr w:rsidR="00F96911" w14:paraId="69FA59F4"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2956C763" w14:textId="77777777" w:rsidR="00F96911" w:rsidRDefault="00F96911" w:rsidP="00D51717">
            <w:pPr>
              <w:spacing w:line="200" w:lineRule="atLeast"/>
              <w:jc w:val="center"/>
              <w:rPr>
                <w:color w:val="000000"/>
                <w:sz w:val="22"/>
                <w:szCs w:val="22"/>
              </w:rPr>
            </w:pPr>
            <w:r>
              <w:rPr>
                <w:color w:val="000000"/>
                <w:sz w:val="22"/>
                <w:szCs w:val="22"/>
              </w:rPr>
              <w:t xml:space="preserve"> 2</w:t>
            </w:r>
          </w:p>
        </w:tc>
        <w:tc>
          <w:tcPr>
            <w:tcW w:w="1449" w:type="dxa"/>
            <w:tcBorders>
              <w:top w:val="single" w:sz="4" w:space="0" w:color="B1B1B1"/>
              <w:left w:val="single" w:sz="4" w:space="0" w:color="B1B1B1"/>
              <w:bottom w:val="single" w:sz="4" w:space="0" w:color="B1B1B1"/>
              <w:right w:val="single" w:sz="4" w:space="0" w:color="B1B1B1"/>
            </w:tcBorders>
            <w:vAlign w:val="center"/>
          </w:tcPr>
          <w:p w14:paraId="012BD844" w14:textId="77777777" w:rsidR="00F96911" w:rsidRDefault="00F96911" w:rsidP="00D51717">
            <w:pPr>
              <w:spacing w:line="200" w:lineRule="atLeast"/>
              <w:jc w:val="center"/>
              <w:rPr>
                <w:color w:val="000000"/>
                <w:sz w:val="22"/>
                <w:szCs w:val="22"/>
              </w:rPr>
            </w:pPr>
            <w:r>
              <w:rPr>
                <w:color w:val="000000"/>
                <w:sz w:val="22"/>
                <w:szCs w:val="22"/>
              </w:rPr>
              <w:t>12/29/2006</w:t>
            </w:r>
          </w:p>
        </w:tc>
        <w:tc>
          <w:tcPr>
            <w:tcW w:w="2318" w:type="dxa"/>
            <w:tcBorders>
              <w:top w:val="single" w:sz="4" w:space="0" w:color="B1B1B1"/>
              <w:left w:val="single" w:sz="4" w:space="0" w:color="B1B1B1"/>
              <w:bottom w:val="single" w:sz="4" w:space="0" w:color="B1B1B1"/>
              <w:right w:val="single" w:sz="4" w:space="0" w:color="B1B1B1"/>
            </w:tcBorders>
            <w:vAlign w:val="center"/>
          </w:tcPr>
          <w:p w14:paraId="0A145E21"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4A6BDF05"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2757AFA7" w14:textId="77777777" w:rsidR="00F96911" w:rsidRDefault="00F96911" w:rsidP="00D51717">
            <w:pPr>
              <w:tabs>
                <w:tab w:val="decimal" w:pos="1430"/>
              </w:tabs>
              <w:spacing w:line="200" w:lineRule="atLeast"/>
              <w:rPr>
                <w:color w:val="000000"/>
                <w:sz w:val="22"/>
                <w:szCs w:val="22"/>
              </w:rPr>
            </w:pPr>
            <w:r>
              <w:rPr>
                <w:color w:val="000000"/>
                <w:sz w:val="22"/>
                <w:szCs w:val="22"/>
              </w:rPr>
              <w:t>0.81</w:t>
            </w:r>
          </w:p>
        </w:tc>
      </w:tr>
      <w:tr w:rsidR="00F96911" w14:paraId="2B0DBB17"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4459E000" w14:textId="77777777" w:rsidR="00F96911" w:rsidRDefault="00F96911" w:rsidP="00D51717">
            <w:pPr>
              <w:spacing w:line="200" w:lineRule="atLeast"/>
              <w:jc w:val="center"/>
              <w:rPr>
                <w:color w:val="000000"/>
                <w:sz w:val="22"/>
                <w:szCs w:val="22"/>
              </w:rPr>
            </w:pPr>
            <w:r>
              <w:rPr>
                <w:color w:val="000000"/>
                <w:sz w:val="22"/>
                <w:szCs w:val="22"/>
              </w:rPr>
              <w:t xml:space="preserve"> 3</w:t>
            </w:r>
          </w:p>
        </w:tc>
        <w:tc>
          <w:tcPr>
            <w:tcW w:w="1449" w:type="dxa"/>
            <w:tcBorders>
              <w:top w:val="single" w:sz="4" w:space="0" w:color="B1B1B1"/>
              <w:left w:val="single" w:sz="4" w:space="0" w:color="B1B1B1"/>
              <w:bottom w:val="single" w:sz="4" w:space="0" w:color="B1B1B1"/>
              <w:right w:val="single" w:sz="4" w:space="0" w:color="B1B1B1"/>
            </w:tcBorders>
            <w:vAlign w:val="center"/>
          </w:tcPr>
          <w:p w14:paraId="46F32B3A" w14:textId="77777777" w:rsidR="00F96911" w:rsidRDefault="00F96911" w:rsidP="00D51717">
            <w:pPr>
              <w:spacing w:line="200" w:lineRule="atLeast"/>
              <w:jc w:val="center"/>
              <w:rPr>
                <w:color w:val="000000"/>
                <w:sz w:val="22"/>
                <w:szCs w:val="22"/>
              </w:rPr>
            </w:pPr>
            <w:r>
              <w:rPr>
                <w:color w:val="000000"/>
                <w:sz w:val="22"/>
                <w:szCs w:val="22"/>
              </w:rPr>
              <w:t>01/15/2008</w:t>
            </w:r>
          </w:p>
        </w:tc>
        <w:tc>
          <w:tcPr>
            <w:tcW w:w="2318" w:type="dxa"/>
            <w:tcBorders>
              <w:top w:val="single" w:sz="4" w:space="0" w:color="B1B1B1"/>
              <w:left w:val="single" w:sz="4" w:space="0" w:color="B1B1B1"/>
              <w:bottom w:val="single" w:sz="4" w:space="0" w:color="B1B1B1"/>
              <w:right w:val="single" w:sz="4" w:space="0" w:color="B1B1B1"/>
            </w:tcBorders>
            <w:vAlign w:val="center"/>
          </w:tcPr>
          <w:p w14:paraId="79CE37FE"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77470900"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7B313D68" w14:textId="09AF2160" w:rsidR="00F96911" w:rsidRDefault="00F96911" w:rsidP="00D51717">
            <w:pPr>
              <w:tabs>
                <w:tab w:val="decimal" w:pos="1430"/>
              </w:tabs>
              <w:spacing w:line="200" w:lineRule="atLeast"/>
              <w:rPr>
                <w:color w:val="000000"/>
                <w:sz w:val="22"/>
                <w:szCs w:val="22"/>
              </w:rPr>
            </w:pPr>
            <w:r>
              <w:rPr>
                <w:color w:val="000000"/>
                <w:sz w:val="22"/>
                <w:szCs w:val="22"/>
              </w:rPr>
              <w:t>1.30</w:t>
            </w:r>
          </w:p>
        </w:tc>
      </w:tr>
      <w:tr w:rsidR="00F96911" w14:paraId="5C72A9CE"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48CF2205" w14:textId="77777777" w:rsidR="00F96911" w:rsidRDefault="00F96911" w:rsidP="00D51717">
            <w:pPr>
              <w:spacing w:line="200" w:lineRule="atLeast"/>
              <w:jc w:val="center"/>
              <w:rPr>
                <w:color w:val="000000"/>
                <w:sz w:val="22"/>
                <w:szCs w:val="22"/>
              </w:rPr>
            </w:pPr>
            <w:r>
              <w:rPr>
                <w:color w:val="000000"/>
                <w:sz w:val="22"/>
                <w:szCs w:val="22"/>
              </w:rPr>
              <w:t xml:space="preserve"> 4</w:t>
            </w:r>
          </w:p>
        </w:tc>
        <w:tc>
          <w:tcPr>
            <w:tcW w:w="1449" w:type="dxa"/>
            <w:tcBorders>
              <w:top w:val="single" w:sz="4" w:space="0" w:color="B1B1B1"/>
              <w:left w:val="single" w:sz="4" w:space="0" w:color="B1B1B1"/>
              <w:bottom w:val="single" w:sz="4" w:space="0" w:color="B1B1B1"/>
              <w:right w:val="single" w:sz="4" w:space="0" w:color="B1B1B1"/>
            </w:tcBorders>
            <w:vAlign w:val="center"/>
          </w:tcPr>
          <w:p w14:paraId="4D58EA4A" w14:textId="77777777" w:rsidR="00F96911" w:rsidRDefault="00F96911" w:rsidP="00D51717">
            <w:pPr>
              <w:spacing w:line="200" w:lineRule="atLeast"/>
              <w:jc w:val="center"/>
              <w:rPr>
                <w:color w:val="000000"/>
                <w:sz w:val="22"/>
                <w:szCs w:val="22"/>
              </w:rPr>
            </w:pPr>
            <w:r>
              <w:rPr>
                <w:color w:val="000000"/>
                <w:sz w:val="22"/>
                <w:szCs w:val="22"/>
              </w:rPr>
              <w:t>10/20/2008</w:t>
            </w:r>
          </w:p>
        </w:tc>
        <w:tc>
          <w:tcPr>
            <w:tcW w:w="2318" w:type="dxa"/>
            <w:tcBorders>
              <w:top w:val="single" w:sz="4" w:space="0" w:color="B1B1B1"/>
              <w:left w:val="single" w:sz="4" w:space="0" w:color="B1B1B1"/>
              <w:bottom w:val="single" w:sz="4" w:space="0" w:color="B1B1B1"/>
              <w:right w:val="single" w:sz="4" w:space="0" w:color="B1B1B1"/>
            </w:tcBorders>
            <w:vAlign w:val="center"/>
          </w:tcPr>
          <w:p w14:paraId="6720F5DE"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76852F72"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6E7A1488" w14:textId="77777777" w:rsidR="00F96911" w:rsidRDefault="00F96911" w:rsidP="00D51717">
            <w:pPr>
              <w:tabs>
                <w:tab w:val="decimal" w:pos="1430"/>
              </w:tabs>
              <w:spacing w:line="200" w:lineRule="atLeast"/>
              <w:rPr>
                <w:color w:val="000000"/>
                <w:sz w:val="22"/>
                <w:szCs w:val="22"/>
              </w:rPr>
            </w:pPr>
            <w:r>
              <w:rPr>
                <w:color w:val="000000"/>
                <w:sz w:val="22"/>
                <w:szCs w:val="22"/>
              </w:rPr>
              <w:t>1.95</w:t>
            </w:r>
          </w:p>
        </w:tc>
      </w:tr>
      <w:tr w:rsidR="00F96911" w14:paraId="68904009"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35E91C2D" w14:textId="77777777" w:rsidR="00F96911" w:rsidRDefault="00F96911" w:rsidP="00D51717">
            <w:pPr>
              <w:spacing w:line="200" w:lineRule="atLeast"/>
              <w:jc w:val="center"/>
              <w:rPr>
                <w:color w:val="000000"/>
                <w:sz w:val="22"/>
                <w:szCs w:val="22"/>
              </w:rPr>
            </w:pPr>
            <w:r>
              <w:rPr>
                <w:color w:val="000000"/>
                <w:sz w:val="22"/>
                <w:szCs w:val="22"/>
              </w:rPr>
              <w:t xml:space="preserve"> 5</w:t>
            </w:r>
          </w:p>
        </w:tc>
        <w:tc>
          <w:tcPr>
            <w:tcW w:w="1449" w:type="dxa"/>
            <w:tcBorders>
              <w:top w:val="single" w:sz="4" w:space="0" w:color="B1B1B1"/>
              <w:left w:val="single" w:sz="4" w:space="0" w:color="B1B1B1"/>
              <w:bottom w:val="single" w:sz="4" w:space="0" w:color="B1B1B1"/>
              <w:right w:val="single" w:sz="4" w:space="0" w:color="B1B1B1"/>
            </w:tcBorders>
            <w:vAlign w:val="center"/>
          </w:tcPr>
          <w:p w14:paraId="4AEACA1B" w14:textId="77777777" w:rsidR="00F96911" w:rsidRDefault="00F96911" w:rsidP="00D51717">
            <w:pPr>
              <w:spacing w:line="200" w:lineRule="atLeast"/>
              <w:jc w:val="center"/>
              <w:rPr>
                <w:color w:val="000000"/>
                <w:sz w:val="22"/>
                <w:szCs w:val="22"/>
              </w:rPr>
            </w:pPr>
            <w:r>
              <w:rPr>
                <w:color w:val="000000"/>
                <w:sz w:val="22"/>
                <w:szCs w:val="22"/>
              </w:rPr>
              <w:t>01/20/2010</w:t>
            </w:r>
          </w:p>
        </w:tc>
        <w:tc>
          <w:tcPr>
            <w:tcW w:w="2318" w:type="dxa"/>
            <w:tcBorders>
              <w:top w:val="single" w:sz="4" w:space="0" w:color="B1B1B1"/>
              <w:left w:val="single" w:sz="4" w:space="0" w:color="B1B1B1"/>
              <w:bottom w:val="single" w:sz="4" w:space="0" w:color="B1B1B1"/>
              <w:right w:val="single" w:sz="4" w:space="0" w:color="B1B1B1"/>
            </w:tcBorders>
            <w:vAlign w:val="center"/>
          </w:tcPr>
          <w:p w14:paraId="2C584CE5"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528AB3EC"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2E25508F" w14:textId="77777777" w:rsidR="00F96911" w:rsidRDefault="00F96911" w:rsidP="00D51717">
            <w:pPr>
              <w:tabs>
                <w:tab w:val="decimal" w:pos="1430"/>
              </w:tabs>
              <w:spacing w:line="200" w:lineRule="atLeast"/>
              <w:rPr>
                <w:color w:val="000000"/>
                <w:sz w:val="22"/>
                <w:szCs w:val="22"/>
              </w:rPr>
            </w:pPr>
            <w:r>
              <w:rPr>
                <w:color w:val="000000"/>
                <w:sz w:val="22"/>
                <w:szCs w:val="22"/>
              </w:rPr>
              <w:t>2.67</w:t>
            </w:r>
          </w:p>
        </w:tc>
      </w:tr>
      <w:tr w:rsidR="00F96911" w14:paraId="3C951348"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00F57B0E" w14:textId="77777777" w:rsidR="00F96911" w:rsidRDefault="00F96911" w:rsidP="00D51717">
            <w:pPr>
              <w:spacing w:line="200" w:lineRule="atLeast"/>
              <w:jc w:val="center"/>
              <w:rPr>
                <w:color w:val="000000"/>
                <w:sz w:val="22"/>
                <w:szCs w:val="22"/>
              </w:rPr>
            </w:pPr>
            <w:r>
              <w:rPr>
                <w:color w:val="000000"/>
                <w:sz w:val="22"/>
                <w:szCs w:val="22"/>
              </w:rPr>
              <w:t xml:space="preserve"> 6</w:t>
            </w:r>
          </w:p>
        </w:tc>
        <w:tc>
          <w:tcPr>
            <w:tcW w:w="1449" w:type="dxa"/>
            <w:tcBorders>
              <w:top w:val="single" w:sz="4" w:space="0" w:color="B1B1B1"/>
              <w:left w:val="single" w:sz="4" w:space="0" w:color="B1B1B1"/>
              <w:bottom w:val="single" w:sz="4" w:space="0" w:color="B1B1B1"/>
              <w:right w:val="single" w:sz="4" w:space="0" w:color="B1B1B1"/>
            </w:tcBorders>
            <w:vAlign w:val="center"/>
          </w:tcPr>
          <w:p w14:paraId="647E7D22" w14:textId="77777777" w:rsidR="00F96911" w:rsidRDefault="00F96911" w:rsidP="00D51717">
            <w:pPr>
              <w:spacing w:line="200" w:lineRule="atLeast"/>
              <w:jc w:val="center"/>
              <w:rPr>
                <w:color w:val="000000"/>
                <w:sz w:val="22"/>
                <w:szCs w:val="22"/>
              </w:rPr>
            </w:pPr>
            <w:r>
              <w:rPr>
                <w:color w:val="000000"/>
                <w:sz w:val="22"/>
                <w:szCs w:val="22"/>
              </w:rPr>
              <w:t>12/29/2010</w:t>
            </w:r>
          </w:p>
        </w:tc>
        <w:tc>
          <w:tcPr>
            <w:tcW w:w="2318" w:type="dxa"/>
            <w:tcBorders>
              <w:top w:val="single" w:sz="4" w:space="0" w:color="B1B1B1"/>
              <w:left w:val="single" w:sz="4" w:space="0" w:color="B1B1B1"/>
              <w:bottom w:val="single" w:sz="4" w:space="0" w:color="B1B1B1"/>
              <w:right w:val="single" w:sz="4" w:space="0" w:color="B1B1B1"/>
            </w:tcBorders>
            <w:vAlign w:val="center"/>
          </w:tcPr>
          <w:p w14:paraId="63937245"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2A939C1B"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7BD885E1" w14:textId="77777777" w:rsidR="00F96911" w:rsidRDefault="00F96911" w:rsidP="00D51717">
            <w:pPr>
              <w:tabs>
                <w:tab w:val="decimal" w:pos="1430"/>
              </w:tabs>
              <w:spacing w:line="200" w:lineRule="atLeast"/>
              <w:rPr>
                <w:color w:val="000000"/>
                <w:sz w:val="22"/>
                <w:szCs w:val="22"/>
              </w:rPr>
            </w:pPr>
            <w:r>
              <w:rPr>
                <w:color w:val="000000"/>
                <w:sz w:val="22"/>
                <w:szCs w:val="22"/>
              </w:rPr>
              <w:t>4.81</w:t>
            </w:r>
          </w:p>
        </w:tc>
      </w:tr>
      <w:tr w:rsidR="00F96911" w14:paraId="006F9002"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3E118573" w14:textId="77777777" w:rsidR="00F96911" w:rsidRDefault="00F96911" w:rsidP="00D51717">
            <w:pPr>
              <w:spacing w:line="200" w:lineRule="atLeast"/>
              <w:jc w:val="center"/>
              <w:rPr>
                <w:color w:val="000000"/>
                <w:sz w:val="22"/>
                <w:szCs w:val="22"/>
              </w:rPr>
            </w:pPr>
            <w:r>
              <w:rPr>
                <w:color w:val="000000"/>
                <w:sz w:val="22"/>
                <w:szCs w:val="22"/>
              </w:rPr>
              <w:t xml:space="preserve"> 7</w:t>
            </w:r>
          </w:p>
        </w:tc>
        <w:tc>
          <w:tcPr>
            <w:tcW w:w="1449" w:type="dxa"/>
            <w:tcBorders>
              <w:top w:val="single" w:sz="4" w:space="0" w:color="B1B1B1"/>
              <w:left w:val="single" w:sz="4" w:space="0" w:color="B1B1B1"/>
              <w:bottom w:val="single" w:sz="4" w:space="0" w:color="B1B1B1"/>
              <w:right w:val="single" w:sz="4" w:space="0" w:color="B1B1B1"/>
            </w:tcBorders>
            <w:vAlign w:val="center"/>
          </w:tcPr>
          <w:p w14:paraId="413973E1" w14:textId="77777777" w:rsidR="00F96911" w:rsidRDefault="00F96911" w:rsidP="00D51717">
            <w:pPr>
              <w:spacing w:line="200" w:lineRule="atLeast"/>
              <w:jc w:val="center"/>
              <w:rPr>
                <w:color w:val="000000"/>
                <w:sz w:val="22"/>
                <w:szCs w:val="22"/>
              </w:rPr>
            </w:pPr>
            <w:r>
              <w:rPr>
                <w:color w:val="000000"/>
                <w:sz w:val="22"/>
                <w:szCs w:val="22"/>
              </w:rPr>
              <w:t>03/29/2012</w:t>
            </w:r>
          </w:p>
        </w:tc>
        <w:tc>
          <w:tcPr>
            <w:tcW w:w="2318" w:type="dxa"/>
            <w:tcBorders>
              <w:top w:val="single" w:sz="4" w:space="0" w:color="B1B1B1"/>
              <w:left w:val="single" w:sz="4" w:space="0" w:color="B1B1B1"/>
              <w:bottom w:val="single" w:sz="4" w:space="0" w:color="B1B1B1"/>
              <w:right w:val="single" w:sz="4" w:space="0" w:color="B1B1B1"/>
            </w:tcBorders>
            <w:vAlign w:val="center"/>
          </w:tcPr>
          <w:p w14:paraId="541F562E" w14:textId="77777777" w:rsidR="00F96911" w:rsidRDefault="00F96911" w:rsidP="00D51717">
            <w:pPr>
              <w:spacing w:line="200" w:lineRule="atLeast"/>
              <w:jc w:val="center"/>
              <w:rPr>
                <w:color w:val="000000"/>
                <w:sz w:val="22"/>
                <w:szCs w:val="22"/>
              </w:rPr>
            </w:pPr>
            <w:r>
              <w:rPr>
                <w:color w:val="000000"/>
                <w:sz w:val="22"/>
                <w:szCs w:val="22"/>
              </w:rPr>
              <w:t>Moderately 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5139FB93" w14:textId="77777777" w:rsidR="00F96911" w:rsidRDefault="00F96911" w:rsidP="00D51717">
            <w:pPr>
              <w:spacing w:line="200" w:lineRule="atLeast"/>
              <w:jc w:val="center"/>
              <w:rPr>
                <w:color w:val="000000"/>
                <w:sz w:val="22"/>
                <w:szCs w:val="22"/>
              </w:rPr>
            </w:pPr>
            <w:r>
              <w:rPr>
                <w:color w:val="000000"/>
                <w:sz w:val="22"/>
                <w:szCs w:val="22"/>
              </w:rPr>
              <w:t>Moderately 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38752094" w14:textId="77777777" w:rsidR="00F96911" w:rsidRDefault="00F96911" w:rsidP="00D51717">
            <w:pPr>
              <w:tabs>
                <w:tab w:val="decimal" w:pos="1430"/>
              </w:tabs>
              <w:spacing w:line="200" w:lineRule="atLeast"/>
              <w:rPr>
                <w:color w:val="000000"/>
                <w:sz w:val="22"/>
                <w:szCs w:val="22"/>
              </w:rPr>
            </w:pPr>
            <w:r>
              <w:rPr>
                <w:color w:val="000000"/>
                <w:sz w:val="22"/>
                <w:szCs w:val="22"/>
              </w:rPr>
              <w:t>6.13</w:t>
            </w:r>
          </w:p>
        </w:tc>
      </w:tr>
      <w:tr w:rsidR="00F96911" w14:paraId="69128867"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52F43FB8" w14:textId="77777777" w:rsidR="00F96911" w:rsidRDefault="00F96911" w:rsidP="00D51717">
            <w:pPr>
              <w:spacing w:line="200" w:lineRule="atLeast"/>
              <w:jc w:val="center"/>
              <w:rPr>
                <w:color w:val="000000"/>
                <w:sz w:val="22"/>
                <w:szCs w:val="22"/>
              </w:rPr>
            </w:pPr>
            <w:r>
              <w:rPr>
                <w:color w:val="000000"/>
                <w:sz w:val="22"/>
                <w:szCs w:val="22"/>
              </w:rPr>
              <w:t xml:space="preserve"> 8</w:t>
            </w:r>
          </w:p>
        </w:tc>
        <w:tc>
          <w:tcPr>
            <w:tcW w:w="1449" w:type="dxa"/>
            <w:tcBorders>
              <w:top w:val="single" w:sz="4" w:space="0" w:color="B1B1B1"/>
              <w:left w:val="single" w:sz="4" w:space="0" w:color="B1B1B1"/>
              <w:bottom w:val="single" w:sz="4" w:space="0" w:color="B1B1B1"/>
              <w:right w:val="single" w:sz="4" w:space="0" w:color="B1B1B1"/>
            </w:tcBorders>
            <w:vAlign w:val="center"/>
          </w:tcPr>
          <w:p w14:paraId="7F3D4903" w14:textId="77777777" w:rsidR="00F96911" w:rsidRDefault="00F96911" w:rsidP="00D51717">
            <w:pPr>
              <w:spacing w:line="200" w:lineRule="atLeast"/>
              <w:jc w:val="center"/>
              <w:rPr>
                <w:color w:val="000000"/>
                <w:sz w:val="22"/>
                <w:szCs w:val="22"/>
              </w:rPr>
            </w:pPr>
            <w:r>
              <w:rPr>
                <w:color w:val="000000"/>
                <w:sz w:val="22"/>
                <w:szCs w:val="22"/>
              </w:rPr>
              <w:t>04/22/2013</w:t>
            </w:r>
          </w:p>
        </w:tc>
        <w:tc>
          <w:tcPr>
            <w:tcW w:w="2318" w:type="dxa"/>
            <w:tcBorders>
              <w:top w:val="single" w:sz="4" w:space="0" w:color="B1B1B1"/>
              <w:left w:val="single" w:sz="4" w:space="0" w:color="B1B1B1"/>
              <w:bottom w:val="single" w:sz="4" w:space="0" w:color="B1B1B1"/>
              <w:right w:val="single" w:sz="4" w:space="0" w:color="B1B1B1"/>
            </w:tcBorders>
            <w:vAlign w:val="center"/>
          </w:tcPr>
          <w:p w14:paraId="6D26F538" w14:textId="77777777" w:rsidR="00F96911" w:rsidRDefault="00F96911" w:rsidP="00D51717">
            <w:pPr>
              <w:spacing w:line="200" w:lineRule="atLeast"/>
              <w:jc w:val="center"/>
              <w:rPr>
                <w:color w:val="000000"/>
                <w:sz w:val="22"/>
                <w:szCs w:val="22"/>
              </w:rPr>
            </w:pPr>
            <w:r>
              <w:rPr>
                <w:color w:val="000000"/>
                <w:sz w:val="22"/>
                <w:szCs w:val="22"/>
              </w:rPr>
              <w:t>Moderately 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0A9A4C60" w14:textId="77777777" w:rsidR="00F96911" w:rsidRDefault="00F96911" w:rsidP="00D51717">
            <w:pPr>
              <w:spacing w:line="200" w:lineRule="atLeast"/>
              <w:jc w:val="center"/>
              <w:rPr>
                <w:color w:val="000000"/>
                <w:sz w:val="22"/>
                <w:szCs w:val="22"/>
              </w:rPr>
            </w:pPr>
            <w:r>
              <w:rPr>
                <w:color w:val="000000"/>
                <w:sz w:val="22"/>
                <w:szCs w:val="22"/>
              </w:rPr>
              <w:t>Moderately 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5C70A90F" w14:textId="77777777" w:rsidR="00F96911" w:rsidRDefault="00F96911" w:rsidP="00D51717">
            <w:pPr>
              <w:tabs>
                <w:tab w:val="decimal" w:pos="1430"/>
              </w:tabs>
              <w:spacing w:line="200" w:lineRule="atLeast"/>
              <w:rPr>
                <w:color w:val="000000"/>
                <w:sz w:val="22"/>
                <w:szCs w:val="22"/>
              </w:rPr>
            </w:pPr>
            <w:r>
              <w:rPr>
                <w:color w:val="000000"/>
                <w:sz w:val="22"/>
                <w:szCs w:val="22"/>
              </w:rPr>
              <w:t>7.64</w:t>
            </w:r>
          </w:p>
        </w:tc>
      </w:tr>
      <w:tr w:rsidR="00F96911" w14:paraId="71A0D252"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0707BD19" w14:textId="77777777" w:rsidR="00F96911" w:rsidRDefault="00F96911" w:rsidP="00D51717">
            <w:pPr>
              <w:spacing w:line="200" w:lineRule="atLeast"/>
              <w:jc w:val="center"/>
              <w:rPr>
                <w:color w:val="000000"/>
                <w:sz w:val="22"/>
                <w:szCs w:val="22"/>
              </w:rPr>
            </w:pPr>
            <w:r>
              <w:rPr>
                <w:color w:val="000000"/>
                <w:sz w:val="22"/>
                <w:szCs w:val="22"/>
              </w:rPr>
              <w:t xml:space="preserve"> 9</w:t>
            </w:r>
          </w:p>
        </w:tc>
        <w:tc>
          <w:tcPr>
            <w:tcW w:w="1449" w:type="dxa"/>
            <w:tcBorders>
              <w:top w:val="single" w:sz="4" w:space="0" w:color="B1B1B1"/>
              <w:left w:val="single" w:sz="4" w:space="0" w:color="B1B1B1"/>
              <w:bottom w:val="single" w:sz="4" w:space="0" w:color="B1B1B1"/>
              <w:right w:val="single" w:sz="4" w:space="0" w:color="B1B1B1"/>
            </w:tcBorders>
            <w:vAlign w:val="center"/>
          </w:tcPr>
          <w:p w14:paraId="4EEE2E37" w14:textId="77777777" w:rsidR="00F96911" w:rsidRDefault="00F96911" w:rsidP="00D51717">
            <w:pPr>
              <w:spacing w:line="200" w:lineRule="atLeast"/>
              <w:jc w:val="center"/>
              <w:rPr>
                <w:color w:val="000000"/>
                <w:sz w:val="22"/>
                <w:szCs w:val="22"/>
              </w:rPr>
            </w:pPr>
            <w:r>
              <w:rPr>
                <w:color w:val="000000"/>
                <w:sz w:val="22"/>
                <w:szCs w:val="22"/>
              </w:rPr>
              <w:t>06/07/2013</w:t>
            </w:r>
          </w:p>
        </w:tc>
        <w:tc>
          <w:tcPr>
            <w:tcW w:w="2318" w:type="dxa"/>
            <w:tcBorders>
              <w:top w:val="single" w:sz="4" w:space="0" w:color="B1B1B1"/>
              <w:left w:val="single" w:sz="4" w:space="0" w:color="B1B1B1"/>
              <w:bottom w:val="single" w:sz="4" w:space="0" w:color="B1B1B1"/>
              <w:right w:val="single" w:sz="4" w:space="0" w:color="B1B1B1"/>
            </w:tcBorders>
            <w:vAlign w:val="center"/>
          </w:tcPr>
          <w:p w14:paraId="226FCE6C"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364EC1ED"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06727FE3" w14:textId="77777777" w:rsidR="00F96911" w:rsidRDefault="00F96911" w:rsidP="00D51717">
            <w:pPr>
              <w:tabs>
                <w:tab w:val="decimal" w:pos="1430"/>
              </w:tabs>
              <w:spacing w:line="200" w:lineRule="atLeast"/>
              <w:rPr>
                <w:color w:val="000000"/>
                <w:sz w:val="22"/>
                <w:szCs w:val="22"/>
              </w:rPr>
            </w:pPr>
            <w:r>
              <w:rPr>
                <w:color w:val="000000"/>
                <w:sz w:val="22"/>
                <w:szCs w:val="22"/>
              </w:rPr>
              <w:t>7.96</w:t>
            </w:r>
          </w:p>
        </w:tc>
      </w:tr>
      <w:tr w:rsidR="00F96911" w14:paraId="7DF29F54"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41B19018" w14:textId="77777777" w:rsidR="00F96911" w:rsidRDefault="00F96911" w:rsidP="00D51717">
            <w:pPr>
              <w:spacing w:line="200" w:lineRule="atLeast"/>
              <w:jc w:val="center"/>
              <w:rPr>
                <w:color w:val="000000"/>
                <w:sz w:val="22"/>
                <w:szCs w:val="22"/>
              </w:rPr>
            </w:pPr>
            <w:r>
              <w:rPr>
                <w:color w:val="000000"/>
                <w:sz w:val="22"/>
                <w:szCs w:val="22"/>
              </w:rPr>
              <w:t xml:space="preserve"> 10</w:t>
            </w:r>
          </w:p>
        </w:tc>
        <w:tc>
          <w:tcPr>
            <w:tcW w:w="1449" w:type="dxa"/>
            <w:tcBorders>
              <w:top w:val="single" w:sz="4" w:space="0" w:color="B1B1B1"/>
              <w:left w:val="single" w:sz="4" w:space="0" w:color="B1B1B1"/>
              <w:bottom w:val="single" w:sz="4" w:space="0" w:color="B1B1B1"/>
              <w:right w:val="single" w:sz="4" w:space="0" w:color="B1B1B1"/>
            </w:tcBorders>
            <w:vAlign w:val="center"/>
          </w:tcPr>
          <w:p w14:paraId="53F1CFBF" w14:textId="77777777" w:rsidR="00F96911" w:rsidRDefault="00F96911" w:rsidP="00D51717">
            <w:pPr>
              <w:spacing w:line="200" w:lineRule="atLeast"/>
              <w:jc w:val="center"/>
              <w:rPr>
                <w:color w:val="000000"/>
                <w:sz w:val="22"/>
                <w:szCs w:val="22"/>
              </w:rPr>
            </w:pPr>
            <w:r>
              <w:rPr>
                <w:color w:val="000000"/>
                <w:sz w:val="22"/>
                <w:szCs w:val="22"/>
              </w:rPr>
              <w:t>12/14/2013</w:t>
            </w:r>
          </w:p>
        </w:tc>
        <w:tc>
          <w:tcPr>
            <w:tcW w:w="2318" w:type="dxa"/>
            <w:tcBorders>
              <w:top w:val="single" w:sz="4" w:space="0" w:color="B1B1B1"/>
              <w:left w:val="single" w:sz="4" w:space="0" w:color="B1B1B1"/>
              <w:bottom w:val="single" w:sz="4" w:space="0" w:color="B1B1B1"/>
              <w:right w:val="single" w:sz="4" w:space="0" w:color="B1B1B1"/>
            </w:tcBorders>
            <w:vAlign w:val="center"/>
          </w:tcPr>
          <w:p w14:paraId="7EBBA2DB"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7F63AEE8"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2E39E428" w14:textId="77777777" w:rsidR="00F96911" w:rsidRDefault="00F96911" w:rsidP="00D51717">
            <w:pPr>
              <w:tabs>
                <w:tab w:val="decimal" w:pos="1430"/>
              </w:tabs>
              <w:spacing w:line="200" w:lineRule="atLeast"/>
              <w:rPr>
                <w:color w:val="000000"/>
                <w:sz w:val="22"/>
                <w:szCs w:val="22"/>
              </w:rPr>
            </w:pPr>
            <w:r>
              <w:rPr>
                <w:color w:val="000000"/>
                <w:sz w:val="22"/>
                <w:szCs w:val="22"/>
              </w:rPr>
              <w:t>8.68</w:t>
            </w:r>
          </w:p>
        </w:tc>
      </w:tr>
      <w:tr w:rsidR="00F96911" w14:paraId="3DD372A6"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5FD760AF" w14:textId="77777777" w:rsidR="00F96911" w:rsidRDefault="00F96911" w:rsidP="00D51717">
            <w:pPr>
              <w:spacing w:line="200" w:lineRule="atLeast"/>
              <w:jc w:val="center"/>
              <w:rPr>
                <w:color w:val="000000"/>
                <w:sz w:val="22"/>
                <w:szCs w:val="22"/>
              </w:rPr>
            </w:pPr>
            <w:r>
              <w:rPr>
                <w:color w:val="000000"/>
                <w:sz w:val="22"/>
                <w:szCs w:val="22"/>
              </w:rPr>
              <w:t xml:space="preserve"> 11</w:t>
            </w:r>
          </w:p>
        </w:tc>
        <w:tc>
          <w:tcPr>
            <w:tcW w:w="1449" w:type="dxa"/>
            <w:tcBorders>
              <w:top w:val="single" w:sz="4" w:space="0" w:color="B1B1B1"/>
              <w:left w:val="single" w:sz="4" w:space="0" w:color="B1B1B1"/>
              <w:bottom w:val="single" w:sz="4" w:space="0" w:color="B1B1B1"/>
              <w:right w:val="single" w:sz="4" w:space="0" w:color="B1B1B1"/>
            </w:tcBorders>
            <w:vAlign w:val="center"/>
          </w:tcPr>
          <w:p w14:paraId="64A50D7D" w14:textId="77777777" w:rsidR="00F96911" w:rsidRDefault="00F96911" w:rsidP="00D51717">
            <w:pPr>
              <w:spacing w:line="200" w:lineRule="atLeast"/>
              <w:jc w:val="center"/>
              <w:rPr>
                <w:color w:val="000000"/>
                <w:sz w:val="22"/>
                <w:szCs w:val="22"/>
              </w:rPr>
            </w:pPr>
            <w:r>
              <w:rPr>
                <w:color w:val="000000"/>
                <w:sz w:val="22"/>
                <w:szCs w:val="22"/>
              </w:rPr>
              <w:t>06/22/2014</w:t>
            </w:r>
          </w:p>
        </w:tc>
        <w:tc>
          <w:tcPr>
            <w:tcW w:w="2318" w:type="dxa"/>
            <w:tcBorders>
              <w:top w:val="single" w:sz="4" w:space="0" w:color="B1B1B1"/>
              <w:left w:val="single" w:sz="4" w:space="0" w:color="B1B1B1"/>
              <w:bottom w:val="single" w:sz="4" w:space="0" w:color="B1B1B1"/>
              <w:right w:val="single" w:sz="4" w:space="0" w:color="B1B1B1"/>
            </w:tcBorders>
            <w:vAlign w:val="center"/>
          </w:tcPr>
          <w:p w14:paraId="2B034E2D"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38DADF0D"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3FABD33C" w14:textId="77777777" w:rsidR="00F96911" w:rsidRDefault="00F96911" w:rsidP="00D51717">
            <w:pPr>
              <w:tabs>
                <w:tab w:val="decimal" w:pos="1430"/>
              </w:tabs>
              <w:spacing w:line="200" w:lineRule="atLeast"/>
              <w:rPr>
                <w:color w:val="000000"/>
                <w:sz w:val="22"/>
                <w:szCs w:val="22"/>
              </w:rPr>
            </w:pPr>
            <w:r>
              <w:rPr>
                <w:color w:val="000000"/>
                <w:sz w:val="22"/>
                <w:szCs w:val="22"/>
              </w:rPr>
              <w:t>9.49</w:t>
            </w:r>
          </w:p>
        </w:tc>
      </w:tr>
      <w:tr w:rsidR="00F96911" w14:paraId="51620DBA"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73E21993" w14:textId="77777777" w:rsidR="00F96911" w:rsidRDefault="00F96911" w:rsidP="00D51717">
            <w:pPr>
              <w:spacing w:line="200" w:lineRule="atLeast"/>
              <w:jc w:val="center"/>
              <w:rPr>
                <w:color w:val="000000"/>
                <w:sz w:val="22"/>
                <w:szCs w:val="22"/>
              </w:rPr>
            </w:pPr>
            <w:r>
              <w:rPr>
                <w:color w:val="000000"/>
                <w:sz w:val="22"/>
                <w:szCs w:val="22"/>
              </w:rPr>
              <w:t xml:space="preserve"> 12</w:t>
            </w:r>
          </w:p>
        </w:tc>
        <w:tc>
          <w:tcPr>
            <w:tcW w:w="1449" w:type="dxa"/>
            <w:tcBorders>
              <w:top w:val="single" w:sz="4" w:space="0" w:color="B1B1B1"/>
              <w:left w:val="single" w:sz="4" w:space="0" w:color="B1B1B1"/>
              <w:bottom w:val="single" w:sz="4" w:space="0" w:color="B1B1B1"/>
              <w:right w:val="single" w:sz="4" w:space="0" w:color="B1B1B1"/>
            </w:tcBorders>
            <w:vAlign w:val="center"/>
          </w:tcPr>
          <w:p w14:paraId="43FC2359" w14:textId="77777777" w:rsidR="00F96911" w:rsidRDefault="00F96911" w:rsidP="00D51717">
            <w:pPr>
              <w:spacing w:line="200" w:lineRule="atLeast"/>
              <w:jc w:val="center"/>
              <w:rPr>
                <w:color w:val="000000"/>
                <w:sz w:val="22"/>
                <w:szCs w:val="22"/>
              </w:rPr>
            </w:pPr>
            <w:r>
              <w:rPr>
                <w:color w:val="000000"/>
                <w:sz w:val="22"/>
                <w:szCs w:val="22"/>
              </w:rPr>
              <w:t>12/05/2014</w:t>
            </w:r>
          </w:p>
        </w:tc>
        <w:tc>
          <w:tcPr>
            <w:tcW w:w="2318" w:type="dxa"/>
            <w:tcBorders>
              <w:top w:val="single" w:sz="4" w:space="0" w:color="B1B1B1"/>
              <w:left w:val="single" w:sz="4" w:space="0" w:color="B1B1B1"/>
              <w:bottom w:val="single" w:sz="4" w:space="0" w:color="B1B1B1"/>
              <w:right w:val="single" w:sz="4" w:space="0" w:color="B1B1B1"/>
            </w:tcBorders>
            <w:vAlign w:val="center"/>
          </w:tcPr>
          <w:p w14:paraId="3AE4EC6B"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7B4E8B9A"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0F4E7EC5" w14:textId="405CED20" w:rsidR="00F96911" w:rsidRDefault="00F96911" w:rsidP="00D51717">
            <w:pPr>
              <w:tabs>
                <w:tab w:val="decimal" w:pos="1430"/>
              </w:tabs>
              <w:spacing w:line="200" w:lineRule="atLeast"/>
              <w:rPr>
                <w:color w:val="000000"/>
                <w:sz w:val="22"/>
                <w:szCs w:val="22"/>
              </w:rPr>
            </w:pPr>
            <w:r>
              <w:rPr>
                <w:color w:val="000000"/>
                <w:sz w:val="22"/>
                <w:szCs w:val="22"/>
              </w:rPr>
              <w:t>9.91</w:t>
            </w:r>
          </w:p>
        </w:tc>
      </w:tr>
      <w:tr w:rsidR="00F96911" w14:paraId="41AA76E4"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39B58152" w14:textId="77777777" w:rsidR="00F96911" w:rsidRDefault="00F96911" w:rsidP="00D51717">
            <w:pPr>
              <w:spacing w:line="200" w:lineRule="atLeast"/>
              <w:jc w:val="center"/>
              <w:rPr>
                <w:color w:val="000000"/>
                <w:sz w:val="22"/>
                <w:szCs w:val="22"/>
              </w:rPr>
            </w:pPr>
            <w:r>
              <w:rPr>
                <w:color w:val="000000"/>
                <w:sz w:val="22"/>
                <w:szCs w:val="22"/>
              </w:rPr>
              <w:t xml:space="preserve"> 13</w:t>
            </w:r>
          </w:p>
        </w:tc>
        <w:tc>
          <w:tcPr>
            <w:tcW w:w="1449" w:type="dxa"/>
            <w:tcBorders>
              <w:top w:val="single" w:sz="4" w:space="0" w:color="B1B1B1"/>
              <w:left w:val="single" w:sz="4" w:space="0" w:color="B1B1B1"/>
              <w:bottom w:val="single" w:sz="4" w:space="0" w:color="B1B1B1"/>
              <w:right w:val="single" w:sz="4" w:space="0" w:color="B1B1B1"/>
            </w:tcBorders>
            <w:vAlign w:val="center"/>
          </w:tcPr>
          <w:p w14:paraId="032EFE16" w14:textId="77777777" w:rsidR="00F96911" w:rsidRDefault="00F96911" w:rsidP="00D51717">
            <w:pPr>
              <w:spacing w:line="200" w:lineRule="atLeast"/>
              <w:jc w:val="center"/>
              <w:rPr>
                <w:color w:val="000000"/>
                <w:sz w:val="22"/>
                <w:szCs w:val="22"/>
              </w:rPr>
            </w:pPr>
            <w:r>
              <w:rPr>
                <w:color w:val="000000"/>
                <w:sz w:val="22"/>
                <w:szCs w:val="22"/>
              </w:rPr>
              <w:t>06/08/2015</w:t>
            </w:r>
          </w:p>
        </w:tc>
        <w:tc>
          <w:tcPr>
            <w:tcW w:w="2318" w:type="dxa"/>
            <w:tcBorders>
              <w:top w:val="single" w:sz="4" w:space="0" w:color="B1B1B1"/>
              <w:left w:val="single" w:sz="4" w:space="0" w:color="B1B1B1"/>
              <w:bottom w:val="single" w:sz="4" w:space="0" w:color="B1B1B1"/>
              <w:right w:val="single" w:sz="4" w:space="0" w:color="B1B1B1"/>
            </w:tcBorders>
            <w:vAlign w:val="center"/>
          </w:tcPr>
          <w:p w14:paraId="3CD6368F"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00F7D802"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3F2676DB" w14:textId="77777777" w:rsidR="00F96911" w:rsidRDefault="00F96911" w:rsidP="00D51717">
            <w:pPr>
              <w:tabs>
                <w:tab w:val="decimal" w:pos="1430"/>
              </w:tabs>
              <w:spacing w:line="200" w:lineRule="atLeast"/>
              <w:rPr>
                <w:color w:val="000000"/>
                <w:sz w:val="22"/>
                <w:szCs w:val="22"/>
              </w:rPr>
            </w:pPr>
            <w:r>
              <w:rPr>
                <w:color w:val="000000"/>
                <w:sz w:val="22"/>
                <w:szCs w:val="22"/>
              </w:rPr>
              <w:t>10.19</w:t>
            </w:r>
          </w:p>
        </w:tc>
      </w:tr>
      <w:tr w:rsidR="00F96911" w14:paraId="5333E9BD"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439FEB22" w14:textId="77777777" w:rsidR="00F96911" w:rsidRDefault="00F96911" w:rsidP="00D51717">
            <w:pPr>
              <w:spacing w:line="200" w:lineRule="atLeast"/>
              <w:jc w:val="center"/>
              <w:rPr>
                <w:color w:val="000000"/>
                <w:sz w:val="22"/>
                <w:szCs w:val="22"/>
              </w:rPr>
            </w:pPr>
            <w:r>
              <w:rPr>
                <w:color w:val="000000"/>
                <w:sz w:val="22"/>
                <w:szCs w:val="22"/>
              </w:rPr>
              <w:t xml:space="preserve"> 14</w:t>
            </w:r>
          </w:p>
        </w:tc>
        <w:tc>
          <w:tcPr>
            <w:tcW w:w="1449" w:type="dxa"/>
            <w:tcBorders>
              <w:top w:val="single" w:sz="4" w:space="0" w:color="B1B1B1"/>
              <w:left w:val="single" w:sz="4" w:space="0" w:color="B1B1B1"/>
              <w:bottom w:val="single" w:sz="4" w:space="0" w:color="B1B1B1"/>
              <w:right w:val="single" w:sz="4" w:space="0" w:color="B1B1B1"/>
            </w:tcBorders>
            <w:vAlign w:val="center"/>
          </w:tcPr>
          <w:p w14:paraId="690C5D2D" w14:textId="77777777" w:rsidR="00F96911" w:rsidRDefault="00F96911" w:rsidP="00D51717">
            <w:pPr>
              <w:spacing w:line="200" w:lineRule="atLeast"/>
              <w:jc w:val="center"/>
              <w:rPr>
                <w:color w:val="000000"/>
                <w:sz w:val="22"/>
                <w:szCs w:val="22"/>
              </w:rPr>
            </w:pPr>
            <w:r>
              <w:rPr>
                <w:color w:val="000000"/>
                <w:sz w:val="22"/>
                <w:szCs w:val="22"/>
              </w:rPr>
              <w:t>12/11/2015</w:t>
            </w:r>
          </w:p>
        </w:tc>
        <w:tc>
          <w:tcPr>
            <w:tcW w:w="2318" w:type="dxa"/>
            <w:tcBorders>
              <w:top w:val="single" w:sz="4" w:space="0" w:color="B1B1B1"/>
              <w:left w:val="single" w:sz="4" w:space="0" w:color="B1B1B1"/>
              <w:bottom w:val="single" w:sz="4" w:space="0" w:color="B1B1B1"/>
              <w:right w:val="single" w:sz="4" w:space="0" w:color="B1B1B1"/>
            </w:tcBorders>
            <w:vAlign w:val="center"/>
          </w:tcPr>
          <w:p w14:paraId="1A5F81C8"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2318" w:type="dxa"/>
            <w:tcBorders>
              <w:top w:val="single" w:sz="4" w:space="0" w:color="B1B1B1"/>
              <w:left w:val="single" w:sz="4" w:space="0" w:color="B1B1B1"/>
              <w:bottom w:val="single" w:sz="4" w:space="0" w:color="B1B1B1"/>
              <w:right w:val="single" w:sz="4" w:space="0" w:color="B1B1B1"/>
            </w:tcBorders>
            <w:vAlign w:val="center"/>
          </w:tcPr>
          <w:p w14:paraId="5D02A7DA" w14:textId="77777777" w:rsidR="00F96911" w:rsidRDefault="00F96911" w:rsidP="00D51717">
            <w:pPr>
              <w:spacing w:line="200" w:lineRule="atLeast"/>
              <w:jc w:val="center"/>
              <w:rPr>
                <w:color w:val="000000"/>
                <w:sz w:val="22"/>
                <w:szCs w:val="22"/>
              </w:rPr>
            </w:pPr>
            <w:r>
              <w:rPr>
                <w:color w:val="000000"/>
                <w:sz w:val="22"/>
                <w:szCs w:val="22"/>
              </w:rPr>
              <w:t>Satisfactory</w:t>
            </w:r>
          </w:p>
        </w:tc>
        <w:tc>
          <w:tcPr>
            <w:tcW w:w="1969" w:type="dxa"/>
            <w:tcBorders>
              <w:top w:val="single" w:sz="4" w:space="0" w:color="B1B1B1"/>
              <w:left w:val="single" w:sz="4" w:space="0" w:color="B1B1B1"/>
              <w:bottom w:val="single" w:sz="4" w:space="0" w:color="B1B1B1"/>
              <w:right w:val="single" w:sz="4" w:space="0" w:color="B1B1B1"/>
            </w:tcBorders>
            <w:vAlign w:val="center"/>
          </w:tcPr>
          <w:p w14:paraId="49EE3A00" w14:textId="77777777" w:rsidR="00F96911" w:rsidRDefault="00F96911" w:rsidP="00D51717">
            <w:pPr>
              <w:tabs>
                <w:tab w:val="decimal" w:pos="1430"/>
              </w:tabs>
              <w:spacing w:line="200" w:lineRule="atLeast"/>
              <w:rPr>
                <w:color w:val="000000"/>
                <w:sz w:val="22"/>
                <w:szCs w:val="22"/>
              </w:rPr>
            </w:pPr>
            <w:r>
              <w:rPr>
                <w:color w:val="000000"/>
                <w:sz w:val="22"/>
                <w:szCs w:val="22"/>
              </w:rPr>
              <w:t>10.53</w:t>
            </w:r>
          </w:p>
        </w:tc>
      </w:tr>
      <w:tr w:rsidR="00F96911" w14:paraId="5FF1BBEA" w14:textId="77777777" w:rsidTr="005A4EF0">
        <w:tblPrEx>
          <w:tblCellSpacing w:w="0" w:type="nil"/>
          <w:tblCellMar>
            <w:top w:w="10" w:type="dxa"/>
            <w:left w:w="10" w:type="dxa"/>
            <w:bottom w:w="10" w:type="dxa"/>
            <w:right w:w="10" w:type="dxa"/>
          </w:tblCellMar>
        </w:tblPrEx>
        <w:tc>
          <w:tcPr>
            <w:tcW w:w="506" w:type="dxa"/>
            <w:tcBorders>
              <w:top w:val="single" w:sz="4" w:space="0" w:color="B1B1B1"/>
              <w:left w:val="single" w:sz="4" w:space="0" w:color="B1B1B1"/>
              <w:bottom w:val="single" w:sz="4" w:space="0" w:color="B1B1B1"/>
              <w:right w:val="single" w:sz="4" w:space="0" w:color="B1B1B1"/>
            </w:tcBorders>
            <w:vAlign w:val="center"/>
          </w:tcPr>
          <w:p w14:paraId="099AEC67" w14:textId="77777777" w:rsidR="00F96911" w:rsidRDefault="00F96911" w:rsidP="00D51717">
            <w:pPr>
              <w:spacing w:line="200" w:lineRule="atLeast"/>
              <w:jc w:val="center"/>
              <w:rPr>
                <w:color w:val="000000"/>
                <w:sz w:val="22"/>
                <w:szCs w:val="22"/>
              </w:rPr>
            </w:pPr>
            <w:r>
              <w:rPr>
                <w:color w:val="000000"/>
                <w:sz w:val="22"/>
                <w:szCs w:val="22"/>
              </w:rPr>
              <w:t xml:space="preserve"> </w:t>
            </w:r>
            <w:bookmarkStart w:id="74" w:name="ARCHISR_COL_1"/>
            <w:r>
              <w:rPr>
                <w:color w:val="000000"/>
                <w:sz w:val="22"/>
                <w:szCs w:val="22"/>
              </w:rPr>
              <w:t>15</w:t>
            </w:r>
            <w:bookmarkEnd w:id="74"/>
          </w:p>
        </w:tc>
        <w:tc>
          <w:tcPr>
            <w:tcW w:w="1449" w:type="dxa"/>
            <w:tcBorders>
              <w:top w:val="single" w:sz="4" w:space="0" w:color="B1B1B1"/>
              <w:left w:val="single" w:sz="4" w:space="0" w:color="B1B1B1"/>
              <w:bottom w:val="single" w:sz="4" w:space="0" w:color="B1B1B1"/>
              <w:right w:val="single" w:sz="4" w:space="0" w:color="B1B1B1"/>
            </w:tcBorders>
            <w:vAlign w:val="center"/>
          </w:tcPr>
          <w:p w14:paraId="176BDEBF" w14:textId="77777777" w:rsidR="00F96911" w:rsidRDefault="00F96911" w:rsidP="00D51717">
            <w:pPr>
              <w:spacing w:line="200" w:lineRule="atLeast"/>
              <w:jc w:val="center"/>
              <w:rPr>
                <w:color w:val="000000"/>
                <w:sz w:val="22"/>
                <w:szCs w:val="22"/>
              </w:rPr>
            </w:pPr>
            <w:bookmarkStart w:id="75" w:name="ARCHISR_COL_2"/>
            <w:r>
              <w:rPr>
                <w:color w:val="000000"/>
                <w:sz w:val="22"/>
                <w:szCs w:val="22"/>
              </w:rPr>
              <w:t>03/22/2016</w:t>
            </w:r>
            <w:bookmarkEnd w:id="75"/>
          </w:p>
        </w:tc>
        <w:tc>
          <w:tcPr>
            <w:tcW w:w="2318" w:type="dxa"/>
            <w:tcBorders>
              <w:top w:val="single" w:sz="4" w:space="0" w:color="B1B1B1"/>
              <w:left w:val="single" w:sz="4" w:space="0" w:color="B1B1B1"/>
              <w:bottom w:val="single" w:sz="4" w:space="0" w:color="B1B1B1"/>
              <w:right w:val="single" w:sz="4" w:space="0" w:color="B1B1B1"/>
            </w:tcBorders>
            <w:vAlign w:val="center"/>
          </w:tcPr>
          <w:p w14:paraId="204D0920" w14:textId="77777777" w:rsidR="00F96911" w:rsidRDefault="00F96911" w:rsidP="00D51717">
            <w:pPr>
              <w:spacing w:line="200" w:lineRule="atLeast"/>
              <w:jc w:val="center"/>
              <w:rPr>
                <w:color w:val="000000"/>
                <w:sz w:val="22"/>
                <w:szCs w:val="22"/>
              </w:rPr>
            </w:pPr>
            <w:bookmarkStart w:id="76" w:name="ARCHISR_COL_3"/>
            <w:r>
              <w:rPr>
                <w:color w:val="000000"/>
                <w:sz w:val="22"/>
                <w:szCs w:val="22"/>
              </w:rPr>
              <w:t>Satisfactory</w:t>
            </w:r>
            <w:bookmarkEnd w:id="76"/>
          </w:p>
        </w:tc>
        <w:tc>
          <w:tcPr>
            <w:tcW w:w="2318" w:type="dxa"/>
            <w:tcBorders>
              <w:top w:val="single" w:sz="4" w:space="0" w:color="B1B1B1"/>
              <w:left w:val="single" w:sz="4" w:space="0" w:color="B1B1B1"/>
              <w:bottom w:val="single" w:sz="4" w:space="0" w:color="B1B1B1"/>
              <w:right w:val="single" w:sz="4" w:space="0" w:color="B1B1B1"/>
            </w:tcBorders>
            <w:vAlign w:val="center"/>
          </w:tcPr>
          <w:p w14:paraId="4663CBE5" w14:textId="77777777" w:rsidR="00F96911" w:rsidRDefault="00F96911" w:rsidP="00D51717">
            <w:pPr>
              <w:spacing w:line="200" w:lineRule="atLeast"/>
              <w:jc w:val="center"/>
              <w:rPr>
                <w:color w:val="000000"/>
                <w:sz w:val="22"/>
                <w:szCs w:val="22"/>
              </w:rPr>
            </w:pPr>
            <w:bookmarkStart w:id="77" w:name="ARCHISR_COL_4"/>
            <w:r>
              <w:rPr>
                <w:color w:val="000000"/>
                <w:sz w:val="22"/>
                <w:szCs w:val="22"/>
              </w:rPr>
              <w:t>Satisfactory</w:t>
            </w:r>
            <w:bookmarkEnd w:id="77"/>
          </w:p>
        </w:tc>
        <w:tc>
          <w:tcPr>
            <w:tcW w:w="1969" w:type="dxa"/>
            <w:tcBorders>
              <w:top w:val="single" w:sz="4" w:space="0" w:color="B1B1B1"/>
              <w:left w:val="single" w:sz="4" w:space="0" w:color="B1B1B1"/>
              <w:bottom w:val="single" w:sz="4" w:space="0" w:color="B1B1B1"/>
              <w:right w:val="single" w:sz="4" w:space="0" w:color="B1B1B1"/>
            </w:tcBorders>
            <w:vAlign w:val="center"/>
          </w:tcPr>
          <w:p w14:paraId="7D91DDAA" w14:textId="17F4C7B1" w:rsidR="00F96911" w:rsidRDefault="00872829" w:rsidP="00D51717">
            <w:pPr>
              <w:tabs>
                <w:tab w:val="decimal" w:pos="1430"/>
              </w:tabs>
              <w:spacing w:line="200" w:lineRule="atLeast"/>
              <w:rPr>
                <w:color w:val="000000"/>
                <w:sz w:val="22"/>
                <w:szCs w:val="22"/>
              </w:rPr>
            </w:pPr>
            <w:r>
              <w:rPr>
                <w:color w:val="000000"/>
                <w:sz w:val="22"/>
                <w:szCs w:val="22"/>
              </w:rPr>
              <w:t>10.53</w:t>
            </w:r>
          </w:p>
        </w:tc>
      </w:tr>
    </w:tbl>
    <w:p w14:paraId="57C2F545" w14:textId="77777777" w:rsidR="00F96911" w:rsidRDefault="00F96911" w:rsidP="00F96911">
      <w:bookmarkStart w:id="78" w:name="ARCHISR"/>
      <w:bookmarkEnd w:id="78"/>
    </w:p>
    <w:p w14:paraId="0F80E2FE" w14:textId="77777777" w:rsidR="005A4EF0" w:rsidRDefault="005A4EF0" w:rsidP="00F96911"/>
    <w:p w14:paraId="29545EC4" w14:textId="77777777" w:rsidR="008D3475" w:rsidRDefault="008D3475" w:rsidP="00F96911"/>
    <w:p w14:paraId="12368A77" w14:textId="77777777" w:rsidR="008D3475" w:rsidRDefault="008D3475" w:rsidP="00F96911"/>
    <w:p w14:paraId="516AB053" w14:textId="77777777" w:rsidR="008D3475" w:rsidRDefault="008D3475" w:rsidP="00F96911"/>
    <w:tbl>
      <w:tblPr>
        <w:tblW w:w="5000" w:type="pct"/>
        <w:tblCellSpacing w:w="7" w:type="dxa"/>
        <w:tblCellMar>
          <w:left w:w="0" w:type="dxa"/>
          <w:right w:w="0" w:type="dxa"/>
        </w:tblCellMar>
        <w:tblLook w:val="0000" w:firstRow="0" w:lastRow="0" w:firstColumn="0" w:lastColumn="0" w:noHBand="0" w:noVBand="0"/>
      </w:tblPr>
      <w:tblGrid>
        <w:gridCol w:w="8640"/>
      </w:tblGrid>
      <w:tr w:rsidR="00F96911" w14:paraId="3822AF20" w14:textId="77777777" w:rsidTr="00D51717">
        <w:trPr>
          <w:tblCellSpacing w:w="7" w:type="dxa"/>
        </w:trPr>
        <w:tc>
          <w:tcPr>
            <w:tcW w:w="0" w:type="auto"/>
            <w:vAlign w:val="center"/>
          </w:tcPr>
          <w:p w14:paraId="0739313D" w14:textId="77777777" w:rsidR="00F96911" w:rsidRDefault="00F96911" w:rsidP="00D51717">
            <w:pPr>
              <w:pStyle w:val="Heading2"/>
              <w:keepNext/>
              <w:keepLines/>
            </w:pPr>
            <w:r>
              <w:lastRenderedPageBreak/>
              <w:t xml:space="preserve">H. Restructuring (if any) </w:t>
            </w:r>
          </w:p>
        </w:tc>
      </w:tr>
    </w:tbl>
    <w:p w14:paraId="25A540C8" w14:textId="77777777" w:rsidR="00F96911" w:rsidRDefault="00F96911" w:rsidP="00F96911"/>
    <w:tbl>
      <w:tblPr>
        <w:tblStyle w:val="TableGrid"/>
        <w:tblW w:w="0" w:type="auto"/>
        <w:tblLayout w:type="fixed"/>
        <w:tblLook w:val="04A0" w:firstRow="1" w:lastRow="0" w:firstColumn="1" w:lastColumn="0" w:noHBand="0" w:noVBand="1"/>
      </w:tblPr>
      <w:tblGrid>
        <w:gridCol w:w="1435"/>
        <w:gridCol w:w="900"/>
        <w:gridCol w:w="810"/>
        <w:gridCol w:w="540"/>
        <w:gridCol w:w="1440"/>
        <w:gridCol w:w="3505"/>
      </w:tblGrid>
      <w:tr w:rsidR="00F96911" w14:paraId="1EA88D04" w14:textId="77777777" w:rsidTr="00D51717">
        <w:tc>
          <w:tcPr>
            <w:tcW w:w="1435" w:type="dxa"/>
            <w:vMerge w:val="restart"/>
          </w:tcPr>
          <w:p w14:paraId="4FB3108C" w14:textId="77777777" w:rsidR="00F96911" w:rsidRPr="007F7470" w:rsidRDefault="00F96911" w:rsidP="00D51717">
            <w:pPr>
              <w:spacing w:line="200" w:lineRule="atLeast"/>
              <w:rPr>
                <w:color w:val="000000"/>
                <w:sz w:val="20"/>
                <w:szCs w:val="20"/>
              </w:rPr>
            </w:pPr>
            <w:bookmarkStart w:id="79" w:name="RESTRUCTURING_DATES"/>
            <w:bookmarkEnd w:id="79"/>
            <w:r w:rsidRPr="007F7470">
              <w:rPr>
                <w:color w:val="000000"/>
                <w:sz w:val="20"/>
                <w:szCs w:val="20"/>
              </w:rPr>
              <w:t>Restructuring Dates</w:t>
            </w:r>
          </w:p>
        </w:tc>
        <w:tc>
          <w:tcPr>
            <w:tcW w:w="900" w:type="dxa"/>
            <w:vMerge w:val="restart"/>
          </w:tcPr>
          <w:p w14:paraId="238EA72C" w14:textId="77777777" w:rsidR="00F96911" w:rsidRPr="007F7470" w:rsidRDefault="00F96911" w:rsidP="00D51717">
            <w:pPr>
              <w:spacing w:line="200" w:lineRule="atLeast"/>
              <w:rPr>
                <w:color w:val="000000"/>
                <w:sz w:val="20"/>
                <w:szCs w:val="20"/>
              </w:rPr>
            </w:pPr>
            <w:r w:rsidRPr="007F7470">
              <w:rPr>
                <w:color w:val="000000"/>
                <w:sz w:val="20"/>
                <w:szCs w:val="20"/>
              </w:rPr>
              <w:t>Board Approved PDO Change</w:t>
            </w:r>
          </w:p>
        </w:tc>
        <w:tc>
          <w:tcPr>
            <w:tcW w:w="1350" w:type="dxa"/>
            <w:gridSpan w:val="2"/>
          </w:tcPr>
          <w:p w14:paraId="32B0146F" w14:textId="77777777" w:rsidR="00F96911" w:rsidRPr="007F7470" w:rsidRDefault="00F96911" w:rsidP="00D51717">
            <w:pPr>
              <w:spacing w:line="200" w:lineRule="atLeast"/>
              <w:rPr>
                <w:color w:val="000000"/>
                <w:sz w:val="20"/>
                <w:szCs w:val="20"/>
              </w:rPr>
            </w:pPr>
            <w:r w:rsidRPr="007F7470">
              <w:rPr>
                <w:color w:val="000000"/>
                <w:sz w:val="20"/>
                <w:szCs w:val="20"/>
              </w:rPr>
              <w:t>ISR Ratings at Restructuring</w:t>
            </w:r>
          </w:p>
        </w:tc>
        <w:tc>
          <w:tcPr>
            <w:tcW w:w="1440" w:type="dxa"/>
            <w:vMerge w:val="restart"/>
          </w:tcPr>
          <w:p w14:paraId="280CAACF" w14:textId="77777777" w:rsidR="00F96911" w:rsidRPr="007F7470" w:rsidRDefault="00F96911" w:rsidP="00D51717">
            <w:pPr>
              <w:spacing w:line="200" w:lineRule="atLeast"/>
              <w:rPr>
                <w:color w:val="000000"/>
                <w:sz w:val="20"/>
                <w:szCs w:val="20"/>
              </w:rPr>
            </w:pPr>
            <w:r w:rsidRPr="007F7470">
              <w:rPr>
                <w:color w:val="000000"/>
                <w:sz w:val="20"/>
                <w:szCs w:val="20"/>
              </w:rPr>
              <w:t>Amount Disbursed at Restructuring in USD millions</w:t>
            </w:r>
          </w:p>
        </w:tc>
        <w:tc>
          <w:tcPr>
            <w:tcW w:w="3505" w:type="dxa"/>
            <w:vMerge w:val="restart"/>
          </w:tcPr>
          <w:p w14:paraId="0901A1CB" w14:textId="77777777" w:rsidR="00F96911" w:rsidRPr="007F7470" w:rsidRDefault="00F96911" w:rsidP="00D51717">
            <w:pPr>
              <w:spacing w:line="200" w:lineRule="atLeast"/>
              <w:rPr>
                <w:color w:val="000000"/>
                <w:sz w:val="20"/>
                <w:szCs w:val="20"/>
              </w:rPr>
            </w:pPr>
            <w:r w:rsidRPr="007F7470">
              <w:rPr>
                <w:color w:val="000000"/>
                <w:sz w:val="20"/>
                <w:szCs w:val="20"/>
              </w:rPr>
              <w:t>Reason for Restructuring &amp; Key Changes Made</w:t>
            </w:r>
          </w:p>
        </w:tc>
      </w:tr>
      <w:tr w:rsidR="00F96911" w14:paraId="1E0C75B2" w14:textId="77777777" w:rsidTr="00D51717">
        <w:tc>
          <w:tcPr>
            <w:tcW w:w="1435" w:type="dxa"/>
            <w:vMerge/>
          </w:tcPr>
          <w:p w14:paraId="433682A2" w14:textId="77777777" w:rsidR="00F96911" w:rsidRPr="00BF1183" w:rsidRDefault="00F96911" w:rsidP="00D51717">
            <w:pPr>
              <w:spacing w:line="200" w:lineRule="atLeast"/>
              <w:rPr>
                <w:color w:val="000000"/>
                <w:sz w:val="22"/>
                <w:szCs w:val="22"/>
              </w:rPr>
            </w:pPr>
          </w:p>
        </w:tc>
        <w:tc>
          <w:tcPr>
            <w:tcW w:w="900" w:type="dxa"/>
            <w:vMerge/>
          </w:tcPr>
          <w:p w14:paraId="1D3E52D3" w14:textId="77777777" w:rsidR="00F96911" w:rsidRPr="00BF1183" w:rsidRDefault="00F96911" w:rsidP="00D51717">
            <w:pPr>
              <w:spacing w:line="200" w:lineRule="atLeast"/>
              <w:rPr>
                <w:color w:val="000000"/>
                <w:sz w:val="22"/>
                <w:szCs w:val="22"/>
              </w:rPr>
            </w:pPr>
          </w:p>
        </w:tc>
        <w:tc>
          <w:tcPr>
            <w:tcW w:w="810" w:type="dxa"/>
          </w:tcPr>
          <w:p w14:paraId="7AFC378C" w14:textId="77777777" w:rsidR="00F96911" w:rsidRPr="007F7470" w:rsidRDefault="00F96911" w:rsidP="00D51717">
            <w:pPr>
              <w:spacing w:line="200" w:lineRule="atLeast"/>
              <w:rPr>
                <w:color w:val="000000"/>
                <w:sz w:val="20"/>
                <w:szCs w:val="20"/>
              </w:rPr>
            </w:pPr>
            <w:r w:rsidRPr="007F7470">
              <w:rPr>
                <w:color w:val="000000"/>
                <w:sz w:val="20"/>
                <w:szCs w:val="20"/>
              </w:rPr>
              <w:t>DO</w:t>
            </w:r>
          </w:p>
        </w:tc>
        <w:tc>
          <w:tcPr>
            <w:tcW w:w="540" w:type="dxa"/>
          </w:tcPr>
          <w:p w14:paraId="38EC0054" w14:textId="77777777" w:rsidR="00F96911" w:rsidRPr="007F7470" w:rsidRDefault="00F96911" w:rsidP="00D51717">
            <w:pPr>
              <w:spacing w:line="200" w:lineRule="atLeast"/>
              <w:rPr>
                <w:color w:val="000000"/>
                <w:sz w:val="20"/>
                <w:szCs w:val="20"/>
              </w:rPr>
            </w:pPr>
            <w:r w:rsidRPr="007F7470">
              <w:rPr>
                <w:color w:val="000000"/>
                <w:sz w:val="20"/>
                <w:szCs w:val="20"/>
              </w:rPr>
              <w:t>IP</w:t>
            </w:r>
          </w:p>
        </w:tc>
        <w:tc>
          <w:tcPr>
            <w:tcW w:w="1440" w:type="dxa"/>
            <w:vMerge/>
          </w:tcPr>
          <w:p w14:paraId="50D563C4" w14:textId="77777777" w:rsidR="00F96911" w:rsidRPr="00BF1183" w:rsidRDefault="00F96911" w:rsidP="00D51717">
            <w:pPr>
              <w:spacing w:line="200" w:lineRule="atLeast"/>
              <w:rPr>
                <w:color w:val="000000"/>
                <w:sz w:val="22"/>
                <w:szCs w:val="22"/>
              </w:rPr>
            </w:pPr>
          </w:p>
        </w:tc>
        <w:tc>
          <w:tcPr>
            <w:tcW w:w="3505" w:type="dxa"/>
            <w:vMerge/>
          </w:tcPr>
          <w:p w14:paraId="25613A76" w14:textId="77777777" w:rsidR="00F96911" w:rsidRPr="00BF1183" w:rsidRDefault="00F96911" w:rsidP="00D51717">
            <w:pPr>
              <w:spacing w:line="200" w:lineRule="atLeast"/>
              <w:rPr>
                <w:color w:val="000000"/>
                <w:sz w:val="22"/>
                <w:szCs w:val="22"/>
              </w:rPr>
            </w:pPr>
          </w:p>
        </w:tc>
      </w:tr>
      <w:tr w:rsidR="00F96911" w14:paraId="272A5848" w14:textId="77777777" w:rsidTr="00D51717">
        <w:tc>
          <w:tcPr>
            <w:tcW w:w="1435" w:type="dxa"/>
          </w:tcPr>
          <w:p w14:paraId="5F0BE350" w14:textId="77777777" w:rsidR="00F96911" w:rsidRPr="00BF1183" w:rsidRDefault="00F96911" w:rsidP="00D51717">
            <w:pPr>
              <w:spacing w:line="200" w:lineRule="atLeast"/>
              <w:rPr>
                <w:color w:val="000000"/>
                <w:sz w:val="22"/>
                <w:szCs w:val="22"/>
              </w:rPr>
            </w:pPr>
            <w:r w:rsidRPr="00BF1183">
              <w:rPr>
                <w:color w:val="000000"/>
                <w:sz w:val="22"/>
                <w:szCs w:val="22"/>
              </w:rPr>
              <w:t>Level 2</w:t>
            </w:r>
          </w:p>
          <w:p w14:paraId="661C4FFF" w14:textId="77777777" w:rsidR="00F96911" w:rsidRPr="00BF1183" w:rsidRDefault="00F96911" w:rsidP="00D51717">
            <w:pPr>
              <w:spacing w:line="200" w:lineRule="atLeast"/>
              <w:rPr>
                <w:color w:val="000000"/>
                <w:sz w:val="22"/>
                <w:szCs w:val="22"/>
              </w:rPr>
            </w:pPr>
            <w:r w:rsidRPr="00BF1183">
              <w:rPr>
                <w:color w:val="000000"/>
                <w:sz w:val="22"/>
                <w:szCs w:val="22"/>
              </w:rPr>
              <w:t>June 2008</w:t>
            </w:r>
          </w:p>
        </w:tc>
        <w:tc>
          <w:tcPr>
            <w:tcW w:w="900" w:type="dxa"/>
          </w:tcPr>
          <w:p w14:paraId="6735E4F7" w14:textId="77777777" w:rsidR="00F96911" w:rsidRPr="00BF1183" w:rsidRDefault="00F96911" w:rsidP="00D51717">
            <w:pPr>
              <w:spacing w:line="200" w:lineRule="atLeast"/>
              <w:rPr>
                <w:color w:val="000000"/>
                <w:sz w:val="22"/>
                <w:szCs w:val="22"/>
              </w:rPr>
            </w:pPr>
            <w:r w:rsidRPr="00AD0349">
              <w:rPr>
                <w:sz w:val="20"/>
                <w:szCs w:val="20"/>
              </w:rPr>
              <w:t>No</w:t>
            </w:r>
          </w:p>
        </w:tc>
        <w:tc>
          <w:tcPr>
            <w:tcW w:w="810" w:type="dxa"/>
          </w:tcPr>
          <w:p w14:paraId="199DD730" w14:textId="77777777" w:rsidR="00F96911" w:rsidRPr="00BF1183" w:rsidRDefault="00F96911" w:rsidP="00D51717">
            <w:pPr>
              <w:spacing w:line="200" w:lineRule="atLeast"/>
              <w:rPr>
                <w:color w:val="000000"/>
                <w:sz w:val="22"/>
                <w:szCs w:val="22"/>
              </w:rPr>
            </w:pPr>
            <w:r>
              <w:rPr>
                <w:color w:val="000000"/>
                <w:sz w:val="22"/>
                <w:szCs w:val="22"/>
              </w:rPr>
              <w:t>S</w:t>
            </w:r>
          </w:p>
        </w:tc>
        <w:tc>
          <w:tcPr>
            <w:tcW w:w="540" w:type="dxa"/>
          </w:tcPr>
          <w:p w14:paraId="5754FECA" w14:textId="77777777" w:rsidR="00F96911" w:rsidRPr="00BF1183" w:rsidRDefault="00F96911" w:rsidP="00D51717">
            <w:pPr>
              <w:spacing w:line="200" w:lineRule="atLeast"/>
              <w:rPr>
                <w:color w:val="000000"/>
                <w:sz w:val="22"/>
                <w:szCs w:val="22"/>
              </w:rPr>
            </w:pPr>
            <w:r>
              <w:rPr>
                <w:color w:val="000000"/>
                <w:sz w:val="22"/>
                <w:szCs w:val="22"/>
              </w:rPr>
              <w:t>S</w:t>
            </w:r>
          </w:p>
        </w:tc>
        <w:tc>
          <w:tcPr>
            <w:tcW w:w="1440" w:type="dxa"/>
          </w:tcPr>
          <w:p w14:paraId="72BF679E" w14:textId="77777777" w:rsidR="00F96911" w:rsidRPr="00BF1183" w:rsidRDefault="00F96911" w:rsidP="00D51717">
            <w:pPr>
              <w:spacing w:line="200" w:lineRule="atLeast"/>
              <w:rPr>
                <w:color w:val="000000"/>
                <w:sz w:val="22"/>
                <w:szCs w:val="22"/>
              </w:rPr>
            </w:pPr>
            <w:r>
              <w:rPr>
                <w:color w:val="000000"/>
                <w:sz w:val="22"/>
                <w:szCs w:val="22"/>
              </w:rPr>
              <w:t>XDR 0.87M</w:t>
            </w:r>
          </w:p>
        </w:tc>
        <w:tc>
          <w:tcPr>
            <w:tcW w:w="3505" w:type="dxa"/>
          </w:tcPr>
          <w:p w14:paraId="33F7093E" w14:textId="77777777" w:rsidR="00F96911" w:rsidRPr="00BF1183" w:rsidRDefault="00F96911" w:rsidP="00D51717">
            <w:pPr>
              <w:spacing w:line="200" w:lineRule="atLeast"/>
              <w:rPr>
                <w:color w:val="000000"/>
                <w:sz w:val="22"/>
                <w:szCs w:val="22"/>
              </w:rPr>
            </w:pPr>
            <w:r w:rsidRPr="00BF1183">
              <w:rPr>
                <w:color w:val="000000"/>
                <w:sz w:val="22"/>
                <w:szCs w:val="22"/>
              </w:rPr>
              <w:t>Allowed completion of a 4th insurance cycle and addition of a fourth Aimag</w:t>
            </w:r>
            <w:r>
              <w:rPr>
                <w:color w:val="000000"/>
                <w:sz w:val="22"/>
                <w:szCs w:val="22"/>
              </w:rPr>
              <w:t xml:space="preserve">; extension of closing date to 06/30/2011 </w:t>
            </w:r>
          </w:p>
        </w:tc>
      </w:tr>
      <w:tr w:rsidR="00F96911" w14:paraId="3B185BC8" w14:textId="77777777" w:rsidTr="00D51717">
        <w:tc>
          <w:tcPr>
            <w:tcW w:w="1435" w:type="dxa"/>
          </w:tcPr>
          <w:p w14:paraId="1E8983F2" w14:textId="77777777" w:rsidR="00F96911" w:rsidRPr="00BF1183" w:rsidRDefault="00F96911" w:rsidP="00D51717">
            <w:pPr>
              <w:spacing w:line="200" w:lineRule="atLeast"/>
              <w:rPr>
                <w:color w:val="000000"/>
                <w:sz w:val="22"/>
                <w:szCs w:val="22"/>
              </w:rPr>
            </w:pPr>
            <w:r w:rsidRPr="00BF1183">
              <w:rPr>
                <w:color w:val="000000"/>
                <w:sz w:val="22"/>
                <w:szCs w:val="22"/>
              </w:rPr>
              <w:t>Level 2</w:t>
            </w:r>
          </w:p>
          <w:p w14:paraId="1C97A0D3" w14:textId="77777777" w:rsidR="00F96911" w:rsidRPr="00BF1183" w:rsidRDefault="00F96911" w:rsidP="00D51717">
            <w:pPr>
              <w:spacing w:line="200" w:lineRule="atLeast"/>
              <w:rPr>
                <w:color w:val="000000"/>
                <w:sz w:val="22"/>
                <w:szCs w:val="22"/>
              </w:rPr>
            </w:pPr>
            <w:r w:rsidRPr="00BF1183">
              <w:rPr>
                <w:color w:val="000000"/>
                <w:sz w:val="22"/>
                <w:szCs w:val="22"/>
              </w:rPr>
              <w:t>March 12, 2009</w:t>
            </w:r>
          </w:p>
        </w:tc>
        <w:tc>
          <w:tcPr>
            <w:tcW w:w="900" w:type="dxa"/>
          </w:tcPr>
          <w:p w14:paraId="00018431" w14:textId="77777777" w:rsidR="00F96911" w:rsidRPr="00BF1183" w:rsidRDefault="00F96911" w:rsidP="00D51717">
            <w:pPr>
              <w:spacing w:line="200" w:lineRule="atLeast"/>
              <w:rPr>
                <w:color w:val="000000"/>
                <w:sz w:val="22"/>
                <w:szCs w:val="22"/>
              </w:rPr>
            </w:pPr>
            <w:r w:rsidRPr="00AD0349">
              <w:rPr>
                <w:sz w:val="20"/>
                <w:szCs w:val="20"/>
              </w:rPr>
              <w:t>No</w:t>
            </w:r>
          </w:p>
        </w:tc>
        <w:tc>
          <w:tcPr>
            <w:tcW w:w="810" w:type="dxa"/>
          </w:tcPr>
          <w:p w14:paraId="5538EE7E" w14:textId="77777777" w:rsidR="00F96911" w:rsidRPr="00BF1183" w:rsidRDefault="00F96911" w:rsidP="00D51717">
            <w:pPr>
              <w:spacing w:line="200" w:lineRule="atLeast"/>
              <w:rPr>
                <w:color w:val="000000"/>
                <w:sz w:val="22"/>
                <w:szCs w:val="22"/>
              </w:rPr>
            </w:pPr>
            <w:r w:rsidRPr="009E5F13">
              <w:rPr>
                <w:color w:val="000000"/>
                <w:sz w:val="22"/>
                <w:szCs w:val="22"/>
              </w:rPr>
              <w:t>S</w:t>
            </w:r>
            <w:r w:rsidRPr="009E5F13">
              <w:rPr>
                <w:color w:val="000000"/>
                <w:sz w:val="22"/>
                <w:szCs w:val="22"/>
              </w:rPr>
              <w:tab/>
            </w:r>
          </w:p>
        </w:tc>
        <w:tc>
          <w:tcPr>
            <w:tcW w:w="540" w:type="dxa"/>
          </w:tcPr>
          <w:p w14:paraId="04223570" w14:textId="77777777" w:rsidR="00F96911" w:rsidRPr="00BF1183" w:rsidRDefault="00F96911" w:rsidP="00D51717">
            <w:pPr>
              <w:spacing w:line="200" w:lineRule="atLeast"/>
              <w:rPr>
                <w:color w:val="000000"/>
                <w:sz w:val="22"/>
                <w:szCs w:val="22"/>
              </w:rPr>
            </w:pPr>
            <w:r>
              <w:rPr>
                <w:color w:val="000000"/>
                <w:sz w:val="22"/>
                <w:szCs w:val="22"/>
              </w:rPr>
              <w:t>S</w:t>
            </w:r>
          </w:p>
        </w:tc>
        <w:tc>
          <w:tcPr>
            <w:tcW w:w="1440" w:type="dxa"/>
          </w:tcPr>
          <w:p w14:paraId="2F68CCF9" w14:textId="77777777" w:rsidR="00F96911" w:rsidRPr="00BF1183" w:rsidRDefault="00F96911" w:rsidP="00D51717">
            <w:pPr>
              <w:spacing w:line="200" w:lineRule="atLeast"/>
              <w:rPr>
                <w:color w:val="000000"/>
                <w:sz w:val="22"/>
                <w:szCs w:val="22"/>
              </w:rPr>
            </w:pPr>
            <w:r>
              <w:rPr>
                <w:color w:val="000000"/>
                <w:sz w:val="22"/>
                <w:szCs w:val="22"/>
              </w:rPr>
              <w:t>XDR 1.28M</w:t>
            </w:r>
          </w:p>
        </w:tc>
        <w:tc>
          <w:tcPr>
            <w:tcW w:w="3505" w:type="dxa"/>
          </w:tcPr>
          <w:p w14:paraId="628C4AA4" w14:textId="77777777" w:rsidR="00F96911" w:rsidRPr="00BF1183" w:rsidRDefault="00F96911" w:rsidP="00D51717">
            <w:pPr>
              <w:spacing w:line="200" w:lineRule="atLeast"/>
              <w:rPr>
                <w:color w:val="000000"/>
                <w:sz w:val="22"/>
                <w:szCs w:val="22"/>
              </w:rPr>
            </w:pPr>
            <w:r>
              <w:rPr>
                <w:color w:val="000000"/>
                <w:sz w:val="22"/>
                <w:szCs w:val="22"/>
              </w:rPr>
              <w:t>t</w:t>
            </w:r>
            <w:r w:rsidRPr="00BF1183">
              <w:rPr>
                <w:color w:val="000000"/>
                <w:sz w:val="22"/>
                <w:szCs w:val="22"/>
              </w:rPr>
              <w:t>ook over FIRST which disbursed US$0.25m then was cancelled for administrative reasons</w:t>
            </w:r>
            <w:r>
              <w:rPr>
                <w:color w:val="000000"/>
                <w:sz w:val="22"/>
                <w:szCs w:val="22"/>
              </w:rPr>
              <w:t>; AF of SDC US$0.61 m</w:t>
            </w:r>
          </w:p>
        </w:tc>
      </w:tr>
      <w:tr w:rsidR="00F96911" w14:paraId="606A1B5B" w14:textId="77777777" w:rsidTr="00D51717">
        <w:trPr>
          <w:trHeight w:val="62"/>
        </w:trPr>
        <w:tc>
          <w:tcPr>
            <w:tcW w:w="1435" w:type="dxa"/>
          </w:tcPr>
          <w:p w14:paraId="3085D835" w14:textId="77777777" w:rsidR="00F96911" w:rsidRPr="00315DA5" w:rsidRDefault="00F96911" w:rsidP="00D51717">
            <w:pPr>
              <w:spacing w:line="200" w:lineRule="atLeast"/>
              <w:rPr>
                <w:color w:val="000000"/>
                <w:sz w:val="22"/>
                <w:szCs w:val="22"/>
              </w:rPr>
            </w:pPr>
            <w:r w:rsidRPr="00315DA5">
              <w:rPr>
                <w:color w:val="000000"/>
                <w:sz w:val="22"/>
                <w:szCs w:val="22"/>
              </w:rPr>
              <w:t>Level 2</w:t>
            </w:r>
          </w:p>
          <w:p w14:paraId="19C426D9" w14:textId="77777777" w:rsidR="00F96911" w:rsidRPr="00BF1183" w:rsidRDefault="00F96911" w:rsidP="00D51717">
            <w:pPr>
              <w:spacing w:line="200" w:lineRule="atLeast"/>
              <w:rPr>
                <w:color w:val="000000"/>
                <w:sz w:val="22"/>
                <w:szCs w:val="22"/>
              </w:rPr>
            </w:pPr>
            <w:r w:rsidRPr="00315DA5">
              <w:rPr>
                <w:color w:val="000000"/>
                <w:sz w:val="22"/>
                <w:szCs w:val="22"/>
              </w:rPr>
              <w:t>July 17, 2009</w:t>
            </w:r>
          </w:p>
        </w:tc>
        <w:tc>
          <w:tcPr>
            <w:tcW w:w="900" w:type="dxa"/>
          </w:tcPr>
          <w:p w14:paraId="15131226" w14:textId="77777777" w:rsidR="00F96911" w:rsidRPr="00BF1183" w:rsidRDefault="00F96911" w:rsidP="00D51717">
            <w:pPr>
              <w:spacing w:line="200" w:lineRule="atLeast"/>
              <w:rPr>
                <w:color w:val="000000"/>
                <w:sz w:val="22"/>
                <w:szCs w:val="22"/>
              </w:rPr>
            </w:pPr>
            <w:r w:rsidRPr="00AD0349">
              <w:rPr>
                <w:sz w:val="20"/>
                <w:szCs w:val="20"/>
              </w:rPr>
              <w:t>No</w:t>
            </w:r>
          </w:p>
        </w:tc>
        <w:tc>
          <w:tcPr>
            <w:tcW w:w="810" w:type="dxa"/>
          </w:tcPr>
          <w:p w14:paraId="17AC01F1" w14:textId="77777777" w:rsidR="00F96911" w:rsidRPr="00BF1183" w:rsidRDefault="00F96911" w:rsidP="00D51717">
            <w:pPr>
              <w:spacing w:line="200" w:lineRule="atLeast"/>
              <w:rPr>
                <w:color w:val="000000"/>
                <w:sz w:val="22"/>
                <w:szCs w:val="22"/>
              </w:rPr>
            </w:pPr>
            <w:r w:rsidRPr="00EF70A3">
              <w:t>S</w:t>
            </w:r>
          </w:p>
        </w:tc>
        <w:tc>
          <w:tcPr>
            <w:tcW w:w="540" w:type="dxa"/>
          </w:tcPr>
          <w:p w14:paraId="3CD32EA0" w14:textId="77777777" w:rsidR="00F96911" w:rsidRPr="00BF1183" w:rsidRDefault="00F96911" w:rsidP="00D51717">
            <w:pPr>
              <w:spacing w:line="200" w:lineRule="atLeast"/>
              <w:rPr>
                <w:color w:val="000000"/>
                <w:sz w:val="22"/>
                <w:szCs w:val="22"/>
              </w:rPr>
            </w:pPr>
            <w:r w:rsidRPr="009E5F13">
              <w:rPr>
                <w:color w:val="000000"/>
                <w:sz w:val="22"/>
                <w:szCs w:val="22"/>
              </w:rPr>
              <w:t>S</w:t>
            </w:r>
          </w:p>
        </w:tc>
        <w:tc>
          <w:tcPr>
            <w:tcW w:w="1440" w:type="dxa"/>
          </w:tcPr>
          <w:p w14:paraId="0CB0932F" w14:textId="77777777" w:rsidR="00F96911" w:rsidRPr="00BF1183" w:rsidRDefault="00F96911" w:rsidP="00D51717">
            <w:pPr>
              <w:spacing w:line="200" w:lineRule="atLeast"/>
              <w:rPr>
                <w:color w:val="000000"/>
                <w:sz w:val="22"/>
                <w:szCs w:val="22"/>
              </w:rPr>
            </w:pPr>
            <w:r>
              <w:rPr>
                <w:color w:val="000000"/>
                <w:sz w:val="22"/>
                <w:szCs w:val="22"/>
              </w:rPr>
              <w:t>XDR 1.28M</w:t>
            </w:r>
          </w:p>
        </w:tc>
        <w:tc>
          <w:tcPr>
            <w:tcW w:w="3505" w:type="dxa"/>
          </w:tcPr>
          <w:p w14:paraId="6D0B2A7E" w14:textId="77777777" w:rsidR="00F96911" w:rsidRPr="00BF1183" w:rsidRDefault="00F96911" w:rsidP="00D51717">
            <w:pPr>
              <w:spacing w:line="200" w:lineRule="atLeast"/>
              <w:rPr>
                <w:color w:val="000000"/>
                <w:sz w:val="22"/>
                <w:szCs w:val="22"/>
              </w:rPr>
            </w:pPr>
            <w:r w:rsidRPr="00BF1183">
              <w:rPr>
                <w:color w:val="000000"/>
                <w:sz w:val="22"/>
                <w:szCs w:val="22"/>
              </w:rPr>
              <w:t>TA for project scale-up</w:t>
            </w:r>
            <w:r>
              <w:rPr>
                <w:color w:val="000000"/>
                <w:sz w:val="22"/>
                <w:szCs w:val="22"/>
              </w:rPr>
              <w:t xml:space="preserve">; AF from </w:t>
            </w:r>
            <w:r w:rsidRPr="00AD0349">
              <w:rPr>
                <w:sz w:val="20"/>
                <w:szCs w:val="20"/>
              </w:rPr>
              <w:t>Korean TF US$0.7m</w:t>
            </w:r>
          </w:p>
        </w:tc>
      </w:tr>
      <w:tr w:rsidR="00F96911" w14:paraId="639E63BC" w14:textId="77777777" w:rsidTr="00D51717">
        <w:tc>
          <w:tcPr>
            <w:tcW w:w="1435" w:type="dxa"/>
          </w:tcPr>
          <w:p w14:paraId="61A86E5D" w14:textId="77777777" w:rsidR="00F96911" w:rsidRPr="00BF1183" w:rsidRDefault="00F96911" w:rsidP="00D51717">
            <w:pPr>
              <w:spacing w:line="200" w:lineRule="atLeast"/>
              <w:rPr>
                <w:color w:val="000000"/>
                <w:sz w:val="22"/>
                <w:szCs w:val="22"/>
              </w:rPr>
            </w:pPr>
            <w:r w:rsidRPr="00BF1183">
              <w:rPr>
                <w:color w:val="000000"/>
                <w:sz w:val="22"/>
                <w:szCs w:val="22"/>
              </w:rPr>
              <w:t>Level 1</w:t>
            </w:r>
          </w:p>
          <w:p w14:paraId="159ECCBD" w14:textId="77777777" w:rsidR="00F96911" w:rsidRPr="00BF1183" w:rsidRDefault="00F96911" w:rsidP="00D51717">
            <w:pPr>
              <w:spacing w:line="200" w:lineRule="atLeast"/>
              <w:rPr>
                <w:color w:val="000000"/>
                <w:sz w:val="22"/>
                <w:szCs w:val="22"/>
              </w:rPr>
            </w:pPr>
            <w:r w:rsidRPr="00BF1183">
              <w:rPr>
                <w:color w:val="000000"/>
                <w:sz w:val="22"/>
                <w:szCs w:val="22"/>
              </w:rPr>
              <w:t>February 24, 2010</w:t>
            </w:r>
          </w:p>
        </w:tc>
        <w:tc>
          <w:tcPr>
            <w:tcW w:w="900" w:type="dxa"/>
          </w:tcPr>
          <w:p w14:paraId="0821382B" w14:textId="77777777" w:rsidR="00F96911" w:rsidRPr="00BF1183" w:rsidRDefault="00F96911" w:rsidP="00D51717">
            <w:pPr>
              <w:spacing w:line="200" w:lineRule="atLeast"/>
              <w:rPr>
                <w:color w:val="000000"/>
                <w:sz w:val="22"/>
                <w:szCs w:val="22"/>
              </w:rPr>
            </w:pPr>
            <w:r>
              <w:rPr>
                <w:color w:val="000000"/>
                <w:sz w:val="22"/>
                <w:szCs w:val="22"/>
              </w:rPr>
              <w:t>Yes</w:t>
            </w:r>
          </w:p>
        </w:tc>
        <w:tc>
          <w:tcPr>
            <w:tcW w:w="810" w:type="dxa"/>
          </w:tcPr>
          <w:p w14:paraId="7D74845D" w14:textId="77777777" w:rsidR="00F96911" w:rsidRPr="00BF1183" w:rsidRDefault="00F96911" w:rsidP="00D51717">
            <w:pPr>
              <w:spacing w:line="200" w:lineRule="atLeast"/>
              <w:rPr>
                <w:color w:val="000000"/>
                <w:sz w:val="22"/>
                <w:szCs w:val="22"/>
              </w:rPr>
            </w:pPr>
            <w:r w:rsidRPr="009E5F13">
              <w:rPr>
                <w:color w:val="000000"/>
                <w:sz w:val="22"/>
                <w:szCs w:val="22"/>
              </w:rPr>
              <w:t>S</w:t>
            </w:r>
          </w:p>
        </w:tc>
        <w:tc>
          <w:tcPr>
            <w:tcW w:w="540" w:type="dxa"/>
          </w:tcPr>
          <w:p w14:paraId="7A06CD35" w14:textId="77777777" w:rsidR="00F96911" w:rsidRPr="00BF1183" w:rsidRDefault="00F96911" w:rsidP="00D51717">
            <w:pPr>
              <w:spacing w:line="200" w:lineRule="atLeast"/>
              <w:rPr>
                <w:color w:val="000000"/>
                <w:sz w:val="22"/>
                <w:szCs w:val="22"/>
              </w:rPr>
            </w:pPr>
            <w:r w:rsidRPr="009E5F13">
              <w:rPr>
                <w:color w:val="000000"/>
                <w:sz w:val="22"/>
                <w:szCs w:val="22"/>
              </w:rPr>
              <w:t>S</w:t>
            </w:r>
          </w:p>
        </w:tc>
        <w:tc>
          <w:tcPr>
            <w:tcW w:w="1440" w:type="dxa"/>
          </w:tcPr>
          <w:p w14:paraId="71FB59F8" w14:textId="77777777" w:rsidR="00F96911" w:rsidRPr="00BF1183" w:rsidRDefault="00F96911" w:rsidP="00D51717">
            <w:pPr>
              <w:spacing w:line="200" w:lineRule="atLeast"/>
              <w:rPr>
                <w:color w:val="000000"/>
                <w:sz w:val="22"/>
                <w:szCs w:val="22"/>
              </w:rPr>
            </w:pPr>
            <w:r>
              <w:rPr>
                <w:color w:val="000000"/>
                <w:sz w:val="22"/>
                <w:szCs w:val="22"/>
              </w:rPr>
              <w:t>XDR 1.75M</w:t>
            </w:r>
          </w:p>
        </w:tc>
        <w:tc>
          <w:tcPr>
            <w:tcW w:w="3505" w:type="dxa"/>
          </w:tcPr>
          <w:p w14:paraId="52B778B4" w14:textId="77777777" w:rsidR="00F96911" w:rsidRPr="00BF1183" w:rsidRDefault="00F96911" w:rsidP="00D51717">
            <w:pPr>
              <w:spacing w:line="200" w:lineRule="atLeast"/>
              <w:rPr>
                <w:color w:val="000000"/>
                <w:sz w:val="22"/>
                <w:szCs w:val="22"/>
              </w:rPr>
            </w:pPr>
            <w:r w:rsidRPr="00BF1183">
              <w:rPr>
                <w:color w:val="000000"/>
                <w:sz w:val="22"/>
                <w:szCs w:val="22"/>
              </w:rPr>
              <w:t>Upscale to whole country - See components description (section 1.5 and 1.6)</w:t>
            </w:r>
            <w:r>
              <w:rPr>
                <w:color w:val="000000"/>
                <w:sz w:val="22"/>
                <w:szCs w:val="22"/>
              </w:rPr>
              <w:t xml:space="preserve">; AF from  </w:t>
            </w:r>
            <w:r w:rsidRPr="00AD0349">
              <w:rPr>
                <w:sz w:val="20"/>
                <w:szCs w:val="20"/>
              </w:rPr>
              <w:t>IDA US$10m</w:t>
            </w:r>
            <w:r>
              <w:rPr>
                <w:sz w:val="20"/>
                <w:szCs w:val="20"/>
              </w:rPr>
              <w:t>; extension of closing date to 03/31/2014; change in PDO (see section 1.2 to 1.6)</w:t>
            </w:r>
          </w:p>
        </w:tc>
      </w:tr>
      <w:tr w:rsidR="00F96911" w14:paraId="275F4FC0" w14:textId="77777777" w:rsidTr="00D51717">
        <w:tc>
          <w:tcPr>
            <w:tcW w:w="1435" w:type="dxa"/>
          </w:tcPr>
          <w:p w14:paraId="4E65150A" w14:textId="77777777" w:rsidR="00F96911" w:rsidRPr="00BF1183" w:rsidRDefault="00F96911" w:rsidP="00D51717">
            <w:pPr>
              <w:spacing w:line="200" w:lineRule="atLeast"/>
              <w:rPr>
                <w:color w:val="000000"/>
                <w:sz w:val="22"/>
                <w:szCs w:val="22"/>
              </w:rPr>
            </w:pPr>
            <w:r w:rsidRPr="00BF1183">
              <w:rPr>
                <w:color w:val="000000"/>
                <w:sz w:val="22"/>
                <w:szCs w:val="22"/>
              </w:rPr>
              <w:t>Level 2</w:t>
            </w:r>
          </w:p>
          <w:p w14:paraId="16E4F022" w14:textId="77777777" w:rsidR="00F96911" w:rsidRPr="00BF1183" w:rsidRDefault="00F96911" w:rsidP="00D51717">
            <w:pPr>
              <w:spacing w:line="200" w:lineRule="atLeast"/>
              <w:rPr>
                <w:color w:val="000000"/>
                <w:sz w:val="22"/>
                <w:szCs w:val="22"/>
              </w:rPr>
            </w:pPr>
            <w:r w:rsidRPr="00BF1183">
              <w:rPr>
                <w:color w:val="000000"/>
                <w:sz w:val="22"/>
                <w:szCs w:val="22"/>
              </w:rPr>
              <w:t>March 30, 2012</w:t>
            </w:r>
          </w:p>
        </w:tc>
        <w:tc>
          <w:tcPr>
            <w:tcW w:w="900" w:type="dxa"/>
          </w:tcPr>
          <w:p w14:paraId="67DD1779" w14:textId="77777777" w:rsidR="00F96911" w:rsidRPr="00BF1183" w:rsidRDefault="00F96911" w:rsidP="00D51717">
            <w:pPr>
              <w:spacing w:line="200" w:lineRule="atLeast"/>
              <w:rPr>
                <w:color w:val="000000"/>
                <w:sz w:val="22"/>
                <w:szCs w:val="22"/>
              </w:rPr>
            </w:pPr>
            <w:r w:rsidRPr="00AD0349">
              <w:rPr>
                <w:sz w:val="20"/>
                <w:szCs w:val="20"/>
              </w:rPr>
              <w:t>No</w:t>
            </w:r>
          </w:p>
        </w:tc>
        <w:tc>
          <w:tcPr>
            <w:tcW w:w="810" w:type="dxa"/>
          </w:tcPr>
          <w:p w14:paraId="27DA75F8" w14:textId="77777777" w:rsidR="00F96911" w:rsidRPr="00BF1183" w:rsidRDefault="00F96911" w:rsidP="00D51717">
            <w:pPr>
              <w:spacing w:line="200" w:lineRule="atLeast"/>
              <w:rPr>
                <w:color w:val="000000"/>
                <w:sz w:val="22"/>
                <w:szCs w:val="22"/>
              </w:rPr>
            </w:pPr>
            <w:r>
              <w:rPr>
                <w:color w:val="000000"/>
                <w:sz w:val="22"/>
                <w:szCs w:val="22"/>
              </w:rPr>
              <w:t>MS</w:t>
            </w:r>
          </w:p>
        </w:tc>
        <w:tc>
          <w:tcPr>
            <w:tcW w:w="540" w:type="dxa"/>
          </w:tcPr>
          <w:p w14:paraId="02EC6BFC" w14:textId="77777777" w:rsidR="00F96911" w:rsidRPr="00BF1183" w:rsidRDefault="00F96911" w:rsidP="00D51717">
            <w:pPr>
              <w:spacing w:line="200" w:lineRule="atLeast"/>
              <w:rPr>
                <w:color w:val="000000"/>
                <w:sz w:val="22"/>
                <w:szCs w:val="22"/>
              </w:rPr>
            </w:pPr>
            <w:r>
              <w:rPr>
                <w:color w:val="000000"/>
                <w:sz w:val="22"/>
                <w:szCs w:val="22"/>
              </w:rPr>
              <w:t>MS</w:t>
            </w:r>
          </w:p>
        </w:tc>
        <w:tc>
          <w:tcPr>
            <w:tcW w:w="1440" w:type="dxa"/>
          </w:tcPr>
          <w:p w14:paraId="42F76190" w14:textId="77777777" w:rsidR="00F96911" w:rsidRPr="00BF1183" w:rsidRDefault="00F96911" w:rsidP="00D51717">
            <w:pPr>
              <w:spacing w:line="200" w:lineRule="atLeast"/>
              <w:rPr>
                <w:color w:val="000000"/>
                <w:sz w:val="22"/>
                <w:szCs w:val="22"/>
              </w:rPr>
            </w:pPr>
            <w:r>
              <w:rPr>
                <w:color w:val="000000"/>
                <w:sz w:val="22"/>
                <w:szCs w:val="22"/>
              </w:rPr>
              <w:t xml:space="preserve">$8.45m </w:t>
            </w:r>
          </w:p>
        </w:tc>
        <w:tc>
          <w:tcPr>
            <w:tcW w:w="3505" w:type="dxa"/>
          </w:tcPr>
          <w:p w14:paraId="2766A1F1" w14:textId="77777777" w:rsidR="00F96911" w:rsidRPr="00BF1183" w:rsidRDefault="00F96911" w:rsidP="00D51717">
            <w:pPr>
              <w:spacing w:line="200" w:lineRule="atLeast"/>
              <w:rPr>
                <w:color w:val="000000"/>
                <w:sz w:val="22"/>
                <w:szCs w:val="22"/>
              </w:rPr>
            </w:pPr>
            <w:r w:rsidRPr="00BF1183">
              <w:rPr>
                <w:color w:val="000000"/>
                <w:sz w:val="22"/>
                <w:szCs w:val="22"/>
              </w:rPr>
              <w:t>Added analytical activities including Impact Assessment</w:t>
            </w:r>
            <w:r>
              <w:rPr>
                <w:color w:val="000000"/>
                <w:sz w:val="22"/>
                <w:szCs w:val="22"/>
              </w:rPr>
              <w:t xml:space="preserve">; </w:t>
            </w:r>
            <w:r w:rsidRPr="00BF1183">
              <w:rPr>
                <w:color w:val="000000"/>
                <w:sz w:val="22"/>
                <w:szCs w:val="22"/>
              </w:rPr>
              <w:t>New expenditure category to allow IDA Credit to pay for GoM reinsurance premium on the market</w:t>
            </w:r>
            <w:r>
              <w:rPr>
                <w:color w:val="000000"/>
                <w:sz w:val="22"/>
                <w:szCs w:val="22"/>
              </w:rPr>
              <w:t xml:space="preserve"> ; AF from </w:t>
            </w:r>
            <w:r w:rsidRPr="00AD0349">
              <w:rPr>
                <w:sz w:val="20"/>
                <w:szCs w:val="20"/>
              </w:rPr>
              <w:t>SDC</w:t>
            </w:r>
            <w:r>
              <w:rPr>
                <w:sz w:val="20"/>
                <w:szCs w:val="20"/>
              </w:rPr>
              <w:t xml:space="preserve"> of </w:t>
            </w:r>
            <w:r w:rsidRPr="00AD0349">
              <w:rPr>
                <w:sz w:val="20"/>
                <w:szCs w:val="20"/>
              </w:rPr>
              <w:t xml:space="preserve"> US$1.45m</w:t>
            </w:r>
          </w:p>
        </w:tc>
      </w:tr>
      <w:tr w:rsidR="00F96911" w14:paraId="4B310495" w14:textId="77777777" w:rsidTr="00D51717">
        <w:tc>
          <w:tcPr>
            <w:tcW w:w="1435" w:type="dxa"/>
          </w:tcPr>
          <w:p w14:paraId="0E83513E" w14:textId="77777777" w:rsidR="00F96911" w:rsidRPr="00BF1183" w:rsidRDefault="00F96911" w:rsidP="00D51717">
            <w:pPr>
              <w:spacing w:line="200" w:lineRule="atLeast"/>
              <w:rPr>
                <w:color w:val="000000"/>
                <w:sz w:val="22"/>
                <w:szCs w:val="22"/>
              </w:rPr>
            </w:pPr>
            <w:r w:rsidRPr="00BF1183">
              <w:rPr>
                <w:color w:val="000000"/>
                <w:sz w:val="22"/>
                <w:szCs w:val="22"/>
              </w:rPr>
              <w:t>Level 2</w:t>
            </w:r>
          </w:p>
          <w:p w14:paraId="5ED07EDB" w14:textId="77777777" w:rsidR="00F96911" w:rsidRPr="00BF1183" w:rsidRDefault="00F96911" w:rsidP="00D51717">
            <w:pPr>
              <w:spacing w:line="200" w:lineRule="atLeast"/>
              <w:rPr>
                <w:color w:val="000000"/>
                <w:sz w:val="22"/>
                <w:szCs w:val="22"/>
              </w:rPr>
            </w:pPr>
            <w:r w:rsidRPr="00BF1183">
              <w:rPr>
                <w:color w:val="000000"/>
                <w:sz w:val="22"/>
                <w:szCs w:val="22"/>
              </w:rPr>
              <w:t>August 29, 2013</w:t>
            </w:r>
          </w:p>
        </w:tc>
        <w:tc>
          <w:tcPr>
            <w:tcW w:w="900" w:type="dxa"/>
          </w:tcPr>
          <w:p w14:paraId="7F9F6E66" w14:textId="77777777" w:rsidR="00F96911" w:rsidRPr="00BF1183" w:rsidRDefault="00F96911" w:rsidP="00D51717">
            <w:pPr>
              <w:spacing w:line="200" w:lineRule="atLeast"/>
              <w:rPr>
                <w:color w:val="000000"/>
                <w:sz w:val="22"/>
                <w:szCs w:val="22"/>
              </w:rPr>
            </w:pPr>
            <w:r w:rsidRPr="00AD0349">
              <w:rPr>
                <w:sz w:val="20"/>
                <w:szCs w:val="20"/>
              </w:rPr>
              <w:t>No</w:t>
            </w:r>
          </w:p>
        </w:tc>
        <w:tc>
          <w:tcPr>
            <w:tcW w:w="810" w:type="dxa"/>
          </w:tcPr>
          <w:p w14:paraId="225B2CE7" w14:textId="77777777" w:rsidR="00F96911" w:rsidRPr="00BF1183" w:rsidRDefault="00F96911" w:rsidP="00D51717">
            <w:pPr>
              <w:spacing w:line="200" w:lineRule="atLeast"/>
              <w:rPr>
                <w:color w:val="000000"/>
                <w:sz w:val="22"/>
                <w:szCs w:val="22"/>
              </w:rPr>
            </w:pPr>
            <w:r>
              <w:rPr>
                <w:color w:val="000000"/>
                <w:sz w:val="22"/>
                <w:szCs w:val="22"/>
              </w:rPr>
              <w:t>S</w:t>
            </w:r>
          </w:p>
        </w:tc>
        <w:tc>
          <w:tcPr>
            <w:tcW w:w="540" w:type="dxa"/>
          </w:tcPr>
          <w:p w14:paraId="1ED6587C" w14:textId="77777777" w:rsidR="00F96911" w:rsidRPr="00BF1183" w:rsidRDefault="00F96911" w:rsidP="00D51717">
            <w:pPr>
              <w:spacing w:line="200" w:lineRule="atLeast"/>
              <w:rPr>
                <w:color w:val="000000"/>
                <w:sz w:val="22"/>
                <w:szCs w:val="22"/>
              </w:rPr>
            </w:pPr>
            <w:r>
              <w:rPr>
                <w:color w:val="000000"/>
                <w:sz w:val="22"/>
                <w:szCs w:val="22"/>
              </w:rPr>
              <w:t>S</w:t>
            </w:r>
          </w:p>
        </w:tc>
        <w:tc>
          <w:tcPr>
            <w:tcW w:w="1440" w:type="dxa"/>
          </w:tcPr>
          <w:p w14:paraId="200D5A3A" w14:textId="77777777" w:rsidR="00F96911" w:rsidRPr="00BF1183" w:rsidRDefault="00F96911" w:rsidP="00D51717">
            <w:pPr>
              <w:spacing w:line="200" w:lineRule="atLeast"/>
              <w:rPr>
                <w:color w:val="000000"/>
                <w:sz w:val="22"/>
                <w:szCs w:val="22"/>
              </w:rPr>
            </w:pPr>
            <w:r>
              <w:rPr>
                <w:color w:val="000000"/>
                <w:sz w:val="22"/>
                <w:szCs w:val="22"/>
              </w:rPr>
              <w:t>$10.83m</w:t>
            </w:r>
          </w:p>
        </w:tc>
        <w:tc>
          <w:tcPr>
            <w:tcW w:w="3505" w:type="dxa"/>
          </w:tcPr>
          <w:p w14:paraId="3B4B19FE" w14:textId="77777777" w:rsidR="00F96911" w:rsidRPr="00BF1183" w:rsidRDefault="00F96911" w:rsidP="00D51717">
            <w:pPr>
              <w:spacing w:line="200" w:lineRule="atLeast"/>
              <w:rPr>
                <w:color w:val="000000"/>
                <w:sz w:val="22"/>
                <w:szCs w:val="22"/>
              </w:rPr>
            </w:pPr>
            <w:r w:rsidRPr="00BF1183">
              <w:rPr>
                <w:color w:val="000000"/>
                <w:sz w:val="22"/>
                <w:szCs w:val="22"/>
              </w:rPr>
              <w:t>DCA amended to allow: (i) establish equalization reserve, (ii) indemnity payments to be done by insurers rather than PIU, and (iii) master policies to be developed between insurers and financial institutions</w:t>
            </w:r>
            <w:r>
              <w:rPr>
                <w:color w:val="000000"/>
                <w:sz w:val="22"/>
                <w:szCs w:val="22"/>
              </w:rPr>
              <w:t xml:space="preserve">; extension of closing date to </w:t>
            </w:r>
            <w:r w:rsidRPr="00AD0349">
              <w:rPr>
                <w:sz w:val="20"/>
                <w:szCs w:val="20"/>
              </w:rPr>
              <w:t>March 31, 2016</w:t>
            </w:r>
            <w:r w:rsidRPr="00BF1183">
              <w:rPr>
                <w:color w:val="000000"/>
                <w:sz w:val="22"/>
                <w:szCs w:val="22"/>
              </w:rPr>
              <w:t>.</w:t>
            </w:r>
          </w:p>
        </w:tc>
      </w:tr>
    </w:tbl>
    <w:p w14:paraId="271ABDF8" w14:textId="77777777" w:rsidR="00F96911" w:rsidRDefault="00F96911" w:rsidP="00F96911">
      <w:pPr>
        <w:rPr>
          <w:vanish/>
          <w:sz w:val="2"/>
          <w:szCs w:val="2"/>
        </w:rPr>
      </w:pPr>
      <w:bookmarkStart w:id="80" w:name="BOARD_APP_RESTR"/>
      <w:bookmarkEnd w:id="80"/>
    </w:p>
    <w:p w14:paraId="47F6AA4F" w14:textId="77777777" w:rsidR="00F96911" w:rsidRDefault="00F96911" w:rsidP="00F96911">
      <w:pPr>
        <w:pStyle w:val="Heading2"/>
        <w:keepNext/>
        <w:keepLines/>
      </w:pPr>
      <w:r>
        <w:lastRenderedPageBreak/>
        <w:t>I.  Disbursement Profile</w:t>
      </w:r>
    </w:p>
    <w:p w14:paraId="11DF4D5B" w14:textId="640DDB56" w:rsidR="00F96911" w:rsidRDefault="008C4DEC" w:rsidP="00F96911">
      <w:bookmarkStart w:id="81" w:name="DISBPROJ1"/>
      <w:bookmarkEnd w:id="81"/>
      <w:r>
        <w:rPr>
          <w:noProof/>
          <w:lang w:eastAsia="en-US"/>
        </w:rPr>
        <w:drawing>
          <wp:inline distT="0" distB="0" distL="0" distR="0" wp14:anchorId="1AC42BA4" wp14:editId="05CF3847">
            <wp:extent cx="54864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91740469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7B7F69B5" w14:textId="77777777" w:rsidR="00DB088C" w:rsidRDefault="00DB088C"/>
    <w:p w14:paraId="61B3366F" w14:textId="27DDCE1D" w:rsidR="004A0065" w:rsidRDefault="004A0065">
      <w:r>
        <w:t>Table XX: Commitments and Disbursement summary</w:t>
      </w:r>
    </w:p>
    <w:tbl>
      <w:tblPr>
        <w:tblStyle w:val="TableGrid"/>
        <w:tblW w:w="0" w:type="auto"/>
        <w:tblLook w:val="04A0" w:firstRow="1" w:lastRow="0" w:firstColumn="1" w:lastColumn="0" w:noHBand="0" w:noVBand="1"/>
      </w:tblPr>
      <w:tblGrid>
        <w:gridCol w:w="2176"/>
        <w:gridCol w:w="2210"/>
        <w:gridCol w:w="2206"/>
        <w:gridCol w:w="2038"/>
      </w:tblGrid>
      <w:tr w:rsidR="008C4DEC" w14:paraId="2E87BCCA" w14:textId="11C08D58" w:rsidTr="00C457E7">
        <w:tc>
          <w:tcPr>
            <w:tcW w:w="4386" w:type="dxa"/>
            <w:gridSpan w:val="2"/>
          </w:tcPr>
          <w:p w14:paraId="28F7007E" w14:textId="543F343F" w:rsidR="008C4DEC" w:rsidRDefault="008C4DEC" w:rsidP="004A0065">
            <w:r>
              <w:t>Net commitment (</w:t>
            </w:r>
            <w:r w:rsidR="004A0065">
              <w:t>USD millions</w:t>
            </w:r>
            <w:r>
              <w:t>)</w:t>
            </w:r>
          </w:p>
        </w:tc>
        <w:tc>
          <w:tcPr>
            <w:tcW w:w="2206" w:type="dxa"/>
          </w:tcPr>
          <w:p w14:paraId="26DAAF67" w14:textId="7CF7C11A" w:rsidR="008C4DEC" w:rsidRDefault="008C4DEC">
            <w:r>
              <w:t>Total Disbursed</w:t>
            </w:r>
          </w:p>
        </w:tc>
        <w:tc>
          <w:tcPr>
            <w:tcW w:w="2038" w:type="dxa"/>
          </w:tcPr>
          <w:p w14:paraId="22FB187A" w14:textId="2711E3D6" w:rsidR="008C4DEC" w:rsidRDefault="008C4DEC">
            <w:r>
              <w:t>% Disbursed</w:t>
            </w:r>
          </w:p>
        </w:tc>
      </w:tr>
      <w:tr w:rsidR="008C4DEC" w14:paraId="403C579A" w14:textId="15E6B9F1" w:rsidTr="00C457E7">
        <w:tc>
          <w:tcPr>
            <w:tcW w:w="2176" w:type="dxa"/>
          </w:tcPr>
          <w:p w14:paraId="286257F8" w14:textId="5B2A9D83" w:rsidR="008C4DEC" w:rsidRDefault="008C4DEC">
            <w:r>
              <w:t>IDA</w:t>
            </w:r>
          </w:p>
        </w:tc>
        <w:tc>
          <w:tcPr>
            <w:tcW w:w="2210" w:type="dxa"/>
          </w:tcPr>
          <w:p w14:paraId="5FD57C9D" w14:textId="149BECC2" w:rsidR="008C4DEC" w:rsidRDefault="008C4DEC">
            <w:r>
              <w:t>11.25</w:t>
            </w:r>
          </w:p>
        </w:tc>
        <w:tc>
          <w:tcPr>
            <w:tcW w:w="2206" w:type="dxa"/>
          </w:tcPr>
          <w:p w14:paraId="1C1A83BB" w14:textId="1C8CC929" w:rsidR="008C4DEC" w:rsidRDefault="008C4DEC">
            <w:r>
              <w:t>10.43</w:t>
            </w:r>
          </w:p>
        </w:tc>
        <w:tc>
          <w:tcPr>
            <w:tcW w:w="2038" w:type="dxa"/>
          </w:tcPr>
          <w:p w14:paraId="4F78202D" w14:textId="39044593" w:rsidR="008C4DEC" w:rsidRDefault="008C4DEC">
            <w:r>
              <w:t>91.91</w:t>
            </w:r>
            <w:r w:rsidR="00527940">
              <w:t>%</w:t>
            </w:r>
          </w:p>
        </w:tc>
      </w:tr>
      <w:tr w:rsidR="008C4DEC" w14:paraId="6BDCF6D7" w14:textId="4E773F14" w:rsidTr="00C457E7">
        <w:tc>
          <w:tcPr>
            <w:tcW w:w="2176" w:type="dxa"/>
          </w:tcPr>
          <w:p w14:paraId="65F99166" w14:textId="0CE99A3D" w:rsidR="008C4DEC" w:rsidRDefault="008C4DEC">
            <w:r>
              <w:t>TF</w:t>
            </w:r>
          </w:p>
        </w:tc>
        <w:tc>
          <w:tcPr>
            <w:tcW w:w="2210" w:type="dxa"/>
          </w:tcPr>
          <w:p w14:paraId="324BE9D2" w14:textId="3CD67EE1" w:rsidR="008C4DEC" w:rsidRDefault="008C4DEC">
            <w:r>
              <w:t>2.67</w:t>
            </w:r>
          </w:p>
        </w:tc>
        <w:tc>
          <w:tcPr>
            <w:tcW w:w="2206" w:type="dxa"/>
          </w:tcPr>
          <w:p w14:paraId="2555E91E" w14:textId="600DF9C5" w:rsidR="008C4DEC" w:rsidRDefault="008C4DEC">
            <w:r>
              <w:t>2.67</w:t>
            </w:r>
          </w:p>
        </w:tc>
        <w:tc>
          <w:tcPr>
            <w:tcW w:w="2038" w:type="dxa"/>
          </w:tcPr>
          <w:p w14:paraId="4FBBCF36" w14:textId="55B0BE58" w:rsidR="008C4DEC" w:rsidRDefault="008C4DEC">
            <w:r>
              <w:t>100%</w:t>
            </w:r>
          </w:p>
        </w:tc>
      </w:tr>
      <w:tr w:rsidR="008C4DEC" w14:paraId="62B5EED5" w14:textId="73092880" w:rsidTr="00C457E7">
        <w:tc>
          <w:tcPr>
            <w:tcW w:w="2176" w:type="dxa"/>
          </w:tcPr>
          <w:p w14:paraId="16F6993C" w14:textId="78830FE1" w:rsidR="008C4DEC" w:rsidRDefault="008C4DEC">
            <w:r>
              <w:t xml:space="preserve">Total </w:t>
            </w:r>
          </w:p>
        </w:tc>
        <w:tc>
          <w:tcPr>
            <w:tcW w:w="2210" w:type="dxa"/>
          </w:tcPr>
          <w:p w14:paraId="0D61417B" w14:textId="570529BE" w:rsidR="008C4DEC" w:rsidRDefault="008C4DEC">
            <w:r>
              <w:t>13.92</w:t>
            </w:r>
          </w:p>
        </w:tc>
        <w:tc>
          <w:tcPr>
            <w:tcW w:w="2206" w:type="dxa"/>
          </w:tcPr>
          <w:p w14:paraId="6719C560" w14:textId="7C1F335D" w:rsidR="008C4DEC" w:rsidRDefault="008C4DEC">
            <w:r>
              <w:t>13.01</w:t>
            </w:r>
          </w:p>
        </w:tc>
        <w:tc>
          <w:tcPr>
            <w:tcW w:w="2038" w:type="dxa"/>
          </w:tcPr>
          <w:p w14:paraId="4163A731" w14:textId="540272B7" w:rsidR="008C4DEC" w:rsidRDefault="008C4DEC">
            <w:r>
              <w:t>93.46%</w:t>
            </w:r>
          </w:p>
        </w:tc>
      </w:tr>
    </w:tbl>
    <w:p w14:paraId="070D705F" w14:textId="77777777" w:rsidR="0068237C" w:rsidRPr="00BA45AA" w:rsidRDefault="0068237C">
      <w:pPr>
        <w:sectPr w:rsidR="0068237C" w:rsidRPr="00BA45AA" w:rsidSect="002C11DD">
          <w:pgSz w:w="12240" w:h="15840"/>
          <w:pgMar w:top="1440" w:right="1800" w:bottom="1440" w:left="1800" w:header="720" w:footer="720" w:gutter="0"/>
          <w:pgNumType w:fmt="lowerRoman" w:start="1"/>
          <w:cols w:space="720"/>
          <w:docGrid w:linePitch="360"/>
        </w:sectPr>
      </w:pPr>
    </w:p>
    <w:p w14:paraId="4877E495" w14:textId="6684AA4D" w:rsidR="00C67D43" w:rsidRDefault="00C67D43" w:rsidP="007A077F">
      <w:pPr>
        <w:pStyle w:val="Heading2"/>
        <w:keepNext/>
      </w:pPr>
      <w:bookmarkStart w:id="82" w:name="_Toc158019370"/>
      <w:bookmarkStart w:id="83" w:name="_Toc456784517"/>
      <w:r>
        <w:lastRenderedPageBreak/>
        <w:t>1. Project Context, Development Objectives and Design</w:t>
      </w:r>
      <w:bookmarkEnd w:id="82"/>
      <w:bookmarkEnd w:id="83"/>
      <w:r w:rsidR="00095AA4">
        <w:t xml:space="preserve"> </w:t>
      </w:r>
    </w:p>
    <w:p w14:paraId="3695E7D3" w14:textId="77777777" w:rsidR="00C67D43" w:rsidRPr="002A12B8" w:rsidRDefault="00C67D43" w:rsidP="00940899">
      <w:pPr>
        <w:pStyle w:val="Heading3"/>
        <w:keepNext/>
        <w:numPr>
          <w:ilvl w:val="1"/>
          <w:numId w:val="3"/>
        </w:numPr>
        <w:rPr>
          <w:sz w:val="24"/>
          <w:szCs w:val="24"/>
        </w:rPr>
      </w:pPr>
      <w:bookmarkStart w:id="84" w:name="_Toc456784518"/>
      <w:r w:rsidRPr="002A12B8">
        <w:rPr>
          <w:sz w:val="24"/>
          <w:szCs w:val="24"/>
        </w:rPr>
        <w:t>Context at Appraisal</w:t>
      </w:r>
      <w:bookmarkEnd w:id="84"/>
    </w:p>
    <w:p w14:paraId="73D91001" w14:textId="77777777" w:rsidR="007A1CBF" w:rsidRDefault="007A1CBF"/>
    <w:p w14:paraId="7B79E474" w14:textId="0E86F4AC" w:rsidR="00806606" w:rsidRDefault="00523C4D" w:rsidP="00F92093">
      <w:pPr>
        <w:numPr>
          <w:ilvl w:val="0"/>
          <w:numId w:val="2"/>
        </w:numPr>
        <w:tabs>
          <w:tab w:val="num" w:pos="0"/>
        </w:tabs>
        <w:spacing w:after="240"/>
        <w:ind w:left="0" w:firstLine="0"/>
      </w:pPr>
      <w:bookmarkStart w:id="85" w:name="SEC61"/>
      <w:bookmarkEnd w:id="85"/>
      <w:r w:rsidRPr="00AC2A80">
        <w:t>At appraisal, the agricultural sector played a central role in the</w:t>
      </w:r>
      <w:r w:rsidR="00BC7D8B" w:rsidRPr="00AC2A80">
        <w:t xml:space="preserve"> new market-based </w:t>
      </w:r>
      <w:r w:rsidRPr="00AC2A80">
        <w:t>Mongolian economy</w:t>
      </w:r>
      <w:r w:rsidR="00BB38F7" w:rsidRPr="00AC2A80">
        <w:t xml:space="preserve">. </w:t>
      </w:r>
      <w:r w:rsidR="00806606" w:rsidRPr="00AC2A80">
        <w:t xml:space="preserve">With the end of the socialist period in 1990, Mongolia began </w:t>
      </w:r>
      <w:r w:rsidR="00063D19" w:rsidRPr="00AC2A80">
        <w:t>dismantling</w:t>
      </w:r>
      <w:r w:rsidR="00063D19">
        <w:t xml:space="preserve"> the</w:t>
      </w:r>
      <w:r w:rsidR="00806606" w:rsidRPr="00806606">
        <w:t xml:space="preserve"> command economy</w:t>
      </w:r>
      <w:r w:rsidR="00063D19">
        <w:t xml:space="preserve"> and establishing a framework of laws, policies, and institutions to support a market-based system</w:t>
      </w:r>
      <w:r w:rsidR="00806606">
        <w:t>.</w:t>
      </w:r>
      <w:r w:rsidR="00063D19">
        <w:t xml:space="preserve"> In the wake of this transition, a</w:t>
      </w:r>
      <w:r w:rsidR="00BC7D8B" w:rsidRPr="00BC7D8B">
        <w:t>griculture</w:t>
      </w:r>
      <w:r w:rsidRPr="00BC7D8B">
        <w:t xml:space="preserve"> contribut</w:t>
      </w:r>
      <w:r w:rsidR="00BB38F7" w:rsidRPr="00BC7D8B">
        <w:t>ed</w:t>
      </w:r>
      <w:r w:rsidRPr="00BC7D8B">
        <w:t xml:space="preserve"> around one third of Gross Domestic Product (GDP)</w:t>
      </w:r>
      <w:r w:rsidR="00BC7D8B" w:rsidRPr="00BC7D8B">
        <w:t>, and</w:t>
      </w:r>
      <w:r w:rsidR="00BB38F7" w:rsidRPr="00806606">
        <w:t xml:space="preserve"> th</w:t>
      </w:r>
      <w:r w:rsidR="00BB38F7">
        <w:t>e undiversified economic base was completed by c</w:t>
      </w:r>
      <w:r w:rsidRPr="00523C4D">
        <w:t>opper and gold mining, a small manufacturing sector, and the services and trading sector</w:t>
      </w:r>
      <w:r w:rsidR="00BB38F7">
        <w:t>.</w:t>
      </w:r>
    </w:p>
    <w:p w14:paraId="6B54B912" w14:textId="77777777" w:rsidR="00063D19" w:rsidRPr="00A119CF" w:rsidRDefault="00806606" w:rsidP="00F92093">
      <w:pPr>
        <w:numPr>
          <w:ilvl w:val="0"/>
          <w:numId w:val="2"/>
        </w:numPr>
        <w:spacing w:after="240"/>
        <w:ind w:left="0" w:firstLine="0"/>
      </w:pPr>
      <w:r w:rsidRPr="00AC2A80">
        <w:t>At the time, the agricultural sector was dominated by livestock husbandry, which had an 87 percent share of agricultural GDP and supported at least half the population.</w:t>
      </w:r>
      <w:r>
        <w:rPr>
          <w:b/>
        </w:rPr>
        <w:t xml:space="preserve"> </w:t>
      </w:r>
      <w:r w:rsidRPr="00A119CF">
        <w:t>Livestock provided rural households with an important source of income, jobs and food security, and a means for investing and storing their wealth. The importance of livestock to the livelihoods of poor rural households has increased in the years preceding the appraisal with the shift from collectivized farming to family-based herding during the 1990s: the number of herding households doubled between 1990 and 1997.</w:t>
      </w:r>
    </w:p>
    <w:p w14:paraId="0689247F" w14:textId="26E2A0E8" w:rsidR="007A1CBF" w:rsidRPr="00A119CF" w:rsidRDefault="008523E1" w:rsidP="00F92093">
      <w:pPr>
        <w:numPr>
          <w:ilvl w:val="0"/>
          <w:numId w:val="2"/>
        </w:numPr>
        <w:spacing w:after="240"/>
        <w:ind w:left="0" w:firstLine="0"/>
      </w:pPr>
      <w:bookmarkStart w:id="86" w:name="_Ref456785792"/>
      <w:r w:rsidRPr="00AC2A80">
        <w:t>L</w:t>
      </w:r>
      <w:r w:rsidR="00806606" w:rsidRPr="00AC2A80">
        <w:t>ivestock herders and their families ma</w:t>
      </w:r>
      <w:r w:rsidR="00063D19" w:rsidRPr="00AC2A80">
        <w:t>de</w:t>
      </w:r>
      <w:r w:rsidR="00806606" w:rsidRPr="00AC2A80">
        <w:t xml:space="preserve"> up a large percentage of the poor in Mongolia</w:t>
      </w:r>
      <w:r w:rsidR="002833D6" w:rsidRPr="00AC2A80">
        <w:t xml:space="preserve">, and </w:t>
      </w:r>
      <w:r w:rsidRPr="00AC2A80">
        <w:t xml:space="preserve">were (and still </w:t>
      </w:r>
      <w:r w:rsidR="002833D6" w:rsidRPr="00AC2A80">
        <w:t>are</w:t>
      </w:r>
      <w:r w:rsidRPr="00AC2A80">
        <w:t>)</w:t>
      </w:r>
      <w:r w:rsidR="002833D6" w:rsidRPr="00AC2A80">
        <w:t xml:space="preserve"> vulnerable to </w:t>
      </w:r>
      <w:r w:rsidR="002833D6" w:rsidRPr="00AC2A80">
        <w:rPr>
          <w:i/>
        </w:rPr>
        <w:t>dzuds</w:t>
      </w:r>
      <w:r w:rsidR="00806606" w:rsidRPr="00AC2A80">
        <w:t>. Eighty percent of the herders ha</w:t>
      </w:r>
      <w:r w:rsidR="00063D19" w:rsidRPr="00AC2A80">
        <w:t>d</w:t>
      </w:r>
      <w:r w:rsidR="00806606" w:rsidRPr="00AC2A80">
        <w:t xml:space="preserve"> less</w:t>
      </w:r>
      <w:r w:rsidR="00806606" w:rsidRPr="00A119CF">
        <w:t xml:space="preserve"> than 200 animals</w:t>
      </w:r>
      <w:r w:rsidR="00063D19" w:rsidRPr="00A119CF">
        <w:t xml:space="preserve"> at appraisal</w:t>
      </w:r>
      <w:r w:rsidR="00806606" w:rsidRPr="00A119CF">
        <w:t>. Herd sizes need to be greater than 200 to sustain a family at a reasonable level of income</w:t>
      </w:r>
      <w:r w:rsidR="00884E65" w:rsidRPr="00A119CF">
        <w:t>.</w:t>
      </w:r>
      <w:r w:rsidR="00806606" w:rsidRPr="00A119CF">
        <w:t xml:space="preserve"> </w:t>
      </w:r>
      <w:r w:rsidR="00063D19" w:rsidRPr="00A119CF">
        <w:t xml:space="preserve">However, </w:t>
      </w:r>
      <w:r w:rsidR="007A1CBF" w:rsidRPr="00A119CF">
        <w:t xml:space="preserve">severe climatic events often caused high rates of livestock mortality, jeopardizing rural livelihoods. In particular, the frequent droughts and severe winters/springs (known as </w:t>
      </w:r>
      <w:r w:rsidR="007A1CBF" w:rsidRPr="00A119CF">
        <w:rPr>
          <w:i/>
        </w:rPr>
        <w:t>dzuds</w:t>
      </w:r>
      <w:r w:rsidR="007A1CBF" w:rsidRPr="00A119CF">
        <w:t>) can devastate herd numbers.</w:t>
      </w:r>
      <w:r w:rsidR="002833D6" w:rsidRPr="00A119CF">
        <w:t xml:space="preserve"> D</w:t>
      </w:r>
      <w:r w:rsidR="007A1CBF" w:rsidRPr="00A119CF">
        <w:t>uring the period between 1999 and 2002,</w:t>
      </w:r>
      <w:r w:rsidR="002833D6" w:rsidRPr="00A119CF">
        <w:t xml:space="preserve"> immediately preceding the project,</w:t>
      </w:r>
      <w:r w:rsidR="007A1CBF" w:rsidRPr="00A119CF">
        <w:t xml:space="preserve"> one third of the national herd was lost in successive </w:t>
      </w:r>
      <w:r w:rsidR="007A1CBF" w:rsidRPr="00A119CF">
        <w:rPr>
          <w:i/>
        </w:rPr>
        <w:t>dzuds</w:t>
      </w:r>
      <w:r w:rsidR="00266C81" w:rsidRPr="00A119CF">
        <w:t xml:space="preserve">. </w:t>
      </w:r>
      <w:r w:rsidR="00F26EDE" w:rsidRPr="00A119CF">
        <w:t>Over 10,</w:t>
      </w:r>
      <w:r w:rsidR="00F276CD" w:rsidRPr="00A119CF">
        <w:t xml:space="preserve">000 households lost </w:t>
      </w:r>
      <w:r w:rsidR="00EF548D" w:rsidRPr="00A119CF">
        <w:t>all their livestock</w:t>
      </w:r>
      <w:r w:rsidR="00F276CD" w:rsidRPr="00A119CF">
        <w:t xml:space="preserve">, while the herd size of the others fell below sustainable levels. The </w:t>
      </w:r>
      <w:r w:rsidR="00EF548D" w:rsidRPr="00A119CF">
        <w:t xml:space="preserve">impact was felt throughout the economy, with </w:t>
      </w:r>
      <w:r w:rsidR="00F276CD" w:rsidRPr="00A119CF">
        <w:t>of economic value of dead animals for these three years exceeding</w:t>
      </w:r>
      <w:r w:rsidR="00EF548D" w:rsidRPr="00A119CF">
        <w:t xml:space="preserve"> $US</w:t>
      </w:r>
      <w:r w:rsidR="00A846A8" w:rsidRPr="00A119CF">
        <w:t xml:space="preserve"> </w:t>
      </w:r>
      <w:r w:rsidR="00EF548D" w:rsidRPr="00A119CF">
        <w:t>200 million</w:t>
      </w:r>
      <w:r w:rsidR="00F276CD" w:rsidRPr="00A119CF">
        <w:t>.</w:t>
      </w:r>
      <w:bookmarkEnd w:id="86"/>
    </w:p>
    <w:p w14:paraId="2B05EF19" w14:textId="7D4CBC34" w:rsidR="004454C4" w:rsidRPr="004454C4" w:rsidRDefault="008523E1" w:rsidP="004454C4">
      <w:pPr>
        <w:pStyle w:val="ListParagraph"/>
        <w:numPr>
          <w:ilvl w:val="0"/>
          <w:numId w:val="2"/>
        </w:numPr>
        <w:spacing w:line="240" w:lineRule="auto"/>
        <w:ind w:left="0" w:firstLine="0"/>
        <w:rPr>
          <w:rFonts w:ascii="Times New Roman" w:hAnsi="Times New Roman" w:cs="Times New Roman"/>
          <w:sz w:val="24"/>
          <w:szCs w:val="24"/>
        </w:rPr>
      </w:pPr>
      <w:r w:rsidRPr="00AC2A80">
        <w:rPr>
          <w:rFonts w:ascii="Times New Roman" w:hAnsi="Times New Roman" w:cs="Times New Roman"/>
          <w:sz w:val="24"/>
          <w:szCs w:val="24"/>
        </w:rPr>
        <w:t>While t</w:t>
      </w:r>
      <w:r w:rsidR="007A1CBF" w:rsidRPr="00AC2A80">
        <w:rPr>
          <w:rFonts w:ascii="Times New Roman" w:hAnsi="Times New Roman" w:cs="Times New Roman"/>
          <w:sz w:val="24"/>
          <w:szCs w:val="24"/>
        </w:rPr>
        <w:t xml:space="preserve">he government’s sectoral reform </w:t>
      </w:r>
      <w:r w:rsidRPr="00AC2A80">
        <w:rPr>
          <w:rFonts w:ascii="Times New Roman" w:hAnsi="Times New Roman" w:cs="Times New Roman"/>
          <w:sz w:val="24"/>
          <w:szCs w:val="24"/>
        </w:rPr>
        <w:t xml:space="preserve">and livestock risk management policies can </w:t>
      </w:r>
      <w:r w:rsidR="007A1CBF" w:rsidRPr="00AC2A80">
        <w:rPr>
          <w:rFonts w:ascii="Times New Roman" w:hAnsi="Times New Roman" w:cs="Times New Roman"/>
          <w:sz w:val="24"/>
          <w:szCs w:val="24"/>
        </w:rPr>
        <w:t xml:space="preserve">be effective </w:t>
      </w:r>
      <w:r w:rsidRPr="00AC2A80">
        <w:rPr>
          <w:rFonts w:ascii="Times New Roman" w:hAnsi="Times New Roman" w:cs="Times New Roman"/>
          <w:sz w:val="24"/>
          <w:szCs w:val="24"/>
        </w:rPr>
        <w:t>for less extreme risks</w:t>
      </w:r>
      <w:r w:rsidR="007A1CBF" w:rsidRPr="00AC2A80">
        <w:rPr>
          <w:rFonts w:ascii="Times New Roman" w:hAnsi="Times New Roman" w:cs="Times New Roman"/>
          <w:sz w:val="24"/>
          <w:szCs w:val="24"/>
        </w:rPr>
        <w:t xml:space="preserve">, </w:t>
      </w:r>
      <w:r w:rsidRPr="00AC2A80">
        <w:rPr>
          <w:rFonts w:ascii="Times New Roman" w:hAnsi="Times New Roman" w:cs="Times New Roman"/>
          <w:sz w:val="24"/>
          <w:szCs w:val="24"/>
        </w:rPr>
        <w:t xml:space="preserve">they were </w:t>
      </w:r>
      <w:r w:rsidR="007A1CBF" w:rsidRPr="00AC2A80">
        <w:rPr>
          <w:rFonts w:ascii="Times New Roman" w:hAnsi="Times New Roman" w:cs="Times New Roman"/>
          <w:sz w:val="24"/>
          <w:szCs w:val="24"/>
        </w:rPr>
        <w:t>ineffective agai</w:t>
      </w:r>
      <w:r w:rsidR="00212C1E" w:rsidRPr="00AC2A80">
        <w:rPr>
          <w:rFonts w:ascii="Times New Roman" w:hAnsi="Times New Roman" w:cs="Times New Roman"/>
          <w:sz w:val="24"/>
          <w:szCs w:val="24"/>
        </w:rPr>
        <w:t xml:space="preserve">nst severe </w:t>
      </w:r>
      <w:r w:rsidRPr="00AC2A80">
        <w:rPr>
          <w:rFonts w:ascii="Times New Roman" w:hAnsi="Times New Roman" w:cs="Times New Roman"/>
          <w:i/>
          <w:sz w:val="24"/>
          <w:szCs w:val="24"/>
        </w:rPr>
        <w:t xml:space="preserve">dzud </w:t>
      </w:r>
      <w:r w:rsidR="00212C1E" w:rsidRPr="00AC2A80">
        <w:rPr>
          <w:rFonts w:ascii="Times New Roman" w:hAnsi="Times New Roman" w:cs="Times New Roman"/>
          <w:sz w:val="24"/>
          <w:szCs w:val="24"/>
        </w:rPr>
        <w:t>events</w:t>
      </w:r>
      <w:r w:rsidR="007A1CBF" w:rsidRPr="00AC2A80">
        <w:rPr>
          <w:rFonts w:ascii="Times New Roman" w:hAnsi="Times New Roman" w:cs="Times New Roman"/>
          <w:sz w:val="24"/>
          <w:szCs w:val="24"/>
        </w:rPr>
        <w:t>. The</w:t>
      </w:r>
      <w:r w:rsidR="007A1CBF" w:rsidRPr="004454C4">
        <w:rPr>
          <w:rFonts w:ascii="Times New Roman" w:hAnsi="Times New Roman" w:cs="Times New Roman"/>
          <w:sz w:val="24"/>
          <w:szCs w:val="24"/>
        </w:rPr>
        <w:t xml:space="preserve"> Government of Mongolia </w:t>
      </w:r>
      <w:r w:rsidR="00063D19" w:rsidRPr="004454C4">
        <w:rPr>
          <w:rFonts w:ascii="Times New Roman" w:hAnsi="Times New Roman" w:cs="Times New Roman"/>
          <w:sz w:val="24"/>
          <w:szCs w:val="24"/>
        </w:rPr>
        <w:t xml:space="preserve">had </w:t>
      </w:r>
      <w:r w:rsidR="007A1CBF" w:rsidRPr="004454C4">
        <w:rPr>
          <w:rFonts w:ascii="Times New Roman" w:hAnsi="Times New Roman" w:cs="Times New Roman"/>
          <w:sz w:val="24"/>
          <w:szCs w:val="24"/>
        </w:rPr>
        <w:t>prioritized the development of the livestock sector and, with support from donors,</w:t>
      </w:r>
      <w:r w:rsidR="00FA46CE" w:rsidRPr="004454C4">
        <w:rPr>
          <w:rFonts w:ascii="Times New Roman" w:hAnsi="Times New Roman" w:cs="Times New Roman"/>
          <w:sz w:val="24"/>
          <w:szCs w:val="24"/>
        </w:rPr>
        <w:t xml:space="preserve"> was</w:t>
      </w:r>
      <w:r w:rsidR="007A1CBF" w:rsidRPr="004454C4">
        <w:rPr>
          <w:rFonts w:ascii="Times New Roman" w:hAnsi="Times New Roman" w:cs="Times New Roman"/>
          <w:sz w:val="24"/>
          <w:szCs w:val="24"/>
        </w:rPr>
        <w:t xml:space="preserve"> introducing a program of sectoral reform</w:t>
      </w:r>
      <w:r w:rsidR="00FA46CE" w:rsidRPr="004454C4">
        <w:rPr>
          <w:rFonts w:ascii="Times New Roman" w:hAnsi="Times New Roman" w:cs="Times New Roman"/>
          <w:sz w:val="24"/>
          <w:szCs w:val="24"/>
        </w:rPr>
        <w:t xml:space="preserve">, including support for improved pastoral risk management (PRM). </w:t>
      </w:r>
      <w:r w:rsidR="007A1CBF" w:rsidRPr="004454C4">
        <w:rPr>
          <w:rFonts w:ascii="Times New Roman" w:hAnsi="Times New Roman" w:cs="Times New Roman"/>
          <w:sz w:val="24"/>
          <w:szCs w:val="24"/>
        </w:rPr>
        <w:t xml:space="preserve">Improved </w:t>
      </w:r>
      <w:r w:rsidR="00212A2B" w:rsidRPr="004454C4">
        <w:rPr>
          <w:rFonts w:ascii="Times New Roman" w:hAnsi="Times New Roman" w:cs="Times New Roman"/>
          <w:sz w:val="24"/>
          <w:szCs w:val="24"/>
        </w:rPr>
        <w:t>PRM</w:t>
      </w:r>
      <w:r w:rsidR="007A1CBF" w:rsidRPr="004454C4">
        <w:rPr>
          <w:rFonts w:ascii="Times New Roman" w:hAnsi="Times New Roman" w:cs="Times New Roman"/>
          <w:sz w:val="24"/>
          <w:szCs w:val="24"/>
        </w:rPr>
        <w:t xml:space="preserve">, coupled with existing government activities to mitigate the impact of </w:t>
      </w:r>
      <w:r w:rsidR="007A1CBF" w:rsidRPr="004454C4">
        <w:rPr>
          <w:rFonts w:ascii="Times New Roman" w:hAnsi="Times New Roman" w:cs="Times New Roman"/>
          <w:i/>
          <w:sz w:val="24"/>
          <w:szCs w:val="24"/>
        </w:rPr>
        <w:t>dzuds</w:t>
      </w:r>
      <w:r w:rsidR="007A1CBF" w:rsidRPr="004454C4">
        <w:rPr>
          <w:rFonts w:ascii="Times New Roman" w:hAnsi="Times New Roman" w:cs="Times New Roman"/>
          <w:sz w:val="24"/>
          <w:szCs w:val="24"/>
        </w:rPr>
        <w:t xml:space="preserve">, for example through the distribution of hay and fodder reserves, can be effective to lower livestock mortality in less extreme </w:t>
      </w:r>
      <w:r w:rsidR="007A1CBF" w:rsidRPr="004454C4">
        <w:rPr>
          <w:rFonts w:ascii="Times New Roman" w:hAnsi="Times New Roman" w:cs="Times New Roman"/>
          <w:i/>
          <w:sz w:val="24"/>
          <w:szCs w:val="24"/>
        </w:rPr>
        <w:t>dzud</w:t>
      </w:r>
      <w:r w:rsidR="007A1CBF" w:rsidRPr="004454C4">
        <w:rPr>
          <w:rFonts w:ascii="Times New Roman" w:hAnsi="Times New Roman" w:cs="Times New Roman"/>
          <w:sz w:val="24"/>
          <w:szCs w:val="24"/>
        </w:rPr>
        <w:t xml:space="preserve"> events. However, such measures are ineffective against more severe weather events, and cannot prevent high levels of mortality. In such instances, herders have to rely upon traditional </w:t>
      </w:r>
      <w:r w:rsidR="005E247A" w:rsidRPr="004454C4">
        <w:rPr>
          <w:rFonts w:ascii="Times New Roman" w:hAnsi="Times New Roman" w:cs="Times New Roman"/>
          <w:sz w:val="24"/>
          <w:szCs w:val="24"/>
        </w:rPr>
        <w:t xml:space="preserve">informal </w:t>
      </w:r>
      <w:r w:rsidR="007A1CBF" w:rsidRPr="004454C4">
        <w:rPr>
          <w:rFonts w:ascii="Times New Roman" w:hAnsi="Times New Roman" w:cs="Times New Roman"/>
          <w:sz w:val="24"/>
          <w:szCs w:val="24"/>
        </w:rPr>
        <w:t xml:space="preserve">coping mechanisms and </w:t>
      </w:r>
      <w:r w:rsidR="007A1CBF" w:rsidRPr="004454C4">
        <w:rPr>
          <w:rFonts w:ascii="Times New Roman" w:hAnsi="Times New Roman" w:cs="Times New Roman"/>
          <w:i/>
          <w:sz w:val="24"/>
          <w:szCs w:val="24"/>
        </w:rPr>
        <w:t>ad hoc</w:t>
      </w:r>
      <w:r w:rsidR="007A1CBF" w:rsidRPr="004454C4">
        <w:rPr>
          <w:rFonts w:ascii="Times New Roman" w:hAnsi="Times New Roman" w:cs="Times New Roman"/>
          <w:sz w:val="24"/>
          <w:szCs w:val="24"/>
        </w:rPr>
        <w:t xml:space="preserve"> and unpredictable support from Government and international agencies</w:t>
      </w:r>
      <w:r w:rsidR="005E247A" w:rsidRPr="004454C4">
        <w:rPr>
          <w:rFonts w:ascii="Times New Roman" w:hAnsi="Times New Roman" w:cs="Times New Roman"/>
          <w:sz w:val="24"/>
          <w:szCs w:val="24"/>
        </w:rPr>
        <w:t xml:space="preserve"> (Goodland et al. 2009)</w:t>
      </w:r>
      <w:r w:rsidR="004454C4" w:rsidRPr="004454C4">
        <w:rPr>
          <w:rFonts w:ascii="Times New Roman" w:hAnsi="Times New Roman" w:cs="Times New Roman"/>
          <w:sz w:val="24"/>
          <w:szCs w:val="24"/>
        </w:rPr>
        <w:t>.</w:t>
      </w:r>
      <w:r w:rsidR="007A1CBF" w:rsidRPr="004454C4">
        <w:rPr>
          <w:rFonts w:ascii="Times New Roman" w:hAnsi="Times New Roman" w:cs="Times New Roman"/>
          <w:sz w:val="24"/>
          <w:szCs w:val="24"/>
        </w:rPr>
        <w:t xml:space="preserve"> </w:t>
      </w:r>
      <w:r w:rsidR="004454C4" w:rsidRPr="004454C4">
        <w:rPr>
          <w:rFonts w:ascii="Times New Roman" w:eastAsia="MS Mincho" w:hAnsi="Times New Roman" w:cs="Times New Roman"/>
          <w:sz w:val="24"/>
          <w:szCs w:val="24"/>
          <w:lang w:eastAsia="ja-JP"/>
        </w:rPr>
        <w:t xml:space="preserve">A study by DWI showed that children who were exposed to the 2009/10 </w:t>
      </w:r>
      <w:r w:rsidR="004454C4" w:rsidRPr="004454C4">
        <w:rPr>
          <w:rFonts w:ascii="Times New Roman" w:eastAsia="MS Mincho" w:hAnsi="Times New Roman" w:cs="Times New Roman"/>
          <w:i/>
          <w:sz w:val="24"/>
          <w:szCs w:val="24"/>
          <w:lang w:eastAsia="ja-JP"/>
        </w:rPr>
        <w:t>dzud</w:t>
      </w:r>
      <w:r w:rsidR="004454C4" w:rsidRPr="004454C4">
        <w:rPr>
          <w:rFonts w:ascii="Times New Roman" w:eastAsia="MS Mincho" w:hAnsi="Times New Roman" w:cs="Times New Roman"/>
          <w:sz w:val="24"/>
          <w:szCs w:val="24"/>
          <w:lang w:eastAsia="ja-JP"/>
        </w:rPr>
        <w:t xml:space="preserve"> as infants experienced </w:t>
      </w:r>
      <w:r w:rsidR="000D47D0" w:rsidRPr="004454C4">
        <w:rPr>
          <w:rFonts w:ascii="Times New Roman" w:eastAsia="MS Mincho" w:hAnsi="Times New Roman" w:cs="Times New Roman"/>
          <w:sz w:val="24"/>
          <w:szCs w:val="24"/>
          <w:lang w:eastAsia="ja-JP"/>
        </w:rPr>
        <w:t>perm</w:t>
      </w:r>
      <w:r w:rsidR="000D47D0">
        <w:rPr>
          <w:rFonts w:ascii="Times New Roman" w:eastAsia="MS Mincho" w:hAnsi="Times New Roman" w:cs="Times New Roman"/>
          <w:sz w:val="24"/>
          <w:szCs w:val="24"/>
          <w:lang w:eastAsia="ja-JP"/>
        </w:rPr>
        <w:t>anen</w:t>
      </w:r>
      <w:r w:rsidR="000D47D0" w:rsidRPr="004454C4">
        <w:rPr>
          <w:rFonts w:ascii="Times New Roman" w:eastAsia="MS Mincho" w:hAnsi="Times New Roman" w:cs="Times New Roman"/>
          <w:sz w:val="24"/>
          <w:szCs w:val="24"/>
          <w:lang w:eastAsia="ja-JP"/>
        </w:rPr>
        <w:t xml:space="preserve">t </w:t>
      </w:r>
      <w:r w:rsidR="004454C4" w:rsidRPr="004454C4">
        <w:rPr>
          <w:rFonts w:ascii="Times New Roman" w:eastAsia="MS Mincho" w:hAnsi="Times New Roman" w:cs="Times New Roman"/>
          <w:sz w:val="24"/>
          <w:szCs w:val="24"/>
          <w:lang w:eastAsia="ja-JP"/>
        </w:rPr>
        <w:t xml:space="preserve">stunting, when compared to those who didn’t experience the </w:t>
      </w:r>
      <w:r w:rsidR="004454C4" w:rsidRPr="004454C4">
        <w:rPr>
          <w:rFonts w:ascii="Times New Roman" w:eastAsia="MS Mincho" w:hAnsi="Times New Roman" w:cs="Times New Roman"/>
          <w:i/>
          <w:sz w:val="24"/>
          <w:szCs w:val="24"/>
          <w:lang w:eastAsia="ja-JP"/>
        </w:rPr>
        <w:t>dzud</w:t>
      </w:r>
      <w:r w:rsidR="004454C4" w:rsidRPr="004454C4">
        <w:rPr>
          <w:rFonts w:ascii="Times New Roman" w:eastAsia="MS Mincho" w:hAnsi="Times New Roman" w:cs="Times New Roman"/>
          <w:sz w:val="24"/>
          <w:szCs w:val="24"/>
          <w:lang w:eastAsia="ja-JP"/>
        </w:rPr>
        <w:t>.</w:t>
      </w:r>
      <w:r w:rsidR="004454C4" w:rsidRPr="004454C4">
        <w:rPr>
          <w:rFonts w:ascii="Times New Roman" w:hAnsi="Times New Roman" w:cs="Times New Roman"/>
          <w:sz w:val="24"/>
          <w:szCs w:val="24"/>
        </w:rPr>
        <w:t xml:space="preserve"> After </w:t>
      </w:r>
      <w:r w:rsidR="004454C4" w:rsidRPr="004454C4">
        <w:rPr>
          <w:rFonts w:ascii="Times New Roman" w:hAnsi="Times New Roman" w:cs="Times New Roman"/>
          <w:i/>
          <w:sz w:val="24"/>
          <w:szCs w:val="24"/>
        </w:rPr>
        <w:t>dzud</w:t>
      </w:r>
      <w:r w:rsidR="004454C4" w:rsidRPr="004454C4">
        <w:rPr>
          <w:rFonts w:ascii="Times New Roman" w:hAnsi="Times New Roman" w:cs="Times New Roman"/>
          <w:sz w:val="24"/>
          <w:szCs w:val="24"/>
        </w:rPr>
        <w:t>, restocking is the most important goal for herders (Goodland et al. 2009).</w:t>
      </w:r>
    </w:p>
    <w:p w14:paraId="67B0675A" w14:textId="77777777" w:rsidR="004454C4" w:rsidRPr="0046381B" w:rsidRDefault="004454C4" w:rsidP="004454C4">
      <w:pPr>
        <w:spacing w:after="240"/>
      </w:pPr>
    </w:p>
    <w:p w14:paraId="7F06932B" w14:textId="03DD190C" w:rsidR="007A1CBF" w:rsidRPr="008523E1" w:rsidRDefault="007A1CBF" w:rsidP="008523E1">
      <w:pPr>
        <w:numPr>
          <w:ilvl w:val="0"/>
          <w:numId w:val="2"/>
        </w:numPr>
        <w:tabs>
          <w:tab w:val="num" w:pos="0"/>
        </w:tabs>
        <w:spacing w:after="240"/>
        <w:ind w:left="0" w:firstLine="0"/>
        <w:rPr>
          <w:b/>
        </w:rPr>
      </w:pPr>
      <w:bookmarkStart w:id="87" w:name="_Ref457910127"/>
      <w:r w:rsidRPr="00AC2A80">
        <w:lastRenderedPageBreak/>
        <w:t xml:space="preserve">Insurance was a logical complement to risk management activities at the time of appraisal, but </w:t>
      </w:r>
      <w:r w:rsidR="008523E1" w:rsidRPr="00AC2A80">
        <w:t>faced historical challenges</w:t>
      </w:r>
      <w:r w:rsidRPr="00AC2A80">
        <w:t>. Although insurance is recognized as a key element</w:t>
      </w:r>
      <w:r w:rsidRPr="0046381B">
        <w:t xml:space="preserve"> of risk mitigation, the conventional approach to livestock insurance (based on individual losses) </w:t>
      </w:r>
      <w:r w:rsidR="00931F2B">
        <w:t>was</w:t>
      </w:r>
      <w:r w:rsidRPr="0046381B">
        <w:t xml:space="preserve"> ineffective in Mongolian conditions</w:t>
      </w:r>
      <w:r w:rsidR="00AD7B01">
        <w:t xml:space="preserve">, with </w:t>
      </w:r>
      <w:r w:rsidR="00033DD3">
        <w:t xml:space="preserve">multiple </w:t>
      </w:r>
      <w:r w:rsidR="00AD7B01">
        <w:t>failed attempts to introduce livestock insurance</w:t>
      </w:r>
      <w:r w:rsidRPr="0046381B">
        <w:t>. It suffer</w:t>
      </w:r>
      <w:r>
        <w:t>ed</w:t>
      </w:r>
      <w:r w:rsidRPr="0046381B">
        <w:t xml:space="preserve"> from moral hazard</w:t>
      </w:r>
      <w:r w:rsidR="00FD270A">
        <w:t xml:space="preserve">—individual herders did not have an incentive to manage their </w:t>
      </w:r>
      <w:r w:rsidR="00557F81">
        <w:t>herd</w:t>
      </w:r>
      <w:r w:rsidR="00FD270A">
        <w:t xml:space="preserve">s so as to minimize the impacts of </w:t>
      </w:r>
      <w:r w:rsidR="00FD270A" w:rsidRPr="008523E1">
        <w:rPr>
          <w:i/>
        </w:rPr>
        <w:t>dzuds</w:t>
      </w:r>
      <w:r w:rsidR="00557F81">
        <w:t xml:space="preserve"> as they received payouts based on their individual losses</w:t>
      </w:r>
      <w:r w:rsidR="00FD270A">
        <w:t xml:space="preserve">— </w:t>
      </w:r>
      <w:r w:rsidR="008523E1">
        <w:t>with high claims verification costs</w:t>
      </w:r>
      <w:r w:rsidRPr="0046381B">
        <w:t xml:space="preserve">. </w:t>
      </w:r>
      <w:r w:rsidR="008523E1">
        <w:t xml:space="preserve">Given </w:t>
      </w:r>
      <w:r w:rsidRPr="0046381B">
        <w:t>the scale of the disasters during 1999 to 2002</w:t>
      </w:r>
      <w:r w:rsidR="008523E1">
        <w:t xml:space="preserve">, </w:t>
      </w:r>
      <w:r w:rsidRPr="0046381B">
        <w:t xml:space="preserve">it </w:t>
      </w:r>
      <w:r w:rsidR="008523E1">
        <w:t xml:space="preserve">was </w:t>
      </w:r>
      <w:r w:rsidRPr="0046381B">
        <w:t xml:space="preserve">clear that </w:t>
      </w:r>
      <w:r w:rsidR="00931F2B">
        <w:t>g</w:t>
      </w:r>
      <w:r w:rsidRPr="0046381B">
        <w:t xml:space="preserve">overnment </w:t>
      </w:r>
      <w:r w:rsidR="008523E1">
        <w:t xml:space="preserve">needed to develop a </w:t>
      </w:r>
      <w:r w:rsidRPr="0046381B">
        <w:t xml:space="preserve">market-based </w:t>
      </w:r>
      <w:r w:rsidR="008523E1">
        <w:t>approach</w:t>
      </w:r>
      <w:r w:rsidRPr="0046381B">
        <w:t>, which would share risks between herders, the insurance industry, and government.</w:t>
      </w:r>
      <w:r w:rsidR="008523E1">
        <w:t xml:space="preserve"> </w:t>
      </w:r>
      <w:r w:rsidRPr="0046381B">
        <w:t>Involving the insurance industry, operating on a commercial basis, ha</w:t>
      </w:r>
      <w:r>
        <w:t>d</w:t>
      </w:r>
      <w:r w:rsidRPr="0046381B">
        <w:t xml:space="preserve"> the potential to improve the financial sustainability of livestock insurance and </w:t>
      </w:r>
      <w:r>
        <w:t xml:space="preserve">could </w:t>
      </w:r>
      <w:r w:rsidRPr="0046381B">
        <w:t>contribute</w:t>
      </w:r>
      <w:r>
        <w:t xml:space="preserve"> </w:t>
      </w:r>
      <w:r w:rsidRPr="0046381B">
        <w:t xml:space="preserve">to strengthening the rural finance sector, which </w:t>
      </w:r>
      <w:r>
        <w:t>was a</w:t>
      </w:r>
      <w:r w:rsidRPr="0046381B">
        <w:t xml:space="preserve"> key element in Government strategy for rural economic diversification</w:t>
      </w:r>
      <w:r>
        <w:t xml:space="preserve"> at the time</w:t>
      </w:r>
      <w:r w:rsidRPr="0046381B">
        <w:t>.</w:t>
      </w:r>
      <w:r w:rsidR="00931F2B">
        <w:t xml:space="preserve"> </w:t>
      </w:r>
      <w:r w:rsidRPr="00FA46CE">
        <w:t>The domestic insurance was immature, undercapitalized and highly concentrated at appraisal, but the new Insurance law passed in 2004 provided an opportunity for Mongolia to strengthen the insurance industry through improved regulation</w:t>
      </w:r>
      <w:r w:rsidR="000D47D0">
        <w:t xml:space="preserve"> and should be capitalized</w:t>
      </w:r>
      <w:r w:rsidRPr="00FA46CE">
        <w:t>.</w:t>
      </w:r>
      <w:bookmarkEnd w:id="87"/>
      <w:r w:rsidRPr="008523E1">
        <w:rPr>
          <w:b/>
        </w:rPr>
        <w:t xml:space="preserve"> </w:t>
      </w:r>
    </w:p>
    <w:p w14:paraId="18EF1A2D" w14:textId="7CD5E709" w:rsidR="007A1CBF" w:rsidRPr="00B8085E" w:rsidRDefault="007A1CBF" w:rsidP="00F92093">
      <w:pPr>
        <w:numPr>
          <w:ilvl w:val="0"/>
          <w:numId w:val="2"/>
        </w:numPr>
        <w:tabs>
          <w:tab w:val="num" w:pos="0"/>
        </w:tabs>
        <w:spacing w:after="240"/>
        <w:ind w:left="0" w:firstLine="0"/>
      </w:pPr>
      <w:r w:rsidRPr="007E5B66">
        <w:rPr>
          <w:b/>
        </w:rPr>
        <w:t>The proposed insurance approach to be piloted</w:t>
      </w:r>
      <w:r w:rsidR="008523E1">
        <w:rPr>
          <w:b/>
        </w:rPr>
        <w:t xml:space="preserve"> </w:t>
      </w:r>
      <w:r w:rsidRPr="007E5B66">
        <w:rPr>
          <w:b/>
        </w:rPr>
        <w:t xml:space="preserve">was </w:t>
      </w:r>
      <w:r w:rsidR="00095AA4">
        <w:rPr>
          <w:b/>
        </w:rPr>
        <w:t>unprecedented</w:t>
      </w:r>
      <w:r w:rsidRPr="007E5B66">
        <w:rPr>
          <w:b/>
        </w:rPr>
        <w:t>.</w:t>
      </w:r>
      <w:r w:rsidRPr="00B8085E">
        <w:t xml:space="preserve"> </w:t>
      </w:r>
      <w:r w:rsidR="008523E1">
        <w:t xml:space="preserve">Losses were based </w:t>
      </w:r>
      <w:r w:rsidR="008523E1" w:rsidRPr="008523E1">
        <w:t xml:space="preserve">on an index not linked to the </w:t>
      </w:r>
      <w:r w:rsidR="008523E1" w:rsidRPr="008523E1">
        <w:rPr>
          <w:i/>
        </w:rPr>
        <w:t>dzud</w:t>
      </w:r>
      <w:r w:rsidR="008523E1" w:rsidRPr="008523E1">
        <w:t xml:space="preserve"> event itself, but to livestock mortality</w:t>
      </w:r>
      <w:r w:rsidR="008523E1">
        <w:t>.</w:t>
      </w:r>
      <w:r w:rsidR="008523E1" w:rsidRPr="008523E1">
        <w:t xml:space="preserve"> </w:t>
      </w:r>
      <w:r w:rsidRPr="008523E1">
        <w:t>It</w:t>
      </w:r>
      <w:r w:rsidRPr="00B8085E">
        <w:t xml:space="preserve"> combine</w:t>
      </w:r>
      <w:r>
        <w:t>d</w:t>
      </w:r>
      <w:r w:rsidRPr="00B8085E">
        <w:t xml:space="preserve"> self-insurance, market-based insurance and social insurance. Herders retain small losses that do not affect the viability of their business, while larger losses are transferred to the private insurance industry and only the final layer of catastrophic losses is borne by the government. The insurance would pay out to individual herders whenever the mortality rate in the local </w:t>
      </w:r>
      <w:r w:rsidR="002A1655">
        <w:t>district</w:t>
      </w:r>
      <w:r w:rsidR="002A1655" w:rsidRPr="00B8085E">
        <w:t xml:space="preserve"> </w:t>
      </w:r>
      <w:r w:rsidRPr="00B8085E">
        <w:t>(</w:t>
      </w:r>
      <w:r w:rsidRPr="00A6671D">
        <w:rPr>
          <w:i/>
        </w:rPr>
        <w:t>s</w:t>
      </w:r>
      <w:r w:rsidR="004A76F4" w:rsidRPr="00A6671D">
        <w:rPr>
          <w:i/>
        </w:rPr>
        <w:t>o</w:t>
      </w:r>
      <w:r w:rsidR="005B111B" w:rsidRPr="00A6671D">
        <w:rPr>
          <w:i/>
        </w:rPr>
        <w:t>u</w:t>
      </w:r>
      <w:r w:rsidRPr="00A6671D">
        <w:rPr>
          <w:i/>
        </w:rPr>
        <w:t>m</w:t>
      </w:r>
      <w:r w:rsidR="008523E1">
        <w:t>) exceeded</w:t>
      </w:r>
      <w:r w:rsidRPr="00B8085E">
        <w:t xml:space="preserve"> a specific threshold. Key to the approach is the availability of good data to develop an appropriate index, and through the National Statistics Office (NSO), </w:t>
      </w:r>
      <w:r w:rsidR="00FD270A">
        <w:t xml:space="preserve">at appraisal, </w:t>
      </w:r>
      <w:r w:rsidRPr="00B8085E">
        <w:t>Mongolia ha</w:t>
      </w:r>
      <w:r w:rsidR="00B31B8E">
        <w:t xml:space="preserve">d </w:t>
      </w:r>
      <w:r w:rsidRPr="00B8085E">
        <w:t xml:space="preserve">a 33-year time series on adult animal mortality that is available for all </w:t>
      </w:r>
      <w:r w:rsidRPr="00A6671D">
        <w:rPr>
          <w:i/>
        </w:rPr>
        <w:t>s</w:t>
      </w:r>
      <w:r w:rsidR="002D32EA" w:rsidRPr="00A6671D">
        <w:rPr>
          <w:i/>
        </w:rPr>
        <w:t>o</w:t>
      </w:r>
      <w:r w:rsidRPr="00A6671D">
        <w:rPr>
          <w:i/>
        </w:rPr>
        <w:t>ums</w:t>
      </w:r>
      <w:r w:rsidRPr="00B8085E">
        <w:t xml:space="preserve"> and for the four major species of animals (cattle and yak, horse, sheep, </w:t>
      </w:r>
      <w:r w:rsidR="00FD270A">
        <w:t xml:space="preserve">and </w:t>
      </w:r>
      <w:r w:rsidRPr="00B8085E">
        <w:t xml:space="preserve">goat). This data </w:t>
      </w:r>
      <w:r w:rsidR="00FD270A">
        <w:t xml:space="preserve">had the potential to </w:t>
      </w:r>
      <w:r w:rsidRPr="00B8085E">
        <w:t>provide the basis for developing actuarial inf</w:t>
      </w:r>
      <w:r w:rsidR="00A846A8">
        <w:t>ormation. Importantly, the index-</w:t>
      </w:r>
      <w:r w:rsidRPr="00B8085E">
        <w:t xml:space="preserve">based approach provides strong incentives to individual herders to continue to manage their herds so as to minimize the impacts of major livestock mortality events (as individual herders receive an insurance pay-out based on regional mortality, irrespective of their individual losses). </w:t>
      </w:r>
    </w:p>
    <w:p w14:paraId="5D761D8E" w14:textId="45F3303C" w:rsidR="00313CC6" w:rsidRDefault="007A1CBF" w:rsidP="007A1CBF">
      <w:pPr>
        <w:rPr>
          <w:b/>
        </w:rPr>
      </w:pPr>
      <w:bookmarkStart w:id="88" w:name="_Toc40780170"/>
      <w:bookmarkStart w:id="89" w:name="_Toc88880115"/>
      <w:r w:rsidRPr="00902B6C">
        <w:rPr>
          <w:b/>
        </w:rPr>
        <w:t>Rationale for Bank</w:t>
      </w:r>
      <w:r w:rsidR="00313CC6">
        <w:rPr>
          <w:b/>
        </w:rPr>
        <w:t xml:space="preserve"> engagement</w:t>
      </w:r>
    </w:p>
    <w:p w14:paraId="5F7A3A1D" w14:textId="65F6075C" w:rsidR="009733F8" w:rsidRPr="003166F6" w:rsidRDefault="009733F8" w:rsidP="00F92093">
      <w:pPr>
        <w:numPr>
          <w:ilvl w:val="0"/>
          <w:numId w:val="2"/>
        </w:numPr>
        <w:tabs>
          <w:tab w:val="num" w:pos="0"/>
        </w:tabs>
        <w:spacing w:after="240"/>
        <w:ind w:left="0" w:firstLine="0"/>
      </w:pPr>
      <w:bookmarkStart w:id="90" w:name="RationaleBankInvolvement"/>
      <w:bookmarkEnd w:id="88"/>
      <w:bookmarkEnd w:id="89"/>
      <w:r w:rsidRPr="00AC2A80">
        <w:t xml:space="preserve">The </w:t>
      </w:r>
      <w:r w:rsidR="00331B07" w:rsidRPr="00AC2A80">
        <w:t xml:space="preserve">project </w:t>
      </w:r>
      <w:r w:rsidR="00884E65" w:rsidRPr="00AC2A80">
        <w:t>was</w:t>
      </w:r>
      <w:r w:rsidR="00331B07" w:rsidRPr="00AC2A80">
        <w:t xml:space="preserve"> </w:t>
      </w:r>
      <w:r w:rsidRPr="00AC2A80">
        <w:t>consistent with the World Bank</w:t>
      </w:r>
      <w:r w:rsidR="002A1655" w:rsidRPr="00AC2A80">
        <w:t xml:space="preserve"> (WB)</w:t>
      </w:r>
      <w:r w:rsidRPr="00AC2A80">
        <w:t xml:space="preserve"> </w:t>
      </w:r>
      <w:r w:rsidR="00331B07" w:rsidRPr="00AC2A80">
        <w:t>mission</w:t>
      </w:r>
      <w:r w:rsidR="00D47EA7" w:rsidRPr="00AC2A80">
        <w:t xml:space="preserve"> and the </w:t>
      </w:r>
      <w:r w:rsidR="002A1655" w:rsidRPr="00AC2A80">
        <w:t>Government of Mongolia (</w:t>
      </w:r>
      <w:r w:rsidR="00D47EA7" w:rsidRPr="00AC2A80">
        <w:t>GoM</w:t>
      </w:r>
      <w:r w:rsidR="002A1655" w:rsidRPr="00AC2A80">
        <w:t>)</w:t>
      </w:r>
      <w:r w:rsidR="00D47EA7" w:rsidRPr="00AC2A80">
        <w:t xml:space="preserve"> objective at</w:t>
      </w:r>
      <w:r w:rsidR="00331B07" w:rsidRPr="00AC2A80">
        <w:t xml:space="preserve"> appraisal</w:t>
      </w:r>
      <w:r w:rsidRPr="00AC2A80">
        <w:t xml:space="preserve"> of reducing poverty</w:t>
      </w:r>
      <w:r w:rsidR="003166F6" w:rsidRPr="00AC2A80">
        <w:t>. The effects of</w:t>
      </w:r>
      <w:r w:rsidR="003166F6" w:rsidRPr="00AC2A80">
        <w:rPr>
          <w:i/>
        </w:rPr>
        <w:t xml:space="preserve"> dzud</w:t>
      </w:r>
      <w:r w:rsidR="003166F6" w:rsidRPr="00AC2A80">
        <w:t xml:space="preserve"> and</w:t>
      </w:r>
      <w:r w:rsidR="003166F6" w:rsidRPr="003166F6">
        <w:t xml:space="preserve"> consequent high levels of livestock mortality had a major impact on rural</w:t>
      </w:r>
      <w:r w:rsidR="003166F6">
        <w:t xml:space="preserve"> </w:t>
      </w:r>
      <w:r w:rsidR="003166F6" w:rsidRPr="003166F6">
        <w:t>poverty. The latest survey</w:t>
      </w:r>
      <w:r w:rsidR="00884E65">
        <w:t xml:space="preserve"> at appraisal</w:t>
      </w:r>
      <w:r w:rsidR="003166F6" w:rsidRPr="003166F6">
        <w:t xml:space="preserve">, published in 2004, </w:t>
      </w:r>
      <w:r w:rsidR="00557F81">
        <w:t xml:space="preserve">showed </w:t>
      </w:r>
      <w:r w:rsidR="003166F6" w:rsidRPr="003166F6">
        <w:t>that in the last few years the percentage of rural</w:t>
      </w:r>
      <w:r w:rsidR="003166F6">
        <w:t xml:space="preserve"> </w:t>
      </w:r>
      <w:r w:rsidR="003166F6" w:rsidRPr="003166F6">
        <w:t xml:space="preserve">poverty </w:t>
      </w:r>
      <w:r w:rsidR="000D47D0" w:rsidRPr="003166F6">
        <w:t>ha</w:t>
      </w:r>
      <w:r w:rsidR="000D47D0">
        <w:t>d</w:t>
      </w:r>
      <w:r w:rsidR="000D47D0" w:rsidRPr="003166F6">
        <w:t xml:space="preserve"> </w:t>
      </w:r>
      <w:r w:rsidR="003166F6" w:rsidRPr="003166F6">
        <w:t>increased, to 43.2</w:t>
      </w:r>
      <w:r w:rsidR="003166F6">
        <w:t xml:space="preserve"> percent, and </w:t>
      </w:r>
      <w:r w:rsidR="00557F81">
        <w:t xml:space="preserve">exceeded </w:t>
      </w:r>
      <w:r w:rsidR="003166F6">
        <w:t>the 3</w:t>
      </w:r>
      <w:r w:rsidR="003166F6" w:rsidRPr="003166F6">
        <w:t>1.2 percent</w:t>
      </w:r>
      <w:r w:rsidR="00884E65">
        <w:t xml:space="preserve"> level of urban poverty. This was</w:t>
      </w:r>
      <w:r w:rsidR="003166F6" w:rsidRPr="003166F6">
        <w:t xml:space="preserve"> a</w:t>
      </w:r>
      <w:r w:rsidR="003166F6">
        <w:t xml:space="preserve"> </w:t>
      </w:r>
      <w:r w:rsidR="003166F6" w:rsidRPr="003166F6">
        <w:t xml:space="preserve">reversal of the situation before the recent </w:t>
      </w:r>
      <w:r w:rsidR="003166F6" w:rsidRPr="00D47EA7">
        <w:rPr>
          <w:i/>
        </w:rPr>
        <w:t xml:space="preserve">dzuds </w:t>
      </w:r>
      <w:r w:rsidR="003166F6" w:rsidRPr="003166F6">
        <w:t xml:space="preserve">when urban poverty was greater than rural poverty. </w:t>
      </w:r>
      <w:r w:rsidR="00D47EA7">
        <w:t>Therefore</w:t>
      </w:r>
      <w:r w:rsidR="003166F6" w:rsidRPr="003166F6">
        <w:t xml:space="preserve">, </w:t>
      </w:r>
      <w:r w:rsidR="00D47EA7">
        <w:t xml:space="preserve">by </w:t>
      </w:r>
      <w:r w:rsidR="00944665">
        <w:t xml:space="preserve">mitigating </w:t>
      </w:r>
      <w:r w:rsidR="00944665" w:rsidRPr="003166F6">
        <w:t>the</w:t>
      </w:r>
      <w:r w:rsidR="003166F6" w:rsidRPr="003166F6">
        <w:t xml:space="preserve"> socio-economic impact of</w:t>
      </w:r>
      <w:r w:rsidR="003166F6">
        <w:t xml:space="preserve"> </w:t>
      </w:r>
      <w:r w:rsidR="003166F6" w:rsidRPr="003166F6">
        <w:t xml:space="preserve">livestock losses due to </w:t>
      </w:r>
      <w:r w:rsidR="00884E65" w:rsidRPr="00D47EA7">
        <w:rPr>
          <w:i/>
        </w:rPr>
        <w:t>dzud,</w:t>
      </w:r>
      <w:r w:rsidR="00D47EA7">
        <w:rPr>
          <w:i/>
        </w:rPr>
        <w:t xml:space="preserve"> </w:t>
      </w:r>
      <w:r w:rsidR="00D47EA7" w:rsidRPr="00D47EA7">
        <w:t>the project would</w:t>
      </w:r>
      <w:r w:rsidR="00D47EA7">
        <w:rPr>
          <w:i/>
        </w:rPr>
        <w:t xml:space="preserve"> </w:t>
      </w:r>
      <w:r w:rsidR="00D47EA7">
        <w:t>contribute to</w:t>
      </w:r>
      <w:r w:rsidR="003166F6" w:rsidRPr="003166F6">
        <w:t xml:space="preserve"> poverty</w:t>
      </w:r>
      <w:r w:rsidR="003166F6">
        <w:t xml:space="preserve"> </w:t>
      </w:r>
      <w:r w:rsidR="00884E65" w:rsidRPr="003166F6">
        <w:t>reduction</w:t>
      </w:r>
      <w:r w:rsidR="00884E65">
        <w:t>.</w:t>
      </w:r>
      <w:r w:rsidR="00BA6B2E">
        <w:t xml:space="preserve"> </w:t>
      </w:r>
      <w:r w:rsidR="00BA6B2E" w:rsidRPr="00BA6B2E">
        <w:t xml:space="preserve">There is also a strong rationale for supporting GoM manage the impact of </w:t>
      </w:r>
      <w:r w:rsidR="00BA6B2E" w:rsidRPr="00BA6B2E">
        <w:rPr>
          <w:i/>
        </w:rPr>
        <w:t>dzuds</w:t>
      </w:r>
      <w:r w:rsidR="00BA6B2E" w:rsidRPr="00BA6B2E">
        <w:t xml:space="preserve"> to defend development gains, with strong evidence showing that </w:t>
      </w:r>
      <w:r w:rsidR="00BA6B2E" w:rsidRPr="00BA6B2E">
        <w:rPr>
          <w:i/>
        </w:rPr>
        <w:t>dzuds</w:t>
      </w:r>
      <w:r w:rsidR="00BA6B2E" w:rsidRPr="00BA6B2E">
        <w:t xml:space="preserve"> cause large shocks to the GoM budget, and that they can cause malnutrition and stunting in children.</w:t>
      </w:r>
      <w:r w:rsidR="00BA6B2E" w:rsidRPr="00BA6B2E">
        <w:rPr>
          <w:vertAlign w:val="superscript"/>
        </w:rPr>
        <w:footnoteReference w:id="1"/>
      </w:r>
    </w:p>
    <w:p w14:paraId="62AC4E8C" w14:textId="68EE86B1" w:rsidR="00D47EA7" w:rsidRDefault="007A1CBF" w:rsidP="00F92093">
      <w:pPr>
        <w:numPr>
          <w:ilvl w:val="0"/>
          <w:numId w:val="2"/>
        </w:numPr>
        <w:tabs>
          <w:tab w:val="num" w:pos="0"/>
        </w:tabs>
        <w:spacing w:after="240"/>
        <w:ind w:left="0" w:firstLine="0"/>
      </w:pPr>
      <w:r w:rsidRPr="00AC2A80">
        <w:lastRenderedPageBreak/>
        <w:t xml:space="preserve">The project built on </w:t>
      </w:r>
      <w:r w:rsidR="000C58BD" w:rsidRPr="00AC2A80">
        <w:t>the</w:t>
      </w:r>
      <w:r w:rsidRPr="00AC2A80">
        <w:t xml:space="preserve"> </w:t>
      </w:r>
      <w:r w:rsidR="002A1655" w:rsidRPr="00AC2A80">
        <w:t xml:space="preserve">WB </w:t>
      </w:r>
      <w:r w:rsidR="000C58BD" w:rsidRPr="00AC2A80">
        <w:t>operational portfolio</w:t>
      </w:r>
      <w:r w:rsidRPr="00AC2A80">
        <w:t xml:space="preserve"> in</w:t>
      </w:r>
      <w:r w:rsidR="00B31B8E" w:rsidRPr="00AC2A80">
        <w:t xml:space="preserve"> Mongolia</w:t>
      </w:r>
      <w:r w:rsidRPr="00AC2A80">
        <w:t>. At the time of</w:t>
      </w:r>
      <w:r>
        <w:t xml:space="preserve"> appraisal, t</w:t>
      </w:r>
      <w:r w:rsidRPr="0046381B">
        <w:t>he commercial insurance sector in Mongolia d</w:t>
      </w:r>
      <w:r>
        <w:t>id</w:t>
      </w:r>
      <w:r w:rsidRPr="0046381B">
        <w:t xml:space="preserve"> not have the technical resources to develop an innovative product. The introduction of an entirely new product, such as </w:t>
      </w:r>
      <w:r>
        <w:t>the one</w:t>
      </w:r>
      <w:r w:rsidRPr="0046381B">
        <w:t xml:space="preserve"> proposed would not be undertaken without external support.</w:t>
      </w:r>
      <w:r>
        <w:t xml:space="preserve"> </w:t>
      </w:r>
      <w:r w:rsidRPr="0046381B">
        <w:t xml:space="preserve">The </w:t>
      </w:r>
      <w:r w:rsidR="002A1655">
        <w:t>WB</w:t>
      </w:r>
      <w:r w:rsidR="002A1655" w:rsidRPr="0046381B">
        <w:t xml:space="preserve"> </w:t>
      </w:r>
      <w:r w:rsidRPr="0046381B">
        <w:t>ha</w:t>
      </w:r>
      <w:r w:rsidR="006D4882">
        <w:t>d</w:t>
      </w:r>
      <w:r w:rsidRPr="0046381B">
        <w:t xml:space="preserve"> global experience of innovative approaches to insurance for catastrophic events and therefore</w:t>
      </w:r>
      <w:r>
        <w:t xml:space="preserve"> was</w:t>
      </w:r>
      <w:r w:rsidRPr="0046381B">
        <w:t xml:space="preserve"> well positioned to support this project. Examples with relevant elements include crop insurance in India and Mexico.</w:t>
      </w:r>
      <w:r w:rsidR="006D4882">
        <w:t xml:space="preserve"> </w:t>
      </w:r>
    </w:p>
    <w:p w14:paraId="1DFA91F4" w14:textId="36DFA687" w:rsidR="007E08A1" w:rsidRPr="00574200" w:rsidRDefault="007A1CBF" w:rsidP="00F92093">
      <w:pPr>
        <w:numPr>
          <w:ilvl w:val="0"/>
          <w:numId w:val="2"/>
        </w:numPr>
        <w:spacing w:after="240"/>
        <w:ind w:left="0" w:firstLine="0"/>
        <w:rPr>
          <w:b/>
        </w:rPr>
      </w:pPr>
      <w:r w:rsidRPr="00544E95">
        <w:t xml:space="preserve">The project </w:t>
      </w:r>
      <w:r w:rsidR="00D47EA7" w:rsidRPr="00544E95">
        <w:t xml:space="preserve">was </w:t>
      </w:r>
      <w:r w:rsidR="00F36FF6" w:rsidRPr="00544E95">
        <w:t>also part</w:t>
      </w:r>
      <w:r w:rsidR="00D47EA7" w:rsidRPr="00544E95">
        <w:t xml:space="preserve"> of a broad strategy on PRM.</w:t>
      </w:r>
      <w:r w:rsidR="00D47EA7" w:rsidRPr="00B7045F">
        <w:rPr>
          <w:b/>
        </w:rPr>
        <w:t xml:space="preserve"> </w:t>
      </w:r>
      <w:r w:rsidR="007E08A1" w:rsidRPr="007E08A1">
        <w:t>It was an offshoot of the IDA</w:t>
      </w:r>
      <w:r w:rsidRPr="007E08A1">
        <w:t>-funded Sustainable Livelihoods Project (SLP</w:t>
      </w:r>
      <w:r w:rsidR="00355278" w:rsidRPr="007E08A1">
        <w:t>)</w:t>
      </w:r>
      <w:r w:rsidR="007E08A1" w:rsidRPr="007E08A1">
        <w:t xml:space="preserve">, which </w:t>
      </w:r>
      <w:r w:rsidR="000F7D8C" w:rsidRPr="007E08A1">
        <w:t>encompasse</w:t>
      </w:r>
      <w:r w:rsidR="000F7D8C">
        <w:t>d</w:t>
      </w:r>
      <w:r w:rsidR="000F7D8C" w:rsidRPr="007E08A1">
        <w:t xml:space="preserve"> </w:t>
      </w:r>
      <w:r w:rsidR="007E08A1" w:rsidRPr="007E08A1">
        <w:t xml:space="preserve">a package of initiatives including participatory grazing and pasture management, support to herder self-help groups and support to the hay and fodder </w:t>
      </w:r>
      <w:r w:rsidR="007E08A1" w:rsidRPr="00574200">
        <w:t>enterprise development</w:t>
      </w:r>
      <w:r w:rsidR="00E361F3" w:rsidRPr="00574200">
        <w:t>.</w:t>
      </w:r>
      <w:r w:rsidR="00355278" w:rsidRPr="00574200">
        <w:t xml:space="preserve"> </w:t>
      </w:r>
      <w:r w:rsidR="007E08A1">
        <w:t xml:space="preserve">The project </w:t>
      </w:r>
      <w:r w:rsidR="00842765">
        <w:t xml:space="preserve">became an integral part of </w:t>
      </w:r>
      <w:r w:rsidR="007E08A1">
        <w:t>the SLP and fill</w:t>
      </w:r>
      <w:r w:rsidR="00842765">
        <w:t>ed</w:t>
      </w:r>
      <w:r w:rsidR="007E08A1">
        <w:t xml:space="preserve"> an important gap in the PRM activities, supporting herding households and the development of the livestock sector.</w:t>
      </w:r>
    </w:p>
    <w:p w14:paraId="67033B6B" w14:textId="3D04516D" w:rsidR="007A1CBF" w:rsidRPr="00574200" w:rsidRDefault="007E08A1" w:rsidP="00F92093">
      <w:pPr>
        <w:numPr>
          <w:ilvl w:val="0"/>
          <w:numId w:val="2"/>
        </w:numPr>
        <w:spacing w:after="240"/>
        <w:ind w:left="0" w:firstLine="0"/>
        <w:rPr>
          <w:b/>
        </w:rPr>
      </w:pPr>
      <w:r w:rsidRPr="007E08A1">
        <w:t xml:space="preserve"> </w:t>
      </w:r>
      <w:r w:rsidR="007A1CBF" w:rsidRPr="007E08A1">
        <w:t xml:space="preserve">Donors such as </w:t>
      </w:r>
      <w:r w:rsidR="002A1655">
        <w:t>the International Fund for Agriculture Development (</w:t>
      </w:r>
      <w:r w:rsidR="007A1CBF" w:rsidRPr="007E08A1">
        <w:t>IFAD</w:t>
      </w:r>
      <w:r w:rsidR="002A1655">
        <w:t>)</w:t>
      </w:r>
      <w:r w:rsidR="007A1CBF" w:rsidRPr="007E08A1">
        <w:t xml:space="preserve">, </w:t>
      </w:r>
      <w:r w:rsidR="002A1655">
        <w:t>the United Nations Development Program (</w:t>
      </w:r>
      <w:r w:rsidR="007A1CBF" w:rsidRPr="007E08A1">
        <w:t>UNDP</w:t>
      </w:r>
      <w:r w:rsidR="002A1655">
        <w:t>)</w:t>
      </w:r>
      <w:r w:rsidR="007A1CBF" w:rsidRPr="007E08A1">
        <w:t xml:space="preserve"> and </w:t>
      </w:r>
      <w:r w:rsidR="002A1655">
        <w:t>United States Agency for International Development (</w:t>
      </w:r>
      <w:r w:rsidR="007A1CBF" w:rsidRPr="007E08A1">
        <w:t>USA</w:t>
      </w:r>
      <w:r w:rsidR="006D4882" w:rsidRPr="007E08A1">
        <w:t xml:space="preserve">ID under the Gobi Initiative) were </w:t>
      </w:r>
      <w:r w:rsidR="007A1CBF" w:rsidRPr="007E08A1">
        <w:t xml:space="preserve">supporting projects with similar objectives to the SLP in other </w:t>
      </w:r>
      <w:r w:rsidR="007A1CBF" w:rsidRPr="00574200">
        <w:t>aimags</w:t>
      </w:r>
      <w:r w:rsidR="007A1CBF" w:rsidRPr="007E08A1">
        <w:t>. A successful pilot of index-based livestock insurance with the possibility of subsequent extension to a national basis would, therefore, support other donor initiatives for the development of the extensive livestock sector.</w:t>
      </w:r>
    </w:p>
    <w:bookmarkEnd w:id="90"/>
    <w:p w14:paraId="5E90E910" w14:textId="4DAFF79F" w:rsidR="005A4EF0" w:rsidRDefault="007A1CBF" w:rsidP="002A12B8">
      <w:pPr>
        <w:numPr>
          <w:ilvl w:val="0"/>
          <w:numId w:val="2"/>
        </w:numPr>
        <w:tabs>
          <w:tab w:val="num" w:pos="0"/>
        </w:tabs>
        <w:ind w:left="0" w:firstLine="0"/>
      </w:pPr>
      <w:r w:rsidRPr="00544E95">
        <w:t xml:space="preserve">The project was consistent with the Country Assistance Strategy (CAS), approved just before the appraisal, </w:t>
      </w:r>
      <w:r w:rsidR="000C58BD">
        <w:t xml:space="preserve">which contained the </w:t>
      </w:r>
      <w:r w:rsidRPr="00544E95">
        <w:t>objective of reducing rural vulnerabilities.</w:t>
      </w:r>
      <w:r w:rsidRPr="0046381B">
        <w:t xml:space="preserve"> </w:t>
      </w:r>
      <w:r w:rsidR="009012CA">
        <w:t>At appraisal, t</w:t>
      </w:r>
      <w:r w:rsidRPr="0046381B">
        <w:t>he CAS state</w:t>
      </w:r>
      <w:r w:rsidR="009012CA">
        <w:t xml:space="preserve">d </w:t>
      </w:r>
      <w:r w:rsidRPr="0046381B">
        <w:t xml:space="preserve">that the </w:t>
      </w:r>
      <w:r w:rsidR="002A1655">
        <w:t>WB</w:t>
      </w:r>
      <w:r w:rsidR="002A1655" w:rsidRPr="0046381B">
        <w:t xml:space="preserve"> </w:t>
      </w:r>
      <w:r w:rsidRPr="0046381B">
        <w:t>will continue to pursue innovative approaches to reduce rural vulnerability</w:t>
      </w:r>
      <w:r w:rsidR="009012CA">
        <w:t>. Since t</w:t>
      </w:r>
      <w:r w:rsidRPr="0046381B">
        <w:t xml:space="preserve">he effects of </w:t>
      </w:r>
      <w:r w:rsidRPr="00C64459">
        <w:rPr>
          <w:i/>
          <w:iCs/>
        </w:rPr>
        <w:t>dzud</w:t>
      </w:r>
      <w:r w:rsidRPr="0046381B">
        <w:t xml:space="preserve"> and consequent high levels of livestock mortality have had a major impact on rural poverty</w:t>
      </w:r>
      <w:r w:rsidR="009012CA">
        <w:t xml:space="preserve">, </w:t>
      </w:r>
      <w:r w:rsidRPr="0046381B">
        <w:t xml:space="preserve">strengthened measures </w:t>
      </w:r>
      <w:r w:rsidR="009012CA">
        <w:t>were</w:t>
      </w:r>
      <w:r w:rsidRPr="0046381B">
        <w:t xml:space="preserve"> required to mitigate the</w:t>
      </w:r>
      <w:r w:rsidR="009012CA">
        <w:t xml:space="preserve">m. </w:t>
      </w:r>
      <w:r w:rsidRPr="0046381B">
        <w:t xml:space="preserve">The </w:t>
      </w:r>
      <w:r w:rsidR="00D874E1" w:rsidRPr="0046381B">
        <w:t xml:space="preserve">expectation </w:t>
      </w:r>
      <w:r w:rsidR="00D874E1">
        <w:t>was</w:t>
      </w:r>
      <w:r w:rsidR="00775C64">
        <w:t xml:space="preserve"> that insurance had the potential to mitigate these negative impacts.  </w:t>
      </w:r>
    </w:p>
    <w:p w14:paraId="2D294563" w14:textId="77777777" w:rsidR="005A4EF0" w:rsidRPr="0046381B" w:rsidRDefault="005A4EF0" w:rsidP="005A4EF0">
      <w:pPr>
        <w:spacing w:after="240"/>
      </w:pPr>
    </w:p>
    <w:p w14:paraId="5A5187FF" w14:textId="358DE339" w:rsidR="00C67D43" w:rsidRPr="00D874E1" w:rsidRDefault="00C67D43">
      <w:pPr>
        <w:pStyle w:val="Heading3"/>
        <w:rPr>
          <w:sz w:val="24"/>
          <w:szCs w:val="24"/>
        </w:rPr>
      </w:pPr>
      <w:bookmarkStart w:id="91" w:name="_Toc456784519"/>
      <w:r w:rsidRPr="00D874E1">
        <w:rPr>
          <w:sz w:val="24"/>
          <w:szCs w:val="24"/>
        </w:rPr>
        <w:t>1.2 Original Project Development Objectives (PDO) and Key Indicators</w:t>
      </w:r>
      <w:bookmarkEnd w:id="91"/>
    </w:p>
    <w:p w14:paraId="04DB3029" w14:textId="77777777" w:rsidR="00F761D5" w:rsidRDefault="00F761D5" w:rsidP="00C67D43">
      <w:bookmarkStart w:id="92" w:name="SEC62"/>
      <w:bookmarkStart w:id="93" w:name="PDO"/>
      <w:bookmarkEnd w:id="92"/>
    </w:p>
    <w:p w14:paraId="67D3454C" w14:textId="62A53ED8" w:rsidR="00F761D5" w:rsidRDefault="00F761D5" w:rsidP="00F92093">
      <w:pPr>
        <w:numPr>
          <w:ilvl w:val="0"/>
          <w:numId w:val="2"/>
        </w:numPr>
        <w:spacing w:after="240"/>
        <w:ind w:left="0" w:firstLine="0"/>
      </w:pPr>
      <w:r>
        <w:t xml:space="preserve">The project Development Objective (PDO) </w:t>
      </w:r>
      <w:r w:rsidR="00E07440">
        <w:t>as stated in the Development Credit Agreement was to</w:t>
      </w:r>
      <w:r w:rsidR="00544E95">
        <w:t xml:space="preserve"> </w:t>
      </w:r>
      <w:r w:rsidRPr="00544E95">
        <w:t>“</w:t>
      </w:r>
      <w:r w:rsidR="00E07440" w:rsidRPr="00544E95">
        <w:rPr>
          <w:i/>
        </w:rPr>
        <w:t xml:space="preserve">ascertain the viability of Index Based Livestock Insurance in Mongolia to reduce the impact of livestock </w:t>
      </w:r>
      <w:r w:rsidR="00544E95">
        <w:rPr>
          <w:i/>
        </w:rPr>
        <w:t>mortality for herders</w:t>
      </w:r>
      <w:r w:rsidR="00E07440" w:rsidRPr="00544E95">
        <w:rPr>
          <w:i/>
        </w:rPr>
        <w:t xml:space="preserve">’ livelihoods through (i) developing and testing a pilot Index-Based Livestock Insurance Program in Selected Aimags; and (ii) building the institutional capacity and legal and institutional </w:t>
      </w:r>
      <w:r w:rsidR="00182662" w:rsidRPr="00544E95">
        <w:rPr>
          <w:i/>
        </w:rPr>
        <w:t>framework</w:t>
      </w:r>
      <w:r w:rsidR="00E07440" w:rsidRPr="00544E95">
        <w:rPr>
          <w:i/>
        </w:rPr>
        <w:t xml:space="preserve"> for the prospective replication and scale-up of said pilot Index Based Livestock Insurance Program nationwide.</w:t>
      </w:r>
      <w:r w:rsidR="00A846A8" w:rsidRPr="00544E95">
        <w:rPr>
          <w:rStyle w:val="FootnoteReference"/>
          <w:i/>
        </w:rPr>
        <w:footnoteReference w:id="2"/>
      </w:r>
      <w:r w:rsidR="00E07440" w:rsidRPr="00544E95">
        <w:rPr>
          <w:i/>
        </w:rPr>
        <w:t>”</w:t>
      </w:r>
      <w:bookmarkEnd w:id="93"/>
      <w:r w:rsidRPr="00E07440">
        <w:t xml:space="preserve"> </w:t>
      </w:r>
    </w:p>
    <w:p w14:paraId="62B2D912" w14:textId="449998C5" w:rsidR="00134E4F" w:rsidRDefault="00826998" w:rsidP="00F92093">
      <w:pPr>
        <w:numPr>
          <w:ilvl w:val="0"/>
          <w:numId w:val="2"/>
        </w:numPr>
        <w:tabs>
          <w:tab w:val="num" w:pos="0"/>
        </w:tabs>
        <w:spacing w:after="240"/>
        <w:ind w:left="0" w:firstLine="0"/>
      </w:pPr>
      <w:r>
        <w:t>The</w:t>
      </w:r>
      <w:r w:rsidR="002A1655">
        <w:t xml:space="preserve"> Project Appraisal Document</w:t>
      </w:r>
      <w:r>
        <w:t xml:space="preserve"> </w:t>
      </w:r>
      <w:r w:rsidR="002A1655">
        <w:t>(</w:t>
      </w:r>
      <w:r>
        <w:t>PAD</w:t>
      </w:r>
      <w:r w:rsidR="002A1655">
        <w:t>)</w:t>
      </w:r>
      <w:r>
        <w:t xml:space="preserve"> states the key indicators as follows</w:t>
      </w:r>
      <w:r w:rsidR="00BE4133">
        <w:t xml:space="preserve">. </w:t>
      </w:r>
      <w:r w:rsidR="00E85EDD" w:rsidRPr="00BE4133">
        <w:rPr>
          <w:b/>
        </w:rPr>
        <w:t xml:space="preserve">PDO indicator </w:t>
      </w:r>
      <w:r w:rsidR="00BE4133" w:rsidRPr="00BE4133">
        <w:rPr>
          <w:b/>
        </w:rPr>
        <w:t>one</w:t>
      </w:r>
      <w:r w:rsidR="00E85EDD">
        <w:t>: the insurance sector indicates its intention to continue</w:t>
      </w:r>
      <w:r w:rsidR="006B6B64">
        <w:t xml:space="preserve"> </w:t>
      </w:r>
      <w:r w:rsidR="00E85EDD">
        <w:t>offer</w:t>
      </w:r>
      <w:r w:rsidR="006B6B64">
        <w:t>ing</w:t>
      </w:r>
      <w:r w:rsidR="00E85EDD">
        <w:t xml:space="preserve"> </w:t>
      </w:r>
      <w:r w:rsidR="002A1655">
        <w:t>Index-based Livestock Insurance (</w:t>
      </w:r>
      <w:r w:rsidR="00E85EDD">
        <w:t>IBLI</w:t>
      </w:r>
      <w:r w:rsidR="002A1655">
        <w:t>)</w:t>
      </w:r>
      <w:r w:rsidR="00E85EDD">
        <w:t xml:space="preserve"> products beyond the lifetime of the project, which will be </w:t>
      </w:r>
      <w:r w:rsidR="007B2FDD">
        <w:t xml:space="preserve">influenced </w:t>
      </w:r>
      <w:r w:rsidR="006B6B64">
        <w:t>by these indicators</w:t>
      </w:r>
      <w:r w:rsidR="00E85EDD">
        <w:t>: (i) b</w:t>
      </w:r>
      <w:r w:rsidR="00107F0B" w:rsidRPr="00DE5F21">
        <w:t xml:space="preserve">y </w:t>
      </w:r>
      <w:r w:rsidR="00E85EDD">
        <w:t>the end of the pilot</w:t>
      </w:r>
      <w:r w:rsidR="00107F0B" w:rsidRPr="00DE5F21">
        <w:t xml:space="preserve">, the government </w:t>
      </w:r>
      <w:r w:rsidR="007B2FDD" w:rsidRPr="00DE5F21">
        <w:t>ha</w:t>
      </w:r>
      <w:r w:rsidR="007B2FDD">
        <w:t>s</w:t>
      </w:r>
      <w:r w:rsidR="007B2FDD" w:rsidRPr="00DE5F21">
        <w:t xml:space="preserve"> </w:t>
      </w:r>
      <w:r w:rsidR="00107F0B" w:rsidRPr="00DE5F21">
        <w:t>expressed its commitment to IBLI through</w:t>
      </w:r>
      <w:r w:rsidR="00E85EDD">
        <w:t xml:space="preserve"> adopting enabling legislation; (ii) </w:t>
      </w:r>
      <w:r w:rsidR="00BE4133">
        <w:t>t</w:t>
      </w:r>
      <w:r w:rsidR="00134E4F" w:rsidRPr="00DE5F21">
        <w:t xml:space="preserve">he </w:t>
      </w:r>
      <w:r w:rsidR="00A86E8D">
        <w:t>percentage</w:t>
      </w:r>
      <w:r w:rsidR="00A86E8D" w:rsidRPr="00DE5F21">
        <w:t xml:space="preserve"> </w:t>
      </w:r>
      <w:r w:rsidR="00134E4F" w:rsidRPr="00DE5F21">
        <w:t xml:space="preserve">of herders who have purchased </w:t>
      </w:r>
      <w:r w:rsidR="00842765">
        <w:lastRenderedPageBreak/>
        <w:t>the base insurance product (</w:t>
      </w:r>
      <w:r w:rsidR="00134E4F" w:rsidRPr="00DE5F21">
        <w:t>BIP</w:t>
      </w:r>
      <w:r w:rsidR="00842765">
        <w:t>)</w:t>
      </w:r>
      <w:r w:rsidR="00134E4F" w:rsidRPr="00DE5F21">
        <w:t xml:space="preserve"> during the pilot is 3 % </w:t>
      </w:r>
      <w:r w:rsidR="00BE4133">
        <w:t>in YR1, 4% in YR2 and 5% in Y</w:t>
      </w:r>
      <w:r w:rsidR="007B2FDD">
        <w:t>R</w:t>
      </w:r>
      <w:r w:rsidR="00BE4133">
        <w:t>3; (iii) b</w:t>
      </w:r>
      <w:r w:rsidR="00EA5EA4" w:rsidRPr="00DE5F21">
        <w:t>y the end of the project, mechanisms for transferring risk out of the country have been identified</w:t>
      </w:r>
      <w:r w:rsidR="00BE4133">
        <w:t>; and (iv) d</w:t>
      </w:r>
      <w:r w:rsidR="00134E4F" w:rsidRPr="00DE5F21">
        <w:t xml:space="preserve">uring each insurance cycle under the Project, </w:t>
      </w:r>
      <w:r w:rsidR="007B2FDD">
        <w:t>between 2 to 6</w:t>
      </w:r>
      <w:r w:rsidR="00134E4F" w:rsidRPr="00DE5F21">
        <w:t xml:space="preserve"> local insurance companies have participated in IBLI</w:t>
      </w:r>
      <w:r w:rsidR="007B2FDD">
        <w:t>P</w:t>
      </w:r>
      <w:r w:rsidR="00BE4133">
        <w:t>.</w:t>
      </w:r>
    </w:p>
    <w:p w14:paraId="54C448ED" w14:textId="6E3FF8E1" w:rsidR="006B1C01" w:rsidRDefault="00BE4133" w:rsidP="002A12B8">
      <w:pPr>
        <w:numPr>
          <w:ilvl w:val="0"/>
          <w:numId w:val="2"/>
        </w:numPr>
        <w:tabs>
          <w:tab w:val="num" w:pos="0"/>
        </w:tabs>
        <w:ind w:left="0" w:firstLine="0"/>
      </w:pPr>
      <w:r w:rsidRPr="00BE4133">
        <w:rPr>
          <w:b/>
        </w:rPr>
        <w:t>PDO indicator two</w:t>
      </w:r>
      <w:r>
        <w:t>:</w:t>
      </w:r>
      <w:r w:rsidRPr="00BE4133">
        <w:t xml:space="preserve"> the Government </w:t>
      </w:r>
      <w:r>
        <w:t>indicates its commitment t</w:t>
      </w:r>
      <w:r w:rsidRPr="00BE4133">
        <w:t xml:space="preserve">o continuing the </w:t>
      </w:r>
      <w:r w:rsidR="002A1655">
        <w:t>Disaster Response Product (</w:t>
      </w:r>
      <w:r w:rsidRPr="00BE4133">
        <w:t>DRP</w:t>
      </w:r>
      <w:r w:rsidR="002A1655">
        <w:t>)</w:t>
      </w:r>
      <w:r w:rsidRPr="00BE4133">
        <w:t xml:space="preserve"> after the lifetime of the project</w:t>
      </w:r>
      <w:r>
        <w:t>, which will be influenced by (i) t</w:t>
      </w:r>
      <w:r w:rsidR="006B1C01" w:rsidRPr="00BE4133">
        <w:t xml:space="preserve">he </w:t>
      </w:r>
      <w:r w:rsidR="007B2FDD">
        <w:t>percentage</w:t>
      </w:r>
      <w:r w:rsidR="007B2FDD" w:rsidRPr="00BE4133">
        <w:t xml:space="preserve"> </w:t>
      </w:r>
      <w:r w:rsidR="006B1C01" w:rsidRPr="00BE4133">
        <w:t xml:space="preserve">of herders who have participated in DRP during the pilot is 3 % </w:t>
      </w:r>
      <w:r>
        <w:t>in YR1, 4% in YR2 and 5% in Y</w:t>
      </w:r>
      <w:r w:rsidR="00995532">
        <w:t>R</w:t>
      </w:r>
      <w:r>
        <w:t xml:space="preserve">3; (ii) </w:t>
      </w:r>
      <w:r w:rsidR="006B1C01" w:rsidRPr="00BE4133">
        <w:t xml:space="preserve">DRP was effective in providing targeted support </w:t>
      </w:r>
      <w:r>
        <w:t xml:space="preserve">to herders after a </w:t>
      </w:r>
      <w:r w:rsidRPr="0074336B">
        <w:rPr>
          <w:i/>
        </w:rPr>
        <w:t>dzud</w:t>
      </w:r>
      <w:r>
        <w:t xml:space="preserve"> event; and (iii) by the end of the pilot, the Government has adopted an appropriate enabling institutional framework for the DRP.</w:t>
      </w:r>
    </w:p>
    <w:p w14:paraId="3C45C915" w14:textId="77777777" w:rsidR="002A12B8" w:rsidRPr="00BE4133" w:rsidRDefault="002A12B8" w:rsidP="002A12B8">
      <w:pPr>
        <w:spacing w:after="240"/>
      </w:pPr>
    </w:p>
    <w:p w14:paraId="4374AA90" w14:textId="2E18B511" w:rsidR="00C67D43" w:rsidRPr="00D107F9" w:rsidRDefault="00C67D43" w:rsidP="005B3B97">
      <w:pPr>
        <w:pStyle w:val="Heading3"/>
        <w:spacing w:after="240"/>
        <w:rPr>
          <w:sz w:val="24"/>
          <w:szCs w:val="24"/>
        </w:rPr>
      </w:pPr>
      <w:bookmarkStart w:id="94" w:name="_Toc456784520"/>
      <w:r w:rsidRPr="00D107F9">
        <w:rPr>
          <w:sz w:val="24"/>
          <w:szCs w:val="24"/>
        </w:rPr>
        <w:t xml:space="preserve">1.3 Revised </w:t>
      </w:r>
      <w:r w:rsidR="00404E4D" w:rsidRPr="00D107F9">
        <w:rPr>
          <w:sz w:val="24"/>
          <w:szCs w:val="24"/>
        </w:rPr>
        <w:t>PDO</w:t>
      </w:r>
      <w:r w:rsidR="006D6ED3" w:rsidRPr="00D107F9">
        <w:rPr>
          <w:sz w:val="24"/>
          <w:szCs w:val="24"/>
        </w:rPr>
        <w:t xml:space="preserve"> </w:t>
      </w:r>
      <w:r w:rsidR="00E07BAC" w:rsidRPr="00D107F9">
        <w:rPr>
          <w:sz w:val="24"/>
          <w:szCs w:val="24"/>
        </w:rPr>
        <w:t>(as approved by original approving authority) and Key Indicators</w:t>
      </w:r>
      <w:r w:rsidRPr="00D107F9">
        <w:rPr>
          <w:sz w:val="24"/>
          <w:szCs w:val="24"/>
        </w:rPr>
        <w:t>, and reasons/</w:t>
      </w:r>
      <w:r w:rsidR="00E04528" w:rsidRPr="00D107F9">
        <w:rPr>
          <w:sz w:val="24"/>
          <w:szCs w:val="24"/>
        </w:rPr>
        <w:t xml:space="preserve"> </w:t>
      </w:r>
      <w:r w:rsidRPr="00D107F9">
        <w:rPr>
          <w:sz w:val="24"/>
          <w:szCs w:val="24"/>
        </w:rPr>
        <w:t>justification</w:t>
      </w:r>
      <w:bookmarkEnd w:id="94"/>
      <w:r w:rsidR="004E108F" w:rsidRPr="00D107F9">
        <w:rPr>
          <w:sz w:val="24"/>
          <w:szCs w:val="24"/>
        </w:rPr>
        <w:t xml:space="preserve"> </w:t>
      </w:r>
    </w:p>
    <w:p w14:paraId="631FA9DE" w14:textId="663D9FA1" w:rsidR="00107F0B" w:rsidRDefault="003A1141" w:rsidP="00F92093">
      <w:pPr>
        <w:numPr>
          <w:ilvl w:val="0"/>
          <w:numId w:val="2"/>
        </w:numPr>
        <w:tabs>
          <w:tab w:val="num" w:pos="0"/>
        </w:tabs>
        <w:autoSpaceDE w:val="0"/>
        <w:autoSpaceDN w:val="0"/>
        <w:adjustRightInd w:val="0"/>
        <w:spacing w:after="240"/>
        <w:ind w:left="0" w:firstLine="0"/>
      </w:pPr>
      <w:bookmarkStart w:id="95" w:name="SEC63"/>
      <w:bookmarkEnd w:id="95"/>
      <w:r w:rsidRPr="00AC2A80">
        <w:t xml:space="preserve">Additional financing </w:t>
      </w:r>
      <w:r w:rsidR="000C58BD" w:rsidRPr="00AC2A80">
        <w:t xml:space="preserve">was provided </w:t>
      </w:r>
      <w:r w:rsidR="00DA1E4E" w:rsidRPr="00AC2A80">
        <w:t xml:space="preserve">to scale up the IBLI pilot. </w:t>
      </w:r>
      <w:r w:rsidR="0082044C" w:rsidRPr="00AC2A80">
        <w:t>After four years of</w:t>
      </w:r>
      <w:r w:rsidR="0082044C">
        <w:t xml:space="preserve"> successful implementation of the pilot</w:t>
      </w:r>
      <w:r w:rsidR="00917863">
        <w:t xml:space="preserve"> (including a one-year closing date extension</w:t>
      </w:r>
      <w:r w:rsidR="00995532">
        <w:t xml:space="preserve"> and the adding of a fourth </w:t>
      </w:r>
      <w:r w:rsidR="00995532" w:rsidRPr="00A6671D">
        <w:rPr>
          <w:i/>
        </w:rPr>
        <w:t>aimag</w:t>
      </w:r>
      <w:r w:rsidR="00995532">
        <w:t xml:space="preserve"> as explained in paragraph </w:t>
      </w:r>
      <w:r w:rsidR="000C58BD">
        <w:fldChar w:fldCharType="begin"/>
      </w:r>
      <w:r w:rsidR="000C58BD">
        <w:instrText xml:space="preserve"> REF _Ref456785344 \r \h </w:instrText>
      </w:r>
      <w:r w:rsidR="000C58BD">
        <w:fldChar w:fldCharType="separate"/>
      </w:r>
      <w:r w:rsidR="00D41562">
        <w:t>19</w:t>
      </w:r>
      <w:r w:rsidR="000C58BD">
        <w:fldChar w:fldCharType="end"/>
      </w:r>
      <w:r w:rsidR="00995532">
        <w:t xml:space="preserve"> below</w:t>
      </w:r>
      <w:r w:rsidR="00917863">
        <w:t>)</w:t>
      </w:r>
      <w:r w:rsidR="0082044C">
        <w:t>,</w:t>
      </w:r>
      <w:r w:rsidR="00917863">
        <w:t xml:space="preserve"> the Board approved </w:t>
      </w:r>
      <w:r w:rsidR="00842765">
        <w:t>additional financing (</w:t>
      </w:r>
      <w:r w:rsidR="00917863">
        <w:t>AF</w:t>
      </w:r>
      <w:r w:rsidR="00842765">
        <w:t>)</w:t>
      </w:r>
      <w:r w:rsidR="00917863">
        <w:t xml:space="preserve"> in the amount of SDR6.3 million (</w:t>
      </w:r>
      <w:r w:rsidR="002A1655">
        <w:t>US$</w:t>
      </w:r>
      <w:r w:rsidR="00917863">
        <w:t>10 million). The main changes were (i) broadening the PDO to include building the institutional capacity and legal and institutional framework for the sustainability of the program</w:t>
      </w:r>
      <w:r w:rsidR="000C58BD">
        <w:t>;</w:t>
      </w:r>
      <w:r w:rsidR="00917863">
        <w:t xml:space="preserve"> (</w:t>
      </w:r>
      <w:r w:rsidR="000C58BD">
        <w:t>i</w:t>
      </w:r>
      <w:r w:rsidR="00917863">
        <w:t>i) scaling up the project from four aimags to include all the 21 Mongolian aimags</w:t>
      </w:r>
      <w:r w:rsidR="000C58BD">
        <w:t>;</w:t>
      </w:r>
      <w:r w:rsidR="00917863">
        <w:t xml:space="preserve"> (iii) introducing th</w:t>
      </w:r>
      <w:r w:rsidR="005B3B97">
        <w:t>e</w:t>
      </w:r>
      <w:r w:rsidR="00917863">
        <w:t xml:space="preserve"> Government Catastrophic Coverage</w:t>
      </w:r>
      <w:r w:rsidR="00995532">
        <w:t xml:space="preserve"> (GCC)</w:t>
      </w:r>
      <w:r w:rsidR="00917863">
        <w:t>;</w:t>
      </w:r>
      <w:r w:rsidR="005B3B97">
        <w:t xml:space="preserve"> and</w:t>
      </w:r>
      <w:r w:rsidR="00917863">
        <w:t xml:space="preserve"> (iv) extending the </w:t>
      </w:r>
      <w:r w:rsidRPr="00DA1E4E">
        <w:t>closing date</w:t>
      </w:r>
      <w:r w:rsidR="0082044C">
        <w:t xml:space="preserve"> </w:t>
      </w:r>
      <w:r w:rsidRPr="00DA1E4E">
        <w:t xml:space="preserve">from June 30, 2011 to March 31, 2014. </w:t>
      </w:r>
      <w:r w:rsidR="00095AA4">
        <w:t xml:space="preserve">In addition, due to low </w:t>
      </w:r>
      <w:r w:rsidR="005129AE">
        <w:t>uptake</w:t>
      </w:r>
      <w:r w:rsidR="00095AA4">
        <w:t xml:space="preserve"> of the DRP, it was agreed with Government to discontinue this product.</w:t>
      </w:r>
    </w:p>
    <w:p w14:paraId="404FC5F0" w14:textId="0101C040" w:rsidR="00E5480B" w:rsidRPr="00E5480B" w:rsidRDefault="003A1141" w:rsidP="00F92093">
      <w:pPr>
        <w:numPr>
          <w:ilvl w:val="0"/>
          <w:numId w:val="2"/>
        </w:numPr>
        <w:tabs>
          <w:tab w:val="num" w:pos="0"/>
        </w:tabs>
        <w:autoSpaceDE w:val="0"/>
        <w:autoSpaceDN w:val="0"/>
        <w:adjustRightInd w:val="0"/>
        <w:spacing w:after="240"/>
        <w:ind w:left="0" w:firstLine="0"/>
      </w:pPr>
      <w:r w:rsidRPr="00DA1E4E">
        <w:t xml:space="preserve"> To reflect these changes, the PDO was amended as follows:</w:t>
      </w:r>
      <w:r w:rsidR="00CB1FEE" w:rsidRPr="00CB1FEE">
        <w:rPr>
          <w:b/>
        </w:rPr>
        <w:t xml:space="preserve"> </w:t>
      </w:r>
      <w:r w:rsidR="00CB1FEE" w:rsidRPr="00544E95">
        <w:rPr>
          <w:i/>
        </w:rPr>
        <w:t>“</w:t>
      </w:r>
      <w:r w:rsidR="00E5480B" w:rsidRPr="00544E95">
        <w:rPr>
          <w:i/>
        </w:rPr>
        <w:t xml:space="preserve">To ascertain the viability of Index Based Livestock Insurance in Mongolia to reduce the impact of livestock mortality for herders' livelihoods through:(i) scaling up Index Based Livestock Insurance Program in Selected </w:t>
      </w:r>
      <w:r w:rsidR="0089395D" w:rsidRPr="00544E95">
        <w:rPr>
          <w:i/>
        </w:rPr>
        <w:t>aimags</w:t>
      </w:r>
      <w:r w:rsidR="00E5480B" w:rsidRPr="00544E95">
        <w:rPr>
          <w:i/>
        </w:rPr>
        <w:t>; and (ii) building the institutional capacity and legal and institutional framework for the sustainability of the Index Based Livestock Insurance Program.</w:t>
      </w:r>
      <w:r w:rsidR="00CB1FEE" w:rsidRPr="00544E95">
        <w:rPr>
          <w:i/>
        </w:rPr>
        <w:t>"</w:t>
      </w:r>
      <w:r w:rsidR="005276D0" w:rsidRPr="00CB1FEE">
        <w:rPr>
          <w:rFonts w:ascii="ArialMT" w:hAnsi="ArialMT" w:cs="ArialMT"/>
          <w:sz w:val="17"/>
          <w:szCs w:val="17"/>
          <w:lang w:eastAsia="en-US"/>
        </w:rPr>
        <w:t xml:space="preserve"> </w:t>
      </w:r>
    </w:p>
    <w:p w14:paraId="58607676" w14:textId="6AD10DBB" w:rsidR="00184F6C" w:rsidRDefault="0082044C" w:rsidP="00F92093">
      <w:pPr>
        <w:numPr>
          <w:ilvl w:val="0"/>
          <w:numId w:val="2"/>
        </w:numPr>
        <w:tabs>
          <w:tab w:val="num" w:pos="0"/>
        </w:tabs>
        <w:autoSpaceDE w:val="0"/>
        <w:autoSpaceDN w:val="0"/>
        <w:adjustRightInd w:val="0"/>
        <w:ind w:left="0" w:firstLine="0"/>
      </w:pPr>
      <w:r>
        <w:t>At the time of the AF</w:t>
      </w:r>
      <w:r w:rsidR="006B6B64">
        <w:t>, the</w:t>
      </w:r>
      <w:r w:rsidR="003A7F75" w:rsidRPr="0082044C">
        <w:t xml:space="preserve"> key indicators changed to reflect the focus on scaling up. </w:t>
      </w:r>
      <w:r w:rsidR="0089395D">
        <w:t xml:space="preserve"> By the project’s closure, if successful, the elements would be in place for the BIP to continue to be offered to herders nationwide. The </w:t>
      </w:r>
      <w:r w:rsidR="00253780">
        <w:t>PDO indicator one</w:t>
      </w:r>
      <w:r w:rsidR="0089395D">
        <w:t xml:space="preserve"> </w:t>
      </w:r>
      <w:r w:rsidR="00A86E8D">
        <w:t>remained the same as in the</w:t>
      </w:r>
      <w:r w:rsidR="00EF34D0">
        <w:t xml:space="preserve"> original credit</w:t>
      </w:r>
      <w:r w:rsidR="00253780">
        <w:t>, but PDO indicator two</w:t>
      </w:r>
      <w:r w:rsidR="00184F6C">
        <w:t xml:space="preserve"> concerning DRP and the corresponding set of indicators were dropped as DRP would be discontinued.</w:t>
      </w:r>
    </w:p>
    <w:p w14:paraId="626B7E37" w14:textId="77777777" w:rsidR="00842765" w:rsidRDefault="00842765" w:rsidP="00F92093">
      <w:pPr>
        <w:autoSpaceDE w:val="0"/>
        <w:autoSpaceDN w:val="0"/>
        <w:adjustRightInd w:val="0"/>
      </w:pPr>
    </w:p>
    <w:p w14:paraId="50FEFE4C" w14:textId="13CC4CAE" w:rsidR="00B148AB" w:rsidRPr="00FA75FB" w:rsidRDefault="00B25EC3" w:rsidP="00F92093">
      <w:pPr>
        <w:numPr>
          <w:ilvl w:val="0"/>
          <w:numId w:val="2"/>
        </w:numPr>
        <w:autoSpaceDE w:val="0"/>
        <w:autoSpaceDN w:val="0"/>
        <w:adjustRightInd w:val="0"/>
        <w:ind w:left="0" w:firstLine="0"/>
      </w:pPr>
      <w:r>
        <w:t xml:space="preserve"> </w:t>
      </w:r>
      <w:r w:rsidR="00A5153D" w:rsidRPr="00FA75FB">
        <w:t>One o</w:t>
      </w:r>
      <w:r w:rsidR="005C7AE8" w:rsidRPr="00FA75FB">
        <w:t>f the</w:t>
      </w:r>
      <w:r w:rsidR="00253780" w:rsidRPr="00FA75FB">
        <w:t xml:space="preserve"> intermediate</w:t>
      </w:r>
      <w:r w:rsidR="005C7AE8" w:rsidRPr="00FA75FB">
        <w:t xml:space="preserve"> indicators</w:t>
      </w:r>
      <w:r w:rsidR="00253780" w:rsidRPr="00FA75FB">
        <w:t xml:space="preserve"> from component 3</w:t>
      </w:r>
      <w:r w:rsidR="005C7AE8" w:rsidRPr="00FA75FB">
        <w:t xml:space="preserve"> “Cost effective new methods for NSO livestock data collection and statistics tested”, </w:t>
      </w:r>
      <w:r w:rsidR="00253780" w:rsidRPr="00FA75FB">
        <w:t>was</w:t>
      </w:r>
      <w:r w:rsidR="005C7AE8" w:rsidRPr="00FA75FB">
        <w:t xml:space="preserve"> replaced by “Number of soums implementing cost effective new methods for NSO livestock data collection and statistics”. </w:t>
      </w:r>
      <w:r w:rsidR="00253780" w:rsidRPr="00FA75FB">
        <w:t xml:space="preserve">No other new </w:t>
      </w:r>
      <w:r w:rsidR="004F5673" w:rsidRPr="00FA75FB">
        <w:t xml:space="preserve">key </w:t>
      </w:r>
      <w:r w:rsidR="00253780" w:rsidRPr="00FA75FB">
        <w:t>indicators were added</w:t>
      </w:r>
      <w:r>
        <w:t>.</w:t>
      </w:r>
      <w:r w:rsidR="00EF34D0">
        <w:t xml:space="preserve"> </w:t>
      </w:r>
      <w:r>
        <w:t>T</w:t>
      </w:r>
      <w:r w:rsidR="005C7AE8" w:rsidRPr="00FA75FB">
        <w:t xml:space="preserve">arget values in the Results Monitoring framework have been updated. All other indicators remain valid. </w:t>
      </w:r>
      <w:r w:rsidR="004F5673" w:rsidRPr="00FA75FB">
        <w:t>Table 1 summarizes the different changes in the indicators.</w:t>
      </w:r>
    </w:p>
    <w:p w14:paraId="414B8542" w14:textId="5A1CDE78" w:rsidR="00951DE7" w:rsidRDefault="00951DE7" w:rsidP="00C67D43">
      <w:pPr>
        <w:rPr>
          <w:b/>
        </w:rPr>
      </w:pPr>
    </w:p>
    <w:p w14:paraId="294BAA83" w14:textId="77777777" w:rsidR="00AC2A80" w:rsidRPr="00892D64" w:rsidRDefault="00AC2A80" w:rsidP="00C67D43">
      <w:pPr>
        <w:rPr>
          <w:b/>
        </w:rPr>
      </w:pPr>
    </w:p>
    <w:tbl>
      <w:tblPr>
        <w:tblStyle w:val="TableGrid"/>
        <w:tblW w:w="9445" w:type="dxa"/>
        <w:tblLook w:val="04A0" w:firstRow="1" w:lastRow="0" w:firstColumn="1" w:lastColumn="0" w:noHBand="0" w:noVBand="1"/>
      </w:tblPr>
      <w:tblGrid>
        <w:gridCol w:w="2410"/>
        <w:gridCol w:w="645"/>
        <w:gridCol w:w="3960"/>
        <w:gridCol w:w="2430"/>
      </w:tblGrid>
      <w:tr w:rsidR="006B6B64" w14:paraId="4B3AF507" w14:textId="72EC861F" w:rsidTr="00544E95">
        <w:tc>
          <w:tcPr>
            <w:tcW w:w="2410" w:type="dxa"/>
          </w:tcPr>
          <w:p w14:paraId="09440321" w14:textId="4D0A8303" w:rsidR="006B6B64" w:rsidRPr="00B7045F" w:rsidRDefault="006B6B64" w:rsidP="00A574CF">
            <w:pPr>
              <w:rPr>
                <w:b/>
                <w:sz w:val="20"/>
              </w:rPr>
            </w:pPr>
            <w:r w:rsidRPr="00B7045F">
              <w:rPr>
                <w:b/>
                <w:sz w:val="20"/>
              </w:rPr>
              <w:lastRenderedPageBreak/>
              <w:t>Original Indicators (as in IBLI-pilot)</w:t>
            </w:r>
          </w:p>
        </w:tc>
        <w:tc>
          <w:tcPr>
            <w:tcW w:w="645" w:type="dxa"/>
          </w:tcPr>
          <w:p w14:paraId="074B5F12" w14:textId="741F1FFD" w:rsidR="006B6B64" w:rsidRPr="00504EDF" w:rsidRDefault="00892D64" w:rsidP="00C67D43">
            <w:pPr>
              <w:rPr>
                <w:sz w:val="20"/>
              </w:rPr>
            </w:pPr>
            <w:r>
              <w:rPr>
                <w:sz w:val="20"/>
              </w:rPr>
              <w:t>KPI?</w:t>
            </w:r>
            <w:r w:rsidR="006B6B64">
              <w:rPr>
                <w:sz w:val="20"/>
              </w:rPr>
              <w:t xml:space="preserve"> </w:t>
            </w:r>
          </w:p>
        </w:tc>
        <w:tc>
          <w:tcPr>
            <w:tcW w:w="3960" w:type="dxa"/>
          </w:tcPr>
          <w:p w14:paraId="1138CDC7" w14:textId="72AA38A1" w:rsidR="006B6B64" w:rsidRPr="00B7045F" w:rsidRDefault="006B6B64" w:rsidP="00C67D43">
            <w:pPr>
              <w:rPr>
                <w:b/>
                <w:sz w:val="20"/>
              </w:rPr>
            </w:pPr>
            <w:r w:rsidRPr="00B7045F">
              <w:rPr>
                <w:b/>
                <w:sz w:val="20"/>
              </w:rPr>
              <w:t>Revised Key Performance Indicators (as in IBLI-AF)</w:t>
            </w:r>
          </w:p>
        </w:tc>
        <w:tc>
          <w:tcPr>
            <w:tcW w:w="2430" w:type="dxa"/>
          </w:tcPr>
          <w:p w14:paraId="76E24A2B" w14:textId="2E35458B" w:rsidR="006B6B64" w:rsidRPr="00504EDF" w:rsidRDefault="006B6B64" w:rsidP="00C67D43">
            <w:pPr>
              <w:rPr>
                <w:sz w:val="20"/>
              </w:rPr>
            </w:pPr>
            <w:r w:rsidRPr="00504EDF">
              <w:rPr>
                <w:sz w:val="20"/>
              </w:rPr>
              <w:t>Reason for change</w:t>
            </w:r>
          </w:p>
        </w:tc>
      </w:tr>
      <w:tr w:rsidR="006B6B64" w14:paraId="1753D830" w14:textId="77777777" w:rsidTr="00544E95">
        <w:tc>
          <w:tcPr>
            <w:tcW w:w="2410" w:type="dxa"/>
          </w:tcPr>
          <w:p w14:paraId="6BAAC52F" w14:textId="0699739F" w:rsidR="006B6B64" w:rsidRPr="00B7045F" w:rsidRDefault="006B6B64" w:rsidP="00C67D43">
            <w:pPr>
              <w:rPr>
                <w:b/>
                <w:sz w:val="20"/>
              </w:rPr>
            </w:pPr>
            <w:r w:rsidRPr="00B7045F">
              <w:rPr>
                <w:b/>
                <w:sz w:val="20"/>
              </w:rPr>
              <w:t>PDO</w:t>
            </w:r>
          </w:p>
        </w:tc>
        <w:tc>
          <w:tcPr>
            <w:tcW w:w="645" w:type="dxa"/>
          </w:tcPr>
          <w:p w14:paraId="115B898C" w14:textId="77777777" w:rsidR="006B6B64" w:rsidRDefault="006B6B64" w:rsidP="00C67D43">
            <w:pPr>
              <w:rPr>
                <w:sz w:val="20"/>
              </w:rPr>
            </w:pPr>
          </w:p>
        </w:tc>
        <w:tc>
          <w:tcPr>
            <w:tcW w:w="3960" w:type="dxa"/>
          </w:tcPr>
          <w:p w14:paraId="7FB881DE" w14:textId="77777777" w:rsidR="006B6B64" w:rsidRPr="00504EDF" w:rsidRDefault="006B6B64" w:rsidP="00C67D43">
            <w:pPr>
              <w:rPr>
                <w:sz w:val="20"/>
              </w:rPr>
            </w:pPr>
          </w:p>
        </w:tc>
        <w:tc>
          <w:tcPr>
            <w:tcW w:w="2430" w:type="dxa"/>
          </w:tcPr>
          <w:p w14:paraId="645B22D3" w14:textId="77777777" w:rsidR="006B6B64" w:rsidRPr="00504EDF" w:rsidRDefault="006B6B64" w:rsidP="00C67D43">
            <w:pPr>
              <w:rPr>
                <w:sz w:val="20"/>
              </w:rPr>
            </w:pPr>
          </w:p>
        </w:tc>
      </w:tr>
      <w:tr w:rsidR="00281AF6" w14:paraId="6D044220" w14:textId="77777777" w:rsidTr="00544E95">
        <w:trPr>
          <w:trHeight w:val="998"/>
        </w:trPr>
        <w:tc>
          <w:tcPr>
            <w:tcW w:w="2410" w:type="dxa"/>
          </w:tcPr>
          <w:p w14:paraId="2B9613B5" w14:textId="0DC0045C" w:rsidR="00281AF6" w:rsidRPr="00476E3B" w:rsidRDefault="00281AF6" w:rsidP="00281AF6">
            <w:pPr>
              <w:autoSpaceDE w:val="0"/>
              <w:autoSpaceDN w:val="0"/>
              <w:adjustRightInd w:val="0"/>
              <w:rPr>
                <w:sz w:val="20"/>
                <w:szCs w:val="20"/>
                <w:lang w:eastAsia="en-US"/>
              </w:rPr>
            </w:pPr>
            <w:r>
              <w:rPr>
                <w:sz w:val="20"/>
                <w:szCs w:val="20"/>
                <w:lang w:eastAsia="en-US"/>
              </w:rPr>
              <w:t>G</w:t>
            </w:r>
            <w:r w:rsidRPr="00281AF6">
              <w:rPr>
                <w:sz w:val="20"/>
                <w:szCs w:val="20"/>
                <w:lang w:eastAsia="en-US"/>
              </w:rPr>
              <w:t>overnment</w:t>
            </w:r>
            <w:r>
              <w:rPr>
                <w:sz w:val="20"/>
                <w:szCs w:val="20"/>
                <w:lang w:eastAsia="en-US"/>
              </w:rPr>
              <w:t>’s commitment to IBLI through adopting enabling legislation.</w:t>
            </w:r>
          </w:p>
        </w:tc>
        <w:tc>
          <w:tcPr>
            <w:tcW w:w="645" w:type="dxa"/>
          </w:tcPr>
          <w:p w14:paraId="377EC459" w14:textId="77777777" w:rsidR="00281AF6" w:rsidRPr="00A574CF" w:rsidRDefault="00281AF6" w:rsidP="00C67D43">
            <w:pPr>
              <w:rPr>
                <w:sz w:val="20"/>
                <w:szCs w:val="20"/>
                <w:lang w:eastAsia="en-US"/>
              </w:rPr>
            </w:pPr>
          </w:p>
        </w:tc>
        <w:tc>
          <w:tcPr>
            <w:tcW w:w="3960" w:type="dxa"/>
          </w:tcPr>
          <w:p w14:paraId="153F49A6" w14:textId="6B412C7E" w:rsidR="00281AF6" w:rsidRPr="00476E3B" w:rsidDel="00281AF6" w:rsidRDefault="00281AF6" w:rsidP="00A574CF">
            <w:pPr>
              <w:autoSpaceDE w:val="0"/>
              <w:autoSpaceDN w:val="0"/>
              <w:adjustRightInd w:val="0"/>
              <w:rPr>
                <w:sz w:val="20"/>
                <w:szCs w:val="20"/>
                <w:lang w:eastAsia="en-US"/>
              </w:rPr>
            </w:pPr>
            <w:r>
              <w:rPr>
                <w:sz w:val="20"/>
                <w:szCs w:val="20"/>
                <w:lang w:eastAsia="en-US"/>
              </w:rPr>
              <w:t>The target became to pass a new law in YR6</w:t>
            </w:r>
          </w:p>
        </w:tc>
        <w:tc>
          <w:tcPr>
            <w:tcW w:w="2430" w:type="dxa"/>
          </w:tcPr>
          <w:p w14:paraId="37F92B70" w14:textId="77777777" w:rsidR="00281AF6" w:rsidRPr="00281AF6" w:rsidRDefault="00281AF6" w:rsidP="00281AF6">
            <w:pPr>
              <w:autoSpaceDE w:val="0"/>
              <w:autoSpaceDN w:val="0"/>
              <w:adjustRightInd w:val="0"/>
              <w:rPr>
                <w:sz w:val="20"/>
                <w:szCs w:val="20"/>
                <w:lang w:eastAsia="en-US"/>
              </w:rPr>
            </w:pPr>
          </w:p>
        </w:tc>
      </w:tr>
      <w:tr w:rsidR="006B6B64" w14:paraId="0E55E5F2" w14:textId="77777777" w:rsidTr="00544E95">
        <w:trPr>
          <w:trHeight w:val="1052"/>
        </w:trPr>
        <w:tc>
          <w:tcPr>
            <w:tcW w:w="2410" w:type="dxa"/>
          </w:tcPr>
          <w:p w14:paraId="4F07DA22" w14:textId="22673BC0" w:rsidR="006B6B64" w:rsidRPr="00476E3B" w:rsidRDefault="006B6B64" w:rsidP="006B6B64">
            <w:pPr>
              <w:autoSpaceDE w:val="0"/>
              <w:autoSpaceDN w:val="0"/>
              <w:adjustRightInd w:val="0"/>
              <w:rPr>
                <w:sz w:val="20"/>
                <w:szCs w:val="20"/>
                <w:lang w:eastAsia="en-US"/>
              </w:rPr>
            </w:pPr>
            <w:r w:rsidRPr="00476E3B">
              <w:rPr>
                <w:sz w:val="20"/>
                <w:szCs w:val="20"/>
                <w:lang w:eastAsia="en-US"/>
              </w:rPr>
              <w:t xml:space="preserve">Government’ </w:t>
            </w:r>
            <w:r w:rsidR="00476E3B" w:rsidRPr="00476E3B">
              <w:rPr>
                <w:iCs/>
                <w:sz w:val="20"/>
                <w:szCs w:val="20"/>
                <w:lang w:eastAsia="en-US"/>
              </w:rPr>
              <w:t>s</w:t>
            </w:r>
            <w:r w:rsidRPr="00476E3B">
              <w:rPr>
                <w:i/>
                <w:iCs/>
                <w:sz w:val="20"/>
                <w:szCs w:val="20"/>
                <w:lang w:eastAsia="en-US"/>
              </w:rPr>
              <w:t xml:space="preserve"> </w:t>
            </w:r>
            <w:r w:rsidR="00476E3B" w:rsidRPr="00476E3B">
              <w:rPr>
                <w:iCs/>
                <w:sz w:val="20"/>
                <w:szCs w:val="20"/>
                <w:lang w:eastAsia="en-US"/>
              </w:rPr>
              <w:t>c</w:t>
            </w:r>
            <w:r w:rsidRPr="00476E3B">
              <w:rPr>
                <w:sz w:val="20"/>
                <w:szCs w:val="20"/>
                <w:lang w:eastAsia="en-US"/>
              </w:rPr>
              <w:t>ommitment to</w:t>
            </w:r>
            <w:r w:rsidR="00476E3B" w:rsidRPr="00476E3B">
              <w:rPr>
                <w:sz w:val="20"/>
                <w:szCs w:val="20"/>
                <w:lang w:eastAsia="en-US"/>
              </w:rPr>
              <w:t xml:space="preserve"> </w:t>
            </w:r>
            <w:r w:rsidRPr="00476E3B">
              <w:rPr>
                <w:sz w:val="20"/>
                <w:szCs w:val="20"/>
                <w:lang w:eastAsia="en-US"/>
              </w:rPr>
              <w:t>continuing the DRP after the lifetime</w:t>
            </w:r>
          </w:p>
          <w:p w14:paraId="420CAA39" w14:textId="53833884" w:rsidR="006B6B64" w:rsidRPr="001B0E72" w:rsidRDefault="00476E3B" w:rsidP="00476E3B">
            <w:pPr>
              <w:autoSpaceDE w:val="0"/>
              <w:autoSpaceDN w:val="0"/>
              <w:adjustRightInd w:val="0"/>
              <w:rPr>
                <w:rFonts w:ascii="ArialMT" w:hAnsi="ArialMT" w:cs="ArialMT"/>
                <w:sz w:val="20"/>
                <w:szCs w:val="20"/>
                <w:lang w:eastAsia="en-US"/>
              </w:rPr>
            </w:pPr>
            <w:r>
              <w:rPr>
                <w:sz w:val="20"/>
                <w:szCs w:val="20"/>
                <w:lang w:eastAsia="en-US"/>
              </w:rPr>
              <w:t>o</w:t>
            </w:r>
            <w:r w:rsidR="006B6B64" w:rsidRPr="00476E3B">
              <w:rPr>
                <w:sz w:val="20"/>
                <w:szCs w:val="20"/>
                <w:lang w:eastAsia="en-US"/>
              </w:rPr>
              <w:t xml:space="preserve">f the project </w:t>
            </w:r>
          </w:p>
        </w:tc>
        <w:tc>
          <w:tcPr>
            <w:tcW w:w="645" w:type="dxa"/>
          </w:tcPr>
          <w:p w14:paraId="218DA649" w14:textId="412F1D5A" w:rsidR="006B6B64" w:rsidRPr="00A574CF" w:rsidRDefault="001F3C8D" w:rsidP="00C67D43">
            <w:pPr>
              <w:rPr>
                <w:sz w:val="20"/>
                <w:szCs w:val="20"/>
                <w:lang w:eastAsia="en-US"/>
              </w:rPr>
            </w:pPr>
            <w:r w:rsidRPr="00A574CF">
              <w:rPr>
                <w:sz w:val="20"/>
                <w:szCs w:val="20"/>
                <w:lang w:eastAsia="en-US"/>
              </w:rPr>
              <w:t>Y</w:t>
            </w:r>
            <w:r w:rsidR="006B6B64" w:rsidRPr="00A574CF">
              <w:rPr>
                <w:sz w:val="20"/>
                <w:szCs w:val="20"/>
                <w:lang w:eastAsia="en-US"/>
              </w:rPr>
              <w:t>es</w:t>
            </w:r>
          </w:p>
        </w:tc>
        <w:tc>
          <w:tcPr>
            <w:tcW w:w="3960" w:type="dxa"/>
          </w:tcPr>
          <w:p w14:paraId="7AEB16BC" w14:textId="62E6C632" w:rsidR="006B6B64" w:rsidRPr="0061610C" w:rsidRDefault="00281AF6" w:rsidP="00A574CF">
            <w:pPr>
              <w:autoSpaceDE w:val="0"/>
              <w:autoSpaceDN w:val="0"/>
              <w:adjustRightInd w:val="0"/>
            </w:pPr>
            <w:r>
              <w:rPr>
                <w:sz w:val="20"/>
                <w:szCs w:val="20"/>
                <w:lang w:eastAsia="en-US"/>
              </w:rPr>
              <w:t>This indicator was dropped</w:t>
            </w:r>
            <w:r w:rsidR="00A574CF" w:rsidRPr="0061610C">
              <w:t xml:space="preserve"> </w:t>
            </w:r>
          </w:p>
        </w:tc>
        <w:tc>
          <w:tcPr>
            <w:tcW w:w="2430" w:type="dxa"/>
          </w:tcPr>
          <w:p w14:paraId="27D415D2" w14:textId="36E582A6" w:rsidR="006B6B64" w:rsidRDefault="00281AF6" w:rsidP="00A6671D">
            <w:pPr>
              <w:autoSpaceDE w:val="0"/>
              <w:autoSpaceDN w:val="0"/>
              <w:adjustRightInd w:val="0"/>
            </w:pPr>
            <w:r w:rsidRPr="00A6671D">
              <w:rPr>
                <w:sz w:val="20"/>
                <w:szCs w:val="20"/>
                <w:lang w:eastAsia="en-US"/>
              </w:rPr>
              <w:t>The DRP project would be discontinued</w:t>
            </w:r>
          </w:p>
        </w:tc>
      </w:tr>
      <w:tr w:rsidR="006B6B64" w14:paraId="29D35AD4" w14:textId="77777777" w:rsidTr="00A574CF">
        <w:tc>
          <w:tcPr>
            <w:tcW w:w="9445" w:type="dxa"/>
            <w:gridSpan w:val="4"/>
          </w:tcPr>
          <w:p w14:paraId="180C4582" w14:textId="6DCA9108" w:rsidR="006B6B64" w:rsidRPr="00A574CF" w:rsidRDefault="006B6B64" w:rsidP="00C67D43">
            <w:pPr>
              <w:rPr>
                <w:b/>
                <w:sz w:val="20"/>
                <w:szCs w:val="20"/>
              </w:rPr>
            </w:pPr>
            <w:r w:rsidRPr="00A574CF">
              <w:rPr>
                <w:b/>
                <w:sz w:val="20"/>
                <w:szCs w:val="20"/>
                <w:lang w:eastAsia="en-US"/>
              </w:rPr>
              <w:t>Intermediate outcomes</w:t>
            </w:r>
          </w:p>
        </w:tc>
      </w:tr>
      <w:tr w:rsidR="00AC13C5" w14:paraId="3BFB1276" w14:textId="77777777" w:rsidTr="00544E95">
        <w:tc>
          <w:tcPr>
            <w:tcW w:w="2410" w:type="dxa"/>
          </w:tcPr>
          <w:p w14:paraId="040C6FB7" w14:textId="61872655" w:rsidR="00AC13C5" w:rsidRPr="00476E3B" w:rsidRDefault="00AC13C5" w:rsidP="00A574CF">
            <w:pPr>
              <w:autoSpaceDE w:val="0"/>
              <w:autoSpaceDN w:val="0"/>
              <w:adjustRightInd w:val="0"/>
              <w:rPr>
                <w:sz w:val="20"/>
                <w:szCs w:val="20"/>
                <w:lang w:eastAsia="en-US"/>
              </w:rPr>
            </w:pPr>
            <w:r>
              <w:rPr>
                <w:sz w:val="20"/>
                <w:szCs w:val="20"/>
                <w:lang w:eastAsia="en-US"/>
              </w:rPr>
              <w:t>Number of insurance companies participating in IBLIP</w:t>
            </w:r>
          </w:p>
        </w:tc>
        <w:tc>
          <w:tcPr>
            <w:tcW w:w="645" w:type="dxa"/>
          </w:tcPr>
          <w:p w14:paraId="6C267307" w14:textId="18D66E9C" w:rsidR="00AC13C5" w:rsidRPr="00A574CF" w:rsidRDefault="00AC13C5" w:rsidP="00C67D43">
            <w:pPr>
              <w:rPr>
                <w:sz w:val="20"/>
                <w:szCs w:val="20"/>
                <w:lang w:eastAsia="en-US"/>
              </w:rPr>
            </w:pPr>
            <w:r>
              <w:rPr>
                <w:sz w:val="20"/>
                <w:szCs w:val="20"/>
                <w:lang w:eastAsia="en-US"/>
              </w:rPr>
              <w:t xml:space="preserve">Yes </w:t>
            </w:r>
          </w:p>
        </w:tc>
        <w:tc>
          <w:tcPr>
            <w:tcW w:w="3960" w:type="dxa"/>
          </w:tcPr>
          <w:p w14:paraId="1A17D28D" w14:textId="2974892E" w:rsidR="00AC13C5" w:rsidRDefault="00AC13C5" w:rsidP="00AC13C5">
            <w:pPr>
              <w:autoSpaceDE w:val="0"/>
              <w:autoSpaceDN w:val="0"/>
              <w:adjustRightInd w:val="0"/>
              <w:rPr>
                <w:sz w:val="20"/>
                <w:szCs w:val="20"/>
                <w:lang w:eastAsia="en-US"/>
              </w:rPr>
            </w:pPr>
            <w:r w:rsidRPr="00AC13C5">
              <w:rPr>
                <w:sz w:val="20"/>
                <w:szCs w:val="20"/>
                <w:lang w:eastAsia="en-US"/>
              </w:rPr>
              <w:t xml:space="preserve">The </w:t>
            </w:r>
            <w:r>
              <w:rPr>
                <w:sz w:val="20"/>
                <w:szCs w:val="20"/>
                <w:lang w:eastAsia="en-US"/>
              </w:rPr>
              <w:t xml:space="preserve">annual </w:t>
            </w:r>
            <w:r w:rsidRPr="00AC13C5">
              <w:rPr>
                <w:sz w:val="20"/>
                <w:szCs w:val="20"/>
                <w:lang w:eastAsia="en-US"/>
              </w:rPr>
              <w:t xml:space="preserve">target changed from </w:t>
            </w:r>
            <w:r>
              <w:rPr>
                <w:sz w:val="20"/>
                <w:szCs w:val="20"/>
                <w:lang w:eastAsia="en-US"/>
              </w:rPr>
              <w:t>2-6</w:t>
            </w:r>
            <w:r w:rsidRPr="00AC13C5">
              <w:rPr>
                <w:sz w:val="20"/>
                <w:szCs w:val="20"/>
                <w:lang w:eastAsia="en-US"/>
              </w:rPr>
              <w:t xml:space="preserve"> to </w:t>
            </w:r>
            <w:r>
              <w:rPr>
                <w:sz w:val="20"/>
                <w:szCs w:val="20"/>
                <w:lang w:eastAsia="en-US"/>
              </w:rPr>
              <w:t>4</w:t>
            </w:r>
            <w:r w:rsidRPr="00AC13C5">
              <w:rPr>
                <w:sz w:val="20"/>
                <w:szCs w:val="20"/>
                <w:lang w:eastAsia="en-US"/>
              </w:rPr>
              <w:t xml:space="preserve"> when AF was approved</w:t>
            </w:r>
          </w:p>
        </w:tc>
        <w:tc>
          <w:tcPr>
            <w:tcW w:w="2430" w:type="dxa"/>
          </w:tcPr>
          <w:p w14:paraId="1EF51A34" w14:textId="77777777" w:rsidR="00AC13C5" w:rsidDel="00281AF6" w:rsidRDefault="00AC13C5" w:rsidP="00E417BF">
            <w:pPr>
              <w:autoSpaceDE w:val="0"/>
              <w:autoSpaceDN w:val="0"/>
              <w:adjustRightInd w:val="0"/>
              <w:rPr>
                <w:sz w:val="20"/>
                <w:szCs w:val="20"/>
                <w:lang w:eastAsia="en-US"/>
              </w:rPr>
            </w:pPr>
          </w:p>
        </w:tc>
      </w:tr>
      <w:tr w:rsidR="006B6B64" w14:paraId="5E67E785" w14:textId="77777777" w:rsidTr="00544E95">
        <w:tc>
          <w:tcPr>
            <w:tcW w:w="2410" w:type="dxa"/>
          </w:tcPr>
          <w:p w14:paraId="3D8215A2" w14:textId="12307ABA" w:rsidR="006B6B64" w:rsidRPr="001B0E72" w:rsidRDefault="006B6B64" w:rsidP="00A574CF">
            <w:pPr>
              <w:autoSpaceDE w:val="0"/>
              <w:autoSpaceDN w:val="0"/>
              <w:adjustRightInd w:val="0"/>
              <w:rPr>
                <w:rFonts w:ascii="ArialMT" w:hAnsi="ArialMT" w:cs="ArialMT"/>
                <w:sz w:val="20"/>
                <w:szCs w:val="20"/>
                <w:lang w:eastAsia="en-US"/>
              </w:rPr>
            </w:pPr>
            <w:r w:rsidRPr="00476E3B">
              <w:rPr>
                <w:sz w:val="20"/>
                <w:szCs w:val="20"/>
                <w:lang w:eastAsia="en-US"/>
              </w:rPr>
              <w:t xml:space="preserve">Percentage </w:t>
            </w:r>
            <w:r w:rsidR="00476E3B">
              <w:rPr>
                <w:sz w:val="20"/>
                <w:szCs w:val="20"/>
                <w:lang w:eastAsia="en-US"/>
              </w:rPr>
              <w:t>o</w:t>
            </w:r>
            <w:r w:rsidRPr="00476E3B">
              <w:rPr>
                <w:sz w:val="20"/>
                <w:szCs w:val="20"/>
                <w:lang w:eastAsia="en-US"/>
              </w:rPr>
              <w:t>f total herders in pilot</w:t>
            </w:r>
            <w:r w:rsidR="00476E3B">
              <w:rPr>
                <w:sz w:val="20"/>
                <w:szCs w:val="20"/>
                <w:lang w:eastAsia="en-US"/>
              </w:rPr>
              <w:t xml:space="preserve"> </w:t>
            </w:r>
            <w:r w:rsidRPr="00476E3B">
              <w:rPr>
                <w:sz w:val="20"/>
                <w:szCs w:val="20"/>
                <w:lang w:eastAsia="en-US"/>
              </w:rPr>
              <w:t>aimags purchasing BIP</w:t>
            </w:r>
          </w:p>
        </w:tc>
        <w:tc>
          <w:tcPr>
            <w:tcW w:w="645" w:type="dxa"/>
          </w:tcPr>
          <w:p w14:paraId="417915AD" w14:textId="72F1FE10" w:rsidR="006B6B64" w:rsidRPr="00A574CF" w:rsidRDefault="001F3C8D" w:rsidP="00C67D43">
            <w:pPr>
              <w:rPr>
                <w:sz w:val="20"/>
                <w:szCs w:val="20"/>
              </w:rPr>
            </w:pPr>
            <w:r w:rsidRPr="00A574CF">
              <w:rPr>
                <w:sz w:val="20"/>
                <w:szCs w:val="20"/>
                <w:lang w:eastAsia="en-US"/>
              </w:rPr>
              <w:t>Y</w:t>
            </w:r>
            <w:r w:rsidR="00A574CF" w:rsidRPr="00A574CF">
              <w:rPr>
                <w:sz w:val="20"/>
                <w:szCs w:val="20"/>
                <w:lang w:eastAsia="en-US"/>
              </w:rPr>
              <w:t>es</w:t>
            </w:r>
          </w:p>
        </w:tc>
        <w:tc>
          <w:tcPr>
            <w:tcW w:w="3960" w:type="dxa"/>
          </w:tcPr>
          <w:p w14:paraId="4284AA9D" w14:textId="74164621" w:rsidR="006B6B64" w:rsidRDefault="00281AF6" w:rsidP="00281AF6">
            <w:pPr>
              <w:autoSpaceDE w:val="0"/>
              <w:autoSpaceDN w:val="0"/>
              <w:adjustRightInd w:val="0"/>
            </w:pPr>
            <w:r>
              <w:rPr>
                <w:sz w:val="20"/>
                <w:szCs w:val="20"/>
                <w:lang w:eastAsia="en-US"/>
              </w:rPr>
              <w:t>T</w:t>
            </w:r>
            <w:r w:rsidRPr="00E417BF">
              <w:rPr>
                <w:sz w:val="20"/>
                <w:szCs w:val="20"/>
                <w:lang w:eastAsia="en-US"/>
              </w:rPr>
              <w:t xml:space="preserve">he </w:t>
            </w:r>
            <w:r>
              <w:rPr>
                <w:sz w:val="20"/>
                <w:szCs w:val="20"/>
                <w:lang w:eastAsia="en-US"/>
              </w:rPr>
              <w:t xml:space="preserve">end of project </w:t>
            </w:r>
            <w:r w:rsidRPr="00E417BF">
              <w:rPr>
                <w:sz w:val="20"/>
                <w:szCs w:val="20"/>
                <w:lang w:eastAsia="en-US"/>
              </w:rPr>
              <w:t>target changed</w:t>
            </w:r>
            <w:r>
              <w:rPr>
                <w:sz w:val="20"/>
                <w:szCs w:val="20"/>
                <w:lang w:eastAsia="en-US"/>
              </w:rPr>
              <w:t xml:space="preserve"> from 5% to 15%</w:t>
            </w:r>
            <w:r w:rsidRPr="00E417BF">
              <w:rPr>
                <w:sz w:val="20"/>
                <w:szCs w:val="20"/>
                <w:lang w:eastAsia="en-US"/>
              </w:rPr>
              <w:t xml:space="preserve"> when AF was approved</w:t>
            </w:r>
          </w:p>
        </w:tc>
        <w:tc>
          <w:tcPr>
            <w:tcW w:w="2430" w:type="dxa"/>
          </w:tcPr>
          <w:p w14:paraId="76921CCD" w14:textId="2B083B0E" w:rsidR="006B6B64" w:rsidRPr="00E417BF" w:rsidRDefault="006B6B64" w:rsidP="00E417BF">
            <w:pPr>
              <w:autoSpaceDE w:val="0"/>
              <w:autoSpaceDN w:val="0"/>
              <w:adjustRightInd w:val="0"/>
              <w:rPr>
                <w:sz w:val="20"/>
                <w:szCs w:val="20"/>
                <w:lang w:eastAsia="en-US"/>
              </w:rPr>
            </w:pPr>
          </w:p>
        </w:tc>
      </w:tr>
      <w:tr w:rsidR="003B2055" w14:paraId="68C0D55B" w14:textId="77777777" w:rsidTr="00544E95">
        <w:tc>
          <w:tcPr>
            <w:tcW w:w="2410" w:type="dxa"/>
          </w:tcPr>
          <w:p w14:paraId="32D5862B" w14:textId="76C91B3D" w:rsidR="003B2055" w:rsidRPr="00476E3B" w:rsidRDefault="003B2055" w:rsidP="003B2055">
            <w:pPr>
              <w:autoSpaceDE w:val="0"/>
              <w:autoSpaceDN w:val="0"/>
              <w:adjustRightInd w:val="0"/>
              <w:rPr>
                <w:sz w:val="20"/>
                <w:szCs w:val="20"/>
                <w:lang w:eastAsia="en-US"/>
              </w:rPr>
            </w:pPr>
            <w:r w:rsidRPr="003B2055">
              <w:rPr>
                <w:sz w:val="20"/>
                <w:szCs w:val="20"/>
                <w:lang w:eastAsia="en-US"/>
              </w:rPr>
              <w:t xml:space="preserve">Percentage of total </w:t>
            </w:r>
            <w:r w:rsidRPr="00A6671D">
              <w:rPr>
                <w:i/>
                <w:sz w:val="20"/>
                <w:szCs w:val="20"/>
                <w:lang w:eastAsia="en-US"/>
              </w:rPr>
              <w:t>soums</w:t>
            </w:r>
            <w:r w:rsidRPr="003B2055">
              <w:rPr>
                <w:sz w:val="20"/>
                <w:szCs w:val="20"/>
                <w:lang w:eastAsia="en-US"/>
              </w:rPr>
              <w:t xml:space="preserve"> in </w:t>
            </w:r>
            <w:r>
              <w:rPr>
                <w:sz w:val="20"/>
                <w:szCs w:val="20"/>
                <w:lang w:eastAsia="en-US"/>
              </w:rPr>
              <w:t>selected</w:t>
            </w:r>
            <w:r w:rsidRPr="003B2055">
              <w:rPr>
                <w:sz w:val="20"/>
                <w:szCs w:val="20"/>
                <w:lang w:eastAsia="en-US"/>
              </w:rPr>
              <w:t xml:space="preserve"> aimags </w:t>
            </w:r>
            <w:r>
              <w:rPr>
                <w:sz w:val="20"/>
                <w:szCs w:val="20"/>
                <w:lang w:eastAsia="en-US"/>
              </w:rPr>
              <w:t xml:space="preserve">offering </w:t>
            </w:r>
            <w:r w:rsidRPr="003B2055">
              <w:rPr>
                <w:sz w:val="20"/>
                <w:szCs w:val="20"/>
                <w:lang w:eastAsia="en-US"/>
              </w:rPr>
              <w:t>BIP</w:t>
            </w:r>
          </w:p>
        </w:tc>
        <w:tc>
          <w:tcPr>
            <w:tcW w:w="645" w:type="dxa"/>
          </w:tcPr>
          <w:p w14:paraId="4488DFC2" w14:textId="3E0FEDC4" w:rsidR="003B2055" w:rsidRPr="00A574CF" w:rsidRDefault="003B2055" w:rsidP="00C67D43">
            <w:pPr>
              <w:rPr>
                <w:sz w:val="20"/>
                <w:szCs w:val="20"/>
                <w:lang w:eastAsia="en-US"/>
              </w:rPr>
            </w:pPr>
            <w:r>
              <w:rPr>
                <w:sz w:val="20"/>
                <w:szCs w:val="20"/>
                <w:lang w:eastAsia="en-US"/>
              </w:rPr>
              <w:t>No</w:t>
            </w:r>
          </w:p>
        </w:tc>
        <w:tc>
          <w:tcPr>
            <w:tcW w:w="3960" w:type="dxa"/>
          </w:tcPr>
          <w:p w14:paraId="51FD01E6" w14:textId="269697A4" w:rsidR="003B2055" w:rsidRDefault="003B2055" w:rsidP="003B2055">
            <w:pPr>
              <w:autoSpaceDE w:val="0"/>
              <w:autoSpaceDN w:val="0"/>
              <w:adjustRightInd w:val="0"/>
              <w:rPr>
                <w:sz w:val="20"/>
                <w:szCs w:val="20"/>
                <w:lang w:eastAsia="en-US"/>
              </w:rPr>
            </w:pPr>
            <w:r w:rsidRPr="003B2055">
              <w:rPr>
                <w:sz w:val="20"/>
                <w:szCs w:val="20"/>
                <w:lang w:eastAsia="en-US"/>
              </w:rPr>
              <w:t xml:space="preserve">The end of project target changed from </w:t>
            </w:r>
            <w:r>
              <w:rPr>
                <w:sz w:val="20"/>
                <w:szCs w:val="20"/>
                <w:lang w:eastAsia="en-US"/>
              </w:rPr>
              <w:t>80%</w:t>
            </w:r>
            <w:r w:rsidRPr="003B2055">
              <w:rPr>
                <w:sz w:val="20"/>
                <w:szCs w:val="20"/>
                <w:lang w:eastAsia="en-US"/>
              </w:rPr>
              <w:t xml:space="preserve"> to </w:t>
            </w:r>
            <w:r>
              <w:rPr>
                <w:sz w:val="20"/>
                <w:szCs w:val="20"/>
                <w:lang w:eastAsia="en-US"/>
              </w:rPr>
              <w:t>90</w:t>
            </w:r>
            <w:r w:rsidRPr="003B2055">
              <w:rPr>
                <w:sz w:val="20"/>
                <w:szCs w:val="20"/>
                <w:lang w:eastAsia="en-US"/>
              </w:rPr>
              <w:t>% when AF was approved</w:t>
            </w:r>
          </w:p>
        </w:tc>
        <w:tc>
          <w:tcPr>
            <w:tcW w:w="2430" w:type="dxa"/>
          </w:tcPr>
          <w:p w14:paraId="723EA806" w14:textId="77777777" w:rsidR="003B2055" w:rsidDel="00281AF6" w:rsidRDefault="003B2055" w:rsidP="00E417BF">
            <w:pPr>
              <w:autoSpaceDE w:val="0"/>
              <w:autoSpaceDN w:val="0"/>
              <w:adjustRightInd w:val="0"/>
              <w:rPr>
                <w:sz w:val="20"/>
                <w:szCs w:val="20"/>
                <w:lang w:eastAsia="en-US"/>
              </w:rPr>
            </w:pPr>
          </w:p>
        </w:tc>
      </w:tr>
      <w:tr w:rsidR="006B6B64" w14:paraId="2AD72082" w14:textId="77777777" w:rsidTr="00544E95">
        <w:tc>
          <w:tcPr>
            <w:tcW w:w="2410" w:type="dxa"/>
          </w:tcPr>
          <w:p w14:paraId="0439584E" w14:textId="1BCFD1A5" w:rsidR="006B6B64" w:rsidRPr="00B96828" w:rsidRDefault="00E417BF" w:rsidP="00B96828">
            <w:pPr>
              <w:autoSpaceDE w:val="0"/>
              <w:autoSpaceDN w:val="0"/>
              <w:adjustRightInd w:val="0"/>
              <w:rPr>
                <w:sz w:val="20"/>
                <w:szCs w:val="20"/>
                <w:lang w:eastAsia="en-US"/>
              </w:rPr>
            </w:pPr>
            <w:r>
              <w:rPr>
                <w:sz w:val="20"/>
                <w:szCs w:val="20"/>
                <w:lang w:eastAsia="en-US"/>
              </w:rPr>
              <w:t>Percentage o</w:t>
            </w:r>
            <w:r w:rsidR="006B6B64" w:rsidRPr="00E417BF">
              <w:rPr>
                <w:sz w:val="20"/>
                <w:szCs w:val="20"/>
                <w:lang w:eastAsia="en-US"/>
              </w:rPr>
              <w:t>f total herders in pilot</w:t>
            </w:r>
            <w:r>
              <w:rPr>
                <w:sz w:val="20"/>
                <w:szCs w:val="20"/>
                <w:lang w:eastAsia="en-US"/>
              </w:rPr>
              <w:t xml:space="preserve"> </w:t>
            </w:r>
            <w:r w:rsidR="006B6B64" w:rsidRPr="00E417BF">
              <w:rPr>
                <w:sz w:val="20"/>
                <w:szCs w:val="20"/>
                <w:lang w:eastAsia="en-US"/>
              </w:rPr>
              <w:t>aimags participating in DRP</w:t>
            </w:r>
          </w:p>
        </w:tc>
        <w:tc>
          <w:tcPr>
            <w:tcW w:w="645" w:type="dxa"/>
          </w:tcPr>
          <w:p w14:paraId="311C9DA5" w14:textId="22D72CA2" w:rsidR="006B6B64" w:rsidRPr="00A574CF" w:rsidRDefault="001F3C8D" w:rsidP="00C67D43">
            <w:pPr>
              <w:rPr>
                <w:sz w:val="20"/>
                <w:szCs w:val="20"/>
              </w:rPr>
            </w:pPr>
            <w:r w:rsidRPr="00A574CF">
              <w:rPr>
                <w:sz w:val="20"/>
                <w:szCs w:val="20"/>
                <w:lang w:eastAsia="en-US"/>
              </w:rPr>
              <w:t>Y</w:t>
            </w:r>
            <w:r w:rsidR="00A574CF" w:rsidRPr="00A574CF">
              <w:rPr>
                <w:sz w:val="20"/>
                <w:szCs w:val="20"/>
                <w:lang w:eastAsia="en-US"/>
              </w:rPr>
              <w:t>es</w:t>
            </w:r>
          </w:p>
        </w:tc>
        <w:tc>
          <w:tcPr>
            <w:tcW w:w="3960" w:type="dxa"/>
          </w:tcPr>
          <w:p w14:paraId="26FD6E19" w14:textId="6D1CFF60" w:rsidR="006B6B64" w:rsidRDefault="00281AF6" w:rsidP="00B96828">
            <w:pPr>
              <w:autoSpaceDE w:val="0"/>
              <w:autoSpaceDN w:val="0"/>
              <w:adjustRightInd w:val="0"/>
            </w:pPr>
            <w:r w:rsidRPr="00B96828">
              <w:rPr>
                <w:sz w:val="20"/>
                <w:szCs w:val="20"/>
                <w:lang w:eastAsia="en-US"/>
              </w:rPr>
              <w:t>D</w:t>
            </w:r>
            <w:r w:rsidR="006B6B64" w:rsidRPr="00B96828">
              <w:rPr>
                <w:sz w:val="20"/>
                <w:szCs w:val="20"/>
                <w:lang w:eastAsia="en-US"/>
              </w:rPr>
              <w:t>ropped</w:t>
            </w:r>
          </w:p>
        </w:tc>
        <w:tc>
          <w:tcPr>
            <w:tcW w:w="2430" w:type="dxa"/>
          </w:tcPr>
          <w:p w14:paraId="63756CAD" w14:textId="75CE61FF" w:rsidR="006B6B64" w:rsidRPr="00E417BF" w:rsidRDefault="006B6B64" w:rsidP="00E417BF">
            <w:pPr>
              <w:autoSpaceDE w:val="0"/>
              <w:autoSpaceDN w:val="0"/>
              <w:adjustRightInd w:val="0"/>
              <w:rPr>
                <w:sz w:val="20"/>
                <w:szCs w:val="20"/>
                <w:lang w:eastAsia="en-US"/>
              </w:rPr>
            </w:pPr>
            <w:r w:rsidRPr="00E417BF">
              <w:rPr>
                <w:sz w:val="20"/>
                <w:szCs w:val="20"/>
                <w:lang w:eastAsia="en-US"/>
              </w:rPr>
              <w:t>The DRP was discontinued for the project scale-up and extension</w:t>
            </w:r>
          </w:p>
        </w:tc>
      </w:tr>
      <w:tr w:rsidR="006B6B64" w14:paraId="1C273A77" w14:textId="77777777" w:rsidTr="00544E95">
        <w:tc>
          <w:tcPr>
            <w:tcW w:w="2410" w:type="dxa"/>
          </w:tcPr>
          <w:p w14:paraId="479D184B" w14:textId="1FE39E14" w:rsidR="006B6B64" w:rsidRPr="001B0E72" w:rsidRDefault="006B6B64" w:rsidP="00892D64">
            <w:pPr>
              <w:autoSpaceDE w:val="0"/>
              <w:autoSpaceDN w:val="0"/>
              <w:adjustRightInd w:val="0"/>
              <w:rPr>
                <w:rFonts w:ascii="ArialMT" w:hAnsi="ArialMT" w:cs="ArialMT"/>
                <w:sz w:val="20"/>
                <w:szCs w:val="20"/>
                <w:lang w:eastAsia="en-US"/>
              </w:rPr>
            </w:pPr>
            <w:r w:rsidRPr="00B96828">
              <w:rPr>
                <w:sz w:val="20"/>
                <w:szCs w:val="20"/>
                <w:lang w:eastAsia="en-US"/>
              </w:rPr>
              <w:t>Participating insurance companies</w:t>
            </w:r>
            <w:r w:rsidR="00B96828">
              <w:rPr>
                <w:sz w:val="20"/>
                <w:szCs w:val="20"/>
                <w:lang w:eastAsia="en-US"/>
              </w:rPr>
              <w:t xml:space="preserve"> </w:t>
            </w:r>
            <w:r w:rsidRPr="00B96828">
              <w:rPr>
                <w:sz w:val="20"/>
                <w:szCs w:val="20"/>
                <w:lang w:eastAsia="en-US"/>
              </w:rPr>
              <w:t>provide 100 percent of contractual</w:t>
            </w:r>
            <w:r w:rsidR="00892D64">
              <w:rPr>
                <w:sz w:val="20"/>
                <w:szCs w:val="20"/>
                <w:lang w:eastAsia="en-US"/>
              </w:rPr>
              <w:t xml:space="preserve"> </w:t>
            </w:r>
            <w:r w:rsidRPr="00B96828">
              <w:rPr>
                <w:sz w:val="20"/>
                <w:szCs w:val="20"/>
                <w:lang w:eastAsia="en-US"/>
              </w:rPr>
              <w:t>payments into LIIP and Government</w:t>
            </w:r>
            <w:r w:rsidR="00892D64">
              <w:rPr>
                <w:sz w:val="20"/>
                <w:szCs w:val="20"/>
                <w:lang w:eastAsia="en-US"/>
              </w:rPr>
              <w:t xml:space="preserve"> </w:t>
            </w:r>
            <w:r w:rsidRPr="00B96828">
              <w:rPr>
                <w:sz w:val="20"/>
                <w:szCs w:val="20"/>
                <w:lang w:eastAsia="en-US"/>
              </w:rPr>
              <w:t>BIP reserves when required.</w:t>
            </w:r>
            <w:r w:rsidR="00892D64">
              <w:rPr>
                <w:sz w:val="20"/>
                <w:szCs w:val="20"/>
                <w:lang w:eastAsia="en-US"/>
              </w:rPr>
              <w:t xml:space="preserve"> </w:t>
            </w:r>
          </w:p>
        </w:tc>
        <w:tc>
          <w:tcPr>
            <w:tcW w:w="645" w:type="dxa"/>
          </w:tcPr>
          <w:p w14:paraId="217C1BB1" w14:textId="4ECE9AF8" w:rsidR="006B6B64" w:rsidRPr="00A574CF" w:rsidRDefault="00B96828" w:rsidP="0061610C">
            <w:pPr>
              <w:autoSpaceDE w:val="0"/>
              <w:autoSpaceDN w:val="0"/>
              <w:adjustRightInd w:val="0"/>
              <w:rPr>
                <w:color w:val="000000"/>
                <w:sz w:val="20"/>
                <w:szCs w:val="20"/>
                <w:lang w:eastAsia="en-US"/>
              </w:rPr>
            </w:pPr>
            <w:r w:rsidRPr="00A574CF">
              <w:rPr>
                <w:color w:val="000000"/>
                <w:sz w:val="20"/>
                <w:szCs w:val="20"/>
                <w:lang w:eastAsia="en-US"/>
              </w:rPr>
              <w:t>No</w:t>
            </w:r>
          </w:p>
        </w:tc>
        <w:tc>
          <w:tcPr>
            <w:tcW w:w="3960" w:type="dxa"/>
          </w:tcPr>
          <w:p w14:paraId="402CD6E9" w14:textId="1DA64090" w:rsidR="006B6B64" w:rsidRPr="00B96828" w:rsidRDefault="00476E3B" w:rsidP="0061610C">
            <w:pPr>
              <w:autoSpaceDE w:val="0"/>
              <w:autoSpaceDN w:val="0"/>
              <w:adjustRightInd w:val="0"/>
              <w:rPr>
                <w:sz w:val="20"/>
                <w:szCs w:val="20"/>
                <w:lang w:eastAsia="en-US"/>
              </w:rPr>
            </w:pPr>
            <w:r w:rsidRPr="00B96828">
              <w:rPr>
                <w:sz w:val="20"/>
                <w:szCs w:val="20"/>
                <w:lang w:eastAsia="en-US"/>
              </w:rPr>
              <w:t>Slightly modified</w:t>
            </w:r>
            <w:r w:rsidR="00B96828">
              <w:rPr>
                <w:sz w:val="20"/>
                <w:szCs w:val="20"/>
                <w:lang w:eastAsia="en-US"/>
              </w:rPr>
              <w:t xml:space="preserve"> to: p</w:t>
            </w:r>
            <w:r w:rsidR="006B6B64" w:rsidRPr="00B96828">
              <w:rPr>
                <w:sz w:val="20"/>
                <w:szCs w:val="20"/>
                <w:lang w:eastAsia="en-US"/>
              </w:rPr>
              <w:t>articipating insurance companies provide contractual payments into LIIP and LRI reserves as contractually required.</w:t>
            </w:r>
          </w:p>
          <w:p w14:paraId="70B9D933" w14:textId="0E07A8C3" w:rsidR="006B6B64" w:rsidRDefault="006B6B64" w:rsidP="0061610C"/>
        </w:tc>
        <w:tc>
          <w:tcPr>
            <w:tcW w:w="2430" w:type="dxa"/>
          </w:tcPr>
          <w:p w14:paraId="24CE5F35" w14:textId="77777777" w:rsidR="006B6B64" w:rsidRDefault="006B6B64" w:rsidP="00C67D43"/>
        </w:tc>
      </w:tr>
      <w:tr w:rsidR="006B6B64" w14:paraId="5AC2636C" w14:textId="77777777" w:rsidTr="00544E95">
        <w:tc>
          <w:tcPr>
            <w:tcW w:w="2410" w:type="dxa"/>
          </w:tcPr>
          <w:p w14:paraId="1589243C" w14:textId="18E356CD" w:rsidR="006B6B64" w:rsidRPr="001B0E72" w:rsidRDefault="003A782C" w:rsidP="003A782C">
            <w:pPr>
              <w:autoSpaceDE w:val="0"/>
              <w:autoSpaceDN w:val="0"/>
              <w:adjustRightInd w:val="0"/>
              <w:rPr>
                <w:rFonts w:ascii="ArialMT" w:hAnsi="ArialMT" w:cs="ArialMT"/>
                <w:sz w:val="20"/>
                <w:szCs w:val="20"/>
                <w:lang w:eastAsia="en-US"/>
              </w:rPr>
            </w:pPr>
            <w:r>
              <w:rPr>
                <w:sz w:val="20"/>
                <w:szCs w:val="20"/>
                <w:lang w:eastAsia="en-US"/>
              </w:rPr>
              <w:t>Consistency between mid-year census and end of year census.</w:t>
            </w:r>
          </w:p>
        </w:tc>
        <w:tc>
          <w:tcPr>
            <w:tcW w:w="645" w:type="dxa"/>
          </w:tcPr>
          <w:p w14:paraId="4A7F0EDC" w14:textId="21D451F8" w:rsidR="006B6B64" w:rsidRPr="00A574CF" w:rsidRDefault="00B96828" w:rsidP="00B96828">
            <w:pPr>
              <w:autoSpaceDE w:val="0"/>
              <w:autoSpaceDN w:val="0"/>
              <w:adjustRightInd w:val="0"/>
              <w:rPr>
                <w:sz w:val="20"/>
                <w:szCs w:val="20"/>
                <w:lang w:eastAsia="en-US"/>
              </w:rPr>
            </w:pPr>
            <w:r w:rsidRPr="00A574CF">
              <w:rPr>
                <w:sz w:val="20"/>
                <w:szCs w:val="20"/>
                <w:lang w:eastAsia="en-US"/>
              </w:rPr>
              <w:t>No</w:t>
            </w:r>
          </w:p>
        </w:tc>
        <w:tc>
          <w:tcPr>
            <w:tcW w:w="3960" w:type="dxa"/>
          </w:tcPr>
          <w:p w14:paraId="493FD96E" w14:textId="5F9AA37E" w:rsidR="006B6B64" w:rsidRPr="00B96828" w:rsidRDefault="006B6B64" w:rsidP="00B96828">
            <w:pPr>
              <w:autoSpaceDE w:val="0"/>
              <w:autoSpaceDN w:val="0"/>
              <w:adjustRightInd w:val="0"/>
              <w:rPr>
                <w:sz w:val="20"/>
                <w:szCs w:val="20"/>
                <w:lang w:eastAsia="en-US"/>
              </w:rPr>
            </w:pPr>
            <w:r w:rsidRPr="00B96828">
              <w:rPr>
                <w:sz w:val="20"/>
                <w:szCs w:val="20"/>
                <w:lang w:eastAsia="en-US"/>
              </w:rPr>
              <w:t>dropped</w:t>
            </w:r>
          </w:p>
        </w:tc>
        <w:tc>
          <w:tcPr>
            <w:tcW w:w="2430" w:type="dxa"/>
          </w:tcPr>
          <w:p w14:paraId="31851D50" w14:textId="71DFE12A" w:rsidR="006B6B64" w:rsidRPr="00B96828" w:rsidRDefault="006B6B64" w:rsidP="00B96828">
            <w:pPr>
              <w:autoSpaceDE w:val="0"/>
              <w:autoSpaceDN w:val="0"/>
              <w:adjustRightInd w:val="0"/>
              <w:rPr>
                <w:sz w:val="20"/>
                <w:szCs w:val="20"/>
                <w:lang w:eastAsia="en-US"/>
              </w:rPr>
            </w:pPr>
            <w:r w:rsidRPr="00B96828">
              <w:rPr>
                <w:sz w:val="20"/>
                <w:szCs w:val="20"/>
                <w:lang w:eastAsia="en-US"/>
              </w:rPr>
              <w:t>It became irrelevant</w:t>
            </w:r>
            <w:r w:rsidR="00B96828">
              <w:rPr>
                <w:sz w:val="20"/>
                <w:szCs w:val="20"/>
                <w:lang w:eastAsia="en-US"/>
              </w:rPr>
              <w:t xml:space="preserve"> since this activity ended by the approval of the AF.</w:t>
            </w:r>
          </w:p>
        </w:tc>
      </w:tr>
      <w:tr w:rsidR="003A782C" w14:paraId="06DFE806" w14:textId="77777777" w:rsidTr="00544E95">
        <w:tc>
          <w:tcPr>
            <w:tcW w:w="2410" w:type="dxa"/>
          </w:tcPr>
          <w:p w14:paraId="5B57EC5D" w14:textId="26A570C5" w:rsidR="003A782C" w:rsidRPr="00B96828" w:rsidDel="003A782C" w:rsidRDefault="003A782C" w:rsidP="003A782C">
            <w:pPr>
              <w:autoSpaceDE w:val="0"/>
              <w:autoSpaceDN w:val="0"/>
              <w:adjustRightInd w:val="0"/>
              <w:rPr>
                <w:sz w:val="20"/>
                <w:szCs w:val="20"/>
                <w:lang w:eastAsia="en-US"/>
              </w:rPr>
            </w:pPr>
            <w:r w:rsidRPr="003A782C">
              <w:rPr>
                <w:sz w:val="20"/>
                <w:szCs w:val="20"/>
                <w:lang w:eastAsia="en-US"/>
              </w:rPr>
              <w:t xml:space="preserve">Percentage </w:t>
            </w:r>
            <w:r>
              <w:rPr>
                <w:sz w:val="20"/>
                <w:szCs w:val="20"/>
                <w:lang w:eastAsia="en-US"/>
              </w:rPr>
              <w:t>of herders in the pilot area aware of the product</w:t>
            </w:r>
          </w:p>
        </w:tc>
        <w:tc>
          <w:tcPr>
            <w:tcW w:w="645" w:type="dxa"/>
          </w:tcPr>
          <w:p w14:paraId="5713A34B" w14:textId="1A29F144" w:rsidR="003A782C" w:rsidRPr="00A574CF" w:rsidRDefault="003A782C" w:rsidP="00B96828">
            <w:pPr>
              <w:autoSpaceDE w:val="0"/>
              <w:autoSpaceDN w:val="0"/>
              <w:adjustRightInd w:val="0"/>
              <w:rPr>
                <w:sz w:val="20"/>
                <w:szCs w:val="20"/>
                <w:lang w:eastAsia="en-US"/>
              </w:rPr>
            </w:pPr>
            <w:r>
              <w:rPr>
                <w:sz w:val="20"/>
                <w:szCs w:val="20"/>
                <w:lang w:eastAsia="en-US"/>
              </w:rPr>
              <w:t>No</w:t>
            </w:r>
          </w:p>
        </w:tc>
        <w:tc>
          <w:tcPr>
            <w:tcW w:w="3960" w:type="dxa"/>
          </w:tcPr>
          <w:p w14:paraId="276C6996" w14:textId="7319BBC9" w:rsidR="003A782C" w:rsidRPr="00B96828" w:rsidRDefault="003A782C" w:rsidP="00B96828">
            <w:pPr>
              <w:autoSpaceDE w:val="0"/>
              <w:autoSpaceDN w:val="0"/>
              <w:adjustRightInd w:val="0"/>
              <w:rPr>
                <w:sz w:val="20"/>
                <w:szCs w:val="20"/>
                <w:lang w:eastAsia="en-US"/>
              </w:rPr>
            </w:pPr>
            <w:r w:rsidRPr="003A782C">
              <w:rPr>
                <w:sz w:val="20"/>
                <w:szCs w:val="20"/>
                <w:lang w:eastAsia="en-US"/>
              </w:rPr>
              <w:t>The end of project targe</w:t>
            </w:r>
            <w:r>
              <w:rPr>
                <w:sz w:val="20"/>
                <w:szCs w:val="20"/>
                <w:lang w:eastAsia="en-US"/>
              </w:rPr>
              <w:t>t changed from 75% to 8</w:t>
            </w:r>
            <w:r w:rsidRPr="003A782C">
              <w:rPr>
                <w:sz w:val="20"/>
                <w:szCs w:val="20"/>
                <w:lang w:eastAsia="en-US"/>
              </w:rPr>
              <w:t>0% when AF was approved</w:t>
            </w:r>
          </w:p>
        </w:tc>
        <w:tc>
          <w:tcPr>
            <w:tcW w:w="2430" w:type="dxa"/>
          </w:tcPr>
          <w:p w14:paraId="051B6435" w14:textId="77777777" w:rsidR="003A782C" w:rsidRPr="00B96828" w:rsidRDefault="003A782C" w:rsidP="00B96828">
            <w:pPr>
              <w:autoSpaceDE w:val="0"/>
              <w:autoSpaceDN w:val="0"/>
              <w:adjustRightInd w:val="0"/>
              <w:rPr>
                <w:sz w:val="20"/>
                <w:szCs w:val="20"/>
                <w:lang w:eastAsia="en-US"/>
              </w:rPr>
            </w:pPr>
          </w:p>
        </w:tc>
      </w:tr>
      <w:tr w:rsidR="006B6B64" w14:paraId="41D30E59" w14:textId="77777777" w:rsidTr="00544E95">
        <w:tc>
          <w:tcPr>
            <w:tcW w:w="2410" w:type="dxa"/>
          </w:tcPr>
          <w:p w14:paraId="10210CB4" w14:textId="729CB4C2" w:rsidR="006B6B64" w:rsidRPr="00B96828" w:rsidRDefault="006B6B64" w:rsidP="00B96828">
            <w:pPr>
              <w:autoSpaceDE w:val="0"/>
              <w:autoSpaceDN w:val="0"/>
              <w:adjustRightInd w:val="0"/>
              <w:rPr>
                <w:sz w:val="20"/>
                <w:szCs w:val="20"/>
                <w:lang w:eastAsia="en-US"/>
              </w:rPr>
            </w:pPr>
            <w:r w:rsidRPr="00B96828">
              <w:rPr>
                <w:sz w:val="20"/>
                <w:szCs w:val="20"/>
                <w:lang w:eastAsia="en-US"/>
              </w:rPr>
              <w:t>Percentage of total herders in the pilot</w:t>
            </w:r>
            <w:r w:rsidR="00B96828">
              <w:rPr>
                <w:sz w:val="20"/>
                <w:szCs w:val="20"/>
                <w:lang w:eastAsia="en-US"/>
              </w:rPr>
              <w:t xml:space="preserve"> </w:t>
            </w:r>
            <w:r w:rsidRPr="00B96828">
              <w:rPr>
                <w:sz w:val="20"/>
                <w:szCs w:val="20"/>
                <w:lang w:eastAsia="en-US"/>
              </w:rPr>
              <w:t>area receiving face to face information</w:t>
            </w:r>
            <w:r w:rsidR="00B96828">
              <w:rPr>
                <w:sz w:val="20"/>
                <w:szCs w:val="20"/>
                <w:lang w:eastAsia="en-US"/>
              </w:rPr>
              <w:t xml:space="preserve"> </w:t>
            </w:r>
            <w:r w:rsidRPr="00B96828">
              <w:rPr>
                <w:sz w:val="20"/>
                <w:szCs w:val="20"/>
                <w:lang w:eastAsia="en-US"/>
              </w:rPr>
              <w:t>from project public awareness teams</w:t>
            </w:r>
          </w:p>
        </w:tc>
        <w:tc>
          <w:tcPr>
            <w:tcW w:w="645" w:type="dxa"/>
          </w:tcPr>
          <w:p w14:paraId="2292B5FD" w14:textId="477BEB62" w:rsidR="006B6B64" w:rsidRPr="00A574CF" w:rsidRDefault="00A574CF" w:rsidP="00C67D43">
            <w:pPr>
              <w:rPr>
                <w:sz w:val="20"/>
                <w:szCs w:val="20"/>
                <w:lang w:eastAsia="en-US"/>
              </w:rPr>
            </w:pPr>
            <w:r w:rsidRPr="00A574CF">
              <w:rPr>
                <w:sz w:val="20"/>
                <w:szCs w:val="20"/>
                <w:lang w:eastAsia="en-US"/>
              </w:rPr>
              <w:t>No</w:t>
            </w:r>
          </w:p>
        </w:tc>
        <w:tc>
          <w:tcPr>
            <w:tcW w:w="3960" w:type="dxa"/>
          </w:tcPr>
          <w:p w14:paraId="5EF11DFF" w14:textId="26FBBD1D" w:rsidR="006B6B64" w:rsidRPr="0061610C" w:rsidRDefault="006B6B64" w:rsidP="00B96828">
            <w:pPr>
              <w:autoSpaceDE w:val="0"/>
              <w:autoSpaceDN w:val="0"/>
              <w:adjustRightInd w:val="0"/>
            </w:pPr>
            <w:r w:rsidRPr="00B96828">
              <w:rPr>
                <w:sz w:val="20"/>
                <w:szCs w:val="20"/>
                <w:lang w:eastAsia="en-US"/>
              </w:rPr>
              <w:t>% of herders in the pilot area receiving information from project public awareness activities</w:t>
            </w:r>
          </w:p>
        </w:tc>
        <w:tc>
          <w:tcPr>
            <w:tcW w:w="2430" w:type="dxa"/>
          </w:tcPr>
          <w:p w14:paraId="631899D9" w14:textId="499CF649" w:rsidR="006B6B64" w:rsidRPr="00B96828" w:rsidRDefault="00B96828" w:rsidP="00B96828">
            <w:pPr>
              <w:autoSpaceDE w:val="0"/>
              <w:autoSpaceDN w:val="0"/>
              <w:adjustRightInd w:val="0"/>
              <w:rPr>
                <w:sz w:val="20"/>
                <w:szCs w:val="20"/>
                <w:lang w:eastAsia="en-US"/>
              </w:rPr>
            </w:pPr>
            <w:r w:rsidRPr="00B96828">
              <w:rPr>
                <w:sz w:val="20"/>
                <w:szCs w:val="20"/>
                <w:lang w:eastAsia="en-US"/>
              </w:rPr>
              <w:t xml:space="preserve">With the scale-up of the project, face to face activities have been phased out due to their cost. </w:t>
            </w:r>
          </w:p>
        </w:tc>
      </w:tr>
      <w:tr w:rsidR="006B6B64" w14:paraId="6369A80C" w14:textId="77777777" w:rsidTr="00544E95">
        <w:tc>
          <w:tcPr>
            <w:tcW w:w="2410" w:type="dxa"/>
          </w:tcPr>
          <w:p w14:paraId="3DC1A252" w14:textId="65CF7F42" w:rsidR="006B6B64" w:rsidRPr="0061610C" w:rsidRDefault="006B6B64" w:rsidP="00892D64">
            <w:pPr>
              <w:autoSpaceDE w:val="0"/>
              <w:autoSpaceDN w:val="0"/>
              <w:adjustRightInd w:val="0"/>
              <w:rPr>
                <w:rFonts w:ascii="ArialMT" w:hAnsi="ArialMT" w:cs="ArialMT"/>
                <w:sz w:val="20"/>
                <w:szCs w:val="20"/>
                <w:highlight w:val="yellow"/>
                <w:lang w:eastAsia="en-US"/>
              </w:rPr>
            </w:pPr>
            <w:r w:rsidRPr="00A574CF">
              <w:rPr>
                <w:sz w:val="20"/>
                <w:szCs w:val="20"/>
                <w:lang w:eastAsia="en-US"/>
              </w:rPr>
              <w:t>Cost effective new methods for NSO</w:t>
            </w:r>
            <w:r w:rsidR="00892D64">
              <w:rPr>
                <w:sz w:val="20"/>
                <w:szCs w:val="20"/>
                <w:lang w:eastAsia="en-US"/>
              </w:rPr>
              <w:t xml:space="preserve"> </w:t>
            </w:r>
            <w:r w:rsidRPr="00A574CF">
              <w:rPr>
                <w:sz w:val="20"/>
                <w:szCs w:val="20"/>
                <w:lang w:eastAsia="en-US"/>
              </w:rPr>
              <w:t>livestock data collection and statistics</w:t>
            </w:r>
            <w:r w:rsidR="00892D64">
              <w:rPr>
                <w:sz w:val="20"/>
                <w:szCs w:val="20"/>
                <w:lang w:eastAsia="en-US"/>
              </w:rPr>
              <w:t xml:space="preserve"> </w:t>
            </w:r>
            <w:r w:rsidRPr="00A574CF">
              <w:rPr>
                <w:sz w:val="20"/>
                <w:szCs w:val="20"/>
                <w:lang w:eastAsia="en-US"/>
              </w:rPr>
              <w:t>tested</w:t>
            </w:r>
            <w:r w:rsidR="00892D64">
              <w:rPr>
                <w:sz w:val="20"/>
                <w:szCs w:val="20"/>
                <w:lang w:eastAsia="en-US"/>
              </w:rPr>
              <w:t xml:space="preserve"> </w:t>
            </w:r>
          </w:p>
        </w:tc>
        <w:tc>
          <w:tcPr>
            <w:tcW w:w="645" w:type="dxa"/>
          </w:tcPr>
          <w:p w14:paraId="20FEFAB0" w14:textId="7E7B0EFC" w:rsidR="006B6B64" w:rsidRPr="00A574CF" w:rsidRDefault="00A574CF" w:rsidP="00A574CF">
            <w:pPr>
              <w:autoSpaceDE w:val="0"/>
              <w:autoSpaceDN w:val="0"/>
              <w:adjustRightInd w:val="0"/>
              <w:rPr>
                <w:sz w:val="20"/>
                <w:szCs w:val="20"/>
                <w:lang w:eastAsia="en-US"/>
              </w:rPr>
            </w:pPr>
            <w:r w:rsidRPr="00A574CF">
              <w:rPr>
                <w:sz w:val="20"/>
                <w:szCs w:val="20"/>
                <w:lang w:eastAsia="en-US"/>
              </w:rPr>
              <w:t>No</w:t>
            </w:r>
          </w:p>
        </w:tc>
        <w:tc>
          <w:tcPr>
            <w:tcW w:w="3960" w:type="dxa"/>
          </w:tcPr>
          <w:p w14:paraId="487CFD1A" w14:textId="1313BAF7" w:rsidR="006B6B64" w:rsidRPr="00A574CF" w:rsidRDefault="00A574CF" w:rsidP="00A574CF">
            <w:pPr>
              <w:autoSpaceDE w:val="0"/>
              <w:autoSpaceDN w:val="0"/>
              <w:adjustRightInd w:val="0"/>
              <w:rPr>
                <w:sz w:val="20"/>
                <w:szCs w:val="20"/>
                <w:lang w:eastAsia="en-US"/>
              </w:rPr>
            </w:pPr>
            <w:r>
              <w:rPr>
                <w:sz w:val="20"/>
                <w:szCs w:val="20"/>
                <w:lang w:eastAsia="en-US"/>
              </w:rPr>
              <w:t xml:space="preserve">Changed to: </w:t>
            </w:r>
            <w:r w:rsidR="006B6B64" w:rsidRPr="00A574CF">
              <w:rPr>
                <w:sz w:val="20"/>
                <w:szCs w:val="20"/>
                <w:lang w:eastAsia="en-US"/>
              </w:rPr>
              <w:t xml:space="preserve">Number of </w:t>
            </w:r>
            <w:r w:rsidR="006B6B64" w:rsidRPr="00A6671D">
              <w:rPr>
                <w:i/>
                <w:sz w:val="20"/>
                <w:szCs w:val="20"/>
                <w:lang w:eastAsia="en-US"/>
              </w:rPr>
              <w:t>soums</w:t>
            </w:r>
            <w:r w:rsidR="006B6B64" w:rsidRPr="00A574CF">
              <w:rPr>
                <w:sz w:val="20"/>
                <w:szCs w:val="20"/>
                <w:lang w:eastAsia="en-US"/>
              </w:rPr>
              <w:t xml:space="preserve"> where cost effective new methods for NSO livestock data collection and statistics introduced</w:t>
            </w:r>
          </w:p>
        </w:tc>
        <w:tc>
          <w:tcPr>
            <w:tcW w:w="2430" w:type="dxa"/>
          </w:tcPr>
          <w:p w14:paraId="7E06BC10" w14:textId="3624A352" w:rsidR="006B6B64" w:rsidRDefault="00A574CF" w:rsidP="00EF34D0">
            <w:pPr>
              <w:keepNext/>
              <w:autoSpaceDE w:val="0"/>
              <w:autoSpaceDN w:val="0"/>
              <w:adjustRightInd w:val="0"/>
            </w:pPr>
            <w:r w:rsidRPr="00A574CF">
              <w:rPr>
                <w:sz w:val="20"/>
                <w:szCs w:val="20"/>
                <w:lang w:eastAsia="en-US"/>
              </w:rPr>
              <w:t xml:space="preserve">The new indicator was </w:t>
            </w:r>
            <w:r w:rsidR="003F74FC">
              <w:rPr>
                <w:sz w:val="20"/>
                <w:szCs w:val="20"/>
                <w:lang w:eastAsia="en-US"/>
              </w:rPr>
              <w:t>easier to measure</w:t>
            </w:r>
            <w:r w:rsidR="003F74FC" w:rsidRPr="00A574CF">
              <w:rPr>
                <w:sz w:val="20"/>
                <w:szCs w:val="20"/>
                <w:lang w:eastAsia="en-US"/>
              </w:rPr>
              <w:t xml:space="preserve"> </w:t>
            </w:r>
            <w:r w:rsidRPr="00A574CF">
              <w:rPr>
                <w:sz w:val="20"/>
                <w:szCs w:val="20"/>
                <w:lang w:eastAsia="en-US"/>
              </w:rPr>
              <w:t>than the original one.</w:t>
            </w:r>
            <w:r>
              <w:t xml:space="preserve"> </w:t>
            </w:r>
          </w:p>
        </w:tc>
      </w:tr>
    </w:tbl>
    <w:p w14:paraId="54C9A2F7" w14:textId="4D7B917B" w:rsidR="00EF34D0" w:rsidRPr="00EF34D0" w:rsidRDefault="00EF34D0" w:rsidP="00EF34D0">
      <w:pPr>
        <w:pStyle w:val="Caption"/>
        <w:jc w:val="center"/>
        <w:rPr>
          <w:b/>
          <w:i w:val="0"/>
          <w:color w:val="000000" w:themeColor="text1"/>
        </w:rPr>
      </w:pPr>
      <w:r w:rsidRPr="00EF34D0">
        <w:rPr>
          <w:b/>
          <w:i w:val="0"/>
          <w:color w:val="000000" w:themeColor="text1"/>
        </w:rPr>
        <w:t xml:space="preserve">Table </w:t>
      </w:r>
      <w:r w:rsidRPr="00EF34D0">
        <w:rPr>
          <w:b/>
          <w:i w:val="0"/>
          <w:color w:val="000000" w:themeColor="text1"/>
        </w:rPr>
        <w:fldChar w:fldCharType="begin"/>
      </w:r>
      <w:r w:rsidRPr="00EF34D0">
        <w:rPr>
          <w:b/>
          <w:i w:val="0"/>
          <w:color w:val="000000" w:themeColor="text1"/>
        </w:rPr>
        <w:instrText xml:space="preserve"> SEQ Table \* ARABIC </w:instrText>
      </w:r>
      <w:r w:rsidRPr="00EF34D0">
        <w:rPr>
          <w:b/>
          <w:i w:val="0"/>
          <w:color w:val="000000" w:themeColor="text1"/>
        </w:rPr>
        <w:fldChar w:fldCharType="separate"/>
      </w:r>
      <w:r w:rsidR="00D41562">
        <w:rPr>
          <w:b/>
          <w:i w:val="0"/>
          <w:noProof/>
          <w:color w:val="000000" w:themeColor="text1"/>
        </w:rPr>
        <w:t>1</w:t>
      </w:r>
      <w:r w:rsidRPr="00EF34D0">
        <w:rPr>
          <w:b/>
          <w:i w:val="0"/>
          <w:color w:val="000000" w:themeColor="text1"/>
        </w:rPr>
        <w:fldChar w:fldCharType="end"/>
      </w:r>
      <w:r w:rsidRPr="00EF34D0">
        <w:rPr>
          <w:b/>
          <w:i w:val="0"/>
          <w:color w:val="000000" w:themeColor="text1"/>
        </w:rPr>
        <w:t xml:space="preserve"> Summary of the differences between the Original and Revised Key Performance Indicators (KPI)</w:t>
      </w:r>
    </w:p>
    <w:p w14:paraId="4B684546" w14:textId="3DCA7471" w:rsidR="00C67D43" w:rsidRPr="005A4EF0" w:rsidRDefault="00C67D43" w:rsidP="005A4EF0">
      <w:pPr>
        <w:pStyle w:val="Heading3"/>
        <w:spacing w:after="240"/>
        <w:rPr>
          <w:sz w:val="24"/>
          <w:szCs w:val="24"/>
        </w:rPr>
      </w:pPr>
      <w:bookmarkStart w:id="96" w:name="_Toc456784521"/>
      <w:r w:rsidRPr="005A4EF0">
        <w:rPr>
          <w:sz w:val="24"/>
          <w:szCs w:val="24"/>
        </w:rPr>
        <w:t>1.4 Main Beneficiaries</w:t>
      </w:r>
      <w:bookmarkEnd w:id="96"/>
    </w:p>
    <w:p w14:paraId="256BB496" w14:textId="069C32A2" w:rsidR="00C67D43" w:rsidRPr="00D81A99" w:rsidRDefault="00673518" w:rsidP="00F92093">
      <w:pPr>
        <w:numPr>
          <w:ilvl w:val="0"/>
          <w:numId w:val="2"/>
        </w:numPr>
        <w:spacing w:after="240"/>
        <w:ind w:left="0" w:firstLine="0"/>
      </w:pPr>
      <w:bookmarkStart w:id="97" w:name="_Ref456785344"/>
      <w:r w:rsidRPr="00D81A99">
        <w:rPr>
          <w:b/>
        </w:rPr>
        <w:t>Original</w:t>
      </w:r>
      <w:r w:rsidR="00534677" w:rsidRPr="00D81A99">
        <w:rPr>
          <w:b/>
        </w:rPr>
        <w:t xml:space="preserve"> credit</w:t>
      </w:r>
      <w:r w:rsidR="00096480" w:rsidRPr="00D81A99">
        <w:rPr>
          <w:b/>
        </w:rPr>
        <w:t>—IBLI-pilot.</w:t>
      </w:r>
      <w:r w:rsidR="00534677" w:rsidRPr="00D81A99">
        <w:rPr>
          <w:b/>
        </w:rPr>
        <w:t xml:space="preserve"> </w:t>
      </w:r>
      <w:r w:rsidR="00534677" w:rsidRPr="00D81A99">
        <w:t xml:space="preserve">The direct beneficiaries </w:t>
      </w:r>
      <w:r w:rsidR="00D81A99" w:rsidRPr="00D81A99">
        <w:t xml:space="preserve">of component 1 </w:t>
      </w:r>
      <w:r w:rsidR="00534677" w:rsidRPr="00D81A99">
        <w:t xml:space="preserve">were the herders </w:t>
      </w:r>
      <w:r w:rsidR="00461351" w:rsidRPr="00D81A99">
        <w:t>in the three</w:t>
      </w:r>
      <w:r w:rsidR="009950FE">
        <w:t xml:space="preserve"> pilot aimags: Bayankhongo</w:t>
      </w:r>
      <w:r w:rsidR="00E361F3">
        <w:t>r</w:t>
      </w:r>
      <w:r w:rsidR="009950FE">
        <w:t>, Khent</w:t>
      </w:r>
      <w:r w:rsidR="00E361F3">
        <w:t>i</w:t>
      </w:r>
      <w:r w:rsidR="009950FE">
        <w:t xml:space="preserve">i, and Uvs </w:t>
      </w:r>
      <w:r w:rsidR="00461351" w:rsidRPr="00D81A99">
        <w:t>(</w:t>
      </w:r>
      <w:r w:rsidR="00E04689" w:rsidRPr="00D81A99">
        <w:t>although shorty after approval they became 4 aimags</w:t>
      </w:r>
      <w:r w:rsidR="009950FE">
        <w:t xml:space="preserve">, with </w:t>
      </w:r>
      <w:r w:rsidR="00F009BA">
        <w:t>the addition of Sukhbaatar</w:t>
      </w:r>
      <w:r w:rsidR="009950FE">
        <w:t xml:space="preserve"> aimag) for three consecutive seasons</w:t>
      </w:r>
      <w:r w:rsidR="00D81A99" w:rsidRPr="00D81A99">
        <w:t xml:space="preserve">. </w:t>
      </w:r>
      <w:bookmarkStart w:id="98" w:name="SEC64"/>
      <w:bookmarkEnd w:id="98"/>
      <w:r w:rsidR="00534677" w:rsidRPr="00D81A99">
        <w:t xml:space="preserve">In addition, the Project aimed to benefit </w:t>
      </w:r>
      <w:r w:rsidR="00461351" w:rsidRPr="00D81A99">
        <w:t xml:space="preserve">participating insurance </w:t>
      </w:r>
      <w:r w:rsidR="00A263B5" w:rsidRPr="00D81A99">
        <w:t>companies’</w:t>
      </w:r>
      <w:r w:rsidR="00254A7C" w:rsidRPr="00D81A99">
        <w:t xml:space="preserve"> staff and PIU through </w:t>
      </w:r>
      <w:r w:rsidR="00254A7C" w:rsidRPr="00D81A99">
        <w:lastRenderedPageBreak/>
        <w:t xml:space="preserve">technical support for the training. Under component 2, the project </w:t>
      </w:r>
      <w:r w:rsidR="009950FE">
        <w:t xml:space="preserve">would </w:t>
      </w:r>
      <w:r w:rsidR="00254A7C" w:rsidRPr="00D81A99">
        <w:t>provide a range of promotion and public awareness activities (PPA) targeted</w:t>
      </w:r>
      <w:r w:rsidR="009950FE">
        <w:t xml:space="preserve"> to</w:t>
      </w:r>
      <w:r w:rsidR="00254A7C" w:rsidRPr="00D81A99">
        <w:t xml:space="preserve"> herders and herder groups, livestock service providers such as veterinari</w:t>
      </w:r>
      <w:r w:rsidR="009831E5">
        <w:t>ans</w:t>
      </w:r>
      <w:r w:rsidR="00254A7C" w:rsidRPr="00D81A99">
        <w:t>, parliamentarians, government officials, insurance companies, and commercial banks and other micro-finance institutions, NGOs and donor organizations. Under component 3, the project</w:t>
      </w:r>
      <w:r w:rsidR="005B49CF">
        <w:t xml:space="preserve"> would</w:t>
      </w:r>
      <w:r w:rsidR="00254A7C" w:rsidRPr="00D81A99">
        <w:t xml:space="preserve"> provide institutional capacity building to</w:t>
      </w:r>
      <w:r w:rsidR="00461351" w:rsidRPr="00D81A99">
        <w:t xml:space="preserve"> NSO</w:t>
      </w:r>
      <w:r w:rsidR="00254A7C" w:rsidRPr="00D81A99">
        <w:t xml:space="preserve"> to strengthen its livestock data systems. It </w:t>
      </w:r>
      <w:r w:rsidR="005B49CF">
        <w:t xml:space="preserve">would </w:t>
      </w:r>
      <w:r w:rsidR="00254A7C" w:rsidRPr="00D81A99">
        <w:t>also provid</w:t>
      </w:r>
      <w:r w:rsidR="005B49CF">
        <w:t xml:space="preserve">e </w:t>
      </w:r>
      <w:r w:rsidR="00254A7C" w:rsidRPr="00D81A99">
        <w:t>support for developing legal and regulatory framework in close collaboration with the Financial Regulatory Commission (FRC)</w:t>
      </w:r>
      <w:r w:rsidR="00750196" w:rsidRPr="00D81A99">
        <w:t xml:space="preserve"> and t</w:t>
      </w:r>
      <w:r w:rsidR="00D81A99" w:rsidRPr="00D81A99">
        <w:t xml:space="preserve">he </w:t>
      </w:r>
      <w:r w:rsidR="004A76F4">
        <w:t>Ministry of Finance</w:t>
      </w:r>
      <w:r w:rsidR="005B49CF">
        <w:t xml:space="preserve"> (MoF)</w:t>
      </w:r>
      <w:r w:rsidR="00A263B5" w:rsidRPr="00D81A99">
        <w:t>.</w:t>
      </w:r>
      <w:r w:rsidR="00D81A99" w:rsidRPr="00D81A99">
        <w:t xml:space="preserve"> Under component 4, the M&amp;E capacity of the PIU was strengthened.</w:t>
      </w:r>
      <w:bookmarkEnd w:id="97"/>
      <w:r w:rsidR="00BF24E4">
        <w:t xml:space="preserve"> </w:t>
      </w:r>
    </w:p>
    <w:p w14:paraId="08BF7218" w14:textId="6EA29D7B" w:rsidR="001C0F10" w:rsidRDefault="001C0F10" w:rsidP="00F92093">
      <w:pPr>
        <w:numPr>
          <w:ilvl w:val="0"/>
          <w:numId w:val="2"/>
        </w:numPr>
        <w:tabs>
          <w:tab w:val="num" w:pos="0"/>
        </w:tabs>
        <w:spacing w:after="240"/>
        <w:ind w:left="0" w:firstLine="0"/>
      </w:pPr>
      <w:bookmarkStart w:id="99" w:name="_Ref456785328"/>
      <w:r w:rsidRPr="003A1141">
        <w:rPr>
          <w:b/>
        </w:rPr>
        <w:t xml:space="preserve">Additional </w:t>
      </w:r>
      <w:r w:rsidRPr="00BD21CA">
        <w:rPr>
          <w:b/>
        </w:rPr>
        <w:t>financing</w:t>
      </w:r>
      <w:r w:rsidR="00D81A99">
        <w:rPr>
          <w:b/>
        </w:rPr>
        <w:t>—IBLI-AF</w:t>
      </w:r>
      <w:r w:rsidRPr="00BD21CA">
        <w:rPr>
          <w:b/>
        </w:rPr>
        <w:t>.</w:t>
      </w:r>
      <w:r>
        <w:rPr>
          <w:b/>
        </w:rPr>
        <w:t xml:space="preserve"> </w:t>
      </w:r>
      <w:r w:rsidR="00D81A99" w:rsidRPr="00D81A99">
        <w:t>The</w:t>
      </w:r>
      <w:r w:rsidR="009950FE">
        <w:t xml:space="preserve"> categories of direct beneficiaries were the same as under the pilot. In addition</w:t>
      </w:r>
      <w:r w:rsidR="00987FFD">
        <w:t>, all</w:t>
      </w:r>
      <w:r w:rsidR="009950FE">
        <w:t xml:space="preserve"> </w:t>
      </w:r>
      <w:r w:rsidR="00D81A99">
        <w:t xml:space="preserve">the herders in all of Mongolia </w:t>
      </w:r>
      <w:r w:rsidR="009950FE">
        <w:t xml:space="preserve">became part of the direct beneficiaries </w:t>
      </w:r>
      <w:r w:rsidR="00D81A99">
        <w:t>as t</w:t>
      </w:r>
      <w:r w:rsidR="00E04689">
        <w:t xml:space="preserve">he scale up increased the number of beneficiary aimags from 4 to </w:t>
      </w:r>
      <w:r w:rsidR="00BE19E7">
        <w:t>21</w:t>
      </w:r>
      <w:r w:rsidR="00E04689">
        <w:t>.</w:t>
      </w:r>
      <w:bookmarkEnd w:id="99"/>
    </w:p>
    <w:p w14:paraId="6215BD83" w14:textId="77777777" w:rsidR="00C67D43" w:rsidRPr="005A4EF0" w:rsidRDefault="00C67D43" w:rsidP="005A4EF0">
      <w:pPr>
        <w:pStyle w:val="Heading3"/>
        <w:spacing w:after="240"/>
        <w:rPr>
          <w:sz w:val="24"/>
          <w:szCs w:val="24"/>
        </w:rPr>
      </w:pPr>
      <w:bookmarkStart w:id="100" w:name="_Toc456784522"/>
      <w:r w:rsidRPr="005A4EF0">
        <w:rPr>
          <w:sz w:val="24"/>
          <w:szCs w:val="24"/>
        </w:rPr>
        <w:t>1.5 Original Components (as approved)</w:t>
      </w:r>
      <w:bookmarkEnd w:id="100"/>
    </w:p>
    <w:p w14:paraId="77143D14" w14:textId="2CDD54DE" w:rsidR="00465664" w:rsidRPr="00EC2D37" w:rsidRDefault="00465664" w:rsidP="00F92093">
      <w:pPr>
        <w:numPr>
          <w:ilvl w:val="0"/>
          <w:numId w:val="2"/>
        </w:numPr>
        <w:tabs>
          <w:tab w:val="num" w:pos="0"/>
        </w:tabs>
        <w:spacing w:after="240"/>
        <w:ind w:left="0" w:firstLine="0"/>
      </w:pPr>
      <w:r w:rsidRPr="009212D8">
        <w:rPr>
          <w:b/>
        </w:rPr>
        <w:t xml:space="preserve">The original </w:t>
      </w:r>
      <w:r w:rsidR="00EC2D37" w:rsidRPr="009212D8">
        <w:rPr>
          <w:b/>
        </w:rPr>
        <w:t>credit (</w:t>
      </w:r>
      <w:r w:rsidR="009827B4" w:rsidRPr="009212D8">
        <w:rPr>
          <w:b/>
        </w:rPr>
        <w:t>IBLI-pilot)</w:t>
      </w:r>
      <w:r w:rsidR="00EC2D37">
        <w:t>.</w:t>
      </w:r>
      <w:r>
        <w:t xml:space="preserve"> </w:t>
      </w:r>
      <w:r w:rsidR="00EC2D37">
        <w:t>T</w:t>
      </w:r>
      <w:r w:rsidRPr="00EC2D37">
        <w:t>he original Project had five components intended to</w:t>
      </w:r>
      <w:r w:rsidR="004C0DFF" w:rsidRPr="00EC2D37">
        <w:t xml:space="preserve"> ascertain the viability of </w:t>
      </w:r>
      <w:r w:rsidR="00EE3E66">
        <w:t>IBLI</w:t>
      </w:r>
      <w:r w:rsidR="004C0DFF" w:rsidRPr="00EC2D37">
        <w:t xml:space="preserve"> in Mongolia to reduce the impact of livestock mortality for herders</w:t>
      </w:r>
      <w:r w:rsidRPr="00EC2D37">
        <w:t xml:space="preserve">. A detailed description </w:t>
      </w:r>
      <w:r w:rsidR="009212D8">
        <w:t>of each component and the achieved output</w:t>
      </w:r>
      <w:r w:rsidR="002A1655">
        <w:t>s</w:t>
      </w:r>
      <w:r w:rsidR="009212D8">
        <w:t xml:space="preserve"> </w:t>
      </w:r>
      <w:r w:rsidRPr="00EC2D37">
        <w:t>can be found in Annex 2</w:t>
      </w:r>
      <w:r w:rsidR="005D0D11" w:rsidRPr="00EC2D37">
        <w:t>.</w:t>
      </w:r>
    </w:p>
    <w:p w14:paraId="5E781715" w14:textId="2A44EB96" w:rsidR="00465664" w:rsidRPr="009212D8" w:rsidRDefault="005D0D11" w:rsidP="00F92093">
      <w:pPr>
        <w:numPr>
          <w:ilvl w:val="0"/>
          <w:numId w:val="2"/>
        </w:numPr>
        <w:tabs>
          <w:tab w:val="num" w:pos="0"/>
        </w:tabs>
        <w:autoSpaceDE w:val="0"/>
        <w:autoSpaceDN w:val="0"/>
        <w:adjustRightInd w:val="0"/>
        <w:spacing w:after="240"/>
        <w:ind w:left="0" w:firstLine="0"/>
        <w:rPr>
          <w:b/>
          <w:bCs/>
        </w:rPr>
      </w:pPr>
      <w:r w:rsidRPr="00F92093">
        <w:rPr>
          <w:rFonts w:eastAsiaTheme="minorHAnsi"/>
          <w:i/>
          <w:lang w:eastAsia="en-US"/>
        </w:rPr>
        <w:t xml:space="preserve">Component </w:t>
      </w:r>
      <w:r w:rsidR="004C0DFF" w:rsidRPr="00F92093">
        <w:rPr>
          <w:rFonts w:eastAsiaTheme="minorHAnsi"/>
          <w:i/>
          <w:lang w:eastAsia="en-US"/>
        </w:rPr>
        <w:t>1: Pilot Index-Based Livestock Insurance Programs (US$6.32 million</w:t>
      </w:r>
      <w:r w:rsidR="009212D8" w:rsidRPr="00F92093">
        <w:rPr>
          <w:rFonts w:eastAsiaTheme="minorHAnsi"/>
          <w:i/>
          <w:lang w:eastAsia="en-US"/>
        </w:rPr>
        <w:t xml:space="preserve">, including US$5 for Contingent Debt Facility, or </w:t>
      </w:r>
      <w:r w:rsidR="00287DB6" w:rsidRPr="00F92093">
        <w:rPr>
          <w:rFonts w:eastAsiaTheme="minorHAnsi"/>
          <w:i/>
          <w:lang w:eastAsia="en-US"/>
        </w:rPr>
        <w:t>65.6 percent of total Project cost with IDA contribution of US$5.05</w:t>
      </w:r>
      <w:r w:rsidR="004C0DFF" w:rsidRPr="00F92093">
        <w:rPr>
          <w:rFonts w:eastAsiaTheme="minorHAnsi"/>
          <w:i/>
          <w:lang w:eastAsia="en-US"/>
        </w:rPr>
        <w:t>)</w:t>
      </w:r>
      <w:r w:rsidR="00287DB6">
        <w:rPr>
          <w:rFonts w:eastAsiaTheme="minorHAnsi"/>
          <w:b/>
          <w:lang w:eastAsia="en-US"/>
        </w:rPr>
        <w:t xml:space="preserve"> </w:t>
      </w:r>
      <w:r w:rsidR="00287DB6" w:rsidRPr="00287DB6">
        <w:rPr>
          <w:rFonts w:eastAsiaTheme="minorHAnsi"/>
          <w:lang w:eastAsia="en-US"/>
        </w:rPr>
        <w:t>sought to</w:t>
      </w:r>
      <w:r w:rsidR="00287DB6">
        <w:rPr>
          <w:rFonts w:eastAsiaTheme="minorHAnsi"/>
          <w:b/>
          <w:lang w:eastAsia="en-US"/>
        </w:rPr>
        <w:t xml:space="preserve"> </w:t>
      </w:r>
      <w:r w:rsidR="00287DB6" w:rsidRPr="009212D8">
        <w:rPr>
          <w:rFonts w:eastAsiaTheme="minorHAnsi"/>
          <w:lang w:eastAsia="en-US"/>
        </w:rPr>
        <w:t>pilot</w:t>
      </w:r>
      <w:r w:rsidR="004C0DFF" w:rsidRPr="009212D8">
        <w:rPr>
          <w:rFonts w:eastAsiaTheme="minorHAnsi"/>
          <w:lang w:eastAsia="en-US"/>
        </w:rPr>
        <w:t xml:space="preserve"> the two IBLI products</w:t>
      </w:r>
      <w:r w:rsidR="009212D8" w:rsidRPr="009212D8">
        <w:rPr>
          <w:rFonts w:eastAsiaTheme="minorHAnsi"/>
          <w:lang w:eastAsia="en-US"/>
        </w:rPr>
        <w:t xml:space="preserve"> (DR</w:t>
      </w:r>
      <w:r w:rsidR="004A76F4">
        <w:rPr>
          <w:rFonts w:eastAsiaTheme="minorHAnsi"/>
          <w:lang w:eastAsia="en-US"/>
        </w:rPr>
        <w:t>P</w:t>
      </w:r>
      <w:r w:rsidR="009212D8" w:rsidRPr="009212D8">
        <w:rPr>
          <w:rFonts w:eastAsiaTheme="minorHAnsi"/>
          <w:lang w:eastAsia="en-US"/>
        </w:rPr>
        <w:t xml:space="preserve"> and B</w:t>
      </w:r>
      <w:r w:rsidR="004A76F4">
        <w:rPr>
          <w:rFonts w:eastAsiaTheme="minorHAnsi"/>
          <w:lang w:eastAsia="en-US"/>
        </w:rPr>
        <w:t>I</w:t>
      </w:r>
      <w:r w:rsidR="009212D8" w:rsidRPr="009212D8">
        <w:rPr>
          <w:rFonts w:eastAsiaTheme="minorHAnsi"/>
          <w:lang w:eastAsia="en-US"/>
        </w:rPr>
        <w:t>P)</w:t>
      </w:r>
      <w:r w:rsidR="00287DB6">
        <w:rPr>
          <w:rFonts w:eastAsiaTheme="minorHAnsi"/>
          <w:lang w:eastAsia="en-US"/>
        </w:rPr>
        <w:t xml:space="preserve"> by </w:t>
      </w:r>
      <w:r w:rsidR="004C0DFF" w:rsidRPr="009212D8">
        <w:rPr>
          <w:rFonts w:eastAsiaTheme="minorHAnsi"/>
          <w:lang w:eastAsia="en-US"/>
        </w:rPr>
        <w:t>provid</w:t>
      </w:r>
      <w:r w:rsidR="00287DB6">
        <w:rPr>
          <w:rFonts w:eastAsiaTheme="minorHAnsi"/>
          <w:lang w:eastAsia="en-US"/>
        </w:rPr>
        <w:t>ing them</w:t>
      </w:r>
      <w:r w:rsidR="004C0DFF" w:rsidRPr="009212D8">
        <w:rPr>
          <w:rFonts w:eastAsiaTheme="minorHAnsi"/>
          <w:lang w:eastAsia="en-US"/>
        </w:rPr>
        <w:t xml:space="preserve"> to herders through insurance companies. </w:t>
      </w:r>
      <w:r w:rsidR="00287DB6">
        <w:rPr>
          <w:rFonts w:eastAsiaTheme="minorHAnsi"/>
          <w:lang w:eastAsia="en-US"/>
        </w:rPr>
        <w:t>Subcomponents were</w:t>
      </w:r>
      <w:r w:rsidR="0021494D" w:rsidRPr="009212D8">
        <w:rPr>
          <w:rFonts w:eastAsiaTheme="minorHAnsi"/>
          <w:lang w:eastAsia="en-US"/>
        </w:rPr>
        <w:t xml:space="preserve"> (i) l</w:t>
      </w:r>
      <w:r w:rsidR="004C0DFF" w:rsidRPr="009212D8">
        <w:rPr>
          <w:rFonts w:eastAsiaTheme="minorHAnsi"/>
          <w:lang w:eastAsia="en-US"/>
        </w:rPr>
        <w:t>ivestock data collection</w:t>
      </w:r>
      <w:r w:rsidR="0021494D" w:rsidRPr="009212D8">
        <w:rPr>
          <w:rFonts w:eastAsiaTheme="minorHAnsi"/>
          <w:lang w:eastAsia="en-US"/>
        </w:rPr>
        <w:t xml:space="preserve"> (ii) </w:t>
      </w:r>
      <w:r w:rsidR="004C0DFF" w:rsidRPr="009212D8">
        <w:rPr>
          <w:rFonts w:eastAsiaTheme="minorHAnsi"/>
          <w:lang w:eastAsia="en-US"/>
        </w:rPr>
        <w:t>IBLI software development;</w:t>
      </w:r>
      <w:r w:rsidR="0021494D" w:rsidRPr="009212D8">
        <w:rPr>
          <w:rFonts w:eastAsiaTheme="minorHAnsi"/>
          <w:lang w:eastAsia="en-US"/>
        </w:rPr>
        <w:t xml:space="preserve"> (iii) </w:t>
      </w:r>
      <w:r w:rsidR="004C0DFF" w:rsidRPr="009212D8">
        <w:rPr>
          <w:rFonts w:eastAsiaTheme="minorHAnsi"/>
          <w:lang w:eastAsia="en-US"/>
        </w:rPr>
        <w:t>the provision of technical support for the training of Project</w:t>
      </w:r>
      <w:r w:rsidR="0021494D" w:rsidRPr="009212D8">
        <w:t xml:space="preserve"> </w:t>
      </w:r>
      <w:r w:rsidR="004C0DFF" w:rsidRPr="009212D8">
        <w:rPr>
          <w:rFonts w:eastAsiaTheme="minorHAnsi"/>
          <w:lang w:eastAsia="en-US"/>
        </w:rPr>
        <w:t>Implementation Unit (PIU) and insurance company staff, together with the provision of essential</w:t>
      </w:r>
      <w:r w:rsidR="00470EBD" w:rsidRPr="009212D8">
        <w:rPr>
          <w:rFonts w:eastAsiaTheme="minorHAnsi"/>
          <w:lang w:eastAsia="en-US"/>
        </w:rPr>
        <w:t xml:space="preserve"> </w:t>
      </w:r>
      <w:r w:rsidR="004C0DFF" w:rsidRPr="009212D8">
        <w:rPr>
          <w:rFonts w:eastAsiaTheme="minorHAnsi"/>
          <w:lang w:eastAsia="en-US"/>
        </w:rPr>
        <w:t>materials;</w:t>
      </w:r>
      <w:r w:rsidR="0021494D" w:rsidRPr="009212D8">
        <w:rPr>
          <w:rFonts w:eastAsiaTheme="minorHAnsi"/>
          <w:lang w:eastAsia="en-US"/>
        </w:rPr>
        <w:t xml:space="preserve"> (iv) provision for and management of </w:t>
      </w:r>
      <w:r w:rsidR="00287DB6">
        <w:rPr>
          <w:rFonts w:eastAsiaTheme="minorHAnsi"/>
          <w:lang w:eastAsia="en-US"/>
        </w:rPr>
        <w:t xml:space="preserve">Contingent Debt Facility (CDF); and </w:t>
      </w:r>
      <w:r w:rsidR="0021494D" w:rsidRPr="009212D8">
        <w:rPr>
          <w:rFonts w:eastAsiaTheme="minorHAnsi"/>
          <w:lang w:eastAsia="en-US"/>
        </w:rPr>
        <w:t>(v)</w:t>
      </w:r>
      <w:r w:rsidR="00287DB6">
        <w:rPr>
          <w:rFonts w:eastAsiaTheme="minorHAnsi"/>
          <w:lang w:eastAsia="en-US"/>
        </w:rPr>
        <w:t xml:space="preserve"> </w:t>
      </w:r>
      <w:r w:rsidR="00CC2468">
        <w:rPr>
          <w:rFonts w:eastAsiaTheme="minorHAnsi"/>
          <w:lang w:eastAsia="en-US"/>
        </w:rPr>
        <w:t>pi</w:t>
      </w:r>
      <w:r w:rsidR="00CC2468" w:rsidRPr="009212D8">
        <w:rPr>
          <w:rFonts w:eastAsiaTheme="minorHAnsi"/>
          <w:lang w:eastAsia="en-US"/>
        </w:rPr>
        <w:t>lot</w:t>
      </w:r>
      <w:r w:rsidR="004C0DFF" w:rsidRPr="009212D8">
        <w:rPr>
          <w:rFonts w:eastAsiaTheme="minorHAnsi"/>
          <w:lang w:eastAsia="en-US"/>
        </w:rPr>
        <w:t xml:space="preserve"> performance, review and refinement.</w:t>
      </w:r>
    </w:p>
    <w:p w14:paraId="2BC8E2E5" w14:textId="21A41AB3" w:rsidR="003C5FA9" w:rsidRPr="006E22B3" w:rsidRDefault="002D3AF4" w:rsidP="00F92093">
      <w:pPr>
        <w:numPr>
          <w:ilvl w:val="0"/>
          <w:numId w:val="2"/>
        </w:numPr>
        <w:tabs>
          <w:tab w:val="num" w:pos="0"/>
        </w:tabs>
        <w:autoSpaceDE w:val="0"/>
        <w:autoSpaceDN w:val="0"/>
        <w:adjustRightInd w:val="0"/>
        <w:spacing w:after="240"/>
        <w:ind w:left="0" w:firstLine="0"/>
      </w:pPr>
      <w:r w:rsidRPr="00F92093">
        <w:rPr>
          <w:rFonts w:eastAsiaTheme="minorHAnsi"/>
          <w:i/>
          <w:lang w:eastAsia="en-US"/>
        </w:rPr>
        <w:t>Component 2: Promotion and Public Awareness Component (US$0. 89 million</w:t>
      </w:r>
      <w:r w:rsidR="006E22B3" w:rsidRPr="00F92093">
        <w:rPr>
          <w:rFonts w:eastAsiaTheme="minorHAnsi"/>
          <w:i/>
          <w:lang w:eastAsia="en-US"/>
        </w:rPr>
        <w:t>, or 9.2 percent of total Project cost with IDA contribution of US$ 0.86</w:t>
      </w:r>
      <w:r w:rsidRPr="00F92093">
        <w:rPr>
          <w:rFonts w:eastAsiaTheme="minorHAnsi"/>
          <w:i/>
          <w:lang w:eastAsia="en-US"/>
        </w:rPr>
        <w:t>)</w:t>
      </w:r>
      <w:r w:rsidR="006E22B3" w:rsidRPr="00F92093">
        <w:rPr>
          <w:rFonts w:eastAsiaTheme="minorHAnsi"/>
          <w:i/>
          <w:lang w:eastAsia="en-US"/>
        </w:rPr>
        <w:t>.</w:t>
      </w:r>
      <w:r w:rsidR="006E22B3" w:rsidRPr="006E22B3">
        <w:rPr>
          <w:rFonts w:asciiTheme="minorHAnsi" w:eastAsiaTheme="minorHAnsi" w:hAnsiTheme="minorHAnsi" w:cstheme="minorBidi"/>
          <w:lang w:eastAsia="en-US"/>
        </w:rPr>
        <w:t xml:space="preserve"> </w:t>
      </w:r>
      <w:r w:rsidRPr="006E22B3">
        <w:rPr>
          <w:rFonts w:eastAsiaTheme="minorHAnsi"/>
          <w:lang w:eastAsia="en-US"/>
        </w:rPr>
        <w:t>Under this component, a range of PPA activities would be conducted to</w:t>
      </w:r>
      <w:r w:rsidR="00840719" w:rsidRPr="006E22B3">
        <w:rPr>
          <w:rFonts w:eastAsiaTheme="minorHAnsi"/>
          <w:lang w:eastAsia="en-US"/>
        </w:rPr>
        <w:t xml:space="preserve"> </w:t>
      </w:r>
      <w:r w:rsidRPr="006E22B3">
        <w:rPr>
          <w:lang w:eastAsia="en-US"/>
        </w:rPr>
        <w:t>create awareness and educate key stakeholders on the details of the insurance product and the IBLI pilot.</w:t>
      </w:r>
      <w:r w:rsidR="00B476A3">
        <w:rPr>
          <w:lang w:eastAsia="en-US"/>
        </w:rPr>
        <w:t xml:space="preserve"> Subcomponents were: </w:t>
      </w:r>
      <w:r w:rsidR="00590E37" w:rsidRPr="006E22B3">
        <w:rPr>
          <w:lang w:eastAsia="en-US"/>
        </w:rPr>
        <w:t>(i) i</w:t>
      </w:r>
      <w:r w:rsidR="00840719" w:rsidRPr="006E22B3">
        <w:t>dentific</w:t>
      </w:r>
      <w:r w:rsidRPr="006E22B3">
        <w:rPr>
          <w:lang w:eastAsia="en-US"/>
        </w:rPr>
        <w:t>ation of stakeholder public awareness needs and concerns</w:t>
      </w:r>
      <w:r w:rsidR="00590E37" w:rsidRPr="006E22B3">
        <w:rPr>
          <w:lang w:eastAsia="en-US"/>
        </w:rPr>
        <w:t>; (ii) p</w:t>
      </w:r>
      <w:r w:rsidRPr="006E22B3">
        <w:rPr>
          <w:lang w:eastAsia="en-US"/>
        </w:rPr>
        <w:t xml:space="preserve">reparation and circulation of promotional materials. </w:t>
      </w:r>
      <w:r w:rsidR="00590E37" w:rsidRPr="006E22B3">
        <w:rPr>
          <w:lang w:eastAsia="en-US"/>
        </w:rPr>
        <w:t xml:space="preserve">(iii) </w:t>
      </w:r>
      <w:r w:rsidRPr="006E22B3">
        <w:rPr>
          <w:lang w:eastAsia="en-US"/>
        </w:rPr>
        <w:t>Face to face education of key local stakeholders and clients</w:t>
      </w:r>
      <w:r w:rsidR="00840719" w:rsidRPr="006E22B3">
        <w:t>/beneficiaries</w:t>
      </w:r>
      <w:r w:rsidR="00590E37" w:rsidRPr="006E22B3">
        <w:rPr>
          <w:lang w:eastAsia="en-US"/>
        </w:rPr>
        <w:t xml:space="preserve">; (iv) </w:t>
      </w:r>
      <w:r w:rsidRPr="006E22B3">
        <w:rPr>
          <w:lang w:eastAsia="en-US"/>
        </w:rPr>
        <w:t>Radio and TV</w:t>
      </w:r>
      <w:r w:rsidR="00840719" w:rsidRPr="006E22B3">
        <w:t xml:space="preserve"> </w:t>
      </w:r>
      <w:r w:rsidRPr="006E22B3">
        <w:rPr>
          <w:lang w:eastAsia="en-US"/>
        </w:rPr>
        <w:t>programs</w:t>
      </w:r>
      <w:r w:rsidR="00590E37" w:rsidRPr="006E22B3">
        <w:rPr>
          <w:lang w:eastAsia="en-US"/>
        </w:rPr>
        <w:t>, (V</w:t>
      </w:r>
      <w:r w:rsidR="002F5691" w:rsidRPr="006E22B3">
        <w:rPr>
          <w:lang w:eastAsia="en-US"/>
        </w:rPr>
        <w:t>) National</w:t>
      </w:r>
      <w:r w:rsidR="003C5FA9" w:rsidRPr="006E22B3">
        <w:rPr>
          <w:lang w:eastAsia="en-US"/>
        </w:rPr>
        <w:t xml:space="preserve"> and</w:t>
      </w:r>
      <w:r w:rsidR="003C5FA9" w:rsidRPr="006E22B3">
        <w:t xml:space="preserve"> </w:t>
      </w:r>
      <w:r w:rsidR="003C5FA9" w:rsidRPr="006E22B3">
        <w:rPr>
          <w:lang w:eastAsia="en-US"/>
        </w:rPr>
        <w:t>provincial workshops</w:t>
      </w:r>
      <w:r w:rsidR="00590E37" w:rsidRPr="006E22B3">
        <w:rPr>
          <w:lang w:eastAsia="en-US"/>
        </w:rPr>
        <w:t>; and (VI</w:t>
      </w:r>
      <w:r w:rsidR="002F5691" w:rsidRPr="006E22B3">
        <w:rPr>
          <w:lang w:eastAsia="en-US"/>
        </w:rPr>
        <w:t>) Inter</w:t>
      </w:r>
      <w:r w:rsidR="003C5FA9" w:rsidRPr="006E22B3">
        <w:rPr>
          <w:lang w:eastAsia="en-US"/>
        </w:rPr>
        <w:t>-s</w:t>
      </w:r>
      <w:r w:rsidR="00EF34D0">
        <w:rPr>
          <w:lang w:eastAsia="en-US"/>
        </w:rPr>
        <w:t>o</w:t>
      </w:r>
      <w:r w:rsidR="003C5FA9" w:rsidRPr="006E22B3">
        <w:rPr>
          <w:lang w:eastAsia="en-US"/>
        </w:rPr>
        <w:t>um and aimag exchange visits</w:t>
      </w:r>
      <w:r w:rsidR="002F5691" w:rsidRPr="006E22B3">
        <w:rPr>
          <w:lang w:eastAsia="en-US"/>
        </w:rPr>
        <w:t>.</w:t>
      </w:r>
    </w:p>
    <w:p w14:paraId="1E9F09C4" w14:textId="41085F66" w:rsidR="00590E37" w:rsidRPr="00C77B74" w:rsidRDefault="00E76676" w:rsidP="00F92093">
      <w:pPr>
        <w:numPr>
          <w:ilvl w:val="0"/>
          <w:numId w:val="2"/>
        </w:numPr>
        <w:tabs>
          <w:tab w:val="num" w:pos="0"/>
        </w:tabs>
        <w:autoSpaceDE w:val="0"/>
        <w:autoSpaceDN w:val="0"/>
        <w:adjustRightInd w:val="0"/>
        <w:spacing w:after="240"/>
        <w:ind w:left="0" w:firstLine="0"/>
        <w:rPr>
          <w:rFonts w:eastAsiaTheme="minorHAnsi"/>
          <w:lang w:eastAsia="en-US"/>
        </w:rPr>
      </w:pPr>
      <w:r w:rsidRPr="00F92093">
        <w:rPr>
          <w:rFonts w:eastAsiaTheme="minorHAnsi"/>
          <w:i/>
          <w:lang w:eastAsia="en-US"/>
        </w:rPr>
        <w:t>Component 3: Institutional Capacity Building Component (US$0. 65 million</w:t>
      </w:r>
      <w:r w:rsidR="00953801" w:rsidRPr="00F92093">
        <w:rPr>
          <w:rFonts w:eastAsiaTheme="minorHAnsi"/>
          <w:i/>
          <w:lang w:eastAsia="en-US"/>
        </w:rPr>
        <w:t xml:space="preserve"> or 6.7 percent of total Project cost with all contribution from Japan PHRD Grant, and the FIRST Initiative Grant</w:t>
      </w:r>
      <w:r w:rsidRPr="00F92093">
        <w:rPr>
          <w:rFonts w:eastAsiaTheme="minorHAnsi"/>
          <w:i/>
          <w:lang w:eastAsia="en-US"/>
        </w:rPr>
        <w:t>)</w:t>
      </w:r>
      <w:r w:rsidR="00953801" w:rsidRPr="00F92093">
        <w:rPr>
          <w:rFonts w:eastAsiaTheme="minorHAnsi"/>
          <w:i/>
          <w:lang w:eastAsia="en-US"/>
        </w:rPr>
        <w:t>.</w:t>
      </w:r>
      <w:r w:rsidR="00C77B74" w:rsidRPr="00C77B74">
        <w:rPr>
          <w:rFonts w:eastAsiaTheme="minorHAnsi"/>
          <w:b/>
          <w:lang w:eastAsia="en-US"/>
        </w:rPr>
        <w:t xml:space="preserve"> </w:t>
      </w:r>
      <w:r w:rsidRPr="00C77B74">
        <w:rPr>
          <w:rFonts w:eastAsiaTheme="minorHAnsi"/>
          <w:lang w:eastAsia="en-US"/>
        </w:rPr>
        <w:t xml:space="preserve">This component </w:t>
      </w:r>
      <w:r w:rsidR="00EF3C92">
        <w:rPr>
          <w:rFonts w:eastAsiaTheme="minorHAnsi"/>
          <w:lang w:eastAsia="en-US"/>
        </w:rPr>
        <w:t>aimed to</w:t>
      </w:r>
      <w:r w:rsidRPr="00C77B74">
        <w:rPr>
          <w:rFonts w:eastAsiaTheme="minorHAnsi"/>
          <w:lang w:eastAsia="en-US"/>
        </w:rPr>
        <w:t xml:space="preserve"> </w:t>
      </w:r>
      <w:r w:rsidR="00EF3C92">
        <w:rPr>
          <w:rFonts w:eastAsiaTheme="minorHAnsi"/>
          <w:lang w:eastAsia="en-US"/>
        </w:rPr>
        <w:t xml:space="preserve">support the </w:t>
      </w:r>
      <w:r w:rsidRPr="00C77B74">
        <w:rPr>
          <w:rFonts w:eastAsiaTheme="minorHAnsi"/>
          <w:lang w:eastAsia="en-US"/>
        </w:rPr>
        <w:t>establish</w:t>
      </w:r>
      <w:r w:rsidR="00EF3C92">
        <w:rPr>
          <w:rFonts w:eastAsiaTheme="minorHAnsi"/>
          <w:lang w:eastAsia="en-US"/>
        </w:rPr>
        <w:t>ment of</w:t>
      </w:r>
      <w:r w:rsidRPr="00C77B74">
        <w:rPr>
          <w:rFonts w:eastAsiaTheme="minorHAnsi"/>
          <w:lang w:eastAsia="en-US"/>
        </w:rPr>
        <w:t xml:space="preserve"> the institutional framework and capacity necessary for the potential expansion of the insurance products following demonstration of the viability of the concept. Under this compo</w:t>
      </w:r>
      <w:r w:rsidR="00590E37" w:rsidRPr="00C77B74">
        <w:rPr>
          <w:rFonts w:eastAsiaTheme="minorHAnsi"/>
          <w:lang w:eastAsia="en-US"/>
        </w:rPr>
        <w:t>nent, the project would support (i</w:t>
      </w:r>
      <w:r w:rsidR="00DE35D0" w:rsidRPr="00C77B74">
        <w:rPr>
          <w:rFonts w:eastAsiaTheme="minorHAnsi"/>
          <w:lang w:eastAsia="en-US"/>
        </w:rPr>
        <w:t>) strengthening</w:t>
      </w:r>
      <w:r w:rsidRPr="00C77B74">
        <w:rPr>
          <w:rFonts w:eastAsiaTheme="minorHAnsi"/>
          <w:lang w:eastAsia="en-US"/>
        </w:rPr>
        <w:t xml:space="preserve"> livestock data systems</w:t>
      </w:r>
      <w:r w:rsidR="00590E37" w:rsidRPr="00C77B74">
        <w:rPr>
          <w:rFonts w:eastAsiaTheme="minorHAnsi"/>
          <w:lang w:eastAsia="en-US"/>
        </w:rPr>
        <w:t>; (ii)</w:t>
      </w:r>
      <w:r w:rsidR="00DE35D0" w:rsidRPr="00C77B74">
        <w:rPr>
          <w:rFonts w:eastAsiaTheme="minorHAnsi"/>
          <w:lang w:eastAsia="en-US"/>
        </w:rPr>
        <w:t xml:space="preserve"> d</w:t>
      </w:r>
      <w:r w:rsidRPr="00C77B74">
        <w:rPr>
          <w:rFonts w:eastAsiaTheme="minorHAnsi"/>
          <w:lang w:eastAsia="en-US"/>
        </w:rPr>
        <w:t xml:space="preserve">eveloping legal and regulatory </w:t>
      </w:r>
      <w:r w:rsidR="00DE35D0" w:rsidRPr="00C77B74">
        <w:rPr>
          <w:rFonts w:eastAsiaTheme="minorHAnsi"/>
          <w:lang w:eastAsia="en-US"/>
        </w:rPr>
        <w:t>framework;</w:t>
      </w:r>
      <w:r w:rsidR="00590E37" w:rsidRPr="00C77B74">
        <w:rPr>
          <w:rFonts w:eastAsiaTheme="minorHAnsi"/>
          <w:lang w:eastAsia="en-US"/>
        </w:rPr>
        <w:t xml:space="preserve"> and (iii) </w:t>
      </w:r>
      <w:r w:rsidRPr="00C77B74">
        <w:rPr>
          <w:rFonts w:eastAsiaTheme="minorHAnsi"/>
          <w:lang w:eastAsia="en-US"/>
        </w:rPr>
        <w:t>Examining options for nationwide expansion of IBL</w:t>
      </w:r>
      <w:r w:rsidR="00DE35D0" w:rsidRPr="00C77B74">
        <w:rPr>
          <w:rFonts w:eastAsiaTheme="minorHAnsi"/>
          <w:lang w:eastAsia="en-US"/>
        </w:rPr>
        <w:t>I</w:t>
      </w:r>
      <w:r w:rsidR="002B492B" w:rsidRPr="00C77B74">
        <w:rPr>
          <w:rFonts w:eastAsiaTheme="minorHAnsi"/>
          <w:lang w:eastAsia="en-US"/>
        </w:rPr>
        <w:t>.</w:t>
      </w:r>
    </w:p>
    <w:p w14:paraId="43E95446" w14:textId="0D443B73" w:rsidR="00DA596B" w:rsidRPr="002F7C38" w:rsidRDefault="00474369" w:rsidP="00F92093">
      <w:pPr>
        <w:numPr>
          <w:ilvl w:val="0"/>
          <w:numId w:val="2"/>
        </w:numPr>
        <w:tabs>
          <w:tab w:val="num" w:pos="0"/>
        </w:tabs>
        <w:autoSpaceDE w:val="0"/>
        <w:autoSpaceDN w:val="0"/>
        <w:adjustRightInd w:val="0"/>
        <w:spacing w:after="240"/>
        <w:ind w:left="0" w:firstLine="0"/>
        <w:rPr>
          <w:rFonts w:eastAsiaTheme="minorHAnsi"/>
          <w:lang w:eastAsia="en-US"/>
        </w:rPr>
      </w:pPr>
      <w:r w:rsidRPr="00F92093">
        <w:rPr>
          <w:rFonts w:eastAsiaTheme="minorHAnsi"/>
          <w:i/>
          <w:lang w:eastAsia="en-US"/>
        </w:rPr>
        <w:lastRenderedPageBreak/>
        <w:t>Component 4: Monitoring and Evaluation (M&amp;E) Component (US</w:t>
      </w:r>
      <w:r w:rsidR="00CA3F57" w:rsidRPr="00F92093">
        <w:rPr>
          <w:rFonts w:eastAsiaTheme="minorHAnsi"/>
          <w:i/>
          <w:lang w:eastAsia="en-US"/>
        </w:rPr>
        <w:t>$</w:t>
      </w:r>
      <w:r w:rsidR="002F7C38" w:rsidRPr="00F92093">
        <w:rPr>
          <w:rFonts w:eastAsiaTheme="minorHAnsi"/>
          <w:i/>
          <w:lang w:eastAsia="en-US"/>
        </w:rPr>
        <w:t>0.2</w:t>
      </w:r>
      <w:r w:rsidRPr="00F92093">
        <w:rPr>
          <w:rFonts w:eastAsiaTheme="minorHAnsi"/>
          <w:i/>
          <w:lang w:eastAsia="en-US"/>
        </w:rPr>
        <w:t xml:space="preserve">7 </w:t>
      </w:r>
      <w:r w:rsidR="002F7C38" w:rsidRPr="00F92093">
        <w:rPr>
          <w:rFonts w:eastAsiaTheme="minorHAnsi"/>
          <w:i/>
          <w:lang w:eastAsia="en-US"/>
        </w:rPr>
        <w:t>million,</w:t>
      </w:r>
      <w:r w:rsidR="00CA3F57" w:rsidRPr="00F92093">
        <w:rPr>
          <w:rFonts w:eastAsiaTheme="minorHAnsi"/>
          <w:i/>
          <w:lang w:eastAsia="en-US"/>
        </w:rPr>
        <w:t xml:space="preserve"> or 2.8 percent of total Project cost with IDA contribution of US$ 0.</w:t>
      </w:r>
      <w:r w:rsidR="002F7C38" w:rsidRPr="00F92093">
        <w:rPr>
          <w:rFonts w:eastAsiaTheme="minorHAnsi"/>
          <w:i/>
          <w:lang w:eastAsia="en-US"/>
        </w:rPr>
        <w:t>20</w:t>
      </w:r>
      <w:r w:rsidRPr="00F92093">
        <w:rPr>
          <w:rFonts w:eastAsiaTheme="minorHAnsi"/>
          <w:i/>
          <w:lang w:eastAsia="en-US"/>
        </w:rPr>
        <w:t>)</w:t>
      </w:r>
      <w:r w:rsidR="00CA3F57" w:rsidRPr="00F92093">
        <w:rPr>
          <w:rFonts w:eastAsiaTheme="minorHAnsi"/>
          <w:i/>
          <w:lang w:eastAsia="en-US"/>
        </w:rPr>
        <w:t>.</w:t>
      </w:r>
      <w:r w:rsidR="00CA3F57" w:rsidRPr="002F7C38">
        <w:rPr>
          <w:rFonts w:eastAsiaTheme="minorHAnsi"/>
          <w:b/>
          <w:lang w:eastAsia="en-US"/>
        </w:rPr>
        <w:t xml:space="preserve"> </w:t>
      </w:r>
      <w:r w:rsidRPr="002F7C38">
        <w:rPr>
          <w:rFonts w:eastAsiaTheme="minorHAnsi"/>
          <w:lang w:eastAsia="en-US"/>
        </w:rPr>
        <w:t xml:space="preserve">This component </w:t>
      </w:r>
      <w:r w:rsidR="002F7C38" w:rsidRPr="002F7C38">
        <w:rPr>
          <w:rFonts w:eastAsiaTheme="minorHAnsi"/>
          <w:lang w:eastAsia="en-US"/>
        </w:rPr>
        <w:t>sought to follow and involve</w:t>
      </w:r>
      <w:r w:rsidRPr="002F7C38">
        <w:rPr>
          <w:rFonts w:eastAsiaTheme="minorHAnsi"/>
          <w:lang w:eastAsia="en-US"/>
        </w:rPr>
        <w:t xml:space="preserve"> a range of stakeholders during the pilot program to track access by different social</w:t>
      </w:r>
      <w:r w:rsidR="00DA596B" w:rsidRPr="002F7C38">
        <w:rPr>
          <w:rFonts w:eastAsiaTheme="minorHAnsi"/>
          <w:lang w:eastAsia="en-US"/>
        </w:rPr>
        <w:t xml:space="preserve"> groups, to monitor responses t</w:t>
      </w:r>
      <w:r w:rsidRPr="002F7C38">
        <w:rPr>
          <w:rFonts w:eastAsiaTheme="minorHAnsi"/>
          <w:lang w:eastAsia="en-US"/>
        </w:rPr>
        <w:t>o the new products and to determine if and how herders modify their behavior.</w:t>
      </w:r>
      <w:r w:rsidR="002F7C38" w:rsidRPr="002F7C38">
        <w:rPr>
          <w:rFonts w:eastAsiaTheme="minorHAnsi"/>
          <w:lang w:eastAsia="en-US"/>
        </w:rPr>
        <w:t xml:space="preserve"> Key elements </w:t>
      </w:r>
      <w:r w:rsidR="00E73864" w:rsidRPr="002F7C38">
        <w:rPr>
          <w:rFonts w:eastAsiaTheme="minorHAnsi"/>
          <w:lang w:eastAsia="en-US"/>
        </w:rPr>
        <w:t>were (</w:t>
      </w:r>
      <w:r w:rsidR="00DA596B" w:rsidRPr="002F7C38">
        <w:rPr>
          <w:rFonts w:eastAsiaTheme="minorHAnsi"/>
          <w:lang w:eastAsia="en-US"/>
        </w:rPr>
        <w:t>i) a</w:t>
      </w:r>
      <w:r w:rsidRPr="002F7C38">
        <w:rPr>
          <w:rFonts w:eastAsiaTheme="minorHAnsi"/>
          <w:lang w:eastAsia="en-US"/>
        </w:rPr>
        <w:t xml:space="preserve"> baseline survey</w:t>
      </w:r>
      <w:r w:rsidR="00DA596B" w:rsidRPr="002F7C38">
        <w:rPr>
          <w:rFonts w:eastAsiaTheme="minorHAnsi"/>
          <w:lang w:eastAsia="en-US"/>
        </w:rPr>
        <w:t xml:space="preserve">; (ii) </w:t>
      </w:r>
      <w:r w:rsidRPr="002F7C38">
        <w:rPr>
          <w:rFonts w:eastAsiaTheme="minorHAnsi"/>
          <w:lang w:eastAsia="en-US"/>
        </w:rPr>
        <w:t>Annual field-based monitoring,</w:t>
      </w:r>
      <w:r w:rsidR="00DA596B" w:rsidRPr="002F7C38">
        <w:rPr>
          <w:rFonts w:eastAsiaTheme="minorHAnsi"/>
          <w:lang w:eastAsia="en-US"/>
        </w:rPr>
        <w:t xml:space="preserve"> (iii) </w:t>
      </w:r>
      <w:r w:rsidRPr="002F7C38">
        <w:rPr>
          <w:rFonts w:eastAsiaTheme="minorHAnsi"/>
          <w:lang w:eastAsia="en-US"/>
        </w:rPr>
        <w:t>Impact assessments</w:t>
      </w:r>
      <w:r w:rsidR="004533A7">
        <w:rPr>
          <w:rFonts w:eastAsiaTheme="minorHAnsi"/>
          <w:lang w:eastAsia="en-US"/>
        </w:rPr>
        <w:t xml:space="preserve">; </w:t>
      </w:r>
      <w:r w:rsidR="00E73864">
        <w:rPr>
          <w:rFonts w:eastAsiaTheme="minorHAnsi"/>
          <w:lang w:eastAsia="en-US"/>
        </w:rPr>
        <w:t>(iv</w:t>
      </w:r>
      <w:r w:rsidR="00EF34D0">
        <w:rPr>
          <w:rFonts w:eastAsiaTheme="minorHAnsi"/>
          <w:lang w:eastAsia="en-US"/>
        </w:rPr>
        <w:t>)P</w:t>
      </w:r>
      <w:r w:rsidR="004533A7">
        <w:rPr>
          <w:rFonts w:eastAsiaTheme="minorHAnsi"/>
          <w:lang w:eastAsia="en-US"/>
        </w:rPr>
        <w:t>ost</w:t>
      </w:r>
      <w:r w:rsidR="00DA596B" w:rsidRPr="002F7C38">
        <w:rPr>
          <w:rFonts w:eastAsiaTheme="minorHAnsi"/>
          <w:lang w:eastAsia="en-US"/>
        </w:rPr>
        <w:t>-event monitoring framework;</w:t>
      </w:r>
      <w:r w:rsidR="00E73864">
        <w:rPr>
          <w:rFonts w:eastAsiaTheme="minorHAnsi"/>
          <w:lang w:eastAsia="en-US"/>
        </w:rPr>
        <w:t xml:space="preserve"> and</w:t>
      </w:r>
      <w:r w:rsidR="00DA596B" w:rsidRPr="002F7C38">
        <w:rPr>
          <w:rFonts w:eastAsiaTheme="minorHAnsi"/>
          <w:lang w:eastAsia="en-US"/>
        </w:rPr>
        <w:t xml:space="preserve"> (v) </w:t>
      </w:r>
      <w:r w:rsidRPr="002F7C38">
        <w:rPr>
          <w:rFonts w:eastAsiaTheme="minorHAnsi"/>
          <w:lang w:eastAsia="en-US"/>
        </w:rPr>
        <w:t>M&amp;E training and capacity building</w:t>
      </w:r>
      <w:r w:rsidR="00E73864">
        <w:rPr>
          <w:rFonts w:eastAsiaTheme="minorHAnsi"/>
          <w:lang w:eastAsia="en-US"/>
        </w:rPr>
        <w:t>.</w:t>
      </w:r>
    </w:p>
    <w:p w14:paraId="28B7EB2D" w14:textId="7F56E3EE" w:rsidR="00624EEA" w:rsidRPr="005629C1" w:rsidRDefault="00624EEA" w:rsidP="00F92093">
      <w:pPr>
        <w:numPr>
          <w:ilvl w:val="0"/>
          <w:numId w:val="2"/>
        </w:numPr>
        <w:tabs>
          <w:tab w:val="num" w:pos="0"/>
        </w:tabs>
        <w:autoSpaceDE w:val="0"/>
        <w:autoSpaceDN w:val="0"/>
        <w:adjustRightInd w:val="0"/>
        <w:spacing w:after="240"/>
        <w:ind w:left="0" w:firstLine="0"/>
        <w:rPr>
          <w:rFonts w:eastAsiaTheme="minorHAnsi"/>
          <w:lang w:eastAsia="en-US"/>
        </w:rPr>
      </w:pPr>
      <w:r w:rsidRPr="00F92093">
        <w:rPr>
          <w:rFonts w:eastAsiaTheme="minorHAnsi"/>
          <w:bCs/>
          <w:i/>
          <w:lang w:eastAsia="en-US"/>
        </w:rPr>
        <w:t>Component 5: Project Management Component (US</w:t>
      </w:r>
      <w:r w:rsidR="004533A7" w:rsidRPr="00F92093">
        <w:rPr>
          <w:rFonts w:eastAsiaTheme="minorHAnsi"/>
          <w:bCs/>
          <w:i/>
          <w:lang w:eastAsia="en-US"/>
        </w:rPr>
        <w:t xml:space="preserve"> </w:t>
      </w:r>
      <w:r w:rsidRPr="00F92093">
        <w:rPr>
          <w:rFonts w:eastAsiaTheme="minorHAnsi"/>
          <w:bCs/>
          <w:i/>
          <w:lang w:eastAsia="en-US"/>
        </w:rPr>
        <w:t>$l. 50 million</w:t>
      </w:r>
      <w:r w:rsidR="004533A7" w:rsidRPr="00F92093">
        <w:rPr>
          <w:rFonts w:eastAsiaTheme="minorHAnsi"/>
          <w:bCs/>
          <w:i/>
          <w:lang w:eastAsia="en-US"/>
        </w:rPr>
        <w:t>, or 15.6% of total Project cost with IDA contribution of US$1.39</w:t>
      </w:r>
      <w:r w:rsidRPr="00F92093">
        <w:rPr>
          <w:rFonts w:eastAsiaTheme="minorHAnsi"/>
          <w:bCs/>
          <w:i/>
          <w:lang w:eastAsia="en-US"/>
        </w:rPr>
        <w:t>)</w:t>
      </w:r>
      <w:r w:rsidR="004533A7" w:rsidRPr="00F92093">
        <w:rPr>
          <w:rFonts w:eastAsiaTheme="minorHAnsi"/>
          <w:bCs/>
          <w:i/>
          <w:lang w:eastAsia="en-US"/>
        </w:rPr>
        <w:t>.</w:t>
      </w:r>
      <w:r w:rsidR="004533A7" w:rsidRPr="005629C1">
        <w:rPr>
          <w:rFonts w:eastAsiaTheme="minorHAnsi"/>
          <w:bCs/>
          <w:lang w:eastAsia="en-US"/>
        </w:rPr>
        <w:t xml:space="preserve"> </w:t>
      </w:r>
      <w:r w:rsidRPr="005629C1">
        <w:rPr>
          <w:rFonts w:eastAsiaTheme="minorHAnsi"/>
          <w:lang w:eastAsia="en-US"/>
        </w:rPr>
        <w:t>Th</w:t>
      </w:r>
      <w:r w:rsidR="005629C1">
        <w:rPr>
          <w:rFonts w:eastAsiaTheme="minorHAnsi"/>
          <w:lang w:eastAsia="en-US"/>
        </w:rPr>
        <w:t xml:space="preserve">is </w:t>
      </w:r>
      <w:r w:rsidRPr="005629C1">
        <w:rPr>
          <w:rFonts w:eastAsiaTheme="minorHAnsi"/>
          <w:lang w:eastAsia="en-US"/>
        </w:rPr>
        <w:t xml:space="preserve">component </w:t>
      </w:r>
      <w:r w:rsidR="005629C1">
        <w:rPr>
          <w:rFonts w:eastAsiaTheme="minorHAnsi"/>
          <w:lang w:eastAsia="en-US"/>
        </w:rPr>
        <w:t>aimed at p</w:t>
      </w:r>
      <w:r w:rsidR="005629C1" w:rsidRPr="005629C1">
        <w:rPr>
          <w:rFonts w:eastAsiaTheme="minorHAnsi"/>
          <w:lang w:eastAsia="en-US"/>
        </w:rPr>
        <w:t>rovid</w:t>
      </w:r>
      <w:r w:rsidR="005629C1">
        <w:rPr>
          <w:rFonts w:eastAsiaTheme="minorHAnsi"/>
          <w:lang w:eastAsia="en-US"/>
        </w:rPr>
        <w:t>ing</w:t>
      </w:r>
      <w:r w:rsidRPr="005629C1">
        <w:rPr>
          <w:rFonts w:eastAsiaTheme="minorHAnsi"/>
          <w:lang w:eastAsia="en-US"/>
        </w:rPr>
        <w:t xml:space="preserve"> support to the PIU to enable it to function effectively and provide adequate management for th</w:t>
      </w:r>
      <w:r w:rsidR="005629C1">
        <w:rPr>
          <w:rFonts w:eastAsiaTheme="minorHAnsi"/>
          <w:lang w:eastAsia="en-US"/>
        </w:rPr>
        <w:t>e implementation of the project</w:t>
      </w:r>
      <w:r w:rsidRPr="005629C1">
        <w:rPr>
          <w:rFonts w:eastAsiaTheme="minorHAnsi"/>
          <w:lang w:eastAsia="en-US"/>
        </w:rPr>
        <w:t>.</w:t>
      </w:r>
    </w:p>
    <w:p w14:paraId="73D5C12C" w14:textId="77777777" w:rsidR="00C67D43" w:rsidRDefault="00C67D43" w:rsidP="005A4EF0">
      <w:pPr>
        <w:pStyle w:val="Heading3"/>
        <w:spacing w:after="240"/>
        <w:rPr>
          <w:sz w:val="24"/>
          <w:szCs w:val="24"/>
        </w:rPr>
      </w:pPr>
      <w:bookmarkStart w:id="101" w:name="SEC65"/>
      <w:bookmarkStart w:id="102" w:name="_Toc456784523"/>
      <w:bookmarkEnd w:id="101"/>
      <w:r w:rsidRPr="0021779F">
        <w:rPr>
          <w:sz w:val="24"/>
          <w:szCs w:val="24"/>
        </w:rPr>
        <w:t>1.6 Revised Components</w:t>
      </w:r>
      <w:bookmarkEnd w:id="102"/>
    </w:p>
    <w:p w14:paraId="79E97DAD" w14:textId="0C8F6450" w:rsidR="00717EF6" w:rsidRPr="0021779F" w:rsidRDefault="0021779F" w:rsidP="00F92093">
      <w:pPr>
        <w:numPr>
          <w:ilvl w:val="0"/>
          <w:numId w:val="2"/>
        </w:numPr>
        <w:tabs>
          <w:tab w:val="num" w:pos="0"/>
        </w:tabs>
        <w:autoSpaceDE w:val="0"/>
        <w:autoSpaceDN w:val="0"/>
        <w:adjustRightInd w:val="0"/>
        <w:spacing w:after="240"/>
        <w:ind w:left="0" w:firstLine="0"/>
      </w:pPr>
      <w:bookmarkStart w:id="103" w:name="SEC66"/>
      <w:bookmarkEnd w:id="103"/>
      <w:r>
        <w:rPr>
          <w:b/>
        </w:rPr>
        <w:t xml:space="preserve">Additional Financing (AF). </w:t>
      </w:r>
      <w:r w:rsidRPr="0021779F">
        <w:t>The AF, approved</w:t>
      </w:r>
      <w:r w:rsidR="00635042">
        <w:t xml:space="preserve"> by the Board</w:t>
      </w:r>
      <w:r w:rsidRPr="0021779F">
        <w:t xml:space="preserve"> on February 24, 2010</w:t>
      </w:r>
      <w:r w:rsidR="00635042">
        <w:t xml:space="preserve">, aimed to scale up the project and to extend the closing date from June 30, 2011 to March 21, 2014. </w:t>
      </w:r>
      <w:r w:rsidR="00717EF6" w:rsidRPr="0021779F">
        <w:t xml:space="preserve">The component titles of the project </w:t>
      </w:r>
      <w:r w:rsidR="00635042">
        <w:t>were</w:t>
      </w:r>
      <w:r w:rsidR="00717EF6" w:rsidRPr="0021779F">
        <w:t xml:space="preserve"> unchanged, albeit with slight modifications. Within the components</w:t>
      </w:r>
      <w:r w:rsidR="00635042">
        <w:t>,</w:t>
      </w:r>
      <w:r w:rsidR="00717EF6" w:rsidRPr="0021779F">
        <w:t xml:space="preserve"> there </w:t>
      </w:r>
      <w:r w:rsidR="00635042">
        <w:t>were</w:t>
      </w:r>
      <w:r w:rsidR="00717EF6" w:rsidRPr="0021779F">
        <w:t xml:space="preserve"> modifications to reflect</w:t>
      </w:r>
      <w:r w:rsidR="005861FB">
        <w:t>: (i)</w:t>
      </w:r>
      <w:r w:rsidR="00717EF6" w:rsidRPr="0021779F">
        <w:t xml:space="preserve"> simplification of design and discontinuation of DRP; (iii) enhancement of likely sustainability t</w:t>
      </w:r>
      <w:r w:rsidR="005A63A2">
        <w:t>h</w:t>
      </w:r>
      <w:r w:rsidR="00717EF6" w:rsidRPr="0021779F">
        <w:t xml:space="preserve">rough scaling back or redesigning support activities; (iii) and greater emphasis on institutional capacity and institutional and legal framework for sustainability, reflecting the shift from piloting to scale-up. </w:t>
      </w:r>
      <w:r w:rsidR="00682BE3">
        <w:t>The changes are summarized below (see also Annex 2)</w:t>
      </w:r>
      <w:r w:rsidR="003B31E7">
        <w:t>.</w:t>
      </w:r>
    </w:p>
    <w:p w14:paraId="0C284EF8" w14:textId="3C00ED04" w:rsidR="00717EF6" w:rsidRPr="003B31E7" w:rsidRDefault="00717EF6" w:rsidP="00F92093">
      <w:pPr>
        <w:numPr>
          <w:ilvl w:val="0"/>
          <w:numId w:val="2"/>
        </w:numPr>
        <w:tabs>
          <w:tab w:val="num" w:pos="0"/>
        </w:tabs>
        <w:autoSpaceDE w:val="0"/>
        <w:autoSpaceDN w:val="0"/>
        <w:adjustRightInd w:val="0"/>
        <w:spacing w:after="240"/>
        <w:ind w:left="0" w:firstLine="0"/>
        <w:rPr>
          <w:b/>
        </w:rPr>
      </w:pPr>
      <w:r w:rsidRPr="00F92093">
        <w:rPr>
          <w:i/>
        </w:rPr>
        <w:t>Component 1: Pilot Index-Based Livestock Insurance Programs (US$</w:t>
      </w:r>
      <w:r w:rsidR="002B2D95" w:rsidRPr="00F92093">
        <w:rPr>
          <w:i/>
        </w:rPr>
        <w:t>11</w:t>
      </w:r>
      <w:r w:rsidRPr="00F92093">
        <w:rPr>
          <w:i/>
        </w:rPr>
        <w:t>.</w:t>
      </w:r>
      <w:r w:rsidR="002B2D95" w:rsidRPr="00F92093">
        <w:rPr>
          <w:i/>
        </w:rPr>
        <w:t>348</w:t>
      </w:r>
      <w:r w:rsidRPr="00F92093">
        <w:rPr>
          <w:i/>
        </w:rPr>
        <w:t xml:space="preserve"> million</w:t>
      </w:r>
      <w:r w:rsidR="002B2D95" w:rsidRPr="00F92093">
        <w:rPr>
          <w:i/>
        </w:rPr>
        <w:t>, including US$11.348 CDF</w:t>
      </w:r>
      <w:r w:rsidRPr="00F92093">
        <w:rPr>
          <w:i/>
        </w:rPr>
        <w:t>)</w:t>
      </w:r>
      <w:r w:rsidR="00682BE3" w:rsidRPr="00F92093">
        <w:rPr>
          <w:i/>
        </w:rPr>
        <w:t>.</w:t>
      </w:r>
      <w:r w:rsidR="003B31E7" w:rsidRPr="003B31E7">
        <w:rPr>
          <w:b/>
        </w:rPr>
        <w:t xml:space="preserve"> </w:t>
      </w:r>
      <w:r w:rsidRPr="003B31E7">
        <w:t>This remain</w:t>
      </w:r>
      <w:r w:rsidR="00A926D5">
        <w:t>ed</w:t>
      </w:r>
      <w:r w:rsidRPr="003B31E7">
        <w:t xml:space="preserve"> the core component of the project, under which support </w:t>
      </w:r>
      <w:r w:rsidR="00A926D5">
        <w:t>was</w:t>
      </w:r>
      <w:r w:rsidRPr="003B31E7">
        <w:t xml:space="preserve"> provided to the scaling up of the insurance.</w:t>
      </w:r>
      <w:r w:rsidR="00A926D5">
        <w:t xml:space="preserve"> In addition to the activities undertaken under the pilot, </w:t>
      </w:r>
      <w:r w:rsidR="003C7068" w:rsidRPr="003B31E7">
        <w:t>substantial changes</w:t>
      </w:r>
      <w:r w:rsidR="00A926D5">
        <w:t xml:space="preserve"> were introduced: (i) </w:t>
      </w:r>
      <w:r w:rsidR="003C7068" w:rsidRPr="003B31E7">
        <w:t>separating the commercial insurance from DRP;</w:t>
      </w:r>
      <w:r w:rsidR="00A926D5">
        <w:t xml:space="preserve"> (ii)</w:t>
      </w:r>
      <w:r w:rsidR="003C7068" w:rsidRPr="003B31E7">
        <w:t xml:space="preserve"> introducing the </w:t>
      </w:r>
      <w:r w:rsidR="002A1655">
        <w:t>GCC</w:t>
      </w:r>
      <w:r w:rsidR="003C7068" w:rsidRPr="003B31E7">
        <w:t xml:space="preserve">; </w:t>
      </w:r>
      <w:r w:rsidR="00A926D5">
        <w:t xml:space="preserve">(iii) </w:t>
      </w:r>
      <w:r w:rsidR="003C7068" w:rsidRPr="003B31E7">
        <w:t>a</w:t>
      </w:r>
      <w:r w:rsidR="00A926D5">
        <w:t xml:space="preserve">dding more aimags (from </w:t>
      </w:r>
      <w:r w:rsidR="004A76F4">
        <w:t>4</w:t>
      </w:r>
      <w:r w:rsidR="00A926D5">
        <w:t xml:space="preserve"> aimags to </w:t>
      </w:r>
      <w:r w:rsidR="004A76F4">
        <w:t>9</w:t>
      </w:r>
      <w:r w:rsidR="00A926D5">
        <w:t xml:space="preserve"> aima</w:t>
      </w:r>
      <w:r w:rsidR="003C7068" w:rsidRPr="003B31E7">
        <w:t xml:space="preserve">gs in 2010, </w:t>
      </w:r>
      <w:r w:rsidR="004A76F4">
        <w:t xml:space="preserve">if successful </w:t>
      </w:r>
      <w:r w:rsidR="003C7068" w:rsidRPr="003B31E7">
        <w:t>add</w:t>
      </w:r>
      <w:r w:rsidR="004A76F4">
        <w:t>ing an additional</w:t>
      </w:r>
      <w:r w:rsidR="003C7068" w:rsidRPr="003B31E7">
        <w:t xml:space="preserve"> 6 aimags in 2011, and if reinsurance or additional contingency funds can be secured</w:t>
      </w:r>
      <w:r w:rsidR="004A76F4">
        <w:t>,</w:t>
      </w:r>
      <w:r w:rsidR="003C7068" w:rsidRPr="003B31E7">
        <w:t xml:space="preserve"> </w:t>
      </w:r>
      <w:r w:rsidR="004A76F4" w:rsidRPr="003B31E7">
        <w:t>add</w:t>
      </w:r>
      <w:r w:rsidR="004A76F4">
        <w:t>ing</w:t>
      </w:r>
      <w:r w:rsidR="004A76F4" w:rsidRPr="003B31E7">
        <w:t xml:space="preserve"> </w:t>
      </w:r>
      <w:r w:rsidR="004A76F4">
        <w:t xml:space="preserve">the </w:t>
      </w:r>
      <w:r w:rsidR="004A76F4" w:rsidRPr="003B31E7">
        <w:t xml:space="preserve">final six aimags </w:t>
      </w:r>
      <w:r w:rsidR="004A76F4">
        <w:t xml:space="preserve">in </w:t>
      </w:r>
      <w:r w:rsidR="003C7068" w:rsidRPr="003B31E7">
        <w:t>2012,</w:t>
      </w:r>
      <w:r w:rsidR="00F97937" w:rsidRPr="003B31E7">
        <w:t>);</w:t>
      </w:r>
      <w:r w:rsidR="00A263C8">
        <w:t xml:space="preserve"> </w:t>
      </w:r>
      <w:r w:rsidR="00F97937" w:rsidRPr="003B31E7">
        <w:t xml:space="preserve">and </w:t>
      </w:r>
      <w:r w:rsidR="00A263C8">
        <w:t xml:space="preserve">(iv) </w:t>
      </w:r>
      <w:r w:rsidR="00F97937" w:rsidRPr="003B31E7">
        <w:t>shifting from annual mid-year censuses as the basis for calculating livestock mortality to introducing sample based surveys.</w:t>
      </w:r>
    </w:p>
    <w:p w14:paraId="3458B81A" w14:textId="64341AA7" w:rsidR="00717EF6" w:rsidRPr="00A926D5" w:rsidRDefault="00D23ABF" w:rsidP="00F92093">
      <w:pPr>
        <w:numPr>
          <w:ilvl w:val="0"/>
          <w:numId w:val="2"/>
        </w:numPr>
        <w:tabs>
          <w:tab w:val="num" w:pos="0"/>
        </w:tabs>
        <w:autoSpaceDE w:val="0"/>
        <w:autoSpaceDN w:val="0"/>
        <w:adjustRightInd w:val="0"/>
        <w:spacing w:after="240"/>
        <w:ind w:left="0" w:firstLine="0"/>
        <w:rPr>
          <w:b/>
        </w:rPr>
      </w:pPr>
      <w:r w:rsidRPr="00F92093">
        <w:rPr>
          <w:i/>
        </w:rPr>
        <w:t xml:space="preserve">Component </w:t>
      </w:r>
      <w:r w:rsidR="00717EF6" w:rsidRPr="00F92093">
        <w:rPr>
          <w:i/>
        </w:rPr>
        <w:t>2</w:t>
      </w:r>
      <w:r w:rsidRPr="00F92093">
        <w:rPr>
          <w:i/>
        </w:rPr>
        <w:t>:</w:t>
      </w:r>
      <w:r w:rsidR="00717EF6" w:rsidRPr="00F92093">
        <w:rPr>
          <w:i/>
        </w:rPr>
        <w:t xml:space="preserve"> Promotion and Public Awareness Component (US$0. </w:t>
      </w:r>
      <w:r w:rsidR="008E06F2" w:rsidRPr="00F92093">
        <w:rPr>
          <w:i/>
        </w:rPr>
        <w:t>962</w:t>
      </w:r>
      <w:r w:rsidR="00717EF6" w:rsidRPr="00F92093">
        <w:rPr>
          <w:i/>
        </w:rPr>
        <w:t xml:space="preserve"> million)</w:t>
      </w:r>
      <w:r w:rsidR="00A0471D" w:rsidRPr="00F92093">
        <w:rPr>
          <w:i/>
        </w:rPr>
        <w:t>.</w:t>
      </w:r>
      <w:r w:rsidR="00717EF6" w:rsidRPr="00A926D5">
        <w:t xml:space="preserve"> </w:t>
      </w:r>
      <w:r w:rsidR="000C58BD">
        <w:t xml:space="preserve">Continue as per the pilot with the </w:t>
      </w:r>
      <w:r w:rsidR="004A0ABF" w:rsidRPr="00A926D5">
        <w:t xml:space="preserve">main change </w:t>
      </w:r>
      <w:r w:rsidR="000C58BD">
        <w:t xml:space="preserve">being the scaling </w:t>
      </w:r>
      <w:r w:rsidR="00952CE6" w:rsidRPr="00A926D5">
        <w:t xml:space="preserve">back </w:t>
      </w:r>
      <w:r w:rsidR="000C58BD">
        <w:t xml:space="preserve">of </w:t>
      </w:r>
      <w:r w:rsidR="000C58BD" w:rsidRPr="00A926D5">
        <w:t xml:space="preserve">face-to-face education </w:t>
      </w:r>
      <w:r w:rsidR="00952CE6" w:rsidRPr="00A926D5">
        <w:t>due</w:t>
      </w:r>
      <w:r w:rsidR="00F14D9C" w:rsidRPr="00A926D5">
        <w:t xml:space="preserve"> to their high cost and their logistical complexity</w:t>
      </w:r>
      <w:r w:rsidR="009831E5">
        <w:t xml:space="preserve"> for 21 aimags covered</w:t>
      </w:r>
      <w:r w:rsidR="000F538C">
        <w:t>.</w:t>
      </w:r>
      <w:r w:rsidR="00F14D9C" w:rsidRPr="00A926D5">
        <w:t xml:space="preserve"> </w:t>
      </w:r>
    </w:p>
    <w:p w14:paraId="4DF93DD6" w14:textId="140B3177" w:rsidR="00717EF6" w:rsidRPr="00A926D5" w:rsidRDefault="00717EF6" w:rsidP="00F92093">
      <w:pPr>
        <w:numPr>
          <w:ilvl w:val="0"/>
          <w:numId w:val="2"/>
        </w:numPr>
        <w:tabs>
          <w:tab w:val="num" w:pos="0"/>
        </w:tabs>
        <w:autoSpaceDE w:val="0"/>
        <w:autoSpaceDN w:val="0"/>
        <w:adjustRightInd w:val="0"/>
        <w:spacing w:after="240"/>
        <w:ind w:left="0" w:firstLine="0"/>
        <w:rPr>
          <w:lang w:eastAsia="en-US"/>
        </w:rPr>
      </w:pPr>
      <w:r w:rsidRPr="00F92093">
        <w:rPr>
          <w:i/>
        </w:rPr>
        <w:t>Component 3</w:t>
      </w:r>
      <w:r w:rsidR="00D23ABF" w:rsidRPr="00F92093">
        <w:rPr>
          <w:i/>
        </w:rPr>
        <w:t xml:space="preserve">: </w:t>
      </w:r>
      <w:r w:rsidRPr="00F92093">
        <w:rPr>
          <w:i/>
        </w:rPr>
        <w:t>Institutional Capacity Building Component (US$0. 6</w:t>
      </w:r>
      <w:r w:rsidR="008E06F2" w:rsidRPr="00F92093">
        <w:rPr>
          <w:i/>
        </w:rPr>
        <w:t>7</w:t>
      </w:r>
      <w:r w:rsidRPr="00F92093">
        <w:rPr>
          <w:i/>
        </w:rPr>
        <w:t>5 million)</w:t>
      </w:r>
      <w:r w:rsidR="00A926D5" w:rsidRPr="00F92093">
        <w:rPr>
          <w:rFonts w:eastAsiaTheme="minorHAnsi"/>
          <w:i/>
          <w:lang w:eastAsia="en-US"/>
        </w:rPr>
        <w:t>.</w:t>
      </w:r>
      <w:r w:rsidR="00A926D5" w:rsidRPr="00A926D5">
        <w:rPr>
          <w:rFonts w:eastAsiaTheme="minorHAnsi"/>
          <w:lang w:eastAsia="en-US"/>
        </w:rPr>
        <w:t xml:space="preserve"> </w:t>
      </w:r>
      <w:r w:rsidRPr="00A926D5">
        <w:rPr>
          <w:lang w:eastAsia="en-US"/>
        </w:rPr>
        <w:t>This component would</w:t>
      </w:r>
      <w:r w:rsidR="006232E3" w:rsidRPr="00A926D5">
        <w:rPr>
          <w:lang w:eastAsia="en-US"/>
        </w:rPr>
        <w:t xml:space="preserve"> continue to</w:t>
      </w:r>
      <w:r w:rsidRPr="00A926D5">
        <w:rPr>
          <w:lang w:eastAsia="en-US"/>
        </w:rPr>
        <w:t xml:space="preserve"> provide support</w:t>
      </w:r>
      <w:r w:rsidR="006232E3" w:rsidRPr="00A926D5">
        <w:rPr>
          <w:lang w:eastAsia="en-US"/>
        </w:rPr>
        <w:t xml:space="preserve"> for capacity building of key public institutions that play a key role in implementation. </w:t>
      </w:r>
      <w:r w:rsidR="000C58BD">
        <w:rPr>
          <w:lang w:eastAsia="en-US"/>
        </w:rPr>
        <w:t xml:space="preserve">Additions to the pilot activities include: (i) </w:t>
      </w:r>
      <w:r w:rsidR="00C20ADF" w:rsidRPr="00A926D5">
        <w:rPr>
          <w:lang w:eastAsia="en-US"/>
        </w:rPr>
        <w:t>development of a livestock insurance law</w:t>
      </w:r>
      <w:r w:rsidRPr="00A926D5">
        <w:rPr>
          <w:lang w:eastAsia="en-US"/>
        </w:rPr>
        <w:t xml:space="preserve">; and (ii) </w:t>
      </w:r>
      <w:r w:rsidR="00C20ADF" w:rsidRPr="00A926D5">
        <w:rPr>
          <w:lang w:eastAsia="en-US"/>
        </w:rPr>
        <w:t>capacity building to FRC in developing an appropriate</w:t>
      </w:r>
      <w:r w:rsidR="00287519">
        <w:rPr>
          <w:lang w:eastAsia="en-US"/>
        </w:rPr>
        <w:t xml:space="preserve"> regulatory framework for IBLI.</w:t>
      </w:r>
    </w:p>
    <w:p w14:paraId="5F1DB5D9" w14:textId="0CE44CBD" w:rsidR="00FC7EE9" w:rsidRPr="00A926D5" w:rsidRDefault="00717EF6" w:rsidP="00F92093">
      <w:pPr>
        <w:numPr>
          <w:ilvl w:val="0"/>
          <w:numId w:val="2"/>
        </w:numPr>
        <w:tabs>
          <w:tab w:val="num" w:pos="0"/>
        </w:tabs>
        <w:autoSpaceDE w:val="0"/>
        <w:autoSpaceDN w:val="0"/>
        <w:adjustRightInd w:val="0"/>
        <w:spacing w:after="240"/>
        <w:ind w:left="0" w:firstLine="0"/>
      </w:pPr>
      <w:r w:rsidRPr="00F92093">
        <w:rPr>
          <w:i/>
        </w:rPr>
        <w:t>Component 4: Monitoring and Evaluation (M&amp;E) Component (US</w:t>
      </w:r>
      <w:r w:rsidR="00324B26" w:rsidRPr="00F92093">
        <w:rPr>
          <w:i/>
        </w:rPr>
        <w:t>$</w:t>
      </w:r>
      <w:r w:rsidRPr="00F92093">
        <w:rPr>
          <w:i/>
        </w:rPr>
        <w:t>0.</w:t>
      </w:r>
      <w:r w:rsidR="008E06F2" w:rsidRPr="00F92093">
        <w:rPr>
          <w:i/>
        </w:rPr>
        <w:t>395</w:t>
      </w:r>
      <w:r w:rsidRPr="00F92093">
        <w:rPr>
          <w:i/>
        </w:rPr>
        <w:t xml:space="preserve"> million)</w:t>
      </w:r>
      <w:r w:rsidR="00A926D5" w:rsidRPr="00F92093">
        <w:rPr>
          <w:rFonts w:eastAsiaTheme="minorHAnsi"/>
          <w:i/>
          <w:lang w:eastAsia="en-US"/>
        </w:rPr>
        <w:t xml:space="preserve">. </w:t>
      </w:r>
      <w:r w:rsidRPr="00A926D5">
        <w:t xml:space="preserve">This component </w:t>
      </w:r>
      <w:r w:rsidR="002C70DD">
        <w:t xml:space="preserve">remained </w:t>
      </w:r>
      <w:r w:rsidR="00FC7EE9" w:rsidRPr="00A926D5">
        <w:t xml:space="preserve">unchanged. </w:t>
      </w:r>
    </w:p>
    <w:p w14:paraId="12A8048B" w14:textId="3886B988" w:rsidR="00717EF6" w:rsidRPr="00287519" w:rsidRDefault="00717EF6" w:rsidP="00F92093">
      <w:pPr>
        <w:numPr>
          <w:ilvl w:val="0"/>
          <w:numId w:val="2"/>
        </w:numPr>
        <w:tabs>
          <w:tab w:val="num" w:pos="0"/>
        </w:tabs>
        <w:autoSpaceDE w:val="0"/>
        <w:autoSpaceDN w:val="0"/>
        <w:adjustRightInd w:val="0"/>
        <w:spacing w:after="240"/>
        <w:ind w:left="0" w:firstLine="0"/>
        <w:rPr>
          <w:rFonts w:eastAsiaTheme="minorHAnsi"/>
          <w:lang w:eastAsia="en-US"/>
        </w:rPr>
      </w:pPr>
      <w:r w:rsidRPr="00F92093">
        <w:rPr>
          <w:rFonts w:eastAsiaTheme="minorHAnsi"/>
          <w:i/>
          <w:lang w:eastAsia="en-US"/>
        </w:rPr>
        <w:lastRenderedPageBreak/>
        <w:t>Component 5: Project Management Component (US$</w:t>
      </w:r>
      <w:r w:rsidR="008E06F2" w:rsidRPr="00F92093">
        <w:rPr>
          <w:rFonts w:eastAsiaTheme="minorHAnsi"/>
          <w:i/>
          <w:lang w:eastAsia="en-US"/>
        </w:rPr>
        <w:t>2</w:t>
      </w:r>
      <w:r w:rsidRPr="00F92093">
        <w:rPr>
          <w:rFonts w:eastAsiaTheme="minorHAnsi"/>
          <w:i/>
          <w:lang w:eastAsia="en-US"/>
        </w:rPr>
        <w:t>.</w:t>
      </w:r>
      <w:r w:rsidR="008E06F2" w:rsidRPr="00F92093">
        <w:rPr>
          <w:rFonts w:eastAsiaTheme="minorHAnsi"/>
          <w:i/>
          <w:lang w:eastAsia="en-US"/>
        </w:rPr>
        <w:t>027</w:t>
      </w:r>
      <w:r w:rsidRPr="00F92093">
        <w:rPr>
          <w:rFonts w:eastAsiaTheme="minorHAnsi"/>
          <w:i/>
          <w:lang w:eastAsia="en-US"/>
        </w:rPr>
        <w:t xml:space="preserve"> million)</w:t>
      </w:r>
      <w:r w:rsidR="00287519" w:rsidRPr="00F92093">
        <w:rPr>
          <w:rFonts w:eastAsiaTheme="minorHAnsi"/>
          <w:i/>
          <w:lang w:eastAsia="en-US"/>
        </w:rPr>
        <w:t>.</w:t>
      </w:r>
      <w:r w:rsidR="00287519" w:rsidRPr="00287519">
        <w:rPr>
          <w:rFonts w:eastAsiaTheme="minorHAnsi"/>
          <w:lang w:eastAsia="en-US"/>
        </w:rPr>
        <w:t xml:space="preserve"> This component </w:t>
      </w:r>
      <w:r w:rsidR="002C70DD">
        <w:t xml:space="preserve">remained </w:t>
      </w:r>
      <w:r w:rsidR="00287519" w:rsidRPr="00287519">
        <w:rPr>
          <w:rFonts w:eastAsiaTheme="minorHAnsi"/>
          <w:lang w:eastAsia="en-US"/>
        </w:rPr>
        <w:t xml:space="preserve">unchanged. </w:t>
      </w:r>
    </w:p>
    <w:p w14:paraId="1D818F84" w14:textId="77777777" w:rsidR="00C67D43" w:rsidRPr="005A4EF0" w:rsidRDefault="00C67D43" w:rsidP="005A4EF0">
      <w:pPr>
        <w:pStyle w:val="Heading3"/>
        <w:spacing w:after="240"/>
        <w:rPr>
          <w:sz w:val="24"/>
          <w:szCs w:val="24"/>
        </w:rPr>
      </w:pPr>
      <w:bookmarkStart w:id="104" w:name="_Toc456784524"/>
      <w:r w:rsidRPr="005A4EF0">
        <w:rPr>
          <w:sz w:val="24"/>
          <w:szCs w:val="24"/>
        </w:rPr>
        <w:t>1.7 Other significant changes</w:t>
      </w:r>
      <w:bookmarkEnd w:id="104"/>
    </w:p>
    <w:p w14:paraId="6BE74D62" w14:textId="1D3EEA32" w:rsidR="00D51717" w:rsidRDefault="00F92093" w:rsidP="00D51717">
      <w:pPr>
        <w:numPr>
          <w:ilvl w:val="0"/>
          <w:numId w:val="2"/>
        </w:numPr>
        <w:tabs>
          <w:tab w:val="num" w:pos="0"/>
        </w:tabs>
        <w:autoSpaceDE w:val="0"/>
        <w:autoSpaceDN w:val="0"/>
        <w:adjustRightInd w:val="0"/>
        <w:spacing w:after="240"/>
        <w:ind w:left="0" w:firstLine="0"/>
      </w:pPr>
      <w:bookmarkStart w:id="105" w:name="_Ref456788953"/>
      <w:bookmarkStart w:id="106" w:name="_IL7"/>
      <w:bookmarkStart w:id="107" w:name="_Toc158019371"/>
      <w:r w:rsidRPr="00CD1AE0">
        <w:t xml:space="preserve">The original project (total: US$9.88 million) was approved on May 2, 2005 with </w:t>
      </w:r>
      <w:r>
        <w:t xml:space="preserve">a closing date of June 30, 2010 and </w:t>
      </w:r>
      <w:r w:rsidRPr="00CD1AE0">
        <w:t>three main sources of funds: (i) IDA (US$7.75m), (ii) Financial Sector Reform and Strengthening Initiative (FIRST - US$0.56m), and (iii) Japanese Policy and Human Resources Development Fund (PHRD - US$1.32m). It then went through a series of restructuring to allow interested partners to co-finance it, extend closing dates when necessary and bring changes and adjustments required as the project was progressing. These changes are summarized in the following table.</w:t>
      </w:r>
      <w:bookmarkEnd w:id="105"/>
    </w:p>
    <w:p w14:paraId="57C37D16" w14:textId="51FC843B" w:rsidR="00D51717" w:rsidRPr="005A4EF0" w:rsidRDefault="00D879E4" w:rsidP="00C457E7">
      <w:pPr>
        <w:autoSpaceDE w:val="0"/>
        <w:autoSpaceDN w:val="0"/>
        <w:adjustRightInd w:val="0"/>
        <w:spacing w:after="240"/>
        <w:jc w:val="center"/>
        <w:rPr>
          <w:sz w:val="20"/>
          <w:szCs w:val="20"/>
        </w:rPr>
      </w:pPr>
      <w:r w:rsidRPr="005A4EF0">
        <w:rPr>
          <w:sz w:val="20"/>
          <w:szCs w:val="20"/>
        </w:rPr>
        <w:t>Table</w:t>
      </w:r>
      <w:r w:rsidR="00CC0DF8" w:rsidRPr="005A4EF0">
        <w:rPr>
          <w:sz w:val="20"/>
          <w:szCs w:val="20"/>
        </w:rPr>
        <w:t xml:space="preserve"> </w:t>
      </w:r>
      <w:r w:rsidR="005A4EF0" w:rsidRPr="005A4EF0">
        <w:rPr>
          <w:sz w:val="20"/>
          <w:szCs w:val="20"/>
        </w:rPr>
        <w:t>2</w:t>
      </w:r>
      <w:r w:rsidRPr="005A4EF0">
        <w:rPr>
          <w:sz w:val="20"/>
          <w:szCs w:val="20"/>
        </w:rPr>
        <w:t>: Components’ financing</w:t>
      </w:r>
    </w:p>
    <w:tbl>
      <w:tblPr>
        <w:tblStyle w:val="TableGrid"/>
        <w:tblW w:w="0" w:type="auto"/>
        <w:tblLook w:val="04A0" w:firstRow="1" w:lastRow="0" w:firstColumn="1" w:lastColumn="0" w:noHBand="0" w:noVBand="1"/>
      </w:tblPr>
      <w:tblGrid>
        <w:gridCol w:w="3116"/>
        <w:gridCol w:w="3117"/>
        <w:gridCol w:w="3117"/>
      </w:tblGrid>
      <w:tr w:rsidR="00D51717" w14:paraId="627BC56D" w14:textId="77777777" w:rsidTr="00D51717">
        <w:tc>
          <w:tcPr>
            <w:tcW w:w="3116" w:type="dxa"/>
          </w:tcPr>
          <w:p w14:paraId="01A29F2B" w14:textId="77777777" w:rsidR="00D51717" w:rsidRDefault="00D51717" w:rsidP="005A4EF0">
            <w:pPr>
              <w:autoSpaceDE w:val="0"/>
              <w:autoSpaceDN w:val="0"/>
              <w:adjustRightInd w:val="0"/>
            </w:pPr>
            <w:r>
              <w:t>Component</w:t>
            </w:r>
          </w:p>
        </w:tc>
        <w:tc>
          <w:tcPr>
            <w:tcW w:w="3117" w:type="dxa"/>
          </w:tcPr>
          <w:p w14:paraId="36219DA6" w14:textId="77777777" w:rsidR="00D51717" w:rsidRDefault="00D51717" w:rsidP="005A4EF0">
            <w:pPr>
              <w:autoSpaceDE w:val="0"/>
              <w:autoSpaceDN w:val="0"/>
              <w:adjustRightInd w:val="0"/>
            </w:pPr>
            <w:r>
              <w:t>Original Financing</w:t>
            </w:r>
            <w:r w:rsidR="009F3F95">
              <w:t xml:space="preserve"> </w:t>
            </w:r>
          </w:p>
          <w:p w14:paraId="56C0F6DB" w14:textId="5980C21D" w:rsidR="009F3F95" w:rsidRDefault="009F3F95" w:rsidP="005A4EF0">
            <w:pPr>
              <w:autoSpaceDE w:val="0"/>
              <w:autoSpaceDN w:val="0"/>
              <w:adjustRightInd w:val="0"/>
            </w:pPr>
            <w:r>
              <w:t>(US$ million)</w:t>
            </w:r>
          </w:p>
        </w:tc>
        <w:tc>
          <w:tcPr>
            <w:tcW w:w="3117" w:type="dxa"/>
          </w:tcPr>
          <w:p w14:paraId="531F0427" w14:textId="77777777" w:rsidR="00D51717" w:rsidRDefault="00D51717" w:rsidP="005A4EF0">
            <w:pPr>
              <w:autoSpaceDE w:val="0"/>
              <w:autoSpaceDN w:val="0"/>
              <w:adjustRightInd w:val="0"/>
            </w:pPr>
            <w:r>
              <w:t>Final Financing</w:t>
            </w:r>
          </w:p>
          <w:p w14:paraId="43CB1F47" w14:textId="67EF378A" w:rsidR="009F3F95" w:rsidRDefault="009F3F95" w:rsidP="005A4EF0">
            <w:pPr>
              <w:autoSpaceDE w:val="0"/>
              <w:autoSpaceDN w:val="0"/>
              <w:adjustRightInd w:val="0"/>
            </w:pPr>
            <w:r>
              <w:t>(US$ million)</w:t>
            </w:r>
          </w:p>
        </w:tc>
      </w:tr>
      <w:tr w:rsidR="00D51717" w14:paraId="0F539893" w14:textId="77777777" w:rsidTr="00D51717">
        <w:tc>
          <w:tcPr>
            <w:tcW w:w="3116" w:type="dxa"/>
          </w:tcPr>
          <w:p w14:paraId="4151D03F" w14:textId="5913BAF3" w:rsidR="00D51717" w:rsidRPr="009F3F95" w:rsidRDefault="00D51717" w:rsidP="005A4EF0">
            <w:pPr>
              <w:autoSpaceDE w:val="0"/>
              <w:autoSpaceDN w:val="0"/>
              <w:adjustRightInd w:val="0"/>
            </w:pPr>
            <w:r>
              <w:t>Component 1</w:t>
            </w:r>
            <w:r w:rsidR="009F3F95">
              <w:t xml:space="preserve">: </w:t>
            </w:r>
          </w:p>
        </w:tc>
        <w:tc>
          <w:tcPr>
            <w:tcW w:w="3117" w:type="dxa"/>
          </w:tcPr>
          <w:p w14:paraId="7AAEDF11" w14:textId="5C6552AD" w:rsidR="00D51717" w:rsidRDefault="009F3F95" w:rsidP="005A4EF0">
            <w:pPr>
              <w:autoSpaceDE w:val="0"/>
              <w:autoSpaceDN w:val="0"/>
              <w:adjustRightInd w:val="0"/>
            </w:pPr>
            <w:r>
              <w:t>6.32</w:t>
            </w:r>
          </w:p>
        </w:tc>
        <w:tc>
          <w:tcPr>
            <w:tcW w:w="3117" w:type="dxa"/>
          </w:tcPr>
          <w:p w14:paraId="21B09BBE" w14:textId="4671793E" w:rsidR="00D51717" w:rsidRDefault="0001048C" w:rsidP="005A4EF0">
            <w:pPr>
              <w:autoSpaceDE w:val="0"/>
              <w:autoSpaceDN w:val="0"/>
              <w:adjustRightInd w:val="0"/>
            </w:pPr>
            <w:r>
              <w:t>12.79</w:t>
            </w:r>
          </w:p>
        </w:tc>
      </w:tr>
      <w:tr w:rsidR="00D51717" w14:paraId="75F30D5D" w14:textId="77777777" w:rsidTr="00D51717">
        <w:tc>
          <w:tcPr>
            <w:tcW w:w="3116" w:type="dxa"/>
          </w:tcPr>
          <w:p w14:paraId="1510FCFF" w14:textId="1FDC8D40" w:rsidR="00D51717" w:rsidRPr="009F3F95" w:rsidRDefault="00D51717" w:rsidP="005A4EF0">
            <w:pPr>
              <w:autoSpaceDE w:val="0"/>
              <w:autoSpaceDN w:val="0"/>
              <w:adjustRightInd w:val="0"/>
            </w:pPr>
            <w:r>
              <w:t>Component 2</w:t>
            </w:r>
          </w:p>
        </w:tc>
        <w:tc>
          <w:tcPr>
            <w:tcW w:w="3117" w:type="dxa"/>
          </w:tcPr>
          <w:p w14:paraId="47C681F3" w14:textId="5F328E22" w:rsidR="00D51717" w:rsidRDefault="009F3F95" w:rsidP="005A4EF0">
            <w:pPr>
              <w:autoSpaceDE w:val="0"/>
              <w:autoSpaceDN w:val="0"/>
              <w:adjustRightInd w:val="0"/>
            </w:pPr>
            <w:r>
              <w:t>0.89</w:t>
            </w:r>
          </w:p>
        </w:tc>
        <w:tc>
          <w:tcPr>
            <w:tcW w:w="3117" w:type="dxa"/>
          </w:tcPr>
          <w:p w14:paraId="257433C7" w14:textId="0A4519D1" w:rsidR="00D51717" w:rsidRDefault="0001048C" w:rsidP="005A4EF0">
            <w:pPr>
              <w:autoSpaceDE w:val="0"/>
              <w:autoSpaceDN w:val="0"/>
              <w:adjustRightInd w:val="0"/>
            </w:pPr>
            <w:r>
              <w:t>0.96</w:t>
            </w:r>
          </w:p>
        </w:tc>
      </w:tr>
      <w:tr w:rsidR="00D51717" w14:paraId="3A988D44" w14:textId="77777777" w:rsidTr="00D51717">
        <w:tc>
          <w:tcPr>
            <w:tcW w:w="3116" w:type="dxa"/>
          </w:tcPr>
          <w:p w14:paraId="0854B235" w14:textId="2D368A92" w:rsidR="00D51717" w:rsidRDefault="00D51717" w:rsidP="005A4EF0">
            <w:pPr>
              <w:autoSpaceDE w:val="0"/>
              <w:autoSpaceDN w:val="0"/>
              <w:adjustRightInd w:val="0"/>
            </w:pPr>
            <w:r>
              <w:t>Component 3</w:t>
            </w:r>
            <w:r w:rsidR="009F3F95">
              <w:t>:</w:t>
            </w:r>
          </w:p>
        </w:tc>
        <w:tc>
          <w:tcPr>
            <w:tcW w:w="3117" w:type="dxa"/>
          </w:tcPr>
          <w:p w14:paraId="344553D3" w14:textId="3183A8DC" w:rsidR="00D51717" w:rsidRDefault="009F3F95" w:rsidP="005A4EF0">
            <w:pPr>
              <w:autoSpaceDE w:val="0"/>
              <w:autoSpaceDN w:val="0"/>
              <w:adjustRightInd w:val="0"/>
            </w:pPr>
            <w:r>
              <w:t>0.65</w:t>
            </w:r>
          </w:p>
        </w:tc>
        <w:tc>
          <w:tcPr>
            <w:tcW w:w="3117" w:type="dxa"/>
          </w:tcPr>
          <w:p w14:paraId="62ADA4CF" w14:textId="17FC15AF" w:rsidR="00D51717" w:rsidRDefault="0001048C" w:rsidP="005A4EF0">
            <w:pPr>
              <w:autoSpaceDE w:val="0"/>
              <w:autoSpaceDN w:val="0"/>
              <w:adjustRightInd w:val="0"/>
            </w:pPr>
            <w:r>
              <w:t>0.67</w:t>
            </w:r>
          </w:p>
        </w:tc>
      </w:tr>
      <w:tr w:rsidR="00D51717" w14:paraId="3339B303" w14:textId="77777777" w:rsidTr="00D51717">
        <w:tc>
          <w:tcPr>
            <w:tcW w:w="3116" w:type="dxa"/>
          </w:tcPr>
          <w:p w14:paraId="09702B0B" w14:textId="336F8076" w:rsidR="00D51717" w:rsidRDefault="00D51717" w:rsidP="005A4EF0">
            <w:pPr>
              <w:autoSpaceDE w:val="0"/>
              <w:autoSpaceDN w:val="0"/>
              <w:adjustRightInd w:val="0"/>
            </w:pPr>
            <w:r>
              <w:t>Component 4</w:t>
            </w:r>
          </w:p>
        </w:tc>
        <w:tc>
          <w:tcPr>
            <w:tcW w:w="3117" w:type="dxa"/>
          </w:tcPr>
          <w:p w14:paraId="2F300775" w14:textId="22F1D917" w:rsidR="00D51717" w:rsidRDefault="009F3F95" w:rsidP="005A4EF0">
            <w:pPr>
              <w:autoSpaceDE w:val="0"/>
              <w:autoSpaceDN w:val="0"/>
              <w:adjustRightInd w:val="0"/>
            </w:pPr>
            <w:r>
              <w:t>0.27</w:t>
            </w:r>
          </w:p>
        </w:tc>
        <w:tc>
          <w:tcPr>
            <w:tcW w:w="3117" w:type="dxa"/>
          </w:tcPr>
          <w:p w14:paraId="609AF1C3" w14:textId="3CD89B3D" w:rsidR="00D51717" w:rsidRDefault="0001048C" w:rsidP="005A4EF0">
            <w:pPr>
              <w:autoSpaceDE w:val="0"/>
              <w:autoSpaceDN w:val="0"/>
              <w:adjustRightInd w:val="0"/>
            </w:pPr>
            <w:r>
              <w:t>0.39</w:t>
            </w:r>
          </w:p>
        </w:tc>
      </w:tr>
      <w:tr w:rsidR="009F3F95" w14:paraId="6E19FE62" w14:textId="77777777" w:rsidTr="005A4EF0">
        <w:trPr>
          <w:trHeight w:val="323"/>
        </w:trPr>
        <w:tc>
          <w:tcPr>
            <w:tcW w:w="3116" w:type="dxa"/>
          </w:tcPr>
          <w:p w14:paraId="543F7ECB" w14:textId="4DC0FA0E" w:rsidR="009F3F95" w:rsidRDefault="009F3F95" w:rsidP="005A4EF0">
            <w:pPr>
              <w:autoSpaceDE w:val="0"/>
              <w:autoSpaceDN w:val="0"/>
              <w:adjustRightInd w:val="0"/>
            </w:pPr>
            <w:r>
              <w:t xml:space="preserve">Component 5: </w:t>
            </w:r>
          </w:p>
        </w:tc>
        <w:tc>
          <w:tcPr>
            <w:tcW w:w="3117" w:type="dxa"/>
          </w:tcPr>
          <w:p w14:paraId="22F0134E" w14:textId="332200AD" w:rsidR="009F3F95" w:rsidRDefault="009F3F95" w:rsidP="005A4EF0">
            <w:pPr>
              <w:autoSpaceDE w:val="0"/>
              <w:autoSpaceDN w:val="0"/>
              <w:adjustRightInd w:val="0"/>
            </w:pPr>
            <w:r>
              <w:t>1.5</w:t>
            </w:r>
          </w:p>
        </w:tc>
        <w:tc>
          <w:tcPr>
            <w:tcW w:w="3117" w:type="dxa"/>
          </w:tcPr>
          <w:p w14:paraId="6F215DD7" w14:textId="5CC843A2" w:rsidR="009F3F95" w:rsidRDefault="0001048C" w:rsidP="005A4EF0">
            <w:pPr>
              <w:autoSpaceDE w:val="0"/>
              <w:autoSpaceDN w:val="0"/>
              <w:adjustRightInd w:val="0"/>
            </w:pPr>
            <w:r>
              <w:t>2.02</w:t>
            </w:r>
          </w:p>
        </w:tc>
      </w:tr>
    </w:tbl>
    <w:p w14:paraId="47954684" w14:textId="77777777" w:rsidR="00D51717" w:rsidRDefault="00D51717" w:rsidP="005A4EF0">
      <w:pPr>
        <w:pStyle w:val="ListParagraph"/>
        <w:autoSpaceDE w:val="0"/>
        <w:autoSpaceDN w:val="0"/>
        <w:adjustRightInd w:val="0"/>
        <w:spacing w:after="0"/>
        <w:ind w:left="360"/>
      </w:pPr>
    </w:p>
    <w:p w14:paraId="47725B29" w14:textId="2584A46A" w:rsidR="005A4EF0" w:rsidRPr="005A4EF0" w:rsidRDefault="005A4EF0" w:rsidP="005A4EF0">
      <w:pPr>
        <w:autoSpaceDE w:val="0"/>
        <w:autoSpaceDN w:val="0"/>
        <w:adjustRightInd w:val="0"/>
        <w:spacing w:after="240"/>
        <w:jc w:val="center"/>
        <w:rPr>
          <w:sz w:val="20"/>
          <w:szCs w:val="20"/>
        </w:rPr>
      </w:pPr>
      <w:r w:rsidRPr="005A4EF0">
        <w:rPr>
          <w:sz w:val="20"/>
          <w:szCs w:val="20"/>
        </w:rPr>
        <w:t xml:space="preserve">Table </w:t>
      </w:r>
      <w:r>
        <w:rPr>
          <w:sz w:val="20"/>
          <w:szCs w:val="20"/>
        </w:rPr>
        <w:t>3</w:t>
      </w:r>
      <w:r w:rsidRPr="005A4EF0">
        <w:rPr>
          <w:sz w:val="20"/>
          <w:szCs w:val="20"/>
        </w:rPr>
        <w:t xml:space="preserve">: </w:t>
      </w:r>
      <w:r>
        <w:rPr>
          <w:sz w:val="20"/>
          <w:szCs w:val="20"/>
        </w:rPr>
        <w:t>project’s restructurings</w:t>
      </w:r>
    </w:p>
    <w:tbl>
      <w:tblPr>
        <w:tblStyle w:val="TableGrid"/>
        <w:tblW w:w="10581" w:type="dxa"/>
        <w:tblInd w:w="-432" w:type="dxa"/>
        <w:tblLook w:val="04A0" w:firstRow="1" w:lastRow="0" w:firstColumn="1" w:lastColumn="0" w:noHBand="0" w:noVBand="1"/>
      </w:tblPr>
      <w:tblGrid>
        <w:gridCol w:w="1710"/>
        <w:gridCol w:w="1530"/>
        <w:gridCol w:w="1980"/>
        <w:gridCol w:w="1530"/>
        <w:gridCol w:w="3831"/>
      </w:tblGrid>
      <w:tr w:rsidR="00F92093" w:rsidRPr="00AD0349" w14:paraId="0D7771DE" w14:textId="77777777" w:rsidTr="00AF0AC5">
        <w:trPr>
          <w:trHeight w:val="577"/>
        </w:trPr>
        <w:tc>
          <w:tcPr>
            <w:tcW w:w="1710" w:type="dxa"/>
          </w:tcPr>
          <w:p w14:paraId="13DAB3CC" w14:textId="77777777" w:rsidR="00F92093" w:rsidRPr="00AD0349" w:rsidRDefault="00F92093" w:rsidP="00AF0AC5">
            <w:pPr>
              <w:ind w:left="-90"/>
              <w:jc w:val="center"/>
              <w:rPr>
                <w:b/>
              </w:rPr>
            </w:pPr>
            <w:r w:rsidRPr="00AD0349">
              <w:rPr>
                <w:b/>
              </w:rPr>
              <w:t>Restructuring level and date</w:t>
            </w:r>
          </w:p>
        </w:tc>
        <w:tc>
          <w:tcPr>
            <w:tcW w:w="1530" w:type="dxa"/>
          </w:tcPr>
          <w:p w14:paraId="48304CF6" w14:textId="77777777" w:rsidR="00F92093" w:rsidRPr="00AD0349" w:rsidRDefault="00F92093" w:rsidP="00AF0AC5">
            <w:pPr>
              <w:jc w:val="center"/>
              <w:rPr>
                <w:b/>
              </w:rPr>
            </w:pPr>
            <w:r w:rsidRPr="00AD0349">
              <w:rPr>
                <w:b/>
              </w:rPr>
              <w:t>Changes in PDO and KPI</w:t>
            </w:r>
          </w:p>
        </w:tc>
        <w:tc>
          <w:tcPr>
            <w:tcW w:w="1980" w:type="dxa"/>
          </w:tcPr>
          <w:p w14:paraId="00054786" w14:textId="77777777" w:rsidR="00F92093" w:rsidRPr="00AD0349" w:rsidRDefault="00F92093" w:rsidP="00AF0AC5">
            <w:pPr>
              <w:jc w:val="center"/>
              <w:rPr>
                <w:b/>
              </w:rPr>
            </w:pPr>
            <w:r w:rsidRPr="00AD0349">
              <w:rPr>
                <w:b/>
              </w:rPr>
              <w:t>Additional Financing</w:t>
            </w:r>
          </w:p>
        </w:tc>
        <w:tc>
          <w:tcPr>
            <w:tcW w:w="1530" w:type="dxa"/>
          </w:tcPr>
          <w:p w14:paraId="65957E19" w14:textId="77777777" w:rsidR="00F92093" w:rsidRPr="00AD0349" w:rsidRDefault="00F92093" w:rsidP="00AF0AC5">
            <w:pPr>
              <w:jc w:val="center"/>
              <w:rPr>
                <w:b/>
              </w:rPr>
            </w:pPr>
            <w:r w:rsidRPr="00AD0349">
              <w:rPr>
                <w:b/>
              </w:rPr>
              <w:t>Extension of closing date</w:t>
            </w:r>
          </w:p>
        </w:tc>
        <w:tc>
          <w:tcPr>
            <w:tcW w:w="3831" w:type="dxa"/>
          </w:tcPr>
          <w:p w14:paraId="33137B8C" w14:textId="77777777" w:rsidR="00F92093" w:rsidRPr="00AD0349" w:rsidRDefault="00F92093" w:rsidP="00AF0AC5">
            <w:pPr>
              <w:jc w:val="center"/>
              <w:rPr>
                <w:b/>
              </w:rPr>
            </w:pPr>
            <w:r w:rsidRPr="00AD0349">
              <w:rPr>
                <w:b/>
              </w:rPr>
              <w:t>Other changes</w:t>
            </w:r>
          </w:p>
        </w:tc>
      </w:tr>
      <w:tr w:rsidR="00F92093" w:rsidRPr="00AD0349" w14:paraId="0D30FC1E" w14:textId="77777777" w:rsidTr="00AF0AC5">
        <w:trPr>
          <w:trHeight w:val="593"/>
        </w:trPr>
        <w:tc>
          <w:tcPr>
            <w:tcW w:w="1710" w:type="dxa"/>
          </w:tcPr>
          <w:p w14:paraId="3A581A7B" w14:textId="77777777" w:rsidR="00F92093" w:rsidRPr="00AD0349" w:rsidRDefault="00F92093" w:rsidP="00AF0AC5">
            <w:pPr>
              <w:jc w:val="center"/>
              <w:rPr>
                <w:sz w:val="20"/>
                <w:szCs w:val="20"/>
              </w:rPr>
            </w:pPr>
            <w:r w:rsidRPr="00AD0349">
              <w:rPr>
                <w:sz w:val="20"/>
                <w:szCs w:val="20"/>
              </w:rPr>
              <w:t>Level 2</w:t>
            </w:r>
          </w:p>
          <w:p w14:paraId="60FCA970" w14:textId="77777777" w:rsidR="00F92093" w:rsidRPr="00AD0349" w:rsidRDefault="00F92093" w:rsidP="00AF0AC5">
            <w:pPr>
              <w:jc w:val="center"/>
              <w:rPr>
                <w:sz w:val="20"/>
                <w:szCs w:val="20"/>
              </w:rPr>
            </w:pPr>
            <w:r w:rsidRPr="00AD0349">
              <w:rPr>
                <w:sz w:val="20"/>
                <w:szCs w:val="20"/>
              </w:rPr>
              <w:t>June 2008</w:t>
            </w:r>
          </w:p>
        </w:tc>
        <w:tc>
          <w:tcPr>
            <w:tcW w:w="1530" w:type="dxa"/>
          </w:tcPr>
          <w:p w14:paraId="57FD15D6" w14:textId="77777777" w:rsidR="00F92093" w:rsidRPr="00AD0349" w:rsidRDefault="00F92093" w:rsidP="00AF0AC5">
            <w:pPr>
              <w:jc w:val="center"/>
              <w:rPr>
                <w:sz w:val="20"/>
                <w:szCs w:val="20"/>
              </w:rPr>
            </w:pPr>
            <w:r w:rsidRPr="00AD0349">
              <w:rPr>
                <w:sz w:val="20"/>
                <w:szCs w:val="20"/>
              </w:rPr>
              <w:t>No</w:t>
            </w:r>
          </w:p>
        </w:tc>
        <w:tc>
          <w:tcPr>
            <w:tcW w:w="1980" w:type="dxa"/>
          </w:tcPr>
          <w:p w14:paraId="233B9F04" w14:textId="77777777" w:rsidR="00F92093" w:rsidRPr="00AD0349" w:rsidRDefault="00F92093" w:rsidP="00AF0AC5">
            <w:pPr>
              <w:jc w:val="center"/>
              <w:rPr>
                <w:sz w:val="20"/>
                <w:szCs w:val="20"/>
              </w:rPr>
            </w:pPr>
            <w:r w:rsidRPr="00AD0349">
              <w:rPr>
                <w:sz w:val="20"/>
                <w:szCs w:val="20"/>
              </w:rPr>
              <w:t>No</w:t>
            </w:r>
          </w:p>
        </w:tc>
        <w:tc>
          <w:tcPr>
            <w:tcW w:w="1530" w:type="dxa"/>
          </w:tcPr>
          <w:p w14:paraId="415021FD" w14:textId="77777777" w:rsidR="00F92093" w:rsidRPr="0034692A" w:rsidRDefault="00F92093" w:rsidP="00AF0AC5">
            <w:pPr>
              <w:jc w:val="center"/>
              <w:rPr>
                <w:color w:val="FF0000"/>
                <w:sz w:val="20"/>
                <w:szCs w:val="20"/>
              </w:rPr>
            </w:pPr>
            <w:r w:rsidRPr="0034692A">
              <w:rPr>
                <w:color w:val="FF0000"/>
                <w:sz w:val="20"/>
                <w:szCs w:val="20"/>
              </w:rPr>
              <w:t>Yes</w:t>
            </w:r>
          </w:p>
          <w:p w14:paraId="3A34AFF7" w14:textId="77777777" w:rsidR="00F92093" w:rsidRPr="00AD0349" w:rsidRDefault="00F92093" w:rsidP="00AF0AC5">
            <w:pPr>
              <w:jc w:val="center"/>
              <w:rPr>
                <w:sz w:val="20"/>
                <w:szCs w:val="20"/>
              </w:rPr>
            </w:pPr>
            <w:r w:rsidRPr="00AD0349">
              <w:rPr>
                <w:sz w:val="20"/>
                <w:szCs w:val="20"/>
              </w:rPr>
              <w:t>June 30, 2011</w:t>
            </w:r>
          </w:p>
        </w:tc>
        <w:tc>
          <w:tcPr>
            <w:tcW w:w="3831" w:type="dxa"/>
          </w:tcPr>
          <w:p w14:paraId="124F7465" w14:textId="77777777" w:rsidR="00F92093" w:rsidRPr="00AD0349" w:rsidRDefault="00F92093" w:rsidP="00AF0AC5">
            <w:pPr>
              <w:rPr>
                <w:sz w:val="20"/>
                <w:szCs w:val="20"/>
              </w:rPr>
            </w:pPr>
            <w:r w:rsidRPr="00AD0349">
              <w:rPr>
                <w:sz w:val="20"/>
                <w:szCs w:val="20"/>
              </w:rPr>
              <w:t>Allowed completion of a 4</w:t>
            </w:r>
            <w:r w:rsidRPr="00AD0349">
              <w:rPr>
                <w:sz w:val="20"/>
                <w:szCs w:val="20"/>
                <w:vertAlign w:val="superscript"/>
              </w:rPr>
              <w:t>th</w:t>
            </w:r>
            <w:r w:rsidRPr="00AD0349">
              <w:rPr>
                <w:sz w:val="20"/>
                <w:szCs w:val="20"/>
              </w:rPr>
              <w:t xml:space="preserve"> insurance cycle and addition of a fourth Aimag</w:t>
            </w:r>
          </w:p>
        </w:tc>
      </w:tr>
      <w:tr w:rsidR="00F92093" w:rsidRPr="00AD0349" w14:paraId="344EB85D" w14:textId="77777777" w:rsidTr="00AF0AC5">
        <w:trPr>
          <w:trHeight w:val="800"/>
        </w:trPr>
        <w:tc>
          <w:tcPr>
            <w:tcW w:w="1710" w:type="dxa"/>
          </w:tcPr>
          <w:p w14:paraId="2B44D1EF" w14:textId="77777777" w:rsidR="00F92093" w:rsidRPr="00AD0349" w:rsidRDefault="00F92093" w:rsidP="00AF0AC5">
            <w:pPr>
              <w:jc w:val="center"/>
              <w:rPr>
                <w:sz w:val="20"/>
                <w:szCs w:val="20"/>
              </w:rPr>
            </w:pPr>
            <w:r w:rsidRPr="00AD0349">
              <w:rPr>
                <w:sz w:val="20"/>
                <w:szCs w:val="20"/>
              </w:rPr>
              <w:t>Level 2</w:t>
            </w:r>
          </w:p>
          <w:p w14:paraId="0A3678CC" w14:textId="77777777" w:rsidR="00F92093" w:rsidRPr="00AD0349" w:rsidRDefault="00F92093" w:rsidP="00AF0AC5">
            <w:pPr>
              <w:jc w:val="center"/>
              <w:rPr>
                <w:sz w:val="20"/>
                <w:szCs w:val="20"/>
              </w:rPr>
            </w:pPr>
            <w:r w:rsidRPr="00AD0349">
              <w:rPr>
                <w:sz w:val="20"/>
                <w:szCs w:val="20"/>
              </w:rPr>
              <w:t>March 12, 2009</w:t>
            </w:r>
          </w:p>
        </w:tc>
        <w:tc>
          <w:tcPr>
            <w:tcW w:w="1530" w:type="dxa"/>
          </w:tcPr>
          <w:p w14:paraId="66C4DBB6" w14:textId="77777777" w:rsidR="00F92093" w:rsidRPr="00AD0349" w:rsidRDefault="00F92093" w:rsidP="00AF0AC5">
            <w:pPr>
              <w:jc w:val="center"/>
              <w:rPr>
                <w:sz w:val="20"/>
                <w:szCs w:val="20"/>
              </w:rPr>
            </w:pPr>
            <w:r w:rsidRPr="00AD0349">
              <w:rPr>
                <w:sz w:val="20"/>
                <w:szCs w:val="20"/>
              </w:rPr>
              <w:t>No</w:t>
            </w:r>
          </w:p>
        </w:tc>
        <w:tc>
          <w:tcPr>
            <w:tcW w:w="1980" w:type="dxa"/>
          </w:tcPr>
          <w:p w14:paraId="292DB866" w14:textId="77777777" w:rsidR="00F92093" w:rsidRPr="0034692A" w:rsidRDefault="00F92093" w:rsidP="00AF0AC5">
            <w:pPr>
              <w:jc w:val="center"/>
              <w:rPr>
                <w:color w:val="FF0000"/>
                <w:sz w:val="20"/>
                <w:szCs w:val="20"/>
              </w:rPr>
            </w:pPr>
            <w:r w:rsidRPr="0034692A">
              <w:rPr>
                <w:color w:val="FF0000"/>
                <w:sz w:val="20"/>
                <w:szCs w:val="20"/>
              </w:rPr>
              <w:t>Yes</w:t>
            </w:r>
          </w:p>
          <w:p w14:paraId="5A07EE61" w14:textId="77777777" w:rsidR="00F92093" w:rsidRPr="00AD0349" w:rsidRDefault="00F92093" w:rsidP="00AF0AC5">
            <w:pPr>
              <w:jc w:val="center"/>
              <w:rPr>
                <w:sz w:val="20"/>
                <w:szCs w:val="20"/>
              </w:rPr>
            </w:pPr>
            <w:r w:rsidRPr="00AD0349">
              <w:rPr>
                <w:sz w:val="20"/>
                <w:szCs w:val="20"/>
              </w:rPr>
              <w:t>SDC US$0.61m</w:t>
            </w:r>
          </w:p>
        </w:tc>
        <w:tc>
          <w:tcPr>
            <w:tcW w:w="1530" w:type="dxa"/>
          </w:tcPr>
          <w:p w14:paraId="7D50EA75" w14:textId="77777777" w:rsidR="00F92093" w:rsidRPr="00AD0349" w:rsidRDefault="00F92093" w:rsidP="00AF0AC5">
            <w:pPr>
              <w:jc w:val="center"/>
              <w:rPr>
                <w:sz w:val="20"/>
                <w:szCs w:val="20"/>
              </w:rPr>
            </w:pPr>
            <w:r w:rsidRPr="00AD0349">
              <w:rPr>
                <w:sz w:val="20"/>
                <w:szCs w:val="20"/>
              </w:rPr>
              <w:t>No</w:t>
            </w:r>
          </w:p>
        </w:tc>
        <w:tc>
          <w:tcPr>
            <w:tcW w:w="3831" w:type="dxa"/>
          </w:tcPr>
          <w:p w14:paraId="243F87F0" w14:textId="77777777" w:rsidR="00F92093" w:rsidRPr="00AD0349" w:rsidRDefault="00F92093" w:rsidP="00AF0AC5">
            <w:pPr>
              <w:rPr>
                <w:sz w:val="20"/>
                <w:szCs w:val="20"/>
              </w:rPr>
            </w:pPr>
            <w:r w:rsidRPr="00AD0349">
              <w:rPr>
                <w:sz w:val="20"/>
                <w:szCs w:val="20"/>
              </w:rPr>
              <w:t>No (took over FIRST which disbursed US$0.25m then was cancelled for administrative reasons)</w:t>
            </w:r>
          </w:p>
        </w:tc>
      </w:tr>
      <w:tr w:rsidR="00F92093" w:rsidRPr="00AD0349" w14:paraId="67FCC50F" w14:textId="77777777" w:rsidTr="00AF0AC5">
        <w:trPr>
          <w:trHeight w:val="484"/>
        </w:trPr>
        <w:tc>
          <w:tcPr>
            <w:tcW w:w="1710" w:type="dxa"/>
          </w:tcPr>
          <w:p w14:paraId="4B0387C6" w14:textId="77777777" w:rsidR="00F92093" w:rsidRPr="00AD0349" w:rsidRDefault="00F92093" w:rsidP="00AF0AC5">
            <w:pPr>
              <w:jc w:val="center"/>
              <w:rPr>
                <w:sz w:val="20"/>
                <w:szCs w:val="20"/>
              </w:rPr>
            </w:pPr>
            <w:r w:rsidRPr="00AD0349">
              <w:rPr>
                <w:sz w:val="20"/>
                <w:szCs w:val="20"/>
              </w:rPr>
              <w:t>Level 2</w:t>
            </w:r>
          </w:p>
          <w:p w14:paraId="617C956A" w14:textId="77777777" w:rsidR="00F92093" w:rsidRPr="00AD0349" w:rsidRDefault="00F92093" w:rsidP="00AF0AC5">
            <w:pPr>
              <w:jc w:val="center"/>
              <w:rPr>
                <w:sz w:val="20"/>
                <w:szCs w:val="20"/>
              </w:rPr>
            </w:pPr>
            <w:r w:rsidRPr="00AD0349">
              <w:rPr>
                <w:sz w:val="20"/>
                <w:szCs w:val="20"/>
              </w:rPr>
              <w:t>July 17, 2009</w:t>
            </w:r>
          </w:p>
        </w:tc>
        <w:tc>
          <w:tcPr>
            <w:tcW w:w="1530" w:type="dxa"/>
          </w:tcPr>
          <w:p w14:paraId="037CDF39" w14:textId="77777777" w:rsidR="00F92093" w:rsidRPr="00AD0349" w:rsidRDefault="00F92093" w:rsidP="00AF0AC5">
            <w:pPr>
              <w:jc w:val="center"/>
              <w:rPr>
                <w:sz w:val="20"/>
                <w:szCs w:val="20"/>
              </w:rPr>
            </w:pPr>
            <w:r w:rsidRPr="00AD0349">
              <w:rPr>
                <w:sz w:val="20"/>
                <w:szCs w:val="20"/>
              </w:rPr>
              <w:t>No</w:t>
            </w:r>
          </w:p>
        </w:tc>
        <w:tc>
          <w:tcPr>
            <w:tcW w:w="1980" w:type="dxa"/>
          </w:tcPr>
          <w:p w14:paraId="688C4DC5" w14:textId="77777777" w:rsidR="00F92093" w:rsidRPr="0034692A" w:rsidRDefault="00F92093" w:rsidP="00AF0AC5">
            <w:pPr>
              <w:jc w:val="center"/>
              <w:rPr>
                <w:color w:val="FF0000"/>
                <w:sz w:val="20"/>
                <w:szCs w:val="20"/>
              </w:rPr>
            </w:pPr>
            <w:r w:rsidRPr="0034692A">
              <w:rPr>
                <w:color w:val="FF0000"/>
                <w:sz w:val="20"/>
                <w:szCs w:val="20"/>
              </w:rPr>
              <w:t>Yes</w:t>
            </w:r>
          </w:p>
          <w:p w14:paraId="69906404" w14:textId="77777777" w:rsidR="00F92093" w:rsidRPr="00AD0349" w:rsidRDefault="00F92093" w:rsidP="00AF0AC5">
            <w:pPr>
              <w:jc w:val="center"/>
              <w:rPr>
                <w:sz w:val="20"/>
                <w:szCs w:val="20"/>
              </w:rPr>
            </w:pPr>
            <w:r w:rsidRPr="00AD0349">
              <w:rPr>
                <w:sz w:val="20"/>
                <w:szCs w:val="20"/>
              </w:rPr>
              <w:t>Korean TF US$0.7m</w:t>
            </w:r>
          </w:p>
        </w:tc>
        <w:tc>
          <w:tcPr>
            <w:tcW w:w="1530" w:type="dxa"/>
          </w:tcPr>
          <w:p w14:paraId="6359EB68" w14:textId="77777777" w:rsidR="00F92093" w:rsidRPr="00AD0349" w:rsidRDefault="00F92093" w:rsidP="00AF0AC5">
            <w:pPr>
              <w:jc w:val="center"/>
              <w:rPr>
                <w:sz w:val="20"/>
                <w:szCs w:val="20"/>
              </w:rPr>
            </w:pPr>
            <w:r w:rsidRPr="00AD0349">
              <w:rPr>
                <w:sz w:val="20"/>
                <w:szCs w:val="20"/>
              </w:rPr>
              <w:t>No</w:t>
            </w:r>
          </w:p>
        </w:tc>
        <w:tc>
          <w:tcPr>
            <w:tcW w:w="3831" w:type="dxa"/>
          </w:tcPr>
          <w:p w14:paraId="0BA8DB96" w14:textId="77777777" w:rsidR="00F92093" w:rsidRPr="00AD0349" w:rsidRDefault="00F92093" w:rsidP="00AF0AC5">
            <w:pPr>
              <w:rPr>
                <w:sz w:val="20"/>
                <w:szCs w:val="20"/>
              </w:rPr>
            </w:pPr>
            <w:r w:rsidRPr="00AD0349">
              <w:rPr>
                <w:sz w:val="20"/>
                <w:szCs w:val="20"/>
              </w:rPr>
              <w:t>TA for project scale-up</w:t>
            </w:r>
          </w:p>
        </w:tc>
      </w:tr>
      <w:tr w:rsidR="00F92093" w:rsidRPr="00AD0349" w14:paraId="361C1D1D" w14:textId="77777777" w:rsidTr="00AF0AC5">
        <w:trPr>
          <w:trHeight w:val="468"/>
        </w:trPr>
        <w:tc>
          <w:tcPr>
            <w:tcW w:w="1710" w:type="dxa"/>
            <w:shd w:val="clear" w:color="auto" w:fill="EEECE1" w:themeFill="background2"/>
          </w:tcPr>
          <w:p w14:paraId="6720B9CC" w14:textId="77777777" w:rsidR="00F92093" w:rsidRPr="00AD0349" w:rsidRDefault="00F92093" w:rsidP="00AF0AC5">
            <w:pPr>
              <w:jc w:val="center"/>
              <w:rPr>
                <w:sz w:val="20"/>
                <w:szCs w:val="20"/>
              </w:rPr>
            </w:pPr>
            <w:r w:rsidRPr="00AD0349">
              <w:rPr>
                <w:sz w:val="20"/>
                <w:szCs w:val="20"/>
              </w:rPr>
              <w:t>Level 1</w:t>
            </w:r>
          </w:p>
          <w:p w14:paraId="6D84AFC8" w14:textId="77777777" w:rsidR="00F92093" w:rsidRPr="00AD0349" w:rsidRDefault="00F92093" w:rsidP="00AF0AC5">
            <w:pPr>
              <w:jc w:val="center"/>
              <w:rPr>
                <w:sz w:val="20"/>
                <w:szCs w:val="20"/>
              </w:rPr>
            </w:pPr>
            <w:r w:rsidRPr="00AD0349">
              <w:rPr>
                <w:sz w:val="20"/>
                <w:szCs w:val="20"/>
              </w:rPr>
              <w:t>February 24, 2010</w:t>
            </w:r>
          </w:p>
        </w:tc>
        <w:tc>
          <w:tcPr>
            <w:tcW w:w="1530" w:type="dxa"/>
            <w:shd w:val="clear" w:color="auto" w:fill="EEECE1" w:themeFill="background2"/>
          </w:tcPr>
          <w:p w14:paraId="16588258" w14:textId="77777777" w:rsidR="00F92093" w:rsidRPr="00AD0349" w:rsidRDefault="00F92093" w:rsidP="00AF0AC5">
            <w:pPr>
              <w:jc w:val="center"/>
              <w:rPr>
                <w:sz w:val="20"/>
                <w:szCs w:val="20"/>
              </w:rPr>
            </w:pPr>
            <w:r w:rsidRPr="00AD0349">
              <w:rPr>
                <w:sz w:val="20"/>
                <w:szCs w:val="20"/>
              </w:rPr>
              <w:t>Yes (see section 1.2 to 1.6)</w:t>
            </w:r>
          </w:p>
        </w:tc>
        <w:tc>
          <w:tcPr>
            <w:tcW w:w="1980" w:type="dxa"/>
            <w:shd w:val="clear" w:color="auto" w:fill="EEECE1" w:themeFill="background2"/>
          </w:tcPr>
          <w:p w14:paraId="5C8D3904" w14:textId="77777777" w:rsidR="00F92093" w:rsidRPr="00AD0349" w:rsidRDefault="00F92093" w:rsidP="00AF0AC5">
            <w:pPr>
              <w:jc w:val="center"/>
              <w:rPr>
                <w:sz w:val="20"/>
                <w:szCs w:val="20"/>
              </w:rPr>
            </w:pPr>
            <w:r w:rsidRPr="00AD0349">
              <w:rPr>
                <w:sz w:val="20"/>
                <w:szCs w:val="20"/>
              </w:rPr>
              <w:t>Yes</w:t>
            </w:r>
          </w:p>
          <w:p w14:paraId="30D1407F" w14:textId="77777777" w:rsidR="00F92093" w:rsidRPr="00AD0349" w:rsidRDefault="00F92093" w:rsidP="00AF0AC5">
            <w:pPr>
              <w:jc w:val="center"/>
              <w:rPr>
                <w:sz w:val="20"/>
                <w:szCs w:val="20"/>
              </w:rPr>
            </w:pPr>
            <w:r w:rsidRPr="00AD0349">
              <w:rPr>
                <w:sz w:val="20"/>
                <w:szCs w:val="20"/>
              </w:rPr>
              <w:t>IDA US$10m</w:t>
            </w:r>
          </w:p>
        </w:tc>
        <w:tc>
          <w:tcPr>
            <w:tcW w:w="1530" w:type="dxa"/>
            <w:shd w:val="clear" w:color="auto" w:fill="EEECE1" w:themeFill="background2"/>
          </w:tcPr>
          <w:p w14:paraId="66A40D25" w14:textId="77777777" w:rsidR="00F92093" w:rsidRPr="0034692A" w:rsidRDefault="00F92093" w:rsidP="00AF0AC5">
            <w:pPr>
              <w:jc w:val="center"/>
              <w:rPr>
                <w:color w:val="FF0000"/>
                <w:sz w:val="20"/>
                <w:szCs w:val="20"/>
              </w:rPr>
            </w:pPr>
            <w:r w:rsidRPr="0034692A">
              <w:rPr>
                <w:color w:val="FF0000"/>
                <w:sz w:val="20"/>
                <w:szCs w:val="20"/>
              </w:rPr>
              <w:t>Yes</w:t>
            </w:r>
          </w:p>
          <w:p w14:paraId="3E992972" w14:textId="77777777" w:rsidR="00F92093" w:rsidRPr="00AD0349" w:rsidRDefault="00F92093" w:rsidP="00AF0AC5">
            <w:pPr>
              <w:jc w:val="center"/>
              <w:rPr>
                <w:sz w:val="20"/>
                <w:szCs w:val="20"/>
              </w:rPr>
            </w:pPr>
            <w:r w:rsidRPr="00AD0349">
              <w:rPr>
                <w:sz w:val="20"/>
                <w:szCs w:val="20"/>
              </w:rPr>
              <w:t>March 31, 2014</w:t>
            </w:r>
          </w:p>
        </w:tc>
        <w:tc>
          <w:tcPr>
            <w:tcW w:w="3831" w:type="dxa"/>
            <w:shd w:val="clear" w:color="auto" w:fill="EEECE1" w:themeFill="background2"/>
          </w:tcPr>
          <w:p w14:paraId="14D7CE90" w14:textId="77777777" w:rsidR="00F92093" w:rsidRPr="00AD0349" w:rsidRDefault="00F92093" w:rsidP="00AF0AC5">
            <w:pPr>
              <w:rPr>
                <w:sz w:val="20"/>
                <w:szCs w:val="20"/>
              </w:rPr>
            </w:pPr>
            <w:r>
              <w:rPr>
                <w:sz w:val="20"/>
                <w:szCs w:val="20"/>
              </w:rPr>
              <w:t>Upscale to whole country - See components description (section 1.5 and 1.6)</w:t>
            </w:r>
          </w:p>
        </w:tc>
      </w:tr>
      <w:tr w:rsidR="00F92093" w:rsidRPr="00AD0349" w14:paraId="2548F03C" w14:textId="77777777" w:rsidTr="00AF0AC5">
        <w:trPr>
          <w:trHeight w:val="1268"/>
        </w:trPr>
        <w:tc>
          <w:tcPr>
            <w:tcW w:w="1710" w:type="dxa"/>
          </w:tcPr>
          <w:p w14:paraId="6F95C137" w14:textId="77777777" w:rsidR="00F92093" w:rsidRPr="00AD0349" w:rsidRDefault="00F92093" w:rsidP="00AF0AC5">
            <w:pPr>
              <w:jc w:val="center"/>
              <w:rPr>
                <w:sz w:val="20"/>
                <w:szCs w:val="20"/>
              </w:rPr>
            </w:pPr>
            <w:r w:rsidRPr="00AD0349">
              <w:rPr>
                <w:sz w:val="20"/>
                <w:szCs w:val="20"/>
              </w:rPr>
              <w:t>Level 2</w:t>
            </w:r>
          </w:p>
          <w:p w14:paraId="5F225975" w14:textId="77777777" w:rsidR="00F92093" w:rsidRPr="00AD0349" w:rsidRDefault="00F92093" w:rsidP="00AF0AC5">
            <w:pPr>
              <w:jc w:val="center"/>
              <w:rPr>
                <w:sz w:val="20"/>
                <w:szCs w:val="20"/>
              </w:rPr>
            </w:pPr>
            <w:r w:rsidRPr="00AD0349">
              <w:rPr>
                <w:sz w:val="20"/>
                <w:szCs w:val="20"/>
              </w:rPr>
              <w:t>March 30, 2012</w:t>
            </w:r>
          </w:p>
        </w:tc>
        <w:tc>
          <w:tcPr>
            <w:tcW w:w="1530" w:type="dxa"/>
          </w:tcPr>
          <w:p w14:paraId="43CECEB8" w14:textId="77777777" w:rsidR="00F92093" w:rsidRPr="00AD0349" w:rsidRDefault="00F92093" w:rsidP="00AF0AC5">
            <w:pPr>
              <w:jc w:val="center"/>
              <w:rPr>
                <w:sz w:val="20"/>
                <w:szCs w:val="20"/>
              </w:rPr>
            </w:pPr>
            <w:r w:rsidRPr="00AD0349">
              <w:rPr>
                <w:sz w:val="20"/>
                <w:szCs w:val="20"/>
              </w:rPr>
              <w:t>No</w:t>
            </w:r>
          </w:p>
        </w:tc>
        <w:tc>
          <w:tcPr>
            <w:tcW w:w="1980" w:type="dxa"/>
          </w:tcPr>
          <w:p w14:paraId="6FDD544A" w14:textId="77777777" w:rsidR="00F92093" w:rsidRPr="0034692A" w:rsidRDefault="00F92093" w:rsidP="00AF0AC5">
            <w:pPr>
              <w:jc w:val="center"/>
              <w:rPr>
                <w:color w:val="FF0000"/>
                <w:sz w:val="20"/>
                <w:szCs w:val="20"/>
              </w:rPr>
            </w:pPr>
            <w:r w:rsidRPr="0034692A">
              <w:rPr>
                <w:color w:val="FF0000"/>
                <w:sz w:val="20"/>
                <w:szCs w:val="20"/>
              </w:rPr>
              <w:t>Yes</w:t>
            </w:r>
          </w:p>
          <w:p w14:paraId="18F786DB" w14:textId="77777777" w:rsidR="00F92093" w:rsidRPr="00AD0349" w:rsidRDefault="00F92093" w:rsidP="00AF0AC5">
            <w:pPr>
              <w:jc w:val="center"/>
              <w:rPr>
                <w:sz w:val="20"/>
                <w:szCs w:val="20"/>
              </w:rPr>
            </w:pPr>
            <w:r w:rsidRPr="00AD0349">
              <w:rPr>
                <w:sz w:val="20"/>
                <w:szCs w:val="20"/>
              </w:rPr>
              <w:t>SDC US$1.45m</w:t>
            </w:r>
          </w:p>
        </w:tc>
        <w:tc>
          <w:tcPr>
            <w:tcW w:w="1530" w:type="dxa"/>
          </w:tcPr>
          <w:p w14:paraId="6AFD4FA8" w14:textId="77777777" w:rsidR="00F92093" w:rsidRPr="00AD0349" w:rsidRDefault="00F92093" w:rsidP="00AF0AC5">
            <w:pPr>
              <w:jc w:val="center"/>
              <w:rPr>
                <w:sz w:val="20"/>
                <w:szCs w:val="20"/>
              </w:rPr>
            </w:pPr>
            <w:r w:rsidRPr="00AD0349">
              <w:rPr>
                <w:sz w:val="20"/>
                <w:szCs w:val="20"/>
              </w:rPr>
              <w:t>No</w:t>
            </w:r>
          </w:p>
        </w:tc>
        <w:tc>
          <w:tcPr>
            <w:tcW w:w="3831" w:type="dxa"/>
          </w:tcPr>
          <w:p w14:paraId="12E5C08B" w14:textId="77777777" w:rsidR="00F92093" w:rsidRPr="00AD0349" w:rsidRDefault="00F92093" w:rsidP="00AF0AC5">
            <w:pPr>
              <w:rPr>
                <w:sz w:val="20"/>
                <w:szCs w:val="20"/>
              </w:rPr>
            </w:pPr>
            <w:r w:rsidRPr="00AD0349">
              <w:rPr>
                <w:sz w:val="20"/>
                <w:szCs w:val="20"/>
              </w:rPr>
              <w:t>Added analytical activities including Impact Assessment</w:t>
            </w:r>
          </w:p>
          <w:p w14:paraId="1318462D" w14:textId="77777777" w:rsidR="00F92093" w:rsidRPr="00AD0349" w:rsidRDefault="00F92093" w:rsidP="00AF0AC5">
            <w:pPr>
              <w:rPr>
                <w:sz w:val="20"/>
                <w:szCs w:val="20"/>
              </w:rPr>
            </w:pPr>
            <w:r w:rsidRPr="00AD0349">
              <w:rPr>
                <w:sz w:val="20"/>
                <w:szCs w:val="20"/>
              </w:rPr>
              <w:t>New expenditure category to allow IDA Credit to pay for GoM reinsurance premium on the market</w:t>
            </w:r>
          </w:p>
        </w:tc>
      </w:tr>
      <w:tr w:rsidR="00F92093" w:rsidRPr="00AD0349" w14:paraId="128D25DA" w14:textId="77777777" w:rsidTr="00AF0AC5">
        <w:trPr>
          <w:trHeight w:val="1430"/>
        </w:trPr>
        <w:tc>
          <w:tcPr>
            <w:tcW w:w="1710" w:type="dxa"/>
          </w:tcPr>
          <w:p w14:paraId="7A34F700" w14:textId="77777777" w:rsidR="00F92093" w:rsidRPr="00AD0349" w:rsidRDefault="00F92093" w:rsidP="00AF0AC5">
            <w:pPr>
              <w:jc w:val="center"/>
              <w:rPr>
                <w:sz w:val="20"/>
                <w:szCs w:val="20"/>
              </w:rPr>
            </w:pPr>
            <w:r w:rsidRPr="00AD0349">
              <w:rPr>
                <w:sz w:val="20"/>
                <w:szCs w:val="20"/>
              </w:rPr>
              <w:t>Level 2</w:t>
            </w:r>
          </w:p>
          <w:p w14:paraId="5CF4A698" w14:textId="77777777" w:rsidR="00F92093" w:rsidRPr="00AD0349" w:rsidRDefault="00F92093" w:rsidP="00AF0AC5">
            <w:pPr>
              <w:jc w:val="center"/>
              <w:rPr>
                <w:sz w:val="20"/>
                <w:szCs w:val="20"/>
              </w:rPr>
            </w:pPr>
            <w:r w:rsidRPr="00AD0349">
              <w:rPr>
                <w:sz w:val="20"/>
                <w:szCs w:val="20"/>
              </w:rPr>
              <w:t>August 29, 2013</w:t>
            </w:r>
          </w:p>
        </w:tc>
        <w:tc>
          <w:tcPr>
            <w:tcW w:w="1530" w:type="dxa"/>
          </w:tcPr>
          <w:p w14:paraId="30A80F21" w14:textId="77777777" w:rsidR="00F92093" w:rsidRPr="00AD0349" w:rsidRDefault="00F92093" w:rsidP="00AF0AC5">
            <w:pPr>
              <w:jc w:val="center"/>
              <w:rPr>
                <w:sz w:val="20"/>
                <w:szCs w:val="20"/>
              </w:rPr>
            </w:pPr>
            <w:r w:rsidRPr="00AD0349">
              <w:rPr>
                <w:sz w:val="20"/>
                <w:szCs w:val="20"/>
              </w:rPr>
              <w:t>No</w:t>
            </w:r>
          </w:p>
        </w:tc>
        <w:tc>
          <w:tcPr>
            <w:tcW w:w="1980" w:type="dxa"/>
          </w:tcPr>
          <w:p w14:paraId="3A592CC5" w14:textId="77777777" w:rsidR="00F92093" w:rsidRPr="00AD0349" w:rsidRDefault="00F92093" w:rsidP="00AF0AC5">
            <w:pPr>
              <w:jc w:val="center"/>
              <w:rPr>
                <w:sz w:val="20"/>
                <w:szCs w:val="20"/>
              </w:rPr>
            </w:pPr>
            <w:r w:rsidRPr="00AD0349">
              <w:rPr>
                <w:sz w:val="20"/>
                <w:szCs w:val="20"/>
              </w:rPr>
              <w:t>No</w:t>
            </w:r>
          </w:p>
        </w:tc>
        <w:tc>
          <w:tcPr>
            <w:tcW w:w="1530" w:type="dxa"/>
          </w:tcPr>
          <w:p w14:paraId="0A175BDC" w14:textId="77777777" w:rsidR="00F92093" w:rsidRPr="0034692A" w:rsidRDefault="00F92093" w:rsidP="00AF0AC5">
            <w:pPr>
              <w:jc w:val="center"/>
              <w:rPr>
                <w:color w:val="FF0000"/>
                <w:sz w:val="20"/>
                <w:szCs w:val="20"/>
              </w:rPr>
            </w:pPr>
            <w:r w:rsidRPr="0034692A">
              <w:rPr>
                <w:color w:val="FF0000"/>
                <w:sz w:val="20"/>
                <w:szCs w:val="20"/>
              </w:rPr>
              <w:t>Yes</w:t>
            </w:r>
          </w:p>
          <w:p w14:paraId="3D2BB5AD" w14:textId="77777777" w:rsidR="00F92093" w:rsidRPr="00AD0349" w:rsidRDefault="00F92093" w:rsidP="00AF0AC5">
            <w:pPr>
              <w:jc w:val="center"/>
              <w:rPr>
                <w:sz w:val="20"/>
                <w:szCs w:val="20"/>
              </w:rPr>
            </w:pPr>
            <w:r w:rsidRPr="00AD0349">
              <w:rPr>
                <w:sz w:val="20"/>
                <w:szCs w:val="20"/>
              </w:rPr>
              <w:t>March 31, 2016</w:t>
            </w:r>
          </w:p>
        </w:tc>
        <w:tc>
          <w:tcPr>
            <w:tcW w:w="3831" w:type="dxa"/>
          </w:tcPr>
          <w:p w14:paraId="50E594E0" w14:textId="77777777" w:rsidR="00F92093" w:rsidRPr="00AD0349" w:rsidRDefault="00F92093" w:rsidP="00AF0AC5">
            <w:pPr>
              <w:rPr>
                <w:sz w:val="20"/>
                <w:szCs w:val="20"/>
              </w:rPr>
            </w:pPr>
            <w:r w:rsidRPr="00AD0349">
              <w:rPr>
                <w:sz w:val="20"/>
                <w:szCs w:val="20"/>
              </w:rPr>
              <w:t>DCA amended to allow: (i) establish equalization reserve, (ii) indemnity payments to be done by insurers rather than PIU, and (iii) master policies to be developed between insurers and financial institutions.</w:t>
            </w:r>
          </w:p>
        </w:tc>
      </w:tr>
    </w:tbl>
    <w:p w14:paraId="4BF1D2D1" w14:textId="77777777" w:rsidR="00F92093" w:rsidRDefault="00F92093" w:rsidP="00F92093"/>
    <w:p w14:paraId="55939C7D" w14:textId="77777777" w:rsidR="00C67D43" w:rsidRDefault="00C67D43">
      <w:pPr>
        <w:pStyle w:val="Heading2"/>
      </w:pPr>
      <w:bookmarkStart w:id="108" w:name="_Toc456784525"/>
      <w:r>
        <w:t>2. Key Factors Affecting Implementation and Outcomes</w:t>
      </w:r>
      <w:bookmarkEnd w:id="106"/>
      <w:bookmarkEnd w:id="107"/>
      <w:bookmarkEnd w:id="108"/>
      <w:r>
        <w:t xml:space="preserve"> </w:t>
      </w:r>
    </w:p>
    <w:p w14:paraId="360F56CB" w14:textId="3DCAD6F3" w:rsidR="00C67D43" w:rsidRPr="005A4EF0" w:rsidRDefault="00C67D43" w:rsidP="005A4EF0">
      <w:pPr>
        <w:pStyle w:val="Heading3"/>
        <w:spacing w:after="240"/>
        <w:rPr>
          <w:sz w:val="24"/>
          <w:szCs w:val="24"/>
        </w:rPr>
      </w:pPr>
      <w:bookmarkStart w:id="109" w:name="_Toc456784526"/>
      <w:r w:rsidRPr="005A4EF0">
        <w:rPr>
          <w:sz w:val="24"/>
          <w:szCs w:val="24"/>
        </w:rPr>
        <w:t>2.1 Project Preparat</w:t>
      </w:r>
      <w:r w:rsidR="008424D7" w:rsidRPr="005A4EF0">
        <w:rPr>
          <w:sz w:val="24"/>
          <w:szCs w:val="24"/>
        </w:rPr>
        <w:t>ion, Design and Quality at Entry</w:t>
      </w:r>
      <w:bookmarkEnd w:id="109"/>
      <w:r w:rsidRPr="005A4EF0">
        <w:rPr>
          <w:sz w:val="24"/>
          <w:szCs w:val="24"/>
        </w:rPr>
        <w:t xml:space="preserve"> </w:t>
      </w:r>
    </w:p>
    <w:p w14:paraId="721EF6AD" w14:textId="77777777" w:rsidR="00F92093" w:rsidRPr="005A6A8F" w:rsidRDefault="00F92093" w:rsidP="005A4EF0">
      <w:pPr>
        <w:numPr>
          <w:ilvl w:val="0"/>
          <w:numId w:val="2"/>
        </w:numPr>
        <w:tabs>
          <w:tab w:val="num" w:pos="0"/>
        </w:tabs>
        <w:autoSpaceDE w:val="0"/>
        <w:autoSpaceDN w:val="0"/>
        <w:adjustRightInd w:val="0"/>
        <w:spacing w:after="240"/>
        <w:ind w:left="0" w:firstLine="0"/>
      </w:pPr>
      <w:bookmarkStart w:id="110" w:name="SEC71"/>
      <w:bookmarkEnd w:id="110"/>
      <w:r w:rsidRPr="00AC2A80">
        <w:rPr>
          <w:i/>
        </w:rPr>
        <w:t>Part of broader livestock risk management strategy.</w:t>
      </w:r>
      <w:r w:rsidRPr="005A6A8F">
        <w:t xml:space="preserve"> The project represented one component of the broad livestock risk management strategy of the GoM. It focused on the financial vulnerability of herders to </w:t>
      </w:r>
      <w:r w:rsidRPr="005A6A8F">
        <w:rPr>
          <w:i/>
        </w:rPr>
        <w:t xml:space="preserve">dzud </w:t>
      </w:r>
      <w:r w:rsidRPr="005A6A8F">
        <w:t>events, where other projects, such as the SLP, and the Livestock and Agricultural Marketing Project (LAMP), focused more on risk reduction and value chain enhancement activities. This meant that the project was designed in a framework that was mutually reinforcing, and not in isolation.</w:t>
      </w:r>
    </w:p>
    <w:p w14:paraId="28EA31BA" w14:textId="77777777" w:rsidR="00F92093" w:rsidRPr="005A6A8F" w:rsidRDefault="00F92093" w:rsidP="005A4EF0">
      <w:pPr>
        <w:numPr>
          <w:ilvl w:val="0"/>
          <w:numId w:val="2"/>
        </w:numPr>
        <w:tabs>
          <w:tab w:val="num" w:pos="0"/>
        </w:tabs>
        <w:autoSpaceDE w:val="0"/>
        <w:autoSpaceDN w:val="0"/>
        <w:adjustRightInd w:val="0"/>
        <w:spacing w:after="240"/>
        <w:ind w:left="0" w:firstLine="0"/>
      </w:pPr>
      <w:r w:rsidRPr="00AC2A80">
        <w:rPr>
          <w:i/>
        </w:rPr>
        <w:t>High quality data on livestock mortality.</w:t>
      </w:r>
      <w:r w:rsidRPr="005A6A8F">
        <w:rPr>
          <w:b/>
        </w:rPr>
        <w:t xml:space="preserve"> </w:t>
      </w:r>
      <w:r w:rsidRPr="005A6A8F">
        <w:t xml:space="preserve">Unlike many of its developing country peers, Mongolia had an extensive data set on livestock mortality with over thirty years of historical values.  With no taxes on head of livestock, there are no incentives to underreport, and hence the livestock databases are of relatively high quality. Having high quality data is critical for insurance, as actuaries need it to calculate premiums and capital. This database readily available enabled the early attraction of private sector insurers, which was a key design feature. </w:t>
      </w:r>
    </w:p>
    <w:p w14:paraId="3B826F2F" w14:textId="50F3C445" w:rsidR="00F92093" w:rsidRPr="005A6A8F" w:rsidRDefault="00F92093" w:rsidP="005A4EF0">
      <w:pPr>
        <w:numPr>
          <w:ilvl w:val="0"/>
          <w:numId w:val="2"/>
        </w:numPr>
        <w:tabs>
          <w:tab w:val="num" w:pos="0"/>
        </w:tabs>
        <w:autoSpaceDE w:val="0"/>
        <w:autoSpaceDN w:val="0"/>
        <w:adjustRightInd w:val="0"/>
        <w:spacing w:after="240"/>
        <w:ind w:left="0" w:firstLine="0"/>
      </w:pPr>
      <w:bookmarkStart w:id="111" w:name="_Ref457830419"/>
      <w:r w:rsidRPr="00AC2A80">
        <w:t>Other factors that led to the success of the project, and Mongolia to become an</w:t>
      </w:r>
      <w:r w:rsidRPr="005A6A8F">
        <w:t xml:space="preserve"> international leader </w:t>
      </w:r>
      <w:r w:rsidR="002C70DD">
        <w:t xml:space="preserve">and innovator </w:t>
      </w:r>
      <w:r w:rsidRPr="005A6A8F">
        <w:t>in the area of index based livestock insurance (IBLI)</w:t>
      </w:r>
      <w:r w:rsidR="002C70DD">
        <w:t>,</w:t>
      </w:r>
      <w:r w:rsidRPr="005A6A8F">
        <w:t xml:space="preserve"> were gained from: (i) Mongolia’s experience in</w:t>
      </w:r>
      <w:r>
        <w:t xml:space="preserve"> (a) failing to introduce </w:t>
      </w:r>
      <w:r w:rsidR="002C70DD">
        <w:t xml:space="preserve">standard </w:t>
      </w:r>
      <w:r>
        <w:t>livestock insurance products, and (b)</w:t>
      </w:r>
      <w:r w:rsidRPr="005A6A8F">
        <w:t xml:space="preserve"> responding to </w:t>
      </w:r>
      <w:r w:rsidRPr="005A6A8F">
        <w:rPr>
          <w:i/>
        </w:rPr>
        <w:t>dzuds</w:t>
      </w:r>
      <w:r w:rsidR="002C70DD">
        <w:t xml:space="preserve"> </w:t>
      </w:r>
      <w:r w:rsidRPr="005A6A8F">
        <w:t>before the project</w:t>
      </w:r>
      <w:r w:rsidR="002C70DD">
        <w:t xml:space="preserve"> (paragraph </w:t>
      </w:r>
      <w:r w:rsidR="002C70DD">
        <w:fldChar w:fldCharType="begin"/>
      </w:r>
      <w:r w:rsidR="002C70DD">
        <w:instrText xml:space="preserve"> REF _Ref456785792 \r \h </w:instrText>
      </w:r>
      <w:r w:rsidR="002C70DD">
        <w:fldChar w:fldCharType="separate"/>
      </w:r>
      <w:r w:rsidR="00D41562">
        <w:t>3</w:t>
      </w:r>
      <w:r w:rsidR="002C70DD">
        <w:fldChar w:fldCharType="end"/>
      </w:r>
      <w:r w:rsidR="002C70DD">
        <w:t>)</w:t>
      </w:r>
      <w:r w:rsidRPr="005A6A8F">
        <w:t>; (ii) a robust country-led program with strong government commitment</w:t>
      </w:r>
      <w:r>
        <w:t xml:space="preserve"> and WB senior management’s support despite the high risk and innovative nature of the concept</w:t>
      </w:r>
      <w:r w:rsidRPr="005A6A8F">
        <w:t>; (iii) coordinated engagement of all partners</w:t>
      </w:r>
      <w:r>
        <w:t>, inside the Bank with a cross-sectoral team mobilized bringing deep expertise in the areas of index insurance and livestock, and outside with support from several partners</w:t>
      </w:r>
      <w:r w:rsidRPr="005A6A8F">
        <w:t>; (iv) emphasis on good communications</w:t>
      </w:r>
      <w:r>
        <w:t xml:space="preserve"> and</w:t>
      </w:r>
      <w:r w:rsidRPr="00B01FF8">
        <w:t xml:space="preserve"> </w:t>
      </w:r>
      <w:r w:rsidRPr="005A6A8F">
        <w:t>strong co-ordination between MoF, the Ministry of Agriculture, the Ministry of Justice and the FRC</w:t>
      </w:r>
      <w:r>
        <w:t xml:space="preserve"> to ensure a consistent messaging and buy-in from stakeholders</w:t>
      </w:r>
      <w:r w:rsidRPr="005A6A8F">
        <w:t xml:space="preserve">; </w:t>
      </w:r>
      <w:r>
        <w:t>and</w:t>
      </w:r>
      <w:r w:rsidRPr="005A6A8F">
        <w:t xml:space="preserve"> (vii) the constitutional grounds for government to support the livestock sector.</w:t>
      </w:r>
      <w:bookmarkEnd w:id="111"/>
    </w:p>
    <w:p w14:paraId="15F023E9" w14:textId="338717E0" w:rsidR="00F92093" w:rsidRPr="005A6A8F" w:rsidRDefault="00F92093" w:rsidP="005A4EF0">
      <w:pPr>
        <w:numPr>
          <w:ilvl w:val="0"/>
          <w:numId w:val="2"/>
        </w:numPr>
        <w:tabs>
          <w:tab w:val="num" w:pos="0"/>
        </w:tabs>
        <w:autoSpaceDE w:val="0"/>
        <w:autoSpaceDN w:val="0"/>
        <w:adjustRightInd w:val="0"/>
        <w:spacing w:after="240"/>
        <w:ind w:left="0" w:firstLine="0"/>
      </w:pPr>
      <w:r w:rsidRPr="00AC2A80">
        <w:rPr>
          <w:i/>
        </w:rPr>
        <w:t>Project design.</w:t>
      </w:r>
      <w:r w:rsidRPr="005A6A8F">
        <w:rPr>
          <w:b/>
        </w:rPr>
        <w:t xml:space="preserve"> </w:t>
      </w:r>
      <w:r w:rsidRPr="005A6A8F">
        <w:t xml:space="preserve">IBLI was a new and innovative concept, so the project built on international best practice when developing large scale insurance programs, and amended such practice to Mongolian context. WB provided substantial technical support in the design of the program. This drew </w:t>
      </w:r>
      <w:r w:rsidR="002C70DD" w:rsidRPr="005A6A8F">
        <w:t xml:space="preserve">lessons </w:t>
      </w:r>
      <w:r w:rsidRPr="005A6A8F">
        <w:t>from international best practice in USA, Mexico and India where large scale programs have been established from crop. A public private partnership approach was adopted, based on the experience that all successful large scale insurance programs have active involvement from the public and private sector. In the initial phases, the project was rolled out on a pilot basis</w:t>
      </w:r>
      <w:r w:rsidR="002C70DD">
        <w:t xml:space="preserve"> with t</w:t>
      </w:r>
      <w:r w:rsidRPr="005A6A8F">
        <w:t xml:space="preserve">he objective </w:t>
      </w:r>
      <w:r w:rsidR="002C70DD">
        <w:t xml:space="preserve">of giving </w:t>
      </w:r>
      <w:r w:rsidRPr="005A6A8F">
        <w:t>confidence to the private s</w:t>
      </w:r>
      <w:r w:rsidR="002C70DD">
        <w:t>ector and</w:t>
      </w:r>
      <w:r w:rsidRPr="005A6A8F">
        <w:t xml:space="preserve"> incentivize future engagement</w:t>
      </w:r>
      <w:r w:rsidR="002C70DD">
        <w:t>,</w:t>
      </w:r>
      <w:r w:rsidRPr="005A6A8F">
        <w:t xml:space="preserve"> </w:t>
      </w:r>
      <w:r>
        <w:t xml:space="preserve">while consulting it on key </w:t>
      </w:r>
      <w:r w:rsidR="002C70DD">
        <w:t xml:space="preserve">IBLI </w:t>
      </w:r>
      <w:r>
        <w:t>features</w:t>
      </w:r>
      <w:r w:rsidRPr="005A6A8F">
        <w:t>. As the FRC didn’t exist during project design, and IBLI was an innovative product, initially a separate license was required by agents who wished to sell IBLI. This gave the PIU more control over the training of the agents, and enabl</w:t>
      </w:r>
      <w:r w:rsidR="002C70DD">
        <w:t xml:space="preserve">ing </w:t>
      </w:r>
      <w:r w:rsidRPr="005A6A8F">
        <w:t xml:space="preserve">high capacity at the agent level, which is critical as they are the people who interface </w:t>
      </w:r>
      <w:r w:rsidRPr="005A6A8F">
        <w:lastRenderedPageBreak/>
        <w:t>with the herders. The design of the project, given its innovative nature, was awarded the Golden Plough award from the WB.</w:t>
      </w:r>
      <w:r w:rsidRPr="005A6A8F">
        <w:rPr>
          <w:vertAlign w:val="superscript"/>
        </w:rPr>
        <w:footnoteReference w:id="3"/>
      </w:r>
    </w:p>
    <w:p w14:paraId="389E6036" w14:textId="2F7A85C4" w:rsidR="00F92093" w:rsidRPr="005A6A8F" w:rsidRDefault="00F92093" w:rsidP="005A4EF0">
      <w:pPr>
        <w:numPr>
          <w:ilvl w:val="0"/>
          <w:numId w:val="2"/>
        </w:numPr>
        <w:tabs>
          <w:tab w:val="num" w:pos="0"/>
        </w:tabs>
        <w:autoSpaceDE w:val="0"/>
        <w:autoSpaceDN w:val="0"/>
        <w:adjustRightInd w:val="0"/>
        <w:spacing w:after="240"/>
        <w:ind w:left="0" w:firstLine="0"/>
      </w:pPr>
      <w:r w:rsidRPr="00AC2A80">
        <w:t>The DCA was prescriptive in the design.</w:t>
      </w:r>
      <w:r w:rsidRPr="005A6A8F">
        <w:rPr>
          <w:b/>
        </w:rPr>
        <w:t xml:space="preserve"> </w:t>
      </w:r>
      <w:r>
        <w:t>T</w:t>
      </w:r>
      <w:r w:rsidRPr="005A6A8F">
        <w:t>he project preparation team realized there</w:t>
      </w:r>
      <w:r w:rsidRPr="005A6A8F">
        <w:rPr>
          <w:b/>
        </w:rPr>
        <w:t xml:space="preserve"> </w:t>
      </w:r>
      <w:r w:rsidRPr="005A6A8F">
        <w:t>was a strong rational for having the DCA much more descriptive, and so they adopted a difficult but necessary path of writing the agreement in more detail. The reasons for this were: (i) the WB designed and deployed an innovative CDF to provide reinsurance protection to the government, and wanted to ensure the disbursement conditions of the</w:t>
      </w:r>
      <w:r w:rsidR="002C70DD">
        <w:t xml:space="preserve"> CDF would be linked to herders</w:t>
      </w:r>
      <w:r w:rsidRPr="005A6A8F">
        <w:t xml:space="preserve">; (ii) the insurance industry was in its infancy, so conditions were clearly documented on premium collection and claims payment to ensure confidence could be built in the project </w:t>
      </w:r>
      <w:r w:rsidR="002C70DD">
        <w:t xml:space="preserve">with </w:t>
      </w:r>
      <w:r w:rsidRPr="005A6A8F">
        <w:t>proper audit trails and grievance mechanisms, and; (iii) there was minimum legislation and regulation in place, thus the higher need to be prescriptive in the documents. The down side of a prescriptive DCA is that if any changes were necessary as the project evolved during implementation, a restructuring would be required (of which there were several).</w:t>
      </w:r>
    </w:p>
    <w:p w14:paraId="2EDDC4CB" w14:textId="06133BE7" w:rsidR="00F92093" w:rsidRPr="005A6A8F" w:rsidRDefault="00F92093" w:rsidP="005A4EF0">
      <w:pPr>
        <w:numPr>
          <w:ilvl w:val="0"/>
          <w:numId w:val="2"/>
        </w:numPr>
        <w:tabs>
          <w:tab w:val="num" w:pos="0"/>
        </w:tabs>
        <w:autoSpaceDE w:val="0"/>
        <w:autoSpaceDN w:val="0"/>
        <w:adjustRightInd w:val="0"/>
        <w:spacing w:after="240"/>
        <w:ind w:left="0" w:firstLine="0"/>
      </w:pPr>
      <w:r w:rsidRPr="005A6A8F">
        <w:rPr>
          <w:b/>
        </w:rPr>
        <w:t>Appropriate project components</w:t>
      </w:r>
      <w:r w:rsidRPr="005A6A8F">
        <w:t xml:space="preserve">. The project was designed with five key components, which were mutually </w:t>
      </w:r>
      <w:r w:rsidR="002C70DD">
        <w:t>reinforcing</w:t>
      </w:r>
      <w:r w:rsidRPr="005A6A8F">
        <w:t xml:space="preserve">.  Looking at each in turn: </w:t>
      </w:r>
    </w:p>
    <w:p w14:paraId="0CD37D09" w14:textId="6D823FA8" w:rsidR="00F92093" w:rsidRPr="005A6A8F" w:rsidRDefault="00F92093" w:rsidP="00F92093">
      <w:pPr>
        <w:numPr>
          <w:ilvl w:val="0"/>
          <w:numId w:val="19"/>
        </w:numPr>
        <w:ind w:left="360"/>
        <w:contextualSpacing/>
        <w:rPr>
          <w:b/>
          <w:i/>
        </w:rPr>
      </w:pPr>
      <w:r w:rsidRPr="005A6A8F">
        <w:rPr>
          <w:b/>
          <w:i/>
        </w:rPr>
        <w:t xml:space="preserve">Pilot IBLIP: </w:t>
      </w:r>
      <w:r w:rsidRPr="005A6A8F">
        <w:t>this component focused on developing a strong value proposition, to herders to encourage them to purchase IBLI products and to the private sector to encourage them to engage with and sell IBLI. It supported the development of actuarially fair pricing for risk to ensure sustainability in the long term; a sound insurance risk management practice through using the CDF to finance the costs of extreme risks; the establishment of a risk pool which was used to share risk and encourage private sector to join; recognizing that affordability will be a challenge for some herders and so included the DRP as a more affordable option</w:t>
      </w:r>
      <w:r w:rsidR="008D541C">
        <w:t xml:space="preserve"> to pilot</w:t>
      </w:r>
      <w:r w:rsidRPr="005A6A8F">
        <w:t>; the need to start with a pilot approach to test the viability; payments were made directly to herders so the project team could control the finances; developed a systems to track funds and paperwork to and from herder to build trust; the costs of selling and managing the insurance were separated from the cost of risk for insurance companies in terms of reporting which allowed insurance companies to understand and meet the cost of selling policies; a PIU office was set up in all aimags where ILBI was tested to support the sales process through education, M&amp;E and capacity development, and; the selection of three different aimags for the pilot phase to test the viability, each with a different risk profile, which has the advantages of: (1) diversifying the risk for insurance companies, making the product more attractive; (2) it increases the chances of there being a claim, which experience shows is critical in initial years of pilot index insurance programs as clients need to see it actually paying out.</w:t>
      </w:r>
    </w:p>
    <w:p w14:paraId="28707B38" w14:textId="77777777" w:rsidR="00F92093" w:rsidRPr="005A6A8F" w:rsidRDefault="00F92093" w:rsidP="00F92093">
      <w:pPr>
        <w:numPr>
          <w:ilvl w:val="0"/>
          <w:numId w:val="19"/>
        </w:numPr>
        <w:ind w:left="360"/>
        <w:contextualSpacing/>
        <w:rPr>
          <w:b/>
          <w:i/>
        </w:rPr>
      </w:pPr>
      <w:r w:rsidRPr="005A6A8F">
        <w:rPr>
          <w:b/>
          <w:i/>
        </w:rPr>
        <w:t>Promotion and Public Awareness component:</w:t>
      </w:r>
      <w:r w:rsidRPr="005A6A8F">
        <w:t xml:space="preserve"> Index insurance is a complex product to understand, and a key challenge from international experience in the need to educate all parties (insurers, herders and governments) on how it operates</w:t>
      </w:r>
      <w:r>
        <w:t>, justifying a single component for it</w:t>
      </w:r>
      <w:r w:rsidRPr="005A6A8F">
        <w:t xml:space="preserve">. </w:t>
      </w:r>
    </w:p>
    <w:p w14:paraId="7E33C89D" w14:textId="452EE3FD" w:rsidR="00F92093" w:rsidRPr="005A6A8F" w:rsidRDefault="00F92093" w:rsidP="00F92093">
      <w:pPr>
        <w:numPr>
          <w:ilvl w:val="0"/>
          <w:numId w:val="19"/>
        </w:numPr>
        <w:ind w:left="360"/>
        <w:contextualSpacing/>
      </w:pPr>
      <w:r w:rsidRPr="005A6A8F">
        <w:rPr>
          <w:b/>
          <w:i/>
        </w:rPr>
        <w:t>Institutional capacity building component</w:t>
      </w:r>
      <w:r w:rsidRPr="005A6A8F">
        <w:t xml:space="preserve">. Again given innovative nature, capacities needed development at the national, </w:t>
      </w:r>
      <w:r w:rsidRPr="005A6A8F">
        <w:rPr>
          <w:i/>
        </w:rPr>
        <w:t>aimag</w:t>
      </w:r>
      <w:r w:rsidRPr="005A6A8F">
        <w:t xml:space="preserve"> and </w:t>
      </w:r>
      <w:r w:rsidRPr="005A6A8F">
        <w:rPr>
          <w:i/>
        </w:rPr>
        <w:t>soum</w:t>
      </w:r>
      <w:r w:rsidRPr="005A6A8F">
        <w:t xml:space="preserve"> level. The PIU established a steering committee including all key ministries in government to ensure key stakeholders </w:t>
      </w:r>
      <w:r w:rsidR="00BA4C0D">
        <w:t>were</w:t>
      </w:r>
      <w:r w:rsidRPr="005A6A8F">
        <w:t xml:space="preserve"> part of </w:t>
      </w:r>
      <w:r w:rsidRPr="005A6A8F">
        <w:lastRenderedPageBreak/>
        <w:t>the IBLI decision making process. In addition, several working groups were set up, including a legal working group (to draft key legislation and regulations), an accounting working group (to correctly register IBLI income and expenditures), and a public awareness working group (to effectively raise awareness) to draw on expertise from the Ministries of Finance, Agriculture, insurance companies, and FRC to tackle key challenges encountered in the project.</w:t>
      </w:r>
    </w:p>
    <w:p w14:paraId="23A434DC" w14:textId="77777777" w:rsidR="00F92093" w:rsidRPr="005A6A8F" w:rsidRDefault="00F92093" w:rsidP="00F92093">
      <w:pPr>
        <w:numPr>
          <w:ilvl w:val="0"/>
          <w:numId w:val="19"/>
        </w:numPr>
        <w:ind w:left="360"/>
        <w:contextualSpacing/>
        <w:rPr>
          <w:b/>
          <w:i/>
        </w:rPr>
      </w:pPr>
      <w:r w:rsidRPr="005A6A8F">
        <w:rPr>
          <w:b/>
          <w:i/>
        </w:rPr>
        <w:t>M&amp;E:</w:t>
      </w:r>
      <w:r w:rsidRPr="005A6A8F">
        <w:t xml:space="preserve"> There was a recognized high need for M&amp;E given the innovative nature of the project leading to a dedicated M&amp;E component. The key focus was on gathering indicators from field at the grass roots level, in addition to conducting surveys annually to refine and shape approach as project developed. Design of M&amp;E was flexible to ensure it could change as pilot learns over time, which occurred during implementation, showcasing an excellent example of how M&amp;E should be used, driving innovation and refinement in project over cycle.</w:t>
      </w:r>
    </w:p>
    <w:p w14:paraId="6D8C9F48" w14:textId="77777777" w:rsidR="00F92093" w:rsidRPr="005A6A8F" w:rsidRDefault="00F92093" w:rsidP="00F92093">
      <w:pPr>
        <w:ind w:left="360" w:hanging="360"/>
        <w:contextualSpacing/>
      </w:pPr>
    </w:p>
    <w:p w14:paraId="46C7724F" w14:textId="585F60E0" w:rsidR="00F92093" w:rsidRPr="005A6A8F" w:rsidRDefault="00F92093" w:rsidP="005A4EF0">
      <w:pPr>
        <w:numPr>
          <w:ilvl w:val="0"/>
          <w:numId w:val="2"/>
        </w:numPr>
        <w:tabs>
          <w:tab w:val="num" w:pos="0"/>
        </w:tabs>
        <w:autoSpaceDE w:val="0"/>
        <w:autoSpaceDN w:val="0"/>
        <w:adjustRightInd w:val="0"/>
        <w:spacing w:after="240"/>
        <w:ind w:left="0" w:firstLine="0"/>
        <w:rPr>
          <w:rFonts w:ascii="ArialMT" w:hAnsi="ArialMT" w:cs="ArialMT"/>
          <w:sz w:val="18"/>
          <w:szCs w:val="18"/>
        </w:rPr>
      </w:pPr>
      <w:r w:rsidRPr="005A6A8F">
        <w:rPr>
          <w:b/>
        </w:rPr>
        <w:t>Risk Assessment:</w:t>
      </w:r>
      <w:r w:rsidRPr="005A6A8F">
        <w:t xml:space="preserve"> The major risks identified at appraisal included lack of participation of insurance companies, poor claims data, low take up of insurance policies, favorable weather conditions leading to no payouts during pilot phase</w:t>
      </w:r>
      <w:r w:rsidR="00D51717">
        <w:t xml:space="preserve"> (meaning that the herders would not see the insurance actually working and making payouts)</w:t>
      </w:r>
      <w:r w:rsidRPr="005A6A8F">
        <w:t>. These risks were relevant to national insurance programs in an environment of uneven capacity. The mitigation measures were appropriate and proved effective. For example, to minimize the risk to participating insurance companies, the project included a stop loss provision at 105% of the base premiums. Similarly, to obtain high quality claim data the project provided direct support to the NSO</w:t>
      </w:r>
      <w:r w:rsidRPr="005A6A8F">
        <w:rPr>
          <w:rFonts w:ascii="ArialMT" w:hAnsi="ArialMT" w:cs="ArialMT"/>
          <w:sz w:val="19"/>
          <w:szCs w:val="19"/>
        </w:rPr>
        <w:t xml:space="preserve"> </w:t>
      </w:r>
      <w:r w:rsidRPr="005A6A8F">
        <w:t>to undertake a June census and provided monitors from outside the census areas to check operational details of data collection. To ensure a sustainable demand for IBLI, the project provided an intensive promotion &amp; public awareness campaign.</w:t>
      </w:r>
      <w:r w:rsidRPr="005A6A8F">
        <w:rPr>
          <w:rFonts w:ascii="ArialMT" w:hAnsi="ArialMT" w:cs="ArialMT"/>
          <w:sz w:val="18"/>
          <w:szCs w:val="18"/>
        </w:rPr>
        <w:t xml:space="preserve"> </w:t>
      </w:r>
    </w:p>
    <w:p w14:paraId="6C7922EE" w14:textId="77777777" w:rsidR="00F92093" w:rsidRPr="005A4EF0" w:rsidRDefault="00F92093" w:rsidP="005A4EF0">
      <w:pPr>
        <w:pStyle w:val="Heading3"/>
        <w:spacing w:after="240"/>
        <w:rPr>
          <w:sz w:val="24"/>
          <w:szCs w:val="24"/>
        </w:rPr>
      </w:pPr>
      <w:bookmarkStart w:id="112" w:name="_Toc456784527"/>
      <w:r w:rsidRPr="005A4EF0">
        <w:rPr>
          <w:sz w:val="24"/>
          <w:szCs w:val="24"/>
        </w:rPr>
        <w:t>2.2 Implementation</w:t>
      </w:r>
      <w:bookmarkEnd w:id="112"/>
    </w:p>
    <w:p w14:paraId="0B38043B" w14:textId="77777777" w:rsidR="00832816" w:rsidRDefault="00F92093" w:rsidP="005A4EF0">
      <w:pPr>
        <w:numPr>
          <w:ilvl w:val="0"/>
          <w:numId w:val="2"/>
        </w:numPr>
        <w:tabs>
          <w:tab w:val="num" w:pos="0"/>
        </w:tabs>
        <w:autoSpaceDE w:val="0"/>
        <w:autoSpaceDN w:val="0"/>
        <w:adjustRightInd w:val="0"/>
        <w:spacing w:after="240"/>
        <w:ind w:left="0" w:firstLine="0"/>
      </w:pPr>
      <w:bookmarkStart w:id="113" w:name="SEC72"/>
      <w:bookmarkEnd w:id="113"/>
      <w:r w:rsidRPr="00AC2A80">
        <w:t xml:space="preserve">Consistent strong implementation with innovation, contributing to country-wide results. </w:t>
      </w:r>
      <w:r w:rsidRPr="005A6A8F">
        <w:t xml:space="preserve"> The successive </w:t>
      </w:r>
      <w:r w:rsidRPr="005A6A8F">
        <w:rPr>
          <w:i/>
        </w:rPr>
        <w:t>dzuds</w:t>
      </w:r>
      <w:r w:rsidRPr="005A6A8F">
        <w:t xml:space="preserve"> from 1999 to 2002, and their associated damage, galvanized the government to fully support the project throughout the ten years of implementation. </w:t>
      </w:r>
      <w:r w:rsidR="00BA4C0D">
        <w:t>T</w:t>
      </w:r>
      <w:r w:rsidRPr="005A6A8F">
        <w:t xml:space="preserve">he project continuously </w:t>
      </w:r>
      <w:r>
        <w:t>learn</w:t>
      </w:r>
      <w:r w:rsidR="00BA4C0D">
        <w:t>t</w:t>
      </w:r>
      <w:r>
        <w:t xml:space="preserve"> from </w:t>
      </w:r>
      <w:r w:rsidR="00BA4C0D">
        <w:t>experience</w:t>
      </w:r>
      <w:r>
        <w:t xml:space="preserve">, </w:t>
      </w:r>
      <w:r w:rsidRPr="005A6A8F">
        <w:t>amend</w:t>
      </w:r>
      <w:r w:rsidR="00BA4C0D">
        <w:t>ing</w:t>
      </w:r>
      <w:r>
        <w:t xml:space="preserve"> and fine-tun</w:t>
      </w:r>
      <w:r w:rsidR="00BA4C0D">
        <w:t>ing</w:t>
      </w:r>
      <w:r w:rsidRPr="005A6A8F">
        <w:t xml:space="preserve"> its approach</w:t>
      </w:r>
      <w:r w:rsidR="00C37B85">
        <w:t xml:space="preserve"> (further details under</w:t>
      </w:r>
      <w:r w:rsidR="00D41562">
        <w:t xml:space="preserve"> </w:t>
      </w:r>
      <w:r w:rsidR="00D41562">
        <w:fldChar w:fldCharType="begin"/>
      </w:r>
      <w:r w:rsidR="00D41562">
        <w:instrText xml:space="preserve"> REF _Ref457829926 \r \h </w:instrText>
      </w:r>
      <w:r w:rsidR="00D41562">
        <w:fldChar w:fldCharType="separate"/>
      </w:r>
      <w:r w:rsidR="00D41562">
        <w:t>1</w:t>
      </w:r>
      <w:r w:rsidR="00D41562">
        <w:fldChar w:fldCharType="end"/>
      </w:r>
      <w:r w:rsidR="00C37B85">
        <w:t>)</w:t>
      </w:r>
      <w:r w:rsidRPr="005A6A8F">
        <w:t xml:space="preserve">: (i) </w:t>
      </w:r>
      <w:r w:rsidR="00C37B85">
        <w:t xml:space="preserve">sales method to herders changing from direct </w:t>
      </w:r>
      <w:r w:rsidRPr="005A6A8F">
        <w:t>s</w:t>
      </w:r>
      <w:r w:rsidR="00C37B85">
        <w:t>a</w:t>
      </w:r>
      <w:r w:rsidRPr="005A6A8F">
        <w:t>l</w:t>
      </w:r>
      <w:r w:rsidR="00C37B85">
        <w:t xml:space="preserve">es, to </w:t>
      </w:r>
      <w:r w:rsidRPr="005A6A8F">
        <w:t>training of trainers</w:t>
      </w:r>
      <w:r w:rsidR="00C37B85">
        <w:t xml:space="preserve"> with </w:t>
      </w:r>
      <w:r w:rsidRPr="005A6A8F">
        <w:t>11,000 people (</w:t>
      </w:r>
      <w:r>
        <w:t>although double-counting possible</w:t>
      </w:r>
      <w:r w:rsidRPr="005A6A8F">
        <w:t xml:space="preserve">) attended training and 2,454 insurance agents licensed; (ii) </w:t>
      </w:r>
      <w:r w:rsidR="003804EE">
        <w:t>managing</w:t>
      </w:r>
      <w:r w:rsidRPr="005A6A8F">
        <w:t xml:space="preserve"> </w:t>
      </w:r>
      <w:r w:rsidR="00C37B85">
        <w:t xml:space="preserve">extreme </w:t>
      </w:r>
      <w:r w:rsidRPr="005A6A8F">
        <w:t>insurance risk</w:t>
      </w:r>
      <w:r w:rsidR="003804EE">
        <w:t xml:space="preserve"> </w:t>
      </w:r>
      <w:r w:rsidR="00C37B85">
        <w:t xml:space="preserve">changing from using </w:t>
      </w:r>
      <w:r w:rsidRPr="005A6A8F">
        <w:t xml:space="preserve">the CDF </w:t>
      </w:r>
      <w:r w:rsidR="00C37B85">
        <w:t xml:space="preserve">to reinsurance protection to establishing </w:t>
      </w:r>
      <w:r w:rsidRPr="005A6A8F">
        <w:t>an equalization reserve</w:t>
      </w:r>
      <w:r w:rsidR="003804EE">
        <w:t>, and f</w:t>
      </w:r>
      <w:r w:rsidRPr="005A6A8F">
        <w:t>inally</w:t>
      </w:r>
      <w:r w:rsidR="00C37B85">
        <w:t xml:space="preserve"> the balance sheet of </w:t>
      </w:r>
      <w:r w:rsidRPr="005A6A8F">
        <w:t>the Agricultural Reinsurance (AgRe) company</w:t>
      </w:r>
      <w:r w:rsidR="003804EE">
        <w:t xml:space="preserve">; (iii) </w:t>
      </w:r>
      <w:r w:rsidRPr="005A6A8F">
        <w:t>distribution channels</w:t>
      </w:r>
      <w:r w:rsidR="00C37B85">
        <w:t xml:space="preserve"> changing from direct sales </w:t>
      </w:r>
      <w:r w:rsidRPr="005A6A8F">
        <w:t xml:space="preserve">to </w:t>
      </w:r>
      <w:r w:rsidR="00C37B85">
        <w:t xml:space="preserve">including </w:t>
      </w:r>
      <w:r w:rsidRPr="005A6A8F">
        <w:t>herders who do not own the livestock but are responsible for its management</w:t>
      </w:r>
      <w:r w:rsidRPr="005A6A8F">
        <w:rPr>
          <w:vertAlign w:val="superscript"/>
        </w:rPr>
        <w:footnoteReference w:id="4"/>
      </w:r>
      <w:r w:rsidR="00C37B85">
        <w:t xml:space="preserve"> to </w:t>
      </w:r>
      <w:r w:rsidRPr="005A6A8F">
        <w:t xml:space="preserve">group policies </w:t>
      </w:r>
      <w:r w:rsidR="00C37B85">
        <w:t>to intermediary sales</w:t>
      </w:r>
      <w:r w:rsidRPr="005A6A8F">
        <w:t>, and; (iv) data</w:t>
      </w:r>
      <w:r w:rsidR="00C37B85">
        <w:t xml:space="preserve">, </w:t>
      </w:r>
      <w:r w:rsidRPr="005A6A8F">
        <w:t>moving to higher quality and more rapidly collected data</w:t>
      </w:r>
      <w:r w:rsidR="0077349E">
        <w:t xml:space="preserve">, which received the </w:t>
      </w:r>
      <w:r w:rsidRPr="005A6A8F">
        <w:t xml:space="preserve">ultimate endorsement when reinsurance companies agreed to take on the livestock mortality risk with claims based on it. This innovating, learning and </w:t>
      </w:r>
      <w:r w:rsidRPr="005A6A8F">
        <w:lastRenderedPageBreak/>
        <w:t>growing process of exemplary project implementation paid dividends, and can be witnessed through the solid performance of the project on the results indicators throughout the life of the project. The below graph shows number of herders insured, as well as % of total herders, throughout the life of the project.</w:t>
      </w:r>
      <w:r w:rsidR="00134F47">
        <w:t xml:space="preserve">  </w:t>
      </w:r>
    </w:p>
    <w:p w14:paraId="27469922" w14:textId="763543D7" w:rsidR="00F92093" w:rsidRPr="005A6A8F" w:rsidRDefault="00854A0C" w:rsidP="00F92093">
      <w:pPr>
        <w:autoSpaceDE w:val="0"/>
        <w:autoSpaceDN w:val="0"/>
        <w:adjustRightInd w:val="0"/>
        <w:spacing w:after="240"/>
        <w:jc w:val="center"/>
      </w:pPr>
      <w:r>
        <w:rPr>
          <w:noProof/>
          <w:lang w:eastAsia="en-US"/>
        </w:rPr>
        <w:drawing>
          <wp:inline distT="0" distB="0" distL="0" distR="0" wp14:anchorId="79945EAE" wp14:editId="6A530E32">
            <wp:extent cx="4467225" cy="2460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6809" cy="2476824"/>
                    </a:xfrm>
                    <a:prstGeom prst="rect">
                      <a:avLst/>
                    </a:prstGeom>
                    <a:noFill/>
                  </pic:spPr>
                </pic:pic>
              </a:graphicData>
            </a:graphic>
          </wp:inline>
        </w:drawing>
      </w:r>
    </w:p>
    <w:p w14:paraId="5A6D66D2" w14:textId="6F182854" w:rsidR="00F92093" w:rsidRPr="005A6A8F" w:rsidRDefault="00F92093" w:rsidP="00F92093">
      <w:pPr>
        <w:spacing w:after="200"/>
        <w:jc w:val="center"/>
        <w:rPr>
          <w:b/>
          <w:iCs/>
          <w:color w:val="000000"/>
          <w:sz w:val="18"/>
          <w:szCs w:val="18"/>
        </w:rPr>
      </w:pPr>
      <w:bookmarkStart w:id="114" w:name="_Toc451247862"/>
      <w:bookmarkStart w:id="115" w:name="_Toc451248044"/>
      <w:bookmarkStart w:id="116" w:name="_Toc451248178"/>
      <w:bookmarkStart w:id="117" w:name="_Toc456784561"/>
      <w:r w:rsidRPr="005A6A8F">
        <w:rPr>
          <w:b/>
          <w:iCs/>
          <w:color w:val="000000"/>
          <w:sz w:val="18"/>
          <w:szCs w:val="18"/>
        </w:rPr>
        <w:t xml:space="preserve">Figure </w:t>
      </w:r>
      <w:r w:rsidRPr="005A6A8F">
        <w:rPr>
          <w:b/>
          <w:iCs/>
          <w:color w:val="000000"/>
          <w:sz w:val="18"/>
          <w:szCs w:val="18"/>
        </w:rPr>
        <w:fldChar w:fldCharType="begin"/>
      </w:r>
      <w:r w:rsidRPr="005A6A8F">
        <w:rPr>
          <w:b/>
          <w:iCs/>
          <w:color w:val="000000"/>
          <w:sz w:val="18"/>
          <w:szCs w:val="18"/>
        </w:rPr>
        <w:instrText xml:space="preserve"> SEQ Figure \* ARABIC </w:instrText>
      </w:r>
      <w:r w:rsidRPr="005A6A8F">
        <w:rPr>
          <w:b/>
          <w:iCs/>
          <w:color w:val="000000"/>
          <w:sz w:val="18"/>
          <w:szCs w:val="18"/>
        </w:rPr>
        <w:fldChar w:fldCharType="separate"/>
      </w:r>
      <w:r w:rsidR="00D41562">
        <w:rPr>
          <w:b/>
          <w:iCs/>
          <w:noProof/>
          <w:color w:val="000000"/>
          <w:sz w:val="18"/>
          <w:szCs w:val="18"/>
        </w:rPr>
        <w:t>1</w:t>
      </w:r>
      <w:r w:rsidRPr="005A6A8F">
        <w:rPr>
          <w:b/>
          <w:iCs/>
          <w:color w:val="000000"/>
          <w:sz w:val="18"/>
          <w:szCs w:val="18"/>
        </w:rPr>
        <w:fldChar w:fldCharType="end"/>
      </w:r>
      <w:r w:rsidRPr="005A6A8F">
        <w:rPr>
          <w:b/>
          <w:iCs/>
          <w:color w:val="000000"/>
          <w:sz w:val="18"/>
          <w:szCs w:val="18"/>
        </w:rPr>
        <w:t xml:space="preserve"> Evolution of the number of insured herders</w:t>
      </w:r>
      <w:bookmarkEnd w:id="114"/>
      <w:bookmarkEnd w:id="115"/>
      <w:bookmarkEnd w:id="116"/>
      <w:bookmarkEnd w:id="117"/>
      <w:r w:rsidR="000D47D0">
        <w:rPr>
          <w:rStyle w:val="FootnoteReference"/>
          <w:b/>
          <w:iCs/>
          <w:color w:val="000000"/>
          <w:sz w:val="18"/>
          <w:szCs w:val="18"/>
        </w:rPr>
        <w:footnoteReference w:id="5"/>
      </w:r>
    </w:p>
    <w:p w14:paraId="12634D1E" w14:textId="0A7B2218" w:rsidR="007E5E04" w:rsidRDefault="007E5E04" w:rsidP="005A4EF0">
      <w:pPr>
        <w:numPr>
          <w:ilvl w:val="0"/>
          <w:numId w:val="2"/>
        </w:numPr>
        <w:tabs>
          <w:tab w:val="num" w:pos="0"/>
        </w:tabs>
        <w:autoSpaceDE w:val="0"/>
        <w:autoSpaceDN w:val="0"/>
        <w:adjustRightInd w:val="0"/>
        <w:spacing w:after="240"/>
        <w:ind w:left="0" w:firstLine="0"/>
      </w:pPr>
      <w:r>
        <w:t xml:space="preserve">The DRP was </w:t>
      </w:r>
      <w:r w:rsidR="00192929">
        <w:t>discontinued</w:t>
      </w:r>
      <w:r>
        <w:t xml:space="preserve">.  </w:t>
      </w:r>
      <w:r w:rsidR="00521CBA">
        <w:t xml:space="preserve">This was due to the fact that households who wishing to avail of the protection from the DRP needed to enter into a contract with an insurance agent and pay an administrative fee for the product. This process and fee proved to </w:t>
      </w:r>
      <w:r w:rsidR="000D47D0">
        <w:t xml:space="preserve">be </w:t>
      </w:r>
      <w:r w:rsidR="002E0E19">
        <w:t xml:space="preserve">high </w:t>
      </w:r>
      <w:r w:rsidR="00521CBA">
        <w:t xml:space="preserve">a hurdle for such households to </w:t>
      </w:r>
      <w:r w:rsidR="000D47D0">
        <w:t>vault</w:t>
      </w:r>
      <w:r w:rsidR="00521CBA">
        <w:t>, and so take up of this product was below sustainable levels.  Thus, after successfully testing its viability, DRP was discontinued to enable the project team focus on the more successful BIP.</w:t>
      </w:r>
    </w:p>
    <w:p w14:paraId="320E6C58" w14:textId="1DBA1671" w:rsidR="00F92093" w:rsidRPr="005A6A8F" w:rsidRDefault="00F92093" w:rsidP="005A4EF0">
      <w:pPr>
        <w:numPr>
          <w:ilvl w:val="0"/>
          <w:numId w:val="2"/>
        </w:numPr>
        <w:tabs>
          <w:tab w:val="num" w:pos="0"/>
        </w:tabs>
        <w:autoSpaceDE w:val="0"/>
        <w:autoSpaceDN w:val="0"/>
        <w:adjustRightInd w:val="0"/>
        <w:spacing w:after="240"/>
        <w:ind w:left="0" w:firstLine="0"/>
      </w:pPr>
      <w:r w:rsidRPr="00AC2A80">
        <w:t>Strong engagement from both public and private sector throughout project:</w:t>
      </w:r>
      <w:r w:rsidRPr="005A6A8F">
        <w:rPr>
          <w:b/>
        </w:rPr>
        <w:t xml:space="preserve"> </w:t>
      </w:r>
      <w:r w:rsidRPr="005A6A8F">
        <w:t xml:space="preserve">Project worked effectively with private sector, ensuring their sustained engagement and motivation throughout the ten years of the project. This was achieved by ensuring the private sector were involved in all key decision making steps (for example their agreement was sought for purchasing the stop loss reinsurance agreement), as well as other aspects of the project including agent training, and risk sharing arrangements. These steps </w:t>
      </w:r>
      <w:r>
        <w:t xml:space="preserve">that </w:t>
      </w:r>
      <w:r w:rsidRPr="005A6A8F">
        <w:t>ensured strong engagement from the private sector</w:t>
      </w:r>
      <w:r>
        <w:t xml:space="preserve"> are further described in paragraph</w:t>
      </w:r>
      <w:r w:rsidR="00BE061D">
        <w:t xml:space="preserve"> </w:t>
      </w:r>
      <w:r w:rsidR="00BE061D">
        <w:fldChar w:fldCharType="begin"/>
      </w:r>
      <w:r w:rsidR="00BE061D">
        <w:instrText xml:space="preserve"> REF _Ref457829956 \r \h </w:instrText>
      </w:r>
      <w:r w:rsidR="00BE061D">
        <w:fldChar w:fldCharType="separate"/>
      </w:r>
      <w:r w:rsidR="00D41562">
        <w:t>2</w:t>
      </w:r>
      <w:r w:rsidR="00BE061D">
        <w:fldChar w:fldCharType="end"/>
      </w:r>
      <w:r>
        <w:t>of Annex 2</w:t>
      </w:r>
      <w:r w:rsidRPr="005A6A8F">
        <w:t xml:space="preserve">, </w:t>
      </w:r>
      <w:r>
        <w:t>and positively impacted the project as evidenced from</w:t>
      </w:r>
      <w:r w:rsidRPr="005A6A8F">
        <w:t xml:space="preserve"> the results indicators (number of insurance companies participating), </w:t>
      </w:r>
      <w:r w:rsidRPr="005A6A8F">
        <w:lastRenderedPageBreak/>
        <w:t xml:space="preserve">as well as the profitability of the business (participating insurance companies earned profit of c. 2 billion Tugriks (US$100 million) between 2006 and 2015. This is reflected in the increases in the premiums collected, which grew by 28% per year on average over the life of the project (see </w:t>
      </w:r>
      <w:r w:rsidR="00ED2905" w:rsidRPr="000D47D0">
        <w:fldChar w:fldCharType="begin"/>
      </w:r>
      <w:r w:rsidR="00ED2905" w:rsidRPr="00653F0C">
        <w:instrText xml:space="preserve"> REF _Ref456786912 \h </w:instrText>
      </w:r>
      <w:r w:rsidR="000D47D0" w:rsidRPr="00653F0C">
        <w:instrText xml:space="preserve"> \* MERGEFORMAT </w:instrText>
      </w:r>
      <w:r w:rsidR="00ED2905" w:rsidRPr="000D47D0">
        <w:fldChar w:fldCharType="separate"/>
      </w:r>
      <w:r w:rsidR="00D41562" w:rsidRPr="00653F0C">
        <w:rPr>
          <w:iCs/>
          <w:color w:val="000000"/>
        </w:rPr>
        <w:t xml:space="preserve">Figure </w:t>
      </w:r>
      <w:r w:rsidR="00D41562" w:rsidRPr="00653F0C">
        <w:rPr>
          <w:iCs/>
          <w:noProof/>
          <w:color w:val="000000"/>
        </w:rPr>
        <w:t>2</w:t>
      </w:r>
      <w:r w:rsidR="00ED2905" w:rsidRPr="000D47D0">
        <w:fldChar w:fldCharType="end"/>
      </w:r>
      <w:r w:rsidR="00ED2905" w:rsidRPr="000D47D0">
        <w:t xml:space="preserve"> </w:t>
      </w:r>
      <w:r w:rsidRPr="005A6A8F">
        <w:t>below).</w:t>
      </w:r>
    </w:p>
    <w:p w14:paraId="6E5F2E94" w14:textId="77777777" w:rsidR="00F92093" w:rsidRPr="005A6A8F" w:rsidRDefault="00F92093" w:rsidP="00F92093">
      <w:pPr>
        <w:spacing w:after="200"/>
        <w:rPr>
          <w:i/>
          <w:iCs/>
          <w:color w:val="000000"/>
          <w:sz w:val="18"/>
          <w:szCs w:val="18"/>
        </w:rPr>
      </w:pPr>
      <w:bookmarkStart w:id="118" w:name="_Toc451247863"/>
      <w:bookmarkStart w:id="119" w:name="_Toc451248045"/>
      <w:bookmarkStart w:id="120" w:name="_Toc451248179"/>
      <w:r w:rsidRPr="005A6A8F">
        <w:rPr>
          <w:i/>
          <w:iCs/>
          <w:noProof/>
          <w:color w:val="1F497D"/>
          <w:sz w:val="18"/>
          <w:szCs w:val="18"/>
          <w:lang w:eastAsia="en-US"/>
        </w:rPr>
        <w:drawing>
          <wp:inline distT="0" distB="0" distL="0" distR="0" wp14:anchorId="3ADE3D43" wp14:editId="474527A1">
            <wp:extent cx="5189517" cy="3040083"/>
            <wp:effectExtent l="0" t="0" r="1143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ACFF6" w14:textId="77777777" w:rsidR="00F92093" w:rsidRPr="005A6A8F" w:rsidRDefault="00F92093" w:rsidP="00F92093">
      <w:pPr>
        <w:spacing w:after="200"/>
        <w:jc w:val="center"/>
        <w:rPr>
          <w:b/>
          <w:iCs/>
          <w:color w:val="000000"/>
          <w:sz w:val="18"/>
          <w:szCs w:val="18"/>
        </w:rPr>
      </w:pPr>
      <w:bookmarkStart w:id="121" w:name="_Ref456786912"/>
      <w:bookmarkStart w:id="122" w:name="_Toc456784562"/>
      <w:r w:rsidRPr="005A6A8F">
        <w:rPr>
          <w:b/>
          <w:iCs/>
          <w:color w:val="000000"/>
          <w:sz w:val="18"/>
          <w:szCs w:val="18"/>
        </w:rPr>
        <w:t xml:space="preserve">Figure </w:t>
      </w:r>
      <w:r w:rsidRPr="005A6A8F">
        <w:rPr>
          <w:b/>
          <w:iCs/>
          <w:color w:val="000000"/>
          <w:sz w:val="18"/>
          <w:szCs w:val="18"/>
        </w:rPr>
        <w:fldChar w:fldCharType="begin"/>
      </w:r>
      <w:r w:rsidRPr="005A6A8F">
        <w:rPr>
          <w:b/>
          <w:iCs/>
          <w:color w:val="000000"/>
          <w:sz w:val="18"/>
          <w:szCs w:val="18"/>
        </w:rPr>
        <w:instrText xml:space="preserve"> SEQ Figure \* ARABIC </w:instrText>
      </w:r>
      <w:r w:rsidRPr="005A6A8F">
        <w:rPr>
          <w:b/>
          <w:iCs/>
          <w:color w:val="000000"/>
          <w:sz w:val="18"/>
          <w:szCs w:val="18"/>
        </w:rPr>
        <w:fldChar w:fldCharType="separate"/>
      </w:r>
      <w:r w:rsidR="00D41562">
        <w:rPr>
          <w:b/>
          <w:iCs/>
          <w:noProof/>
          <w:color w:val="000000"/>
          <w:sz w:val="18"/>
          <w:szCs w:val="18"/>
        </w:rPr>
        <w:t>2</w:t>
      </w:r>
      <w:r w:rsidRPr="005A6A8F">
        <w:rPr>
          <w:b/>
          <w:iCs/>
          <w:color w:val="000000"/>
          <w:sz w:val="18"/>
          <w:szCs w:val="18"/>
        </w:rPr>
        <w:fldChar w:fldCharType="end"/>
      </w:r>
      <w:bookmarkEnd w:id="121"/>
      <w:r w:rsidRPr="005A6A8F">
        <w:rPr>
          <w:b/>
          <w:iCs/>
          <w:color w:val="000000"/>
          <w:sz w:val="18"/>
          <w:szCs w:val="18"/>
        </w:rPr>
        <w:t>: Premium collected and loss experience</w:t>
      </w:r>
      <w:bookmarkEnd w:id="118"/>
      <w:bookmarkEnd w:id="119"/>
      <w:bookmarkEnd w:id="120"/>
      <w:bookmarkEnd w:id="122"/>
    </w:p>
    <w:p w14:paraId="6C58F54B" w14:textId="71F4E749" w:rsidR="00F92093" w:rsidRPr="005A6A8F" w:rsidRDefault="00F92093" w:rsidP="005A4EF0">
      <w:pPr>
        <w:numPr>
          <w:ilvl w:val="0"/>
          <w:numId w:val="2"/>
        </w:numPr>
        <w:tabs>
          <w:tab w:val="num" w:pos="0"/>
        </w:tabs>
        <w:autoSpaceDE w:val="0"/>
        <w:autoSpaceDN w:val="0"/>
        <w:adjustRightInd w:val="0"/>
        <w:spacing w:after="240"/>
        <w:ind w:left="0" w:firstLine="0"/>
      </w:pPr>
      <w:bookmarkStart w:id="123" w:name="_Ref456790792"/>
      <w:r w:rsidRPr="00AC2A80">
        <w:rPr>
          <w:i/>
        </w:rPr>
        <w:t>Response to 2010 Dzud.</w:t>
      </w:r>
      <w:r w:rsidRPr="005A6A8F">
        <w:rPr>
          <w:b/>
        </w:rPr>
        <w:t xml:space="preserve"> </w:t>
      </w:r>
      <w:r w:rsidRPr="005A6A8F">
        <w:t>The 2010</w:t>
      </w:r>
      <w:r w:rsidRPr="005A6A8F">
        <w:rPr>
          <w:b/>
        </w:rPr>
        <w:t xml:space="preserve"> </w:t>
      </w:r>
      <w:r w:rsidRPr="005A6A8F">
        <w:rPr>
          <w:i/>
        </w:rPr>
        <w:t>dzud</w:t>
      </w:r>
      <w:r w:rsidRPr="005A6A8F">
        <w:t xml:space="preserve"> impacted approximately 80% of </w:t>
      </w:r>
      <w:r>
        <w:t xml:space="preserve">the </w:t>
      </w:r>
      <w:r w:rsidRPr="005A6A8F">
        <w:t xml:space="preserve">country </w:t>
      </w:r>
      <w:r>
        <w:t xml:space="preserve">territory </w:t>
      </w:r>
      <w:r w:rsidRPr="005A6A8F">
        <w:t xml:space="preserve">and 97,500 households were </w:t>
      </w:r>
      <w:r>
        <w:t>a</w:t>
      </w:r>
      <w:r w:rsidRPr="005A6A8F">
        <w:t xml:space="preserve">ffected. The losses to heads of livestock reached approximately 9.7 million with an estimated value of US$477 million. Given the project was still in the pilot phase, it was operational in only four </w:t>
      </w:r>
      <w:r w:rsidRPr="005A6A8F">
        <w:rPr>
          <w:i/>
        </w:rPr>
        <w:t>aimags</w:t>
      </w:r>
      <w:r w:rsidRPr="005A6A8F">
        <w:t>. A payout of US$1.3million was made to more than 4,000 households to offset financial losses. Despite these payouts</w:t>
      </w:r>
      <w:r w:rsidR="006D32D7">
        <w:t xml:space="preserve"> (see loss ratio in </w:t>
      </w:r>
      <w:r w:rsidR="006D32D7">
        <w:fldChar w:fldCharType="begin"/>
      </w:r>
      <w:r w:rsidR="006D32D7">
        <w:instrText xml:space="preserve"> REF _Ref456786912 \h </w:instrText>
      </w:r>
      <w:r w:rsidR="006D32D7">
        <w:fldChar w:fldCharType="separate"/>
      </w:r>
      <w:r w:rsidR="00D41562" w:rsidRPr="005A6A8F">
        <w:rPr>
          <w:b/>
          <w:iCs/>
          <w:color w:val="000000"/>
          <w:sz w:val="18"/>
          <w:szCs w:val="18"/>
        </w:rPr>
        <w:t xml:space="preserve">Figure </w:t>
      </w:r>
      <w:r w:rsidR="00D41562">
        <w:rPr>
          <w:b/>
          <w:iCs/>
          <w:noProof/>
          <w:color w:val="000000"/>
          <w:sz w:val="18"/>
          <w:szCs w:val="18"/>
        </w:rPr>
        <w:t>2</w:t>
      </w:r>
      <w:r w:rsidR="006D32D7">
        <w:fldChar w:fldCharType="end"/>
      </w:r>
      <w:r w:rsidR="006D32D7">
        <w:t>)</w:t>
      </w:r>
      <w:r w:rsidRPr="005A6A8F">
        <w:t xml:space="preserve">, </w:t>
      </w:r>
      <w:r w:rsidR="006D32D7">
        <w:t xml:space="preserve">not only did </w:t>
      </w:r>
      <w:r w:rsidRPr="005A6A8F">
        <w:t>all insurance companies stay with the program displaying their confidence in the methodology used to calculate claims</w:t>
      </w:r>
      <w:r w:rsidR="006D32D7">
        <w:t xml:space="preserve">, </w:t>
      </w:r>
      <w:r w:rsidRPr="005A6A8F">
        <w:t xml:space="preserve">three additional insurance companies joined. This event </w:t>
      </w:r>
      <w:r w:rsidR="006D32D7">
        <w:t xml:space="preserve">showed the insurance working for </w:t>
      </w:r>
      <w:r w:rsidRPr="005A6A8F">
        <w:t>herders and provided a</w:t>
      </w:r>
      <w:r w:rsidR="006D32D7">
        <w:t>n</w:t>
      </w:r>
      <w:r w:rsidRPr="005A6A8F">
        <w:t xml:space="preserve"> </w:t>
      </w:r>
      <w:r w:rsidR="006D32D7">
        <w:t>e</w:t>
      </w:r>
      <w:r w:rsidRPr="005A6A8F">
        <w:t xml:space="preserve">xample to take to herders going forward when explaining the concept of insurance. In the aimags where large payouts were made, they in fact maintained the number of herders insured, even in recent years with low payouts (due to good weather), showing that a large loss event is important to retain policyholder. Finally, an impact assessment of the payouts demonstrated that in the </w:t>
      </w:r>
      <w:r w:rsidRPr="005A6A8F">
        <w:rPr>
          <w:i/>
        </w:rPr>
        <w:t>aimags</w:t>
      </w:r>
      <w:r w:rsidRPr="005A6A8F">
        <w:t xml:space="preserve"> where large payouts were made, herd sizes recovered quicker (see impact evaluation summary in </w:t>
      </w:r>
      <w:r w:rsidR="006D32D7">
        <w:fldChar w:fldCharType="begin"/>
      </w:r>
      <w:r w:rsidR="006D32D7">
        <w:instrText xml:space="preserve"> REF _Ref456788842 \h </w:instrText>
      </w:r>
      <w:r w:rsidR="006D32D7">
        <w:fldChar w:fldCharType="separate"/>
      </w:r>
      <w:r w:rsidR="00D41562" w:rsidRPr="00E07BAC">
        <w:t xml:space="preserve">Annex 5. </w:t>
      </w:r>
      <w:r w:rsidR="00D41562">
        <w:t>Impact evaluation Summary</w:t>
      </w:r>
      <w:r w:rsidR="006D32D7">
        <w:fldChar w:fldCharType="end"/>
      </w:r>
      <w:r w:rsidR="006D32D7">
        <w:t>)</w:t>
      </w:r>
      <w:r w:rsidRPr="005A6A8F">
        <w:t>.</w:t>
      </w:r>
      <w:bookmarkEnd w:id="123"/>
      <w:r w:rsidRPr="005A6A8F">
        <w:t xml:space="preserve">  </w:t>
      </w:r>
    </w:p>
    <w:p w14:paraId="2BC731C9" w14:textId="30D7AE4A" w:rsidR="00F92093" w:rsidRPr="005A6A8F" w:rsidRDefault="00F92093" w:rsidP="005A4EF0">
      <w:pPr>
        <w:numPr>
          <w:ilvl w:val="0"/>
          <w:numId w:val="2"/>
        </w:numPr>
        <w:tabs>
          <w:tab w:val="num" w:pos="0"/>
        </w:tabs>
        <w:autoSpaceDE w:val="0"/>
        <w:autoSpaceDN w:val="0"/>
        <w:adjustRightInd w:val="0"/>
        <w:spacing w:after="240"/>
        <w:ind w:left="0" w:firstLine="0"/>
      </w:pPr>
      <w:r w:rsidRPr="00AC2A80">
        <w:rPr>
          <w:i/>
        </w:rPr>
        <w:t>International reinsurance deal executed</w:t>
      </w:r>
      <w:r w:rsidRPr="00AC2A80">
        <w:t xml:space="preserve">. </w:t>
      </w:r>
      <w:r w:rsidRPr="005A6A8F">
        <w:t xml:space="preserve">A </w:t>
      </w:r>
      <w:r w:rsidR="008D541C">
        <w:t xml:space="preserve">strong </w:t>
      </w:r>
      <w:r w:rsidRPr="005A6A8F">
        <w:t xml:space="preserve">endorsement for the project was that after the 2010 </w:t>
      </w:r>
      <w:r w:rsidRPr="005A6A8F">
        <w:rPr>
          <w:i/>
        </w:rPr>
        <w:t>dzud</w:t>
      </w:r>
      <w:r w:rsidRPr="005A6A8F">
        <w:t xml:space="preserve">, the PIU managed to secure their first reinsurance deal, transferring the livestock risk out of the country for the first time and receiving a large vote in confidence in the premium collection and claims payment system from the international reinsurance industry.  Securing reinsurance also enables the PIU to reduce the fee it charged insurance companies for participating in the IBLI program, as well as lowering their capital requirements for </w:t>
      </w:r>
      <w:r w:rsidRPr="005A6A8F">
        <w:lastRenderedPageBreak/>
        <w:t xml:space="preserve">participating.  This reduced the costs on insurers and so ensured they remained with the project during scale up.  </w:t>
      </w:r>
    </w:p>
    <w:p w14:paraId="13CDC975" w14:textId="7617B843" w:rsidR="00F92093" w:rsidRPr="005A6A8F" w:rsidRDefault="00F92093" w:rsidP="005A4EF0">
      <w:pPr>
        <w:numPr>
          <w:ilvl w:val="0"/>
          <w:numId w:val="2"/>
        </w:numPr>
        <w:tabs>
          <w:tab w:val="num" w:pos="0"/>
        </w:tabs>
        <w:autoSpaceDE w:val="0"/>
        <w:autoSpaceDN w:val="0"/>
        <w:adjustRightInd w:val="0"/>
        <w:spacing w:after="240"/>
        <w:ind w:left="0" w:firstLine="0"/>
      </w:pPr>
      <w:r w:rsidRPr="00AC2A80">
        <w:rPr>
          <w:i/>
        </w:rPr>
        <w:t>Support from donors.</w:t>
      </w:r>
      <w:r w:rsidRPr="005A6A8F">
        <w:rPr>
          <w:b/>
        </w:rPr>
        <w:t xml:space="preserve">  </w:t>
      </w:r>
      <w:r w:rsidRPr="005A6A8F">
        <w:t xml:space="preserve">Many donor partners support the project </w:t>
      </w:r>
      <w:r w:rsidR="00EC5A55">
        <w:t xml:space="preserve">(see </w:t>
      </w:r>
      <w:r w:rsidR="00EC5A55">
        <w:fldChar w:fldCharType="begin"/>
      </w:r>
      <w:r w:rsidR="00EC5A55">
        <w:instrText xml:space="preserve"> REF _Ref456788953 \r \h </w:instrText>
      </w:r>
      <w:r w:rsidR="00EC5A55">
        <w:fldChar w:fldCharType="separate"/>
      </w:r>
      <w:r w:rsidR="00D41562">
        <w:t>33</w:t>
      </w:r>
      <w:r w:rsidR="00EC5A55">
        <w:fldChar w:fldCharType="end"/>
      </w:r>
      <w:r w:rsidR="00EC5A55">
        <w:t>)</w:t>
      </w:r>
      <w:r w:rsidRPr="005A6A8F">
        <w:t xml:space="preserve">.  Interviews were conducted with SDC, the largest donor partner (in terms of resources) who believed the project was well implemented. </w:t>
      </w:r>
      <w:r w:rsidR="00134F47">
        <w:t>This was due to the high quality of the design of the project, and the strong leadership of GoM, with support from technical experts in the World Bank, throughout implementation.</w:t>
      </w:r>
    </w:p>
    <w:p w14:paraId="65D02D5C" w14:textId="5D460FDE" w:rsidR="00F92093" w:rsidRDefault="00F92093" w:rsidP="005A4EF0">
      <w:pPr>
        <w:numPr>
          <w:ilvl w:val="0"/>
          <w:numId w:val="2"/>
        </w:numPr>
        <w:tabs>
          <w:tab w:val="num" w:pos="0"/>
        </w:tabs>
        <w:autoSpaceDE w:val="0"/>
        <w:autoSpaceDN w:val="0"/>
        <w:adjustRightInd w:val="0"/>
        <w:spacing w:after="240"/>
        <w:ind w:left="0" w:firstLine="0"/>
      </w:pPr>
      <w:r w:rsidRPr="00AC2A80">
        <w:rPr>
          <w:i/>
        </w:rPr>
        <w:t xml:space="preserve">Legal and institutional framework. </w:t>
      </w:r>
      <w:r w:rsidRPr="005A6A8F">
        <w:t xml:space="preserve">The project provided sustained support to the development of the legal and institutional framework to ensure the sustainability of IBLI in the long term. International insurance, legal and actuarial consultants were brought on mission to Mongolia to share international best practices for developing a sound legal and institutional framework for insurance programs. This </w:t>
      </w:r>
      <w:r w:rsidR="00134F47" w:rsidRPr="00134F47">
        <w:t>culminated</w:t>
      </w:r>
      <w:r w:rsidR="00D41562">
        <w:t xml:space="preserve"> </w:t>
      </w:r>
      <w:r w:rsidRPr="005A6A8F">
        <w:t>in the adoption of the IBLI Law in 2013, which made the product fully legal in Mongolia. The project further supported the development of the institutional framework with the founding of the AgRe company</w:t>
      </w:r>
      <w:r w:rsidR="00900F21">
        <w:t xml:space="preserve">, a public sector reinsurance company with the mandate to manage BIP going forward, and sufficient capital to ensure sustainability in the mid-long term (see </w:t>
      </w:r>
      <w:r w:rsidR="00900F21">
        <w:fldChar w:fldCharType="begin"/>
      </w:r>
      <w:r w:rsidR="00900F21">
        <w:instrText xml:space="preserve"> REF _Ref462151094 \h </w:instrText>
      </w:r>
      <w:r w:rsidR="00900F21">
        <w:fldChar w:fldCharType="separate"/>
      </w:r>
      <w:r w:rsidR="00900F21" w:rsidRPr="005A4EF0">
        <w:t>3.4 Efficiency</w:t>
      </w:r>
      <w:r w:rsidR="00900F21">
        <w:fldChar w:fldCharType="end"/>
      </w:r>
      <w:r w:rsidR="00900F21">
        <w:t>).</w:t>
      </w:r>
      <w:r w:rsidR="00900F21" w:rsidRPr="005A6A8F" w:rsidDel="00900F21">
        <w:t xml:space="preserve"> </w:t>
      </w:r>
    </w:p>
    <w:p w14:paraId="582839A4" w14:textId="66FB23F2" w:rsidR="00C67D43" w:rsidRPr="005A4EF0" w:rsidRDefault="00C67D43" w:rsidP="005A4EF0">
      <w:pPr>
        <w:pStyle w:val="Heading3"/>
        <w:spacing w:after="240"/>
        <w:rPr>
          <w:sz w:val="24"/>
          <w:szCs w:val="24"/>
        </w:rPr>
      </w:pPr>
      <w:bookmarkStart w:id="124" w:name="_Toc456784528"/>
      <w:r w:rsidRPr="005A4EF0">
        <w:rPr>
          <w:sz w:val="24"/>
          <w:szCs w:val="24"/>
        </w:rPr>
        <w:t>2.3 Monitoring and Evaluation (M&amp;E) Design, Implementation and Utilization</w:t>
      </w:r>
      <w:bookmarkEnd w:id="124"/>
    </w:p>
    <w:p w14:paraId="3D23D7BD" w14:textId="6CD7CBAF" w:rsidR="00B04DA4" w:rsidRPr="008424D7" w:rsidRDefault="000C095B" w:rsidP="005A4EF0">
      <w:pPr>
        <w:numPr>
          <w:ilvl w:val="0"/>
          <w:numId w:val="2"/>
        </w:numPr>
        <w:tabs>
          <w:tab w:val="num" w:pos="0"/>
        </w:tabs>
        <w:autoSpaceDE w:val="0"/>
        <w:autoSpaceDN w:val="0"/>
        <w:adjustRightInd w:val="0"/>
        <w:spacing w:after="240"/>
        <w:ind w:left="0" w:firstLine="0"/>
      </w:pPr>
      <w:r w:rsidRPr="009D5963">
        <w:t xml:space="preserve">The M&amp;E framework was designed in collaboration with the government and other stakeholders. </w:t>
      </w:r>
      <w:r w:rsidR="00733AB6" w:rsidRPr="009D5963">
        <w:t xml:space="preserve">The Result Framework </w:t>
      </w:r>
      <w:r w:rsidR="00981115" w:rsidRPr="009D5963">
        <w:t>(</w:t>
      </w:r>
      <w:r w:rsidR="00DF5CE9" w:rsidRPr="009D5963">
        <w:t xml:space="preserve">as </w:t>
      </w:r>
      <w:r w:rsidR="00733AB6" w:rsidRPr="009D5963">
        <w:t xml:space="preserve">detailed in Annex 3 of the PAD </w:t>
      </w:r>
      <w:r w:rsidR="00981115" w:rsidRPr="009D5963">
        <w:t>and Annex 2 of the AF)</w:t>
      </w:r>
      <w:r w:rsidR="00DF5CE9" w:rsidRPr="009D5963">
        <w:t xml:space="preserve"> </w:t>
      </w:r>
      <w:r w:rsidR="00733AB6" w:rsidRPr="009D5963">
        <w:t xml:space="preserve">was overall well </w:t>
      </w:r>
      <w:r w:rsidR="00931962" w:rsidRPr="009D5963">
        <w:t>designed:</w:t>
      </w:r>
      <w:r w:rsidR="00733AB6" w:rsidRPr="009D5963">
        <w:t xml:space="preserve"> each of the indicators was directly linked to a Project outcome, adequately measured progress towards the overall PDO, and the framework succeeded in measuring the d</w:t>
      </w:r>
      <w:r w:rsidR="00A42718">
        <w:t xml:space="preserve">irect outcomes of the Project. </w:t>
      </w:r>
      <w:r w:rsidR="005D5773" w:rsidRPr="009D5963">
        <w:t>However, the</w:t>
      </w:r>
      <w:r w:rsidR="00DD7627" w:rsidRPr="009D5963">
        <w:t xml:space="preserve"> </w:t>
      </w:r>
      <w:r w:rsidR="00134F47" w:rsidRPr="00134F47">
        <w:t xml:space="preserve">intermediate </w:t>
      </w:r>
      <w:r w:rsidR="00DD7627" w:rsidRPr="009D5963">
        <w:t>outcome indicator “Cost effective new methods for NSO livestock data collection and statistics tested”</w:t>
      </w:r>
      <w:r w:rsidR="00981115" w:rsidRPr="009D5963">
        <w:t xml:space="preserve"> that was in component 3 of the original credit was hard to measure. </w:t>
      </w:r>
      <w:r w:rsidR="005D5773" w:rsidRPr="009D5963">
        <w:t>Therefore, the</w:t>
      </w:r>
      <w:r w:rsidR="00981115" w:rsidRPr="009D5963">
        <w:t xml:space="preserve"> RF of the </w:t>
      </w:r>
      <w:r w:rsidR="00310854" w:rsidRPr="009D5963">
        <w:t>scaled</w:t>
      </w:r>
      <w:r w:rsidR="00981115" w:rsidRPr="009D5963">
        <w:t xml:space="preserve">-up project replaced it by </w:t>
      </w:r>
      <w:r w:rsidR="005D5773" w:rsidRPr="009D5963">
        <w:t xml:space="preserve">“Number of soums implementing cost effective new </w:t>
      </w:r>
      <w:r w:rsidR="00F2006A" w:rsidRPr="009D5963">
        <w:t>methods for</w:t>
      </w:r>
      <w:r w:rsidR="005D5773" w:rsidRPr="009D5963">
        <w:t xml:space="preserve"> NSO livestock data collection and statistics”.</w:t>
      </w:r>
      <w:r w:rsidR="00B04DA4" w:rsidRPr="008424D7">
        <w:t xml:space="preserve"> </w:t>
      </w:r>
    </w:p>
    <w:p w14:paraId="239CCF86" w14:textId="6E60770E" w:rsidR="00EC5A55" w:rsidRPr="00EC5A55" w:rsidRDefault="00272466" w:rsidP="005A4EF0">
      <w:pPr>
        <w:numPr>
          <w:ilvl w:val="0"/>
          <w:numId w:val="2"/>
        </w:numPr>
        <w:tabs>
          <w:tab w:val="num" w:pos="0"/>
        </w:tabs>
        <w:autoSpaceDE w:val="0"/>
        <w:autoSpaceDN w:val="0"/>
        <w:adjustRightInd w:val="0"/>
        <w:spacing w:after="240"/>
        <w:ind w:left="0" w:firstLine="0"/>
      </w:pPr>
      <w:r w:rsidRPr="008424D7">
        <w:t xml:space="preserve">The original M&amp;E plan </w:t>
      </w:r>
      <w:r w:rsidR="002C3BCD">
        <w:t>encompassed</w:t>
      </w:r>
      <w:r w:rsidRPr="008424D7">
        <w:t xml:space="preserve">: </w:t>
      </w:r>
      <w:r w:rsidR="002C3BCD">
        <w:t>(i) The c</w:t>
      </w:r>
      <w:r w:rsidRPr="002C3BCD">
        <w:t>reation of a centralized M&amp;E system for the IBLIP - Performance Management System (PMS), which relies on the RF, and is supported by a detailed Management Information System (MIS)</w:t>
      </w:r>
      <w:r w:rsidR="002C3BCD" w:rsidRPr="002C3BCD">
        <w:t xml:space="preserve"> with recruitment of an M&amp;E specialist at PIU level, supported when required by international technical assistance</w:t>
      </w:r>
      <w:r w:rsidR="002C3BCD">
        <w:t xml:space="preserve">, and (ii) </w:t>
      </w:r>
      <w:r w:rsidR="003634E2" w:rsidRPr="002C3BCD">
        <w:t>Key activities supporting t</w:t>
      </w:r>
      <w:r w:rsidRPr="002C3BCD">
        <w:t>he MIS would be at the micro level (monthly and quarterly progress monitoring, and annual consolidated progress monitoring), at the macro level (Annual Field Based Monitoring</w:t>
      </w:r>
      <w:r w:rsidR="00114ADE" w:rsidRPr="002C3BCD">
        <w:t xml:space="preserve"> (AFBM) and impact evaluation (IE)</w:t>
      </w:r>
      <w:r w:rsidR="003634E2" w:rsidRPr="002C3BCD">
        <w:t xml:space="preserve"> at the project midpoint and endpoint</w:t>
      </w:r>
      <w:r w:rsidRPr="002C3BCD">
        <w:t>), and at special circumstances (post event monitoring, and ad hoc special studies).</w:t>
      </w:r>
      <w:r w:rsidR="002C3BCD" w:rsidRPr="002C3BCD">
        <w:t xml:space="preserve"> A baseline survey was undertaken.</w:t>
      </w:r>
      <w:r w:rsidR="002D58E2">
        <w:t xml:space="preserve"> </w:t>
      </w:r>
      <w:r w:rsidR="002D58E2" w:rsidRPr="00C457E7">
        <w:t>The survey covered 1</w:t>
      </w:r>
      <w:r w:rsidR="00C1736C">
        <w:t>6</w:t>
      </w:r>
      <w:r w:rsidR="002D58E2" w:rsidRPr="00C457E7">
        <w:t xml:space="preserve"> insurance companies, statistics offices of 3 aimags, </w:t>
      </w:r>
      <w:r w:rsidR="00C1736C">
        <w:t xml:space="preserve">512 </w:t>
      </w:r>
      <w:r w:rsidR="002D58E2" w:rsidRPr="00C457E7">
        <w:t>herding households and all sum administrations in 2</w:t>
      </w:r>
      <w:r w:rsidR="00C1736C">
        <w:t>4</w:t>
      </w:r>
      <w:r w:rsidR="002D58E2" w:rsidRPr="00C457E7">
        <w:t xml:space="preserve"> sums</w:t>
      </w:r>
      <w:r w:rsidR="00527940">
        <w:t>,</w:t>
      </w:r>
      <w:r w:rsidR="002D58E2" w:rsidRPr="00C457E7">
        <w:t xml:space="preserve"> in project</w:t>
      </w:r>
      <w:r w:rsidR="00C1736C">
        <w:t xml:space="preserve"> and non-project </w:t>
      </w:r>
      <w:r w:rsidR="002D58E2" w:rsidRPr="00C457E7">
        <w:t>aimags</w:t>
      </w:r>
      <w:r w:rsidR="00C1736C" w:rsidRPr="00C1736C">
        <w:t>.</w:t>
      </w:r>
      <w:r w:rsidR="00C1736C">
        <w:t xml:space="preserve"> In addition to collecting baseline indicators for the result</w:t>
      </w:r>
      <w:r w:rsidR="001A6ABB">
        <w:t>s</w:t>
      </w:r>
      <w:r w:rsidR="00C1736C">
        <w:t xml:space="preserve"> framework, the findings of the baseline survey allowed the fine tuning of the project’s promotion and public awareness activities. For example</w:t>
      </w:r>
      <w:r w:rsidR="001A6ABB">
        <w:t>, the baseline survey revealed that exp</w:t>
      </w:r>
      <w:r w:rsidR="00C1736C">
        <w:t>erienced herders were more reluctant to chang</w:t>
      </w:r>
      <w:r w:rsidR="001A6ABB">
        <w:t xml:space="preserve">e </w:t>
      </w:r>
      <w:r w:rsidR="00C1736C">
        <w:t>their risk management strategies</w:t>
      </w:r>
      <w:r w:rsidR="00527940">
        <w:t>,</w:t>
      </w:r>
      <w:r w:rsidR="00C1736C">
        <w:t xml:space="preserve"> </w:t>
      </w:r>
      <w:r w:rsidR="001A6ABB">
        <w:t>and theref</w:t>
      </w:r>
      <w:r w:rsidR="00527940">
        <w:t>ore, they were</w:t>
      </w:r>
      <w:r w:rsidR="001A6ABB">
        <w:t xml:space="preserve"> less willing to buy IBLI than their younger counterparts. This finding </w:t>
      </w:r>
      <w:r w:rsidR="00C1736C">
        <w:t xml:space="preserve">allowed the project’s team to tailor </w:t>
      </w:r>
      <w:r w:rsidR="00527940">
        <w:t>its</w:t>
      </w:r>
      <w:r w:rsidR="001A6ABB">
        <w:t xml:space="preserve"> public promotion strategy based on the beneficiary’s age. </w:t>
      </w:r>
    </w:p>
    <w:p w14:paraId="58126E73" w14:textId="64F08AAA" w:rsidR="00272466" w:rsidRPr="009D5963" w:rsidRDefault="003634E2" w:rsidP="005A4EF0">
      <w:pPr>
        <w:numPr>
          <w:ilvl w:val="0"/>
          <w:numId w:val="2"/>
        </w:numPr>
        <w:tabs>
          <w:tab w:val="num" w:pos="0"/>
        </w:tabs>
        <w:autoSpaceDE w:val="0"/>
        <w:autoSpaceDN w:val="0"/>
        <w:adjustRightInd w:val="0"/>
        <w:spacing w:after="240"/>
        <w:ind w:left="0" w:firstLine="0"/>
      </w:pPr>
      <w:r w:rsidRPr="00AC2A80">
        <w:rPr>
          <w:i/>
        </w:rPr>
        <w:lastRenderedPageBreak/>
        <w:t>M&amp;E implementation and use</w:t>
      </w:r>
      <w:r w:rsidR="00075E7A" w:rsidRPr="00AC2A80">
        <w:rPr>
          <w:i/>
        </w:rPr>
        <w:t>.</w:t>
      </w:r>
      <w:r w:rsidR="00075E7A" w:rsidRPr="009D5963">
        <w:t xml:space="preserve"> </w:t>
      </w:r>
      <w:r w:rsidR="00906380" w:rsidRPr="009D5963">
        <w:t>As explained in detail in Annex 2, M&amp;E activities were successfully implemented. More importantly,</w:t>
      </w:r>
      <w:r w:rsidR="00D1365C" w:rsidRPr="009D5963">
        <w:t xml:space="preserve"> findings played an instrumental role</w:t>
      </w:r>
      <w:r w:rsidR="00906380" w:rsidRPr="009D5963">
        <w:t xml:space="preserve"> in refining the IBLI product</w:t>
      </w:r>
      <w:r w:rsidR="00D1365C" w:rsidRPr="009D5963">
        <w:t xml:space="preserve">, especially during the pilot phase. For instance, by documenting </w:t>
      </w:r>
      <w:r w:rsidR="00906380" w:rsidRPr="009D5963">
        <w:t>herders’ views on the pilot</w:t>
      </w:r>
      <w:r w:rsidR="00EC5A55">
        <w:t xml:space="preserve"> </w:t>
      </w:r>
      <w:r w:rsidR="00906380" w:rsidRPr="009D5963">
        <w:t>AFBM reports</w:t>
      </w:r>
      <w:r w:rsidR="00D1365C" w:rsidRPr="009D5963">
        <w:t xml:space="preserve"> improved the understanding of the determin</w:t>
      </w:r>
      <w:r w:rsidR="00906380" w:rsidRPr="009D5963">
        <w:t>ants of herder’s uptake of IBLI. Similarly, post-event monitoring frameworks were successful at evaluating and tracking logistical aspects such as timing, de</w:t>
      </w:r>
      <w:r w:rsidR="00BE18B7" w:rsidRPr="009D5963">
        <w:t xml:space="preserve">livery and receipt of payments </w:t>
      </w:r>
      <w:r w:rsidR="00906380" w:rsidRPr="009D5963">
        <w:t>as well as monitoring and e</w:t>
      </w:r>
      <w:r w:rsidR="00FE5664">
        <w:t>valuating recipient’s responses</w:t>
      </w:r>
      <w:r w:rsidR="00906380" w:rsidRPr="009D5963">
        <w:t xml:space="preserve">. </w:t>
      </w:r>
    </w:p>
    <w:p w14:paraId="35D5CF0F" w14:textId="2287967E" w:rsidR="00906380" w:rsidRPr="009D5963" w:rsidRDefault="009F3F0E" w:rsidP="00F92093">
      <w:pPr>
        <w:numPr>
          <w:ilvl w:val="0"/>
          <w:numId w:val="2"/>
        </w:numPr>
        <w:tabs>
          <w:tab w:val="num" w:pos="0"/>
        </w:tabs>
        <w:spacing w:after="240"/>
        <w:ind w:left="0" w:firstLine="0"/>
      </w:pPr>
      <w:r w:rsidRPr="00AC2A80">
        <w:rPr>
          <w:i/>
        </w:rPr>
        <w:t>Impact assessment.</w:t>
      </w:r>
      <w:r w:rsidRPr="009D5963">
        <w:t xml:space="preserve"> </w:t>
      </w:r>
      <w:r w:rsidR="00906380" w:rsidRPr="009D5963">
        <w:t>The first impact assessment was conducted jointly with the AFBM in 2007. In 2010, it was agreed that the project would make a rigorous impact assessment after three insurance cycles, based on a methodology developed by an international consultant</w:t>
      </w:r>
      <w:r w:rsidR="002C3BCD">
        <w:t xml:space="preserve">, and this </w:t>
      </w:r>
      <w:r w:rsidR="00906380" w:rsidRPr="009D5963">
        <w:t>was completed in 2015</w:t>
      </w:r>
      <w:r w:rsidR="00A741DF" w:rsidRPr="009D5963">
        <w:t xml:space="preserve">. </w:t>
      </w:r>
      <w:r w:rsidR="00BE19E7">
        <w:t>Despite shortcomings</w:t>
      </w:r>
      <w:r w:rsidR="002C3BCD">
        <w:t xml:space="preserve"> due to the delay (challenging to rely on baseline data, so recall data from 2009/2010 used instead)</w:t>
      </w:r>
      <w:r w:rsidR="00BE19E7">
        <w:t>, the impact evaluation helped assess the hypothesis that the insurance program was a welfare improving intervention</w:t>
      </w:r>
      <w:r w:rsidR="002C3BCD">
        <w:t xml:space="preserve"> (see section 3.2 and Annex 5)</w:t>
      </w:r>
      <w:r w:rsidR="00BE19E7">
        <w:t xml:space="preserve">. </w:t>
      </w:r>
    </w:p>
    <w:p w14:paraId="30D4AEA1" w14:textId="07761D7D" w:rsidR="00C67D43" w:rsidRPr="005A4EF0" w:rsidRDefault="00C67D43" w:rsidP="005A4EF0">
      <w:pPr>
        <w:pStyle w:val="Heading3"/>
        <w:spacing w:after="240"/>
        <w:rPr>
          <w:sz w:val="24"/>
          <w:szCs w:val="24"/>
        </w:rPr>
      </w:pPr>
      <w:bookmarkStart w:id="125" w:name="SEC73"/>
      <w:bookmarkStart w:id="126" w:name="_Toc456784529"/>
      <w:bookmarkEnd w:id="125"/>
      <w:r w:rsidRPr="005A4EF0">
        <w:rPr>
          <w:sz w:val="24"/>
          <w:szCs w:val="24"/>
        </w:rPr>
        <w:t>2.4 Safeguard and Fiduciary Compliance</w:t>
      </w:r>
      <w:bookmarkEnd w:id="126"/>
    </w:p>
    <w:p w14:paraId="0E6BF5DF" w14:textId="258F4DD8" w:rsidR="00D37D26" w:rsidRPr="009D5963" w:rsidRDefault="00E438FA" w:rsidP="00F92093">
      <w:pPr>
        <w:numPr>
          <w:ilvl w:val="0"/>
          <w:numId w:val="2"/>
        </w:numPr>
        <w:tabs>
          <w:tab w:val="num" w:pos="0"/>
        </w:tabs>
        <w:spacing w:after="240"/>
        <w:ind w:left="0" w:firstLine="0"/>
      </w:pPr>
      <w:r w:rsidRPr="00AC2A80">
        <w:rPr>
          <w:i/>
        </w:rPr>
        <w:t xml:space="preserve">Safeguard compliance. </w:t>
      </w:r>
      <w:r w:rsidRPr="009D5963">
        <w:rPr>
          <w:bCs/>
          <w:color w:val="000000"/>
        </w:rPr>
        <w:t xml:space="preserve">The pilot project (original credit) was classified as Category C in terms of Safeguards and did not trigger any safeguard policy related to the environment or social issues. </w:t>
      </w:r>
      <w:r w:rsidR="00D37D26" w:rsidRPr="009D5963">
        <w:rPr>
          <w:bCs/>
          <w:color w:val="000000"/>
        </w:rPr>
        <w:t>The AF trigged the Indigenous Peoples OP 4.10</w:t>
      </w:r>
      <w:r w:rsidR="00512DC2">
        <w:rPr>
          <w:bCs/>
          <w:color w:val="000000"/>
        </w:rPr>
        <w:t xml:space="preserve"> (see </w:t>
      </w:r>
      <w:r w:rsidR="00512DC2">
        <w:rPr>
          <w:bCs/>
          <w:color w:val="000000"/>
        </w:rPr>
        <w:fldChar w:fldCharType="begin"/>
      </w:r>
      <w:r w:rsidR="00512DC2">
        <w:rPr>
          <w:bCs/>
          <w:color w:val="000000"/>
        </w:rPr>
        <w:instrText xml:space="preserve"> REF _Ref456789247 \r \h </w:instrText>
      </w:r>
      <w:r w:rsidR="00512DC2">
        <w:rPr>
          <w:bCs/>
          <w:color w:val="000000"/>
        </w:rPr>
      </w:r>
      <w:r w:rsidR="00512DC2">
        <w:rPr>
          <w:bCs/>
          <w:color w:val="000000"/>
        </w:rPr>
        <w:fldChar w:fldCharType="separate"/>
      </w:r>
      <w:r w:rsidR="00D41562">
        <w:rPr>
          <w:bCs/>
          <w:color w:val="000000"/>
        </w:rPr>
        <w:t>54</w:t>
      </w:r>
      <w:r w:rsidR="00512DC2">
        <w:rPr>
          <w:bCs/>
          <w:color w:val="000000"/>
        </w:rPr>
        <w:fldChar w:fldCharType="end"/>
      </w:r>
      <w:r w:rsidR="00512DC2">
        <w:rPr>
          <w:bCs/>
          <w:color w:val="000000"/>
        </w:rPr>
        <w:t>)</w:t>
      </w:r>
      <w:r w:rsidR="00D37D26" w:rsidRPr="009D5963">
        <w:rPr>
          <w:bCs/>
          <w:color w:val="000000"/>
        </w:rPr>
        <w:t xml:space="preserve">. </w:t>
      </w:r>
    </w:p>
    <w:p w14:paraId="33158F54" w14:textId="7614478B" w:rsidR="00666E2F" w:rsidRPr="00172952" w:rsidRDefault="00D37D26" w:rsidP="00F92093">
      <w:pPr>
        <w:numPr>
          <w:ilvl w:val="0"/>
          <w:numId w:val="2"/>
        </w:numPr>
        <w:tabs>
          <w:tab w:val="num" w:pos="0"/>
        </w:tabs>
        <w:spacing w:after="240"/>
        <w:ind w:left="0" w:firstLine="0"/>
        <w:rPr>
          <w:sz w:val="22"/>
          <w:szCs w:val="22"/>
        </w:rPr>
      </w:pPr>
      <w:r w:rsidRPr="00AC2A80">
        <w:rPr>
          <w:i/>
        </w:rPr>
        <w:t>Environmental Safeguards</w:t>
      </w:r>
      <w:r w:rsidRPr="00AC2A80">
        <w:rPr>
          <w:i/>
          <w:sz w:val="22"/>
          <w:szCs w:val="22"/>
        </w:rPr>
        <w:t>.</w:t>
      </w:r>
      <w:r w:rsidRPr="00172952">
        <w:rPr>
          <w:sz w:val="22"/>
          <w:szCs w:val="22"/>
        </w:rPr>
        <w:t xml:space="preserve"> </w:t>
      </w:r>
      <w:r w:rsidR="001E6D19" w:rsidRPr="009D5963">
        <w:rPr>
          <w:bCs/>
          <w:color w:val="000000"/>
        </w:rPr>
        <w:t>Overall, Environmental Safeguard compliance throughout the project was rated “Satisfactory” b</w:t>
      </w:r>
      <w:r w:rsidR="00FE5664">
        <w:rPr>
          <w:bCs/>
          <w:color w:val="000000"/>
        </w:rPr>
        <w:t xml:space="preserve">y the Bank Safeguard Specialist as </w:t>
      </w:r>
      <w:r w:rsidRPr="009D5963">
        <w:rPr>
          <w:bCs/>
          <w:color w:val="000000"/>
        </w:rPr>
        <w:t>the project is concerned with a purely financial product, it has no direct environmental impacts.</w:t>
      </w:r>
      <w:r w:rsidR="001E6D19" w:rsidRPr="00172952">
        <w:rPr>
          <w:sz w:val="22"/>
          <w:szCs w:val="22"/>
        </w:rPr>
        <w:t xml:space="preserve"> </w:t>
      </w:r>
    </w:p>
    <w:p w14:paraId="467D1696" w14:textId="5072970F" w:rsidR="00D37D26" w:rsidRPr="009D5963" w:rsidRDefault="00D37D26" w:rsidP="005A4EF0">
      <w:pPr>
        <w:numPr>
          <w:ilvl w:val="0"/>
          <w:numId w:val="2"/>
        </w:numPr>
        <w:tabs>
          <w:tab w:val="num" w:pos="0"/>
        </w:tabs>
        <w:spacing w:after="240"/>
        <w:ind w:left="0" w:firstLine="0"/>
      </w:pPr>
      <w:r w:rsidRPr="00AC2A80">
        <w:rPr>
          <w:i/>
        </w:rPr>
        <w:t>Social Safeguards</w:t>
      </w:r>
      <w:r w:rsidRPr="00AC2A80">
        <w:rPr>
          <w:i/>
          <w:sz w:val="22"/>
          <w:szCs w:val="22"/>
        </w:rPr>
        <w:t>.</w:t>
      </w:r>
      <w:r w:rsidRPr="00172952">
        <w:rPr>
          <w:b/>
          <w:sz w:val="22"/>
          <w:szCs w:val="22"/>
        </w:rPr>
        <w:t xml:space="preserve"> </w:t>
      </w:r>
      <w:r w:rsidR="001E6D19" w:rsidRPr="009D5963">
        <w:rPr>
          <w:bCs/>
          <w:color w:val="000000"/>
        </w:rPr>
        <w:t>The final ISR rating on Safeguard was “Satisfactory”. No specific management actions were identified by any W</w:t>
      </w:r>
      <w:r w:rsidR="00A42718">
        <w:rPr>
          <w:bCs/>
          <w:color w:val="000000"/>
        </w:rPr>
        <w:t>B</w:t>
      </w:r>
      <w:r w:rsidR="001E6D19" w:rsidRPr="009D5963">
        <w:rPr>
          <w:bCs/>
          <w:color w:val="000000"/>
        </w:rPr>
        <w:t xml:space="preserve"> </w:t>
      </w:r>
      <w:r w:rsidR="009D5963" w:rsidRPr="009D5963">
        <w:rPr>
          <w:bCs/>
          <w:color w:val="000000"/>
        </w:rPr>
        <w:t>mission</w:t>
      </w:r>
      <w:r w:rsidR="00585664">
        <w:rPr>
          <w:bCs/>
          <w:color w:val="000000"/>
        </w:rPr>
        <w:t xml:space="preserve"> </w:t>
      </w:r>
      <w:r w:rsidR="00585664" w:rsidRPr="00585664">
        <w:rPr>
          <w:bCs/>
          <w:color w:val="000000"/>
        </w:rPr>
        <w:t>or safeguards reviewer</w:t>
      </w:r>
      <w:r w:rsidR="001E6D19" w:rsidRPr="009D5963">
        <w:rPr>
          <w:bCs/>
          <w:color w:val="000000"/>
        </w:rPr>
        <w:t xml:space="preserve">. </w:t>
      </w:r>
      <w:r w:rsidRPr="009D5963">
        <w:rPr>
          <w:bCs/>
          <w:color w:val="000000"/>
        </w:rPr>
        <w:t xml:space="preserve">It was established that since the </w:t>
      </w:r>
      <w:r w:rsidR="002F6609" w:rsidRPr="009D5963">
        <w:rPr>
          <w:bCs/>
          <w:color w:val="000000"/>
        </w:rPr>
        <w:t xml:space="preserve">IBLI product was made available to all herders in pilot </w:t>
      </w:r>
      <w:r w:rsidR="002F6609" w:rsidRPr="00A42718">
        <w:rPr>
          <w:bCs/>
          <w:i/>
          <w:color w:val="000000"/>
        </w:rPr>
        <w:t>aimags</w:t>
      </w:r>
      <w:r w:rsidR="002F6609" w:rsidRPr="009D5963">
        <w:rPr>
          <w:bCs/>
          <w:color w:val="000000"/>
        </w:rPr>
        <w:t xml:space="preserve">, regardless of ethnic identity, the </w:t>
      </w:r>
      <w:r w:rsidR="003D419C">
        <w:rPr>
          <w:bCs/>
          <w:color w:val="000000"/>
        </w:rPr>
        <w:t xml:space="preserve">IBLI-pilot </w:t>
      </w:r>
      <w:r w:rsidR="002F6609" w:rsidRPr="009D5963">
        <w:rPr>
          <w:bCs/>
          <w:color w:val="000000"/>
        </w:rPr>
        <w:t xml:space="preserve">was not expected to have any specific effects on minority populations. Nevertheless, the project M&amp;E component was expected to systematically monitor diversity issues as stated in the PAD to track whether access for all is enabled. </w:t>
      </w:r>
      <w:r w:rsidR="0016022F">
        <w:rPr>
          <w:bCs/>
          <w:color w:val="000000"/>
        </w:rPr>
        <w:t xml:space="preserve">This was done as the project </w:t>
      </w:r>
      <w:r w:rsidR="0016022F" w:rsidRPr="0016022F">
        <w:rPr>
          <w:bCs/>
          <w:color w:val="000000"/>
        </w:rPr>
        <w:t xml:space="preserve">maintained an </w:t>
      </w:r>
      <w:r w:rsidR="006E5054" w:rsidRPr="0016022F">
        <w:rPr>
          <w:bCs/>
          <w:color w:val="000000"/>
        </w:rPr>
        <w:t>M</w:t>
      </w:r>
      <w:r w:rsidR="0016022F" w:rsidRPr="0016022F">
        <w:rPr>
          <w:bCs/>
          <w:color w:val="000000"/>
        </w:rPr>
        <w:t xml:space="preserve">&amp;E </w:t>
      </w:r>
      <w:r w:rsidR="0016022F">
        <w:rPr>
          <w:bCs/>
          <w:color w:val="000000"/>
        </w:rPr>
        <w:t xml:space="preserve">system </w:t>
      </w:r>
      <w:r w:rsidR="005F07CF">
        <w:rPr>
          <w:bCs/>
          <w:color w:val="000000"/>
        </w:rPr>
        <w:t xml:space="preserve">to </w:t>
      </w:r>
      <w:r w:rsidR="0016022F">
        <w:rPr>
          <w:bCs/>
          <w:color w:val="000000"/>
        </w:rPr>
        <w:t>closely</w:t>
      </w:r>
      <w:r w:rsidR="006E5054" w:rsidRPr="0016022F">
        <w:rPr>
          <w:bCs/>
          <w:color w:val="000000"/>
        </w:rPr>
        <w:t xml:space="preserve"> monitor</w:t>
      </w:r>
      <w:r w:rsidR="005F07CF">
        <w:rPr>
          <w:bCs/>
          <w:color w:val="000000"/>
        </w:rPr>
        <w:t xml:space="preserve"> </w:t>
      </w:r>
      <w:r w:rsidR="006E5054" w:rsidRPr="0016022F">
        <w:rPr>
          <w:bCs/>
          <w:color w:val="000000"/>
        </w:rPr>
        <w:t xml:space="preserve">the uptake of the insurance by herders and any changes in herder </w:t>
      </w:r>
      <w:r w:rsidR="002733CD" w:rsidRPr="0016022F">
        <w:rPr>
          <w:bCs/>
          <w:color w:val="000000"/>
        </w:rPr>
        <w:t>behavior</w:t>
      </w:r>
      <w:r w:rsidR="006E5054" w:rsidRPr="0016022F">
        <w:rPr>
          <w:bCs/>
          <w:color w:val="000000"/>
        </w:rPr>
        <w:t xml:space="preserve"> as a result of the project. </w:t>
      </w:r>
    </w:p>
    <w:p w14:paraId="7BE01B81" w14:textId="4068CA7F" w:rsidR="0016022F" w:rsidRPr="005F07CF" w:rsidRDefault="002F6609" w:rsidP="00F92093">
      <w:pPr>
        <w:numPr>
          <w:ilvl w:val="0"/>
          <w:numId w:val="2"/>
        </w:numPr>
        <w:tabs>
          <w:tab w:val="num" w:pos="0"/>
        </w:tabs>
        <w:spacing w:after="240"/>
        <w:ind w:left="0" w:firstLine="0"/>
        <w:rPr>
          <w:bCs/>
          <w:color w:val="000000"/>
        </w:rPr>
      </w:pPr>
      <w:bookmarkStart w:id="127" w:name="_Ref456789247"/>
      <w:r w:rsidRPr="005F07CF">
        <w:rPr>
          <w:bCs/>
          <w:color w:val="000000"/>
        </w:rPr>
        <w:t xml:space="preserve">The AF of the project trigged the Indigenous Peoples OP 4.10 since it seemed likely that identified indigenous populations of the Tsaatan </w:t>
      </w:r>
      <w:r w:rsidR="003072AF" w:rsidRPr="005F07CF">
        <w:rPr>
          <w:bCs/>
          <w:color w:val="000000"/>
        </w:rPr>
        <w:t>reindeer</w:t>
      </w:r>
      <w:r w:rsidRPr="005F07CF">
        <w:rPr>
          <w:bCs/>
          <w:color w:val="000000"/>
        </w:rPr>
        <w:t xml:space="preserve"> herders who live in</w:t>
      </w:r>
      <w:r w:rsidR="0004031E" w:rsidRPr="005F07CF">
        <w:rPr>
          <w:bCs/>
          <w:color w:val="000000"/>
        </w:rPr>
        <w:t xml:space="preserve"> </w:t>
      </w:r>
      <w:r w:rsidR="0004031E" w:rsidRPr="005F07CF">
        <w:t xml:space="preserve">Tsagaannuur and Rentsenlkhumbe </w:t>
      </w:r>
      <w:r w:rsidR="0004031E" w:rsidRPr="00CD0AC0">
        <w:rPr>
          <w:i/>
        </w:rPr>
        <w:t>soums</w:t>
      </w:r>
      <w:r w:rsidR="0004031E" w:rsidRPr="005F07CF">
        <w:t xml:space="preserve"> in</w:t>
      </w:r>
      <w:r w:rsidRPr="005F07CF">
        <w:rPr>
          <w:bCs/>
          <w:color w:val="000000"/>
        </w:rPr>
        <w:t xml:space="preserve"> northern </w:t>
      </w:r>
      <w:r w:rsidR="0004031E" w:rsidRPr="005F07CF">
        <w:rPr>
          <w:bCs/>
          <w:color w:val="000000"/>
        </w:rPr>
        <w:t xml:space="preserve">Khuvsgul </w:t>
      </w:r>
      <w:r w:rsidR="0016022F" w:rsidRPr="005F07CF">
        <w:rPr>
          <w:bCs/>
          <w:i/>
          <w:color w:val="000000"/>
        </w:rPr>
        <w:t>aimag</w:t>
      </w:r>
      <w:r w:rsidR="0016022F" w:rsidRPr="005F07CF">
        <w:rPr>
          <w:bCs/>
          <w:color w:val="000000"/>
        </w:rPr>
        <w:t xml:space="preserve"> </w:t>
      </w:r>
      <w:r w:rsidRPr="005F07CF">
        <w:rPr>
          <w:bCs/>
          <w:color w:val="000000"/>
        </w:rPr>
        <w:t xml:space="preserve">would be included in the scale up. </w:t>
      </w:r>
      <w:r w:rsidR="003072AF" w:rsidRPr="005F07CF">
        <w:rPr>
          <w:bCs/>
          <w:color w:val="000000"/>
        </w:rPr>
        <w:t xml:space="preserve">Reinders thrive in </w:t>
      </w:r>
      <w:r w:rsidR="003072AF" w:rsidRPr="005F07CF">
        <w:rPr>
          <w:bCs/>
          <w:i/>
          <w:color w:val="000000"/>
        </w:rPr>
        <w:t xml:space="preserve">dzud, </w:t>
      </w:r>
      <w:r w:rsidR="003072AF" w:rsidRPr="005F07CF">
        <w:rPr>
          <w:bCs/>
          <w:color w:val="000000"/>
        </w:rPr>
        <w:t xml:space="preserve">but </w:t>
      </w:r>
      <w:r w:rsidR="00512DC2">
        <w:rPr>
          <w:bCs/>
          <w:color w:val="000000"/>
        </w:rPr>
        <w:t>as</w:t>
      </w:r>
      <w:r w:rsidR="00CD0AC0">
        <w:rPr>
          <w:bCs/>
          <w:color w:val="000000"/>
        </w:rPr>
        <w:t xml:space="preserve"> these</w:t>
      </w:r>
      <w:r w:rsidR="003072AF" w:rsidRPr="005F07CF">
        <w:rPr>
          <w:bCs/>
          <w:color w:val="000000"/>
        </w:rPr>
        <w:t xml:space="preserve"> herders </w:t>
      </w:r>
      <w:r w:rsidR="00512DC2">
        <w:rPr>
          <w:bCs/>
          <w:color w:val="000000"/>
        </w:rPr>
        <w:t xml:space="preserve">held other </w:t>
      </w:r>
      <w:r w:rsidR="00CD0AC0" w:rsidRPr="005F07CF">
        <w:rPr>
          <w:bCs/>
          <w:color w:val="000000"/>
        </w:rPr>
        <w:t>livestock</w:t>
      </w:r>
      <w:r w:rsidR="003072AF" w:rsidRPr="005F07CF">
        <w:rPr>
          <w:bCs/>
          <w:color w:val="000000"/>
        </w:rPr>
        <w:t xml:space="preserve">, the OP 4.10 policy was triggered. </w:t>
      </w:r>
      <w:r w:rsidR="005D2E11" w:rsidRPr="005F07CF">
        <w:rPr>
          <w:bCs/>
          <w:color w:val="000000"/>
        </w:rPr>
        <w:t>As stated in the semi-annual progress report of 2009, the PIU has developed the “Mongolia-Index-based Livestock Insurance Project Additional Financing Indigenous Peoples Planning Framework” (IBLIP-IPF). The IBLI-IPF was</w:t>
      </w:r>
      <w:r w:rsidR="002C3BCD">
        <w:rPr>
          <w:bCs/>
          <w:color w:val="000000"/>
        </w:rPr>
        <w:t xml:space="preserve"> </w:t>
      </w:r>
      <w:r w:rsidR="005F07CF" w:rsidRPr="005F07CF">
        <w:rPr>
          <w:bCs/>
          <w:color w:val="000000"/>
        </w:rPr>
        <w:t>disclosed in</w:t>
      </w:r>
      <w:r w:rsidR="002C3BCD">
        <w:rPr>
          <w:lang w:eastAsia="en-US"/>
        </w:rPr>
        <w:t>-</w:t>
      </w:r>
      <w:r w:rsidR="0016022F" w:rsidRPr="005F07CF">
        <w:rPr>
          <w:lang w:eastAsia="en-US"/>
        </w:rPr>
        <w:t xml:space="preserve">country </w:t>
      </w:r>
      <w:r w:rsidR="002C3BCD">
        <w:rPr>
          <w:lang w:eastAsia="en-US"/>
        </w:rPr>
        <w:t>February 21, 2009, on Infoshop on March 13, 2009</w:t>
      </w:r>
      <w:r w:rsidR="0016022F" w:rsidRPr="005F07CF">
        <w:rPr>
          <w:lang w:eastAsia="en-US"/>
        </w:rPr>
        <w:t xml:space="preserve"> and disseminated </w:t>
      </w:r>
      <w:r w:rsidR="005D2E11" w:rsidRPr="005F07CF">
        <w:rPr>
          <w:bCs/>
          <w:color w:val="000000"/>
        </w:rPr>
        <w:t xml:space="preserve">among the Tsaatan communities through (i) being published in the newspaper “Dalai Eej”, the Khuvsgul aimag’s local newspaper, (ii) the Khuvsgul aimag library; and (iii) Tsagaannuur </w:t>
      </w:r>
      <w:r w:rsidR="005D2E11" w:rsidRPr="00CD0AC0">
        <w:rPr>
          <w:bCs/>
          <w:i/>
          <w:color w:val="000000"/>
        </w:rPr>
        <w:t>soum</w:t>
      </w:r>
      <w:r w:rsidR="005D2E11" w:rsidRPr="005F07CF">
        <w:rPr>
          <w:bCs/>
          <w:color w:val="000000"/>
        </w:rPr>
        <w:t xml:space="preserve"> governor office.</w:t>
      </w:r>
      <w:bookmarkEnd w:id="127"/>
      <w:r w:rsidR="0016022F" w:rsidRPr="005F07CF">
        <w:rPr>
          <w:bCs/>
          <w:color w:val="000000"/>
        </w:rPr>
        <w:t xml:space="preserve"> </w:t>
      </w:r>
    </w:p>
    <w:p w14:paraId="611A67AD" w14:textId="0AE44DE3" w:rsidR="00CD4805" w:rsidRPr="005F07CF" w:rsidRDefault="001E6D19" w:rsidP="00F92093">
      <w:pPr>
        <w:numPr>
          <w:ilvl w:val="0"/>
          <w:numId w:val="2"/>
        </w:numPr>
        <w:tabs>
          <w:tab w:val="num" w:pos="0"/>
        </w:tabs>
        <w:spacing w:after="240"/>
        <w:ind w:left="0" w:firstLine="0"/>
        <w:rPr>
          <w:bCs/>
          <w:color w:val="000000"/>
        </w:rPr>
      </w:pPr>
      <w:r w:rsidRPr="005F07CF">
        <w:rPr>
          <w:bCs/>
          <w:color w:val="000000"/>
        </w:rPr>
        <w:lastRenderedPageBreak/>
        <w:t xml:space="preserve">It was agreed that the number of Tsaatan beneficiaries from all IBLIP-AF components will be recorded for activities and reported to IBLIP-AF officer twice per year, once </w:t>
      </w:r>
      <w:r w:rsidR="003D419C" w:rsidRPr="005F07CF">
        <w:rPr>
          <w:bCs/>
          <w:color w:val="000000"/>
        </w:rPr>
        <w:t>Khuvsgul</w:t>
      </w:r>
      <w:r w:rsidRPr="005F07CF">
        <w:rPr>
          <w:bCs/>
          <w:color w:val="000000"/>
        </w:rPr>
        <w:t xml:space="preserve"> aimag has been included.</w:t>
      </w:r>
      <w:r w:rsidR="00CD4805" w:rsidRPr="005F07CF">
        <w:rPr>
          <w:bCs/>
          <w:color w:val="000000"/>
        </w:rPr>
        <w:t xml:space="preserve"> </w:t>
      </w:r>
      <w:r w:rsidR="005D2E11" w:rsidRPr="005F07CF">
        <w:rPr>
          <w:bCs/>
          <w:color w:val="000000"/>
        </w:rPr>
        <w:t xml:space="preserve">However, as </w:t>
      </w:r>
      <w:r w:rsidR="002C3BCD">
        <w:rPr>
          <w:bCs/>
          <w:color w:val="000000"/>
        </w:rPr>
        <w:t>r</w:t>
      </w:r>
      <w:r w:rsidR="002C3BCD" w:rsidRPr="005F07CF">
        <w:rPr>
          <w:bCs/>
          <w:color w:val="000000"/>
        </w:rPr>
        <w:t xml:space="preserve">eindeer </w:t>
      </w:r>
      <w:r w:rsidR="005D2E11" w:rsidRPr="005F07CF">
        <w:rPr>
          <w:bCs/>
          <w:color w:val="000000"/>
        </w:rPr>
        <w:t xml:space="preserve">does not suffer from the </w:t>
      </w:r>
      <w:r w:rsidR="005D2E11" w:rsidRPr="005F07CF">
        <w:rPr>
          <w:bCs/>
          <w:i/>
          <w:color w:val="000000"/>
        </w:rPr>
        <w:t>dzud,</w:t>
      </w:r>
      <w:r w:rsidR="005D2E11" w:rsidRPr="005F07CF">
        <w:rPr>
          <w:bCs/>
          <w:color w:val="000000"/>
        </w:rPr>
        <w:t xml:space="preserve"> there was </w:t>
      </w:r>
      <w:r w:rsidR="00585664">
        <w:rPr>
          <w:bCs/>
          <w:color w:val="000000"/>
        </w:rPr>
        <w:t>no</w:t>
      </w:r>
      <w:r w:rsidR="005D2E11" w:rsidRPr="005F07CF">
        <w:rPr>
          <w:bCs/>
          <w:color w:val="000000"/>
        </w:rPr>
        <w:t xml:space="preserve"> uptake of IBLI among reindeer herders. </w:t>
      </w:r>
      <w:r w:rsidR="006E5054" w:rsidRPr="005F07CF">
        <w:rPr>
          <w:bCs/>
          <w:color w:val="000000"/>
        </w:rPr>
        <w:t xml:space="preserve"> </w:t>
      </w:r>
    </w:p>
    <w:p w14:paraId="0B037FBB" w14:textId="7470088D" w:rsidR="002F6609" w:rsidRPr="005F07CF" w:rsidRDefault="002F6609" w:rsidP="00F92093">
      <w:pPr>
        <w:numPr>
          <w:ilvl w:val="0"/>
          <w:numId w:val="2"/>
        </w:numPr>
        <w:tabs>
          <w:tab w:val="num" w:pos="0"/>
        </w:tabs>
        <w:spacing w:after="240"/>
        <w:ind w:left="0" w:firstLine="0"/>
        <w:rPr>
          <w:bCs/>
          <w:color w:val="000000"/>
        </w:rPr>
      </w:pPr>
      <w:r w:rsidRPr="005F07CF">
        <w:rPr>
          <w:bCs/>
          <w:color w:val="000000"/>
        </w:rPr>
        <w:t>Since the project was also likely to include Kazakh populations in western provinces</w:t>
      </w:r>
      <w:r w:rsidR="002C3BCD">
        <w:rPr>
          <w:bCs/>
          <w:color w:val="000000"/>
        </w:rPr>
        <w:t xml:space="preserve"> (who do not speak Mongolian language)</w:t>
      </w:r>
      <w:r w:rsidRPr="005F07CF">
        <w:rPr>
          <w:bCs/>
          <w:color w:val="000000"/>
        </w:rPr>
        <w:t>, all the relevant projects materials would be translated into Kazak for project activities in those areas</w:t>
      </w:r>
      <w:r w:rsidR="001E6D19" w:rsidRPr="005F07CF">
        <w:rPr>
          <w:bCs/>
          <w:color w:val="000000"/>
        </w:rPr>
        <w:t xml:space="preserve">. </w:t>
      </w:r>
      <w:r w:rsidR="003D419C" w:rsidRPr="005F07CF">
        <w:t xml:space="preserve">This requirement was </w:t>
      </w:r>
      <w:r w:rsidR="001B2823" w:rsidRPr="005F07CF">
        <w:t>met</w:t>
      </w:r>
      <w:r w:rsidR="002C3BCD">
        <w:t xml:space="preserve">ensuring </w:t>
      </w:r>
      <w:r w:rsidR="002C3BCD" w:rsidRPr="005F07CF">
        <w:t xml:space="preserve">that the minority herders in Bayan-Ulgii </w:t>
      </w:r>
      <w:r w:rsidR="002C3BCD" w:rsidRPr="001B2823">
        <w:rPr>
          <w:i/>
        </w:rPr>
        <w:t>aimag</w:t>
      </w:r>
      <w:r w:rsidR="002C3BCD" w:rsidRPr="005F07CF">
        <w:t xml:space="preserve"> had understanding and opportunity to participate</w:t>
      </w:r>
      <w:r w:rsidR="00AC3926">
        <w:rPr>
          <w:rStyle w:val="FootnoteReference"/>
        </w:rPr>
        <w:footnoteReference w:id="6"/>
      </w:r>
      <w:r w:rsidR="001B2823" w:rsidRPr="005F07CF">
        <w:t>.</w:t>
      </w:r>
      <w:r w:rsidR="003D419C" w:rsidRPr="005F07CF">
        <w:t xml:space="preserve"> </w:t>
      </w:r>
    </w:p>
    <w:p w14:paraId="45CC2362" w14:textId="0904FE57" w:rsidR="00544728" w:rsidRPr="00AC4735" w:rsidRDefault="006C6376" w:rsidP="00F92093">
      <w:pPr>
        <w:numPr>
          <w:ilvl w:val="0"/>
          <w:numId w:val="2"/>
        </w:numPr>
        <w:tabs>
          <w:tab w:val="num" w:pos="0"/>
        </w:tabs>
        <w:spacing w:after="240"/>
        <w:ind w:left="0" w:firstLine="0"/>
        <w:rPr>
          <w:bCs/>
          <w:color w:val="000000"/>
        </w:rPr>
      </w:pPr>
      <w:r w:rsidRPr="00AC2A80">
        <w:rPr>
          <w:i/>
          <w:color w:val="000000"/>
        </w:rPr>
        <w:t>Procurement.</w:t>
      </w:r>
      <w:r w:rsidRPr="00AC4735">
        <w:rPr>
          <w:b/>
          <w:color w:val="000000"/>
        </w:rPr>
        <w:t xml:space="preserve"> </w:t>
      </w:r>
      <w:r w:rsidR="00B3282D">
        <w:rPr>
          <w:bCs/>
          <w:color w:val="000000"/>
        </w:rPr>
        <w:t>Overall, there were no major procurement issues with this project.</w:t>
      </w:r>
      <w:r w:rsidR="00B3282D" w:rsidRPr="00AC4735">
        <w:rPr>
          <w:bCs/>
          <w:color w:val="000000"/>
        </w:rPr>
        <w:t xml:space="preserve"> </w:t>
      </w:r>
      <w:r w:rsidRPr="00AC4735">
        <w:rPr>
          <w:bCs/>
          <w:color w:val="000000"/>
        </w:rPr>
        <w:t xml:space="preserve">The final ISR rates the management of procurement </w:t>
      </w:r>
      <w:r w:rsidR="00B0278E" w:rsidRPr="00AC4735">
        <w:rPr>
          <w:bCs/>
          <w:color w:val="000000"/>
        </w:rPr>
        <w:t>processes</w:t>
      </w:r>
      <w:r w:rsidR="00AC4735">
        <w:rPr>
          <w:bCs/>
          <w:color w:val="000000"/>
        </w:rPr>
        <w:t xml:space="preserve"> as “Satisfactory”. Seven ex-</w:t>
      </w:r>
      <w:r w:rsidR="00B0278E" w:rsidRPr="00AC4735">
        <w:rPr>
          <w:bCs/>
          <w:color w:val="000000"/>
        </w:rPr>
        <w:t xml:space="preserve">post procurement reviews were conducted during project implementation (2008, 2009, 2011, 2013, 2012, 2014 and 2015). The ex-post reports and the supervision </w:t>
      </w:r>
      <w:r w:rsidR="00B1051D" w:rsidRPr="00AC4735">
        <w:rPr>
          <w:bCs/>
          <w:color w:val="000000"/>
        </w:rPr>
        <w:t>mission’s</w:t>
      </w:r>
      <w:r w:rsidR="00B0278E" w:rsidRPr="00AC4735">
        <w:rPr>
          <w:bCs/>
          <w:color w:val="000000"/>
        </w:rPr>
        <w:t xml:space="preserve"> Aide Memoires included recommendations that helped improve the management of the procurement processes, including: (i) strengthening the procurement capacity </w:t>
      </w:r>
      <w:r w:rsidR="00B1051D" w:rsidRPr="00AC4735">
        <w:rPr>
          <w:bCs/>
          <w:color w:val="000000"/>
        </w:rPr>
        <w:t>through</w:t>
      </w:r>
      <w:r w:rsidR="00B0278E" w:rsidRPr="00AC4735">
        <w:rPr>
          <w:bCs/>
          <w:color w:val="000000"/>
        </w:rPr>
        <w:t xml:space="preserve"> training workshops, preparation and dissemination of sample procurement document, and a staffing plan for project implementation, (ii) splitting up the functions of financial management and procurement during the scale-up of the project and creation of a position for a new procurement and contract management officer, </w:t>
      </w:r>
      <w:r w:rsidR="00B1051D" w:rsidRPr="00AC4735">
        <w:rPr>
          <w:bCs/>
          <w:color w:val="000000"/>
        </w:rPr>
        <w:t xml:space="preserve">and (iii) inviting the PIU to continually seek guidance and assistance from the relevant staff in the </w:t>
      </w:r>
      <w:r w:rsidR="00C62EE3">
        <w:rPr>
          <w:bCs/>
          <w:color w:val="000000"/>
        </w:rPr>
        <w:t>WB</w:t>
      </w:r>
      <w:r w:rsidR="00B1051D" w:rsidRPr="00AC4735">
        <w:rPr>
          <w:bCs/>
          <w:color w:val="000000"/>
        </w:rPr>
        <w:t xml:space="preserve"> to ensure compliance since the PIU team was new.</w:t>
      </w:r>
    </w:p>
    <w:p w14:paraId="09F205E7" w14:textId="54230557" w:rsidR="00C24C12" w:rsidRDefault="00B3282D" w:rsidP="00F92093">
      <w:pPr>
        <w:numPr>
          <w:ilvl w:val="0"/>
          <w:numId w:val="2"/>
        </w:numPr>
        <w:tabs>
          <w:tab w:val="num" w:pos="0"/>
        </w:tabs>
        <w:spacing w:after="240"/>
        <w:ind w:left="0" w:firstLine="0"/>
        <w:rPr>
          <w:bCs/>
          <w:color w:val="000000"/>
        </w:rPr>
      </w:pPr>
      <w:r>
        <w:rPr>
          <w:bCs/>
          <w:color w:val="000000"/>
        </w:rPr>
        <w:t>The initial lack of experience of the PIU procurement staff, and their high turnover rate caused minor issues. Thanks to the constant support provided from the WB procurement specialist who remained the same through</w:t>
      </w:r>
      <w:r w:rsidR="005F07CF">
        <w:rPr>
          <w:bCs/>
          <w:color w:val="000000"/>
        </w:rPr>
        <w:t>out</w:t>
      </w:r>
      <w:r>
        <w:rPr>
          <w:bCs/>
          <w:color w:val="000000"/>
        </w:rPr>
        <w:t xml:space="preserve"> the lifetime of the project</w:t>
      </w:r>
      <w:r w:rsidR="005F07CF">
        <w:rPr>
          <w:bCs/>
          <w:color w:val="000000"/>
        </w:rPr>
        <w:t>, and</w:t>
      </w:r>
      <w:r>
        <w:rPr>
          <w:bCs/>
          <w:color w:val="000000"/>
        </w:rPr>
        <w:t xml:space="preserve"> to the responsiveness of the PIU staffs, these </w:t>
      </w:r>
      <w:r w:rsidR="00C62EE3">
        <w:rPr>
          <w:bCs/>
          <w:color w:val="000000"/>
        </w:rPr>
        <w:t>issues were</w:t>
      </w:r>
      <w:r>
        <w:rPr>
          <w:bCs/>
          <w:color w:val="000000"/>
        </w:rPr>
        <w:t xml:space="preserve"> dealt with in </w:t>
      </w:r>
      <w:r w:rsidR="00C24C12">
        <w:rPr>
          <w:bCs/>
          <w:color w:val="000000"/>
        </w:rPr>
        <w:t xml:space="preserve">a timely and satisfying way. </w:t>
      </w:r>
    </w:p>
    <w:p w14:paraId="7C233115" w14:textId="6D1EF1B4" w:rsidR="00CD3463" w:rsidRPr="00A353D7" w:rsidRDefault="00D17946" w:rsidP="00F92093">
      <w:pPr>
        <w:numPr>
          <w:ilvl w:val="0"/>
          <w:numId w:val="2"/>
        </w:numPr>
        <w:tabs>
          <w:tab w:val="num" w:pos="0"/>
        </w:tabs>
        <w:spacing w:after="240"/>
        <w:ind w:left="0" w:firstLine="0"/>
        <w:rPr>
          <w:bCs/>
          <w:color w:val="000000"/>
        </w:rPr>
      </w:pPr>
      <w:r w:rsidRPr="00AC2A80">
        <w:rPr>
          <w:i/>
          <w:color w:val="000000"/>
        </w:rPr>
        <w:t>Financial management</w:t>
      </w:r>
      <w:r w:rsidR="00075E7A" w:rsidRPr="00AC2A80">
        <w:rPr>
          <w:i/>
          <w:color w:val="000000"/>
        </w:rPr>
        <w:t>.</w:t>
      </w:r>
      <w:r w:rsidR="00075E7A" w:rsidRPr="00A353D7">
        <w:rPr>
          <w:b/>
          <w:color w:val="000000"/>
        </w:rPr>
        <w:t xml:space="preserve"> </w:t>
      </w:r>
      <w:r w:rsidR="00E61CF1" w:rsidRPr="00A353D7">
        <w:rPr>
          <w:bCs/>
          <w:color w:val="000000"/>
        </w:rPr>
        <w:t>The final ISR rated FM as “Satisfactory”</w:t>
      </w:r>
      <w:r w:rsidR="00D43126">
        <w:rPr>
          <w:bCs/>
          <w:color w:val="000000"/>
        </w:rPr>
        <w:t>, and in general</w:t>
      </w:r>
      <w:r w:rsidR="00CD3463">
        <w:rPr>
          <w:bCs/>
          <w:color w:val="000000"/>
        </w:rPr>
        <w:t>, financial</w:t>
      </w:r>
      <w:r w:rsidR="00D43126">
        <w:rPr>
          <w:bCs/>
          <w:color w:val="000000"/>
        </w:rPr>
        <w:t xml:space="preserve"> reports and annual audits have been submitted regularly and timely.</w:t>
      </w:r>
      <w:r w:rsidR="00CD3463">
        <w:rPr>
          <w:bCs/>
          <w:color w:val="000000"/>
        </w:rPr>
        <w:t xml:space="preserve"> In addition, most of FM reports noted that </w:t>
      </w:r>
      <w:r w:rsidR="00CD3463" w:rsidRPr="00A353D7">
        <w:rPr>
          <w:bCs/>
          <w:color w:val="000000"/>
        </w:rPr>
        <w:t>“the project had an adequate project financial management system that can provide, with reasonable assurance, accurate and timely information on the project implementation progress and the credit and grant proceeds are being used for their intended purpose”.</w:t>
      </w:r>
      <w:r w:rsidR="00CD3463" w:rsidRPr="00CD3463">
        <w:rPr>
          <w:bCs/>
          <w:color w:val="000000"/>
        </w:rPr>
        <w:t xml:space="preserve"> </w:t>
      </w:r>
      <w:r w:rsidR="00CD3463" w:rsidRPr="00A353D7">
        <w:rPr>
          <w:bCs/>
          <w:color w:val="000000"/>
        </w:rPr>
        <w:t>All of the audits carried out during the life of the project were clean.</w:t>
      </w:r>
    </w:p>
    <w:p w14:paraId="10CD4F7F" w14:textId="0DAE020C" w:rsidR="00D43126" w:rsidRDefault="00CD3463" w:rsidP="005A4EF0">
      <w:pPr>
        <w:numPr>
          <w:ilvl w:val="0"/>
          <w:numId w:val="2"/>
        </w:numPr>
        <w:tabs>
          <w:tab w:val="num" w:pos="0"/>
        </w:tabs>
        <w:spacing w:after="240"/>
        <w:ind w:left="0" w:firstLine="0"/>
        <w:rPr>
          <w:bCs/>
          <w:color w:val="000000"/>
        </w:rPr>
      </w:pPr>
      <w:r>
        <w:rPr>
          <w:bCs/>
          <w:color w:val="000000"/>
        </w:rPr>
        <w:t xml:space="preserve"> </w:t>
      </w:r>
      <w:r w:rsidR="00D7712E" w:rsidRPr="00A353D7">
        <w:rPr>
          <w:bCs/>
          <w:color w:val="000000"/>
        </w:rPr>
        <w:t>During the</w:t>
      </w:r>
      <w:r w:rsidR="00160A2B" w:rsidRPr="00A353D7">
        <w:rPr>
          <w:bCs/>
          <w:color w:val="000000"/>
        </w:rPr>
        <w:t xml:space="preserve"> first seven ISRs</w:t>
      </w:r>
      <w:r w:rsidR="0043629A" w:rsidRPr="00A353D7">
        <w:rPr>
          <w:bCs/>
          <w:color w:val="000000"/>
        </w:rPr>
        <w:t>, the</w:t>
      </w:r>
      <w:r w:rsidR="00D7712E" w:rsidRPr="00A353D7">
        <w:rPr>
          <w:bCs/>
          <w:color w:val="000000"/>
        </w:rPr>
        <w:t xml:space="preserve"> imp</w:t>
      </w:r>
      <w:r w:rsidR="00871E57" w:rsidRPr="00A353D7">
        <w:rPr>
          <w:bCs/>
          <w:color w:val="000000"/>
        </w:rPr>
        <w:t>lementing agency demonstrated an in</w:t>
      </w:r>
      <w:r w:rsidR="00D7712E" w:rsidRPr="00A353D7">
        <w:rPr>
          <w:bCs/>
          <w:color w:val="000000"/>
        </w:rPr>
        <w:t>consistent FM performance</w:t>
      </w:r>
      <w:r w:rsidR="00871E57" w:rsidRPr="00A353D7">
        <w:rPr>
          <w:bCs/>
          <w:color w:val="000000"/>
        </w:rPr>
        <w:t xml:space="preserve">, largely due </w:t>
      </w:r>
      <w:r w:rsidR="00FE60C3" w:rsidRPr="00A353D7">
        <w:rPr>
          <w:bCs/>
          <w:color w:val="000000"/>
        </w:rPr>
        <w:t>to high</w:t>
      </w:r>
      <w:r w:rsidR="00871E57" w:rsidRPr="00A353D7">
        <w:rPr>
          <w:bCs/>
          <w:color w:val="000000"/>
        </w:rPr>
        <w:t xml:space="preserve"> turnover of FM staff</w:t>
      </w:r>
      <w:r>
        <w:rPr>
          <w:bCs/>
          <w:color w:val="000000"/>
        </w:rPr>
        <w:t xml:space="preserve"> and a steep learning curve. </w:t>
      </w:r>
      <w:r w:rsidR="00585664">
        <w:rPr>
          <w:bCs/>
          <w:color w:val="000000"/>
        </w:rPr>
        <w:t>T</w:t>
      </w:r>
      <w:r w:rsidR="00D43126" w:rsidRPr="00A353D7">
        <w:rPr>
          <w:bCs/>
          <w:color w:val="000000"/>
        </w:rPr>
        <w:t>hroughout the lifecycle of the project, the WB FM team provided recommendations that helped improve the quality of FM ratings</w:t>
      </w:r>
      <w:r w:rsidR="00585664">
        <w:rPr>
          <w:bCs/>
          <w:color w:val="000000"/>
        </w:rPr>
        <w:t xml:space="preserve">, and with the </w:t>
      </w:r>
      <w:r w:rsidR="00585664" w:rsidRPr="00585664">
        <w:rPr>
          <w:bCs/>
          <w:color w:val="000000"/>
        </w:rPr>
        <w:t>implementing agenc</w:t>
      </w:r>
      <w:r w:rsidR="00585664">
        <w:rPr>
          <w:bCs/>
          <w:color w:val="000000"/>
        </w:rPr>
        <w:t xml:space="preserve">ies increased </w:t>
      </w:r>
      <w:r w:rsidR="00585664" w:rsidRPr="00585664">
        <w:rPr>
          <w:bCs/>
          <w:color w:val="000000"/>
        </w:rPr>
        <w:t xml:space="preserve">appreciation </w:t>
      </w:r>
      <w:r w:rsidR="00585664">
        <w:rPr>
          <w:bCs/>
          <w:color w:val="000000"/>
        </w:rPr>
        <w:t xml:space="preserve">and level of commitment to </w:t>
      </w:r>
      <w:r w:rsidR="00585664" w:rsidRPr="00585664">
        <w:rPr>
          <w:bCs/>
          <w:color w:val="000000"/>
        </w:rPr>
        <w:t>having a stable FM team in place</w:t>
      </w:r>
      <w:r w:rsidR="00585664">
        <w:rPr>
          <w:bCs/>
          <w:color w:val="000000"/>
        </w:rPr>
        <w:t>,</w:t>
      </w:r>
      <w:r w:rsidR="00585664" w:rsidRPr="00585664">
        <w:rPr>
          <w:bCs/>
          <w:color w:val="000000"/>
        </w:rPr>
        <w:t xml:space="preserve"> </w:t>
      </w:r>
      <w:r w:rsidR="00585664">
        <w:rPr>
          <w:bCs/>
          <w:color w:val="000000"/>
        </w:rPr>
        <w:t xml:space="preserve">the </w:t>
      </w:r>
      <w:r w:rsidR="00D43126" w:rsidRPr="00A353D7">
        <w:rPr>
          <w:bCs/>
          <w:color w:val="000000"/>
        </w:rPr>
        <w:t xml:space="preserve">last 6 ISRSs rating </w:t>
      </w:r>
      <w:r w:rsidR="00585664">
        <w:rPr>
          <w:bCs/>
          <w:color w:val="000000"/>
        </w:rPr>
        <w:t xml:space="preserve">improved to the level </w:t>
      </w:r>
      <w:r w:rsidR="002A12B8">
        <w:rPr>
          <w:bCs/>
          <w:color w:val="000000"/>
        </w:rPr>
        <w:t xml:space="preserve">of </w:t>
      </w:r>
      <w:r w:rsidR="002A12B8" w:rsidRPr="00A353D7">
        <w:rPr>
          <w:bCs/>
          <w:color w:val="000000"/>
        </w:rPr>
        <w:t>Satisfactory</w:t>
      </w:r>
      <w:r w:rsidR="00D43126">
        <w:rPr>
          <w:bCs/>
          <w:color w:val="000000"/>
        </w:rPr>
        <w:t>. These recommendations included</w:t>
      </w:r>
      <w:r w:rsidR="00D43126" w:rsidRPr="00A353D7">
        <w:rPr>
          <w:bCs/>
          <w:color w:val="000000"/>
        </w:rPr>
        <w:t>: (i) improving the areas of internal control particularly contract management and planning; (ii) budgeting project resources adequately to ensure timely and smooth implementation of the project; (iii) improv</w:t>
      </w:r>
      <w:r w:rsidR="00D43126">
        <w:rPr>
          <w:bCs/>
          <w:color w:val="000000"/>
        </w:rPr>
        <w:t>ing</w:t>
      </w:r>
      <w:r w:rsidR="00D43126" w:rsidRPr="00A353D7">
        <w:rPr>
          <w:bCs/>
          <w:color w:val="000000"/>
        </w:rPr>
        <w:t xml:space="preserve"> the completeness and </w:t>
      </w:r>
      <w:r w:rsidR="00D43126" w:rsidRPr="00A353D7">
        <w:rPr>
          <w:bCs/>
          <w:color w:val="000000"/>
        </w:rPr>
        <w:lastRenderedPageBreak/>
        <w:t>accuracy of financial records, and (iv) conduct</w:t>
      </w:r>
      <w:r w:rsidR="00D43126">
        <w:rPr>
          <w:bCs/>
          <w:color w:val="000000"/>
        </w:rPr>
        <w:t>ing</w:t>
      </w:r>
      <w:r w:rsidR="00D43126" w:rsidRPr="00A353D7">
        <w:rPr>
          <w:bCs/>
          <w:color w:val="000000"/>
        </w:rPr>
        <w:t xml:space="preserve"> variance analysis and comparison and include them in FM reports</w:t>
      </w:r>
      <w:r w:rsidR="00D43126">
        <w:rPr>
          <w:bCs/>
          <w:color w:val="000000"/>
        </w:rPr>
        <w:t xml:space="preserve">. </w:t>
      </w:r>
    </w:p>
    <w:p w14:paraId="3770B38C" w14:textId="28621359" w:rsidR="004F74A6" w:rsidRPr="00804E79" w:rsidRDefault="004F74A6" w:rsidP="00F92093">
      <w:pPr>
        <w:pStyle w:val="ListParagraph"/>
        <w:numPr>
          <w:ilvl w:val="0"/>
          <w:numId w:val="2"/>
        </w:numPr>
        <w:spacing w:after="240" w:line="240" w:lineRule="auto"/>
        <w:ind w:left="0" w:firstLine="0"/>
        <w:contextualSpacing w:val="0"/>
        <w:rPr>
          <w:rFonts w:ascii="Times New Roman" w:eastAsia="MS Mincho" w:hAnsi="Times New Roman" w:cs="Times New Roman"/>
          <w:color w:val="000000"/>
          <w:sz w:val="24"/>
          <w:szCs w:val="24"/>
          <w:lang w:eastAsia="ja-JP"/>
        </w:rPr>
      </w:pPr>
      <w:r w:rsidRPr="00AC2A80">
        <w:rPr>
          <w:rFonts w:ascii="Times New Roman" w:eastAsia="MS Mincho" w:hAnsi="Times New Roman" w:cs="Times New Roman"/>
          <w:i/>
          <w:color w:val="000000"/>
          <w:sz w:val="24"/>
          <w:szCs w:val="24"/>
          <w:lang w:eastAsia="ja-JP"/>
        </w:rPr>
        <w:t>Disbursement.</w:t>
      </w:r>
      <w:r w:rsidRPr="00804E79">
        <w:rPr>
          <w:rFonts w:ascii="Times New Roman" w:eastAsia="MS Mincho" w:hAnsi="Times New Roman" w:cs="Times New Roman"/>
          <w:color w:val="000000"/>
          <w:sz w:val="24"/>
          <w:szCs w:val="24"/>
          <w:lang w:eastAsia="ja-JP"/>
        </w:rPr>
        <w:t xml:space="preserve"> Performance in terms of the disbursement rate was satisfactory overall. </w:t>
      </w:r>
      <w:r w:rsidR="00804E79">
        <w:rPr>
          <w:rFonts w:ascii="Times New Roman" w:eastAsia="MS Mincho" w:hAnsi="Times New Roman" w:cs="Times New Roman"/>
          <w:color w:val="000000"/>
          <w:sz w:val="24"/>
          <w:szCs w:val="24"/>
          <w:lang w:eastAsia="ja-JP"/>
        </w:rPr>
        <w:t xml:space="preserve"> Overall, 96</w:t>
      </w:r>
      <w:r w:rsidR="002B262D">
        <w:rPr>
          <w:rFonts w:ascii="Times New Roman" w:eastAsia="MS Mincho" w:hAnsi="Times New Roman" w:cs="Times New Roman"/>
          <w:color w:val="000000"/>
          <w:sz w:val="24"/>
          <w:szCs w:val="24"/>
          <w:lang w:eastAsia="ja-JP"/>
        </w:rPr>
        <w:t xml:space="preserve"> percent</w:t>
      </w:r>
      <w:r w:rsidR="00804E79">
        <w:rPr>
          <w:rFonts w:ascii="Times New Roman" w:eastAsia="MS Mincho" w:hAnsi="Times New Roman" w:cs="Times New Roman"/>
          <w:color w:val="000000"/>
          <w:sz w:val="24"/>
          <w:szCs w:val="24"/>
          <w:lang w:eastAsia="ja-JP"/>
        </w:rPr>
        <w:t xml:space="preserve"> of the funds originating from Grants were disbursed by the end of the project. IDA funds were disbursed </w:t>
      </w:r>
      <w:r w:rsidR="00C61DCF">
        <w:rPr>
          <w:rFonts w:ascii="Times New Roman" w:eastAsia="MS Mincho" w:hAnsi="Times New Roman" w:cs="Times New Roman"/>
          <w:color w:val="000000"/>
          <w:sz w:val="24"/>
          <w:szCs w:val="24"/>
          <w:lang w:eastAsia="ja-JP"/>
        </w:rPr>
        <w:t>with a rate of 59</w:t>
      </w:r>
      <w:r w:rsidR="002B262D">
        <w:rPr>
          <w:rFonts w:ascii="Times New Roman" w:eastAsia="MS Mincho" w:hAnsi="Times New Roman" w:cs="Times New Roman"/>
          <w:color w:val="000000"/>
          <w:sz w:val="24"/>
          <w:szCs w:val="24"/>
          <w:lang w:eastAsia="ja-JP"/>
        </w:rPr>
        <w:t xml:space="preserve"> percent:</w:t>
      </w:r>
      <w:r w:rsidR="00C61DCF">
        <w:rPr>
          <w:rFonts w:ascii="Times New Roman" w:eastAsia="MS Mincho" w:hAnsi="Times New Roman" w:cs="Times New Roman"/>
          <w:color w:val="000000"/>
          <w:sz w:val="24"/>
          <w:szCs w:val="24"/>
          <w:lang w:eastAsia="ja-JP"/>
        </w:rPr>
        <w:t xml:space="preserve"> US$6.4 million of the CDF </w:t>
      </w:r>
      <w:r w:rsidR="002C3BCD">
        <w:rPr>
          <w:rFonts w:ascii="Times New Roman" w:eastAsia="MS Mincho" w:hAnsi="Times New Roman" w:cs="Times New Roman"/>
          <w:color w:val="000000"/>
          <w:sz w:val="24"/>
          <w:szCs w:val="24"/>
          <w:lang w:eastAsia="ja-JP"/>
        </w:rPr>
        <w:t>were cancelled at project closure</w:t>
      </w:r>
      <w:r w:rsidR="00C61DCF">
        <w:rPr>
          <w:rFonts w:ascii="Times New Roman" w:eastAsia="MS Mincho" w:hAnsi="Times New Roman" w:cs="Times New Roman"/>
          <w:color w:val="000000"/>
          <w:sz w:val="24"/>
          <w:szCs w:val="24"/>
          <w:lang w:eastAsia="ja-JP"/>
        </w:rPr>
        <w:t xml:space="preserve"> as the cumulative losses incurred by herders, and consequently </w:t>
      </w:r>
      <w:r w:rsidR="002B262D">
        <w:rPr>
          <w:rFonts w:ascii="Times New Roman" w:eastAsia="MS Mincho" w:hAnsi="Times New Roman" w:cs="Times New Roman"/>
          <w:color w:val="000000"/>
          <w:sz w:val="24"/>
          <w:szCs w:val="24"/>
          <w:lang w:eastAsia="ja-JP"/>
        </w:rPr>
        <w:t>the cumulative</w:t>
      </w:r>
      <w:r w:rsidR="00C61DCF">
        <w:rPr>
          <w:rFonts w:ascii="Times New Roman" w:eastAsia="MS Mincho" w:hAnsi="Times New Roman" w:cs="Times New Roman"/>
          <w:color w:val="000000"/>
          <w:sz w:val="24"/>
          <w:szCs w:val="24"/>
          <w:lang w:eastAsia="ja-JP"/>
        </w:rPr>
        <w:t xml:space="preserve"> payouts they received thorough the lifecycle of the project</w:t>
      </w:r>
      <w:r w:rsidR="002C3BCD">
        <w:rPr>
          <w:rFonts w:ascii="Times New Roman" w:eastAsia="MS Mincho" w:hAnsi="Times New Roman" w:cs="Times New Roman"/>
          <w:color w:val="000000"/>
          <w:sz w:val="24"/>
          <w:szCs w:val="24"/>
          <w:lang w:eastAsia="ja-JP"/>
        </w:rPr>
        <w:t>,</w:t>
      </w:r>
      <w:r w:rsidR="00C61DCF">
        <w:rPr>
          <w:rFonts w:ascii="Times New Roman" w:eastAsia="MS Mincho" w:hAnsi="Times New Roman" w:cs="Times New Roman"/>
          <w:color w:val="000000"/>
          <w:sz w:val="24"/>
          <w:szCs w:val="24"/>
          <w:lang w:eastAsia="ja-JP"/>
        </w:rPr>
        <w:t xml:space="preserve"> have not been high enough to exhaust the entire allocation of the CDF</w:t>
      </w:r>
      <w:r w:rsidR="002C3BCD">
        <w:rPr>
          <w:rFonts w:ascii="Times New Roman" w:eastAsia="MS Mincho" w:hAnsi="Times New Roman" w:cs="Times New Roman"/>
          <w:color w:val="000000"/>
          <w:sz w:val="24"/>
          <w:szCs w:val="24"/>
          <w:lang w:eastAsia="ja-JP"/>
        </w:rPr>
        <w:t xml:space="preserve">, which was expected and is fortunate for the herders (no major </w:t>
      </w:r>
      <w:r w:rsidR="002C3BCD" w:rsidRPr="00AC3926">
        <w:rPr>
          <w:rFonts w:ascii="Times New Roman" w:eastAsia="MS Mincho" w:hAnsi="Times New Roman" w:cs="Times New Roman"/>
          <w:i/>
          <w:color w:val="000000"/>
          <w:sz w:val="24"/>
          <w:szCs w:val="24"/>
          <w:lang w:eastAsia="ja-JP"/>
        </w:rPr>
        <w:t>dzud</w:t>
      </w:r>
      <w:r w:rsidR="002C3BCD">
        <w:rPr>
          <w:rFonts w:ascii="Times New Roman" w:eastAsia="MS Mincho" w:hAnsi="Times New Roman" w:cs="Times New Roman"/>
          <w:color w:val="000000"/>
          <w:sz w:val="24"/>
          <w:szCs w:val="24"/>
          <w:lang w:eastAsia="ja-JP"/>
        </w:rPr>
        <w:t xml:space="preserve"> since 2010)</w:t>
      </w:r>
      <w:r w:rsidR="00C61DCF">
        <w:rPr>
          <w:rFonts w:ascii="Times New Roman" w:eastAsia="MS Mincho" w:hAnsi="Times New Roman" w:cs="Times New Roman"/>
          <w:color w:val="000000"/>
          <w:sz w:val="24"/>
          <w:szCs w:val="24"/>
          <w:lang w:eastAsia="ja-JP"/>
        </w:rPr>
        <w:t xml:space="preserve">.  </w:t>
      </w:r>
    </w:p>
    <w:p w14:paraId="71107244" w14:textId="6EFFABB8" w:rsidR="00C67D43" w:rsidRPr="005A4EF0" w:rsidRDefault="00566365" w:rsidP="005A4EF0">
      <w:pPr>
        <w:pStyle w:val="Heading3"/>
        <w:spacing w:after="240"/>
        <w:rPr>
          <w:sz w:val="24"/>
          <w:szCs w:val="24"/>
        </w:rPr>
      </w:pPr>
      <w:r w:rsidRPr="005A4EF0">
        <w:rPr>
          <w:sz w:val="24"/>
          <w:szCs w:val="24"/>
        </w:rPr>
        <w:t xml:space="preserve"> </w:t>
      </w:r>
      <w:r w:rsidR="00C67D43" w:rsidRPr="005A4EF0">
        <w:rPr>
          <w:sz w:val="24"/>
          <w:szCs w:val="24"/>
        </w:rPr>
        <w:t>2.5 Post-completion Operation/Next Phase</w:t>
      </w:r>
    </w:p>
    <w:p w14:paraId="4F4AB755" w14:textId="558D136C" w:rsidR="00981E5C" w:rsidRPr="00744C13" w:rsidRDefault="00D9588D" w:rsidP="00F92093">
      <w:pPr>
        <w:numPr>
          <w:ilvl w:val="0"/>
          <w:numId w:val="2"/>
        </w:numPr>
        <w:tabs>
          <w:tab w:val="num" w:pos="0"/>
        </w:tabs>
        <w:spacing w:after="240"/>
        <w:ind w:left="0" w:firstLine="0"/>
      </w:pPr>
      <w:r w:rsidRPr="00AC2A80">
        <w:t>The PIU ensured a smooth transition</w:t>
      </w:r>
      <w:r w:rsidR="00572603" w:rsidRPr="00AC2A80">
        <w:t xml:space="preserve"> to a fully institutionalized IBLI program.</w:t>
      </w:r>
      <w:r w:rsidR="00572603" w:rsidRPr="00744C13">
        <w:t xml:space="preserve"> A</w:t>
      </w:r>
      <w:r w:rsidR="00FC597D" w:rsidRPr="00744C13">
        <w:t xml:space="preserve">n important outcome of the project was the creation of AgRe that </w:t>
      </w:r>
      <w:r w:rsidR="002C3BCD">
        <w:t>took over</w:t>
      </w:r>
      <w:r w:rsidR="00FC597D" w:rsidRPr="00744C13">
        <w:t xml:space="preserve"> the PIU after the end of the project. </w:t>
      </w:r>
      <w:r w:rsidR="002F5422" w:rsidRPr="00744C13">
        <w:t>Together with the passing of the IBLI law, t</w:t>
      </w:r>
      <w:r w:rsidR="00FC597D" w:rsidRPr="00744C13">
        <w:t xml:space="preserve">his represents an institutionalization of the </w:t>
      </w:r>
      <w:r w:rsidR="00DA41E3">
        <w:t>IBLIP</w:t>
      </w:r>
      <w:r w:rsidR="00FC597D" w:rsidRPr="00744C13">
        <w:t xml:space="preserve">. </w:t>
      </w:r>
      <w:r w:rsidR="00634EB4" w:rsidRPr="00744C13">
        <w:t>To ensure a smooth transition</w:t>
      </w:r>
      <w:r w:rsidR="008424D7" w:rsidRPr="00744C13">
        <w:t xml:space="preserve"> of operations over the AgRe</w:t>
      </w:r>
      <w:r w:rsidR="00634EB4" w:rsidRPr="00744C13">
        <w:t xml:space="preserve">, the PIU: (i) </w:t>
      </w:r>
      <w:r w:rsidR="00FC597D" w:rsidRPr="00744C13">
        <w:t xml:space="preserve">organized workshops and trainings </w:t>
      </w:r>
      <w:r w:rsidR="008424D7" w:rsidRPr="00744C13">
        <w:t xml:space="preserve">near project closing </w:t>
      </w:r>
      <w:r w:rsidR="00FC597D" w:rsidRPr="00744C13">
        <w:t>to ensure capacity was transferred</w:t>
      </w:r>
      <w:r w:rsidR="00634EB4" w:rsidRPr="00744C13">
        <w:t xml:space="preserve">; (ii) transferred key staff from the PIU, who also benefited from capacity building and training during the lifetime of the project; (iii) </w:t>
      </w:r>
      <w:r w:rsidR="008424D7" w:rsidRPr="00744C13">
        <w:t>drafted</w:t>
      </w:r>
      <w:r w:rsidR="002060DF" w:rsidRPr="00744C13">
        <w:t xml:space="preserve"> </w:t>
      </w:r>
      <w:r w:rsidR="00634EB4" w:rsidRPr="00744C13">
        <w:t>T</w:t>
      </w:r>
      <w:r w:rsidR="008424D7" w:rsidRPr="00744C13">
        <w:t>oRs for the remaining key staff to work for AgRe</w:t>
      </w:r>
      <w:r w:rsidR="00634EB4" w:rsidRPr="00744C13">
        <w:t xml:space="preserve">; (iv) </w:t>
      </w:r>
      <w:r w:rsidR="00E90CA4" w:rsidRPr="00744C13">
        <w:t>hired consultants to draft an operations manual, reports (PPAs, sales, monitoring) and business plans for AgRe; (v) developed a capital assessment stochastic model; (vi) hired product development specialists</w:t>
      </w:r>
      <w:r w:rsidR="00744C13">
        <w:t>, and; (vii)</w:t>
      </w:r>
      <w:r w:rsidR="00981E5C" w:rsidRPr="00744C13">
        <w:t xml:space="preserve"> closed its branches in two stages: 7 closed in 2013 and 14 closed in 2014, with their assets transferred either to the local department of the ministry agriculture or National Emergency Management Agency (NEMA) branch.</w:t>
      </w:r>
    </w:p>
    <w:p w14:paraId="4E78E76A" w14:textId="4AC61465" w:rsidR="00B45153" w:rsidRPr="00744C13" w:rsidRDefault="00B45153" w:rsidP="00F92093">
      <w:pPr>
        <w:numPr>
          <w:ilvl w:val="0"/>
          <w:numId w:val="2"/>
        </w:numPr>
        <w:tabs>
          <w:tab w:val="num" w:pos="0"/>
        </w:tabs>
        <w:spacing w:after="240"/>
        <w:ind w:left="0" w:firstLine="0"/>
      </w:pPr>
      <w:r w:rsidRPr="00AC2A80">
        <w:t xml:space="preserve">AgRe has </w:t>
      </w:r>
      <w:r w:rsidR="003A3501" w:rsidRPr="00AC2A80">
        <w:t>ambitious</w:t>
      </w:r>
      <w:r w:rsidRPr="00AC2A80">
        <w:t xml:space="preserve"> growth plans.</w:t>
      </w:r>
      <w:r w:rsidRPr="00744C13">
        <w:rPr>
          <w:b/>
        </w:rPr>
        <w:t xml:space="preserve"> </w:t>
      </w:r>
      <w:r w:rsidRPr="00744C13">
        <w:t>AgRe</w:t>
      </w:r>
      <w:r w:rsidR="003A3501" w:rsidRPr="00744C13">
        <w:t>’s</w:t>
      </w:r>
      <w:r w:rsidRPr="00744C13">
        <w:t xml:space="preserve"> management have set aggressive growth targets aiming to </w:t>
      </w:r>
      <w:r w:rsidR="003A3501" w:rsidRPr="00744C13">
        <w:t>insure</w:t>
      </w:r>
      <w:r w:rsidRPr="00744C13">
        <w:t xml:space="preserve"> 25-30% of herders (</w:t>
      </w:r>
      <w:r w:rsidR="00744C13">
        <w:t xml:space="preserve">more than </w:t>
      </w:r>
      <w:r w:rsidRPr="00744C13">
        <w:t>doubl</w:t>
      </w:r>
      <w:r w:rsidR="00744C13">
        <w:t xml:space="preserve">e the current demand) by 2019. </w:t>
      </w:r>
      <w:r w:rsidRPr="00744C13">
        <w:t xml:space="preserve">To do so, they are broadening their network of </w:t>
      </w:r>
      <w:r w:rsidR="008424D7" w:rsidRPr="00744C13">
        <w:t>agents to sell IBLI,</w:t>
      </w:r>
      <w:r w:rsidR="00624421">
        <w:t xml:space="preserve"> and</w:t>
      </w:r>
      <w:r w:rsidR="008424D7" w:rsidRPr="00744C13">
        <w:t xml:space="preserve"> developing an aggressive </w:t>
      </w:r>
      <w:r w:rsidRPr="00744C13">
        <w:t>partnership</w:t>
      </w:r>
      <w:r w:rsidR="008424D7" w:rsidRPr="00744C13">
        <w:t xml:space="preserve"> strategy </w:t>
      </w:r>
      <w:r w:rsidRPr="00744C13">
        <w:t xml:space="preserve">with </w:t>
      </w:r>
      <w:r w:rsidR="008424D7" w:rsidRPr="00744C13">
        <w:t xml:space="preserve">both </w:t>
      </w:r>
      <w:r w:rsidRPr="00744C13">
        <w:t>banks and local insurance companies</w:t>
      </w:r>
      <w:r w:rsidR="000843CE">
        <w:t xml:space="preserve">. </w:t>
      </w:r>
      <w:r w:rsidR="008424D7" w:rsidRPr="00744C13">
        <w:t xml:space="preserve">They are in addition looking to deepen partner capacity in the area of IBLI and are developing a training curriculum to be delivered </w:t>
      </w:r>
      <w:r w:rsidRPr="00744C13">
        <w:t xml:space="preserve">through </w:t>
      </w:r>
      <w:r w:rsidR="008424D7" w:rsidRPr="00744C13">
        <w:t xml:space="preserve">a series of trainings and </w:t>
      </w:r>
      <w:r w:rsidRPr="00744C13">
        <w:t>workshops</w:t>
      </w:r>
      <w:r w:rsidR="003A3501" w:rsidRPr="00744C13">
        <w:t>.</w:t>
      </w:r>
      <w:r w:rsidR="004352B6">
        <w:t xml:space="preserve">  Given challenges faced to date with take-up, this strategy will have to be carefully implemented to reach this ambitious target.</w:t>
      </w:r>
    </w:p>
    <w:p w14:paraId="566FED03" w14:textId="77777777" w:rsidR="004773CD" w:rsidRPr="00744C13" w:rsidRDefault="00500214" w:rsidP="00F92093">
      <w:pPr>
        <w:pStyle w:val="Heading3"/>
        <w:rPr>
          <w:color w:val="auto"/>
          <w:sz w:val="24"/>
          <w:szCs w:val="24"/>
        </w:rPr>
      </w:pPr>
      <w:bookmarkStart w:id="128" w:name="_Toc456784530"/>
      <w:r w:rsidRPr="00744C13">
        <w:rPr>
          <w:color w:val="auto"/>
          <w:sz w:val="24"/>
          <w:szCs w:val="24"/>
        </w:rPr>
        <w:t>Recommended follow-up operations.</w:t>
      </w:r>
      <w:bookmarkEnd w:id="128"/>
    </w:p>
    <w:p w14:paraId="2ADC82D2" w14:textId="6199E1EF" w:rsidR="004773CD" w:rsidRPr="00744C13" w:rsidRDefault="004773CD" w:rsidP="00F92093">
      <w:pPr>
        <w:numPr>
          <w:ilvl w:val="0"/>
          <w:numId w:val="2"/>
        </w:numPr>
        <w:spacing w:after="240"/>
        <w:ind w:left="0" w:firstLine="0"/>
      </w:pPr>
      <w:r w:rsidRPr="00AC2A80">
        <w:rPr>
          <w:i/>
        </w:rPr>
        <w:t>IDA lending operation with AgRe.</w:t>
      </w:r>
      <w:r w:rsidRPr="00744C13">
        <w:t xml:space="preserve"> Recognizing the need to diversify their economy beyond the mining sector, and their dependence on China as an export buyer, Mongolia wants to expand their range of export products to other sectors with buyers from other countries. A key </w:t>
      </w:r>
      <w:r w:rsidR="003F21E1" w:rsidRPr="00744C13">
        <w:t>challenge, however,</w:t>
      </w:r>
      <w:r w:rsidRPr="00744C13">
        <w:t xml:space="preserve"> to budding entrepreneurs in the export sector is access to credit. Banks are unwilling to lend due to risks, some of which are insurable, faced by these small business</w:t>
      </w:r>
      <w:r w:rsidR="005453EB" w:rsidRPr="00744C13">
        <w:t>es</w:t>
      </w:r>
      <w:r w:rsidRPr="00744C13">
        <w:t>. Responding to Mongolia’s request, and looking to piggy-back on the investment in capital, capacity as well as institutional structure of AgRe, a $</w:t>
      </w:r>
      <w:r w:rsidR="005453EB" w:rsidRPr="00744C13">
        <w:t>US</w:t>
      </w:r>
      <w:r w:rsidRPr="00744C13">
        <w:t xml:space="preserve">20 million IDA operation (Export Development Project - P147438) </w:t>
      </w:r>
      <w:r w:rsidR="002C3BCD">
        <w:t xml:space="preserve">was approved in June 2016, </w:t>
      </w:r>
      <w:r w:rsidRPr="00744C13">
        <w:t>where AgRe</w:t>
      </w:r>
      <w:r w:rsidR="002C3BCD">
        <w:t xml:space="preserve"> </w:t>
      </w:r>
      <w:r w:rsidRPr="00744C13">
        <w:t>will be provided with the capacity and capital to develop insurance products to de-risk the export value chain, and so look to encourage lending to these small businesses.</w:t>
      </w:r>
    </w:p>
    <w:p w14:paraId="6BEAC32B" w14:textId="0B5F1483" w:rsidR="00D959B2" w:rsidRDefault="004773CD" w:rsidP="00F92093">
      <w:pPr>
        <w:numPr>
          <w:ilvl w:val="0"/>
          <w:numId w:val="2"/>
        </w:numPr>
        <w:spacing w:after="240"/>
        <w:ind w:left="0" w:firstLine="0"/>
      </w:pPr>
      <w:r w:rsidRPr="00744C13">
        <w:lastRenderedPageBreak/>
        <w:t xml:space="preserve"> </w:t>
      </w:r>
      <w:r w:rsidR="00617935" w:rsidRPr="00AC2A80">
        <w:rPr>
          <w:i/>
        </w:rPr>
        <w:t>Future agriculture IDA lending operation</w:t>
      </w:r>
      <w:r w:rsidR="006371A9" w:rsidRPr="00AC2A80">
        <w:rPr>
          <w:i/>
        </w:rPr>
        <w:t xml:space="preserve"> building on the IBLI success</w:t>
      </w:r>
      <w:r w:rsidR="00617935" w:rsidRPr="00AC2A80">
        <w:rPr>
          <w:i/>
        </w:rPr>
        <w:t>.</w:t>
      </w:r>
      <w:r w:rsidR="00617935" w:rsidRPr="00744C13">
        <w:t xml:space="preserve"> </w:t>
      </w:r>
      <w:r w:rsidR="006B4C5A" w:rsidRPr="00744C13">
        <w:t>The Mongolian economy</w:t>
      </w:r>
      <w:r w:rsidR="009647EE" w:rsidRPr="00744C13">
        <w:t xml:space="preserve"> </w:t>
      </w:r>
      <w:r w:rsidR="006B4C5A" w:rsidRPr="00744C13">
        <w:t>has significantly changed over the past te</w:t>
      </w:r>
      <w:r w:rsidR="00C0607D" w:rsidRPr="00744C13">
        <w:t>n years and faces new challenges</w:t>
      </w:r>
      <w:r w:rsidR="006B4C5A" w:rsidRPr="00744C13">
        <w:t>.</w:t>
      </w:r>
      <w:r w:rsidR="00D959B2" w:rsidRPr="00744C13">
        <w:t xml:space="preserve"> </w:t>
      </w:r>
      <w:r w:rsidR="009647EE" w:rsidRPr="00744C13">
        <w:t xml:space="preserve">Transforming the livestock sector by shifting its focus from reducing the vulnerability of herders to increasing its contribution to the GDP through </w:t>
      </w:r>
      <w:r w:rsidR="00C0607D" w:rsidRPr="00744C13">
        <w:t xml:space="preserve">increased </w:t>
      </w:r>
      <w:r w:rsidR="009647EE" w:rsidRPr="00744C13">
        <w:t xml:space="preserve">commercialization could </w:t>
      </w:r>
      <w:r w:rsidR="00AC3926">
        <w:t xml:space="preserve">support development of </w:t>
      </w:r>
      <w:r w:rsidR="009647EE" w:rsidRPr="00744C13">
        <w:t>the Mongolian economy</w:t>
      </w:r>
      <w:r w:rsidR="00D959B2" w:rsidRPr="00744C13">
        <w:t xml:space="preserve">. However, a major challenge to the </w:t>
      </w:r>
      <w:r w:rsidR="00D959B2">
        <w:t>commercialization agenda is the lack of</w:t>
      </w:r>
      <w:r w:rsidR="00C0607D">
        <w:t xml:space="preserve"> access to</w:t>
      </w:r>
      <w:r w:rsidR="00D959B2">
        <w:t xml:space="preserve"> credit</w:t>
      </w:r>
      <w:r w:rsidR="00C0607D">
        <w:t xml:space="preserve"> by herders and agribusinesses that they supply with animals and raw material. R</w:t>
      </w:r>
      <w:r w:rsidR="00D959B2">
        <w:t xml:space="preserve">ural lenders perceive </w:t>
      </w:r>
      <w:r w:rsidR="00C0607D">
        <w:t xml:space="preserve">herders and agribusinesses </w:t>
      </w:r>
      <w:r w:rsidR="00D959B2">
        <w:t>as risky investments</w:t>
      </w:r>
      <w:r w:rsidR="009647EE">
        <w:t xml:space="preserve"> </w:t>
      </w:r>
      <w:r w:rsidR="00C0607D">
        <w:t>due to</w:t>
      </w:r>
      <w:r w:rsidR="00D959B2">
        <w:t xml:space="preserve"> weather shocks that cause</w:t>
      </w:r>
      <w:r w:rsidR="009647EE">
        <w:t xml:space="preserve"> high</w:t>
      </w:r>
      <w:r w:rsidR="00D959B2">
        <w:t xml:space="preserve"> livestock mortality</w:t>
      </w:r>
      <w:r w:rsidR="00AD2099">
        <w:t xml:space="preserve"> </w:t>
      </w:r>
      <w:r w:rsidR="00AD2099" w:rsidRPr="00AD2099">
        <w:t>(ARMT report)</w:t>
      </w:r>
      <w:r w:rsidR="009647EE">
        <w:t>.</w:t>
      </w:r>
    </w:p>
    <w:p w14:paraId="6A35C319" w14:textId="20317103" w:rsidR="004773CD" w:rsidRPr="00335C4D" w:rsidRDefault="00D959B2" w:rsidP="00F92093">
      <w:pPr>
        <w:numPr>
          <w:ilvl w:val="0"/>
          <w:numId w:val="2"/>
        </w:numPr>
        <w:spacing w:after="240"/>
        <w:ind w:left="0" w:firstLine="0"/>
      </w:pPr>
      <w:r>
        <w:t xml:space="preserve"> The WB Agriculture Global Practice is engaged in an ongoing dialog with the GoM on the commercialization agenda, with plans to begin preparing an agriculture IDA lending operation in 2016. An area which could be explored under this project is the use of IBLI to de-risk rural lending, and so enhance herders and agribusinesses’ access to credit. </w:t>
      </w:r>
    </w:p>
    <w:p w14:paraId="17A32C92" w14:textId="1A3250F1" w:rsidR="00C67D43" w:rsidRDefault="00C67D43">
      <w:pPr>
        <w:pStyle w:val="Heading2"/>
      </w:pPr>
      <w:bookmarkStart w:id="129" w:name="_IL8"/>
      <w:bookmarkStart w:id="130" w:name="_Toc158019372"/>
      <w:bookmarkStart w:id="131" w:name="_Toc456784531"/>
      <w:r>
        <w:t>3. Assessment of Outcomes</w:t>
      </w:r>
      <w:bookmarkEnd w:id="129"/>
      <w:bookmarkEnd w:id="130"/>
      <w:bookmarkEnd w:id="131"/>
      <w:r>
        <w:t xml:space="preserve"> </w:t>
      </w:r>
    </w:p>
    <w:p w14:paraId="69F19575" w14:textId="2467302E" w:rsidR="00C67D43" w:rsidRPr="005A4EF0" w:rsidRDefault="00C67D43" w:rsidP="005A4EF0">
      <w:pPr>
        <w:pStyle w:val="Heading3"/>
        <w:spacing w:after="240"/>
        <w:rPr>
          <w:sz w:val="24"/>
          <w:szCs w:val="24"/>
        </w:rPr>
      </w:pPr>
      <w:bookmarkStart w:id="132" w:name="_Toc456784532"/>
      <w:r w:rsidRPr="005A4EF0">
        <w:rPr>
          <w:sz w:val="24"/>
          <w:szCs w:val="24"/>
        </w:rPr>
        <w:t>3.1 Relevance of Objectives, Design and Implementation</w:t>
      </w:r>
      <w:bookmarkEnd w:id="132"/>
      <w:r w:rsidR="00335C4D" w:rsidRPr="005A4EF0">
        <w:rPr>
          <w:sz w:val="24"/>
          <w:szCs w:val="24"/>
        </w:rPr>
        <w:t xml:space="preserve"> </w:t>
      </w:r>
    </w:p>
    <w:p w14:paraId="7A89CB47" w14:textId="2BA22C5E" w:rsidR="001815E7" w:rsidRPr="000B1FF0" w:rsidRDefault="00A21673" w:rsidP="00F92093">
      <w:pPr>
        <w:numPr>
          <w:ilvl w:val="0"/>
          <w:numId w:val="2"/>
        </w:numPr>
        <w:spacing w:after="240"/>
        <w:ind w:left="0" w:firstLine="0"/>
        <w:rPr>
          <w:rFonts w:eastAsia="Times New Roman"/>
          <w:color w:val="000000"/>
          <w:lang w:eastAsia="fr-FR"/>
        </w:rPr>
      </w:pPr>
      <w:r w:rsidRPr="00335C4D">
        <w:rPr>
          <w:b/>
        </w:rPr>
        <w:t xml:space="preserve">The Project </w:t>
      </w:r>
      <w:r w:rsidR="008B3D0A" w:rsidRPr="00335C4D">
        <w:rPr>
          <w:b/>
        </w:rPr>
        <w:t>Development</w:t>
      </w:r>
      <w:r w:rsidRPr="00335C4D">
        <w:rPr>
          <w:b/>
        </w:rPr>
        <w:t xml:space="preserve"> Objective</w:t>
      </w:r>
      <w:r w:rsidR="008B3D0A">
        <w:rPr>
          <w:b/>
        </w:rPr>
        <w:t>s were clear,</w:t>
      </w:r>
      <w:r w:rsidR="00A813B3">
        <w:rPr>
          <w:b/>
        </w:rPr>
        <w:t xml:space="preserve"> </w:t>
      </w:r>
      <w:r w:rsidR="008B3D0A" w:rsidRPr="00335C4D">
        <w:rPr>
          <w:b/>
        </w:rPr>
        <w:t>w</w:t>
      </w:r>
      <w:r w:rsidR="008B3D0A">
        <w:rPr>
          <w:b/>
        </w:rPr>
        <w:t>ere</w:t>
      </w:r>
      <w:r w:rsidR="008B3D0A" w:rsidRPr="00335C4D">
        <w:rPr>
          <w:b/>
        </w:rPr>
        <w:t xml:space="preserve"> </w:t>
      </w:r>
      <w:r w:rsidRPr="00335C4D">
        <w:rPr>
          <w:b/>
        </w:rPr>
        <w:t xml:space="preserve">and remain highly relevant and </w:t>
      </w:r>
      <w:r w:rsidR="00AB4F98" w:rsidRPr="00D953DA">
        <w:rPr>
          <w:b/>
        </w:rPr>
        <w:t>important to Mongolia’s economy, herders’</w:t>
      </w:r>
      <w:r w:rsidR="00AB4F98">
        <w:rPr>
          <w:b/>
        </w:rPr>
        <w:t xml:space="preserve"> welfare, and poverty </w:t>
      </w:r>
      <w:r w:rsidR="00AB4F98" w:rsidRPr="00D953DA">
        <w:rPr>
          <w:b/>
        </w:rPr>
        <w:t>reduction goal</w:t>
      </w:r>
      <w:r w:rsidR="000D0AFA">
        <w:rPr>
          <w:b/>
        </w:rPr>
        <w:t>s</w:t>
      </w:r>
      <w:r w:rsidR="00A813B3">
        <w:rPr>
          <w:b/>
        </w:rPr>
        <w:t xml:space="preserve">. </w:t>
      </w:r>
      <w:r w:rsidR="00A813B3" w:rsidRPr="00E90134">
        <w:rPr>
          <w:rFonts w:eastAsia="Times New Roman"/>
          <w:color w:val="000000"/>
          <w:lang w:eastAsia="fr-FR"/>
        </w:rPr>
        <w:t xml:space="preserve">The PDO was highly relevant when designed, </w:t>
      </w:r>
      <w:r w:rsidR="00651151">
        <w:rPr>
          <w:rFonts w:eastAsia="Times New Roman"/>
          <w:color w:val="000000"/>
          <w:lang w:eastAsia="fr-FR"/>
        </w:rPr>
        <w:t xml:space="preserve">with the change </w:t>
      </w:r>
      <w:r w:rsidR="00A813B3" w:rsidRPr="00E90134">
        <w:rPr>
          <w:rFonts w:eastAsia="Times New Roman"/>
          <w:color w:val="000000"/>
          <w:lang w:eastAsia="fr-FR"/>
        </w:rPr>
        <w:t>to reflect the scale-up of the project during AF, and continues to reflect the priorities of the sector</w:t>
      </w:r>
      <w:r w:rsidR="000D0AFA" w:rsidRPr="00E90134">
        <w:rPr>
          <w:rFonts w:eastAsia="Times New Roman"/>
          <w:color w:val="000000"/>
          <w:lang w:eastAsia="fr-FR"/>
        </w:rPr>
        <w:t>.</w:t>
      </w:r>
      <w:r w:rsidR="000D0AFA" w:rsidRPr="000D0AFA">
        <w:rPr>
          <w:rFonts w:eastAsia="Times New Roman"/>
          <w:color w:val="000000"/>
          <w:lang w:eastAsia="fr-FR"/>
        </w:rPr>
        <w:t xml:space="preserve"> </w:t>
      </w:r>
      <w:r w:rsidR="000D0AFA" w:rsidRPr="00AB4F98">
        <w:rPr>
          <w:rFonts w:eastAsia="Times New Roman"/>
          <w:color w:val="000000"/>
          <w:lang w:eastAsia="fr-FR"/>
        </w:rPr>
        <w:t xml:space="preserve">Though designed as a pilot to test the viability of IBLI in Mongolia, the project combined effective protection of herders against </w:t>
      </w:r>
      <w:r w:rsidR="000D0AFA" w:rsidRPr="007F13BB">
        <w:rPr>
          <w:rFonts w:eastAsia="Times New Roman"/>
          <w:i/>
          <w:color w:val="000000"/>
          <w:lang w:eastAsia="fr-FR"/>
        </w:rPr>
        <w:t xml:space="preserve">dzud </w:t>
      </w:r>
      <w:r w:rsidR="000D0AFA" w:rsidRPr="00AB4F98">
        <w:rPr>
          <w:rFonts w:eastAsia="Times New Roman"/>
          <w:color w:val="000000"/>
          <w:lang w:eastAsia="fr-FR"/>
        </w:rPr>
        <w:t>events with extensive strengthening of the insurance industry and disaster response and data collection capacity of government by building medium</w:t>
      </w:r>
      <w:r w:rsidR="0064492F">
        <w:rPr>
          <w:rFonts w:eastAsia="Times New Roman"/>
          <w:color w:val="000000"/>
          <w:lang w:eastAsia="fr-FR"/>
        </w:rPr>
        <w:t xml:space="preserve"> </w:t>
      </w:r>
      <w:r w:rsidR="000D0AFA" w:rsidRPr="00AB4F98">
        <w:rPr>
          <w:rFonts w:eastAsia="Times New Roman"/>
          <w:color w:val="000000"/>
          <w:lang w:eastAsia="fr-FR"/>
        </w:rPr>
        <w:t>- and long-term capacity. Collaboration between the public and private sector was deliberately planned and supported, and this delivered excellent results, which eventuated in the establishment of AgRe.</w:t>
      </w:r>
    </w:p>
    <w:p w14:paraId="5AC8542B" w14:textId="68152D20" w:rsidR="00AB4F98" w:rsidRPr="000D0AFA" w:rsidRDefault="001815E7" w:rsidP="00F92093">
      <w:pPr>
        <w:numPr>
          <w:ilvl w:val="0"/>
          <w:numId w:val="2"/>
        </w:numPr>
        <w:spacing w:after="240"/>
        <w:ind w:left="0" w:firstLine="0"/>
        <w:rPr>
          <w:rFonts w:eastAsia="Times New Roman"/>
          <w:color w:val="000000"/>
          <w:lang w:eastAsia="fr-FR"/>
        </w:rPr>
      </w:pPr>
      <w:r w:rsidRPr="00AC2A80">
        <w:rPr>
          <w:rFonts w:eastAsia="Times New Roman"/>
          <w:color w:val="000000"/>
          <w:lang w:eastAsia="fr-FR"/>
        </w:rPr>
        <w:t xml:space="preserve">The capacities created by the project </w:t>
      </w:r>
      <w:r w:rsidR="00651151" w:rsidRPr="00AC2A80">
        <w:rPr>
          <w:rFonts w:eastAsia="Times New Roman"/>
          <w:color w:val="000000"/>
          <w:lang w:eastAsia="fr-FR"/>
        </w:rPr>
        <w:t xml:space="preserve">remain highly relevant for </w:t>
      </w:r>
      <w:r w:rsidRPr="00AC2A80">
        <w:rPr>
          <w:rFonts w:eastAsia="Times New Roman"/>
          <w:color w:val="000000"/>
          <w:lang w:eastAsia="fr-FR"/>
        </w:rPr>
        <w:t>IBLI</w:t>
      </w:r>
      <w:r w:rsidR="00651151" w:rsidRPr="00AC2A80">
        <w:rPr>
          <w:rFonts w:eastAsia="Times New Roman"/>
          <w:color w:val="000000"/>
          <w:lang w:eastAsia="fr-FR"/>
        </w:rPr>
        <w:t xml:space="preserve">, the </w:t>
      </w:r>
      <w:r w:rsidRPr="00AC2A80">
        <w:rPr>
          <w:rFonts w:eastAsia="Times New Roman"/>
          <w:color w:val="000000"/>
          <w:lang w:eastAsia="fr-FR"/>
        </w:rPr>
        <w:t>insurance</w:t>
      </w:r>
      <w:r w:rsidR="00651151" w:rsidRPr="00AC2A80">
        <w:rPr>
          <w:rFonts w:eastAsia="Times New Roman"/>
          <w:color w:val="000000"/>
          <w:lang w:eastAsia="fr-FR"/>
        </w:rPr>
        <w:t xml:space="preserve"> sector </w:t>
      </w:r>
      <w:r w:rsidRPr="00AC2A80">
        <w:rPr>
          <w:rFonts w:eastAsia="Times New Roman"/>
          <w:color w:val="000000"/>
          <w:lang w:eastAsia="fr-FR"/>
        </w:rPr>
        <w:t xml:space="preserve">as well as </w:t>
      </w:r>
      <w:r w:rsidR="00651151" w:rsidRPr="00AC2A80">
        <w:rPr>
          <w:rFonts w:eastAsia="Times New Roman"/>
          <w:color w:val="000000"/>
          <w:lang w:eastAsia="fr-FR"/>
        </w:rPr>
        <w:t xml:space="preserve">the </w:t>
      </w:r>
      <w:r w:rsidRPr="00AC2A80">
        <w:rPr>
          <w:rFonts w:eastAsia="Times New Roman"/>
          <w:color w:val="000000"/>
          <w:lang w:eastAsia="fr-FR"/>
        </w:rPr>
        <w:t xml:space="preserve">disaster risk management </w:t>
      </w:r>
      <w:r w:rsidR="00651151" w:rsidRPr="00AC2A80">
        <w:rPr>
          <w:rFonts w:eastAsia="Times New Roman"/>
          <w:color w:val="000000"/>
          <w:lang w:eastAsia="fr-FR"/>
        </w:rPr>
        <w:t>agenda</w:t>
      </w:r>
      <w:r w:rsidRPr="00AC2A80">
        <w:rPr>
          <w:rFonts w:eastAsia="Times New Roman"/>
          <w:color w:val="000000"/>
          <w:lang w:eastAsia="fr-FR"/>
        </w:rPr>
        <w:t>.</w:t>
      </w:r>
      <w:r w:rsidRPr="000D0AFA">
        <w:rPr>
          <w:rFonts w:eastAsia="Times New Roman"/>
          <w:color w:val="000000"/>
          <w:lang w:eastAsia="fr-FR"/>
        </w:rPr>
        <w:t xml:space="preserve"> </w:t>
      </w:r>
      <w:r w:rsidR="00AB4F98" w:rsidRPr="000D0AFA">
        <w:rPr>
          <w:rFonts w:eastAsia="Times New Roman"/>
          <w:color w:val="000000"/>
          <w:lang w:eastAsia="fr-FR"/>
        </w:rPr>
        <w:t>Th</w:t>
      </w:r>
      <w:r w:rsidR="00651151">
        <w:rPr>
          <w:rFonts w:eastAsia="Times New Roman"/>
          <w:color w:val="000000"/>
          <w:lang w:eastAsia="fr-FR"/>
        </w:rPr>
        <w:t>e</w:t>
      </w:r>
      <w:r w:rsidR="00AB4F98" w:rsidRPr="000D0AFA">
        <w:rPr>
          <w:rFonts w:eastAsia="Times New Roman"/>
          <w:color w:val="000000"/>
          <w:lang w:eastAsia="fr-FR"/>
        </w:rPr>
        <w:t xml:space="preserve"> infrastructure of insurance markets and data can be utilized to further protect the poor and vulnerable in Mongolia</w:t>
      </w:r>
      <w:r w:rsidR="005D5234">
        <w:rPr>
          <w:rFonts w:eastAsia="Times New Roman"/>
          <w:color w:val="000000"/>
          <w:lang w:eastAsia="fr-FR"/>
        </w:rPr>
        <w:t xml:space="preserve"> with other </w:t>
      </w:r>
      <w:r w:rsidR="00AB4F98" w:rsidRPr="000D0AFA">
        <w:rPr>
          <w:rFonts w:eastAsia="Times New Roman"/>
          <w:color w:val="000000"/>
          <w:lang w:eastAsia="fr-FR"/>
        </w:rPr>
        <w:t xml:space="preserve">insurance products (life insurance for example) and enabling government and herders to become better prepared for, and respond to, disasters. The investments supported preparedness at the national, provincial and district levels to respond to shocks to livestock herds. </w:t>
      </w:r>
      <w:r w:rsidR="005D5234">
        <w:rPr>
          <w:rFonts w:eastAsia="Times New Roman"/>
          <w:color w:val="000000"/>
          <w:lang w:eastAsia="fr-FR"/>
        </w:rPr>
        <w:t xml:space="preserve">As </w:t>
      </w:r>
      <w:r w:rsidR="00AB4F98" w:rsidRPr="000D0AFA">
        <w:rPr>
          <w:rFonts w:eastAsia="Times New Roman"/>
          <w:color w:val="000000"/>
          <w:lang w:eastAsia="fr-FR"/>
        </w:rPr>
        <w:t xml:space="preserve">shocks will continue to occur, the project was and will remain highly relevant. Herders need access to funds rapidly in the event of a </w:t>
      </w:r>
      <w:r w:rsidR="00A813B3" w:rsidRPr="000B1FF0">
        <w:rPr>
          <w:rFonts w:eastAsia="Times New Roman"/>
          <w:i/>
          <w:color w:val="000000"/>
          <w:lang w:eastAsia="fr-FR"/>
        </w:rPr>
        <w:t>d</w:t>
      </w:r>
      <w:r w:rsidR="00AB4F98" w:rsidRPr="000B1FF0">
        <w:rPr>
          <w:rFonts w:eastAsia="Times New Roman"/>
          <w:i/>
          <w:color w:val="000000"/>
          <w:lang w:eastAsia="fr-FR"/>
        </w:rPr>
        <w:t>zud</w:t>
      </w:r>
      <w:r w:rsidR="00AB4F98" w:rsidRPr="000D0AFA">
        <w:rPr>
          <w:rFonts w:eastAsia="Times New Roman"/>
          <w:color w:val="000000"/>
          <w:lang w:eastAsia="fr-FR"/>
        </w:rPr>
        <w:t>, to protect the investments they have made in their livelihoods, protect their welfare and ensure that substantial (potentially catastrophic) human and economic costs are prevented.</w:t>
      </w:r>
    </w:p>
    <w:p w14:paraId="2A3CD4C3" w14:textId="29702996" w:rsidR="00AB4F98" w:rsidRPr="00AB4F98" w:rsidRDefault="00AB4F98" w:rsidP="00F92093">
      <w:pPr>
        <w:numPr>
          <w:ilvl w:val="0"/>
          <w:numId w:val="2"/>
        </w:numPr>
        <w:spacing w:after="240"/>
        <w:ind w:left="0" w:firstLine="0"/>
        <w:rPr>
          <w:rFonts w:eastAsia="Times New Roman"/>
          <w:color w:val="000000"/>
          <w:lang w:eastAsia="fr-FR"/>
        </w:rPr>
      </w:pPr>
      <w:r w:rsidRPr="00AC2A80">
        <w:rPr>
          <w:rFonts w:eastAsia="Times New Roman"/>
          <w:color w:val="000000"/>
          <w:lang w:eastAsia="fr-FR"/>
        </w:rPr>
        <w:t>The capacities built under the IBLIP provide solid foundations from which to tackle the unknown costs of disaster events,</w:t>
      </w:r>
      <w:r w:rsidRPr="005D5234">
        <w:rPr>
          <w:rFonts w:eastAsia="Times New Roman"/>
          <w:color w:val="000000"/>
          <w:lang w:eastAsia="fr-FR"/>
        </w:rPr>
        <w:t xml:space="preserve"> including but not exclusive to, </w:t>
      </w:r>
      <w:r w:rsidRPr="005D5234">
        <w:rPr>
          <w:rFonts w:eastAsia="Times New Roman"/>
          <w:i/>
          <w:color w:val="000000"/>
          <w:lang w:eastAsia="fr-FR"/>
        </w:rPr>
        <w:t>dzud</w:t>
      </w:r>
      <w:r w:rsidRPr="005D5234">
        <w:rPr>
          <w:rFonts w:eastAsia="Times New Roman"/>
          <w:color w:val="000000"/>
          <w:lang w:eastAsia="fr-FR"/>
        </w:rPr>
        <w:t xml:space="preserve"> events.</w:t>
      </w:r>
      <w:r w:rsidRPr="00AB4F98">
        <w:rPr>
          <w:rFonts w:eastAsia="Times New Roman"/>
          <w:color w:val="000000"/>
          <w:lang w:eastAsia="fr-FR"/>
        </w:rPr>
        <w:t xml:space="preserve"> Improved data collection methodologies will allow for better planning and preparedness of the livestock sector for </w:t>
      </w:r>
      <w:r w:rsidRPr="000B1FF0">
        <w:rPr>
          <w:rFonts w:eastAsia="Times New Roman"/>
          <w:i/>
          <w:color w:val="000000"/>
          <w:lang w:eastAsia="fr-FR"/>
        </w:rPr>
        <w:t>dzud</w:t>
      </w:r>
      <w:r w:rsidRPr="00AB4F98">
        <w:rPr>
          <w:rFonts w:eastAsia="Times New Roman"/>
          <w:color w:val="000000"/>
          <w:lang w:eastAsia="fr-FR"/>
        </w:rPr>
        <w:t xml:space="preserve"> events, and the strengthened insurance sector will allow herders and governments to transfer risk, as well as </w:t>
      </w:r>
      <w:r w:rsidR="001F268D">
        <w:rPr>
          <w:rFonts w:eastAsia="Times New Roman"/>
          <w:color w:val="000000"/>
          <w:lang w:eastAsia="fr-FR"/>
        </w:rPr>
        <w:t xml:space="preserve">to </w:t>
      </w:r>
      <w:r w:rsidRPr="00AB4F98">
        <w:rPr>
          <w:rFonts w:eastAsia="Times New Roman"/>
          <w:color w:val="000000"/>
          <w:lang w:eastAsia="fr-FR"/>
        </w:rPr>
        <w:t>facili</w:t>
      </w:r>
      <w:r w:rsidR="001F268D">
        <w:rPr>
          <w:rFonts w:eastAsia="Times New Roman"/>
          <w:color w:val="000000"/>
          <w:lang w:eastAsia="fr-FR"/>
        </w:rPr>
        <w:t>tate</w:t>
      </w:r>
      <w:r w:rsidRPr="00AB4F98">
        <w:rPr>
          <w:rFonts w:eastAsia="Times New Roman"/>
          <w:color w:val="000000"/>
          <w:lang w:eastAsia="fr-FR"/>
        </w:rPr>
        <w:t xml:space="preserve"> rapid access to funds in the event </w:t>
      </w:r>
      <w:r w:rsidR="005D5234">
        <w:rPr>
          <w:rFonts w:eastAsia="Times New Roman"/>
          <w:color w:val="000000"/>
          <w:lang w:eastAsia="fr-FR"/>
        </w:rPr>
        <w:t xml:space="preserve">of a </w:t>
      </w:r>
      <w:r w:rsidRPr="00AB4F98">
        <w:rPr>
          <w:rFonts w:eastAsia="Times New Roman"/>
          <w:color w:val="000000"/>
          <w:lang w:eastAsia="fr-FR"/>
        </w:rPr>
        <w:t>disaster.</w:t>
      </w:r>
    </w:p>
    <w:p w14:paraId="7ABB007F" w14:textId="2270427D" w:rsidR="00AB4F98" w:rsidRPr="00AB4F98" w:rsidRDefault="00AB4F98" w:rsidP="00F92093">
      <w:pPr>
        <w:numPr>
          <w:ilvl w:val="0"/>
          <w:numId w:val="2"/>
        </w:numPr>
        <w:spacing w:after="240"/>
        <w:ind w:left="0" w:firstLine="0"/>
        <w:rPr>
          <w:rFonts w:eastAsia="Times New Roman"/>
          <w:color w:val="000000"/>
          <w:lang w:eastAsia="fr-FR"/>
        </w:rPr>
      </w:pPr>
      <w:r w:rsidRPr="00AC2A80">
        <w:rPr>
          <w:rFonts w:eastAsia="Times New Roman"/>
          <w:i/>
          <w:color w:val="000000"/>
          <w:lang w:eastAsia="fr-FR"/>
        </w:rPr>
        <w:t xml:space="preserve">Dzuds </w:t>
      </w:r>
      <w:r w:rsidRPr="00AC2A80">
        <w:rPr>
          <w:rFonts w:eastAsia="Times New Roman"/>
          <w:color w:val="000000"/>
          <w:lang w:eastAsia="fr-FR"/>
        </w:rPr>
        <w:t>are infrequent, but the risk is high because of their impact.</w:t>
      </w:r>
      <w:r w:rsidRPr="00AB4F98">
        <w:rPr>
          <w:rFonts w:eastAsia="Times New Roman"/>
          <w:color w:val="000000"/>
          <w:lang w:eastAsia="fr-FR"/>
        </w:rPr>
        <w:t xml:space="preserve">  Better risk information, and capacity for monitoring herd size can enable the government to more rapidly respond in the </w:t>
      </w:r>
      <w:r w:rsidRPr="00AB4F98">
        <w:rPr>
          <w:rFonts w:eastAsia="Times New Roman"/>
          <w:color w:val="000000"/>
          <w:lang w:eastAsia="fr-FR"/>
        </w:rPr>
        <w:lastRenderedPageBreak/>
        <w:t xml:space="preserve">event of a </w:t>
      </w:r>
      <w:r w:rsidR="005D5234">
        <w:rPr>
          <w:rFonts w:eastAsia="Times New Roman"/>
          <w:color w:val="000000"/>
          <w:lang w:eastAsia="fr-FR"/>
        </w:rPr>
        <w:t>disaster</w:t>
      </w:r>
      <w:r w:rsidRPr="00AB4F98">
        <w:rPr>
          <w:rFonts w:eastAsia="Times New Roman"/>
          <w:color w:val="000000"/>
          <w:lang w:eastAsia="fr-FR"/>
        </w:rPr>
        <w:t>. This yields large benefits as it has been well documented that preparedness and early response are more effective and efficient ways o</w:t>
      </w:r>
      <w:r w:rsidR="00636055">
        <w:rPr>
          <w:rFonts w:eastAsia="Times New Roman"/>
          <w:color w:val="000000"/>
          <w:lang w:eastAsia="fr-FR"/>
        </w:rPr>
        <w:t xml:space="preserve">f managing disaster response. </w:t>
      </w:r>
      <w:r w:rsidRPr="00AB4F98">
        <w:rPr>
          <w:rFonts w:eastAsia="Times New Roman"/>
          <w:color w:val="000000"/>
          <w:lang w:eastAsia="fr-FR"/>
        </w:rPr>
        <w:t xml:space="preserve">This goal is embodied in </w:t>
      </w:r>
      <w:r w:rsidR="00157297">
        <w:rPr>
          <w:rFonts w:eastAsia="Times New Roman"/>
          <w:color w:val="000000"/>
          <w:lang w:eastAsia="fr-FR"/>
        </w:rPr>
        <w:t>t</w:t>
      </w:r>
      <w:r w:rsidRPr="00AB4F98">
        <w:rPr>
          <w:rFonts w:eastAsia="Times New Roman"/>
          <w:color w:val="000000"/>
          <w:lang w:eastAsia="fr-FR"/>
        </w:rPr>
        <w:t xml:space="preserve">he Sendai Framework for Disaster Risk Reduction 2015-2030, which was adopted by UN Member States, including Mongolia. Mongolia authorities have recognized the value of effective risk financing strategies to manage the contingent liability of </w:t>
      </w:r>
      <w:r w:rsidR="00636055" w:rsidRPr="000B1FF0">
        <w:rPr>
          <w:rFonts w:eastAsia="Times New Roman"/>
          <w:i/>
          <w:color w:val="000000"/>
          <w:lang w:eastAsia="fr-FR"/>
        </w:rPr>
        <w:t>d</w:t>
      </w:r>
      <w:r w:rsidRPr="000B1FF0">
        <w:rPr>
          <w:rFonts w:eastAsia="Times New Roman"/>
          <w:i/>
          <w:color w:val="000000"/>
          <w:lang w:eastAsia="fr-FR"/>
        </w:rPr>
        <w:t>zud</w:t>
      </w:r>
      <w:r w:rsidRPr="00AB4F98">
        <w:rPr>
          <w:rFonts w:eastAsia="Times New Roman"/>
          <w:color w:val="000000"/>
          <w:lang w:eastAsia="fr-FR"/>
        </w:rPr>
        <w:t xml:space="preserve"> events.</w:t>
      </w:r>
    </w:p>
    <w:p w14:paraId="730F0929" w14:textId="47B38B47" w:rsidR="00AB4F98" w:rsidRPr="00AB4F98" w:rsidRDefault="001815E7" w:rsidP="00F92093">
      <w:pPr>
        <w:numPr>
          <w:ilvl w:val="0"/>
          <w:numId w:val="2"/>
        </w:numPr>
        <w:spacing w:after="240"/>
        <w:ind w:left="0" w:firstLine="0"/>
        <w:rPr>
          <w:rFonts w:eastAsia="Times New Roman"/>
          <w:color w:val="000000"/>
          <w:lang w:eastAsia="fr-FR"/>
        </w:rPr>
      </w:pPr>
      <w:r w:rsidRPr="00AC2A80">
        <w:rPr>
          <w:rFonts w:eastAsia="Times New Roman"/>
          <w:color w:val="000000"/>
          <w:lang w:eastAsia="fr-FR"/>
        </w:rPr>
        <w:t xml:space="preserve">By tackling </w:t>
      </w:r>
      <w:r w:rsidR="000D0AFA" w:rsidRPr="00AC2A80">
        <w:rPr>
          <w:rFonts w:eastAsia="Times New Roman"/>
          <w:color w:val="000000"/>
          <w:lang w:eastAsia="fr-FR"/>
        </w:rPr>
        <w:t xml:space="preserve">the </w:t>
      </w:r>
      <w:r w:rsidR="000D0AFA" w:rsidRPr="00AC2A80">
        <w:rPr>
          <w:rFonts w:eastAsia="Times New Roman"/>
          <w:i/>
          <w:color w:val="000000"/>
          <w:lang w:eastAsia="fr-FR"/>
        </w:rPr>
        <w:t>dzud</w:t>
      </w:r>
      <w:r w:rsidR="000D0AFA" w:rsidRPr="00AC2A80">
        <w:rPr>
          <w:rFonts w:eastAsia="Times New Roman"/>
          <w:color w:val="000000"/>
          <w:lang w:eastAsia="fr-FR"/>
        </w:rPr>
        <w:t xml:space="preserve"> </w:t>
      </w:r>
      <w:r w:rsidRPr="00AC2A80">
        <w:rPr>
          <w:rFonts w:eastAsia="Times New Roman"/>
          <w:color w:val="000000"/>
          <w:lang w:eastAsia="fr-FR"/>
        </w:rPr>
        <w:t>threat that is of ongoing concern to the Mongolian economy and population, the project’s objectives remain highly relevant to Mongolia.</w:t>
      </w:r>
      <w:r w:rsidRPr="001815E7">
        <w:rPr>
          <w:rFonts w:eastAsia="Times New Roman"/>
          <w:b/>
          <w:i/>
          <w:color w:val="000000"/>
          <w:lang w:eastAsia="fr-FR"/>
        </w:rPr>
        <w:t xml:space="preserve"> </w:t>
      </w:r>
      <w:r w:rsidR="00AB4F98" w:rsidRPr="00AB4F98">
        <w:rPr>
          <w:rFonts w:eastAsia="Times New Roman"/>
          <w:color w:val="000000"/>
          <w:lang w:eastAsia="fr-FR"/>
        </w:rPr>
        <w:t xml:space="preserve">With the state having a constitutional mandate to protect livestock, and certainty that </w:t>
      </w:r>
      <w:r w:rsidR="00AB4F98" w:rsidRPr="000B1FF0">
        <w:rPr>
          <w:rFonts w:eastAsia="Times New Roman"/>
          <w:i/>
          <w:color w:val="000000"/>
          <w:lang w:eastAsia="fr-FR"/>
        </w:rPr>
        <w:t xml:space="preserve">dzud </w:t>
      </w:r>
      <w:r w:rsidR="00AB4F98" w:rsidRPr="00AB4F98">
        <w:rPr>
          <w:rFonts w:eastAsia="Times New Roman"/>
          <w:color w:val="000000"/>
          <w:lang w:eastAsia="fr-FR"/>
        </w:rPr>
        <w:t xml:space="preserve">events will occur again in the future; it is not a matter of “if” but “when” the insurance policies will make payouts. Reduction in the impact of </w:t>
      </w:r>
      <w:r w:rsidR="00AB4F98" w:rsidRPr="000B1FF0">
        <w:rPr>
          <w:rFonts w:eastAsia="Times New Roman"/>
          <w:i/>
          <w:color w:val="000000"/>
          <w:lang w:eastAsia="fr-FR"/>
        </w:rPr>
        <w:t>dzuds</w:t>
      </w:r>
      <w:r w:rsidR="00AB4F98" w:rsidRPr="00AB4F98">
        <w:rPr>
          <w:rFonts w:eastAsia="Times New Roman"/>
          <w:color w:val="000000"/>
          <w:lang w:eastAsia="fr-FR"/>
        </w:rPr>
        <w:t xml:space="preserve"> on herders can be seen as a valuable public good.</w:t>
      </w:r>
    </w:p>
    <w:p w14:paraId="255B70DE" w14:textId="3DB6BC1A" w:rsidR="001C770D" w:rsidRPr="00335C4D" w:rsidRDefault="000C3CFC" w:rsidP="00F92093">
      <w:pPr>
        <w:numPr>
          <w:ilvl w:val="0"/>
          <w:numId w:val="2"/>
        </w:numPr>
        <w:spacing w:after="240"/>
        <w:ind w:left="0" w:firstLine="0"/>
        <w:rPr>
          <w:rFonts w:eastAsia="Times New Roman"/>
          <w:color w:val="000000"/>
          <w:lang w:eastAsia="fr-FR"/>
        </w:rPr>
      </w:pPr>
      <w:r w:rsidRPr="00AC2A80">
        <w:rPr>
          <w:rFonts w:eastAsia="Times New Roman"/>
          <w:color w:val="000000"/>
          <w:lang w:eastAsia="fr-FR"/>
        </w:rPr>
        <w:t xml:space="preserve">The </w:t>
      </w:r>
      <w:r w:rsidR="00636055" w:rsidRPr="00AC2A80">
        <w:rPr>
          <w:rFonts w:eastAsia="Times New Roman"/>
          <w:color w:val="000000"/>
          <w:lang w:eastAsia="fr-FR"/>
        </w:rPr>
        <w:t>PDO</w:t>
      </w:r>
      <w:r w:rsidRPr="00AC2A80">
        <w:rPr>
          <w:rFonts w:eastAsia="Times New Roman"/>
          <w:color w:val="000000"/>
          <w:lang w:eastAsia="fr-FR"/>
        </w:rPr>
        <w:t xml:space="preserve"> continue</w:t>
      </w:r>
      <w:r w:rsidR="001815E7" w:rsidRPr="00AC2A80">
        <w:rPr>
          <w:rFonts w:eastAsia="Times New Roman"/>
          <w:color w:val="000000"/>
          <w:lang w:eastAsia="fr-FR"/>
        </w:rPr>
        <w:t>s</w:t>
      </w:r>
      <w:r w:rsidRPr="00AC2A80">
        <w:rPr>
          <w:rFonts w:eastAsia="Times New Roman"/>
          <w:color w:val="000000"/>
          <w:lang w:eastAsia="fr-FR"/>
        </w:rPr>
        <w:t xml:space="preserve"> to be aligned with the Agriculture Policy of the GoM.</w:t>
      </w:r>
      <w:r w:rsidRPr="000C3CFC">
        <w:rPr>
          <w:rFonts w:eastAsia="Times New Roman"/>
          <w:color w:val="000000"/>
          <w:lang w:eastAsia="fr-FR"/>
        </w:rPr>
        <w:t xml:space="preserve"> The Livestock sector continues to be a top Government priority as emphasized in the </w:t>
      </w:r>
      <w:r w:rsidR="002C3BCD">
        <w:rPr>
          <w:rFonts w:eastAsia="Times New Roman"/>
          <w:color w:val="000000"/>
          <w:lang w:eastAsia="fr-FR"/>
        </w:rPr>
        <w:t>new State</w:t>
      </w:r>
      <w:r w:rsidRPr="000C3CFC">
        <w:rPr>
          <w:rFonts w:eastAsia="Times New Roman"/>
          <w:color w:val="000000"/>
          <w:lang w:eastAsia="fr-FR"/>
        </w:rPr>
        <w:t xml:space="preserve"> </w:t>
      </w:r>
      <w:r w:rsidR="002C3BCD">
        <w:rPr>
          <w:rFonts w:eastAsia="Times New Roman"/>
          <w:color w:val="000000"/>
          <w:lang w:eastAsia="fr-FR"/>
        </w:rPr>
        <w:t xml:space="preserve">Policy on Food and Agriculture adopted by the Parliament in November 2015 </w:t>
      </w:r>
      <w:r w:rsidRPr="000C3CFC">
        <w:rPr>
          <w:rFonts w:eastAsia="Times New Roman"/>
          <w:color w:val="000000"/>
          <w:lang w:eastAsia="fr-FR"/>
        </w:rPr>
        <w:t>(both economic and cultural)</w:t>
      </w:r>
      <w:r w:rsidR="002C3BCD">
        <w:rPr>
          <w:rFonts w:eastAsia="Times New Roman"/>
          <w:color w:val="000000"/>
          <w:lang w:eastAsia="fr-FR"/>
        </w:rPr>
        <w:t>, and IBLI well identified in this policy as a key</w:t>
      </w:r>
      <w:r w:rsidRPr="000C3CFC">
        <w:rPr>
          <w:rFonts w:eastAsia="Times New Roman"/>
          <w:color w:val="000000"/>
          <w:lang w:eastAsia="fr-FR"/>
        </w:rPr>
        <w:t xml:space="preserve"> innovative approach to addressing high levels of risk</w:t>
      </w:r>
      <w:r w:rsidR="002C3BCD">
        <w:rPr>
          <w:rFonts w:eastAsia="Times New Roman"/>
          <w:color w:val="000000"/>
          <w:lang w:eastAsia="fr-FR"/>
        </w:rPr>
        <w:t xml:space="preserve"> for herders.</w:t>
      </w:r>
      <w:r w:rsidRPr="000C3CFC">
        <w:rPr>
          <w:rFonts w:eastAsia="Times New Roman"/>
          <w:color w:val="000000"/>
          <w:lang w:eastAsia="fr-FR"/>
        </w:rPr>
        <w:t xml:space="preserve"> </w:t>
      </w:r>
    </w:p>
    <w:p w14:paraId="69BA0F51" w14:textId="0F1E714E" w:rsidR="00DF145D" w:rsidRPr="00E80DFE" w:rsidRDefault="00E51387" w:rsidP="00F92093">
      <w:pPr>
        <w:numPr>
          <w:ilvl w:val="0"/>
          <w:numId w:val="2"/>
        </w:numPr>
        <w:tabs>
          <w:tab w:val="num" w:pos="0"/>
        </w:tabs>
        <w:spacing w:after="240"/>
        <w:ind w:left="0" w:firstLine="0"/>
        <w:rPr>
          <w:sz w:val="22"/>
          <w:szCs w:val="22"/>
        </w:rPr>
      </w:pPr>
      <w:r w:rsidRPr="00AC2A80">
        <w:t xml:space="preserve">The project design and </w:t>
      </w:r>
      <w:r w:rsidR="008C0AA4" w:rsidRPr="00AC2A80">
        <w:t>implementation</w:t>
      </w:r>
      <w:r w:rsidRPr="00AC2A80">
        <w:t xml:space="preserve"> strategy remains relevant, aligned with the FY</w:t>
      </w:r>
      <w:r w:rsidR="0067480E" w:rsidRPr="00AC2A80">
        <w:t>13-FY17 CPS and is considered in new projects</w:t>
      </w:r>
      <w:r w:rsidR="00D22B4B" w:rsidRPr="00AC2A80">
        <w:t>.</w:t>
      </w:r>
      <w:r w:rsidR="00D22B4B" w:rsidRPr="00335C4D">
        <w:t xml:space="preserve"> </w:t>
      </w:r>
      <w:r w:rsidR="0067480E" w:rsidRPr="00335C4D">
        <w:t xml:space="preserve">Livestock remains one of the main drivers of economic growth in Mongolia, representing </w:t>
      </w:r>
      <w:r w:rsidR="00D16332" w:rsidRPr="00335C4D">
        <w:t>12</w:t>
      </w:r>
      <w:r w:rsidR="0067480E" w:rsidRPr="00335C4D">
        <w:t xml:space="preserve"> percent of GDP</w:t>
      </w:r>
      <w:r w:rsidR="00733F01" w:rsidRPr="00335C4D">
        <w:t xml:space="preserve">, contributing to around 10% of all export </w:t>
      </w:r>
      <w:r w:rsidR="00220187" w:rsidRPr="00335C4D">
        <w:t>rev</w:t>
      </w:r>
      <w:r w:rsidR="00220187">
        <w:t>e</w:t>
      </w:r>
      <w:r w:rsidR="00220187" w:rsidRPr="00335C4D">
        <w:t>nues</w:t>
      </w:r>
      <w:r w:rsidR="00733F01" w:rsidRPr="00335C4D">
        <w:t xml:space="preserve">, </w:t>
      </w:r>
      <w:r w:rsidR="0067480E" w:rsidRPr="00335C4D">
        <w:t>and employing more tha</w:t>
      </w:r>
      <w:r w:rsidR="00D16332" w:rsidRPr="00335C4D">
        <w:t>n</w:t>
      </w:r>
      <w:r w:rsidR="0067480E" w:rsidRPr="00335C4D">
        <w:t xml:space="preserve"> </w:t>
      </w:r>
      <w:r w:rsidR="00D16332" w:rsidRPr="00335C4D">
        <w:t>27</w:t>
      </w:r>
      <w:r w:rsidR="00DF145D" w:rsidRPr="00335C4D">
        <w:t xml:space="preserve"> percent of the labor force. Moreover, livestock constitutes 63 percent of the assets of rural households. </w:t>
      </w:r>
      <w:r w:rsidR="001377B0" w:rsidRPr="00335C4D">
        <w:t>However risks</w:t>
      </w:r>
      <w:r w:rsidR="005D5234">
        <w:t xml:space="preserve"> </w:t>
      </w:r>
      <w:r w:rsidR="00DF145D" w:rsidRPr="00335C4D">
        <w:t>that periodically causes livestock losses</w:t>
      </w:r>
      <w:r w:rsidR="001377B0" w:rsidRPr="00335C4D">
        <w:t xml:space="preserve"> remain </w:t>
      </w:r>
      <w:r w:rsidR="00DF145D" w:rsidRPr="00335C4D">
        <w:t xml:space="preserve">a challenge. </w:t>
      </w:r>
      <w:r w:rsidR="005D5234">
        <w:t>T</w:t>
      </w:r>
      <w:r w:rsidR="00733F01" w:rsidRPr="00335C4D">
        <w:t xml:space="preserve">he rapid </w:t>
      </w:r>
      <w:r w:rsidR="005D5234">
        <w:t xml:space="preserve">economic </w:t>
      </w:r>
      <w:r w:rsidR="00733F01" w:rsidRPr="00335C4D">
        <w:t>expansion driven by the mining boom raises concern that rural economies will be further left behind. Therefore, sustainably addressing continued vulnerabilities of herders is key in addressing raising inequalities</w:t>
      </w:r>
      <w:r w:rsidR="008B39EB" w:rsidRPr="00E80DFE">
        <w:rPr>
          <w:sz w:val="22"/>
          <w:szCs w:val="22"/>
        </w:rPr>
        <w:t>.</w:t>
      </w:r>
    </w:p>
    <w:p w14:paraId="4744DBA3" w14:textId="44A1D9D7" w:rsidR="00C67D43" w:rsidRPr="005A4EF0" w:rsidRDefault="00E433AA" w:rsidP="005A4EF0">
      <w:pPr>
        <w:pStyle w:val="Heading3"/>
        <w:spacing w:after="240"/>
        <w:rPr>
          <w:sz w:val="24"/>
          <w:szCs w:val="24"/>
        </w:rPr>
      </w:pPr>
      <w:bookmarkStart w:id="133" w:name="SEC81"/>
      <w:bookmarkEnd w:id="133"/>
      <w:r w:rsidRPr="005A4EF0">
        <w:rPr>
          <w:sz w:val="24"/>
          <w:szCs w:val="24"/>
        </w:rPr>
        <w:t xml:space="preserve">3.2 </w:t>
      </w:r>
      <w:r w:rsidR="00C67D43" w:rsidRPr="005A4EF0">
        <w:rPr>
          <w:sz w:val="24"/>
          <w:szCs w:val="24"/>
        </w:rPr>
        <w:t>Achievement of Project Development Objectives</w:t>
      </w:r>
      <w:r w:rsidR="00164D68" w:rsidRPr="005A4EF0">
        <w:rPr>
          <w:sz w:val="24"/>
          <w:szCs w:val="24"/>
        </w:rPr>
        <w:t xml:space="preserve"> </w:t>
      </w:r>
    </w:p>
    <w:p w14:paraId="575114FB" w14:textId="1F5BF75F" w:rsidR="00034A15" w:rsidRPr="00F92093" w:rsidRDefault="0083135A" w:rsidP="00F92093">
      <w:pPr>
        <w:numPr>
          <w:ilvl w:val="0"/>
          <w:numId w:val="2"/>
        </w:numPr>
        <w:spacing w:after="240"/>
        <w:ind w:left="0" w:firstLine="0"/>
      </w:pPr>
      <w:r w:rsidRPr="00F92093">
        <w:rPr>
          <w:b/>
        </w:rPr>
        <w:t>The PDO of IBLI-pilot has been substantially achieved.</w:t>
      </w:r>
      <w:r w:rsidRPr="00F92093">
        <w:t xml:space="preserve"> </w:t>
      </w:r>
      <w:r w:rsidR="00034A15" w:rsidRPr="00F92093">
        <w:t xml:space="preserve">It successfully ascertained the viability of IBLI in Mongolia and reduced the impact of livestock </w:t>
      </w:r>
      <w:r w:rsidR="00E07440" w:rsidRPr="00F92093">
        <w:t>mortality</w:t>
      </w:r>
      <w:r w:rsidR="00034A15" w:rsidRPr="00F92093">
        <w:t xml:space="preserve"> for herders</w:t>
      </w:r>
      <w:r w:rsidR="00F64AA1" w:rsidRPr="00F92093">
        <w:t>’</w:t>
      </w:r>
      <w:r w:rsidR="00F64AA1" w:rsidRPr="00F92093">
        <w:rPr>
          <w:i/>
          <w:iCs/>
          <w:lang w:eastAsia="en-US"/>
        </w:rPr>
        <w:t xml:space="preserve"> </w:t>
      </w:r>
      <w:r w:rsidR="00F64AA1" w:rsidRPr="00F92093">
        <w:rPr>
          <w:iCs/>
          <w:lang w:eastAsia="en-US"/>
        </w:rPr>
        <w:t>livelihoods</w:t>
      </w:r>
      <w:r w:rsidR="00034A15" w:rsidRPr="00F92093">
        <w:t xml:space="preserve">. </w:t>
      </w:r>
      <w:r w:rsidR="00E07440" w:rsidRPr="00F92093">
        <w:t xml:space="preserve">The </w:t>
      </w:r>
      <w:r w:rsidR="00157297" w:rsidRPr="00F92093">
        <w:t xml:space="preserve">achievement of the initial PDO </w:t>
      </w:r>
      <w:r w:rsidR="00E07440" w:rsidRPr="00F92093">
        <w:t>led to the provision of AF to scale</w:t>
      </w:r>
      <w:r w:rsidR="00157297" w:rsidRPr="00F92093">
        <w:t xml:space="preserve"> </w:t>
      </w:r>
      <w:r w:rsidR="00E07440" w:rsidRPr="00F92093">
        <w:t>up the project nationwide</w:t>
      </w:r>
      <w:r w:rsidR="006C284F" w:rsidRPr="00F92093">
        <w:t xml:space="preserve"> from 4 </w:t>
      </w:r>
      <w:r w:rsidR="006C284F" w:rsidRPr="00F92093">
        <w:rPr>
          <w:i/>
        </w:rPr>
        <w:t>aimags</w:t>
      </w:r>
      <w:r w:rsidR="006C284F" w:rsidRPr="00F92093">
        <w:t xml:space="preserve"> to 21 </w:t>
      </w:r>
      <w:r w:rsidR="006C284F" w:rsidRPr="00F92093">
        <w:rPr>
          <w:i/>
        </w:rPr>
        <w:t>aimags</w:t>
      </w:r>
      <w:r w:rsidR="003633BD" w:rsidRPr="00F92093">
        <w:t>. Implementation progress has been good and many of the original performance targets have been met or exceeded (</w:t>
      </w:r>
      <w:r w:rsidR="003633BD" w:rsidRPr="00653F0C">
        <w:t xml:space="preserve">see </w:t>
      </w:r>
      <w:r w:rsidR="00653F0C" w:rsidRPr="00653F0C">
        <w:fldChar w:fldCharType="begin"/>
      </w:r>
      <w:r w:rsidR="00653F0C" w:rsidRPr="00653F0C">
        <w:instrText xml:space="preserve"> REF _Ref456789975 \h  \* MERGEFORMAT </w:instrText>
      </w:r>
      <w:r w:rsidR="00653F0C" w:rsidRPr="00653F0C">
        <w:fldChar w:fldCharType="separate"/>
      </w:r>
      <w:r w:rsidR="00653F0C" w:rsidRPr="00653F0C">
        <w:rPr>
          <w:color w:val="000000" w:themeColor="text1"/>
        </w:rPr>
        <w:t xml:space="preserve">Table </w:t>
      </w:r>
      <w:r w:rsidR="00653F0C" w:rsidRPr="00653F0C">
        <w:rPr>
          <w:noProof/>
          <w:color w:val="000000" w:themeColor="text1"/>
        </w:rPr>
        <w:t>4</w:t>
      </w:r>
      <w:r w:rsidR="00653F0C" w:rsidRPr="00653F0C">
        <w:fldChar w:fldCharType="end"/>
      </w:r>
      <w:r w:rsidR="00653F0C" w:rsidRPr="00653F0C">
        <w:t xml:space="preserve"> </w:t>
      </w:r>
      <w:r w:rsidR="003633BD" w:rsidRPr="00653F0C">
        <w:t>below</w:t>
      </w:r>
      <w:r w:rsidR="003633BD" w:rsidRPr="00F92093">
        <w:t xml:space="preserve">). </w:t>
      </w:r>
    </w:p>
    <w:p w14:paraId="6F544036" w14:textId="7F391B6D" w:rsidR="00D94D64" w:rsidRPr="00F92093" w:rsidRDefault="00F52F04" w:rsidP="00F92093">
      <w:pPr>
        <w:pStyle w:val="ListParagraph"/>
        <w:numPr>
          <w:ilvl w:val="0"/>
          <w:numId w:val="2"/>
        </w:numPr>
        <w:spacing w:line="240" w:lineRule="auto"/>
        <w:ind w:left="0" w:firstLine="0"/>
        <w:rPr>
          <w:rFonts w:ascii="Times New Roman" w:eastAsia="MS Mincho" w:hAnsi="Times New Roman" w:cs="Times New Roman"/>
          <w:sz w:val="24"/>
          <w:szCs w:val="24"/>
          <w:lang w:eastAsia="ja-JP"/>
        </w:rPr>
      </w:pPr>
      <w:r w:rsidRPr="00AC2A80">
        <w:rPr>
          <w:rFonts w:ascii="Times New Roman" w:hAnsi="Times New Roman" w:cs="Times New Roman"/>
          <w:i/>
          <w:sz w:val="24"/>
          <w:szCs w:val="24"/>
        </w:rPr>
        <w:t>Ascertained viability of IBLI in Mongolia.</w:t>
      </w:r>
      <w:r w:rsidR="008A2131" w:rsidRPr="00F92093">
        <w:rPr>
          <w:rFonts w:ascii="Times New Roman" w:hAnsi="Times New Roman" w:cs="Times New Roman"/>
          <w:sz w:val="24"/>
          <w:szCs w:val="24"/>
        </w:rPr>
        <w:t xml:space="preserve"> The IBLI pilot successfully passed two viability tests in 2008 and 2009 when high mortality rates triggered significant indemnity </w:t>
      </w:r>
      <w:r w:rsidR="00111369" w:rsidRPr="00F92093">
        <w:rPr>
          <w:rFonts w:ascii="Times New Roman" w:hAnsi="Times New Roman" w:cs="Times New Roman"/>
          <w:sz w:val="24"/>
          <w:szCs w:val="24"/>
        </w:rPr>
        <w:t xml:space="preserve">payments (in 2008, </w:t>
      </w:r>
      <w:r w:rsidR="001C6D16" w:rsidRPr="00F92093">
        <w:rPr>
          <w:rFonts w:ascii="Times New Roman" w:eastAsia="MS Mincho" w:hAnsi="Times New Roman" w:cs="Times New Roman"/>
          <w:sz w:val="24"/>
          <w:szCs w:val="24"/>
          <w:lang w:eastAsia="ja-JP"/>
        </w:rPr>
        <w:t xml:space="preserve">US$340,000 </w:t>
      </w:r>
      <w:r w:rsidR="008A2131" w:rsidRPr="00F92093">
        <w:rPr>
          <w:rFonts w:ascii="Times New Roman" w:eastAsia="MS Mincho" w:hAnsi="Times New Roman" w:cs="Times New Roman"/>
          <w:sz w:val="24"/>
          <w:szCs w:val="24"/>
          <w:lang w:eastAsia="ja-JP"/>
        </w:rPr>
        <w:t xml:space="preserve">was paid to 1783 </w:t>
      </w:r>
      <w:r w:rsidR="00111369" w:rsidRPr="00F92093">
        <w:rPr>
          <w:rFonts w:ascii="Times New Roman" w:eastAsia="MS Mincho" w:hAnsi="Times New Roman" w:cs="Times New Roman"/>
          <w:sz w:val="24"/>
          <w:szCs w:val="24"/>
          <w:lang w:eastAsia="ja-JP"/>
        </w:rPr>
        <w:t xml:space="preserve">herders, and in 2009 </w:t>
      </w:r>
      <w:r w:rsidR="008A2131" w:rsidRPr="00F92093">
        <w:rPr>
          <w:rFonts w:ascii="Times New Roman" w:eastAsia="MS Mincho" w:hAnsi="Times New Roman" w:cs="Times New Roman"/>
          <w:sz w:val="24"/>
          <w:szCs w:val="24"/>
          <w:lang w:eastAsia="ja-JP"/>
        </w:rPr>
        <w:t xml:space="preserve">2,117 herders </w:t>
      </w:r>
      <w:r w:rsidR="00111369" w:rsidRPr="00F92093">
        <w:rPr>
          <w:rFonts w:ascii="Times New Roman" w:eastAsia="MS Mincho" w:hAnsi="Times New Roman" w:cs="Times New Roman"/>
          <w:sz w:val="24"/>
          <w:szCs w:val="24"/>
          <w:lang w:eastAsia="ja-JP"/>
        </w:rPr>
        <w:t>received</w:t>
      </w:r>
      <w:r w:rsidR="008A2131" w:rsidRPr="00F92093">
        <w:rPr>
          <w:rFonts w:ascii="Times New Roman" w:eastAsia="MS Mincho" w:hAnsi="Times New Roman" w:cs="Times New Roman"/>
          <w:sz w:val="24"/>
          <w:szCs w:val="24"/>
          <w:lang w:eastAsia="ja-JP"/>
        </w:rPr>
        <w:t xml:space="preserve"> payments amounting to US$275,700 in total</w:t>
      </w:r>
      <w:r w:rsidR="00111369" w:rsidRPr="00F92093">
        <w:rPr>
          <w:rFonts w:ascii="Times New Roman" w:eastAsia="MS Mincho" w:hAnsi="Times New Roman" w:cs="Times New Roman"/>
          <w:sz w:val="24"/>
          <w:szCs w:val="24"/>
          <w:lang w:eastAsia="ja-JP"/>
        </w:rPr>
        <w:t xml:space="preserve">). </w:t>
      </w:r>
      <w:r w:rsidR="001C6D16" w:rsidRPr="00F92093">
        <w:rPr>
          <w:rFonts w:ascii="Times New Roman" w:eastAsia="MS Mincho" w:hAnsi="Times New Roman" w:cs="Times New Roman"/>
          <w:sz w:val="24"/>
          <w:szCs w:val="24"/>
          <w:lang w:eastAsia="ja-JP"/>
        </w:rPr>
        <w:t xml:space="preserve">All </w:t>
      </w:r>
      <w:r w:rsidR="00A015E2" w:rsidRPr="00F92093">
        <w:rPr>
          <w:rFonts w:ascii="Times New Roman" w:eastAsia="MS Mincho" w:hAnsi="Times New Roman" w:cs="Times New Roman"/>
          <w:sz w:val="24"/>
          <w:szCs w:val="24"/>
          <w:lang w:eastAsia="ja-JP"/>
        </w:rPr>
        <w:t>eligible herders received their indemnity payments in a timely manner.</w:t>
      </w:r>
      <w:r w:rsidR="001C6D16" w:rsidRPr="00F92093">
        <w:rPr>
          <w:rFonts w:ascii="Times New Roman" w:eastAsia="MS Mincho" w:hAnsi="Times New Roman" w:cs="Times New Roman"/>
          <w:sz w:val="24"/>
          <w:szCs w:val="24"/>
          <w:lang w:eastAsia="ja-JP"/>
        </w:rPr>
        <w:t xml:space="preserve"> In addition, </w:t>
      </w:r>
      <w:r w:rsidR="00D94D64" w:rsidRPr="00F92093">
        <w:rPr>
          <w:rFonts w:ascii="Times New Roman" w:eastAsia="MS Mincho" w:hAnsi="Times New Roman" w:cs="Times New Roman"/>
          <w:sz w:val="24"/>
          <w:szCs w:val="24"/>
          <w:lang w:eastAsia="ja-JP"/>
        </w:rPr>
        <w:t xml:space="preserve">all four of the participating insurance companies expressed interest in continuing their participation for </w:t>
      </w:r>
      <w:r w:rsidR="000D719B" w:rsidRPr="00F92093">
        <w:rPr>
          <w:rFonts w:ascii="Times New Roman" w:eastAsia="MS Mincho" w:hAnsi="Times New Roman" w:cs="Times New Roman"/>
          <w:sz w:val="24"/>
          <w:szCs w:val="24"/>
          <w:lang w:eastAsia="ja-JP"/>
        </w:rPr>
        <w:t>2010 despite</w:t>
      </w:r>
      <w:r w:rsidR="00D94D64" w:rsidRPr="00F92093">
        <w:rPr>
          <w:rFonts w:ascii="Times New Roman" w:eastAsia="MS Mincho" w:hAnsi="Times New Roman" w:cs="Times New Roman"/>
          <w:sz w:val="24"/>
          <w:szCs w:val="24"/>
          <w:lang w:eastAsia="ja-JP"/>
        </w:rPr>
        <w:t xml:space="preserve"> these two years of successive losses. </w:t>
      </w:r>
    </w:p>
    <w:p w14:paraId="49951AE1" w14:textId="77777777" w:rsidR="0064492F" w:rsidRPr="00F92093" w:rsidRDefault="0064492F" w:rsidP="00F92093">
      <w:pPr>
        <w:pStyle w:val="ListParagraph"/>
        <w:spacing w:line="240" w:lineRule="auto"/>
        <w:ind w:left="0"/>
        <w:rPr>
          <w:rFonts w:ascii="Times New Roman" w:eastAsia="MS Mincho" w:hAnsi="Times New Roman" w:cs="Times New Roman"/>
          <w:sz w:val="24"/>
          <w:szCs w:val="24"/>
          <w:lang w:eastAsia="ja-JP"/>
        </w:rPr>
      </w:pPr>
    </w:p>
    <w:p w14:paraId="6CAF072D" w14:textId="5D8D89A7" w:rsidR="00D94D64" w:rsidRPr="00F92093" w:rsidRDefault="00D94D64" w:rsidP="00F92093">
      <w:pPr>
        <w:pStyle w:val="ListParagraph"/>
        <w:numPr>
          <w:ilvl w:val="0"/>
          <w:numId w:val="2"/>
        </w:numPr>
        <w:spacing w:line="240" w:lineRule="auto"/>
        <w:ind w:left="0" w:firstLine="0"/>
        <w:rPr>
          <w:rFonts w:ascii="Times New Roman" w:eastAsia="MS Mincho" w:hAnsi="Times New Roman" w:cs="Times New Roman"/>
          <w:sz w:val="24"/>
          <w:szCs w:val="24"/>
          <w:lang w:eastAsia="ja-JP"/>
        </w:rPr>
      </w:pPr>
      <w:r w:rsidRPr="00F92093">
        <w:rPr>
          <w:rFonts w:ascii="Times New Roman" w:eastAsia="MS Mincho" w:hAnsi="Times New Roman" w:cs="Times New Roman"/>
          <w:sz w:val="24"/>
          <w:szCs w:val="24"/>
          <w:lang w:eastAsia="ja-JP"/>
        </w:rPr>
        <w:t>An additional demonstration of the viability of IBLI at the end of the pilot was the sustained high level of uptake of the insurance product among herders. BIP sales were greater than expected: around 2</w:t>
      </w:r>
      <w:r w:rsidR="009D620A" w:rsidRPr="00F92093">
        <w:rPr>
          <w:rFonts w:ascii="Times New Roman" w:eastAsia="MS Mincho" w:hAnsi="Times New Roman" w:cs="Times New Roman"/>
          <w:sz w:val="24"/>
          <w:szCs w:val="24"/>
          <w:lang w:eastAsia="ja-JP"/>
        </w:rPr>
        <w:t>,</w:t>
      </w:r>
      <w:r w:rsidRPr="00F92093">
        <w:rPr>
          <w:rFonts w:ascii="Times New Roman" w:eastAsia="MS Mincho" w:hAnsi="Times New Roman" w:cs="Times New Roman"/>
          <w:sz w:val="24"/>
          <w:szCs w:val="24"/>
          <w:lang w:eastAsia="ja-JP"/>
        </w:rPr>
        <w:t xml:space="preserve">400 policies were sold in all 56 pilot </w:t>
      </w:r>
      <w:r w:rsidRPr="00F92093">
        <w:rPr>
          <w:rFonts w:ascii="Times New Roman" w:eastAsia="MS Mincho" w:hAnsi="Times New Roman" w:cs="Times New Roman"/>
          <w:i/>
          <w:sz w:val="24"/>
          <w:szCs w:val="24"/>
          <w:lang w:eastAsia="ja-JP"/>
        </w:rPr>
        <w:t xml:space="preserve">soums </w:t>
      </w:r>
      <w:r w:rsidRPr="00F92093">
        <w:rPr>
          <w:rFonts w:ascii="Times New Roman" w:eastAsia="MS Mincho" w:hAnsi="Times New Roman" w:cs="Times New Roman"/>
          <w:sz w:val="24"/>
          <w:szCs w:val="24"/>
          <w:lang w:eastAsia="ja-JP"/>
        </w:rPr>
        <w:t>in 2006 sales year, over 3</w:t>
      </w:r>
      <w:r w:rsidR="009D620A" w:rsidRPr="00F92093">
        <w:rPr>
          <w:rFonts w:ascii="Times New Roman" w:eastAsia="MS Mincho" w:hAnsi="Times New Roman" w:cs="Times New Roman"/>
          <w:sz w:val="24"/>
          <w:szCs w:val="24"/>
          <w:lang w:eastAsia="ja-JP"/>
        </w:rPr>
        <w:t>,</w:t>
      </w:r>
      <w:r w:rsidRPr="00F92093">
        <w:rPr>
          <w:rFonts w:ascii="Times New Roman" w:eastAsia="MS Mincho" w:hAnsi="Times New Roman" w:cs="Times New Roman"/>
          <w:sz w:val="24"/>
          <w:szCs w:val="24"/>
          <w:lang w:eastAsia="ja-JP"/>
        </w:rPr>
        <w:t>700 policies were sold in 2007, in 2008, 4</w:t>
      </w:r>
      <w:r w:rsidR="009D620A" w:rsidRPr="00F92093">
        <w:rPr>
          <w:rFonts w:ascii="Times New Roman" w:eastAsia="MS Mincho" w:hAnsi="Times New Roman" w:cs="Times New Roman"/>
          <w:sz w:val="24"/>
          <w:szCs w:val="24"/>
          <w:lang w:eastAsia="ja-JP"/>
        </w:rPr>
        <w:t>,</w:t>
      </w:r>
      <w:r w:rsidRPr="00F92093">
        <w:rPr>
          <w:rFonts w:ascii="Times New Roman" w:eastAsia="MS Mincho" w:hAnsi="Times New Roman" w:cs="Times New Roman"/>
          <w:sz w:val="24"/>
          <w:szCs w:val="24"/>
          <w:lang w:eastAsia="ja-JP"/>
        </w:rPr>
        <w:t xml:space="preserve">047 policies were sold with a premium of </w:t>
      </w:r>
      <w:r w:rsidRPr="00F92093">
        <w:rPr>
          <w:rFonts w:ascii="Times New Roman" w:eastAsia="MS Mincho" w:hAnsi="Times New Roman" w:cs="Times New Roman"/>
          <w:sz w:val="24"/>
          <w:szCs w:val="24"/>
          <w:lang w:eastAsia="ja-JP"/>
        </w:rPr>
        <w:lastRenderedPageBreak/>
        <w:t>approximately US$120,000 and in 2009, 5</w:t>
      </w:r>
      <w:r w:rsidR="009D620A" w:rsidRPr="00F92093">
        <w:rPr>
          <w:rFonts w:ascii="Times New Roman" w:eastAsia="MS Mincho" w:hAnsi="Times New Roman" w:cs="Times New Roman"/>
          <w:sz w:val="24"/>
          <w:szCs w:val="24"/>
          <w:lang w:eastAsia="ja-JP"/>
        </w:rPr>
        <w:t>,</w:t>
      </w:r>
      <w:r w:rsidRPr="00F92093">
        <w:rPr>
          <w:rFonts w:ascii="Times New Roman" w:eastAsia="MS Mincho" w:hAnsi="Times New Roman" w:cs="Times New Roman"/>
          <w:sz w:val="24"/>
          <w:szCs w:val="24"/>
          <w:lang w:eastAsia="ja-JP"/>
        </w:rPr>
        <w:t>654 policies for a premium of US$136,000. Th</w:t>
      </w:r>
      <w:r w:rsidR="001C6D16" w:rsidRPr="00F92093">
        <w:rPr>
          <w:rFonts w:ascii="Times New Roman" w:eastAsia="MS Mincho" w:hAnsi="Times New Roman" w:cs="Times New Roman"/>
          <w:sz w:val="24"/>
          <w:szCs w:val="24"/>
          <w:lang w:eastAsia="ja-JP"/>
        </w:rPr>
        <w:t>ese</w:t>
      </w:r>
      <w:r w:rsidRPr="00F92093">
        <w:rPr>
          <w:rFonts w:ascii="Times New Roman" w:eastAsia="MS Mincho" w:hAnsi="Times New Roman" w:cs="Times New Roman"/>
          <w:sz w:val="24"/>
          <w:szCs w:val="24"/>
          <w:lang w:eastAsia="ja-JP"/>
        </w:rPr>
        <w:t xml:space="preserve"> increases have occurred despite the low triggering of policies and indemnity payments (prior to 2008 economic crisis) and also with a declining cashmere price in 2008 and 2009, which limited the cash available to herders</w:t>
      </w:r>
      <w:r w:rsidR="00B41206" w:rsidRPr="00F92093">
        <w:rPr>
          <w:rFonts w:ascii="Times New Roman" w:eastAsia="MS Mincho" w:hAnsi="Times New Roman" w:cs="Times New Roman"/>
          <w:sz w:val="24"/>
          <w:szCs w:val="24"/>
          <w:lang w:eastAsia="ja-JP"/>
        </w:rPr>
        <w:t>.</w:t>
      </w:r>
    </w:p>
    <w:p w14:paraId="7835085F" w14:textId="77777777" w:rsidR="0064492F" w:rsidRPr="00F92093" w:rsidRDefault="0064492F" w:rsidP="00F92093">
      <w:pPr>
        <w:pStyle w:val="ListParagraph"/>
        <w:spacing w:line="240" w:lineRule="auto"/>
        <w:ind w:left="0"/>
        <w:rPr>
          <w:rFonts w:ascii="Times New Roman" w:eastAsia="MS Mincho" w:hAnsi="Times New Roman" w:cs="Times New Roman"/>
          <w:sz w:val="24"/>
          <w:szCs w:val="24"/>
          <w:lang w:eastAsia="ja-JP"/>
        </w:rPr>
      </w:pPr>
    </w:p>
    <w:p w14:paraId="31702DC3" w14:textId="02D1ABCE" w:rsidR="00B41206" w:rsidRPr="00F92093" w:rsidRDefault="00B41206" w:rsidP="00F92093">
      <w:pPr>
        <w:pStyle w:val="ListParagraph"/>
        <w:numPr>
          <w:ilvl w:val="0"/>
          <w:numId w:val="2"/>
        </w:numPr>
        <w:spacing w:line="240" w:lineRule="auto"/>
        <w:ind w:left="0" w:firstLine="0"/>
        <w:rPr>
          <w:rFonts w:ascii="Times New Roman" w:eastAsia="MS Mincho" w:hAnsi="Times New Roman" w:cs="Times New Roman"/>
          <w:sz w:val="24"/>
          <w:szCs w:val="24"/>
          <w:lang w:eastAsia="ja-JP"/>
        </w:rPr>
      </w:pPr>
      <w:r w:rsidRPr="00F92093">
        <w:rPr>
          <w:rFonts w:ascii="Times New Roman" w:eastAsia="MS Mincho" w:hAnsi="Times New Roman" w:cs="Times New Roman"/>
          <w:sz w:val="24"/>
          <w:szCs w:val="24"/>
          <w:lang w:eastAsia="ja-JP"/>
        </w:rPr>
        <w:t>Finally, the availability of</w:t>
      </w:r>
      <w:r w:rsidR="00F55A55" w:rsidRPr="00F92093">
        <w:rPr>
          <w:rFonts w:ascii="Times New Roman" w:eastAsia="MS Mincho" w:hAnsi="Times New Roman" w:cs="Times New Roman"/>
          <w:sz w:val="24"/>
          <w:szCs w:val="24"/>
          <w:lang w:eastAsia="ja-JP"/>
        </w:rPr>
        <w:t xml:space="preserve"> </w:t>
      </w:r>
      <w:r w:rsidRPr="00F92093">
        <w:rPr>
          <w:rFonts w:ascii="Times New Roman" w:eastAsia="MS Mincho" w:hAnsi="Times New Roman" w:cs="Times New Roman"/>
          <w:sz w:val="24"/>
          <w:szCs w:val="24"/>
          <w:lang w:eastAsia="ja-JP"/>
        </w:rPr>
        <w:t xml:space="preserve">high quality and cost effective mortality data generated by NSO represents a further assurance on the viability of IBLIP as good quality data is a fundamental requirement for the underwriting of the risk. </w:t>
      </w:r>
    </w:p>
    <w:p w14:paraId="7698C4BB" w14:textId="77777777" w:rsidR="0064492F" w:rsidRPr="00F92093" w:rsidRDefault="0064492F" w:rsidP="00F92093">
      <w:pPr>
        <w:pStyle w:val="ListParagraph"/>
        <w:autoSpaceDE w:val="0"/>
        <w:autoSpaceDN w:val="0"/>
        <w:adjustRightInd w:val="0"/>
        <w:spacing w:after="240" w:line="240" w:lineRule="auto"/>
        <w:ind w:left="0"/>
        <w:rPr>
          <w:rFonts w:ascii="Times New Roman" w:hAnsi="Times New Roman" w:cs="Times New Roman"/>
          <w:sz w:val="24"/>
          <w:szCs w:val="24"/>
        </w:rPr>
      </w:pPr>
    </w:p>
    <w:p w14:paraId="7DAA3EA7" w14:textId="576C79E9" w:rsidR="00157297" w:rsidRPr="00F92093" w:rsidRDefault="002C3BCD" w:rsidP="00F92093">
      <w:pPr>
        <w:pStyle w:val="ListParagraph"/>
        <w:numPr>
          <w:ilvl w:val="0"/>
          <w:numId w:val="2"/>
        </w:numPr>
        <w:autoSpaceDE w:val="0"/>
        <w:autoSpaceDN w:val="0"/>
        <w:adjustRightInd w:val="0"/>
        <w:spacing w:after="240" w:line="240" w:lineRule="auto"/>
        <w:ind w:left="0" w:firstLine="0"/>
        <w:rPr>
          <w:rFonts w:ascii="Times New Roman" w:hAnsi="Times New Roman" w:cs="Times New Roman"/>
          <w:sz w:val="24"/>
          <w:szCs w:val="24"/>
        </w:rPr>
      </w:pPr>
      <w:r w:rsidRPr="00AC2A80">
        <w:rPr>
          <w:rFonts w:ascii="Times New Roman" w:hAnsi="Times New Roman" w:cs="Times New Roman"/>
          <w:sz w:val="24"/>
          <w:szCs w:val="24"/>
        </w:rPr>
        <w:t>The</w:t>
      </w:r>
      <w:r w:rsidR="00B62AF6" w:rsidRPr="00AC2A80">
        <w:rPr>
          <w:rFonts w:ascii="Times New Roman" w:hAnsi="Times New Roman" w:cs="Times New Roman"/>
          <w:sz w:val="24"/>
          <w:szCs w:val="24"/>
        </w:rPr>
        <w:t xml:space="preserve"> DWI </w:t>
      </w:r>
      <w:r w:rsidRPr="00AC2A80">
        <w:rPr>
          <w:rFonts w:ascii="Times New Roman" w:hAnsi="Times New Roman" w:cs="Times New Roman"/>
          <w:sz w:val="24"/>
          <w:szCs w:val="24"/>
        </w:rPr>
        <w:t xml:space="preserve">study also demonstrates </w:t>
      </w:r>
      <w:r w:rsidR="00B62AF6" w:rsidRPr="00AC2A80">
        <w:rPr>
          <w:rFonts w:ascii="Times New Roman" w:hAnsi="Times New Roman" w:cs="Times New Roman"/>
          <w:sz w:val="24"/>
          <w:szCs w:val="24"/>
        </w:rPr>
        <w:t xml:space="preserve">that IBLI reduced the impact of livestock mortality on </w:t>
      </w:r>
      <w:r w:rsidR="001678DD" w:rsidRPr="00AC2A80">
        <w:rPr>
          <w:rFonts w:ascii="Times New Roman" w:hAnsi="Times New Roman" w:cs="Times New Roman"/>
          <w:sz w:val="24"/>
          <w:szCs w:val="24"/>
        </w:rPr>
        <w:t xml:space="preserve">herders’ </w:t>
      </w:r>
      <w:r w:rsidR="00DF2326" w:rsidRPr="00AC2A80">
        <w:rPr>
          <w:rFonts w:ascii="Times New Roman" w:hAnsi="Times New Roman" w:cs="Times New Roman"/>
          <w:sz w:val="24"/>
          <w:szCs w:val="24"/>
        </w:rPr>
        <w:t>livelihoods</w:t>
      </w:r>
      <w:r w:rsidR="00B62AF6" w:rsidRPr="00AC2A80">
        <w:rPr>
          <w:rFonts w:ascii="Times New Roman" w:hAnsi="Times New Roman" w:cs="Times New Roman"/>
          <w:sz w:val="24"/>
          <w:szCs w:val="24"/>
        </w:rPr>
        <w:t>.</w:t>
      </w:r>
      <w:r w:rsidR="00B62AF6" w:rsidRPr="00F92093">
        <w:rPr>
          <w:rFonts w:ascii="Times New Roman" w:hAnsi="Times New Roman" w:cs="Times New Roman"/>
          <w:sz w:val="24"/>
          <w:szCs w:val="24"/>
        </w:rPr>
        <w:t xml:space="preserve"> </w:t>
      </w:r>
      <w:r w:rsidR="00B36C92" w:rsidRPr="00F92093">
        <w:rPr>
          <w:rFonts w:ascii="Times New Roman" w:hAnsi="Times New Roman" w:cs="Times New Roman"/>
          <w:sz w:val="24"/>
          <w:szCs w:val="24"/>
        </w:rPr>
        <w:t xml:space="preserve">IBLI </w:t>
      </w:r>
      <w:r w:rsidR="00B62AF6" w:rsidRPr="00F92093">
        <w:rPr>
          <w:rFonts w:ascii="Times New Roman" w:hAnsi="Times New Roman" w:cs="Times New Roman"/>
          <w:sz w:val="24"/>
          <w:szCs w:val="24"/>
        </w:rPr>
        <w:t>provid</w:t>
      </w:r>
      <w:r w:rsidR="00B36C92" w:rsidRPr="00F92093">
        <w:rPr>
          <w:rFonts w:ascii="Times New Roman" w:hAnsi="Times New Roman" w:cs="Times New Roman"/>
          <w:sz w:val="24"/>
          <w:szCs w:val="24"/>
        </w:rPr>
        <w:t>ed</w:t>
      </w:r>
      <w:r w:rsidR="00B62AF6" w:rsidRPr="00F92093">
        <w:rPr>
          <w:rFonts w:ascii="Times New Roman" w:hAnsi="Times New Roman" w:cs="Times New Roman"/>
          <w:sz w:val="24"/>
          <w:szCs w:val="24"/>
        </w:rPr>
        <w:t xml:space="preserve"> them with cash </w:t>
      </w:r>
      <w:r w:rsidR="00B36C92" w:rsidRPr="00F92093">
        <w:rPr>
          <w:rFonts w:ascii="Times New Roman" w:hAnsi="Times New Roman" w:cs="Times New Roman"/>
          <w:sz w:val="24"/>
          <w:szCs w:val="24"/>
        </w:rPr>
        <w:t xml:space="preserve">which was </w:t>
      </w:r>
      <w:r w:rsidR="00B62AF6" w:rsidRPr="00F92093">
        <w:rPr>
          <w:rFonts w:ascii="Times New Roman" w:hAnsi="Times New Roman" w:cs="Times New Roman"/>
          <w:sz w:val="24"/>
          <w:szCs w:val="24"/>
        </w:rPr>
        <w:t>used to cover expenses for food, education, and health as a substitute for selling animals</w:t>
      </w:r>
      <w:r w:rsidRPr="00F92093">
        <w:rPr>
          <w:rFonts w:ascii="Times New Roman" w:hAnsi="Times New Roman" w:cs="Times New Roman"/>
          <w:sz w:val="24"/>
          <w:szCs w:val="24"/>
        </w:rPr>
        <w:t xml:space="preserve"> and relieved them from credit constraints</w:t>
      </w:r>
      <w:r w:rsidR="00B62AF6" w:rsidRPr="00F92093">
        <w:rPr>
          <w:rFonts w:ascii="Times New Roman" w:hAnsi="Times New Roman" w:cs="Times New Roman"/>
          <w:sz w:val="24"/>
          <w:szCs w:val="24"/>
        </w:rPr>
        <w:t xml:space="preserve">. There is a suggestive evidence that insured households were more likely to take credit during the disaster, which may have been used to purchase new livestock. </w:t>
      </w:r>
    </w:p>
    <w:p w14:paraId="40E35FAD" w14:textId="77777777" w:rsidR="0064492F" w:rsidRPr="00F92093" w:rsidRDefault="0064492F" w:rsidP="00F92093">
      <w:pPr>
        <w:pStyle w:val="ListParagraph"/>
        <w:autoSpaceDE w:val="0"/>
        <w:autoSpaceDN w:val="0"/>
        <w:adjustRightInd w:val="0"/>
        <w:spacing w:after="240" w:line="240" w:lineRule="auto"/>
        <w:ind w:left="0"/>
        <w:rPr>
          <w:rFonts w:ascii="Times New Roman" w:hAnsi="Times New Roman" w:cs="Times New Roman"/>
          <w:sz w:val="24"/>
          <w:szCs w:val="24"/>
        </w:rPr>
      </w:pPr>
    </w:p>
    <w:p w14:paraId="1D3A74B6" w14:textId="15AC7DB8" w:rsidR="0015755C" w:rsidRPr="00F92093" w:rsidRDefault="00132343" w:rsidP="00F92093">
      <w:pPr>
        <w:pStyle w:val="ListParagraph"/>
        <w:numPr>
          <w:ilvl w:val="0"/>
          <w:numId w:val="2"/>
        </w:numPr>
        <w:autoSpaceDE w:val="0"/>
        <w:autoSpaceDN w:val="0"/>
        <w:adjustRightInd w:val="0"/>
        <w:spacing w:after="240" w:line="240" w:lineRule="auto"/>
        <w:ind w:left="0" w:firstLine="0"/>
        <w:rPr>
          <w:rFonts w:ascii="Times New Roman" w:hAnsi="Times New Roman" w:cs="Times New Roman"/>
          <w:iCs/>
          <w:sz w:val="24"/>
          <w:szCs w:val="24"/>
        </w:rPr>
      </w:pPr>
      <w:r w:rsidRPr="00F92093">
        <w:rPr>
          <w:rFonts w:ascii="Times New Roman" w:hAnsi="Times New Roman" w:cs="Times New Roman"/>
          <w:b/>
          <w:iCs/>
          <w:sz w:val="24"/>
          <w:szCs w:val="24"/>
        </w:rPr>
        <w:t xml:space="preserve">The PDO </w:t>
      </w:r>
      <w:r w:rsidR="00C070A6" w:rsidRPr="00F92093">
        <w:rPr>
          <w:rFonts w:ascii="Times New Roman" w:hAnsi="Times New Roman" w:cs="Times New Roman"/>
          <w:b/>
          <w:iCs/>
          <w:sz w:val="24"/>
          <w:szCs w:val="24"/>
        </w:rPr>
        <w:t>of IBLI-</w:t>
      </w:r>
      <w:r w:rsidR="005269B2" w:rsidRPr="00F92093">
        <w:rPr>
          <w:rFonts w:ascii="Times New Roman" w:hAnsi="Times New Roman" w:cs="Times New Roman"/>
          <w:b/>
          <w:iCs/>
          <w:sz w:val="24"/>
          <w:szCs w:val="24"/>
        </w:rPr>
        <w:t xml:space="preserve">AF </w:t>
      </w:r>
      <w:r w:rsidRPr="00F92093">
        <w:rPr>
          <w:rFonts w:ascii="Times New Roman" w:hAnsi="Times New Roman" w:cs="Times New Roman"/>
          <w:b/>
          <w:iCs/>
          <w:sz w:val="24"/>
          <w:szCs w:val="24"/>
        </w:rPr>
        <w:t>has been substantially achieved.</w:t>
      </w:r>
      <w:r w:rsidR="00452D6F" w:rsidRPr="00F92093">
        <w:rPr>
          <w:rFonts w:ascii="Times New Roman" w:hAnsi="Times New Roman" w:cs="Times New Roman"/>
          <w:b/>
          <w:iCs/>
          <w:sz w:val="24"/>
          <w:szCs w:val="24"/>
        </w:rPr>
        <w:t xml:space="preserve"> </w:t>
      </w:r>
      <w:r w:rsidR="00452D6F" w:rsidRPr="00F92093">
        <w:rPr>
          <w:rFonts w:ascii="Times New Roman" w:hAnsi="Times New Roman" w:cs="Times New Roman"/>
          <w:sz w:val="24"/>
          <w:szCs w:val="24"/>
        </w:rPr>
        <w:t xml:space="preserve">By the end of the </w:t>
      </w:r>
      <w:r w:rsidR="00C070A6" w:rsidRPr="00F92093">
        <w:rPr>
          <w:rFonts w:ascii="Times New Roman" w:hAnsi="Times New Roman" w:cs="Times New Roman"/>
          <w:sz w:val="24"/>
          <w:szCs w:val="24"/>
        </w:rPr>
        <w:t>project</w:t>
      </w:r>
      <w:r w:rsidR="00452D6F" w:rsidRPr="00F92093">
        <w:rPr>
          <w:rFonts w:ascii="Times New Roman" w:hAnsi="Times New Roman" w:cs="Times New Roman"/>
          <w:sz w:val="24"/>
          <w:szCs w:val="24"/>
        </w:rPr>
        <w:t xml:space="preserve">, </w:t>
      </w:r>
      <w:r w:rsidR="00C070A6" w:rsidRPr="00F92093">
        <w:rPr>
          <w:rFonts w:ascii="Times New Roman" w:hAnsi="Times New Roman" w:cs="Times New Roman"/>
          <w:sz w:val="24"/>
          <w:szCs w:val="24"/>
        </w:rPr>
        <w:t xml:space="preserve">IBLIP had </w:t>
      </w:r>
      <w:r w:rsidR="00993577" w:rsidRPr="00F92093">
        <w:rPr>
          <w:rFonts w:ascii="Times New Roman" w:hAnsi="Times New Roman" w:cs="Times New Roman"/>
          <w:sz w:val="24"/>
          <w:szCs w:val="24"/>
        </w:rPr>
        <w:t xml:space="preserve">ascertained the viability of </w:t>
      </w:r>
      <w:r w:rsidR="00E70330" w:rsidRPr="00F92093">
        <w:rPr>
          <w:rFonts w:ascii="Times New Roman" w:hAnsi="Times New Roman" w:cs="Times New Roman"/>
          <w:sz w:val="24"/>
          <w:szCs w:val="24"/>
        </w:rPr>
        <w:t>IBLI</w:t>
      </w:r>
      <w:r w:rsidR="00993577" w:rsidRPr="00F92093">
        <w:rPr>
          <w:rFonts w:ascii="Times New Roman" w:hAnsi="Times New Roman" w:cs="Times New Roman"/>
          <w:sz w:val="24"/>
          <w:szCs w:val="24"/>
        </w:rPr>
        <w:t xml:space="preserve"> in Mongolia</w:t>
      </w:r>
      <w:r w:rsidR="003B583B" w:rsidRPr="00F92093">
        <w:rPr>
          <w:rFonts w:ascii="Times New Roman" w:hAnsi="Times New Roman" w:cs="Times New Roman"/>
          <w:sz w:val="24"/>
          <w:szCs w:val="24"/>
        </w:rPr>
        <w:t xml:space="preserve"> and building on the pilot, successfully and sustainably scaled up the IBLI insurance program to all aimags in Mongolia</w:t>
      </w:r>
      <w:r w:rsidR="0015755C" w:rsidRPr="00F92093">
        <w:rPr>
          <w:rFonts w:ascii="Times New Roman" w:hAnsi="Times New Roman" w:cs="Times New Roman"/>
          <w:sz w:val="24"/>
          <w:szCs w:val="24"/>
        </w:rPr>
        <w:t xml:space="preserve">, and reduced the impact of livestock mortality on </w:t>
      </w:r>
      <w:r w:rsidR="0008309B" w:rsidRPr="00F92093">
        <w:rPr>
          <w:rFonts w:ascii="Times New Roman" w:hAnsi="Times New Roman" w:cs="Times New Roman"/>
          <w:sz w:val="24"/>
          <w:szCs w:val="24"/>
        </w:rPr>
        <w:t>herders’</w:t>
      </w:r>
      <w:r w:rsidR="0015755C" w:rsidRPr="00F92093">
        <w:rPr>
          <w:rFonts w:ascii="Times New Roman" w:hAnsi="Times New Roman" w:cs="Times New Roman"/>
          <w:sz w:val="24"/>
          <w:szCs w:val="24"/>
        </w:rPr>
        <w:t xml:space="preserve"> livelihood</w:t>
      </w:r>
      <w:r w:rsidR="005E247A">
        <w:rPr>
          <w:rFonts w:ascii="Times New Roman" w:hAnsi="Times New Roman" w:cs="Times New Roman"/>
          <w:sz w:val="24"/>
          <w:szCs w:val="24"/>
        </w:rPr>
        <w:t>.</w:t>
      </w:r>
    </w:p>
    <w:p w14:paraId="76526D8B" w14:textId="7E16009E" w:rsidR="003B583B" w:rsidRPr="00F92093" w:rsidRDefault="0015755C" w:rsidP="00F92093">
      <w:pPr>
        <w:numPr>
          <w:ilvl w:val="0"/>
          <w:numId w:val="2"/>
        </w:numPr>
        <w:tabs>
          <w:tab w:val="num" w:pos="0"/>
        </w:tabs>
        <w:spacing w:after="240"/>
        <w:ind w:left="0" w:firstLine="0"/>
        <w:rPr>
          <w:b/>
          <w:iCs/>
          <w:color w:val="000000"/>
        </w:rPr>
      </w:pPr>
      <w:r w:rsidRPr="00AC2A80">
        <w:rPr>
          <w:i/>
          <w:iCs/>
        </w:rPr>
        <w:t>Ascertained viability of IBLIP.</w:t>
      </w:r>
      <w:r w:rsidRPr="00F92093">
        <w:t xml:space="preserve"> </w:t>
      </w:r>
      <w:r w:rsidR="006F40F6" w:rsidRPr="00F92093">
        <w:t xml:space="preserve">IBLIP </w:t>
      </w:r>
      <w:r w:rsidR="00C070A6" w:rsidRPr="00F92093">
        <w:t>was successfully scale</w:t>
      </w:r>
      <w:r w:rsidR="00E14BE2" w:rsidRPr="00F92093">
        <w:t xml:space="preserve">d </w:t>
      </w:r>
      <w:r w:rsidR="00C070A6" w:rsidRPr="00F92093">
        <w:t>up nationwide</w:t>
      </w:r>
      <w:r w:rsidR="000723F4" w:rsidRPr="00F92093">
        <w:t xml:space="preserve"> from the four pilot aimags</w:t>
      </w:r>
      <w:r w:rsidR="005269B2" w:rsidRPr="00F92093">
        <w:t>, and i</w:t>
      </w:r>
      <w:r w:rsidR="00C070A6" w:rsidRPr="00F92093">
        <w:t>t build the institutional capacity and framework for the sustainability of the IBLI program</w:t>
      </w:r>
      <w:r w:rsidR="00E14BE2" w:rsidRPr="00F92093">
        <w:t xml:space="preserve">. </w:t>
      </w:r>
      <w:r w:rsidR="00ED18F3" w:rsidRPr="00F92093">
        <w:t xml:space="preserve">Since the beginning of the IBLI program, ten insurance cycles were implemented, and indemnity were provided for nine years. </w:t>
      </w:r>
      <w:r w:rsidR="00594018" w:rsidRPr="00F92093">
        <w:t xml:space="preserve">Cumulatively over the life of the </w:t>
      </w:r>
      <w:r w:rsidR="00B17610" w:rsidRPr="00F92093">
        <w:t>project</w:t>
      </w:r>
      <w:r w:rsidR="002709D7" w:rsidRPr="00F92093">
        <w:t xml:space="preserve"> 9</w:t>
      </w:r>
      <w:r w:rsidR="00594018" w:rsidRPr="00F92093">
        <w:t>3</w:t>
      </w:r>
      <w:r w:rsidR="002709D7" w:rsidRPr="00F92093">
        <w:t>,</w:t>
      </w:r>
      <w:r w:rsidR="00594018" w:rsidRPr="00F92093">
        <w:t>7</w:t>
      </w:r>
      <w:r w:rsidR="002709D7" w:rsidRPr="00F92093">
        <w:t>00 herders purchased the insurance paying 8.1 billion Tugriks (US$405 million) in insurance premiums, and 16,545 received indemnity payments totaling 3.2 billion Tugriks (US$160 million).</w:t>
      </w:r>
      <w:r w:rsidR="00196B30" w:rsidRPr="00F92093">
        <w:t xml:space="preserve"> The insurance covered 21 aimags and 330 soums. </w:t>
      </w:r>
      <w:r w:rsidR="00D60DB7" w:rsidRPr="00F92093">
        <w:t>Annual monitoring repor</w:t>
      </w:r>
      <w:r w:rsidR="006717E7" w:rsidRPr="00F92093">
        <w:t>t</w:t>
      </w:r>
      <w:r w:rsidR="00D60DB7" w:rsidRPr="00F92093">
        <w:t xml:space="preserve">s show that 8.5%-15.5% of herders in aimags covered by the project buy the IBLI every year, demonstrating the change in mindset of herders to proactively manage risk. </w:t>
      </w:r>
      <w:r w:rsidR="00C33B3C">
        <w:t xml:space="preserve">Furthermore, expanding access to IBLI in addition facilitated expansion of financial inclusion in Mongolia, which has been proven in of itself to build the resilience of low income households through provision of financial services (savings, credit, insurance).  </w:t>
      </w:r>
      <w:r w:rsidR="00ED18F3" w:rsidRPr="00F92093">
        <w:t>This sustained demand for IBLI is encouraging since last two years of good weather, the decrease in public awareness activities by the end of the project, and the knowledge that IBLI will no longer be administered by the PIU could have had the opposite effect.</w:t>
      </w:r>
    </w:p>
    <w:p w14:paraId="71A48367" w14:textId="478E54D1" w:rsidR="0064492F" w:rsidRPr="007B456C" w:rsidRDefault="00284CAC" w:rsidP="000D7C76">
      <w:pPr>
        <w:numPr>
          <w:ilvl w:val="0"/>
          <w:numId w:val="2"/>
        </w:numPr>
        <w:tabs>
          <w:tab w:val="num" w:pos="0"/>
        </w:tabs>
        <w:spacing w:after="240"/>
        <w:ind w:left="0" w:firstLine="0"/>
        <w:rPr>
          <w:iCs/>
        </w:rPr>
      </w:pPr>
      <w:r w:rsidRPr="00AC2A80">
        <w:t>T</w:t>
      </w:r>
      <w:r w:rsidR="006B6135" w:rsidRPr="00AC2A80">
        <w:t xml:space="preserve">he legal and institutional framework </w:t>
      </w:r>
      <w:r w:rsidRPr="00AC2A80">
        <w:t>was successfully built</w:t>
      </w:r>
      <w:r w:rsidRPr="00F92093">
        <w:t xml:space="preserve"> </w:t>
      </w:r>
      <w:r w:rsidR="006B6135" w:rsidRPr="00F92093">
        <w:t xml:space="preserve">to ensure </w:t>
      </w:r>
      <w:r>
        <w:t xml:space="preserve">sustainability </w:t>
      </w:r>
      <w:r w:rsidR="006B6135" w:rsidRPr="00F92093">
        <w:t xml:space="preserve">of the IBLI program after the end of the project. </w:t>
      </w:r>
      <w:r>
        <w:t>E</w:t>
      </w:r>
      <w:r w:rsidR="006B6135" w:rsidRPr="00F92093">
        <w:t>ssential public and private sector capacity in insurance principals across the country</w:t>
      </w:r>
      <w:r>
        <w:t xml:space="preserve"> was developed</w:t>
      </w:r>
      <w:r w:rsidR="006B6135" w:rsidRPr="00F92093">
        <w:t>, and performance of these capacities improved based on M&amp;E reports.</w:t>
      </w:r>
      <w:r>
        <w:t xml:space="preserve"> </w:t>
      </w:r>
      <w:r w:rsidR="006B6135" w:rsidRPr="00F92093">
        <w:t xml:space="preserve">By rapidly and effectively making payouts to herders effected by </w:t>
      </w:r>
      <w:r w:rsidR="00E70330" w:rsidRPr="007B456C">
        <w:rPr>
          <w:i/>
        </w:rPr>
        <w:t>d</w:t>
      </w:r>
      <w:r w:rsidR="006B6135" w:rsidRPr="007B456C">
        <w:rPr>
          <w:i/>
        </w:rPr>
        <w:t>zud</w:t>
      </w:r>
      <w:r w:rsidR="006B6135" w:rsidRPr="00F92093">
        <w:t xml:space="preserve"> events (most notably in 2010), these capacities have already contributed to dramatic and sustained decreases in impacts of </w:t>
      </w:r>
      <w:r w:rsidR="00A31484" w:rsidRPr="007B456C">
        <w:rPr>
          <w:i/>
        </w:rPr>
        <w:t>dzuds</w:t>
      </w:r>
      <w:r w:rsidR="00A31484" w:rsidRPr="00F92093">
        <w:t xml:space="preserve"> </w:t>
      </w:r>
      <w:r w:rsidR="006B6135" w:rsidRPr="00F92093">
        <w:t>on herder welfare.</w:t>
      </w:r>
      <w:r>
        <w:t xml:space="preserve"> </w:t>
      </w:r>
      <w:r w:rsidR="00ED18F3" w:rsidRPr="007B456C">
        <w:t>With the Parliament passing the law on IBLI in June 13, 2014, the Government has laid the foundation to ensure sustainability of IBLI in the mid-long term in Mongolia.</w:t>
      </w:r>
    </w:p>
    <w:p w14:paraId="10DE3BDF" w14:textId="7630D152" w:rsidR="00ED18F3" w:rsidRPr="00F92093" w:rsidRDefault="00ED18F3" w:rsidP="00F92093">
      <w:pPr>
        <w:pStyle w:val="ListParagraph"/>
        <w:numPr>
          <w:ilvl w:val="0"/>
          <w:numId w:val="2"/>
        </w:numPr>
        <w:spacing w:after="240" w:line="240" w:lineRule="auto"/>
        <w:ind w:left="0" w:firstLine="0"/>
        <w:rPr>
          <w:rFonts w:ascii="Times New Roman" w:hAnsi="Times New Roman" w:cs="Times New Roman"/>
          <w:iCs/>
          <w:sz w:val="24"/>
          <w:szCs w:val="24"/>
        </w:rPr>
      </w:pPr>
      <w:r w:rsidRPr="00AC2A80">
        <w:rPr>
          <w:rFonts w:ascii="Times New Roman" w:hAnsi="Times New Roman" w:cs="Times New Roman"/>
          <w:iCs/>
          <w:sz w:val="24"/>
          <w:szCs w:val="24"/>
        </w:rPr>
        <w:lastRenderedPageBreak/>
        <w:t>All activities were completed by the Project closing date</w:t>
      </w:r>
      <w:r w:rsidR="007B456C" w:rsidRPr="00AC2A80">
        <w:rPr>
          <w:rFonts w:ascii="Times New Roman" w:hAnsi="Times New Roman" w:cs="Times New Roman"/>
          <w:iCs/>
          <w:sz w:val="24"/>
          <w:szCs w:val="24"/>
        </w:rPr>
        <w:t>.</w:t>
      </w:r>
      <w:r w:rsidR="001678DD" w:rsidRPr="00AC2A80">
        <w:rPr>
          <w:rFonts w:ascii="Times New Roman" w:hAnsi="Times New Roman" w:cs="Times New Roman"/>
          <w:iCs/>
          <w:sz w:val="24"/>
          <w:szCs w:val="24"/>
        </w:rPr>
        <w:t xml:space="preserve"> I</w:t>
      </w:r>
      <w:r w:rsidR="001678DD" w:rsidRPr="00F92093">
        <w:rPr>
          <w:rFonts w:ascii="Times New Roman" w:hAnsi="Times New Roman" w:cs="Times New Roman"/>
          <w:iCs/>
          <w:sz w:val="24"/>
          <w:szCs w:val="24"/>
        </w:rPr>
        <w:t xml:space="preserve">n March 2016, the national and provincial project teams came together with their partners in </w:t>
      </w:r>
      <w:r w:rsidR="00C86D72" w:rsidRPr="00F92093">
        <w:rPr>
          <w:rFonts w:ascii="Times New Roman" w:hAnsi="Times New Roman" w:cs="Times New Roman"/>
          <w:iCs/>
          <w:sz w:val="24"/>
          <w:szCs w:val="24"/>
        </w:rPr>
        <w:t>Ulaanbaatar</w:t>
      </w:r>
      <w:r w:rsidR="001678DD" w:rsidRPr="00F92093">
        <w:rPr>
          <w:rFonts w:ascii="Times New Roman" w:hAnsi="Times New Roman" w:cs="Times New Roman"/>
          <w:iCs/>
          <w:sz w:val="24"/>
          <w:szCs w:val="24"/>
        </w:rPr>
        <w:t xml:space="preserve"> for a final project review, to take stock of the achievements.</w:t>
      </w:r>
    </w:p>
    <w:p w14:paraId="4F52069F" w14:textId="77777777" w:rsidR="0064492F" w:rsidRPr="00F92093" w:rsidRDefault="0064492F" w:rsidP="00F92093">
      <w:pPr>
        <w:pStyle w:val="ListParagraph"/>
        <w:spacing w:after="240"/>
        <w:ind w:left="0"/>
        <w:rPr>
          <w:rFonts w:ascii="Times New Roman" w:hAnsi="Times New Roman" w:cs="Times New Roman"/>
          <w:iCs/>
          <w:sz w:val="24"/>
          <w:szCs w:val="24"/>
        </w:rPr>
      </w:pPr>
    </w:p>
    <w:p w14:paraId="76F62D47" w14:textId="41513052" w:rsidR="008F5CE0" w:rsidRPr="00F92093" w:rsidRDefault="006F40F6" w:rsidP="00F92093">
      <w:pPr>
        <w:pStyle w:val="ListParagraph"/>
        <w:numPr>
          <w:ilvl w:val="0"/>
          <w:numId w:val="2"/>
        </w:numPr>
        <w:tabs>
          <w:tab w:val="num" w:pos="0"/>
        </w:tabs>
        <w:spacing w:after="240"/>
        <w:ind w:left="0" w:firstLine="0"/>
        <w:rPr>
          <w:rFonts w:ascii="Times New Roman" w:hAnsi="Times New Roman" w:cs="Times New Roman"/>
          <w:iCs/>
          <w:sz w:val="24"/>
          <w:szCs w:val="24"/>
        </w:rPr>
      </w:pPr>
      <w:r w:rsidRPr="00AC2A80">
        <w:rPr>
          <w:rFonts w:ascii="Times New Roman" w:hAnsi="Times New Roman" w:cs="Times New Roman"/>
          <w:iCs/>
          <w:sz w:val="24"/>
          <w:szCs w:val="24"/>
        </w:rPr>
        <w:t xml:space="preserve">Decreased impact on livestock mortality for </w:t>
      </w:r>
      <w:r w:rsidR="003B583B" w:rsidRPr="00AC2A80">
        <w:rPr>
          <w:rFonts w:ascii="Times New Roman" w:hAnsi="Times New Roman" w:cs="Times New Roman"/>
          <w:iCs/>
          <w:sz w:val="24"/>
          <w:szCs w:val="24"/>
        </w:rPr>
        <w:t xml:space="preserve">herders’ </w:t>
      </w:r>
      <w:r w:rsidRPr="00AC2A80">
        <w:rPr>
          <w:rFonts w:ascii="Times New Roman" w:hAnsi="Times New Roman" w:cs="Times New Roman"/>
          <w:iCs/>
          <w:sz w:val="24"/>
          <w:szCs w:val="24"/>
        </w:rPr>
        <w:t>livelihood</w:t>
      </w:r>
      <w:r w:rsidR="0062139A" w:rsidRPr="00AC2A80">
        <w:rPr>
          <w:rFonts w:ascii="Times New Roman" w:hAnsi="Times New Roman" w:cs="Times New Roman"/>
          <w:iCs/>
          <w:sz w:val="24"/>
          <w:szCs w:val="24"/>
        </w:rPr>
        <w:t xml:space="preserve"> was observed</w:t>
      </w:r>
      <w:r w:rsidRPr="00AC2A80">
        <w:rPr>
          <w:rFonts w:ascii="Times New Roman" w:hAnsi="Times New Roman" w:cs="Times New Roman"/>
          <w:iCs/>
          <w:sz w:val="24"/>
          <w:szCs w:val="24"/>
        </w:rPr>
        <w:t>.</w:t>
      </w:r>
      <w:r w:rsidRPr="00F92093">
        <w:rPr>
          <w:rFonts w:ascii="Times New Roman" w:hAnsi="Times New Roman" w:cs="Times New Roman"/>
          <w:sz w:val="24"/>
          <w:szCs w:val="24"/>
        </w:rPr>
        <w:t xml:space="preserve"> </w:t>
      </w:r>
      <w:r w:rsidR="00D364EB" w:rsidRPr="00F92093">
        <w:rPr>
          <w:rFonts w:ascii="Times New Roman" w:hAnsi="Times New Roman" w:cs="Times New Roman"/>
          <w:sz w:val="24"/>
          <w:szCs w:val="24"/>
        </w:rPr>
        <w:t>An independent</w:t>
      </w:r>
      <w:r w:rsidR="00E14BE2" w:rsidRPr="00F92093">
        <w:rPr>
          <w:rFonts w:ascii="Times New Roman" w:hAnsi="Times New Roman" w:cs="Times New Roman"/>
          <w:sz w:val="24"/>
          <w:szCs w:val="24"/>
        </w:rPr>
        <w:t xml:space="preserve"> impa</w:t>
      </w:r>
      <w:r w:rsidR="00D364EB" w:rsidRPr="00F92093">
        <w:rPr>
          <w:rFonts w:ascii="Times New Roman" w:hAnsi="Times New Roman" w:cs="Times New Roman"/>
          <w:sz w:val="24"/>
          <w:szCs w:val="24"/>
        </w:rPr>
        <w:t>ct evaluation conducted in 2014</w:t>
      </w:r>
      <w:r w:rsidR="00993577" w:rsidRPr="00F92093">
        <w:rPr>
          <w:rFonts w:ascii="Times New Roman" w:hAnsi="Times New Roman" w:cs="Times New Roman"/>
          <w:sz w:val="24"/>
          <w:szCs w:val="24"/>
        </w:rPr>
        <w:t xml:space="preserve"> and a post event impact evaluation conduced in 20</w:t>
      </w:r>
      <w:r w:rsidR="00D364EB" w:rsidRPr="00F92093">
        <w:rPr>
          <w:rFonts w:ascii="Times New Roman" w:hAnsi="Times New Roman" w:cs="Times New Roman"/>
          <w:sz w:val="24"/>
          <w:szCs w:val="24"/>
        </w:rPr>
        <w:t xml:space="preserve">15 </w:t>
      </w:r>
      <w:r w:rsidR="00993577" w:rsidRPr="00F92093">
        <w:rPr>
          <w:rFonts w:ascii="Times New Roman" w:hAnsi="Times New Roman" w:cs="Times New Roman"/>
          <w:sz w:val="24"/>
          <w:szCs w:val="24"/>
        </w:rPr>
        <w:t>both independently confirm the significant impacts of the Project as described in the PDO</w:t>
      </w:r>
      <w:r w:rsidR="00C86D72" w:rsidRPr="00F92093">
        <w:rPr>
          <w:rFonts w:ascii="Times New Roman" w:hAnsi="Times New Roman" w:cs="Times New Roman"/>
          <w:sz w:val="24"/>
          <w:szCs w:val="24"/>
        </w:rPr>
        <w:t xml:space="preserve"> as explained in paragraph 9</w:t>
      </w:r>
      <w:r w:rsidR="004C463B" w:rsidRPr="00F92093">
        <w:rPr>
          <w:rFonts w:ascii="Times New Roman" w:hAnsi="Times New Roman" w:cs="Times New Roman"/>
          <w:sz w:val="24"/>
          <w:szCs w:val="24"/>
        </w:rPr>
        <w:t>0</w:t>
      </w:r>
      <w:r w:rsidR="00993577" w:rsidRPr="00F92093">
        <w:rPr>
          <w:rFonts w:ascii="Times New Roman" w:hAnsi="Times New Roman" w:cs="Times New Roman"/>
          <w:sz w:val="24"/>
          <w:szCs w:val="24"/>
        </w:rPr>
        <w:t>.  A description of the different methodolog</w:t>
      </w:r>
      <w:r w:rsidR="00B55A6E" w:rsidRPr="00F92093">
        <w:rPr>
          <w:rFonts w:ascii="Times New Roman" w:hAnsi="Times New Roman" w:cs="Times New Roman"/>
          <w:sz w:val="24"/>
          <w:szCs w:val="24"/>
        </w:rPr>
        <w:t>ies</w:t>
      </w:r>
      <w:r w:rsidR="00993577" w:rsidRPr="00F92093">
        <w:rPr>
          <w:rFonts w:ascii="Times New Roman" w:hAnsi="Times New Roman" w:cs="Times New Roman"/>
          <w:sz w:val="24"/>
          <w:szCs w:val="24"/>
        </w:rPr>
        <w:t xml:space="preserve"> used and a full summary of the IE </w:t>
      </w:r>
      <w:r w:rsidR="00D6352B" w:rsidRPr="00F92093">
        <w:rPr>
          <w:rFonts w:ascii="Times New Roman" w:hAnsi="Times New Roman" w:cs="Times New Roman"/>
          <w:sz w:val="24"/>
          <w:szCs w:val="24"/>
        </w:rPr>
        <w:t>c</w:t>
      </w:r>
      <w:r w:rsidR="00993577" w:rsidRPr="00F92093">
        <w:rPr>
          <w:rFonts w:ascii="Times New Roman" w:hAnsi="Times New Roman" w:cs="Times New Roman"/>
          <w:sz w:val="24"/>
          <w:szCs w:val="24"/>
        </w:rPr>
        <w:t xml:space="preserve">an be found in Annex </w:t>
      </w:r>
      <w:r w:rsidR="005C27AE" w:rsidRPr="00F92093">
        <w:rPr>
          <w:rFonts w:ascii="Times New Roman" w:hAnsi="Times New Roman" w:cs="Times New Roman"/>
          <w:sz w:val="24"/>
          <w:szCs w:val="24"/>
        </w:rPr>
        <w:t>5</w:t>
      </w:r>
      <w:r w:rsidR="00993577" w:rsidRPr="00F92093">
        <w:rPr>
          <w:rFonts w:ascii="Times New Roman" w:hAnsi="Times New Roman" w:cs="Times New Roman"/>
          <w:sz w:val="24"/>
          <w:szCs w:val="24"/>
        </w:rPr>
        <w:t xml:space="preserve">. </w:t>
      </w:r>
    </w:p>
    <w:p w14:paraId="64A272F7" w14:textId="3DBED43F" w:rsidR="001B155B" w:rsidRDefault="004C54D5" w:rsidP="00AF0AC5">
      <w:pPr>
        <w:numPr>
          <w:ilvl w:val="0"/>
          <w:numId w:val="2"/>
        </w:numPr>
        <w:tabs>
          <w:tab w:val="num" w:pos="0"/>
        </w:tabs>
        <w:spacing w:after="240"/>
        <w:ind w:left="0" w:firstLine="0"/>
        <w:jc w:val="both"/>
      </w:pPr>
      <w:r>
        <w:t xml:space="preserve">The </w:t>
      </w:r>
      <w:r w:rsidR="001B155B">
        <w:t xml:space="preserve">main outcome observed after the payouts from the 2010 </w:t>
      </w:r>
      <w:r w:rsidR="002A1A68" w:rsidRPr="00F92093">
        <w:rPr>
          <w:i/>
        </w:rPr>
        <w:t>d</w:t>
      </w:r>
      <w:r w:rsidR="001B155B" w:rsidRPr="00F92093">
        <w:rPr>
          <w:i/>
        </w:rPr>
        <w:t>zud</w:t>
      </w:r>
      <w:r>
        <w:t xml:space="preserve"> was a more rapid restocking of herd size for herders who received a payout</w:t>
      </w:r>
      <w:r w:rsidR="002C3BCD">
        <w:t>, so stronger resilience to shocks</w:t>
      </w:r>
      <w:r>
        <w:t>.</w:t>
      </w:r>
      <w:r w:rsidR="001B155B">
        <w:t xml:space="preserve"> A</w:t>
      </w:r>
      <w:r w:rsidR="00FC6D39">
        <w:t xml:space="preserve"> rigorous</w:t>
      </w:r>
      <w:r w:rsidR="001B155B">
        <w:t xml:space="preserve"> impact assessment carried out after this event showed that the rate of herd growth in herder households that had IBLI was far greater than those who did not.  This can be seen </w:t>
      </w:r>
      <w:r w:rsidR="001B155B" w:rsidRPr="002A1A68">
        <w:t>in</w:t>
      </w:r>
      <w:r w:rsidR="00023288">
        <w:t xml:space="preserve"> </w:t>
      </w:r>
      <w:r w:rsidR="00023288">
        <w:fldChar w:fldCharType="begin"/>
      </w:r>
      <w:r w:rsidR="00023288">
        <w:instrText xml:space="preserve"> REF _Ref456790524 \h </w:instrText>
      </w:r>
      <w:r w:rsidR="00023288">
        <w:fldChar w:fldCharType="separate"/>
      </w:r>
      <w:r w:rsidR="00D41562" w:rsidRPr="00FC6D39">
        <w:rPr>
          <w:color w:val="000000" w:themeColor="text1"/>
        </w:rPr>
        <w:t xml:space="preserve">Figure </w:t>
      </w:r>
      <w:r w:rsidR="00D41562">
        <w:rPr>
          <w:i/>
          <w:noProof/>
          <w:color w:val="000000" w:themeColor="text1"/>
        </w:rPr>
        <w:t>3</w:t>
      </w:r>
      <w:r w:rsidR="00023288">
        <w:fldChar w:fldCharType="end"/>
      </w:r>
      <w:r w:rsidR="00991115" w:rsidRPr="002A1A68">
        <w:t xml:space="preserve">.  </w:t>
      </w:r>
      <w:r w:rsidR="00163180">
        <w:t>T</w:t>
      </w:r>
      <w:r w:rsidR="001B155B">
        <w:t xml:space="preserve">hese successful final outcomes </w:t>
      </w:r>
      <w:r w:rsidR="00163180">
        <w:t xml:space="preserve">are </w:t>
      </w:r>
      <w:r w:rsidR="001B155B">
        <w:t xml:space="preserve">directly tied to the fact that these households received payouts after the 2010 </w:t>
      </w:r>
      <w:r w:rsidR="002A1A68" w:rsidRPr="00F92093">
        <w:rPr>
          <w:i/>
        </w:rPr>
        <w:t>d</w:t>
      </w:r>
      <w:r w:rsidR="001B155B" w:rsidRPr="00F92093">
        <w:rPr>
          <w:i/>
        </w:rPr>
        <w:t>zud</w:t>
      </w:r>
      <w:r w:rsidR="00FC6D39" w:rsidRPr="00F92093">
        <w:rPr>
          <w:i/>
        </w:rPr>
        <w:t xml:space="preserve"> </w:t>
      </w:r>
      <w:r w:rsidR="00FC6D39" w:rsidRPr="00FC6D39">
        <w:t>as demonstrated by the rigorous identification strategy used in the impact assessment report</w:t>
      </w:r>
      <w:r w:rsidR="00FC6D39">
        <w:t xml:space="preserve">. </w:t>
      </w:r>
    </w:p>
    <w:p w14:paraId="2EF85979" w14:textId="4AFBCDC0" w:rsidR="00711809" w:rsidRDefault="00711809" w:rsidP="00711809">
      <w:pPr>
        <w:spacing w:after="240"/>
        <w:jc w:val="center"/>
      </w:pPr>
      <w:r>
        <w:rPr>
          <w:noProof/>
          <w:lang w:eastAsia="en-US"/>
        </w:rPr>
        <w:drawing>
          <wp:inline distT="0" distB="0" distL="0" distR="0" wp14:anchorId="39110DCD" wp14:editId="430E17B1">
            <wp:extent cx="4131945" cy="2216989"/>
            <wp:effectExtent l="0" t="0" r="1905"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938AF8" w14:textId="008FB0C8" w:rsidR="00711809" w:rsidRPr="00FC6D39" w:rsidRDefault="00711809" w:rsidP="002A1A68">
      <w:pPr>
        <w:pStyle w:val="Caption"/>
        <w:jc w:val="center"/>
        <w:rPr>
          <w:i w:val="0"/>
          <w:color w:val="000000" w:themeColor="text1"/>
        </w:rPr>
      </w:pPr>
      <w:bookmarkStart w:id="134" w:name="_Ref456790524"/>
      <w:bookmarkStart w:id="135" w:name="_Toc451247864"/>
      <w:bookmarkStart w:id="136" w:name="_Toc451248046"/>
      <w:bookmarkStart w:id="137" w:name="_Toc451248180"/>
      <w:bookmarkStart w:id="138" w:name="_Toc456784563"/>
      <w:r w:rsidRPr="00FC6D39">
        <w:rPr>
          <w:i w:val="0"/>
          <w:color w:val="000000" w:themeColor="text1"/>
        </w:rPr>
        <w:t xml:space="preserve">Figure </w:t>
      </w:r>
      <w:r w:rsidR="0019728C" w:rsidRPr="00FC6D39">
        <w:rPr>
          <w:i w:val="0"/>
          <w:color w:val="000000" w:themeColor="text1"/>
        </w:rPr>
        <w:fldChar w:fldCharType="begin"/>
      </w:r>
      <w:r w:rsidR="0019728C" w:rsidRPr="00FC6D39">
        <w:rPr>
          <w:i w:val="0"/>
          <w:color w:val="000000" w:themeColor="text1"/>
        </w:rPr>
        <w:instrText xml:space="preserve"> SEQ Figure \* ARABIC </w:instrText>
      </w:r>
      <w:r w:rsidR="0019728C" w:rsidRPr="00FC6D39">
        <w:rPr>
          <w:i w:val="0"/>
          <w:color w:val="000000" w:themeColor="text1"/>
        </w:rPr>
        <w:fldChar w:fldCharType="separate"/>
      </w:r>
      <w:r w:rsidR="00D41562">
        <w:rPr>
          <w:i w:val="0"/>
          <w:noProof/>
          <w:color w:val="000000" w:themeColor="text1"/>
        </w:rPr>
        <w:t>3</w:t>
      </w:r>
      <w:r w:rsidR="0019728C" w:rsidRPr="00FC6D39">
        <w:rPr>
          <w:i w:val="0"/>
          <w:noProof/>
          <w:color w:val="000000" w:themeColor="text1"/>
        </w:rPr>
        <w:fldChar w:fldCharType="end"/>
      </w:r>
      <w:bookmarkEnd w:id="134"/>
      <w:r w:rsidRPr="00FC6D39">
        <w:rPr>
          <w:rStyle w:val="FootnoteReference"/>
          <w:i w:val="0"/>
          <w:color w:val="000000" w:themeColor="text1"/>
        </w:rPr>
        <w:footnoteReference w:id="7"/>
      </w:r>
      <w:r w:rsidRPr="00FC6D39">
        <w:rPr>
          <w:i w:val="0"/>
          <w:color w:val="000000" w:themeColor="text1"/>
        </w:rPr>
        <w:t xml:space="preserve">: Impact of purchasing IBLI on post </w:t>
      </w:r>
      <w:r w:rsidRPr="00FC6D39">
        <w:rPr>
          <w:color w:val="000000" w:themeColor="text1"/>
        </w:rPr>
        <w:t>dzud</w:t>
      </w:r>
      <w:r w:rsidRPr="00FC6D39">
        <w:rPr>
          <w:i w:val="0"/>
          <w:color w:val="000000" w:themeColor="text1"/>
        </w:rPr>
        <w:t xml:space="preserve"> herd sizes</w:t>
      </w:r>
      <w:bookmarkEnd w:id="135"/>
      <w:bookmarkEnd w:id="136"/>
      <w:bookmarkEnd w:id="137"/>
      <w:bookmarkEnd w:id="138"/>
    </w:p>
    <w:p w14:paraId="41BA3E0E" w14:textId="2552BC0E" w:rsidR="00180C32" w:rsidRDefault="001B155B" w:rsidP="00F92093">
      <w:pPr>
        <w:numPr>
          <w:ilvl w:val="0"/>
          <w:numId w:val="2"/>
        </w:numPr>
        <w:tabs>
          <w:tab w:val="num" w:pos="0"/>
        </w:tabs>
        <w:spacing w:after="240"/>
        <w:ind w:left="0" w:firstLine="0"/>
      </w:pPr>
      <w:r>
        <w:t xml:space="preserve">  </w:t>
      </w:r>
      <w:r w:rsidR="00180C32">
        <w:rPr>
          <w:b/>
        </w:rPr>
        <w:t xml:space="preserve">  </w:t>
      </w:r>
      <w:r w:rsidR="004C54D5">
        <w:t>T</w:t>
      </w:r>
      <w:r>
        <w:t xml:space="preserve">he buffer </w:t>
      </w:r>
      <w:r w:rsidR="00163180" w:rsidRPr="00AC2A80">
        <w:t>the targeted provision of support to herders</w:t>
      </w:r>
      <w:r w:rsidR="00163180">
        <w:t xml:space="preserve"> </w:t>
      </w:r>
      <w:r>
        <w:t xml:space="preserve">provides contrasts with the experience in dozens of developing countries which struggle to provide </w:t>
      </w:r>
      <w:r w:rsidR="00180C32">
        <w:t xml:space="preserve">targeted </w:t>
      </w:r>
      <w:r>
        <w:t>financial assistance to households in the case of disaster</w:t>
      </w:r>
      <w:r w:rsidR="002D676E">
        <w:t>s</w:t>
      </w:r>
      <w:r>
        <w:t>.  Evidence has shown that rapid response is more cost effective that delayed response</w:t>
      </w:r>
      <w:r>
        <w:rPr>
          <w:rStyle w:val="FootnoteReference"/>
        </w:rPr>
        <w:footnoteReference w:id="8"/>
      </w:r>
      <w:r>
        <w:t>, thus it can be inferred that the IBLI program reduced the cost of response</w:t>
      </w:r>
      <w:r w:rsidR="00180C32">
        <w:t xml:space="preserve">, and the negative impact </w:t>
      </w:r>
      <w:r w:rsidR="002D676E">
        <w:t xml:space="preserve">of </w:t>
      </w:r>
      <w:r w:rsidR="00D7342A" w:rsidRPr="00D7342A">
        <w:rPr>
          <w:i/>
        </w:rPr>
        <w:t>d</w:t>
      </w:r>
      <w:r w:rsidR="002D676E" w:rsidRPr="00D7342A">
        <w:rPr>
          <w:i/>
        </w:rPr>
        <w:t>zud</w:t>
      </w:r>
      <w:r w:rsidR="002D676E">
        <w:t xml:space="preserve"> </w:t>
      </w:r>
      <w:r w:rsidR="00180C32">
        <w:t>on herder welfare</w:t>
      </w:r>
      <w:r>
        <w:t xml:space="preserve">.  </w:t>
      </w:r>
    </w:p>
    <w:tbl>
      <w:tblPr>
        <w:tblStyle w:val="TableGrid"/>
        <w:tblpPr w:leftFromText="141" w:rightFromText="141" w:vertAnchor="text" w:horzAnchor="margin" w:tblpXSpec="right" w:tblpY="738"/>
        <w:tblOverlap w:val="never"/>
        <w:tblW w:w="0" w:type="auto"/>
        <w:tblLayout w:type="fixed"/>
        <w:tblLook w:val="04A0" w:firstRow="1" w:lastRow="0" w:firstColumn="1" w:lastColumn="0" w:noHBand="0" w:noVBand="1"/>
      </w:tblPr>
      <w:tblGrid>
        <w:gridCol w:w="777"/>
        <w:gridCol w:w="2033"/>
        <w:gridCol w:w="2027"/>
      </w:tblGrid>
      <w:tr w:rsidR="00BE783E" w14:paraId="4CE466A4" w14:textId="77777777" w:rsidTr="005E5A4C">
        <w:trPr>
          <w:trHeight w:val="32"/>
        </w:trPr>
        <w:tc>
          <w:tcPr>
            <w:tcW w:w="4837" w:type="dxa"/>
            <w:gridSpan w:val="3"/>
            <w:tcBorders>
              <w:top w:val="nil"/>
              <w:left w:val="nil"/>
              <w:bottom w:val="nil"/>
              <w:right w:val="nil"/>
            </w:tcBorders>
            <w:hideMark/>
          </w:tcPr>
          <w:p w14:paraId="27DFB9B7" w14:textId="06F1E15C" w:rsidR="00BE783E" w:rsidRDefault="00BE783E" w:rsidP="00F92093">
            <w:pPr>
              <w:rPr>
                <w:b/>
                <w:bCs/>
                <w:sz w:val="22"/>
                <w:szCs w:val="22"/>
                <w:lang w:eastAsia="en-US"/>
              </w:rPr>
            </w:pPr>
          </w:p>
        </w:tc>
      </w:tr>
      <w:tr w:rsidR="00BE783E" w14:paraId="1C88C070" w14:textId="77777777" w:rsidTr="005E5A4C">
        <w:trPr>
          <w:trHeight w:val="77"/>
        </w:trPr>
        <w:tc>
          <w:tcPr>
            <w:tcW w:w="4837" w:type="dxa"/>
            <w:gridSpan w:val="3"/>
            <w:tcBorders>
              <w:top w:val="single" w:sz="4" w:space="0" w:color="auto"/>
              <w:left w:val="single" w:sz="4" w:space="0" w:color="auto"/>
              <w:bottom w:val="nil"/>
              <w:right w:val="single" w:sz="4" w:space="0" w:color="auto"/>
            </w:tcBorders>
          </w:tcPr>
          <w:p w14:paraId="71426E27" w14:textId="77777777" w:rsidR="00BE783E" w:rsidRDefault="00BE783E" w:rsidP="00F92093">
            <w:pPr>
              <w:rPr>
                <w:b/>
                <w:bCs/>
              </w:rPr>
            </w:pPr>
          </w:p>
        </w:tc>
      </w:tr>
      <w:tr w:rsidR="00BE783E" w:rsidRPr="00B958BB" w14:paraId="5E5FF6D9" w14:textId="77777777" w:rsidTr="00163180">
        <w:trPr>
          <w:trHeight w:val="749"/>
        </w:trPr>
        <w:tc>
          <w:tcPr>
            <w:tcW w:w="777" w:type="dxa"/>
            <w:tcBorders>
              <w:top w:val="nil"/>
              <w:left w:val="single" w:sz="4" w:space="0" w:color="auto"/>
              <w:bottom w:val="single" w:sz="4" w:space="0" w:color="auto"/>
              <w:right w:val="nil"/>
            </w:tcBorders>
            <w:hideMark/>
          </w:tcPr>
          <w:p w14:paraId="454B3C50" w14:textId="7FCD25A5" w:rsidR="00BE783E" w:rsidRDefault="00BE783E" w:rsidP="00F92093">
            <w:r w:rsidRPr="0022039D">
              <w:rPr>
                <w:sz w:val="18"/>
              </w:rPr>
              <w:t>Mr,Dulamdoy, Governor of Unurkhan</w:t>
            </w:r>
            <w:r w:rsidR="00802300">
              <w:rPr>
                <w:sz w:val="18"/>
              </w:rPr>
              <w:t>-</w:t>
            </w:r>
            <w:r w:rsidRPr="0022039D">
              <w:rPr>
                <w:sz w:val="18"/>
              </w:rPr>
              <w:t>gai Aima</w:t>
            </w:r>
            <w:r>
              <w:rPr>
                <w:sz w:val="18"/>
              </w:rPr>
              <w:t>g</w:t>
            </w:r>
          </w:p>
        </w:tc>
        <w:tc>
          <w:tcPr>
            <w:tcW w:w="2033" w:type="dxa"/>
            <w:tcBorders>
              <w:top w:val="nil"/>
              <w:left w:val="nil"/>
              <w:bottom w:val="single" w:sz="4" w:space="0" w:color="auto"/>
              <w:right w:val="nil"/>
            </w:tcBorders>
            <w:hideMark/>
          </w:tcPr>
          <w:p w14:paraId="7255A8AB" w14:textId="77777777" w:rsidR="00BE783E" w:rsidRPr="0022039D" w:rsidRDefault="00BE783E" w:rsidP="00F92093">
            <w:pPr>
              <w:rPr>
                <w:sz w:val="20"/>
              </w:rPr>
            </w:pPr>
            <w:r w:rsidRPr="0022039D">
              <w:rPr>
                <w:noProof/>
                <w:sz w:val="20"/>
                <w:lang w:eastAsia="en-US"/>
              </w:rPr>
              <w:drawing>
                <wp:inline distT="0" distB="0" distL="0" distR="0" wp14:anchorId="0F79E199" wp14:editId="6E34B5C6">
                  <wp:extent cx="1282638" cy="8405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323"/>
                          <a:stretch/>
                        </pic:blipFill>
                        <pic:spPr bwMode="auto">
                          <a:xfrm>
                            <a:off x="0" y="0"/>
                            <a:ext cx="1290674" cy="845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7" w:type="dxa"/>
            <w:tcBorders>
              <w:top w:val="nil"/>
              <w:left w:val="nil"/>
              <w:bottom w:val="single" w:sz="4" w:space="0" w:color="auto"/>
              <w:right w:val="single" w:sz="4" w:space="0" w:color="auto"/>
            </w:tcBorders>
            <w:hideMark/>
          </w:tcPr>
          <w:p w14:paraId="085F33E8" w14:textId="70F0B934" w:rsidR="005E5A4C" w:rsidRPr="005E5A4C" w:rsidRDefault="005E5A4C" w:rsidP="00F92093">
            <w:pPr>
              <w:rPr>
                <w:bCs/>
                <w:sz w:val="14"/>
              </w:rPr>
            </w:pPr>
            <w:r w:rsidRPr="005E5A4C">
              <w:rPr>
                <w:b/>
                <w:bCs/>
                <w:sz w:val="20"/>
              </w:rPr>
              <w:t>Quote</w:t>
            </w:r>
          </w:p>
          <w:p w14:paraId="5B349FA1" w14:textId="266F5A40" w:rsidR="00BE783E" w:rsidRPr="0022039D" w:rsidRDefault="00BE783E" w:rsidP="00F92093">
            <w:pPr>
              <w:rPr>
                <w:sz w:val="20"/>
              </w:rPr>
            </w:pPr>
            <w:r w:rsidRPr="005E5A4C">
              <w:rPr>
                <w:bCs/>
                <w:sz w:val="18"/>
              </w:rPr>
              <w:t xml:space="preserve">The Index </w:t>
            </w:r>
            <w:r w:rsidRPr="005E5A4C">
              <w:rPr>
                <w:sz w:val="18"/>
              </w:rPr>
              <w:t>Based Livestock Insurance Project  has a positive impact on aimag government finances through decreasing the financial risk they face by providing financial support to herders.</w:t>
            </w:r>
          </w:p>
        </w:tc>
      </w:tr>
    </w:tbl>
    <w:p w14:paraId="61DBBE63" w14:textId="7E10EC7E" w:rsidR="0022039D" w:rsidRDefault="00163180" w:rsidP="00F92093">
      <w:pPr>
        <w:numPr>
          <w:ilvl w:val="0"/>
          <w:numId w:val="2"/>
        </w:numPr>
        <w:tabs>
          <w:tab w:val="num" w:pos="0"/>
        </w:tabs>
        <w:spacing w:after="240"/>
        <w:ind w:left="0" w:firstLine="0"/>
      </w:pPr>
      <w:r>
        <w:t>T</w:t>
      </w:r>
      <w:r w:rsidRPr="00AC2A80">
        <w:t xml:space="preserve">he financial costs to Government of Dzud events </w:t>
      </w:r>
      <w:r>
        <w:t>is</w:t>
      </w:r>
      <w:r w:rsidR="00180C32" w:rsidRPr="00AC2A80">
        <w:t xml:space="preserve"> inherent</w:t>
      </w:r>
      <w:r>
        <w:t>ly</w:t>
      </w:r>
      <w:r w:rsidR="00180C32" w:rsidRPr="00AC2A80">
        <w:t xml:space="preserve"> uncertain</w:t>
      </w:r>
      <w:r w:rsidR="00D656B1" w:rsidRPr="00AC2A80">
        <w:t>.</w:t>
      </w:r>
      <w:r w:rsidR="00180C32">
        <w:t xml:space="preserve"> T</w:t>
      </w:r>
      <w:r w:rsidR="001B155B">
        <w:t xml:space="preserve">he </w:t>
      </w:r>
      <w:r w:rsidR="00180C32">
        <w:t xml:space="preserve">project </w:t>
      </w:r>
      <w:r w:rsidR="001B155B">
        <w:t xml:space="preserve">program turned an unknown financial cost of government </w:t>
      </w:r>
      <w:r w:rsidR="00FB5F95">
        <w:t xml:space="preserve">(a ‘contingent liability’) </w:t>
      </w:r>
      <w:r w:rsidR="001B155B">
        <w:t xml:space="preserve">into a known cost.  Whereas previously there was a large implicit contingent liability on government to respond when </w:t>
      </w:r>
      <w:r w:rsidR="00EF622F" w:rsidRPr="00C547C9">
        <w:rPr>
          <w:i/>
        </w:rPr>
        <w:t>dzud</w:t>
      </w:r>
      <w:r w:rsidR="00EF622F">
        <w:t xml:space="preserve"> </w:t>
      </w:r>
      <w:r w:rsidR="001B155B">
        <w:t>events occur, which</w:t>
      </w:r>
      <w:r w:rsidR="002C3BCD">
        <w:t>, as highlighted by the MoF,</w:t>
      </w:r>
      <w:r w:rsidR="001B155B">
        <w:t xml:space="preserve"> causes budget volatility</w:t>
      </w:r>
      <w:r w:rsidR="00EB7CE9">
        <w:t>,</w:t>
      </w:r>
      <w:r w:rsidR="001B155B">
        <w:t xml:space="preserve"> hampers budget planning</w:t>
      </w:r>
      <w:r w:rsidR="00EB7CE9">
        <w:t xml:space="preserve"> and results in the reallocation of government resources away from high yielding investments</w:t>
      </w:r>
      <w:r w:rsidR="001B155B">
        <w:t xml:space="preserve">, the IBLI project removed </w:t>
      </w:r>
      <w:r w:rsidR="00EB7CE9">
        <w:t xml:space="preserve">part </w:t>
      </w:r>
      <w:r w:rsidR="001B155B">
        <w:t>of th</w:t>
      </w:r>
      <w:r w:rsidR="00EB7CE9">
        <w:t xml:space="preserve">is contingent liability </w:t>
      </w:r>
      <w:r w:rsidR="001B155B">
        <w:t xml:space="preserve">from government and transferred it to the private sector (as herders </w:t>
      </w:r>
      <w:r w:rsidR="00FB5F95">
        <w:t xml:space="preserve">paid premiums and </w:t>
      </w:r>
      <w:r w:rsidR="001B155B">
        <w:t xml:space="preserve">received insurance payouts).  </w:t>
      </w:r>
      <w:r w:rsidR="00A6147A">
        <w:t>This sentiment was further endorsed at the aimag level by Governor</w:t>
      </w:r>
      <w:r w:rsidR="00340C30">
        <w:t xml:space="preserve"> Dulamdoy</w:t>
      </w:r>
      <w:r w:rsidR="005D2596">
        <w:t xml:space="preserve"> of</w:t>
      </w:r>
      <w:r w:rsidR="00A6147A">
        <w:t xml:space="preserve"> </w:t>
      </w:r>
      <w:r w:rsidR="005D2596" w:rsidRPr="005D2596">
        <w:t xml:space="preserve">Unurkhangai </w:t>
      </w:r>
      <w:r w:rsidR="005D2596">
        <w:t>Aimag</w:t>
      </w:r>
      <w:r w:rsidR="004C54D5">
        <w:t>.</w:t>
      </w:r>
    </w:p>
    <w:p w14:paraId="25D16AFB" w14:textId="3D9C68DC" w:rsidR="00E433AA" w:rsidRPr="005A4EF0" w:rsidRDefault="00E433AA" w:rsidP="005A4EF0">
      <w:pPr>
        <w:pStyle w:val="Heading3"/>
        <w:spacing w:after="240"/>
        <w:rPr>
          <w:sz w:val="24"/>
          <w:szCs w:val="24"/>
        </w:rPr>
      </w:pPr>
      <w:r w:rsidRPr="005A4EF0">
        <w:rPr>
          <w:sz w:val="24"/>
          <w:szCs w:val="24"/>
        </w:rPr>
        <w:t>3.3 Efficacy: Highly Satisfactory</w:t>
      </w:r>
    </w:p>
    <w:p w14:paraId="76303686" w14:textId="6A4D96EE" w:rsidR="00E235A8" w:rsidRDefault="00E433AA" w:rsidP="005A4EF0">
      <w:pPr>
        <w:numPr>
          <w:ilvl w:val="0"/>
          <w:numId w:val="2"/>
        </w:numPr>
        <w:tabs>
          <w:tab w:val="num" w:pos="0"/>
        </w:tabs>
        <w:spacing w:after="240"/>
        <w:ind w:left="0" w:firstLine="0"/>
      </w:pPr>
      <w:r w:rsidRPr="005A4EF0">
        <w:rPr>
          <w:b/>
        </w:rPr>
        <w:t xml:space="preserve">The Efficacy of the project is evident from </w:t>
      </w:r>
      <w:r w:rsidR="000F4B38" w:rsidRPr="005A4EF0">
        <w:rPr>
          <w:b/>
        </w:rPr>
        <w:t>its</w:t>
      </w:r>
      <w:r w:rsidRPr="005A4EF0">
        <w:rPr>
          <w:b/>
        </w:rPr>
        <w:t xml:space="preserve"> </w:t>
      </w:r>
      <w:r w:rsidR="000F4B38" w:rsidRPr="005A4EF0">
        <w:rPr>
          <w:b/>
        </w:rPr>
        <w:t xml:space="preserve">design and implementation, </w:t>
      </w:r>
      <w:r w:rsidR="00E235A8" w:rsidRPr="005A4EF0">
        <w:rPr>
          <w:b/>
        </w:rPr>
        <w:t xml:space="preserve">leading </w:t>
      </w:r>
      <w:r w:rsidR="000F4B38" w:rsidRPr="005A4EF0">
        <w:rPr>
          <w:b/>
        </w:rPr>
        <w:t>to the achievement of the PDO.</w:t>
      </w:r>
      <w:r w:rsidR="000F4B38" w:rsidRPr="00C457E7">
        <w:t xml:space="preserve">  The four project components, which each demonstrated impressive results (see below), </w:t>
      </w:r>
      <w:r w:rsidR="00E235A8" w:rsidRPr="00C457E7">
        <w:t xml:space="preserve">devoted deliberate attention and substantial resources to coordination, </w:t>
      </w:r>
      <w:r w:rsidR="000F4B38" w:rsidRPr="00C457E7">
        <w:t xml:space="preserve">were mutually reinforcing </w:t>
      </w:r>
      <w:r w:rsidR="00E235A8" w:rsidRPr="00C457E7">
        <w:t xml:space="preserve">and </w:t>
      </w:r>
      <w:r w:rsidR="000F4B38" w:rsidRPr="00C457E7">
        <w:t xml:space="preserve">critical building blocks for achieving the PDO indicators. The PDO indicators in turn </w:t>
      </w:r>
      <w:r w:rsidR="00E235A8" w:rsidRPr="00C457E7">
        <w:t>demonstrated a strong link to achievement of the PDO</w:t>
      </w:r>
      <w:r w:rsidR="002B5630" w:rsidRPr="002B5630">
        <w:t xml:space="preserve">, and proved to be the most effective means of achieving the PDO at the pilot and full scale levels.  </w:t>
      </w:r>
      <w:r w:rsidR="00E235A8">
        <w:t xml:space="preserve">  </w:t>
      </w:r>
    </w:p>
    <w:p w14:paraId="22DD92AC" w14:textId="6DD9D045" w:rsidR="001B155B" w:rsidRDefault="00E235A8" w:rsidP="005A4EF0">
      <w:pPr>
        <w:numPr>
          <w:ilvl w:val="0"/>
          <w:numId w:val="2"/>
        </w:numPr>
        <w:tabs>
          <w:tab w:val="num" w:pos="0"/>
        </w:tabs>
        <w:spacing w:after="240"/>
        <w:ind w:left="0" w:firstLine="0"/>
      </w:pPr>
      <w:r w:rsidRPr="00AC2A80">
        <w:t>The counterfactual in this case is straightforward to demonstrate, due to the failed attempts of GoM to introduce livestock insurance in the past</w:t>
      </w:r>
      <w:r w:rsidR="004D35CF" w:rsidRPr="00AC2A80">
        <w:t>,</w:t>
      </w:r>
      <w:r w:rsidR="004D35CF">
        <w:t xml:space="preserve"> as detailed in paragraph </w:t>
      </w:r>
      <w:r w:rsidR="004D35CF">
        <w:fldChar w:fldCharType="begin"/>
      </w:r>
      <w:r w:rsidR="004D35CF">
        <w:instrText xml:space="preserve"> REF _Ref457910127 \r \h </w:instrText>
      </w:r>
      <w:r w:rsidR="004D35CF">
        <w:fldChar w:fldCharType="separate"/>
      </w:r>
      <w:r w:rsidR="00D41562">
        <w:t>5</w:t>
      </w:r>
      <w:r w:rsidR="004D35CF">
        <w:fldChar w:fldCharType="end"/>
      </w:r>
      <w:r w:rsidR="004D35CF">
        <w:t xml:space="preserve">.  These past failed attempts to introduce livestock insurance show that the PDO would not be achievable in the absence of the support the project provided to develop a sustainable livestock insurance market in Mongolia. </w:t>
      </w:r>
      <w:r w:rsidR="001B155B" w:rsidRPr="006317CB">
        <w:t>.</w:t>
      </w:r>
    </w:p>
    <w:p w14:paraId="13C19B85" w14:textId="057802EE" w:rsidR="004D35CF" w:rsidRPr="004D35CF" w:rsidRDefault="004D35CF" w:rsidP="005A4EF0">
      <w:pPr>
        <w:spacing w:after="240"/>
      </w:pPr>
      <w:r w:rsidRPr="00C457E7">
        <w:t>Looking at the results of each component in turn:</w:t>
      </w:r>
    </w:p>
    <w:p w14:paraId="2985334B" w14:textId="09A66F47" w:rsidR="0022039D" w:rsidRDefault="001B155B" w:rsidP="00F92093">
      <w:pPr>
        <w:numPr>
          <w:ilvl w:val="0"/>
          <w:numId w:val="2"/>
        </w:numPr>
        <w:tabs>
          <w:tab w:val="num" w:pos="0"/>
        </w:tabs>
        <w:spacing w:after="240"/>
        <w:ind w:left="0" w:firstLine="0"/>
      </w:pPr>
      <w:r w:rsidRPr="00AC2A80">
        <w:rPr>
          <w:i/>
        </w:rPr>
        <w:t>Having functioning IBLI in selected aimags.</w:t>
      </w:r>
      <w:r>
        <w:t xml:space="preserve">  This objective was to support the piloting and subsequent scale up of IBLI in selected aimags in Mongolia.  The project undertook a range of activities to ensure that the results would be achieved.  </w:t>
      </w:r>
    </w:p>
    <w:tbl>
      <w:tblPr>
        <w:tblStyle w:val="TableGrid"/>
        <w:tblpPr w:leftFromText="141" w:rightFromText="141" w:vertAnchor="text" w:tblpX="1430" w:tblpY="1"/>
        <w:tblOverlap w:val="never"/>
        <w:tblW w:w="7632" w:type="dxa"/>
        <w:tblLook w:val="04A0" w:firstRow="1" w:lastRow="0" w:firstColumn="1" w:lastColumn="0" w:noHBand="0" w:noVBand="1"/>
      </w:tblPr>
      <w:tblGrid>
        <w:gridCol w:w="1435"/>
        <w:gridCol w:w="2070"/>
        <w:gridCol w:w="4127"/>
      </w:tblGrid>
      <w:tr w:rsidR="0022039D" w14:paraId="18B4A7FA" w14:textId="77777777" w:rsidTr="0075094D">
        <w:trPr>
          <w:trHeight w:val="149"/>
        </w:trPr>
        <w:tc>
          <w:tcPr>
            <w:tcW w:w="7632" w:type="dxa"/>
            <w:gridSpan w:val="3"/>
            <w:tcBorders>
              <w:top w:val="single" w:sz="4" w:space="0" w:color="auto"/>
              <w:left w:val="single" w:sz="4" w:space="0" w:color="auto"/>
              <w:bottom w:val="nil"/>
              <w:right w:val="single" w:sz="4" w:space="0" w:color="auto"/>
            </w:tcBorders>
            <w:hideMark/>
          </w:tcPr>
          <w:p w14:paraId="7FCA8DF3" w14:textId="77777777" w:rsidR="0022039D" w:rsidRDefault="0022039D" w:rsidP="0075094D">
            <w:pPr>
              <w:jc w:val="right"/>
              <w:rPr>
                <w:b/>
                <w:bCs/>
                <w:sz w:val="22"/>
                <w:szCs w:val="22"/>
                <w:lang w:eastAsia="en-US"/>
              </w:rPr>
            </w:pPr>
            <w:r w:rsidRPr="00C84A56">
              <w:rPr>
                <w:b/>
                <w:bCs/>
                <w:sz w:val="20"/>
              </w:rPr>
              <w:t>Quotes</w:t>
            </w:r>
          </w:p>
        </w:tc>
      </w:tr>
      <w:tr w:rsidR="0022039D" w14:paraId="1D2DE5A6" w14:textId="77777777" w:rsidTr="0075094D">
        <w:trPr>
          <w:trHeight w:val="657"/>
        </w:trPr>
        <w:tc>
          <w:tcPr>
            <w:tcW w:w="1435" w:type="dxa"/>
            <w:tcBorders>
              <w:top w:val="nil"/>
              <w:left w:val="single" w:sz="4" w:space="0" w:color="auto"/>
              <w:bottom w:val="single" w:sz="4" w:space="0" w:color="auto"/>
              <w:right w:val="nil"/>
            </w:tcBorders>
            <w:hideMark/>
          </w:tcPr>
          <w:p w14:paraId="659CEFAB" w14:textId="77777777" w:rsidR="0022039D" w:rsidRPr="00C84A56" w:rsidRDefault="0022039D" w:rsidP="0075094D">
            <w:pPr>
              <w:rPr>
                <w:sz w:val="18"/>
              </w:rPr>
            </w:pPr>
            <w:r w:rsidRPr="00C84A56">
              <w:rPr>
                <w:sz w:val="18"/>
              </w:rPr>
              <w:t>M.Jalavdorj</w:t>
            </w:r>
          </w:p>
          <w:p w14:paraId="50A368C2" w14:textId="77777777" w:rsidR="0022039D" w:rsidRPr="00C84A56" w:rsidRDefault="0022039D" w:rsidP="0075094D">
            <w:pPr>
              <w:rPr>
                <w:sz w:val="18"/>
              </w:rPr>
            </w:pPr>
            <w:r w:rsidRPr="00C84A56">
              <w:rPr>
                <w:sz w:val="18"/>
              </w:rPr>
              <w:t>First deputy director,</w:t>
            </w:r>
          </w:p>
          <w:p w14:paraId="27F6BB10" w14:textId="77777777" w:rsidR="0022039D" w:rsidRPr="00C84A56" w:rsidRDefault="0022039D" w:rsidP="0075094D">
            <w:pPr>
              <w:rPr>
                <w:sz w:val="18"/>
              </w:rPr>
            </w:pPr>
            <w:r w:rsidRPr="00C84A56">
              <w:rPr>
                <w:sz w:val="18"/>
              </w:rPr>
              <w:t>MIG insurance LLC</w:t>
            </w:r>
          </w:p>
        </w:tc>
        <w:tc>
          <w:tcPr>
            <w:tcW w:w="2070" w:type="dxa"/>
            <w:tcBorders>
              <w:top w:val="nil"/>
              <w:left w:val="nil"/>
              <w:bottom w:val="single" w:sz="4" w:space="0" w:color="auto"/>
              <w:right w:val="nil"/>
            </w:tcBorders>
            <w:hideMark/>
          </w:tcPr>
          <w:p w14:paraId="3F730D75" w14:textId="54AB2ED8" w:rsidR="0022039D" w:rsidRPr="00C84A56" w:rsidRDefault="0022039D" w:rsidP="0075094D">
            <w:pPr>
              <w:rPr>
                <w:sz w:val="18"/>
              </w:rPr>
            </w:pPr>
            <w:r w:rsidRPr="00C84A56">
              <w:rPr>
                <w:noProof/>
                <w:sz w:val="18"/>
                <w:lang w:eastAsia="en-US"/>
              </w:rPr>
              <w:drawing>
                <wp:inline distT="0" distB="0" distL="0" distR="0" wp14:anchorId="760D8595" wp14:editId="6CE6B117">
                  <wp:extent cx="1134110" cy="1499870"/>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1866" t="1968" r="52513" b="45638"/>
                          <a:stretch>
                            <a:fillRect/>
                          </a:stretch>
                        </pic:blipFill>
                        <pic:spPr bwMode="auto">
                          <a:xfrm>
                            <a:off x="0" y="0"/>
                            <a:ext cx="1134110" cy="1499870"/>
                          </a:xfrm>
                          <a:prstGeom prst="rect">
                            <a:avLst/>
                          </a:prstGeom>
                          <a:noFill/>
                          <a:ln>
                            <a:noFill/>
                          </a:ln>
                        </pic:spPr>
                      </pic:pic>
                    </a:graphicData>
                  </a:graphic>
                </wp:inline>
              </w:drawing>
            </w:r>
          </w:p>
        </w:tc>
        <w:tc>
          <w:tcPr>
            <w:tcW w:w="4127" w:type="dxa"/>
            <w:tcBorders>
              <w:top w:val="nil"/>
              <w:left w:val="nil"/>
              <w:bottom w:val="single" w:sz="4" w:space="0" w:color="auto"/>
              <w:right w:val="single" w:sz="4" w:space="0" w:color="auto"/>
            </w:tcBorders>
          </w:tcPr>
          <w:p w14:paraId="3BD827A2" w14:textId="77777777" w:rsidR="0022039D" w:rsidRPr="00C84A56" w:rsidRDefault="0022039D" w:rsidP="0075094D">
            <w:pPr>
              <w:rPr>
                <w:bCs/>
                <w:sz w:val="18"/>
              </w:rPr>
            </w:pPr>
          </w:p>
          <w:p w14:paraId="6E753B6E" w14:textId="77777777" w:rsidR="0022039D" w:rsidRPr="00C84A56" w:rsidRDefault="0022039D" w:rsidP="0075094D">
            <w:pPr>
              <w:rPr>
                <w:sz w:val="18"/>
              </w:rPr>
            </w:pPr>
            <w:r w:rsidRPr="00C84A56">
              <w:rPr>
                <w:bCs/>
                <w:sz w:val="18"/>
              </w:rPr>
              <w:t>W</w:t>
            </w:r>
            <w:r w:rsidRPr="00C84A56">
              <w:rPr>
                <w:sz w:val="18"/>
              </w:rPr>
              <w:t>ith the implementation of the Index-Based</w:t>
            </w:r>
          </w:p>
          <w:p w14:paraId="2275D30A" w14:textId="67ABDFB7" w:rsidR="0022039D" w:rsidRPr="00C84A56" w:rsidRDefault="0022039D" w:rsidP="0075094D">
            <w:pPr>
              <w:rPr>
                <w:sz w:val="18"/>
              </w:rPr>
            </w:pPr>
            <w:r w:rsidRPr="00C84A56">
              <w:rPr>
                <w:sz w:val="18"/>
              </w:rPr>
              <w:t xml:space="preserve">Livestock Insurance Project, the livestock insurance sales revenue reached 2 billion tugriks </w:t>
            </w:r>
            <w:r w:rsidR="00C74470" w:rsidRPr="00C84A56">
              <w:rPr>
                <w:sz w:val="18"/>
              </w:rPr>
              <w:t>(around</w:t>
            </w:r>
            <w:r w:rsidR="0098451C" w:rsidRPr="00C84A56">
              <w:rPr>
                <w:sz w:val="18"/>
              </w:rPr>
              <w:t xml:space="preserve"> USD$1 million) </w:t>
            </w:r>
            <w:r w:rsidRPr="00C84A56">
              <w:rPr>
                <w:sz w:val="18"/>
              </w:rPr>
              <w:t>at its peak. Thousands of herders are interested in livestock insurance. Insurance companies have already established their reserve funds. Dzud or a natural disaster occurs frequently and we have to be ready for this risk. This is the main characteristic of insurance business. The importance of the project lies in the establishment of reserve funds and expansion of insurance industry. On the other hand, herders felt that their assets were safe. They got used to receive indemnity payments too.</w:t>
            </w:r>
          </w:p>
        </w:tc>
      </w:tr>
    </w:tbl>
    <w:p w14:paraId="34362F12" w14:textId="25107A4E" w:rsidR="0022039D" w:rsidRDefault="001B155B" w:rsidP="002A12B8">
      <w:pPr>
        <w:numPr>
          <w:ilvl w:val="0"/>
          <w:numId w:val="2"/>
        </w:numPr>
        <w:tabs>
          <w:tab w:val="num" w:pos="0"/>
        </w:tabs>
        <w:ind w:left="0" w:firstLine="0"/>
      </w:pPr>
      <w:r>
        <w:t>By the end of the project,</w:t>
      </w:r>
      <w:r w:rsidR="00196B30" w:rsidRPr="00196B30">
        <w:rPr>
          <w:noProof/>
          <w:lang w:eastAsia="en-US"/>
        </w:rPr>
        <w:t xml:space="preserve"> </w:t>
      </w:r>
      <w:r>
        <w:t xml:space="preserve">the IBLI product was available in 21 (every) aimag in Mongolia and 330 soums, </w:t>
      </w:r>
      <w:r>
        <w:lastRenderedPageBreak/>
        <w:t xml:space="preserve">vastly exceeding expectations. The project effectively encouraged and engaged with the private sector, making it a notable example of where public private partnerships in the area of insurance for the poor can successfully deliver high quality products and services.  Moreover, the program delivered profits to the insurance industry (participating insurance companies have earned a profit of about 2 Billion tugriks / US$1 million between 2006 and 2015), making a solid business case for its continued engagement. </w:t>
      </w:r>
    </w:p>
    <w:p w14:paraId="3BDE9038" w14:textId="77777777" w:rsidR="005A4EF0" w:rsidRDefault="005A4EF0" w:rsidP="005A4EF0">
      <w:pPr>
        <w:spacing w:after="240"/>
      </w:pPr>
    </w:p>
    <w:tbl>
      <w:tblPr>
        <w:tblStyle w:val="TableGrid"/>
        <w:tblpPr w:leftFromText="141" w:rightFromText="141" w:vertAnchor="text" w:tblpXSpec="right" w:tblpY="1"/>
        <w:tblOverlap w:val="never"/>
        <w:tblW w:w="0" w:type="auto"/>
        <w:jc w:val="right"/>
        <w:tblLook w:val="04A0" w:firstRow="1" w:lastRow="0" w:firstColumn="1" w:lastColumn="0" w:noHBand="0" w:noVBand="1"/>
      </w:tblPr>
      <w:tblGrid>
        <w:gridCol w:w="926"/>
        <w:gridCol w:w="1366"/>
        <w:gridCol w:w="3517"/>
      </w:tblGrid>
      <w:tr w:rsidR="00BE783E" w14:paraId="51F152E3" w14:textId="77777777" w:rsidTr="005E5A4C">
        <w:trPr>
          <w:trHeight w:val="168"/>
          <w:jc w:val="right"/>
        </w:trPr>
        <w:tc>
          <w:tcPr>
            <w:tcW w:w="5065" w:type="dxa"/>
            <w:gridSpan w:val="3"/>
            <w:tcBorders>
              <w:top w:val="single" w:sz="4" w:space="0" w:color="auto"/>
              <w:left w:val="single" w:sz="4" w:space="0" w:color="auto"/>
              <w:bottom w:val="nil"/>
              <w:right w:val="single" w:sz="4" w:space="0" w:color="auto"/>
            </w:tcBorders>
            <w:hideMark/>
          </w:tcPr>
          <w:p w14:paraId="4D2650A9" w14:textId="77777777" w:rsidR="0022039D" w:rsidRDefault="0022039D" w:rsidP="0022039D">
            <w:pPr>
              <w:jc w:val="right"/>
              <w:rPr>
                <w:b/>
                <w:bCs/>
                <w:sz w:val="22"/>
                <w:szCs w:val="22"/>
                <w:lang w:eastAsia="en-US"/>
              </w:rPr>
            </w:pPr>
            <w:r w:rsidRPr="00C84A56">
              <w:rPr>
                <w:b/>
                <w:bCs/>
                <w:sz w:val="20"/>
              </w:rPr>
              <w:t>Quotes</w:t>
            </w:r>
          </w:p>
        </w:tc>
      </w:tr>
      <w:tr w:rsidR="00BE783E" w14:paraId="1FB47763" w14:textId="77777777" w:rsidTr="005E5A4C">
        <w:trPr>
          <w:trHeight w:val="168"/>
          <w:jc w:val="right"/>
        </w:trPr>
        <w:tc>
          <w:tcPr>
            <w:tcW w:w="5065" w:type="dxa"/>
            <w:gridSpan w:val="3"/>
            <w:tcBorders>
              <w:top w:val="nil"/>
              <w:left w:val="single" w:sz="4" w:space="0" w:color="auto"/>
              <w:bottom w:val="nil"/>
              <w:right w:val="single" w:sz="4" w:space="0" w:color="auto"/>
            </w:tcBorders>
          </w:tcPr>
          <w:p w14:paraId="3205B318" w14:textId="77777777" w:rsidR="0022039D" w:rsidRDefault="0022039D" w:rsidP="0022039D">
            <w:pPr>
              <w:jc w:val="right"/>
              <w:rPr>
                <w:b/>
                <w:bCs/>
              </w:rPr>
            </w:pPr>
          </w:p>
        </w:tc>
      </w:tr>
      <w:tr w:rsidR="00BE783E" w:rsidRPr="00BE783E" w14:paraId="40BBAFD1" w14:textId="77777777" w:rsidTr="005E5A4C">
        <w:trPr>
          <w:trHeight w:val="1414"/>
          <w:jc w:val="right"/>
        </w:trPr>
        <w:tc>
          <w:tcPr>
            <w:tcW w:w="625" w:type="dxa"/>
            <w:tcBorders>
              <w:top w:val="nil"/>
              <w:left w:val="single" w:sz="4" w:space="0" w:color="auto"/>
              <w:bottom w:val="single" w:sz="4" w:space="0" w:color="auto"/>
              <w:right w:val="nil"/>
            </w:tcBorders>
            <w:hideMark/>
          </w:tcPr>
          <w:p w14:paraId="6954D85F" w14:textId="77777777" w:rsidR="0022039D" w:rsidRPr="00BE783E" w:rsidRDefault="0022039D" w:rsidP="0022039D">
            <w:pPr>
              <w:rPr>
                <w:i/>
              </w:rPr>
            </w:pPr>
            <w:r w:rsidRPr="00BE783E">
              <w:rPr>
                <w:i/>
                <w:sz w:val="18"/>
              </w:rPr>
              <w:t>T.Batzul CEO, Mongol insurance LLC</w:t>
            </w:r>
          </w:p>
        </w:tc>
        <w:tc>
          <w:tcPr>
            <w:tcW w:w="923" w:type="dxa"/>
            <w:tcBorders>
              <w:top w:val="nil"/>
              <w:left w:val="nil"/>
              <w:bottom w:val="single" w:sz="4" w:space="0" w:color="auto"/>
              <w:right w:val="nil"/>
            </w:tcBorders>
            <w:hideMark/>
          </w:tcPr>
          <w:p w14:paraId="76FD9252" w14:textId="28803BA4" w:rsidR="0022039D" w:rsidRDefault="0022039D" w:rsidP="0022039D">
            <w:r>
              <w:rPr>
                <w:noProof/>
                <w:lang w:eastAsia="en-US"/>
              </w:rPr>
              <w:drawing>
                <wp:inline distT="0" distB="0" distL="0" distR="0" wp14:anchorId="1DB89484" wp14:editId="0D273DBA">
                  <wp:extent cx="730498" cy="1075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02" cy="1094477"/>
                          </a:xfrm>
                          <a:prstGeom prst="rect">
                            <a:avLst/>
                          </a:prstGeom>
                          <a:noFill/>
                          <a:ln>
                            <a:noFill/>
                          </a:ln>
                        </pic:spPr>
                      </pic:pic>
                    </a:graphicData>
                  </a:graphic>
                </wp:inline>
              </w:drawing>
            </w:r>
          </w:p>
        </w:tc>
        <w:tc>
          <w:tcPr>
            <w:tcW w:w="3516" w:type="dxa"/>
            <w:tcBorders>
              <w:top w:val="nil"/>
              <w:left w:val="nil"/>
              <w:bottom w:val="single" w:sz="4" w:space="0" w:color="auto"/>
              <w:right w:val="single" w:sz="4" w:space="0" w:color="auto"/>
            </w:tcBorders>
            <w:hideMark/>
          </w:tcPr>
          <w:p w14:paraId="78E33D82" w14:textId="260E5A1D" w:rsidR="0022039D" w:rsidRDefault="0022039D" w:rsidP="0022039D">
            <w:r w:rsidRPr="00BE783E">
              <w:rPr>
                <w:b/>
                <w:bCs/>
                <w:sz w:val="18"/>
              </w:rPr>
              <w:t>I</w:t>
            </w:r>
            <w:r w:rsidRPr="00BE783E">
              <w:rPr>
                <w:sz w:val="18"/>
              </w:rPr>
              <w:t>nsurance companies alone would never insure livestock if this project was not implemented. In the sense that it is indexed, the project succeeded in establishing a fair system for everyone to calculate the risk correctly. It established reserve funds and increased them to improve risk tolerance and provide indemnity payments. If the risk is not materialized, there is a potential to make a profit. Therefore, the Index-Based Livestock Insurance Project has naturalized livestock insurance in Mongolia. Moreover, there were many other benefits for insurance companies from the project, including establishment of bases in local areas, training and education of insurance agents and creation of new jobs</w:t>
            </w:r>
            <w:r w:rsidR="0075094D">
              <w:rPr>
                <w:sz w:val="18"/>
              </w:rPr>
              <w:t>.</w:t>
            </w:r>
          </w:p>
        </w:tc>
      </w:tr>
    </w:tbl>
    <w:p w14:paraId="115C009C" w14:textId="1F4D6AE9" w:rsidR="001B155B" w:rsidRDefault="001B155B" w:rsidP="00F92093">
      <w:pPr>
        <w:numPr>
          <w:ilvl w:val="0"/>
          <w:numId w:val="2"/>
        </w:numPr>
        <w:tabs>
          <w:tab w:val="num" w:pos="0"/>
        </w:tabs>
        <w:spacing w:after="240"/>
        <w:ind w:left="0" w:firstLine="0"/>
      </w:pPr>
      <w:r>
        <w:t xml:space="preserve">The target for number of insurance companies participating surpassed the upper level </w:t>
      </w:r>
      <w:r w:rsidR="00F67B4A">
        <w:t xml:space="preserve">for </w:t>
      </w:r>
      <w:r>
        <w:t>its target of before the end of the project, demonstrating the high level of confidence of the private sector in the project.  Finally, the project surpassed its targets for % of herders insured in every year up until 2009</w:t>
      </w:r>
      <w:r>
        <w:rPr>
          <w:rStyle w:val="FootnoteReference"/>
        </w:rPr>
        <w:footnoteReference w:id="9"/>
      </w:r>
      <w:r>
        <w:t xml:space="preserve">, and despite the fact that it fell below this target </w:t>
      </w:r>
      <w:r w:rsidR="00F67B4A">
        <w:t xml:space="preserve">after </w:t>
      </w:r>
      <w:r>
        <w:t xml:space="preserve">the additional financing, it remains a notable and exceptional example </w:t>
      </w:r>
      <w:r w:rsidR="005A4EF0">
        <w:t>o</w:t>
      </w:r>
      <w:r>
        <w:t>f a successful index based insurance program.</w:t>
      </w:r>
      <w:r w:rsidR="00196B30" w:rsidRPr="00196B30">
        <w:rPr>
          <w:noProof/>
          <w:lang w:eastAsia="en-US"/>
        </w:rPr>
        <w:t xml:space="preserve"> </w:t>
      </w:r>
    </w:p>
    <w:p w14:paraId="57BBF9C4" w14:textId="3BEDE858" w:rsidR="00655ABA" w:rsidRDefault="001B155B" w:rsidP="002A12B8">
      <w:pPr>
        <w:numPr>
          <w:ilvl w:val="0"/>
          <w:numId w:val="2"/>
        </w:numPr>
        <w:tabs>
          <w:tab w:val="num" w:pos="0"/>
        </w:tabs>
        <w:ind w:left="0" w:firstLine="0"/>
      </w:pPr>
      <w:r w:rsidRPr="00AC2A80">
        <w:rPr>
          <w:i/>
        </w:rPr>
        <w:t>Herders making informed decisions on purchasing IBLI.</w:t>
      </w:r>
      <w:r>
        <w:t xml:space="preserve"> The project invested significant resources into ensuring that herders were well informed about the IBLI product, and based on that information can make an informed decision on whether to purchase.  Raising awareness of financial products has been noted as a key challenge to expansion of insurance programs to low-income households globally.  The project set ambitious targets in terms of raising awareness about the IBLI, and consistently surpassed these targets.  By the end of the project, awareness </w:t>
      </w:r>
      <w:r w:rsidRPr="00F44E7E">
        <w:t>ha</w:t>
      </w:r>
      <w:r w:rsidR="00F67B4A">
        <w:t>d</w:t>
      </w:r>
      <w:r w:rsidRPr="00F44E7E">
        <w:t xml:space="preserve"> improved </w:t>
      </w:r>
      <w:r>
        <w:t xml:space="preserve">to such an extent that in </w:t>
      </w:r>
      <w:r w:rsidRPr="00F44E7E">
        <w:t xml:space="preserve">all </w:t>
      </w:r>
      <w:r w:rsidRPr="00655ABA">
        <w:rPr>
          <w:i/>
        </w:rPr>
        <w:t>amaigs</w:t>
      </w:r>
      <w:r>
        <w:t xml:space="preserve"> in Mongolia over 85% of herders were aware of the IBLI product, with over 36% of them receiving face to face training on the topic.  This herculean task of raising awareness was successfully implemented through the PIU establishing a regional branch in each aimag IBLI was being sold (all aimags by project completion), and employing staff to conduct extensive training, and training of trainers in the field.</w:t>
      </w:r>
      <w:r w:rsidR="00F67B4A">
        <w:t xml:space="preserve">  </w:t>
      </w:r>
      <w:r w:rsidR="00F67B4A" w:rsidRPr="00F67B4A">
        <w:t>Clearly this strategy demonstrated the key role of outreach by project staff.</w:t>
      </w:r>
    </w:p>
    <w:p w14:paraId="2015A113" w14:textId="77777777" w:rsidR="005A4EF0" w:rsidRDefault="005A4EF0" w:rsidP="005A4EF0">
      <w:pPr>
        <w:spacing w:after="240"/>
      </w:pPr>
    </w:p>
    <w:tbl>
      <w:tblPr>
        <w:tblStyle w:val="TableGrid"/>
        <w:tblpPr w:leftFromText="141" w:rightFromText="141" w:vertAnchor="text" w:horzAnchor="margin" w:tblpY="1151"/>
        <w:tblOverlap w:val="never"/>
        <w:tblW w:w="0" w:type="auto"/>
        <w:tblLook w:val="04A0" w:firstRow="1" w:lastRow="0" w:firstColumn="1" w:lastColumn="0" w:noHBand="0" w:noVBand="1"/>
      </w:tblPr>
      <w:tblGrid>
        <w:gridCol w:w="1258"/>
        <w:gridCol w:w="2268"/>
        <w:gridCol w:w="1779"/>
      </w:tblGrid>
      <w:tr w:rsidR="00655ABA" w14:paraId="13102572" w14:textId="77777777" w:rsidTr="005E5A4C">
        <w:trPr>
          <w:trHeight w:val="127"/>
        </w:trPr>
        <w:tc>
          <w:tcPr>
            <w:tcW w:w="4617" w:type="dxa"/>
            <w:gridSpan w:val="3"/>
            <w:tcBorders>
              <w:top w:val="single" w:sz="4" w:space="0" w:color="auto"/>
              <w:left w:val="single" w:sz="4" w:space="0" w:color="auto"/>
              <w:bottom w:val="nil"/>
              <w:right w:val="single" w:sz="4" w:space="0" w:color="auto"/>
            </w:tcBorders>
            <w:hideMark/>
          </w:tcPr>
          <w:p w14:paraId="45095BB6" w14:textId="77777777" w:rsidR="00655ABA" w:rsidRPr="00BE783E" w:rsidRDefault="00655ABA" w:rsidP="00655ABA">
            <w:pPr>
              <w:jc w:val="right"/>
              <w:rPr>
                <w:b/>
                <w:bCs/>
                <w:sz w:val="20"/>
                <w:szCs w:val="22"/>
                <w:lang w:eastAsia="en-US"/>
              </w:rPr>
            </w:pPr>
            <w:r w:rsidRPr="00BE783E">
              <w:rPr>
                <w:b/>
                <w:bCs/>
                <w:sz w:val="20"/>
              </w:rPr>
              <w:lastRenderedPageBreak/>
              <w:t>Quotes</w:t>
            </w:r>
          </w:p>
        </w:tc>
      </w:tr>
      <w:tr w:rsidR="00655ABA" w:rsidRPr="00BE783E" w14:paraId="772AFC7B" w14:textId="77777777" w:rsidTr="005E5A4C">
        <w:trPr>
          <w:trHeight w:val="1482"/>
        </w:trPr>
        <w:tc>
          <w:tcPr>
            <w:tcW w:w="1258" w:type="dxa"/>
            <w:tcBorders>
              <w:top w:val="nil"/>
              <w:left w:val="single" w:sz="4" w:space="0" w:color="auto"/>
              <w:bottom w:val="single" w:sz="4" w:space="0" w:color="auto"/>
              <w:right w:val="nil"/>
            </w:tcBorders>
            <w:hideMark/>
          </w:tcPr>
          <w:p w14:paraId="6D792F19" w14:textId="77777777" w:rsidR="00655ABA" w:rsidRPr="00C74470" w:rsidRDefault="00655ABA" w:rsidP="00655ABA">
            <w:pPr>
              <w:rPr>
                <w:i/>
                <w:sz w:val="18"/>
              </w:rPr>
            </w:pPr>
            <w:r w:rsidRPr="00C74470">
              <w:rPr>
                <w:i/>
                <w:sz w:val="18"/>
              </w:rPr>
              <w:t>D.Lkhagva, a herder from Bayan- Quotes</w:t>
            </w:r>
          </w:p>
          <w:p w14:paraId="5D10C41F" w14:textId="77777777" w:rsidR="00655ABA" w:rsidRDefault="00655ABA" w:rsidP="00655ABA">
            <w:r w:rsidRPr="00C74470">
              <w:rPr>
                <w:i/>
                <w:sz w:val="18"/>
              </w:rPr>
              <w:t>Ovoo soum, Khentii aimag</w:t>
            </w:r>
          </w:p>
        </w:tc>
        <w:tc>
          <w:tcPr>
            <w:tcW w:w="1580" w:type="dxa"/>
            <w:tcBorders>
              <w:top w:val="nil"/>
              <w:left w:val="nil"/>
              <w:bottom w:val="single" w:sz="4" w:space="0" w:color="auto"/>
              <w:right w:val="nil"/>
            </w:tcBorders>
            <w:hideMark/>
          </w:tcPr>
          <w:p w14:paraId="6740C4C8" w14:textId="77777777" w:rsidR="00655ABA" w:rsidRDefault="00655ABA" w:rsidP="00655ABA">
            <w:r>
              <w:rPr>
                <w:noProof/>
                <w:lang w:eastAsia="en-US"/>
              </w:rPr>
              <w:drawing>
                <wp:inline distT="0" distB="0" distL="0" distR="0" wp14:anchorId="4724FAF6" wp14:editId="70BC8801">
                  <wp:extent cx="1303222" cy="16678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251" cy="1669182"/>
                          </a:xfrm>
                          <a:prstGeom prst="rect">
                            <a:avLst/>
                          </a:prstGeom>
                          <a:noFill/>
                          <a:ln>
                            <a:noFill/>
                          </a:ln>
                        </pic:spPr>
                      </pic:pic>
                    </a:graphicData>
                  </a:graphic>
                </wp:inline>
              </w:drawing>
            </w:r>
          </w:p>
        </w:tc>
        <w:tc>
          <w:tcPr>
            <w:tcW w:w="1778" w:type="dxa"/>
            <w:tcBorders>
              <w:top w:val="nil"/>
              <w:left w:val="nil"/>
              <w:bottom w:val="single" w:sz="4" w:space="0" w:color="auto"/>
              <w:right w:val="single" w:sz="4" w:space="0" w:color="auto"/>
            </w:tcBorders>
            <w:hideMark/>
          </w:tcPr>
          <w:p w14:paraId="3ACA1F99" w14:textId="77777777" w:rsidR="00655ABA" w:rsidRDefault="00655ABA" w:rsidP="00655ABA">
            <w:r w:rsidRPr="00C74470">
              <w:rPr>
                <w:b/>
                <w:sz w:val="18"/>
              </w:rPr>
              <w:t>T</w:t>
            </w:r>
            <w:r w:rsidRPr="00C74470">
              <w:rPr>
                <w:sz w:val="18"/>
              </w:rPr>
              <w:t>hanks to the insurance covering my livestock, the loss of livestock from a blizzard in last spring was fully recovered. I received indemnity payment of 22 million tugriks</w:t>
            </w:r>
            <w:r>
              <w:rPr>
                <w:sz w:val="18"/>
              </w:rPr>
              <w:t xml:space="preserve"> (USD$10 thousand)</w:t>
            </w:r>
            <w:r w:rsidRPr="00C74470">
              <w:rPr>
                <w:sz w:val="18"/>
              </w:rPr>
              <w:t xml:space="preserve"> and recognize now the real benefit of index-based livestock insurance.</w:t>
            </w:r>
          </w:p>
        </w:tc>
      </w:tr>
    </w:tbl>
    <w:p w14:paraId="7A67735E" w14:textId="695D330B" w:rsidR="005A4EF0" w:rsidRDefault="005A4EF0" w:rsidP="002A12B8">
      <w:pPr>
        <w:numPr>
          <w:ilvl w:val="0"/>
          <w:numId w:val="2"/>
        </w:numPr>
        <w:tabs>
          <w:tab w:val="left" w:pos="0"/>
        </w:tabs>
        <w:ind w:left="0" w:firstLine="0"/>
        <w:rPr>
          <w:iCs/>
          <w:color w:val="000000"/>
        </w:rPr>
      </w:pPr>
      <w:r w:rsidRPr="00AC2A80">
        <w:rPr>
          <w:i/>
        </w:rPr>
        <w:t xml:space="preserve">   </w:t>
      </w:r>
      <w:r w:rsidR="0056503A" w:rsidRPr="00AC2A80">
        <w:rPr>
          <w:i/>
        </w:rPr>
        <w:t>Reduced</w:t>
      </w:r>
      <w:r w:rsidR="0056503A" w:rsidRPr="00AC2A80">
        <w:rPr>
          <w:i/>
          <w:iCs/>
        </w:rPr>
        <w:t xml:space="preserve"> impact of livestock mortality on herders’ livelihood.</w:t>
      </w:r>
      <w:r w:rsidR="0056503A" w:rsidRPr="00297C60">
        <w:rPr>
          <w:b/>
          <w:iCs/>
        </w:rPr>
        <w:t xml:space="preserve"> </w:t>
      </w:r>
      <w:r w:rsidR="00A9573C" w:rsidRPr="00086DE5">
        <w:rPr>
          <w:iCs/>
        </w:rPr>
        <w:t xml:space="preserve">During the 2009/2010 </w:t>
      </w:r>
      <w:r w:rsidR="00086DE5" w:rsidRPr="00086DE5">
        <w:rPr>
          <w:iCs/>
        </w:rPr>
        <w:t>insurance</w:t>
      </w:r>
      <w:r w:rsidR="00A9573C" w:rsidRPr="00086DE5">
        <w:rPr>
          <w:iCs/>
        </w:rPr>
        <w:t xml:space="preserve"> cycle, </w:t>
      </w:r>
      <w:r w:rsidR="00A9573C" w:rsidRPr="00086DE5">
        <w:rPr>
          <w:lang w:eastAsia="en-US"/>
        </w:rPr>
        <w:t>M</w:t>
      </w:r>
      <w:r w:rsidR="00A9573C" w:rsidRPr="00A9573C">
        <w:rPr>
          <w:lang w:eastAsia="en-US"/>
        </w:rPr>
        <w:t>ongolia suffered</w:t>
      </w:r>
      <w:r w:rsidR="00A9573C">
        <w:rPr>
          <w:lang w:eastAsia="en-US"/>
        </w:rPr>
        <w:t xml:space="preserve"> </w:t>
      </w:r>
      <w:r w:rsidR="00A9573C" w:rsidRPr="00A9573C">
        <w:rPr>
          <w:lang w:eastAsia="en-US"/>
        </w:rPr>
        <w:t xml:space="preserve">a severe </w:t>
      </w:r>
      <w:r w:rsidR="00A9573C" w:rsidRPr="00A9573C">
        <w:rPr>
          <w:i/>
          <w:iCs/>
          <w:lang w:eastAsia="en-US"/>
        </w:rPr>
        <w:t>dzud</w:t>
      </w:r>
      <w:r w:rsidR="00023288">
        <w:rPr>
          <w:iCs/>
        </w:rPr>
        <w:t xml:space="preserve"> (see</w:t>
      </w:r>
      <w:r w:rsidR="0056503A" w:rsidRPr="00297C60">
        <w:rPr>
          <w:iCs/>
        </w:rPr>
        <w:t xml:space="preserve"> </w:t>
      </w:r>
      <w:r w:rsidR="00023288">
        <w:rPr>
          <w:iCs/>
        </w:rPr>
        <w:fldChar w:fldCharType="begin"/>
      </w:r>
      <w:r w:rsidR="00023288">
        <w:rPr>
          <w:iCs/>
        </w:rPr>
        <w:instrText xml:space="preserve"> REF _Ref456790792 \r \h </w:instrText>
      </w:r>
      <w:r w:rsidR="00023288">
        <w:rPr>
          <w:iCs/>
        </w:rPr>
      </w:r>
      <w:r w:rsidR="00023288">
        <w:rPr>
          <w:iCs/>
        </w:rPr>
        <w:fldChar w:fldCharType="separate"/>
      </w:r>
      <w:r w:rsidR="00D41562">
        <w:rPr>
          <w:iCs/>
        </w:rPr>
        <w:t>43</w:t>
      </w:r>
      <w:r w:rsidR="00023288">
        <w:rPr>
          <w:iCs/>
        </w:rPr>
        <w:fldChar w:fldCharType="end"/>
      </w:r>
      <w:r w:rsidR="00023288">
        <w:rPr>
          <w:iCs/>
        </w:rPr>
        <w:t>)</w:t>
      </w:r>
      <w:r w:rsidR="00023288">
        <w:rPr>
          <w:lang w:eastAsia="en-US"/>
        </w:rPr>
        <w:t>. H</w:t>
      </w:r>
      <w:r w:rsidR="00A9573C" w:rsidRPr="00A9573C">
        <w:rPr>
          <w:lang w:eastAsia="en-US"/>
        </w:rPr>
        <w:t>igh losses across the four provinces covered by the insurance, result</w:t>
      </w:r>
      <w:r w:rsidR="00F67B4A">
        <w:rPr>
          <w:lang w:eastAsia="en-US"/>
        </w:rPr>
        <w:t>ed</w:t>
      </w:r>
      <w:r w:rsidR="00A9573C" w:rsidRPr="00A9573C">
        <w:rPr>
          <w:lang w:eastAsia="en-US"/>
        </w:rPr>
        <w:t xml:space="preserve"> in</w:t>
      </w:r>
      <w:r w:rsidR="00A9573C">
        <w:rPr>
          <w:lang w:eastAsia="en-US"/>
        </w:rPr>
        <w:t xml:space="preserve"> </w:t>
      </w:r>
      <w:r w:rsidR="00A9573C" w:rsidRPr="00A9573C">
        <w:rPr>
          <w:lang w:eastAsia="en-US"/>
        </w:rPr>
        <w:t>significant indemnity payouts to insured herders</w:t>
      </w:r>
      <w:r w:rsidR="00A9573C" w:rsidRPr="00297C60">
        <w:rPr>
          <w:iCs/>
        </w:rPr>
        <w:t xml:space="preserve"> </w:t>
      </w:r>
      <w:r w:rsidR="00A9573C">
        <w:rPr>
          <w:iCs/>
        </w:rPr>
        <w:t xml:space="preserve">(1.8 billion tugriks). </w:t>
      </w:r>
      <w:r w:rsidR="00086DE5" w:rsidRPr="00297C60">
        <w:rPr>
          <w:iCs/>
        </w:rPr>
        <w:t>Some</w:t>
      </w:r>
      <w:r w:rsidR="0056503A" w:rsidRPr="00297C60">
        <w:rPr>
          <w:iCs/>
        </w:rPr>
        <w:t xml:space="preserve"> 40% of all herding households lost more than half their herd (UNDP and National Emergency Management Agency 2010). The post event impact evaluation showed that </w:t>
      </w:r>
      <w:r w:rsidR="00F67B4A" w:rsidRPr="00F67B4A">
        <w:rPr>
          <w:iCs/>
        </w:rPr>
        <w:t xml:space="preserve">a high level of payout efficiency </w:t>
      </w:r>
      <w:r w:rsidR="0056503A" w:rsidRPr="00297C60">
        <w:t xml:space="preserve">overall, </w:t>
      </w:r>
      <w:r w:rsidR="00F67B4A">
        <w:t xml:space="preserve">with </w:t>
      </w:r>
      <w:r w:rsidR="0056503A" w:rsidRPr="00297C60">
        <w:t>IBLI payments help</w:t>
      </w:r>
      <w:r w:rsidR="00F67B4A">
        <w:t>ing</w:t>
      </w:r>
      <w:r w:rsidR="0056503A" w:rsidRPr="00297C60">
        <w:t xml:space="preserve"> insured herders </w:t>
      </w:r>
      <w:r w:rsidR="00F67B4A">
        <w:t xml:space="preserve">to </w:t>
      </w:r>
      <w:r w:rsidR="0056503A" w:rsidRPr="00297C60">
        <w:t xml:space="preserve">recover their herd size faster than uninsured herders. </w:t>
      </w:r>
      <w:r w:rsidR="00F67B4A" w:rsidRPr="00F67B4A">
        <w:t xml:space="preserve">The effectiveness of the insurance system was evident event three years later. </w:t>
      </w:r>
      <w:r w:rsidR="0056503A" w:rsidRPr="00297C60">
        <w:t>Herders who purchased IBLI in 2009 and received indemnity payment in fall 2010 had a higher herd size in 2011, 2012, and 2013 compared to herders who did not purchase the IBLI.</w:t>
      </w:r>
      <w:r w:rsidR="0056503A" w:rsidRPr="00297C60">
        <w:rPr>
          <w:iCs/>
          <w:color w:val="000000"/>
        </w:rPr>
        <w:t xml:space="preserve"> The magnitude of the </w:t>
      </w:r>
      <w:r w:rsidR="00F67B4A" w:rsidRPr="00F67B4A">
        <w:rPr>
          <w:iCs/>
          <w:color w:val="000000"/>
        </w:rPr>
        <w:t xml:space="preserve">overall economic impact (herd re-establishment) </w:t>
      </w:r>
      <w:r w:rsidR="0056503A" w:rsidRPr="00297C60">
        <w:rPr>
          <w:iCs/>
          <w:color w:val="000000"/>
        </w:rPr>
        <w:t xml:space="preserve">is relatively large, but it tends to attenuate in the years following the </w:t>
      </w:r>
      <w:r w:rsidR="0056503A" w:rsidRPr="00086DE5">
        <w:rPr>
          <w:i/>
          <w:iCs/>
          <w:color w:val="000000"/>
        </w:rPr>
        <w:t>dzud</w:t>
      </w:r>
      <w:r w:rsidR="0056503A" w:rsidRPr="00297C60">
        <w:rPr>
          <w:iCs/>
          <w:color w:val="000000"/>
        </w:rPr>
        <w:t>. In 2011, insured herders owned on average 15 to 16 percent more livestock that uninsured households; in 201</w:t>
      </w:r>
      <w:r w:rsidR="0056503A">
        <w:rPr>
          <w:iCs/>
          <w:color w:val="000000"/>
        </w:rPr>
        <w:t>2</w:t>
      </w:r>
      <w:r w:rsidR="0056503A" w:rsidRPr="00297C60">
        <w:rPr>
          <w:iCs/>
          <w:color w:val="000000"/>
        </w:rPr>
        <w:t xml:space="preserve"> they owned between 22 percent and 27 percent more livestock; and in 2013, they own about 17 percent more </w:t>
      </w:r>
      <w:r w:rsidR="0056503A" w:rsidRPr="00297C60">
        <w:rPr>
          <w:iCs/>
        </w:rPr>
        <w:t xml:space="preserve">(for more details, see Annex </w:t>
      </w:r>
      <w:r w:rsidR="0056503A">
        <w:rPr>
          <w:iCs/>
        </w:rPr>
        <w:t>5</w:t>
      </w:r>
      <w:r w:rsidR="0056503A" w:rsidRPr="00297C60">
        <w:rPr>
          <w:iCs/>
        </w:rPr>
        <w:t>).</w:t>
      </w:r>
      <w:r w:rsidR="0056503A" w:rsidRPr="00297C60">
        <w:rPr>
          <w:iCs/>
          <w:color w:val="000000"/>
        </w:rPr>
        <w:t xml:space="preserve"> </w:t>
      </w:r>
    </w:p>
    <w:p w14:paraId="377C2063" w14:textId="77777777" w:rsidR="005A4EF0" w:rsidRPr="005A4EF0" w:rsidRDefault="005A4EF0" w:rsidP="005A4EF0">
      <w:pPr>
        <w:spacing w:after="240"/>
        <w:ind w:left="360"/>
        <w:rPr>
          <w:iCs/>
          <w:color w:val="000000"/>
        </w:rPr>
      </w:pPr>
    </w:p>
    <w:p w14:paraId="54076570" w14:textId="164C5951" w:rsidR="00C67D43" w:rsidRPr="005A4EF0" w:rsidRDefault="00C67D43" w:rsidP="005A4EF0">
      <w:pPr>
        <w:pStyle w:val="Heading3"/>
        <w:spacing w:after="240"/>
        <w:rPr>
          <w:sz w:val="24"/>
          <w:szCs w:val="24"/>
        </w:rPr>
      </w:pPr>
      <w:bookmarkStart w:id="139" w:name="_Toc456784533"/>
      <w:bookmarkStart w:id="140" w:name="_Ref462151094"/>
      <w:r w:rsidRPr="005A4EF0">
        <w:rPr>
          <w:sz w:val="24"/>
          <w:szCs w:val="24"/>
        </w:rPr>
        <w:t>3.</w:t>
      </w:r>
      <w:r w:rsidR="00E433AA" w:rsidRPr="005A4EF0">
        <w:rPr>
          <w:sz w:val="24"/>
          <w:szCs w:val="24"/>
        </w:rPr>
        <w:t>4</w:t>
      </w:r>
      <w:r w:rsidRPr="005A4EF0">
        <w:rPr>
          <w:sz w:val="24"/>
          <w:szCs w:val="24"/>
        </w:rPr>
        <w:t xml:space="preserve"> Efficiency</w:t>
      </w:r>
      <w:r w:rsidR="00A5079F" w:rsidRPr="005A4EF0">
        <w:rPr>
          <w:sz w:val="24"/>
          <w:szCs w:val="24"/>
        </w:rPr>
        <w:tab/>
      </w:r>
      <w:r w:rsidR="00A5079F" w:rsidRPr="005A4EF0">
        <w:rPr>
          <w:sz w:val="24"/>
          <w:szCs w:val="24"/>
        </w:rPr>
        <w:tab/>
      </w:r>
      <w:r w:rsidR="00A5079F" w:rsidRPr="005A4EF0">
        <w:rPr>
          <w:sz w:val="24"/>
          <w:szCs w:val="24"/>
        </w:rPr>
        <w:tab/>
      </w:r>
      <w:r w:rsidR="00A5079F" w:rsidRPr="005A4EF0">
        <w:rPr>
          <w:sz w:val="24"/>
          <w:szCs w:val="24"/>
        </w:rPr>
        <w:tab/>
        <w:t>Rating: High</w:t>
      </w:r>
      <w:r w:rsidR="00881580" w:rsidRPr="005A4EF0">
        <w:rPr>
          <w:sz w:val="24"/>
          <w:szCs w:val="24"/>
        </w:rPr>
        <w:t xml:space="preserve">ly </w:t>
      </w:r>
      <w:r w:rsidR="00D91D46" w:rsidRPr="005A4EF0">
        <w:rPr>
          <w:sz w:val="24"/>
          <w:szCs w:val="24"/>
        </w:rPr>
        <w:t>Satisfactory</w:t>
      </w:r>
      <w:bookmarkEnd w:id="139"/>
      <w:bookmarkEnd w:id="140"/>
    </w:p>
    <w:p w14:paraId="16C34778" w14:textId="0B3A2907" w:rsidR="00BF0F2B" w:rsidRPr="009860A4" w:rsidRDefault="00BF0F2B" w:rsidP="005A4EF0">
      <w:pPr>
        <w:numPr>
          <w:ilvl w:val="0"/>
          <w:numId w:val="2"/>
        </w:numPr>
        <w:tabs>
          <w:tab w:val="num" w:pos="0"/>
        </w:tabs>
        <w:spacing w:after="240"/>
        <w:ind w:left="0" w:firstLine="0"/>
        <w:rPr>
          <w:iCs/>
          <w:color w:val="000000"/>
        </w:rPr>
      </w:pPr>
      <w:bookmarkStart w:id="141" w:name="SEC83"/>
      <w:bookmarkStart w:id="142" w:name="_Toc456784534"/>
      <w:bookmarkEnd w:id="141"/>
      <w:r w:rsidRPr="009860A4">
        <w:rPr>
          <w:iCs/>
          <w:color w:val="000000"/>
        </w:rPr>
        <w:t xml:space="preserve">The original Financial and Economic analysis was updated using data collected from project reports, NSO databases, and national and international databases for purposes of comparability, with some adjustments to assumptions as described in Annex </w:t>
      </w:r>
      <w:r w:rsidR="00A82C64">
        <w:rPr>
          <w:iCs/>
          <w:color w:val="000000"/>
        </w:rPr>
        <w:t>3</w:t>
      </w:r>
      <w:r w:rsidRPr="009860A4">
        <w:rPr>
          <w:iCs/>
          <w:color w:val="000000"/>
        </w:rPr>
        <w:t xml:space="preserve">. At appraisal in 2005, it was decided that a traditional economic and financial analysis of the IBLIP project, which reports internal rates of return, </w:t>
      </w:r>
      <w:r w:rsidR="00243A4A">
        <w:rPr>
          <w:iCs/>
          <w:color w:val="000000"/>
        </w:rPr>
        <w:t>p</w:t>
      </w:r>
      <w:r w:rsidRPr="009860A4">
        <w:rPr>
          <w:iCs/>
          <w:color w:val="000000"/>
        </w:rPr>
        <w:t xml:space="preserve">resent values, </w:t>
      </w:r>
      <w:r w:rsidR="00416E4F" w:rsidRPr="009860A4">
        <w:rPr>
          <w:iCs/>
          <w:color w:val="000000"/>
        </w:rPr>
        <w:t>etc.</w:t>
      </w:r>
      <w:r w:rsidR="00416E4F">
        <w:rPr>
          <w:iCs/>
          <w:color w:val="000000"/>
        </w:rPr>
        <w:t>,</w:t>
      </w:r>
      <w:r w:rsidRPr="009860A4">
        <w:rPr>
          <w:iCs/>
          <w:color w:val="000000"/>
        </w:rPr>
        <w:t xml:space="preserve">  was not feasible because of the probabilistic nature of the benefits of insurance--insured herders get a payout only in high livestock mortality years. Therefore, the analysis was based on a simple multi-period herd simulation model to gain insights into the benefit of the project to herders. </w:t>
      </w:r>
      <w:r w:rsidR="00D93B20">
        <w:rPr>
          <w:iCs/>
          <w:color w:val="000000"/>
        </w:rPr>
        <w:t xml:space="preserve">The model </w:t>
      </w:r>
      <w:r w:rsidRPr="009860A4">
        <w:rPr>
          <w:iCs/>
          <w:color w:val="000000"/>
        </w:rPr>
        <w:t>was run for two sums (one high mortality and one low mortality sum) in Bayankhongor aima</w:t>
      </w:r>
      <w:r w:rsidR="009860A4">
        <w:rPr>
          <w:iCs/>
          <w:color w:val="000000"/>
        </w:rPr>
        <w:t>g</w:t>
      </w:r>
      <w:r w:rsidRPr="009860A4">
        <w:rPr>
          <w:iCs/>
          <w:color w:val="000000"/>
        </w:rPr>
        <w:t xml:space="preserve"> (pilot aimag).</w:t>
      </w:r>
    </w:p>
    <w:p w14:paraId="5C99805D" w14:textId="77777777" w:rsidR="00BF0F2B" w:rsidRPr="005A4EF0" w:rsidRDefault="00BF0F2B" w:rsidP="005A4EF0">
      <w:pPr>
        <w:spacing w:after="240"/>
        <w:rPr>
          <w:iCs/>
          <w:color w:val="000000"/>
        </w:rPr>
      </w:pPr>
      <w:r w:rsidRPr="005A4EF0">
        <w:rPr>
          <w:iCs/>
          <w:color w:val="000000"/>
        </w:rPr>
        <w:t>Summary results of the economic and financial analysis:</w:t>
      </w:r>
    </w:p>
    <w:p w14:paraId="75FD6DD2" w14:textId="1B0DCBA2" w:rsidR="00BF0F2B" w:rsidRPr="005A4EF0" w:rsidRDefault="00BF0F2B" w:rsidP="002420B3">
      <w:pPr>
        <w:numPr>
          <w:ilvl w:val="0"/>
          <w:numId w:val="2"/>
        </w:numPr>
        <w:tabs>
          <w:tab w:val="num" w:pos="0"/>
        </w:tabs>
        <w:spacing w:after="240"/>
        <w:ind w:left="0" w:firstLine="0"/>
        <w:rPr>
          <w:iCs/>
          <w:color w:val="000000"/>
        </w:rPr>
      </w:pPr>
      <w:r w:rsidRPr="005A4EF0">
        <w:rPr>
          <w:iCs/>
          <w:color w:val="000000"/>
        </w:rPr>
        <w:t xml:space="preserve">The results </w:t>
      </w:r>
      <w:r w:rsidR="00624C41" w:rsidRPr="005A4EF0">
        <w:rPr>
          <w:iCs/>
          <w:color w:val="000000"/>
        </w:rPr>
        <w:t>are qualitatively similar to the</w:t>
      </w:r>
      <w:r w:rsidRPr="005A4EF0">
        <w:rPr>
          <w:iCs/>
          <w:color w:val="000000"/>
        </w:rPr>
        <w:t xml:space="preserve"> findings of the original economic </w:t>
      </w:r>
      <w:r w:rsidR="00243A4A" w:rsidRPr="005A4EF0">
        <w:rPr>
          <w:iCs/>
          <w:color w:val="000000"/>
        </w:rPr>
        <w:t xml:space="preserve">analysis. </w:t>
      </w:r>
      <w:r w:rsidRPr="005A4EF0">
        <w:rPr>
          <w:iCs/>
          <w:color w:val="000000"/>
        </w:rPr>
        <w:t xml:space="preserve">Net income increases for a with-project (insured) herder over an uninsured herder in both sums. Net income increases are considerable and are 7%, 6 and 4% higher in Jargalant sum  and 5%, 6% and 7% higher in Bumbugur sum relative to the without-project base net income for each of the percentage coverage levels simulated (i.e., 30%, 50% and 100% of animal value respectively). </w:t>
      </w:r>
    </w:p>
    <w:p w14:paraId="166AFEFD" w14:textId="77777777" w:rsidR="00BF0F2B" w:rsidRPr="005A4EF0" w:rsidRDefault="00BF0F2B" w:rsidP="005A4EF0">
      <w:pPr>
        <w:numPr>
          <w:ilvl w:val="0"/>
          <w:numId w:val="2"/>
        </w:numPr>
        <w:tabs>
          <w:tab w:val="num" w:pos="0"/>
        </w:tabs>
        <w:spacing w:after="240"/>
        <w:ind w:left="0" w:firstLine="0"/>
        <w:rPr>
          <w:iCs/>
          <w:color w:val="000000"/>
        </w:rPr>
      </w:pPr>
      <w:r w:rsidRPr="005A4EF0">
        <w:rPr>
          <w:iCs/>
          <w:color w:val="000000"/>
        </w:rPr>
        <w:t xml:space="preserve">The with-project herder’s value of the herd in Jargalant sum is higher at the end of the period (2015) relative to the without-project herd value by 12% to 19% depending on the percentage of livestock species value insured. </w:t>
      </w:r>
    </w:p>
    <w:p w14:paraId="21C4E064" w14:textId="77777777" w:rsidR="00BF0F2B" w:rsidRPr="005A4EF0" w:rsidRDefault="00BF0F2B" w:rsidP="005A4EF0">
      <w:pPr>
        <w:numPr>
          <w:ilvl w:val="0"/>
          <w:numId w:val="2"/>
        </w:numPr>
        <w:tabs>
          <w:tab w:val="num" w:pos="0"/>
        </w:tabs>
        <w:spacing w:after="240"/>
        <w:ind w:left="0" w:firstLine="0"/>
        <w:rPr>
          <w:iCs/>
          <w:color w:val="000000"/>
        </w:rPr>
      </w:pPr>
      <w:r w:rsidRPr="005A4EF0">
        <w:rPr>
          <w:iCs/>
          <w:color w:val="000000"/>
        </w:rPr>
        <w:lastRenderedPageBreak/>
        <w:t>With lower relative mortality rates in Jargalant sum, the with-project herder’s value of the herd at the end of the period (2015) is higher than in Bumbugur sum.</w:t>
      </w:r>
    </w:p>
    <w:p w14:paraId="18E123D0" w14:textId="77777777" w:rsidR="00BF0F2B" w:rsidRPr="005A4EF0" w:rsidRDefault="00BF0F2B" w:rsidP="005A4EF0">
      <w:pPr>
        <w:numPr>
          <w:ilvl w:val="0"/>
          <w:numId w:val="2"/>
        </w:numPr>
        <w:tabs>
          <w:tab w:val="num" w:pos="0"/>
        </w:tabs>
        <w:spacing w:after="240"/>
        <w:ind w:left="0" w:firstLine="0"/>
        <w:rPr>
          <w:iCs/>
          <w:color w:val="000000"/>
        </w:rPr>
      </w:pPr>
      <w:r w:rsidRPr="005A4EF0">
        <w:rPr>
          <w:iCs/>
          <w:color w:val="000000"/>
        </w:rPr>
        <w:t xml:space="preserve">The benefits of IBLI payouts to herders increase with the amount of coverage they choose for their livestock.  The largest gains in terms of livestock value take place when 100% of the livestock is insured, but even the gains when insuring only 30% of the value of the livestock are considerable. </w:t>
      </w:r>
    </w:p>
    <w:p w14:paraId="5B577C6C" w14:textId="6518C076" w:rsidR="00BF0F2B" w:rsidRPr="005A4EF0" w:rsidRDefault="00BF0F2B" w:rsidP="005A4EF0">
      <w:pPr>
        <w:numPr>
          <w:ilvl w:val="0"/>
          <w:numId w:val="2"/>
        </w:numPr>
        <w:tabs>
          <w:tab w:val="num" w:pos="0"/>
        </w:tabs>
        <w:spacing w:after="240"/>
        <w:ind w:left="0" w:firstLine="0"/>
        <w:rPr>
          <w:iCs/>
          <w:color w:val="000000"/>
        </w:rPr>
      </w:pPr>
      <w:r w:rsidRPr="005A4EF0">
        <w:rPr>
          <w:iCs/>
          <w:color w:val="000000"/>
        </w:rPr>
        <w:t xml:space="preserve">The value at risk (at 5% and 10%) of the herder’s income with and without insurance does not show large differences.  However, the value at risk of the income (at 10%) is generally higher when insurance is purchased relative to the without insurance scenarios </w:t>
      </w:r>
      <w:r w:rsidR="00EE1902" w:rsidRPr="005A4EF0">
        <w:rPr>
          <w:iCs/>
          <w:color w:val="000000"/>
        </w:rPr>
        <w:t>for both</w:t>
      </w:r>
      <w:r w:rsidRPr="005A4EF0">
        <w:rPr>
          <w:iCs/>
          <w:color w:val="000000"/>
        </w:rPr>
        <w:t xml:space="preserve"> sum</w:t>
      </w:r>
      <w:r w:rsidR="00EE1902" w:rsidRPr="005A4EF0">
        <w:rPr>
          <w:iCs/>
          <w:color w:val="000000"/>
        </w:rPr>
        <w:t>s</w:t>
      </w:r>
      <w:r w:rsidRPr="005A4EF0">
        <w:rPr>
          <w:iCs/>
          <w:color w:val="000000"/>
        </w:rPr>
        <w:t>. This means that the insured herder is less exposed to low incomes when insured at the 100% level than the uninsured herder.</w:t>
      </w:r>
    </w:p>
    <w:p w14:paraId="0758E327" w14:textId="7455CBC7" w:rsidR="004501DC" w:rsidRPr="005A4EF0" w:rsidRDefault="007711A1" w:rsidP="005A4EF0">
      <w:pPr>
        <w:numPr>
          <w:ilvl w:val="0"/>
          <w:numId w:val="2"/>
        </w:numPr>
        <w:tabs>
          <w:tab w:val="num" w:pos="0"/>
        </w:tabs>
        <w:spacing w:after="240"/>
        <w:ind w:left="0" w:firstLine="0"/>
        <w:rPr>
          <w:iCs/>
          <w:color w:val="000000"/>
        </w:rPr>
      </w:pPr>
      <w:r w:rsidRPr="005A4EF0">
        <w:rPr>
          <w:iCs/>
          <w:color w:val="000000"/>
        </w:rPr>
        <w:t xml:space="preserve">There is a high probability that </w:t>
      </w:r>
      <w:r w:rsidR="004501DC" w:rsidRPr="005A4EF0">
        <w:rPr>
          <w:iCs/>
          <w:color w:val="000000"/>
        </w:rPr>
        <w:t xml:space="preserve">AgRe will be sustainable in the mid-long term.  </w:t>
      </w:r>
      <w:r w:rsidRPr="005A4EF0">
        <w:rPr>
          <w:iCs/>
          <w:color w:val="000000"/>
        </w:rPr>
        <w:t xml:space="preserve">A stochastic simulation exercise was conducted to investigate how the capital of AgRe could grow over a five year time period. </w:t>
      </w:r>
      <w:r w:rsidR="008C762C" w:rsidRPr="005A4EF0">
        <w:rPr>
          <w:iCs/>
          <w:color w:val="000000"/>
        </w:rPr>
        <w:t xml:space="preserve">With the given level of capital, reinsurance strategy and planned growth in premiums over time, </w:t>
      </w:r>
      <w:r w:rsidRPr="005A4EF0">
        <w:rPr>
          <w:iCs/>
          <w:color w:val="000000"/>
        </w:rPr>
        <w:t xml:space="preserve">the results showed that AgRe’s capital is </w:t>
      </w:r>
      <w:r w:rsidR="004501DC" w:rsidRPr="005A4EF0">
        <w:rPr>
          <w:iCs/>
          <w:color w:val="000000"/>
        </w:rPr>
        <w:t xml:space="preserve">expected </w:t>
      </w:r>
      <w:r w:rsidRPr="005A4EF0">
        <w:rPr>
          <w:iCs/>
          <w:color w:val="000000"/>
        </w:rPr>
        <w:t xml:space="preserve">to </w:t>
      </w:r>
      <w:r w:rsidR="004501DC" w:rsidRPr="005A4EF0">
        <w:rPr>
          <w:iCs/>
          <w:color w:val="000000"/>
        </w:rPr>
        <w:t>grow b</w:t>
      </w:r>
      <w:r w:rsidR="001E4732" w:rsidRPr="005A4EF0">
        <w:rPr>
          <w:iCs/>
          <w:color w:val="000000"/>
        </w:rPr>
        <w:t>y</w:t>
      </w:r>
      <w:r w:rsidR="004501DC" w:rsidRPr="005A4EF0">
        <w:rPr>
          <w:iCs/>
          <w:color w:val="000000"/>
        </w:rPr>
        <w:t xml:space="preserve"> approx. 40% </w:t>
      </w:r>
      <w:r w:rsidR="001E4732" w:rsidRPr="005A4EF0">
        <w:rPr>
          <w:iCs/>
          <w:color w:val="000000"/>
        </w:rPr>
        <w:t>to Tugrik 29 billion</w:t>
      </w:r>
      <w:r w:rsidR="008C762C" w:rsidRPr="005A4EF0">
        <w:rPr>
          <w:iCs/>
          <w:color w:val="000000"/>
        </w:rPr>
        <w:t xml:space="preserve"> in five years.  In addition, </w:t>
      </w:r>
      <w:r w:rsidRPr="005A4EF0">
        <w:rPr>
          <w:iCs/>
          <w:color w:val="000000"/>
        </w:rPr>
        <w:t xml:space="preserve">they showed that </w:t>
      </w:r>
      <w:r w:rsidR="001E4732" w:rsidRPr="005A4EF0">
        <w:rPr>
          <w:iCs/>
          <w:color w:val="000000"/>
        </w:rPr>
        <w:t>there is a</w:t>
      </w:r>
      <w:r w:rsidR="008C762C" w:rsidRPr="005A4EF0">
        <w:rPr>
          <w:iCs/>
          <w:color w:val="000000"/>
        </w:rPr>
        <w:t xml:space="preserve">n approx. </w:t>
      </w:r>
      <w:r w:rsidR="001E4732" w:rsidRPr="005A4EF0">
        <w:rPr>
          <w:iCs/>
          <w:color w:val="000000"/>
        </w:rPr>
        <w:t xml:space="preserve">92% chance that the capital of AgRe will </w:t>
      </w:r>
      <w:r w:rsidR="00F47AAD" w:rsidRPr="005A4EF0">
        <w:rPr>
          <w:iCs/>
          <w:color w:val="000000"/>
        </w:rPr>
        <w:t xml:space="preserve">be greater than the current level, </w:t>
      </w:r>
      <w:r w:rsidR="001E4732" w:rsidRPr="005A4EF0">
        <w:rPr>
          <w:iCs/>
          <w:color w:val="000000"/>
        </w:rPr>
        <w:t xml:space="preserve">Tugrik 20 billion, </w:t>
      </w:r>
      <w:r w:rsidR="008C762C" w:rsidRPr="005A4EF0">
        <w:rPr>
          <w:iCs/>
          <w:color w:val="000000"/>
        </w:rPr>
        <w:t>in five years</w:t>
      </w:r>
      <w:r w:rsidR="001E4732" w:rsidRPr="005A4EF0">
        <w:rPr>
          <w:iCs/>
          <w:color w:val="000000"/>
        </w:rPr>
        <w:t>.</w:t>
      </w:r>
      <w:r w:rsidR="00F47AAD" w:rsidRPr="005A4EF0">
        <w:rPr>
          <w:iCs/>
          <w:color w:val="000000"/>
        </w:rPr>
        <w:t xml:space="preserve">  These figures demonstrate the sound financial position of AgRe, given its level of capitalization and business plan moving forward. </w:t>
      </w:r>
    </w:p>
    <w:p w14:paraId="0AE9E678" w14:textId="28DF8F3F" w:rsidR="00C67D43" w:rsidRPr="005A4EF0" w:rsidRDefault="00C67D43" w:rsidP="005A4EF0">
      <w:pPr>
        <w:pStyle w:val="Heading3"/>
        <w:spacing w:after="240"/>
        <w:rPr>
          <w:sz w:val="24"/>
          <w:szCs w:val="24"/>
        </w:rPr>
      </w:pPr>
      <w:r w:rsidRPr="005A4EF0">
        <w:rPr>
          <w:sz w:val="24"/>
          <w:szCs w:val="24"/>
        </w:rPr>
        <w:t>3.</w:t>
      </w:r>
      <w:r w:rsidR="00E433AA" w:rsidRPr="005A4EF0">
        <w:rPr>
          <w:sz w:val="24"/>
          <w:szCs w:val="24"/>
        </w:rPr>
        <w:t>5</w:t>
      </w:r>
      <w:r w:rsidRPr="005A4EF0">
        <w:rPr>
          <w:sz w:val="24"/>
          <w:szCs w:val="24"/>
        </w:rPr>
        <w:t xml:space="preserve"> Justification of Overall Outcome Rating</w:t>
      </w:r>
      <w:r w:rsidR="00044688" w:rsidRPr="005A4EF0">
        <w:rPr>
          <w:sz w:val="24"/>
          <w:szCs w:val="24"/>
        </w:rPr>
        <w:t xml:space="preserve">                       Rating: </w:t>
      </w:r>
      <w:r w:rsidR="00981E5C" w:rsidRPr="005A4EF0">
        <w:rPr>
          <w:sz w:val="24"/>
          <w:szCs w:val="24"/>
        </w:rPr>
        <w:t xml:space="preserve">Highly </w:t>
      </w:r>
      <w:r w:rsidR="00044688" w:rsidRPr="005A4EF0">
        <w:rPr>
          <w:sz w:val="24"/>
          <w:szCs w:val="24"/>
        </w:rPr>
        <w:t>Satisfactory</w:t>
      </w:r>
      <w:bookmarkEnd w:id="142"/>
    </w:p>
    <w:p w14:paraId="777C7227" w14:textId="0AFFB82C" w:rsidR="005E5AE3" w:rsidRDefault="00BF6598" w:rsidP="00F92093">
      <w:pPr>
        <w:numPr>
          <w:ilvl w:val="0"/>
          <w:numId w:val="2"/>
        </w:numPr>
        <w:tabs>
          <w:tab w:val="num" w:pos="0"/>
        </w:tabs>
        <w:spacing w:after="240"/>
        <w:ind w:left="0" w:firstLine="0"/>
        <w:rPr>
          <w:iCs/>
        </w:rPr>
      </w:pPr>
      <w:r w:rsidRPr="00BF6598">
        <w:rPr>
          <w:b/>
          <w:iCs/>
        </w:rPr>
        <w:t>Overall Outcome Rating of IBLI-pilot is Highly Satisfactory</w:t>
      </w:r>
      <w:r>
        <w:rPr>
          <w:iCs/>
        </w:rPr>
        <w:t xml:space="preserve">. </w:t>
      </w:r>
      <w:r w:rsidR="00275CD0" w:rsidRPr="005B4B32">
        <w:rPr>
          <w:iCs/>
          <w:color w:val="000000"/>
        </w:rPr>
        <w:t>The</w:t>
      </w:r>
      <w:r w:rsidR="00275CD0" w:rsidRPr="005B4B32">
        <w:rPr>
          <w:iCs/>
        </w:rPr>
        <w:t xml:space="preserve"> </w:t>
      </w:r>
      <w:r w:rsidR="00275CD0" w:rsidRPr="00275CD0">
        <w:rPr>
          <w:iCs/>
        </w:rPr>
        <w:t xml:space="preserve">overall outcome rating of </w:t>
      </w:r>
      <w:r w:rsidR="00275CD0">
        <w:rPr>
          <w:iCs/>
        </w:rPr>
        <w:t xml:space="preserve">Highly </w:t>
      </w:r>
      <w:r w:rsidR="00275CD0" w:rsidRPr="00275CD0">
        <w:rPr>
          <w:iCs/>
        </w:rPr>
        <w:t xml:space="preserve">Satisfactory is based on the </w:t>
      </w:r>
      <w:r w:rsidR="00275CD0">
        <w:rPr>
          <w:iCs/>
        </w:rPr>
        <w:t xml:space="preserve">Highly </w:t>
      </w:r>
      <w:r w:rsidR="00275CD0" w:rsidRPr="00275CD0">
        <w:rPr>
          <w:iCs/>
        </w:rPr>
        <w:t>Satisfactory achievement of the following:</w:t>
      </w:r>
      <w:r w:rsidR="00275CD0">
        <w:rPr>
          <w:iCs/>
        </w:rPr>
        <w:t xml:space="preserve"> </w:t>
      </w:r>
    </w:p>
    <w:p w14:paraId="5F4198D7" w14:textId="014637E7" w:rsidR="005E5AE3" w:rsidRDefault="00275CD0" w:rsidP="0075094D">
      <w:pPr>
        <w:pStyle w:val="ListParagraph"/>
        <w:numPr>
          <w:ilvl w:val="0"/>
          <w:numId w:val="31"/>
        </w:numPr>
        <w:rPr>
          <w:rFonts w:ascii="Times New Roman" w:hAnsi="Times New Roman" w:cs="Times New Roman"/>
          <w:iCs/>
          <w:sz w:val="24"/>
          <w:szCs w:val="24"/>
        </w:rPr>
      </w:pPr>
      <w:r w:rsidRPr="00F92093">
        <w:rPr>
          <w:rFonts w:ascii="Times New Roman" w:hAnsi="Times New Roman" w:cs="Times New Roman"/>
          <w:iCs/>
          <w:sz w:val="24"/>
          <w:szCs w:val="24"/>
        </w:rPr>
        <w:t>PDO achievement: High. The project achieved the PDO, based on data from ISRs, Government reporting, and the two IEs</w:t>
      </w:r>
      <w:r w:rsidR="005E5AE3" w:rsidRPr="00F92093">
        <w:rPr>
          <w:rFonts w:ascii="Times New Roman" w:hAnsi="Times New Roman" w:cs="Times New Roman"/>
          <w:iCs/>
          <w:sz w:val="24"/>
          <w:szCs w:val="24"/>
        </w:rPr>
        <w:t>. All PDO</w:t>
      </w:r>
      <w:r w:rsidRPr="00F92093">
        <w:rPr>
          <w:rFonts w:ascii="Times New Roman" w:hAnsi="Times New Roman" w:cs="Times New Roman"/>
          <w:iCs/>
          <w:sz w:val="24"/>
          <w:szCs w:val="24"/>
        </w:rPr>
        <w:t xml:space="preserve"> indicators and nearly all intermediate indicators were met or exceeded.</w:t>
      </w:r>
      <w:r w:rsidR="005E5AE3" w:rsidRPr="00F92093">
        <w:rPr>
          <w:rFonts w:ascii="Times New Roman" w:hAnsi="Times New Roman" w:cs="Times New Roman"/>
          <w:iCs/>
          <w:sz w:val="24"/>
          <w:szCs w:val="24"/>
        </w:rPr>
        <w:t xml:space="preserve"> </w:t>
      </w:r>
    </w:p>
    <w:p w14:paraId="16CA4BAA" w14:textId="77777777" w:rsidR="0075094D" w:rsidRPr="00F92093" w:rsidRDefault="0075094D" w:rsidP="0075094D">
      <w:pPr>
        <w:pStyle w:val="ListParagraph"/>
        <w:ind w:left="360"/>
        <w:rPr>
          <w:rFonts w:ascii="Times New Roman" w:hAnsi="Times New Roman" w:cs="Times New Roman"/>
          <w:iCs/>
          <w:sz w:val="24"/>
          <w:szCs w:val="24"/>
        </w:rPr>
      </w:pPr>
    </w:p>
    <w:p w14:paraId="69C58901" w14:textId="6FA505F1" w:rsidR="0075094D" w:rsidRDefault="00275CD0" w:rsidP="0075094D">
      <w:pPr>
        <w:pStyle w:val="ListParagraph"/>
        <w:numPr>
          <w:ilvl w:val="0"/>
          <w:numId w:val="31"/>
        </w:numPr>
        <w:spacing w:before="240"/>
        <w:rPr>
          <w:rFonts w:ascii="Times New Roman" w:hAnsi="Times New Roman" w:cs="Times New Roman"/>
          <w:iCs/>
          <w:sz w:val="24"/>
          <w:szCs w:val="24"/>
        </w:rPr>
      </w:pPr>
      <w:r w:rsidRPr="00F92093">
        <w:rPr>
          <w:rFonts w:ascii="Times New Roman" w:hAnsi="Times New Roman" w:cs="Times New Roman"/>
          <w:iCs/>
          <w:sz w:val="24"/>
          <w:szCs w:val="24"/>
        </w:rPr>
        <w:t>Relevance of objectives, design and implementation: High Relevance. The Project’s objectives, design and methodology were highly relevant, and have continued to be relevant to the sector, as evidenced by: a</w:t>
      </w:r>
      <w:r w:rsidR="00D13313" w:rsidRPr="00F92093">
        <w:rPr>
          <w:rFonts w:ascii="Times New Roman" w:hAnsi="Times New Roman" w:cs="Times New Roman"/>
          <w:iCs/>
          <w:sz w:val="24"/>
          <w:szCs w:val="24"/>
        </w:rPr>
        <w:t>)</w:t>
      </w:r>
      <w:r w:rsidR="00724DC7" w:rsidRPr="00F92093">
        <w:rPr>
          <w:rFonts w:ascii="Times New Roman" w:hAnsi="Times New Roman" w:cs="Times New Roman"/>
          <w:iCs/>
          <w:sz w:val="24"/>
          <w:szCs w:val="24"/>
        </w:rPr>
        <w:t xml:space="preserve"> its alignment with the </w:t>
      </w:r>
      <w:r w:rsidR="002C3BCD" w:rsidRPr="00F92093">
        <w:rPr>
          <w:rFonts w:ascii="Times New Roman" w:hAnsi="Times New Roman" w:cs="Times New Roman"/>
          <w:iCs/>
          <w:sz w:val="24"/>
          <w:szCs w:val="24"/>
        </w:rPr>
        <w:t>State Policy on Food and Agriculture</w:t>
      </w:r>
      <w:r w:rsidR="00724DC7" w:rsidRPr="00F92093">
        <w:rPr>
          <w:rFonts w:ascii="Times New Roman" w:hAnsi="Times New Roman" w:cs="Times New Roman"/>
          <w:iCs/>
          <w:sz w:val="24"/>
          <w:szCs w:val="24"/>
        </w:rPr>
        <w:t xml:space="preserve"> of the GoM, b)</w:t>
      </w:r>
      <w:r w:rsidR="00D13313" w:rsidRPr="00F92093">
        <w:rPr>
          <w:rFonts w:ascii="Times New Roman" w:hAnsi="Times New Roman" w:cs="Times New Roman"/>
          <w:iCs/>
          <w:sz w:val="24"/>
          <w:szCs w:val="24"/>
        </w:rPr>
        <w:t xml:space="preserve"> its</w:t>
      </w:r>
      <w:r w:rsidRPr="00F92093">
        <w:rPr>
          <w:rFonts w:ascii="Times New Roman" w:hAnsi="Times New Roman" w:cs="Times New Roman"/>
          <w:iCs/>
          <w:sz w:val="24"/>
          <w:szCs w:val="24"/>
        </w:rPr>
        <w:t xml:space="preserve"> alignment</w:t>
      </w:r>
      <w:r w:rsidR="00724DC7" w:rsidRPr="00F92093">
        <w:rPr>
          <w:rFonts w:ascii="Times New Roman" w:hAnsi="Times New Roman" w:cs="Times New Roman"/>
          <w:iCs/>
          <w:sz w:val="24"/>
          <w:szCs w:val="24"/>
        </w:rPr>
        <w:t xml:space="preserve"> with</w:t>
      </w:r>
      <w:r w:rsidRPr="00F92093">
        <w:rPr>
          <w:rFonts w:ascii="Times New Roman" w:hAnsi="Times New Roman" w:cs="Times New Roman"/>
          <w:iCs/>
          <w:sz w:val="24"/>
          <w:szCs w:val="24"/>
        </w:rPr>
        <w:t xml:space="preserve"> FY13-FY17 </w:t>
      </w:r>
      <w:r w:rsidR="00D13313" w:rsidRPr="00F92093">
        <w:rPr>
          <w:rFonts w:ascii="Times New Roman" w:hAnsi="Times New Roman" w:cs="Times New Roman"/>
          <w:iCs/>
          <w:sz w:val="24"/>
          <w:szCs w:val="24"/>
        </w:rPr>
        <w:t xml:space="preserve">CAS </w:t>
      </w:r>
      <w:r w:rsidRPr="00F92093">
        <w:rPr>
          <w:rFonts w:ascii="Times New Roman" w:hAnsi="Times New Roman" w:cs="Times New Roman"/>
          <w:iCs/>
          <w:sz w:val="24"/>
          <w:szCs w:val="24"/>
        </w:rPr>
        <w:t xml:space="preserve">for </w:t>
      </w:r>
      <w:r w:rsidR="00D13313" w:rsidRPr="00F92093">
        <w:rPr>
          <w:rFonts w:ascii="Times New Roman" w:hAnsi="Times New Roman" w:cs="Times New Roman"/>
          <w:iCs/>
          <w:sz w:val="24"/>
          <w:szCs w:val="24"/>
        </w:rPr>
        <w:t>Mongolia</w:t>
      </w:r>
      <w:r w:rsidR="00610841" w:rsidRPr="00F92093">
        <w:rPr>
          <w:rFonts w:ascii="Times New Roman" w:hAnsi="Times New Roman" w:cs="Times New Roman"/>
          <w:iCs/>
          <w:sz w:val="24"/>
          <w:szCs w:val="24"/>
        </w:rPr>
        <w:t>,</w:t>
      </w:r>
      <w:r w:rsidRPr="00F92093">
        <w:rPr>
          <w:rFonts w:ascii="Times New Roman" w:hAnsi="Times New Roman" w:cs="Times New Roman"/>
          <w:iCs/>
          <w:sz w:val="24"/>
          <w:szCs w:val="24"/>
        </w:rPr>
        <w:t xml:space="preserve"> </w:t>
      </w:r>
      <w:r w:rsidR="00724DC7" w:rsidRPr="00F92093">
        <w:rPr>
          <w:rFonts w:ascii="Times New Roman" w:hAnsi="Times New Roman" w:cs="Times New Roman"/>
          <w:iCs/>
          <w:sz w:val="24"/>
          <w:szCs w:val="24"/>
        </w:rPr>
        <w:t>c</w:t>
      </w:r>
      <w:r w:rsidRPr="00F92093">
        <w:rPr>
          <w:rFonts w:ascii="Times New Roman" w:hAnsi="Times New Roman" w:cs="Times New Roman"/>
          <w:iCs/>
          <w:sz w:val="24"/>
          <w:szCs w:val="24"/>
        </w:rPr>
        <w:t xml:space="preserve">) the fact that other projects under development </w:t>
      </w:r>
      <w:r w:rsidR="005B4B32" w:rsidRPr="00F92093">
        <w:rPr>
          <w:rFonts w:ascii="Times New Roman" w:hAnsi="Times New Roman" w:cs="Times New Roman"/>
          <w:iCs/>
          <w:sz w:val="24"/>
          <w:szCs w:val="24"/>
        </w:rPr>
        <w:t xml:space="preserve">built on </w:t>
      </w:r>
      <w:r w:rsidR="00724DC7" w:rsidRPr="00F92093">
        <w:rPr>
          <w:rFonts w:ascii="Times New Roman" w:hAnsi="Times New Roman" w:cs="Times New Roman"/>
          <w:iCs/>
          <w:sz w:val="24"/>
          <w:szCs w:val="24"/>
        </w:rPr>
        <w:t>IBLI</w:t>
      </w:r>
      <w:r w:rsidRPr="00F92093">
        <w:rPr>
          <w:rFonts w:ascii="Times New Roman" w:hAnsi="Times New Roman" w:cs="Times New Roman"/>
          <w:iCs/>
          <w:sz w:val="24"/>
          <w:szCs w:val="24"/>
        </w:rPr>
        <w:t>’s</w:t>
      </w:r>
      <w:r w:rsidR="00724DC7" w:rsidRPr="00F92093">
        <w:rPr>
          <w:rFonts w:ascii="Times New Roman" w:hAnsi="Times New Roman" w:cs="Times New Roman"/>
          <w:iCs/>
          <w:sz w:val="24"/>
          <w:szCs w:val="24"/>
        </w:rPr>
        <w:t xml:space="preserve"> design</w:t>
      </w:r>
      <w:r w:rsidR="00FB7DD2" w:rsidRPr="00F92093">
        <w:rPr>
          <w:rFonts w:ascii="Times New Roman" w:hAnsi="Times New Roman" w:cs="Times New Roman"/>
          <w:iCs/>
          <w:sz w:val="24"/>
          <w:szCs w:val="24"/>
        </w:rPr>
        <w:t>,</w:t>
      </w:r>
      <w:r w:rsidRPr="00F92093">
        <w:rPr>
          <w:rFonts w:ascii="Times New Roman" w:hAnsi="Times New Roman" w:cs="Times New Roman"/>
          <w:iCs/>
          <w:sz w:val="24"/>
          <w:szCs w:val="24"/>
        </w:rPr>
        <w:t xml:space="preserve"> </w:t>
      </w:r>
      <w:r w:rsidR="00FB7DD2" w:rsidRPr="00F92093">
        <w:rPr>
          <w:rFonts w:ascii="Times New Roman" w:hAnsi="Times New Roman" w:cs="Times New Roman"/>
          <w:iCs/>
          <w:sz w:val="24"/>
          <w:szCs w:val="24"/>
        </w:rPr>
        <w:t>d</w:t>
      </w:r>
      <w:r w:rsidRPr="00F92093">
        <w:rPr>
          <w:rFonts w:ascii="Times New Roman" w:hAnsi="Times New Roman" w:cs="Times New Roman"/>
          <w:iCs/>
          <w:sz w:val="24"/>
          <w:szCs w:val="24"/>
        </w:rPr>
        <w:t xml:space="preserve">) strong Government commitment, and </w:t>
      </w:r>
      <w:r w:rsidR="00610841" w:rsidRPr="00F92093">
        <w:rPr>
          <w:rFonts w:ascii="Times New Roman" w:hAnsi="Times New Roman" w:cs="Times New Roman"/>
          <w:iCs/>
          <w:sz w:val="24"/>
          <w:szCs w:val="24"/>
        </w:rPr>
        <w:t xml:space="preserve">e) </w:t>
      </w:r>
      <w:r w:rsidRPr="00F92093">
        <w:rPr>
          <w:rFonts w:ascii="Times New Roman" w:hAnsi="Times New Roman" w:cs="Times New Roman"/>
          <w:iCs/>
          <w:sz w:val="24"/>
          <w:szCs w:val="24"/>
        </w:rPr>
        <w:t xml:space="preserve">significant </w:t>
      </w:r>
      <w:r w:rsidR="00724DC7" w:rsidRPr="00F92093">
        <w:rPr>
          <w:rFonts w:ascii="Times New Roman" w:hAnsi="Times New Roman" w:cs="Times New Roman"/>
          <w:iCs/>
          <w:sz w:val="24"/>
          <w:szCs w:val="24"/>
        </w:rPr>
        <w:t xml:space="preserve">AF </w:t>
      </w:r>
      <w:r w:rsidRPr="00F92093">
        <w:rPr>
          <w:rFonts w:ascii="Times New Roman" w:hAnsi="Times New Roman" w:cs="Times New Roman"/>
          <w:iCs/>
          <w:sz w:val="24"/>
          <w:szCs w:val="24"/>
        </w:rPr>
        <w:t xml:space="preserve">leveraged </w:t>
      </w:r>
      <w:r w:rsidR="00724DC7" w:rsidRPr="00F92093">
        <w:rPr>
          <w:rFonts w:ascii="Times New Roman" w:hAnsi="Times New Roman" w:cs="Times New Roman"/>
          <w:iCs/>
          <w:sz w:val="24"/>
          <w:szCs w:val="24"/>
        </w:rPr>
        <w:t xml:space="preserve">to scale up IBLI </w:t>
      </w:r>
      <w:r w:rsidR="005B4B32" w:rsidRPr="00F92093">
        <w:rPr>
          <w:rFonts w:ascii="Times New Roman" w:hAnsi="Times New Roman" w:cs="Times New Roman"/>
          <w:iCs/>
          <w:sz w:val="24"/>
          <w:szCs w:val="24"/>
        </w:rPr>
        <w:t>nationwide</w:t>
      </w:r>
      <w:r w:rsidRPr="00F92093">
        <w:rPr>
          <w:rFonts w:ascii="Times New Roman" w:hAnsi="Times New Roman" w:cs="Times New Roman"/>
          <w:iCs/>
          <w:sz w:val="24"/>
          <w:szCs w:val="24"/>
        </w:rPr>
        <w:t>.</w:t>
      </w:r>
    </w:p>
    <w:p w14:paraId="28E1EE15" w14:textId="77777777" w:rsidR="0075094D" w:rsidRPr="0075094D" w:rsidRDefault="0075094D" w:rsidP="0075094D">
      <w:pPr>
        <w:pStyle w:val="ListParagraph"/>
        <w:spacing w:before="240"/>
        <w:ind w:left="360"/>
        <w:rPr>
          <w:rFonts w:ascii="Times New Roman" w:hAnsi="Times New Roman" w:cs="Times New Roman"/>
          <w:iCs/>
          <w:sz w:val="24"/>
          <w:szCs w:val="24"/>
        </w:rPr>
      </w:pPr>
    </w:p>
    <w:p w14:paraId="3D431C53" w14:textId="61480DC7" w:rsidR="00275CD0" w:rsidRDefault="00275CD0" w:rsidP="0075094D">
      <w:pPr>
        <w:pStyle w:val="ListParagraph"/>
        <w:numPr>
          <w:ilvl w:val="0"/>
          <w:numId w:val="31"/>
        </w:numPr>
        <w:rPr>
          <w:rFonts w:ascii="Times New Roman" w:hAnsi="Times New Roman" w:cs="Times New Roman"/>
          <w:iCs/>
          <w:sz w:val="24"/>
          <w:szCs w:val="24"/>
        </w:rPr>
      </w:pPr>
      <w:r w:rsidRPr="00F92093">
        <w:rPr>
          <w:rFonts w:ascii="Times New Roman" w:hAnsi="Times New Roman" w:cs="Times New Roman"/>
          <w:iCs/>
          <w:sz w:val="24"/>
          <w:szCs w:val="24"/>
        </w:rPr>
        <w:t xml:space="preserve">Efficiency: </w:t>
      </w:r>
      <w:r w:rsidR="005E5AE3" w:rsidRPr="00F92093">
        <w:rPr>
          <w:rFonts w:ascii="Times New Roman" w:hAnsi="Times New Roman" w:cs="Times New Roman"/>
          <w:iCs/>
          <w:sz w:val="24"/>
          <w:szCs w:val="24"/>
        </w:rPr>
        <w:t xml:space="preserve">Highly </w:t>
      </w:r>
      <w:r w:rsidRPr="00F92093">
        <w:rPr>
          <w:rFonts w:ascii="Times New Roman" w:hAnsi="Times New Roman" w:cs="Times New Roman"/>
          <w:iCs/>
          <w:sz w:val="24"/>
          <w:szCs w:val="24"/>
        </w:rPr>
        <w:t xml:space="preserve">Satisfactory. Good indicators of economic </w:t>
      </w:r>
      <w:r w:rsidR="005B4B32" w:rsidRPr="00F92093">
        <w:rPr>
          <w:rFonts w:ascii="Times New Roman" w:hAnsi="Times New Roman" w:cs="Times New Roman"/>
          <w:iCs/>
          <w:sz w:val="24"/>
          <w:szCs w:val="24"/>
        </w:rPr>
        <w:t>efficiency</w:t>
      </w:r>
      <w:r w:rsidRPr="00F92093">
        <w:rPr>
          <w:rFonts w:ascii="Times New Roman" w:hAnsi="Times New Roman" w:cs="Times New Roman"/>
          <w:iCs/>
          <w:sz w:val="24"/>
          <w:szCs w:val="24"/>
        </w:rPr>
        <w:t xml:space="preserve"> and sustainability of project impact.</w:t>
      </w:r>
    </w:p>
    <w:p w14:paraId="71558F47" w14:textId="77777777" w:rsidR="0075094D" w:rsidRPr="0075094D" w:rsidRDefault="0075094D" w:rsidP="0075094D">
      <w:pPr>
        <w:pStyle w:val="ListParagraph"/>
        <w:rPr>
          <w:rFonts w:ascii="Times New Roman" w:hAnsi="Times New Roman" w:cs="Times New Roman"/>
          <w:iCs/>
          <w:sz w:val="24"/>
          <w:szCs w:val="24"/>
        </w:rPr>
      </w:pPr>
    </w:p>
    <w:p w14:paraId="16846CFB" w14:textId="77777777" w:rsidR="0075094D" w:rsidRPr="00F92093" w:rsidRDefault="0075094D" w:rsidP="0075094D">
      <w:pPr>
        <w:pStyle w:val="ListParagraph"/>
        <w:ind w:left="360"/>
        <w:rPr>
          <w:rFonts w:ascii="Times New Roman" w:hAnsi="Times New Roman" w:cs="Times New Roman"/>
          <w:iCs/>
          <w:sz w:val="24"/>
          <w:szCs w:val="24"/>
        </w:rPr>
      </w:pPr>
    </w:p>
    <w:tbl>
      <w:tblPr>
        <w:tblStyle w:val="TableGrid"/>
        <w:tblW w:w="0" w:type="auto"/>
        <w:tblInd w:w="-98" w:type="dxa"/>
        <w:tblBorders>
          <w:top w:val="none" w:sz="0" w:space="0" w:color="auto"/>
          <w:left w:val="none" w:sz="0" w:space="0" w:color="auto"/>
          <w:bottom w:val="none" w:sz="0" w:space="0" w:color="auto"/>
          <w:right w:val="none" w:sz="0" w:space="0" w:color="auto"/>
          <w:insideH w:val="dashed" w:sz="2" w:space="0" w:color="auto"/>
          <w:insideV w:val="dashed" w:sz="2" w:space="0" w:color="auto"/>
        </w:tblBorders>
        <w:tblLook w:val="04A0" w:firstRow="1" w:lastRow="0" w:firstColumn="1" w:lastColumn="0" w:noHBand="0" w:noVBand="1"/>
      </w:tblPr>
      <w:tblGrid>
        <w:gridCol w:w="2523"/>
        <w:gridCol w:w="1402"/>
        <w:gridCol w:w="1522"/>
        <w:gridCol w:w="1651"/>
        <w:gridCol w:w="1624"/>
      </w:tblGrid>
      <w:tr w:rsidR="0038029D" w:rsidRPr="00D14206" w14:paraId="5418454B" w14:textId="77777777" w:rsidTr="002A2CFB">
        <w:trPr>
          <w:cantSplit/>
        </w:trPr>
        <w:tc>
          <w:tcPr>
            <w:tcW w:w="2523" w:type="dxa"/>
            <w:tcBorders>
              <w:top w:val="single" w:sz="6" w:space="0" w:color="auto"/>
              <w:left w:val="single" w:sz="6" w:space="0" w:color="auto"/>
              <w:bottom w:val="single" w:sz="6" w:space="0" w:color="auto"/>
            </w:tcBorders>
            <w:shd w:val="clear" w:color="auto" w:fill="DBE5F1" w:themeFill="accent1" w:themeFillTint="33"/>
            <w:vAlign w:val="center"/>
          </w:tcPr>
          <w:p w14:paraId="7AC5D34F" w14:textId="77777777" w:rsidR="0038029D" w:rsidRPr="00D14206" w:rsidRDefault="0038029D" w:rsidP="009D620A">
            <w:pPr>
              <w:contextualSpacing/>
              <w:jc w:val="center"/>
              <w:rPr>
                <w:b/>
                <w:sz w:val="18"/>
                <w:szCs w:val="18"/>
              </w:rPr>
            </w:pPr>
            <w:r w:rsidRPr="00D14206">
              <w:rPr>
                <w:b/>
                <w:sz w:val="18"/>
                <w:szCs w:val="18"/>
              </w:rPr>
              <w:lastRenderedPageBreak/>
              <w:t>Number of indicators that:</w:t>
            </w:r>
          </w:p>
        </w:tc>
        <w:tc>
          <w:tcPr>
            <w:tcW w:w="1402" w:type="dxa"/>
            <w:tcBorders>
              <w:top w:val="single" w:sz="6" w:space="0" w:color="auto"/>
              <w:bottom w:val="single" w:sz="6" w:space="0" w:color="auto"/>
            </w:tcBorders>
            <w:shd w:val="clear" w:color="auto" w:fill="DBE5F1" w:themeFill="accent1" w:themeFillTint="33"/>
            <w:vAlign w:val="center"/>
          </w:tcPr>
          <w:p w14:paraId="12486926" w14:textId="77777777" w:rsidR="0038029D" w:rsidRPr="00D14206" w:rsidRDefault="0038029D" w:rsidP="009D620A">
            <w:pPr>
              <w:contextualSpacing/>
              <w:jc w:val="center"/>
              <w:rPr>
                <w:b/>
                <w:sz w:val="18"/>
                <w:szCs w:val="18"/>
              </w:rPr>
            </w:pPr>
            <w:r>
              <w:rPr>
                <w:b/>
                <w:sz w:val="18"/>
                <w:szCs w:val="18"/>
              </w:rPr>
              <w:t xml:space="preserve">Project development objective </w:t>
            </w:r>
            <w:r w:rsidRPr="00D14206">
              <w:rPr>
                <w:b/>
                <w:sz w:val="18"/>
                <w:szCs w:val="18"/>
              </w:rPr>
              <w:t>indicators</w:t>
            </w:r>
          </w:p>
        </w:tc>
        <w:tc>
          <w:tcPr>
            <w:tcW w:w="1522" w:type="dxa"/>
            <w:tcBorders>
              <w:top w:val="single" w:sz="6" w:space="0" w:color="auto"/>
              <w:bottom w:val="single" w:sz="6" w:space="0" w:color="auto"/>
            </w:tcBorders>
            <w:shd w:val="clear" w:color="auto" w:fill="DBE5F1" w:themeFill="accent1" w:themeFillTint="33"/>
            <w:vAlign w:val="center"/>
          </w:tcPr>
          <w:p w14:paraId="7EF69C8F" w14:textId="77777777" w:rsidR="0038029D" w:rsidRPr="00D14206" w:rsidRDefault="0038029D" w:rsidP="009D620A">
            <w:pPr>
              <w:contextualSpacing/>
              <w:jc w:val="center"/>
              <w:rPr>
                <w:b/>
                <w:sz w:val="18"/>
                <w:szCs w:val="18"/>
              </w:rPr>
            </w:pPr>
            <w:r w:rsidRPr="00D14206">
              <w:rPr>
                <w:b/>
                <w:sz w:val="18"/>
                <w:szCs w:val="18"/>
              </w:rPr>
              <w:t xml:space="preserve">Indicators of </w:t>
            </w:r>
            <w:r>
              <w:rPr>
                <w:b/>
                <w:sz w:val="18"/>
                <w:szCs w:val="18"/>
              </w:rPr>
              <w:t>viability of IBLI program</w:t>
            </w:r>
          </w:p>
        </w:tc>
        <w:tc>
          <w:tcPr>
            <w:tcW w:w="1651" w:type="dxa"/>
            <w:tcBorders>
              <w:top w:val="single" w:sz="6" w:space="0" w:color="auto"/>
              <w:bottom w:val="single" w:sz="6" w:space="0" w:color="auto"/>
            </w:tcBorders>
            <w:shd w:val="clear" w:color="auto" w:fill="DBE5F1" w:themeFill="accent1" w:themeFillTint="33"/>
            <w:vAlign w:val="center"/>
          </w:tcPr>
          <w:p w14:paraId="55E11E46" w14:textId="37B9C667" w:rsidR="0038029D" w:rsidRPr="00D14206" w:rsidRDefault="0038029D" w:rsidP="009D620A">
            <w:pPr>
              <w:contextualSpacing/>
              <w:jc w:val="center"/>
              <w:rPr>
                <w:b/>
                <w:sz w:val="18"/>
                <w:szCs w:val="18"/>
              </w:rPr>
            </w:pPr>
            <w:r w:rsidRPr="00D14206">
              <w:rPr>
                <w:b/>
                <w:sz w:val="18"/>
                <w:szCs w:val="18"/>
              </w:rPr>
              <w:t>Other intermediate outcome indicators</w:t>
            </w:r>
          </w:p>
          <w:p w14:paraId="385334E1" w14:textId="77777777" w:rsidR="0038029D" w:rsidRPr="00D14206" w:rsidRDefault="0038029D" w:rsidP="009D620A">
            <w:pPr>
              <w:contextualSpacing/>
              <w:jc w:val="center"/>
              <w:rPr>
                <w:sz w:val="18"/>
                <w:szCs w:val="18"/>
              </w:rPr>
            </w:pPr>
            <w:r w:rsidRPr="00D14206">
              <w:rPr>
                <w:sz w:val="18"/>
                <w:szCs w:val="18"/>
              </w:rPr>
              <w:t>(e.g., training, risk awareness)</w:t>
            </w:r>
          </w:p>
        </w:tc>
        <w:tc>
          <w:tcPr>
            <w:tcW w:w="1624" w:type="dxa"/>
            <w:tcBorders>
              <w:top w:val="single" w:sz="6" w:space="0" w:color="auto"/>
              <w:bottom w:val="single" w:sz="6" w:space="0" w:color="auto"/>
              <w:right w:val="single" w:sz="6" w:space="0" w:color="auto"/>
            </w:tcBorders>
            <w:shd w:val="clear" w:color="auto" w:fill="DBE5F1" w:themeFill="accent1" w:themeFillTint="33"/>
            <w:vAlign w:val="center"/>
          </w:tcPr>
          <w:p w14:paraId="6B206038" w14:textId="77777777" w:rsidR="0038029D" w:rsidRPr="00D14206" w:rsidRDefault="0038029D" w:rsidP="009D620A">
            <w:pPr>
              <w:contextualSpacing/>
              <w:jc w:val="center"/>
              <w:rPr>
                <w:b/>
                <w:sz w:val="18"/>
                <w:szCs w:val="18"/>
              </w:rPr>
            </w:pPr>
            <w:r w:rsidRPr="00D14206">
              <w:rPr>
                <w:b/>
                <w:sz w:val="18"/>
                <w:szCs w:val="18"/>
              </w:rPr>
              <w:t>Share of all project indicators</w:t>
            </w:r>
          </w:p>
        </w:tc>
      </w:tr>
      <w:tr w:rsidR="0038029D" w:rsidRPr="00D14206" w14:paraId="4C1BA842" w14:textId="77777777" w:rsidTr="002A2CFB">
        <w:trPr>
          <w:cantSplit/>
        </w:trPr>
        <w:tc>
          <w:tcPr>
            <w:tcW w:w="2523" w:type="dxa"/>
            <w:tcBorders>
              <w:top w:val="single" w:sz="6" w:space="0" w:color="auto"/>
              <w:left w:val="single" w:sz="6" w:space="0" w:color="auto"/>
              <w:bottom w:val="dashed" w:sz="2" w:space="0" w:color="auto"/>
            </w:tcBorders>
          </w:tcPr>
          <w:p w14:paraId="42273F50" w14:textId="77777777" w:rsidR="0038029D" w:rsidRPr="00D14206" w:rsidRDefault="0038029D" w:rsidP="000E4859">
            <w:pPr>
              <w:spacing w:before="60"/>
              <w:jc w:val="center"/>
            </w:pPr>
            <w:r w:rsidRPr="00D14206">
              <w:t>Surpassed target</w:t>
            </w:r>
          </w:p>
        </w:tc>
        <w:tc>
          <w:tcPr>
            <w:tcW w:w="1402" w:type="dxa"/>
            <w:tcBorders>
              <w:top w:val="single" w:sz="6" w:space="0" w:color="auto"/>
            </w:tcBorders>
          </w:tcPr>
          <w:p w14:paraId="76B4BD92" w14:textId="77777777" w:rsidR="0038029D" w:rsidRPr="00D14206" w:rsidRDefault="0038029D" w:rsidP="009D620A">
            <w:pPr>
              <w:spacing w:before="60"/>
              <w:jc w:val="center"/>
            </w:pPr>
            <w:r>
              <w:t>2</w:t>
            </w:r>
          </w:p>
        </w:tc>
        <w:tc>
          <w:tcPr>
            <w:tcW w:w="1522" w:type="dxa"/>
            <w:tcBorders>
              <w:top w:val="single" w:sz="6" w:space="0" w:color="auto"/>
            </w:tcBorders>
          </w:tcPr>
          <w:p w14:paraId="0ED97E42" w14:textId="77777777" w:rsidR="0038029D" w:rsidRPr="00D14206" w:rsidRDefault="0038029D" w:rsidP="009D620A">
            <w:pPr>
              <w:spacing w:before="60"/>
              <w:jc w:val="center"/>
            </w:pPr>
            <w:r>
              <w:t>2</w:t>
            </w:r>
          </w:p>
        </w:tc>
        <w:tc>
          <w:tcPr>
            <w:tcW w:w="1651" w:type="dxa"/>
            <w:tcBorders>
              <w:top w:val="single" w:sz="6" w:space="0" w:color="auto"/>
            </w:tcBorders>
          </w:tcPr>
          <w:p w14:paraId="48CD52F6" w14:textId="77777777" w:rsidR="0038029D" w:rsidRPr="00D14206" w:rsidRDefault="0038029D" w:rsidP="009D620A">
            <w:pPr>
              <w:spacing w:before="60"/>
              <w:jc w:val="center"/>
            </w:pPr>
            <w:r>
              <w:t>2</w:t>
            </w:r>
          </w:p>
        </w:tc>
        <w:tc>
          <w:tcPr>
            <w:tcW w:w="1624" w:type="dxa"/>
            <w:tcBorders>
              <w:top w:val="single" w:sz="6" w:space="0" w:color="auto"/>
              <w:bottom w:val="dashed" w:sz="2" w:space="0" w:color="auto"/>
              <w:right w:val="single" w:sz="6" w:space="0" w:color="auto"/>
            </w:tcBorders>
            <w:vAlign w:val="bottom"/>
          </w:tcPr>
          <w:p w14:paraId="07F48EEC" w14:textId="77777777" w:rsidR="0038029D" w:rsidRPr="00D14206" w:rsidRDefault="0038029D" w:rsidP="000E4859">
            <w:pPr>
              <w:spacing w:before="60"/>
              <w:ind w:right="630"/>
              <w:jc w:val="center"/>
              <w:rPr>
                <w:b/>
              </w:rPr>
            </w:pPr>
            <w:r>
              <w:rPr>
                <w:b/>
              </w:rPr>
              <w:t>55%</w:t>
            </w:r>
          </w:p>
        </w:tc>
      </w:tr>
      <w:tr w:rsidR="0038029D" w:rsidRPr="00D14206" w14:paraId="34959E8E" w14:textId="77777777" w:rsidTr="002A2CFB">
        <w:trPr>
          <w:cantSplit/>
        </w:trPr>
        <w:tc>
          <w:tcPr>
            <w:tcW w:w="2523" w:type="dxa"/>
            <w:tcBorders>
              <w:top w:val="dashed" w:sz="2" w:space="0" w:color="auto"/>
              <w:left w:val="single" w:sz="6" w:space="0" w:color="auto"/>
              <w:bottom w:val="dashed" w:sz="2" w:space="0" w:color="auto"/>
            </w:tcBorders>
          </w:tcPr>
          <w:p w14:paraId="5C12D27A" w14:textId="77777777" w:rsidR="0038029D" w:rsidRPr="00D14206" w:rsidRDefault="0038029D" w:rsidP="000E4859">
            <w:pPr>
              <w:spacing w:before="60"/>
              <w:jc w:val="center"/>
            </w:pPr>
            <w:r w:rsidRPr="00D14206">
              <w:t>Fully achieved target</w:t>
            </w:r>
          </w:p>
        </w:tc>
        <w:tc>
          <w:tcPr>
            <w:tcW w:w="1402" w:type="dxa"/>
          </w:tcPr>
          <w:p w14:paraId="59217EBE" w14:textId="77777777" w:rsidR="0038029D" w:rsidRPr="00D14206" w:rsidRDefault="0038029D" w:rsidP="009D620A">
            <w:pPr>
              <w:spacing w:before="60"/>
              <w:jc w:val="center"/>
            </w:pPr>
            <w:r>
              <w:t>1</w:t>
            </w:r>
          </w:p>
        </w:tc>
        <w:tc>
          <w:tcPr>
            <w:tcW w:w="1522" w:type="dxa"/>
          </w:tcPr>
          <w:p w14:paraId="7508127E" w14:textId="77777777" w:rsidR="0038029D" w:rsidRPr="00D14206" w:rsidRDefault="0038029D" w:rsidP="009D620A">
            <w:pPr>
              <w:spacing w:before="60"/>
              <w:jc w:val="center"/>
            </w:pPr>
            <w:r>
              <w:t>2</w:t>
            </w:r>
          </w:p>
        </w:tc>
        <w:tc>
          <w:tcPr>
            <w:tcW w:w="1651" w:type="dxa"/>
          </w:tcPr>
          <w:p w14:paraId="51BA52F3" w14:textId="77777777" w:rsidR="0038029D" w:rsidRPr="00D14206" w:rsidRDefault="0038029D" w:rsidP="009D620A">
            <w:pPr>
              <w:spacing w:before="60"/>
              <w:jc w:val="center"/>
            </w:pPr>
            <w:r>
              <w:t>1</w:t>
            </w:r>
          </w:p>
        </w:tc>
        <w:tc>
          <w:tcPr>
            <w:tcW w:w="1624" w:type="dxa"/>
            <w:tcBorders>
              <w:top w:val="dashed" w:sz="2" w:space="0" w:color="auto"/>
              <w:bottom w:val="dashed" w:sz="2" w:space="0" w:color="auto"/>
              <w:right w:val="single" w:sz="6" w:space="0" w:color="auto"/>
            </w:tcBorders>
            <w:vAlign w:val="bottom"/>
          </w:tcPr>
          <w:p w14:paraId="740D12C2" w14:textId="77777777" w:rsidR="0038029D" w:rsidRPr="00D14206" w:rsidRDefault="0038029D" w:rsidP="000E4859">
            <w:pPr>
              <w:spacing w:before="60"/>
              <w:ind w:right="630"/>
              <w:jc w:val="center"/>
              <w:rPr>
                <w:b/>
              </w:rPr>
            </w:pPr>
            <w:r>
              <w:rPr>
                <w:b/>
              </w:rPr>
              <w:t>36%</w:t>
            </w:r>
          </w:p>
        </w:tc>
      </w:tr>
      <w:tr w:rsidR="0038029D" w:rsidRPr="00D14206" w14:paraId="77C21980" w14:textId="77777777" w:rsidTr="002A2CFB">
        <w:trPr>
          <w:cantSplit/>
        </w:trPr>
        <w:tc>
          <w:tcPr>
            <w:tcW w:w="2523" w:type="dxa"/>
            <w:tcBorders>
              <w:top w:val="dashed" w:sz="2" w:space="0" w:color="auto"/>
              <w:left w:val="single" w:sz="6" w:space="0" w:color="auto"/>
              <w:bottom w:val="dashed" w:sz="2" w:space="0" w:color="auto"/>
            </w:tcBorders>
          </w:tcPr>
          <w:p w14:paraId="6AF06DA6" w14:textId="77777777" w:rsidR="0038029D" w:rsidRPr="00D14206" w:rsidRDefault="0038029D" w:rsidP="000E4859">
            <w:pPr>
              <w:spacing w:before="60"/>
              <w:jc w:val="center"/>
            </w:pPr>
            <w:r w:rsidRPr="00D14206">
              <w:t>Partly achieved target</w:t>
            </w:r>
          </w:p>
        </w:tc>
        <w:tc>
          <w:tcPr>
            <w:tcW w:w="1402" w:type="dxa"/>
            <w:tcBorders>
              <w:bottom w:val="dashed" w:sz="2" w:space="0" w:color="auto"/>
            </w:tcBorders>
          </w:tcPr>
          <w:p w14:paraId="24AB5EC2" w14:textId="77777777" w:rsidR="0038029D" w:rsidRPr="00D14206" w:rsidRDefault="0038029D" w:rsidP="009D620A">
            <w:pPr>
              <w:spacing w:before="60"/>
              <w:jc w:val="center"/>
            </w:pPr>
            <w:r>
              <w:t>0</w:t>
            </w:r>
          </w:p>
        </w:tc>
        <w:tc>
          <w:tcPr>
            <w:tcW w:w="1522" w:type="dxa"/>
            <w:tcBorders>
              <w:bottom w:val="dashed" w:sz="2" w:space="0" w:color="auto"/>
            </w:tcBorders>
          </w:tcPr>
          <w:p w14:paraId="5D5F1037" w14:textId="77777777" w:rsidR="0038029D" w:rsidRPr="00D14206" w:rsidRDefault="0038029D" w:rsidP="009D620A">
            <w:pPr>
              <w:spacing w:before="60"/>
              <w:jc w:val="center"/>
            </w:pPr>
            <w:r>
              <w:t>0</w:t>
            </w:r>
          </w:p>
        </w:tc>
        <w:tc>
          <w:tcPr>
            <w:tcW w:w="1651" w:type="dxa"/>
            <w:tcBorders>
              <w:bottom w:val="dashed" w:sz="2" w:space="0" w:color="auto"/>
            </w:tcBorders>
          </w:tcPr>
          <w:p w14:paraId="22FE02B9" w14:textId="77777777" w:rsidR="0038029D" w:rsidRPr="00D14206" w:rsidRDefault="0038029D" w:rsidP="009D620A">
            <w:pPr>
              <w:spacing w:before="60"/>
              <w:jc w:val="center"/>
            </w:pPr>
            <w:r>
              <w:t>1</w:t>
            </w:r>
          </w:p>
        </w:tc>
        <w:tc>
          <w:tcPr>
            <w:tcW w:w="1624" w:type="dxa"/>
            <w:tcBorders>
              <w:top w:val="dashed" w:sz="2" w:space="0" w:color="auto"/>
              <w:bottom w:val="dashed" w:sz="2" w:space="0" w:color="auto"/>
              <w:right w:val="single" w:sz="6" w:space="0" w:color="auto"/>
            </w:tcBorders>
            <w:vAlign w:val="bottom"/>
          </w:tcPr>
          <w:p w14:paraId="05BB2689" w14:textId="77777777" w:rsidR="0038029D" w:rsidRPr="00D14206" w:rsidRDefault="0038029D" w:rsidP="000E4859">
            <w:pPr>
              <w:spacing w:before="60"/>
              <w:ind w:right="630"/>
              <w:jc w:val="center"/>
              <w:rPr>
                <w:b/>
              </w:rPr>
            </w:pPr>
            <w:r>
              <w:rPr>
                <w:b/>
              </w:rPr>
              <w:t>9%</w:t>
            </w:r>
          </w:p>
        </w:tc>
      </w:tr>
      <w:tr w:rsidR="0038029D" w:rsidRPr="00D14206" w14:paraId="6588287C" w14:textId="77777777" w:rsidTr="002A2CFB">
        <w:trPr>
          <w:cantSplit/>
        </w:trPr>
        <w:tc>
          <w:tcPr>
            <w:tcW w:w="2523" w:type="dxa"/>
            <w:tcBorders>
              <w:top w:val="dashed" w:sz="2" w:space="0" w:color="auto"/>
              <w:left w:val="single" w:sz="6" w:space="0" w:color="auto"/>
              <w:bottom w:val="single" w:sz="6" w:space="0" w:color="auto"/>
            </w:tcBorders>
          </w:tcPr>
          <w:p w14:paraId="6C594B7E" w14:textId="77777777" w:rsidR="0038029D" w:rsidRPr="00D14206" w:rsidRDefault="0038029D" w:rsidP="000E4859">
            <w:pPr>
              <w:spacing w:before="60"/>
              <w:jc w:val="center"/>
            </w:pPr>
            <w:r w:rsidRPr="00D14206">
              <w:t>Target not applicable</w:t>
            </w:r>
          </w:p>
        </w:tc>
        <w:tc>
          <w:tcPr>
            <w:tcW w:w="1402" w:type="dxa"/>
            <w:tcBorders>
              <w:top w:val="dashed" w:sz="2" w:space="0" w:color="auto"/>
              <w:bottom w:val="single" w:sz="6" w:space="0" w:color="auto"/>
            </w:tcBorders>
          </w:tcPr>
          <w:p w14:paraId="38B214B0" w14:textId="77777777" w:rsidR="0038029D" w:rsidRPr="00D14206" w:rsidRDefault="0038029D" w:rsidP="009D620A">
            <w:pPr>
              <w:spacing w:before="60"/>
              <w:jc w:val="center"/>
            </w:pPr>
            <w:r>
              <w:t>0</w:t>
            </w:r>
          </w:p>
        </w:tc>
        <w:tc>
          <w:tcPr>
            <w:tcW w:w="1522" w:type="dxa"/>
            <w:tcBorders>
              <w:top w:val="dashed" w:sz="2" w:space="0" w:color="auto"/>
              <w:bottom w:val="single" w:sz="6" w:space="0" w:color="auto"/>
            </w:tcBorders>
          </w:tcPr>
          <w:p w14:paraId="22D07DC7" w14:textId="77777777" w:rsidR="0038029D" w:rsidRPr="00D14206" w:rsidRDefault="0038029D" w:rsidP="009D620A">
            <w:pPr>
              <w:spacing w:before="60"/>
              <w:jc w:val="center"/>
            </w:pPr>
            <w:r>
              <w:t>0</w:t>
            </w:r>
          </w:p>
        </w:tc>
        <w:tc>
          <w:tcPr>
            <w:tcW w:w="1651" w:type="dxa"/>
            <w:tcBorders>
              <w:top w:val="dashed" w:sz="2" w:space="0" w:color="auto"/>
              <w:bottom w:val="single" w:sz="6" w:space="0" w:color="auto"/>
            </w:tcBorders>
          </w:tcPr>
          <w:p w14:paraId="33760CF7" w14:textId="77777777" w:rsidR="0038029D" w:rsidRPr="00D14206" w:rsidRDefault="0038029D" w:rsidP="009D620A">
            <w:pPr>
              <w:spacing w:before="60"/>
              <w:jc w:val="center"/>
            </w:pPr>
            <w:r>
              <w:t>0</w:t>
            </w:r>
          </w:p>
        </w:tc>
        <w:tc>
          <w:tcPr>
            <w:tcW w:w="1624" w:type="dxa"/>
            <w:tcBorders>
              <w:top w:val="dashed" w:sz="2" w:space="0" w:color="auto"/>
              <w:bottom w:val="single" w:sz="6" w:space="0" w:color="auto"/>
              <w:right w:val="single" w:sz="6" w:space="0" w:color="auto"/>
            </w:tcBorders>
            <w:vAlign w:val="bottom"/>
          </w:tcPr>
          <w:p w14:paraId="52DC391E" w14:textId="77777777" w:rsidR="0038029D" w:rsidRPr="00D14206" w:rsidRDefault="0038029D" w:rsidP="000E4859">
            <w:pPr>
              <w:spacing w:before="60"/>
              <w:ind w:right="630"/>
              <w:jc w:val="center"/>
              <w:rPr>
                <w:b/>
              </w:rPr>
            </w:pPr>
            <w:r>
              <w:rPr>
                <w:b/>
              </w:rPr>
              <w:t>0</w:t>
            </w:r>
          </w:p>
        </w:tc>
      </w:tr>
    </w:tbl>
    <w:p w14:paraId="7CF271E6" w14:textId="77777777" w:rsidR="005A4EF0" w:rsidRDefault="005A4EF0" w:rsidP="005A4EF0">
      <w:pPr>
        <w:pStyle w:val="Caption"/>
        <w:spacing w:after="0"/>
        <w:jc w:val="center"/>
        <w:rPr>
          <w:b/>
          <w:i w:val="0"/>
          <w:color w:val="000000" w:themeColor="text1"/>
        </w:rPr>
      </w:pPr>
      <w:bookmarkStart w:id="143" w:name="_Ref456789975"/>
    </w:p>
    <w:p w14:paraId="7AE82096" w14:textId="1377FB5A" w:rsidR="0038029D" w:rsidRPr="005A4EF0" w:rsidRDefault="001833D0" w:rsidP="000E4859">
      <w:pPr>
        <w:pStyle w:val="Caption"/>
        <w:jc w:val="center"/>
        <w:rPr>
          <w:iCs w:val="0"/>
          <w:color w:val="000000" w:themeColor="text1"/>
        </w:rPr>
      </w:pPr>
      <w:r w:rsidRPr="005A4EF0">
        <w:rPr>
          <w:i w:val="0"/>
          <w:color w:val="000000" w:themeColor="text1"/>
        </w:rPr>
        <w:t xml:space="preserve">Table </w:t>
      </w:r>
      <w:bookmarkEnd w:id="143"/>
      <w:r w:rsidR="005A4EF0" w:rsidRPr="005A4EF0">
        <w:rPr>
          <w:i w:val="0"/>
          <w:color w:val="000000" w:themeColor="text1"/>
        </w:rPr>
        <w:t>4</w:t>
      </w:r>
      <w:r w:rsidRPr="005A4EF0">
        <w:t xml:space="preserve"> </w:t>
      </w:r>
      <w:r w:rsidRPr="005A4EF0">
        <w:rPr>
          <w:i w:val="0"/>
          <w:color w:val="000000" w:themeColor="text1"/>
        </w:rPr>
        <w:t>Project outcomes: nearly all targets surpassed or met—IBLI--pilot</w:t>
      </w:r>
    </w:p>
    <w:p w14:paraId="51DB1460" w14:textId="77777777" w:rsidR="002A12B8" w:rsidRDefault="00BF6598" w:rsidP="00F92093">
      <w:pPr>
        <w:numPr>
          <w:ilvl w:val="0"/>
          <w:numId w:val="2"/>
        </w:numPr>
        <w:tabs>
          <w:tab w:val="num" w:pos="0"/>
        </w:tabs>
        <w:ind w:left="0" w:firstLine="0"/>
        <w:rPr>
          <w:iCs/>
        </w:rPr>
      </w:pPr>
      <w:r w:rsidRPr="007E3EC9">
        <w:rPr>
          <w:b/>
          <w:iCs/>
        </w:rPr>
        <w:t>The Overall Outcome Rating of IBLI-AF is Highly Satisfactory</w:t>
      </w:r>
      <w:r>
        <w:rPr>
          <w:iCs/>
        </w:rPr>
        <w:t xml:space="preserve">. </w:t>
      </w:r>
      <w:bookmarkStart w:id="144" w:name="RAT34"/>
      <w:bookmarkEnd w:id="144"/>
      <w:r w:rsidR="004467F2" w:rsidRPr="005B4B32">
        <w:rPr>
          <w:iCs/>
          <w:color w:val="000000"/>
        </w:rPr>
        <w:t>The</w:t>
      </w:r>
      <w:r w:rsidR="004467F2" w:rsidRPr="005B4B32">
        <w:rPr>
          <w:iCs/>
        </w:rPr>
        <w:t xml:space="preserve"> </w:t>
      </w:r>
      <w:r w:rsidR="004467F2" w:rsidRPr="00275CD0">
        <w:rPr>
          <w:iCs/>
        </w:rPr>
        <w:t xml:space="preserve">overall outcome rating of </w:t>
      </w:r>
      <w:r w:rsidR="004467F2">
        <w:rPr>
          <w:iCs/>
        </w:rPr>
        <w:t xml:space="preserve">Highly </w:t>
      </w:r>
      <w:r w:rsidR="004467F2" w:rsidRPr="00275CD0">
        <w:rPr>
          <w:iCs/>
        </w:rPr>
        <w:t xml:space="preserve">Satisfactory is based on the </w:t>
      </w:r>
      <w:r w:rsidR="004467F2">
        <w:rPr>
          <w:iCs/>
        </w:rPr>
        <w:t xml:space="preserve">Highly </w:t>
      </w:r>
      <w:r w:rsidR="004467F2" w:rsidRPr="00275CD0">
        <w:rPr>
          <w:iCs/>
        </w:rPr>
        <w:t>Satisfactory achievement of the following:</w:t>
      </w:r>
    </w:p>
    <w:p w14:paraId="35823334" w14:textId="5CA97506" w:rsidR="004467F2" w:rsidRDefault="004467F2" w:rsidP="002A12B8">
      <w:pPr>
        <w:rPr>
          <w:iCs/>
        </w:rPr>
      </w:pPr>
      <w:r>
        <w:rPr>
          <w:iCs/>
        </w:rPr>
        <w:t xml:space="preserve"> </w:t>
      </w:r>
    </w:p>
    <w:p w14:paraId="4CBDBDEB" w14:textId="77777777" w:rsidR="00F92093" w:rsidRDefault="004467F2" w:rsidP="00023288">
      <w:pPr>
        <w:pStyle w:val="ListParagraph"/>
        <w:numPr>
          <w:ilvl w:val="0"/>
          <w:numId w:val="31"/>
        </w:numPr>
        <w:rPr>
          <w:rFonts w:ascii="Times New Roman" w:hAnsi="Times New Roman" w:cs="Times New Roman"/>
          <w:iCs/>
          <w:sz w:val="24"/>
          <w:szCs w:val="24"/>
        </w:rPr>
      </w:pPr>
      <w:r w:rsidRPr="00F92093">
        <w:rPr>
          <w:rFonts w:ascii="Times New Roman" w:hAnsi="Times New Roman" w:cs="Times New Roman"/>
          <w:iCs/>
          <w:sz w:val="24"/>
          <w:szCs w:val="24"/>
        </w:rPr>
        <w:t xml:space="preserve">PDO achievement: High. The project more than achieved the PDO, based on data from ISRs, Government reporting, and the two IEs. All PDO indicators and nearly all intermediate indicators were met or exceeded. Targets for many indicators of system performance were surpassed (Table </w:t>
      </w:r>
      <w:r w:rsidR="00DE0963" w:rsidRPr="00F92093">
        <w:rPr>
          <w:rFonts w:ascii="Times New Roman" w:hAnsi="Times New Roman" w:cs="Times New Roman"/>
          <w:iCs/>
          <w:sz w:val="24"/>
          <w:szCs w:val="24"/>
        </w:rPr>
        <w:t>2</w:t>
      </w:r>
      <w:r w:rsidRPr="00F92093">
        <w:rPr>
          <w:rFonts w:ascii="Times New Roman" w:hAnsi="Times New Roman" w:cs="Times New Roman"/>
          <w:iCs/>
          <w:sz w:val="24"/>
          <w:szCs w:val="24"/>
        </w:rPr>
        <w:t xml:space="preserve">). </w:t>
      </w:r>
    </w:p>
    <w:p w14:paraId="1EA50F9C" w14:textId="71231CE7" w:rsidR="00E44915" w:rsidRPr="00F92093" w:rsidRDefault="00F92093" w:rsidP="00F92093">
      <w:pPr>
        <w:pStyle w:val="ListParagraph"/>
        <w:numPr>
          <w:ilvl w:val="0"/>
          <w:numId w:val="31"/>
        </w:numPr>
        <w:spacing w:after="0"/>
        <w:rPr>
          <w:rFonts w:ascii="Times New Roman" w:hAnsi="Times New Roman" w:cs="Times New Roman"/>
          <w:iCs/>
          <w:sz w:val="24"/>
          <w:szCs w:val="24"/>
        </w:rPr>
      </w:pPr>
      <w:r>
        <w:rPr>
          <w:rFonts w:ascii="Times New Roman" w:hAnsi="Times New Roman" w:cs="Times New Roman"/>
          <w:iCs/>
          <w:sz w:val="24"/>
          <w:szCs w:val="24"/>
        </w:rPr>
        <w:t>E</w:t>
      </w:r>
      <w:r w:rsidR="00E44915" w:rsidRPr="00F92093">
        <w:rPr>
          <w:rFonts w:ascii="Times New Roman" w:hAnsi="Times New Roman" w:cs="Times New Roman"/>
          <w:iCs/>
          <w:sz w:val="24"/>
          <w:szCs w:val="24"/>
        </w:rPr>
        <w:t xml:space="preserve">videnced rapid and accurate payments to insured herders in the event of dzuds, vast improvements in the livestock data collection and management system nationally in Mongolia, increased understanding and awareness of insurance among the herder population, sustained (and profitable) engagement from private sector insurance companies, the passing of the IBLI law in June 2014, the establishment and capitalization of the AgRe to manage the program going forward. </w:t>
      </w:r>
    </w:p>
    <w:p w14:paraId="77473044" w14:textId="77777777" w:rsidR="004C54D5" w:rsidRDefault="004C54D5" w:rsidP="00F92093">
      <w:pPr>
        <w:rPr>
          <w:iCs/>
        </w:rPr>
      </w:pPr>
    </w:p>
    <w:p w14:paraId="59498EED" w14:textId="3FC389A3" w:rsidR="004467F2" w:rsidRDefault="004467F2" w:rsidP="00F92093">
      <w:pPr>
        <w:numPr>
          <w:ilvl w:val="0"/>
          <w:numId w:val="2"/>
        </w:numPr>
        <w:ind w:left="0" w:firstLine="0"/>
        <w:rPr>
          <w:iCs/>
        </w:rPr>
      </w:pPr>
      <w:r w:rsidRPr="004170FA">
        <w:rPr>
          <w:iCs/>
        </w:rPr>
        <w:t xml:space="preserve">The outcome stands out as clearly satisfactory within the </w:t>
      </w:r>
      <w:r w:rsidR="004A2C28">
        <w:rPr>
          <w:iCs/>
        </w:rPr>
        <w:t xml:space="preserve">country and project parameter. </w:t>
      </w:r>
      <w:r w:rsidRPr="004170FA">
        <w:rPr>
          <w:iCs/>
        </w:rPr>
        <w:t xml:space="preserve">While modest, the investments were highly innovative and therefore challenging technically and managerially – and these challenges were met in a way that has been, and can continue to serve as, an example to follow in other countries. </w:t>
      </w:r>
    </w:p>
    <w:p w14:paraId="182B9822" w14:textId="77777777" w:rsidR="00653F0C" w:rsidRDefault="00653F0C" w:rsidP="00653F0C">
      <w:pPr>
        <w:rPr>
          <w:iCs/>
        </w:rPr>
      </w:pPr>
    </w:p>
    <w:p w14:paraId="7F08E9C5" w14:textId="5C15264F" w:rsidR="002420B3" w:rsidRDefault="002420B3" w:rsidP="00F92093">
      <w:pPr>
        <w:numPr>
          <w:ilvl w:val="0"/>
          <w:numId w:val="2"/>
        </w:numPr>
        <w:ind w:left="0" w:firstLine="0"/>
        <w:rPr>
          <w:iCs/>
        </w:rPr>
      </w:pPr>
      <w:r>
        <w:rPr>
          <w:iCs/>
        </w:rPr>
        <w:t>The innovative nature of the project concept led to a need to continually adjust and refine the approach over time.  This in turn led to the long project period (approx. 10 years).  Furthermore, the ICR team acknowledge that approx. US$7.5 million of project resources remain undisbursed at project completion.  It should be noted that these resources were allocated to the (innovative) CDF, which would only be disbursed in the event of a catastrophic dzud.</w:t>
      </w:r>
      <w:r w:rsidR="00653F0C">
        <w:rPr>
          <w:iCs/>
        </w:rPr>
        <w:t xml:space="preserve"> </w:t>
      </w:r>
      <w:r>
        <w:rPr>
          <w:iCs/>
        </w:rPr>
        <w:t xml:space="preserve"> Fortunately for Mongolia (and perhaps unfortunately for the disbursement schedule), no such event occurred and thus these resources were not drawn down. However, the very fact that the CDF existed enabled GoM to further expand access to IBLI, confident in the knowledge that those resources were available in the event of large </w:t>
      </w:r>
      <w:r w:rsidR="00FC4E67">
        <w:rPr>
          <w:iCs/>
        </w:rPr>
        <w:t>payouts.</w:t>
      </w:r>
    </w:p>
    <w:p w14:paraId="011392F9" w14:textId="77777777" w:rsidR="004C54D5" w:rsidRDefault="004C54D5" w:rsidP="00F92093">
      <w:pPr>
        <w:rPr>
          <w:iCs/>
        </w:rPr>
      </w:pPr>
    </w:p>
    <w:p w14:paraId="754F2D95" w14:textId="3D809C0F" w:rsidR="00983BFE" w:rsidRDefault="00983BFE" w:rsidP="00F92093">
      <w:pPr>
        <w:numPr>
          <w:ilvl w:val="0"/>
          <w:numId w:val="2"/>
        </w:numPr>
        <w:ind w:left="0" w:firstLine="0"/>
        <w:rPr>
          <w:iCs/>
        </w:rPr>
      </w:pPr>
      <w:r w:rsidRPr="004170FA">
        <w:rPr>
          <w:iCs/>
        </w:rPr>
        <w:t>The systemic capacity improvements occurred over a prolonged and sustained time period to ensure ongoing sustainability of IBLI upon completion of the project.  These investments have led to the development of an insurance program which can effectively manage the financial costs of catastrophe risk, which otherwise would have severe negative effects on the government</w:t>
      </w:r>
      <w:r>
        <w:rPr>
          <w:iCs/>
        </w:rPr>
        <w:t>.</w:t>
      </w:r>
    </w:p>
    <w:p w14:paraId="66FA0E15" w14:textId="77777777" w:rsidR="004C54D5" w:rsidRDefault="004C54D5" w:rsidP="00F92093">
      <w:pPr>
        <w:rPr>
          <w:iCs/>
        </w:rPr>
      </w:pPr>
    </w:p>
    <w:p w14:paraId="21FB1B3E" w14:textId="77777777" w:rsidR="004C54D5" w:rsidRPr="005A4EF0" w:rsidRDefault="004467F2" w:rsidP="00F92093">
      <w:pPr>
        <w:rPr>
          <w:b/>
          <w:iCs/>
        </w:rPr>
      </w:pPr>
      <w:r w:rsidRPr="005A4EF0">
        <w:rPr>
          <w:b/>
          <w:iCs/>
        </w:rPr>
        <w:t>Relevance of objectives, design and implementation: High Relevance</w:t>
      </w:r>
      <w:r w:rsidRPr="005A4EF0">
        <w:rPr>
          <w:b/>
        </w:rPr>
        <w:t xml:space="preserve">. </w:t>
      </w:r>
    </w:p>
    <w:p w14:paraId="67AE8C67" w14:textId="3950CFC6" w:rsidR="00E44915" w:rsidRDefault="004467F2" w:rsidP="00F92093">
      <w:pPr>
        <w:numPr>
          <w:ilvl w:val="0"/>
          <w:numId w:val="2"/>
        </w:numPr>
        <w:ind w:left="0" w:firstLine="0"/>
        <w:rPr>
          <w:iCs/>
        </w:rPr>
      </w:pPr>
      <w:r w:rsidRPr="004170FA">
        <w:rPr>
          <w:iCs/>
        </w:rPr>
        <w:t>The Project was and remains highly relevant</w:t>
      </w:r>
      <w:r>
        <w:rPr>
          <w:iCs/>
        </w:rPr>
        <w:t xml:space="preserve">. It </w:t>
      </w:r>
      <w:r w:rsidRPr="004467F2">
        <w:rPr>
          <w:iCs/>
        </w:rPr>
        <w:t>was aligned to the government’s plan, the legal framework and country capacity and financial infrastructure</w:t>
      </w:r>
      <w:r w:rsidR="0038029D">
        <w:rPr>
          <w:iCs/>
        </w:rPr>
        <w:t xml:space="preserve">. The GoM </w:t>
      </w:r>
      <w:r w:rsidR="0038029D" w:rsidRPr="0038029D">
        <w:rPr>
          <w:iCs/>
        </w:rPr>
        <w:t>showed consistency over the decade of the project in its support and dedication to establish the IBLI program to provide critical financial assistance to herders in the aftermath of disas</w:t>
      </w:r>
      <w:r w:rsidR="00F04891">
        <w:rPr>
          <w:iCs/>
        </w:rPr>
        <w:t xml:space="preserve">ters to protect their welfare. </w:t>
      </w:r>
      <w:r w:rsidR="0038029D" w:rsidRPr="0038029D">
        <w:rPr>
          <w:iCs/>
        </w:rPr>
        <w:t xml:space="preserve">Developing such ex-ante mechanisms is time consuming, costly and requires specialist expertise as well as long term commitment, which has made the failure rate of such programs high in other countries. Unlike the vast majority of developing countries, under IBLI Mongolia succeeded in implementing a sustainable index based insurance program that is superior to, and far less costly than, coping with the aftermath of a disaster ex-post. It is a tribute to the commitment and sound policy-making of the </w:t>
      </w:r>
      <w:r w:rsidR="0038029D">
        <w:rPr>
          <w:iCs/>
        </w:rPr>
        <w:t xml:space="preserve">GoM </w:t>
      </w:r>
      <w:r w:rsidR="0038029D" w:rsidRPr="0038029D">
        <w:rPr>
          <w:iCs/>
        </w:rPr>
        <w:t>that the investments in capacities were pursued over the long time horizon of the project, and then institutionalized through the passing of the IBLI law as well as the establishment of the AgRe.</w:t>
      </w:r>
    </w:p>
    <w:p w14:paraId="3E237429" w14:textId="77777777" w:rsidR="00E44915" w:rsidRPr="00E44915" w:rsidRDefault="00E44915" w:rsidP="00F92093">
      <w:pPr>
        <w:rPr>
          <w:iCs/>
        </w:rPr>
      </w:pPr>
    </w:p>
    <w:p w14:paraId="21D96934" w14:textId="77777777" w:rsidR="00C55FC7" w:rsidRPr="005A4EF0" w:rsidRDefault="004467F2" w:rsidP="00F92093">
      <w:pPr>
        <w:rPr>
          <w:b/>
          <w:iCs/>
        </w:rPr>
      </w:pPr>
      <w:r w:rsidRPr="005A4EF0">
        <w:rPr>
          <w:b/>
          <w:iCs/>
        </w:rPr>
        <w:t xml:space="preserve">Efficiency: Highly Satisfactory. </w:t>
      </w:r>
    </w:p>
    <w:p w14:paraId="01765176" w14:textId="2CA5AD7C" w:rsidR="00E44915" w:rsidRDefault="004467F2" w:rsidP="00F92093">
      <w:pPr>
        <w:numPr>
          <w:ilvl w:val="0"/>
          <w:numId w:val="2"/>
        </w:numPr>
        <w:tabs>
          <w:tab w:val="num" w:pos="0"/>
        </w:tabs>
        <w:ind w:left="0" w:firstLine="0"/>
        <w:rPr>
          <w:iCs/>
        </w:rPr>
      </w:pPr>
      <w:r w:rsidRPr="00275CD0">
        <w:rPr>
          <w:iCs/>
        </w:rPr>
        <w:t>Good indicators of economic efficiency and sustainability of project</w:t>
      </w:r>
      <w:r>
        <w:rPr>
          <w:iCs/>
        </w:rPr>
        <w:t xml:space="preserve"> </w:t>
      </w:r>
      <w:r w:rsidRPr="00275CD0">
        <w:rPr>
          <w:iCs/>
        </w:rPr>
        <w:t>impact</w:t>
      </w:r>
      <w:r>
        <w:rPr>
          <w:iCs/>
        </w:rPr>
        <w:t>. V</w:t>
      </w:r>
      <w:r w:rsidRPr="004170FA">
        <w:rPr>
          <w:iCs/>
        </w:rPr>
        <w:t>ery high economic and welfare benefits were generated by modest investments in developing national capacity and a supportive institutional infrastructure</w:t>
      </w:r>
      <w:r>
        <w:rPr>
          <w:iCs/>
        </w:rPr>
        <w:t>.</w:t>
      </w:r>
      <w:r w:rsidR="00E44915" w:rsidRPr="00E44915">
        <w:rPr>
          <w:iCs/>
        </w:rPr>
        <w:t xml:space="preserve"> </w:t>
      </w:r>
    </w:p>
    <w:p w14:paraId="0DC20EEC" w14:textId="77777777" w:rsidR="00C55FC7" w:rsidRDefault="00C55FC7" w:rsidP="00F92093">
      <w:pPr>
        <w:rPr>
          <w:iCs/>
        </w:rPr>
      </w:pPr>
    </w:p>
    <w:p w14:paraId="25EBAE72" w14:textId="57720D77" w:rsidR="003C1F5C" w:rsidRDefault="00E44915" w:rsidP="00F92093">
      <w:pPr>
        <w:numPr>
          <w:ilvl w:val="0"/>
          <w:numId w:val="2"/>
        </w:numPr>
        <w:ind w:left="0" w:firstLine="0"/>
        <w:rPr>
          <w:iCs/>
        </w:rPr>
      </w:pPr>
      <w:r w:rsidRPr="00E44915">
        <w:rPr>
          <w:iCs/>
        </w:rPr>
        <w:t>Finally, the</w:t>
      </w:r>
      <w:r w:rsidR="002F6198">
        <w:rPr>
          <w:iCs/>
        </w:rPr>
        <w:t xml:space="preserve"> highly</w:t>
      </w:r>
      <w:r w:rsidRPr="00E44915">
        <w:rPr>
          <w:iCs/>
        </w:rPr>
        <w:t xml:space="preserve"> satisfactory overall outcome rating is justified by the remarkable results in outcome indicators across the board. This is a world-class achievement that very favorably contrasts with the failure of multiple index based insurance programs in many other countries. </w:t>
      </w:r>
      <w:r w:rsidR="003C1F5C">
        <w:rPr>
          <w:iCs/>
        </w:rPr>
        <w:t xml:space="preserve"> </w:t>
      </w:r>
      <w:r w:rsidR="003C1F5C" w:rsidRPr="004170FA">
        <w:rPr>
          <w:iCs/>
        </w:rPr>
        <w:t>The outcomes in building a sustainable national IBLI program also stand out as an example of how such programs can reach scale and be sustainable, with many other developing countries failing to scale up beyond the pilot phase and are not commercially viable</w:t>
      </w:r>
      <w:r w:rsidR="003C1F5C" w:rsidRPr="007E3EC9">
        <w:rPr>
          <w:iCs/>
          <w:vertAlign w:val="superscript"/>
        </w:rPr>
        <w:footnoteReference w:id="10"/>
      </w:r>
      <w:r w:rsidR="003C1F5C" w:rsidRPr="004170FA">
        <w:rPr>
          <w:iCs/>
        </w:rPr>
        <w:t>.  The merits of sound ex-ante financial planning are heralded in book ‘Dull Disasters’, a comprehensive piece of academic research by Dr. Daniel Clarke and Dr. Steffen Dercon, the Chief Economist of DfID. The IBLI program was a concrete example of such planning, and was unambiguously an investment that should be replicated widely</w:t>
      </w:r>
      <w:r w:rsidR="003C1F5C">
        <w:rPr>
          <w:iCs/>
        </w:rPr>
        <w:t xml:space="preserve">. </w:t>
      </w:r>
    </w:p>
    <w:p w14:paraId="68C327CF" w14:textId="77777777" w:rsidR="00C55FC7" w:rsidRDefault="00C55FC7" w:rsidP="00F92093">
      <w:pPr>
        <w:rPr>
          <w:iCs/>
        </w:rPr>
      </w:pPr>
    </w:p>
    <w:p w14:paraId="672B452E" w14:textId="4B841A24" w:rsidR="00044688" w:rsidRDefault="00E44915" w:rsidP="00F92093">
      <w:pPr>
        <w:numPr>
          <w:ilvl w:val="0"/>
          <w:numId w:val="2"/>
        </w:numPr>
        <w:tabs>
          <w:tab w:val="num" w:pos="0"/>
        </w:tabs>
        <w:ind w:left="0" w:firstLine="0"/>
        <w:rPr>
          <w:iCs/>
        </w:rPr>
      </w:pPr>
      <w:r w:rsidRPr="00E44915">
        <w:rPr>
          <w:iCs/>
        </w:rPr>
        <w:t xml:space="preserve"> Finally, the project itself, while has some risks to development outcomes, had no shortcomings.</w:t>
      </w:r>
    </w:p>
    <w:p w14:paraId="6BFB5253" w14:textId="77777777" w:rsidR="002A12B8" w:rsidRDefault="002A12B8" w:rsidP="002A12B8">
      <w:pPr>
        <w:rPr>
          <w:iCs/>
        </w:rPr>
      </w:pPr>
    </w:p>
    <w:tbl>
      <w:tblPr>
        <w:tblStyle w:val="TableGrid"/>
        <w:tblW w:w="0" w:type="auto"/>
        <w:jc w:val="center"/>
        <w:tblBorders>
          <w:top w:val="none" w:sz="0" w:space="0" w:color="auto"/>
          <w:left w:val="none" w:sz="0" w:space="0" w:color="auto"/>
          <w:bottom w:val="none" w:sz="0" w:space="0" w:color="auto"/>
          <w:right w:val="none" w:sz="0" w:space="0" w:color="auto"/>
          <w:insideH w:val="dashed" w:sz="2" w:space="0" w:color="auto"/>
          <w:insideV w:val="dashed" w:sz="2" w:space="0" w:color="auto"/>
        </w:tblBorders>
        <w:tblLook w:val="04A0" w:firstRow="1" w:lastRow="0" w:firstColumn="1" w:lastColumn="0" w:noHBand="0" w:noVBand="1"/>
      </w:tblPr>
      <w:tblGrid>
        <w:gridCol w:w="2523"/>
        <w:gridCol w:w="1402"/>
        <w:gridCol w:w="1522"/>
        <w:gridCol w:w="1745"/>
        <w:gridCol w:w="1530"/>
      </w:tblGrid>
      <w:tr w:rsidR="008D70DC" w:rsidRPr="00D14206" w14:paraId="36FBAC09" w14:textId="77777777" w:rsidTr="002A12B8">
        <w:trPr>
          <w:cantSplit/>
          <w:jc w:val="center"/>
        </w:trPr>
        <w:tc>
          <w:tcPr>
            <w:tcW w:w="2523" w:type="dxa"/>
            <w:tcBorders>
              <w:top w:val="single" w:sz="6" w:space="0" w:color="auto"/>
              <w:left w:val="single" w:sz="6" w:space="0" w:color="auto"/>
              <w:bottom w:val="single" w:sz="6" w:space="0" w:color="auto"/>
            </w:tcBorders>
            <w:shd w:val="clear" w:color="auto" w:fill="DBE5F1" w:themeFill="accent1" w:themeFillTint="33"/>
            <w:vAlign w:val="center"/>
          </w:tcPr>
          <w:p w14:paraId="501D4ECD" w14:textId="7274ABFB" w:rsidR="003F602F" w:rsidRPr="00D14206" w:rsidRDefault="003F602F" w:rsidP="009D620A">
            <w:pPr>
              <w:contextualSpacing/>
              <w:jc w:val="center"/>
              <w:rPr>
                <w:b/>
                <w:sz w:val="18"/>
                <w:szCs w:val="18"/>
              </w:rPr>
            </w:pPr>
            <w:r w:rsidRPr="003F602F">
              <w:t xml:space="preserve">  </w:t>
            </w:r>
            <w:r w:rsidRPr="00D14206">
              <w:rPr>
                <w:b/>
                <w:sz w:val="18"/>
                <w:szCs w:val="18"/>
              </w:rPr>
              <w:t>Number of indicators that:</w:t>
            </w:r>
          </w:p>
        </w:tc>
        <w:tc>
          <w:tcPr>
            <w:tcW w:w="1402" w:type="dxa"/>
            <w:tcBorders>
              <w:top w:val="single" w:sz="6" w:space="0" w:color="auto"/>
              <w:bottom w:val="single" w:sz="6" w:space="0" w:color="auto"/>
            </w:tcBorders>
            <w:shd w:val="clear" w:color="auto" w:fill="DBE5F1" w:themeFill="accent1" w:themeFillTint="33"/>
            <w:vAlign w:val="center"/>
          </w:tcPr>
          <w:p w14:paraId="0F65005E" w14:textId="1B2FC757" w:rsidR="003F602F" w:rsidRPr="00D14206" w:rsidRDefault="008D70DC" w:rsidP="009D620A">
            <w:pPr>
              <w:contextualSpacing/>
              <w:jc w:val="center"/>
              <w:rPr>
                <w:b/>
                <w:sz w:val="18"/>
                <w:szCs w:val="18"/>
              </w:rPr>
            </w:pPr>
            <w:r>
              <w:rPr>
                <w:b/>
                <w:sz w:val="18"/>
                <w:szCs w:val="18"/>
              </w:rPr>
              <w:t xml:space="preserve">Project development objective </w:t>
            </w:r>
            <w:r w:rsidR="003F602F" w:rsidRPr="00D14206">
              <w:rPr>
                <w:b/>
                <w:sz w:val="18"/>
                <w:szCs w:val="18"/>
              </w:rPr>
              <w:t>indicators</w:t>
            </w:r>
          </w:p>
        </w:tc>
        <w:tc>
          <w:tcPr>
            <w:tcW w:w="1522" w:type="dxa"/>
            <w:tcBorders>
              <w:top w:val="single" w:sz="6" w:space="0" w:color="auto"/>
              <w:bottom w:val="single" w:sz="6" w:space="0" w:color="auto"/>
            </w:tcBorders>
            <w:shd w:val="clear" w:color="auto" w:fill="DBE5F1" w:themeFill="accent1" w:themeFillTint="33"/>
            <w:vAlign w:val="center"/>
          </w:tcPr>
          <w:p w14:paraId="30CBCD39" w14:textId="77777777" w:rsidR="003F602F" w:rsidRPr="00D14206" w:rsidRDefault="003F602F" w:rsidP="009D620A">
            <w:pPr>
              <w:contextualSpacing/>
              <w:jc w:val="center"/>
              <w:rPr>
                <w:b/>
                <w:sz w:val="18"/>
                <w:szCs w:val="18"/>
              </w:rPr>
            </w:pPr>
            <w:r w:rsidRPr="00D14206">
              <w:rPr>
                <w:b/>
                <w:sz w:val="18"/>
                <w:szCs w:val="18"/>
              </w:rPr>
              <w:t xml:space="preserve">Indicators of </w:t>
            </w:r>
            <w:r>
              <w:rPr>
                <w:b/>
                <w:sz w:val="18"/>
                <w:szCs w:val="18"/>
              </w:rPr>
              <w:t>viability of IBLI program</w:t>
            </w:r>
          </w:p>
        </w:tc>
        <w:tc>
          <w:tcPr>
            <w:tcW w:w="1745" w:type="dxa"/>
            <w:tcBorders>
              <w:top w:val="single" w:sz="6" w:space="0" w:color="auto"/>
              <w:bottom w:val="single" w:sz="6" w:space="0" w:color="auto"/>
            </w:tcBorders>
            <w:shd w:val="clear" w:color="auto" w:fill="DBE5F1" w:themeFill="accent1" w:themeFillTint="33"/>
            <w:vAlign w:val="center"/>
          </w:tcPr>
          <w:p w14:paraId="158CCA98" w14:textId="6CA2E80C" w:rsidR="003F602F" w:rsidRPr="00D14206" w:rsidRDefault="00B30BE8" w:rsidP="009D620A">
            <w:pPr>
              <w:contextualSpacing/>
              <w:jc w:val="center"/>
              <w:rPr>
                <w:b/>
                <w:sz w:val="18"/>
                <w:szCs w:val="18"/>
              </w:rPr>
            </w:pPr>
            <w:r>
              <w:rPr>
                <w:b/>
                <w:sz w:val="18"/>
                <w:szCs w:val="18"/>
              </w:rPr>
              <w:t>Other i</w:t>
            </w:r>
            <w:r w:rsidR="003F602F" w:rsidRPr="00D14206">
              <w:rPr>
                <w:b/>
                <w:sz w:val="18"/>
                <w:szCs w:val="18"/>
              </w:rPr>
              <w:t>ntermediate outcome indicators</w:t>
            </w:r>
          </w:p>
          <w:p w14:paraId="5544D640" w14:textId="631E2276" w:rsidR="003F602F" w:rsidRPr="00D14206" w:rsidRDefault="003F602F" w:rsidP="009D620A">
            <w:pPr>
              <w:contextualSpacing/>
              <w:jc w:val="center"/>
              <w:rPr>
                <w:sz w:val="18"/>
                <w:szCs w:val="18"/>
              </w:rPr>
            </w:pPr>
            <w:r w:rsidRPr="00D14206">
              <w:rPr>
                <w:sz w:val="18"/>
                <w:szCs w:val="18"/>
              </w:rPr>
              <w:t>(e.g., training, awareness)</w:t>
            </w:r>
          </w:p>
        </w:tc>
        <w:tc>
          <w:tcPr>
            <w:tcW w:w="1530" w:type="dxa"/>
            <w:tcBorders>
              <w:top w:val="single" w:sz="6" w:space="0" w:color="auto"/>
              <w:bottom w:val="single" w:sz="6" w:space="0" w:color="auto"/>
              <w:right w:val="single" w:sz="6" w:space="0" w:color="auto"/>
            </w:tcBorders>
            <w:shd w:val="clear" w:color="auto" w:fill="DBE5F1" w:themeFill="accent1" w:themeFillTint="33"/>
            <w:vAlign w:val="center"/>
          </w:tcPr>
          <w:p w14:paraId="4CDC3575" w14:textId="77777777" w:rsidR="003F602F" w:rsidRPr="00D14206" w:rsidRDefault="003F602F" w:rsidP="009D620A">
            <w:pPr>
              <w:contextualSpacing/>
              <w:jc w:val="center"/>
              <w:rPr>
                <w:b/>
                <w:sz w:val="18"/>
                <w:szCs w:val="18"/>
              </w:rPr>
            </w:pPr>
            <w:r w:rsidRPr="00D14206">
              <w:rPr>
                <w:b/>
                <w:sz w:val="18"/>
                <w:szCs w:val="18"/>
              </w:rPr>
              <w:t>Share of all project indicators</w:t>
            </w:r>
          </w:p>
        </w:tc>
      </w:tr>
      <w:tr w:rsidR="008D70DC" w:rsidRPr="00D14206" w14:paraId="4488DDF6" w14:textId="77777777" w:rsidTr="002A12B8">
        <w:trPr>
          <w:cantSplit/>
          <w:jc w:val="center"/>
        </w:trPr>
        <w:tc>
          <w:tcPr>
            <w:tcW w:w="2523" w:type="dxa"/>
            <w:tcBorders>
              <w:top w:val="single" w:sz="6" w:space="0" w:color="auto"/>
              <w:left w:val="single" w:sz="6" w:space="0" w:color="auto"/>
              <w:bottom w:val="dashed" w:sz="2" w:space="0" w:color="auto"/>
            </w:tcBorders>
          </w:tcPr>
          <w:p w14:paraId="7003A9A3" w14:textId="77777777" w:rsidR="003F602F" w:rsidRPr="00D14206" w:rsidRDefault="003F602F" w:rsidP="000E4859">
            <w:pPr>
              <w:spacing w:before="60"/>
              <w:jc w:val="center"/>
            </w:pPr>
            <w:r w:rsidRPr="00D14206">
              <w:t>Surpassed target</w:t>
            </w:r>
          </w:p>
        </w:tc>
        <w:tc>
          <w:tcPr>
            <w:tcW w:w="1402" w:type="dxa"/>
            <w:tcBorders>
              <w:top w:val="single" w:sz="6" w:space="0" w:color="auto"/>
            </w:tcBorders>
          </w:tcPr>
          <w:p w14:paraId="578FC049" w14:textId="033D910D" w:rsidR="003F602F" w:rsidRPr="00D14206" w:rsidRDefault="00A5419F" w:rsidP="009D620A">
            <w:pPr>
              <w:spacing w:before="60"/>
              <w:jc w:val="center"/>
            </w:pPr>
            <w:r>
              <w:t>1</w:t>
            </w:r>
          </w:p>
        </w:tc>
        <w:tc>
          <w:tcPr>
            <w:tcW w:w="1522" w:type="dxa"/>
            <w:tcBorders>
              <w:top w:val="single" w:sz="6" w:space="0" w:color="auto"/>
            </w:tcBorders>
          </w:tcPr>
          <w:p w14:paraId="40D083EA" w14:textId="588901AE" w:rsidR="003F602F" w:rsidRPr="00D14206" w:rsidRDefault="00B30BE8" w:rsidP="009D620A">
            <w:pPr>
              <w:spacing w:before="60"/>
              <w:jc w:val="center"/>
            </w:pPr>
            <w:r>
              <w:t>2</w:t>
            </w:r>
          </w:p>
        </w:tc>
        <w:tc>
          <w:tcPr>
            <w:tcW w:w="1745" w:type="dxa"/>
            <w:tcBorders>
              <w:top w:val="single" w:sz="6" w:space="0" w:color="auto"/>
            </w:tcBorders>
          </w:tcPr>
          <w:p w14:paraId="1A618838" w14:textId="0D91CE63" w:rsidR="003F602F" w:rsidRPr="00D14206" w:rsidRDefault="00B30BE8" w:rsidP="009D620A">
            <w:pPr>
              <w:spacing w:before="60"/>
              <w:jc w:val="center"/>
            </w:pPr>
            <w:r>
              <w:t>3</w:t>
            </w:r>
          </w:p>
        </w:tc>
        <w:tc>
          <w:tcPr>
            <w:tcW w:w="1530" w:type="dxa"/>
            <w:tcBorders>
              <w:top w:val="single" w:sz="6" w:space="0" w:color="auto"/>
              <w:bottom w:val="dashed" w:sz="2" w:space="0" w:color="auto"/>
              <w:right w:val="single" w:sz="6" w:space="0" w:color="auto"/>
            </w:tcBorders>
            <w:vAlign w:val="bottom"/>
          </w:tcPr>
          <w:p w14:paraId="2AB38883" w14:textId="1DC44557" w:rsidR="003F602F" w:rsidRPr="00D14206" w:rsidRDefault="00B30BE8" w:rsidP="000E4859">
            <w:pPr>
              <w:spacing w:before="60"/>
              <w:ind w:right="630"/>
              <w:jc w:val="center"/>
              <w:rPr>
                <w:b/>
              </w:rPr>
            </w:pPr>
            <w:r>
              <w:rPr>
                <w:b/>
              </w:rPr>
              <w:t>50%</w:t>
            </w:r>
          </w:p>
        </w:tc>
      </w:tr>
      <w:tr w:rsidR="008D70DC" w:rsidRPr="00D14206" w14:paraId="4D35D2B6" w14:textId="77777777" w:rsidTr="002A12B8">
        <w:trPr>
          <w:cantSplit/>
          <w:jc w:val="center"/>
        </w:trPr>
        <w:tc>
          <w:tcPr>
            <w:tcW w:w="2523" w:type="dxa"/>
            <w:tcBorders>
              <w:top w:val="dashed" w:sz="2" w:space="0" w:color="auto"/>
              <w:left w:val="single" w:sz="6" w:space="0" w:color="auto"/>
              <w:bottom w:val="dashed" w:sz="2" w:space="0" w:color="auto"/>
            </w:tcBorders>
          </w:tcPr>
          <w:p w14:paraId="51B7EE13" w14:textId="77777777" w:rsidR="003F602F" w:rsidRPr="00D14206" w:rsidRDefault="003F602F" w:rsidP="000E4859">
            <w:pPr>
              <w:spacing w:before="60"/>
              <w:jc w:val="center"/>
            </w:pPr>
            <w:r w:rsidRPr="00D14206">
              <w:t>Fully achieved target</w:t>
            </w:r>
          </w:p>
        </w:tc>
        <w:tc>
          <w:tcPr>
            <w:tcW w:w="1402" w:type="dxa"/>
          </w:tcPr>
          <w:p w14:paraId="1835223A" w14:textId="22A08E17" w:rsidR="003F602F" w:rsidRPr="00D14206" w:rsidRDefault="00A5419F" w:rsidP="009D620A">
            <w:pPr>
              <w:spacing w:before="60"/>
              <w:jc w:val="center"/>
            </w:pPr>
            <w:r>
              <w:t>1</w:t>
            </w:r>
          </w:p>
        </w:tc>
        <w:tc>
          <w:tcPr>
            <w:tcW w:w="1522" w:type="dxa"/>
          </w:tcPr>
          <w:p w14:paraId="496EBDF2" w14:textId="3C9B2613" w:rsidR="003F602F" w:rsidRPr="00D14206" w:rsidRDefault="00B30BE8" w:rsidP="009D620A">
            <w:pPr>
              <w:spacing w:before="60"/>
              <w:jc w:val="center"/>
            </w:pPr>
            <w:r>
              <w:t>3</w:t>
            </w:r>
          </w:p>
        </w:tc>
        <w:tc>
          <w:tcPr>
            <w:tcW w:w="1745" w:type="dxa"/>
          </w:tcPr>
          <w:p w14:paraId="3879D391" w14:textId="0A05C6AE" w:rsidR="003F602F" w:rsidRPr="00D14206" w:rsidRDefault="00B30BE8" w:rsidP="009D620A">
            <w:pPr>
              <w:spacing w:before="60"/>
              <w:jc w:val="center"/>
            </w:pPr>
            <w:r>
              <w:t>1</w:t>
            </w:r>
          </w:p>
        </w:tc>
        <w:tc>
          <w:tcPr>
            <w:tcW w:w="1530" w:type="dxa"/>
            <w:tcBorders>
              <w:top w:val="dashed" w:sz="2" w:space="0" w:color="auto"/>
              <w:bottom w:val="dashed" w:sz="2" w:space="0" w:color="auto"/>
              <w:right w:val="single" w:sz="6" w:space="0" w:color="auto"/>
            </w:tcBorders>
            <w:vAlign w:val="bottom"/>
          </w:tcPr>
          <w:p w14:paraId="34B635AC" w14:textId="107AC1F5" w:rsidR="003F602F" w:rsidRPr="00D14206" w:rsidRDefault="00B30BE8" w:rsidP="000E4859">
            <w:pPr>
              <w:spacing w:before="60"/>
              <w:ind w:right="630"/>
              <w:jc w:val="center"/>
              <w:rPr>
                <w:b/>
              </w:rPr>
            </w:pPr>
            <w:r>
              <w:rPr>
                <w:b/>
              </w:rPr>
              <w:t>42%</w:t>
            </w:r>
          </w:p>
        </w:tc>
      </w:tr>
      <w:tr w:rsidR="008D70DC" w:rsidRPr="00D14206" w14:paraId="5EC0851F" w14:textId="77777777" w:rsidTr="002A12B8">
        <w:trPr>
          <w:cantSplit/>
          <w:jc w:val="center"/>
        </w:trPr>
        <w:tc>
          <w:tcPr>
            <w:tcW w:w="2523" w:type="dxa"/>
            <w:tcBorders>
              <w:top w:val="dashed" w:sz="2" w:space="0" w:color="auto"/>
              <w:left w:val="single" w:sz="6" w:space="0" w:color="auto"/>
              <w:bottom w:val="dashed" w:sz="2" w:space="0" w:color="auto"/>
            </w:tcBorders>
          </w:tcPr>
          <w:p w14:paraId="24E1780B" w14:textId="77777777" w:rsidR="003F602F" w:rsidRPr="00D14206" w:rsidRDefault="003F602F" w:rsidP="000E4859">
            <w:pPr>
              <w:spacing w:before="60"/>
              <w:jc w:val="center"/>
            </w:pPr>
            <w:r w:rsidRPr="00D14206">
              <w:t>Partly achieved target</w:t>
            </w:r>
          </w:p>
        </w:tc>
        <w:tc>
          <w:tcPr>
            <w:tcW w:w="1402" w:type="dxa"/>
            <w:tcBorders>
              <w:bottom w:val="dashed" w:sz="2" w:space="0" w:color="auto"/>
            </w:tcBorders>
          </w:tcPr>
          <w:p w14:paraId="78C7155C" w14:textId="5474BB8A" w:rsidR="003F602F" w:rsidRPr="00D14206" w:rsidRDefault="00A5419F" w:rsidP="009D620A">
            <w:pPr>
              <w:spacing w:before="60"/>
              <w:jc w:val="center"/>
            </w:pPr>
            <w:r>
              <w:t>0</w:t>
            </w:r>
          </w:p>
        </w:tc>
        <w:tc>
          <w:tcPr>
            <w:tcW w:w="1522" w:type="dxa"/>
            <w:tcBorders>
              <w:bottom w:val="dashed" w:sz="2" w:space="0" w:color="auto"/>
            </w:tcBorders>
          </w:tcPr>
          <w:p w14:paraId="088B62AF" w14:textId="0904C878" w:rsidR="003F602F" w:rsidRPr="00D14206" w:rsidRDefault="00B30BE8" w:rsidP="009D620A">
            <w:pPr>
              <w:spacing w:before="60"/>
              <w:jc w:val="center"/>
            </w:pPr>
            <w:r>
              <w:t>1</w:t>
            </w:r>
          </w:p>
        </w:tc>
        <w:tc>
          <w:tcPr>
            <w:tcW w:w="1745" w:type="dxa"/>
            <w:tcBorders>
              <w:bottom w:val="dashed" w:sz="2" w:space="0" w:color="auto"/>
            </w:tcBorders>
          </w:tcPr>
          <w:p w14:paraId="66559B94" w14:textId="22AE0E79" w:rsidR="003F602F" w:rsidRPr="00D14206" w:rsidRDefault="00B30BE8" w:rsidP="009D620A">
            <w:pPr>
              <w:spacing w:before="60"/>
              <w:jc w:val="center"/>
            </w:pPr>
            <w:r>
              <w:t>0</w:t>
            </w:r>
          </w:p>
        </w:tc>
        <w:tc>
          <w:tcPr>
            <w:tcW w:w="1530" w:type="dxa"/>
            <w:tcBorders>
              <w:top w:val="dashed" w:sz="2" w:space="0" w:color="auto"/>
              <w:bottom w:val="dashed" w:sz="2" w:space="0" w:color="auto"/>
              <w:right w:val="single" w:sz="6" w:space="0" w:color="auto"/>
            </w:tcBorders>
            <w:vAlign w:val="bottom"/>
          </w:tcPr>
          <w:p w14:paraId="7D3E6BF5" w14:textId="56995E9C" w:rsidR="003F602F" w:rsidRPr="00D14206" w:rsidRDefault="00B30BE8" w:rsidP="000E4859">
            <w:pPr>
              <w:spacing w:before="60"/>
              <w:ind w:right="630"/>
              <w:jc w:val="center"/>
              <w:rPr>
                <w:b/>
              </w:rPr>
            </w:pPr>
            <w:r>
              <w:rPr>
                <w:b/>
              </w:rPr>
              <w:t>8%</w:t>
            </w:r>
          </w:p>
        </w:tc>
      </w:tr>
      <w:tr w:rsidR="008D70DC" w:rsidRPr="00D14206" w14:paraId="5620E32F" w14:textId="77777777" w:rsidTr="002A12B8">
        <w:trPr>
          <w:cantSplit/>
          <w:jc w:val="center"/>
        </w:trPr>
        <w:tc>
          <w:tcPr>
            <w:tcW w:w="2523" w:type="dxa"/>
            <w:tcBorders>
              <w:top w:val="dashed" w:sz="2" w:space="0" w:color="auto"/>
              <w:left w:val="single" w:sz="6" w:space="0" w:color="auto"/>
              <w:bottom w:val="single" w:sz="6" w:space="0" w:color="auto"/>
            </w:tcBorders>
          </w:tcPr>
          <w:p w14:paraId="1ABFDE7D" w14:textId="77777777" w:rsidR="003F602F" w:rsidRPr="00D14206" w:rsidRDefault="003F602F" w:rsidP="000E4859">
            <w:pPr>
              <w:spacing w:before="60"/>
              <w:jc w:val="center"/>
            </w:pPr>
            <w:r w:rsidRPr="00D14206">
              <w:t>Target not applicable</w:t>
            </w:r>
          </w:p>
        </w:tc>
        <w:tc>
          <w:tcPr>
            <w:tcW w:w="1402" w:type="dxa"/>
            <w:tcBorders>
              <w:top w:val="dashed" w:sz="2" w:space="0" w:color="auto"/>
              <w:bottom w:val="single" w:sz="6" w:space="0" w:color="auto"/>
            </w:tcBorders>
          </w:tcPr>
          <w:p w14:paraId="4DC72E49" w14:textId="4220BCEF" w:rsidR="003F602F" w:rsidRPr="00D14206" w:rsidRDefault="00A5419F" w:rsidP="009D620A">
            <w:pPr>
              <w:spacing w:before="60"/>
              <w:jc w:val="center"/>
            </w:pPr>
            <w:r>
              <w:t>0</w:t>
            </w:r>
          </w:p>
        </w:tc>
        <w:tc>
          <w:tcPr>
            <w:tcW w:w="1522" w:type="dxa"/>
            <w:tcBorders>
              <w:top w:val="dashed" w:sz="2" w:space="0" w:color="auto"/>
              <w:bottom w:val="single" w:sz="6" w:space="0" w:color="auto"/>
            </w:tcBorders>
          </w:tcPr>
          <w:p w14:paraId="6D478E4B" w14:textId="18D8D721" w:rsidR="003F602F" w:rsidRPr="00D14206" w:rsidRDefault="00B30BE8" w:rsidP="009D620A">
            <w:pPr>
              <w:spacing w:before="60"/>
              <w:jc w:val="center"/>
            </w:pPr>
            <w:r>
              <w:t>0</w:t>
            </w:r>
          </w:p>
        </w:tc>
        <w:tc>
          <w:tcPr>
            <w:tcW w:w="1745" w:type="dxa"/>
            <w:tcBorders>
              <w:top w:val="dashed" w:sz="2" w:space="0" w:color="auto"/>
              <w:bottom w:val="single" w:sz="6" w:space="0" w:color="auto"/>
            </w:tcBorders>
          </w:tcPr>
          <w:p w14:paraId="6D2AC309" w14:textId="74E599A2" w:rsidR="003F602F" w:rsidRPr="00D14206" w:rsidRDefault="00A5419F" w:rsidP="009D620A">
            <w:pPr>
              <w:spacing w:before="60"/>
              <w:jc w:val="center"/>
            </w:pPr>
            <w:r>
              <w:t>0</w:t>
            </w:r>
          </w:p>
        </w:tc>
        <w:tc>
          <w:tcPr>
            <w:tcW w:w="1530" w:type="dxa"/>
            <w:tcBorders>
              <w:top w:val="dashed" w:sz="2" w:space="0" w:color="auto"/>
              <w:bottom w:val="single" w:sz="6" w:space="0" w:color="auto"/>
              <w:right w:val="single" w:sz="6" w:space="0" w:color="auto"/>
            </w:tcBorders>
            <w:vAlign w:val="bottom"/>
          </w:tcPr>
          <w:p w14:paraId="1C8930C6" w14:textId="5868CF60" w:rsidR="003F602F" w:rsidRPr="00D14206" w:rsidRDefault="00B30BE8" w:rsidP="000E4859">
            <w:pPr>
              <w:spacing w:before="60"/>
              <w:ind w:right="630"/>
              <w:jc w:val="center"/>
              <w:rPr>
                <w:b/>
              </w:rPr>
            </w:pPr>
            <w:r>
              <w:rPr>
                <w:b/>
              </w:rPr>
              <w:t>0</w:t>
            </w:r>
          </w:p>
        </w:tc>
      </w:tr>
    </w:tbl>
    <w:p w14:paraId="6626DC7C" w14:textId="30CC707F" w:rsidR="001833D0" w:rsidRPr="00610841" w:rsidRDefault="001833D0" w:rsidP="000E4859">
      <w:pPr>
        <w:pStyle w:val="Caption"/>
        <w:jc w:val="center"/>
        <w:rPr>
          <w:b/>
          <w:i w:val="0"/>
          <w:iCs w:val="0"/>
          <w:color w:val="000000" w:themeColor="text1"/>
        </w:rPr>
      </w:pPr>
      <w:r w:rsidRPr="00610841">
        <w:rPr>
          <w:b/>
          <w:i w:val="0"/>
          <w:color w:val="000000" w:themeColor="text1"/>
        </w:rPr>
        <w:t xml:space="preserve">Table </w:t>
      </w:r>
      <w:r w:rsidR="005A4EF0">
        <w:rPr>
          <w:b/>
          <w:i w:val="0"/>
          <w:color w:val="000000" w:themeColor="text1"/>
        </w:rPr>
        <w:t>5</w:t>
      </w:r>
      <w:r w:rsidRPr="00610841">
        <w:rPr>
          <w:b/>
          <w:i w:val="0"/>
          <w:color w:val="000000" w:themeColor="text1"/>
        </w:rPr>
        <w:t xml:space="preserve"> Project outcomes: nearly all targets surpassed or met—IBLI--pilot</w:t>
      </w:r>
    </w:p>
    <w:p w14:paraId="2A7763D4" w14:textId="2391B9DE" w:rsidR="00C67D43" w:rsidRPr="005A4EF0" w:rsidRDefault="00C67D43" w:rsidP="005A4EF0">
      <w:pPr>
        <w:pStyle w:val="Heading3"/>
        <w:spacing w:after="240"/>
        <w:rPr>
          <w:sz w:val="24"/>
          <w:szCs w:val="24"/>
        </w:rPr>
      </w:pPr>
      <w:bookmarkStart w:id="145" w:name="SEC84"/>
      <w:bookmarkStart w:id="146" w:name="_Toc456784535"/>
      <w:bookmarkEnd w:id="145"/>
      <w:r w:rsidRPr="005A4EF0">
        <w:rPr>
          <w:sz w:val="24"/>
          <w:szCs w:val="24"/>
        </w:rPr>
        <w:lastRenderedPageBreak/>
        <w:t>3.</w:t>
      </w:r>
      <w:r w:rsidR="00E433AA" w:rsidRPr="005A4EF0">
        <w:rPr>
          <w:sz w:val="24"/>
          <w:szCs w:val="24"/>
        </w:rPr>
        <w:t>6</w:t>
      </w:r>
      <w:r w:rsidRPr="005A4EF0">
        <w:rPr>
          <w:sz w:val="24"/>
          <w:szCs w:val="24"/>
        </w:rPr>
        <w:t xml:space="preserve"> Overarching Themes, Other Outcomes and Impacts</w:t>
      </w:r>
      <w:bookmarkEnd w:id="146"/>
    </w:p>
    <w:p w14:paraId="7646BC05" w14:textId="10A37F9B" w:rsidR="00CD2EA9" w:rsidRPr="00F92093" w:rsidRDefault="002C697C" w:rsidP="00F92093">
      <w:pPr>
        <w:numPr>
          <w:ilvl w:val="0"/>
          <w:numId w:val="2"/>
        </w:numPr>
        <w:tabs>
          <w:tab w:val="num" w:pos="0"/>
        </w:tabs>
        <w:spacing w:after="240"/>
        <w:ind w:left="0" w:firstLine="0"/>
      </w:pPr>
      <w:bookmarkStart w:id="147" w:name="SEC85C"/>
      <w:bookmarkEnd w:id="147"/>
      <w:r w:rsidRPr="00AC2A80">
        <w:t>The IBLI project contributed to</w:t>
      </w:r>
      <w:r w:rsidR="00CD2EA9" w:rsidRPr="00AC2A80">
        <w:t xml:space="preserve"> an increased financial awareness.</w:t>
      </w:r>
      <w:r w:rsidR="00CD2EA9" w:rsidRPr="00F92093">
        <w:rPr>
          <w:b/>
        </w:rPr>
        <w:t xml:space="preserve"> </w:t>
      </w:r>
      <w:r w:rsidR="00CD2EA9" w:rsidRPr="00F92093">
        <w:t>The project invested significant resources in developing the capacity of herders on insurance and risk management.</w:t>
      </w:r>
      <w:r w:rsidR="00080D08" w:rsidRPr="00F92093">
        <w:t xml:space="preserve"> As a result, herders gained a high level of knowledge of insurance and credit concepts and basic numeracy skills needed to effectively participate in insurance and credit markets.</w:t>
      </w:r>
      <w:r w:rsidR="005F58A4" w:rsidRPr="00F92093">
        <w:rPr>
          <w:rStyle w:val="FootnoteReference"/>
        </w:rPr>
        <w:footnoteReference w:id="11"/>
      </w:r>
      <w:r w:rsidR="00080D08" w:rsidRPr="00F92093">
        <w:t xml:space="preserve"> </w:t>
      </w:r>
    </w:p>
    <w:p w14:paraId="42F70806" w14:textId="3080D650" w:rsidR="00C84A56" w:rsidRPr="00C84A56" w:rsidRDefault="00CD2EA9" w:rsidP="00C84A56">
      <w:pPr>
        <w:numPr>
          <w:ilvl w:val="0"/>
          <w:numId w:val="2"/>
        </w:numPr>
        <w:tabs>
          <w:tab w:val="num" w:pos="0"/>
        </w:tabs>
        <w:spacing w:after="240"/>
        <w:ind w:left="0" w:firstLine="0"/>
        <w:rPr>
          <w:b/>
        </w:rPr>
      </w:pPr>
      <w:r w:rsidRPr="00AC2A80">
        <w:t xml:space="preserve">The IBLI project contributed to </w:t>
      </w:r>
      <w:r w:rsidR="00642ECE" w:rsidRPr="00AC2A80">
        <w:t xml:space="preserve">an expansion </w:t>
      </w:r>
      <w:r w:rsidR="00017A57" w:rsidRPr="00AC2A80">
        <w:t>and deepening</w:t>
      </w:r>
      <w:r w:rsidR="003F56E4" w:rsidRPr="00AC2A80">
        <w:t xml:space="preserve"> of</w:t>
      </w:r>
      <w:r w:rsidR="00017A57" w:rsidRPr="00AC2A80">
        <w:t xml:space="preserve"> financial inclusion</w:t>
      </w:r>
      <w:r w:rsidRPr="00AC2A80">
        <w:t>.</w:t>
      </w:r>
      <w:r w:rsidRPr="00F92093">
        <w:rPr>
          <w:b/>
        </w:rPr>
        <w:t xml:space="preserve"> </w:t>
      </w:r>
      <w:r w:rsidR="002875B1" w:rsidRPr="00F92093">
        <w:t>I</w:t>
      </w:r>
      <w:r w:rsidR="0044155C" w:rsidRPr="00F92093">
        <w:t xml:space="preserve">ncreased financial awareness had a ‘spill-over’ effect </w:t>
      </w:r>
      <w:r w:rsidR="00080D08" w:rsidRPr="00F92093">
        <w:t xml:space="preserve">by </w:t>
      </w:r>
      <w:r w:rsidR="0044155C" w:rsidRPr="00F92093">
        <w:t>support</w:t>
      </w:r>
      <w:r w:rsidR="00080D08" w:rsidRPr="00F92093">
        <w:t>ing</w:t>
      </w:r>
      <w:r w:rsidR="0044155C" w:rsidRPr="00F92093">
        <w:t xml:space="preserve"> the expansion of </w:t>
      </w:r>
      <w:r w:rsidR="00017A57" w:rsidRPr="00F92093">
        <w:t>rural credit</w:t>
      </w:r>
      <w:r w:rsidR="00C84A56">
        <w:t>,</w:t>
      </w:r>
      <w:r w:rsidR="0044155C" w:rsidRPr="00F92093">
        <w:t xml:space="preserve"> </w:t>
      </w:r>
      <w:r w:rsidR="00642ECE" w:rsidRPr="00F92093">
        <w:t xml:space="preserve">savings </w:t>
      </w:r>
      <w:r w:rsidR="00C84A56">
        <w:t xml:space="preserve">and insurance </w:t>
      </w:r>
      <w:r w:rsidR="0044155C" w:rsidRPr="00F92093">
        <w:t>markets</w:t>
      </w:r>
      <w:r w:rsidR="002875B1" w:rsidRPr="00F92093">
        <w:t xml:space="preserve">. In fact, </w:t>
      </w:r>
      <w:r w:rsidR="003F56E4" w:rsidRPr="00F92093">
        <w:t xml:space="preserve">80 percent of insured herders </w:t>
      </w:r>
      <w:r w:rsidR="005F58A4" w:rsidRPr="00F92093">
        <w:t>had a formal loan compared</w:t>
      </w:r>
      <w:r w:rsidR="003F56E4" w:rsidRPr="00F92093">
        <w:t xml:space="preserve"> to only 72% of the non-insured herders (</w:t>
      </w:r>
      <w:r w:rsidR="00AA711B" w:rsidRPr="00F92093">
        <w:t>IE results</w:t>
      </w:r>
      <w:r w:rsidR="003F56E4" w:rsidRPr="00F92093">
        <w:t>)</w:t>
      </w:r>
      <w:r w:rsidR="00017A57" w:rsidRPr="00F92093">
        <w:t xml:space="preserve">.  </w:t>
      </w:r>
      <w:r w:rsidR="001C5DA2" w:rsidRPr="00F92093">
        <w:t>From 2006, current accounts were opened for all herders who purchased insurance, giving herders access to savings.</w:t>
      </w:r>
      <w:r w:rsidR="002875B1" w:rsidRPr="00F92093">
        <w:t xml:space="preserve"> Furthermore, banks offered interest discounts on loans if herders purchased insurance, leading to 5,561 herders borrowing 16.3 billion Tugriks (US$815 million) over the life of the project, and receiving a total discount (due to interest reduction) of 392.8 million </w:t>
      </w:r>
      <w:r w:rsidR="00AA711B" w:rsidRPr="00F92093">
        <w:t>Tugriks</w:t>
      </w:r>
      <w:r w:rsidR="002875B1" w:rsidRPr="00F92093">
        <w:t xml:space="preserve"> (US$ 20 million)</w:t>
      </w:r>
      <w:r w:rsidR="00C84A56">
        <w:t>.  I</w:t>
      </w:r>
      <w:r w:rsidR="00C84A56" w:rsidRPr="00F92093">
        <w:t>nsurance companies expand</w:t>
      </w:r>
      <w:r w:rsidR="00C84A56">
        <w:t>ed</w:t>
      </w:r>
      <w:r w:rsidR="00C84A56" w:rsidRPr="00F92093">
        <w:t xml:space="preserve"> their operations into rural locations in Mongolia </w:t>
      </w:r>
      <w:r w:rsidR="00C84A56">
        <w:t>to promote</w:t>
      </w:r>
      <w:r w:rsidR="00C84A56" w:rsidRPr="00F92093">
        <w:t xml:space="preserve"> the IBLI as well as other insurance products. By 2012, there were 72 branches </w:t>
      </w:r>
      <w:r w:rsidR="00EC5DE2">
        <w:t xml:space="preserve">outside Ulaanbaatar </w:t>
      </w:r>
      <w:r w:rsidR="00C84A56" w:rsidRPr="00F92093">
        <w:t xml:space="preserve">of 5 insurance companies working in the country. </w:t>
      </w:r>
    </w:p>
    <w:p w14:paraId="56211727" w14:textId="31CF9AEC" w:rsidR="002F4A9D" w:rsidRPr="00F92093" w:rsidRDefault="00474E07" w:rsidP="00F92093">
      <w:pPr>
        <w:pStyle w:val="ListParagraph"/>
        <w:numPr>
          <w:ilvl w:val="0"/>
          <w:numId w:val="2"/>
        </w:numPr>
        <w:tabs>
          <w:tab w:val="num" w:pos="0"/>
        </w:tabs>
        <w:spacing w:after="240" w:line="240" w:lineRule="auto"/>
        <w:ind w:left="0" w:firstLine="0"/>
        <w:rPr>
          <w:rFonts w:ascii="Times New Roman" w:eastAsia="MS Mincho" w:hAnsi="Times New Roman" w:cs="Times New Roman"/>
          <w:sz w:val="24"/>
          <w:szCs w:val="24"/>
          <w:lang w:eastAsia="ja-JP"/>
        </w:rPr>
      </w:pPr>
      <w:r w:rsidRPr="00AC2A80">
        <w:rPr>
          <w:rFonts w:ascii="Times New Roman" w:eastAsia="MS Mincho" w:hAnsi="Times New Roman" w:cs="Times New Roman"/>
          <w:sz w:val="24"/>
          <w:szCs w:val="24"/>
          <w:lang w:eastAsia="ja-JP"/>
        </w:rPr>
        <w:t>Linking credit with index insurance has the potential to boost rural lending for smallholder farmers</w:t>
      </w:r>
      <w:r w:rsidR="00732A33" w:rsidRPr="00AC2A80">
        <w:rPr>
          <w:rFonts w:ascii="Times New Roman" w:eastAsia="MS Mincho" w:hAnsi="Times New Roman" w:cs="Times New Roman"/>
          <w:sz w:val="24"/>
          <w:szCs w:val="24"/>
          <w:lang w:eastAsia="ja-JP"/>
        </w:rPr>
        <w:t xml:space="preserve">, therefore increasing their chances to </w:t>
      </w:r>
      <w:r w:rsidR="0097123F" w:rsidRPr="00AC2A80">
        <w:rPr>
          <w:rFonts w:ascii="Times New Roman" w:eastAsia="MS Mincho" w:hAnsi="Times New Roman" w:cs="Times New Roman"/>
          <w:sz w:val="24"/>
          <w:szCs w:val="24"/>
          <w:lang w:eastAsia="ja-JP"/>
        </w:rPr>
        <w:t>be integrated</w:t>
      </w:r>
      <w:r w:rsidR="00732A33" w:rsidRPr="00AC2A80">
        <w:rPr>
          <w:rFonts w:ascii="Times New Roman" w:eastAsia="MS Mincho" w:hAnsi="Times New Roman" w:cs="Times New Roman"/>
          <w:sz w:val="24"/>
          <w:szCs w:val="24"/>
          <w:lang w:eastAsia="ja-JP"/>
        </w:rPr>
        <w:t xml:space="preserve"> in value chains</w:t>
      </w:r>
      <w:r w:rsidR="00F00FED" w:rsidRPr="00AC2A80">
        <w:rPr>
          <w:rFonts w:ascii="Times New Roman" w:eastAsia="MS Mincho" w:hAnsi="Times New Roman" w:cs="Times New Roman"/>
          <w:sz w:val="24"/>
          <w:szCs w:val="24"/>
          <w:lang w:eastAsia="ja-JP"/>
        </w:rPr>
        <w:t>,</w:t>
      </w:r>
      <w:r w:rsidR="00F00FED">
        <w:rPr>
          <w:rFonts w:ascii="Times New Roman" w:eastAsia="MS Mincho" w:hAnsi="Times New Roman" w:cs="Times New Roman"/>
          <w:b/>
          <w:sz w:val="24"/>
          <w:szCs w:val="24"/>
          <w:lang w:eastAsia="ja-JP"/>
        </w:rPr>
        <w:t xml:space="preserve"> </w:t>
      </w:r>
      <w:r w:rsidR="00F00FED" w:rsidRPr="00F00FED">
        <w:rPr>
          <w:rFonts w:ascii="Times New Roman" w:eastAsia="MS Mincho" w:hAnsi="Times New Roman" w:cs="Times New Roman"/>
          <w:sz w:val="24"/>
          <w:szCs w:val="24"/>
          <w:lang w:eastAsia="ja-JP"/>
        </w:rPr>
        <w:t xml:space="preserve">which was demonstrated by </w:t>
      </w:r>
      <w:r w:rsidR="002F4A9D" w:rsidRPr="00F00FED">
        <w:rPr>
          <w:rFonts w:ascii="Times New Roman" w:eastAsia="MS Mincho" w:hAnsi="Times New Roman" w:cs="Times New Roman"/>
          <w:sz w:val="24"/>
          <w:szCs w:val="24"/>
          <w:lang w:eastAsia="ja-JP"/>
        </w:rPr>
        <w:t>IBLIP</w:t>
      </w:r>
      <w:r w:rsidR="002C3BCD" w:rsidRPr="00F92093">
        <w:rPr>
          <w:rStyle w:val="FootnoteReference"/>
          <w:rFonts w:ascii="Times New Roman" w:eastAsia="MS Mincho" w:hAnsi="Times New Roman" w:cs="Times New Roman"/>
          <w:sz w:val="24"/>
          <w:szCs w:val="24"/>
          <w:lang w:eastAsia="ja-JP"/>
        </w:rPr>
        <w:footnoteReference w:id="12"/>
      </w:r>
      <w:r w:rsidRPr="00F92093">
        <w:rPr>
          <w:rFonts w:ascii="Times New Roman" w:eastAsia="MS Mincho" w:hAnsi="Times New Roman" w:cs="Times New Roman"/>
          <w:sz w:val="24"/>
          <w:szCs w:val="24"/>
          <w:lang w:eastAsia="ja-JP"/>
        </w:rPr>
        <w:t>.</w:t>
      </w:r>
    </w:p>
    <w:p w14:paraId="65E1D47F" w14:textId="2BB96661" w:rsidR="005F58A4" w:rsidRPr="00F92093" w:rsidRDefault="0056433F" w:rsidP="00F92093">
      <w:pPr>
        <w:numPr>
          <w:ilvl w:val="0"/>
          <w:numId w:val="2"/>
        </w:numPr>
        <w:tabs>
          <w:tab w:val="num" w:pos="0"/>
        </w:tabs>
        <w:spacing w:after="240"/>
        <w:ind w:left="0" w:firstLine="0"/>
        <w:rPr>
          <w:b/>
        </w:rPr>
      </w:pPr>
      <w:r w:rsidRPr="00AC2A80">
        <w:rPr>
          <w:i/>
        </w:rPr>
        <w:t xml:space="preserve">Enabling access </w:t>
      </w:r>
      <w:r w:rsidR="00794298" w:rsidRPr="00AC2A80">
        <w:rPr>
          <w:i/>
        </w:rPr>
        <w:t xml:space="preserve">for national banks </w:t>
      </w:r>
      <w:r w:rsidRPr="00AC2A80">
        <w:rPr>
          <w:i/>
        </w:rPr>
        <w:t>to international capital providers.</w:t>
      </w:r>
      <w:r w:rsidR="00EC472C" w:rsidRPr="00F92093">
        <w:t xml:space="preserve">  National banks have been able to mobilize capital from international providers</w:t>
      </w:r>
      <w:r w:rsidR="00794298" w:rsidRPr="00F92093">
        <w:t xml:space="preserve">, previously inaccessible, </w:t>
      </w:r>
      <w:r w:rsidR="00EC472C" w:rsidRPr="00F92093">
        <w:t xml:space="preserve">due to </w:t>
      </w:r>
      <w:r w:rsidR="00794298" w:rsidRPr="00F92093">
        <w:t xml:space="preserve">the fact that herders are insured. A condition of gaining access to this low cost capital is that the </w:t>
      </w:r>
      <w:r w:rsidR="005F58A4" w:rsidRPr="00F92093">
        <w:t>borrowers</w:t>
      </w:r>
      <w:r w:rsidR="00794298" w:rsidRPr="00F92093">
        <w:t xml:space="preserve"> are insured (this indicator serves as a positive risk management metric). In th</w:t>
      </w:r>
      <w:r w:rsidR="00196454" w:rsidRPr="00F92093">
        <w:t>e upcoming year Khan bank</w:t>
      </w:r>
      <w:r w:rsidR="00897909" w:rsidRPr="00F92093">
        <w:t>, one of the largest private banks in Mongolia,</w:t>
      </w:r>
      <w:r w:rsidR="00196454" w:rsidRPr="00F92093">
        <w:t xml:space="preserve"> will be using this capital to offer lower interest rates on their loans to remain competitive in the market</w:t>
      </w:r>
      <w:r w:rsidR="000B30CA" w:rsidRPr="00F92093">
        <w:t>.</w:t>
      </w:r>
    </w:p>
    <w:p w14:paraId="7E754AC3" w14:textId="02994F83" w:rsidR="001133C8" w:rsidRPr="00F92093" w:rsidRDefault="001133C8" w:rsidP="00F92093">
      <w:pPr>
        <w:numPr>
          <w:ilvl w:val="0"/>
          <w:numId w:val="2"/>
        </w:numPr>
        <w:spacing w:after="240"/>
        <w:ind w:left="0" w:firstLine="0"/>
      </w:pPr>
      <w:r w:rsidRPr="00AC2A80">
        <w:rPr>
          <w:i/>
        </w:rPr>
        <w:t>Risk management tool for meso-stability.</w:t>
      </w:r>
      <w:r w:rsidRPr="00F92093">
        <w:t xml:space="preserve">  Post </w:t>
      </w:r>
      <w:r w:rsidR="00210D35" w:rsidRPr="00F92093">
        <w:rPr>
          <w:i/>
        </w:rPr>
        <w:t>d</w:t>
      </w:r>
      <w:r w:rsidRPr="00F92093">
        <w:rPr>
          <w:i/>
        </w:rPr>
        <w:t>zud</w:t>
      </w:r>
      <w:r w:rsidRPr="00F92093">
        <w:t xml:space="preserve"> events unemployment can increase in the effected aimags as herders can lose all their livestock and migrate to ai</w:t>
      </w:r>
      <w:r w:rsidR="00210D35" w:rsidRPr="00F92093">
        <w:t xml:space="preserve">mag centers in search of work. </w:t>
      </w:r>
      <w:r w:rsidRPr="00F92093">
        <w:t xml:space="preserve">This puts pressure on government resources, service delivery and employment opportunities in the aimag centers. Through an interview with an aimag Governor the team learnt of how the provision of IBLI payouts post </w:t>
      </w:r>
      <w:r w:rsidR="00210D35" w:rsidRPr="00F92093">
        <w:rPr>
          <w:i/>
        </w:rPr>
        <w:t>d</w:t>
      </w:r>
      <w:r w:rsidRPr="00F92093">
        <w:rPr>
          <w:i/>
        </w:rPr>
        <w:t>zud</w:t>
      </w:r>
      <w:r w:rsidRPr="00F92093">
        <w:t xml:space="preserve"> events can avoid this outcome by giving herders the resources to maintain their herding livelihoods (for example by purchasing new livestock).</w:t>
      </w:r>
    </w:p>
    <w:p w14:paraId="0690AE65" w14:textId="5F53499B" w:rsidR="002D307C" w:rsidRDefault="00E2684D" w:rsidP="00F92093">
      <w:pPr>
        <w:numPr>
          <w:ilvl w:val="0"/>
          <w:numId w:val="2"/>
        </w:numPr>
        <w:tabs>
          <w:tab w:val="num" w:pos="0"/>
        </w:tabs>
        <w:spacing w:after="240"/>
        <w:ind w:left="0" w:firstLine="0"/>
      </w:pPr>
      <w:r w:rsidRPr="00AC2A80">
        <w:rPr>
          <w:i/>
        </w:rPr>
        <w:t>Enhanced capacity of the NSO.</w:t>
      </w:r>
      <w:r w:rsidRPr="00F92093">
        <w:t xml:space="preserve"> The NSO</w:t>
      </w:r>
      <w:r w:rsidR="002D307C" w:rsidRPr="00F92093">
        <w:t xml:space="preserve"> benefited greatly from th</w:t>
      </w:r>
      <w:r w:rsidR="002D37A8" w:rsidRPr="00F92093">
        <w:t>e IBLIP</w:t>
      </w:r>
      <w:r w:rsidR="002D307C" w:rsidRPr="00F92093">
        <w:t xml:space="preserve"> project, with many unintended outcomes occurring which significantly improved their function as a data collection agency</w:t>
      </w:r>
      <w:r w:rsidR="005E5A4C">
        <w:t xml:space="preserve"> (see more under</w:t>
      </w:r>
      <w:r w:rsidR="00D41562">
        <w:t xml:space="preserve"> </w:t>
      </w:r>
      <w:r w:rsidR="00D41562">
        <w:fldChar w:fldCharType="begin"/>
      </w:r>
      <w:r w:rsidR="00D41562">
        <w:instrText xml:space="preserve"> REF _Ref457829991 \r \h </w:instrText>
      </w:r>
      <w:r w:rsidR="00D41562">
        <w:fldChar w:fldCharType="separate"/>
      </w:r>
      <w:r w:rsidR="00D41562">
        <w:t>3</w:t>
      </w:r>
      <w:r w:rsidR="00D41562">
        <w:fldChar w:fldCharType="end"/>
      </w:r>
      <w:r w:rsidR="005E5A4C">
        <w:t>)</w:t>
      </w:r>
      <w:r w:rsidR="002D307C" w:rsidRPr="00F92093">
        <w:t xml:space="preserve">, including: (i) </w:t>
      </w:r>
      <w:r w:rsidR="005E5A4C">
        <w:t xml:space="preserve">developing a state or the art </w:t>
      </w:r>
      <w:r w:rsidR="002D307C" w:rsidRPr="00F92093">
        <w:t xml:space="preserve">mid-year </w:t>
      </w:r>
      <w:r w:rsidR="005E5A4C">
        <w:t xml:space="preserve">survey </w:t>
      </w:r>
      <w:r w:rsidR="005E5A4C">
        <w:lastRenderedPageBreak/>
        <w:t xml:space="preserve">which was carried over into </w:t>
      </w:r>
      <w:r w:rsidR="002D307C" w:rsidRPr="00F92093">
        <w:t xml:space="preserve">the annual census; (ii) </w:t>
      </w:r>
      <w:r w:rsidR="005E5A4C">
        <w:t xml:space="preserve">developing a household data base, making more informed rural lending, reducing </w:t>
      </w:r>
      <w:r w:rsidR="002D307C" w:rsidRPr="00F92093">
        <w:t xml:space="preserve">documentation and time to </w:t>
      </w:r>
      <w:r w:rsidR="005E5A4C">
        <w:t xml:space="preserve">get </w:t>
      </w:r>
      <w:r w:rsidR="002D307C" w:rsidRPr="00F92093">
        <w:t>a loan</w:t>
      </w:r>
      <w:r w:rsidR="005E5A4C">
        <w:t xml:space="preserve">, informing </w:t>
      </w:r>
      <w:r w:rsidR="002D307C" w:rsidRPr="00F92093">
        <w:t>MoFA planning</w:t>
      </w:r>
      <w:r w:rsidR="005E5A4C">
        <w:t xml:space="preserve"> </w:t>
      </w:r>
      <w:r w:rsidR="003C6A03" w:rsidRPr="00F92093">
        <w:t xml:space="preserve">and </w:t>
      </w:r>
      <w:r w:rsidR="005E5A4C">
        <w:t xml:space="preserve">making the </w:t>
      </w:r>
      <w:r w:rsidR="002D307C" w:rsidRPr="00F92093">
        <w:t>survey approp</w:t>
      </w:r>
      <w:r w:rsidR="005A4EF0">
        <w:t>riate for the Mongolian context.</w:t>
      </w:r>
    </w:p>
    <w:p w14:paraId="105E5531" w14:textId="07193F91" w:rsidR="00C67D43" w:rsidRPr="00F92093" w:rsidRDefault="00C67D43" w:rsidP="005A4EF0">
      <w:pPr>
        <w:pStyle w:val="Heading3"/>
        <w:spacing w:after="240"/>
        <w:rPr>
          <w:sz w:val="24"/>
          <w:szCs w:val="24"/>
        </w:rPr>
      </w:pPr>
      <w:bookmarkStart w:id="148" w:name="_Toc456784536"/>
      <w:r w:rsidRPr="00F92093">
        <w:rPr>
          <w:sz w:val="24"/>
          <w:szCs w:val="24"/>
        </w:rPr>
        <w:t>3.</w:t>
      </w:r>
      <w:r w:rsidR="00E433AA">
        <w:rPr>
          <w:sz w:val="24"/>
          <w:szCs w:val="24"/>
        </w:rPr>
        <w:t>7</w:t>
      </w:r>
      <w:r w:rsidRPr="00F92093">
        <w:rPr>
          <w:sz w:val="24"/>
          <w:szCs w:val="24"/>
        </w:rPr>
        <w:t xml:space="preserve"> Summary of Findings of Beneficiary Survey and/or Stakeholder Workshops</w:t>
      </w:r>
      <w:bookmarkEnd w:id="148"/>
    </w:p>
    <w:p w14:paraId="654CF4B5" w14:textId="6A25A971" w:rsidR="00423441" w:rsidRDefault="00423441" w:rsidP="00F92093">
      <w:pPr>
        <w:rPr>
          <w:iCs/>
          <w:color w:val="000000"/>
        </w:rPr>
      </w:pPr>
      <w:r w:rsidRPr="00F92093">
        <w:rPr>
          <w:iCs/>
          <w:color w:val="000000"/>
        </w:rPr>
        <w:t xml:space="preserve">No workshop conducted. </w:t>
      </w:r>
      <w:r w:rsidR="00D41E60" w:rsidRPr="00F92093">
        <w:rPr>
          <w:iCs/>
          <w:color w:val="000000"/>
        </w:rPr>
        <w:t>A closing seminar was conducted in March 30, 2016 during which the PIU handed over the project, the Golden Plough Award</w:t>
      </w:r>
      <w:r w:rsidR="006F16D4" w:rsidRPr="00F92093">
        <w:rPr>
          <w:iCs/>
          <w:color w:val="000000"/>
        </w:rPr>
        <w:t>, and</w:t>
      </w:r>
      <w:r w:rsidR="00D41E60" w:rsidRPr="00F92093">
        <w:rPr>
          <w:iCs/>
          <w:color w:val="000000"/>
        </w:rPr>
        <w:t xml:space="preserve"> the remaining reserve of 2</w:t>
      </w:r>
      <w:r w:rsidR="00210D35" w:rsidRPr="00F92093">
        <w:rPr>
          <w:iCs/>
          <w:color w:val="000000"/>
        </w:rPr>
        <w:t>.1</w:t>
      </w:r>
      <w:r w:rsidR="00D41E60" w:rsidRPr="00F92093">
        <w:rPr>
          <w:iCs/>
          <w:color w:val="000000"/>
        </w:rPr>
        <w:t xml:space="preserve"> billion MNT to AgRe. </w:t>
      </w:r>
    </w:p>
    <w:p w14:paraId="26AF823A" w14:textId="77777777" w:rsidR="002A12B8" w:rsidRPr="00F92093" w:rsidRDefault="002A12B8" w:rsidP="00F92093"/>
    <w:p w14:paraId="7BD3CAB0" w14:textId="77777777" w:rsidR="00C67D43" w:rsidRDefault="00C67D43">
      <w:pPr>
        <w:pStyle w:val="Heading2"/>
      </w:pPr>
      <w:bookmarkStart w:id="149" w:name="SEC86"/>
      <w:bookmarkStart w:id="150" w:name="_IL9"/>
      <w:bookmarkStart w:id="151" w:name="_Toc158019373"/>
      <w:bookmarkStart w:id="152" w:name="_Toc456784537"/>
      <w:bookmarkEnd w:id="149"/>
      <w:r>
        <w:t>4. Assessment of Risk to Development Outcome</w:t>
      </w:r>
      <w:bookmarkEnd w:id="150"/>
      <w:bookmarkEnd w:id="151"/>
      <w:bookmarkEnd w:id="152"/>
      <w:r>
        <w:t xml:space="preserve"> </w:t>
      </w:r>
    </w:p>
    <w:p w14:paraId="5BDA44B7" w14:textId="77777777" w:rsidR="005A4EF0" w:rsidRDefault="005A4EF0" w:rsidP="00F92093">
      <w:bookmarkStart w:id="153" w:name="SEC9"/>
      <w:bookmarkStart w:id="154" w:name="_Toc158019374"/>
      <w:bookmarkEnd w:id="153"/>
    </w:p>
    <w:p w14:paraId="4ECD90CC" w14:textId="4DC74EBA" w:rsidR="00332C9C" w:rsidRPr="004F5BD9" w:rsidRDefault="00332C9C" w:rsidP="00F92093">
      <w:pPr>
        <w:rPr>
          <w:b/>
        </w:rPr>
      </w:pPr>
      <w:r w:rsidRPr="004F5BD9">
        <w:t>Rating:</w:t>
      </w:r>
      <w:r w:rsidRPr="004F5BD9">
        <w:rPr>
          <w:b/>
        </w:rPr>
        <w:t xml:space="preserve"> </w:t>
      </w:r>
      <w:bookmarkStart w:id="155" w:name="RAT4"/>
      <w:bookmarkEnd w:id="155"/>
      <w:r w:rsidR="003C6A03" w:rsidRPr="004F5BD9">
        <w:rPr>
          <w:b/>
        </w:rPr>
        <w:t>Substantial</w:t>
      </w:r>
    </w:p>
    <w:p w14:paraId="45167115" w14:textId="64BF1951" w:rsidR="000F5FB8" w:rsidRDefault="00891EEC" w:rsidP="00F92093">
      <w:pPr>
        <w:numPr>
          <w:ilvl w:val="0"/>
          <w:numId w:val="2"/>
        </w:numPr>
        <w:spacing w:after="240"/>
        <w:ind w:left="0" w:firstLine="0"/>
      </w:pPr>
      <w:r>
        <w:t>Multiple activities have been undertaken to ensure the development outcome of the project continues, including the establishment of the IBLI Law, the formation and capitalization of AgRe, the actuarially based pricing methodology, the development of new sales channels for IBLI.  However, t</w:t>
      </w:r>
      <w:r w:rsidR="000F5FB8" w:rsidRPr="0059134E">
        <w:t xml:space="preserve">he rating on Risks to Development Outcome </w:t>
      </w:r>
      <w:r>
        <w:t xml:space="preserve">has been deemed as </w:t>
      </w:r>
      <w:r w:rsidR="000F5FB8">
        <w:t xml:space="preserve"> </w:t>
      </w:r>
      <w:r w:rsidR="000F5FB8" w:rsidRPr="0059134E">
        <w:t>“</w:t>
      </w:r>
      <w:r w:rsidR="000F5FB8">
        <w:t>Substantial</w:t>
      </w:r>
      <w:r w:rsidR="000F5FB8" w:rsidRPr="0059134E">
        <w:t xml:space="preserve">” for </w:t>
      </w:r>
      <w:r w:rsidR="000F5FB8">
        <w:t xml:space="preserve">the following </w:t>
      </w:r>
      <w:r>
        <w:t xml:space="preserve">two </w:t>
      </w:r>
      <w:r w:rsidR="000F5FB8" w:rsidRPr="0059134E">
        <w:t xml:space="preserve">reasons. First, </w:t>
      </w:r>
      <w:r w:rsidR="000F5FB8">
        <w:t xml:space="preserve">political influence in the board threatens the capacity of AgRe to successfully operate the complex program that is IBLI in the mid-long term. Secondly, given awareness is critical for voluntary insurance products, more, not less, resources should be allocated to this task.  </w:t>
      </w:r>
    </w:p>
    <w:p w14:paraId="59EDA4C5" w14:textId="305E0F5D" w:rsidR="00332C9C" w:rsidRDefault="00332C9C" w:rsidP="00F92093">
      <w:pPr>
        <w:numPr>
          <w:ilvl w:val="0"/>
          <w:numId w:val="2"/>
        </w:numPr>
        <w:spacing w:after="240"/>
        <w:ind w:left="0" w:firstLine="0"/>
      </w:pPr>
      <w:r w:rsidRPr="00AC2A80">
        <w:rPr>
          <w:i/>
        </w:rPr>
        <w:t xml:space="preserve">Corporate governance challenges within </w:t>
      </w:r>
      <w:r w:rsidR="00466DB5" w:rsidRPr="00AC2A80">
        <w:rPr>
          <w:i/>
        </w:rPr>
        <w:t>AgRe</w:t>
      </w:r>
      <w:r w:rsidRPr="00AC2A80">
        <w:rPr>
          <w:i/>
        </w:rPr>
        <w:t>.</w:t>
      </w:r>
      <w:r>
        <w:t xml:space="preserve"> With the establishment of AgR</w:t>
      </w:r>
      <w:r w:rsidR="00981E5C">
        <w:t>e</w:t>
      </w:r>
      <w:r>
        <w:t xml:space="preserve"> and the </w:t>
      </w:r>
      <w:r w:rsidR="00981E5C">
        <w:t xml:space="preserve">commitment </w:t>
      </w:r>
      <w:r>
        <w:t xml:space="preserve">of capital to the amount of Tugrik </w:t>
      </w:r>
      <w:r w:rsidR="00981E5C">
        <w:t>3</w:t>
      </w:r>
      <w:r>
        <w:t>0 billion (US$1</w:t>
      </w:r>
      <w:r w:rsidR="00981E5C">
        <w:t>5</w:t>
      </w:r>
      <w:r>
        <w:t xml:space="preserve"> million)</w:t>
      </w:r>
      <w:r w:rsidR="00981E5C">
        <w:t xml:space="preserve"> (of which Tugrik 20 billion has been provided (US$10 million)</w:t>
      </w:r>
      <w:r>
        <w:t>, the Government developed the infrastructure for the continuation of the IBLI program in the short to medium term.  However, after the company was formed</w:t>
      </w:r>
      <w:r w:rsidR="00981E5C">
        <w:t xml:space="preserve"> and the </w:t>
      </w:r>
      <w:r w:rsidR="00981E5C" w:rsidRPr="00981E5C">
        <w:t>acting CEO secured a reinsurer li</w:t>
      </w:r>
      <w:r w:rsidR="00981E5C">
        <w:t>c</w:t>
      </w:r>
      <w:r w:rsidR="00981E5C" w:rsidRPr="00981E5C">
        <w:t>ense from FRC</w:t>
      </w:r>
      <w:r>
        <w:t>, the charter and composition of the board was amended, with additional powers vested to the board and a</w:t>
      </w:r>
      <w:r w:rsidR="00981E5C">
        <w:t xml:space="preserve"> deputy </w:t>
      </w:r>
      <w:r>
        <w:t xml:space="preserve">CEO </w:t>
      </w:r>
      <w:r w:rsidR="00981E5C">
        <w:t xml:space="preserve">was </w:t>
      </w:r>
      <w:r>
        <w:t>appointed</w:t>
      </w:r>
      <w:r w:rsidR="00981E5C">
        <w:t xml:space="preserve"> to replace the acting CEO</w:t>
      </w:r>
      <w:r>
        <w:t xml:space="preserve">. The </w:t>
      </w:r>
      <w:r w:rsidR="00CE145B">
        <w:t>W</w:t>
      </w:r>
      <w:r w:rsidR="00F57795">
        <w:t>B</w:t>
      </w:r>
      <w:r>
        <w:t xml:space="preserve"> team inquired to Government to provide justification for the changes, however none has yet been given. Political influence in state run entities can be a challenge, and can jeopardize the sustainability of the entity due to mismanagement, in-transparent use of funds, dissuading private sector investment (and therefore expertise, which can add significant value in the insurance industry). Given the board of AgR</w:t>
      </w:r>
      <w:r w:rsidR="00466DB5">
        <w:t>e</w:t>
      </w:r>
      <w:r>
        <w:t xml:space="preserve"> will be critical to ensure the long term sustainability of the program, and it is subject to political interference, this represents a </w:t>
      </w:r>
      <w:r w:rsidR="00117B03">
        <w:t xml:space="preserve">substantial </w:t>
      </w:r>
      <w:r>
        <w:t>risk to the development outcomes in of itself.</w:t>
      </w:r>
      <w:r w:rsidR="00192929">
        <w:t xml:space="preserve"> A mitigating factor to consider is the fact that AgRe now enters into reinsurance contracts annually with the international reinsurance industry, whose standards for high quality data and </w:t>
      </w:r>
      <w:r w:rsidR="0017036C">
        <w:t xml:space="preserve">sound governance </w:t>
      </w:r>
      <w:r w:rsidR="00192929">
        <w:t>could be seen as a</w:t>
      </w:r>
      <w:r w:rsidR="0017036C">
        <w:t xml:space="preserve"> positive influence </w:t>
      </w:r>
      <w:r w:rsidR="00192929">
        <w:t xml:space="preserve">on </w:t>
      </w:r>
      <w:r w:rsidR="0017036C">
        <w:t xml:space="preserve">decisions of the </w:t>
      </w:r>
      <w:r w:rsidR="00192929">
        <w:t>AgRe</w:t>
      </w:r>
      <w:r w:rsidR="0017036C">
        <w:t xml:space="preserve"> board</w:t>
      </w:r>
      <w:r w:rsidR="00192929">
        <w:t>.</w:t>
      </w:r>
    </w:p>
    <w:p w14:paraId="2D27EFBF" w14:textId="66A0BDAC" w:rsidR="00332C9C" w:rsidRDefault="00332C9C" w:rsidP="00F92093">
      <w:pPr>
        <w:numPr>
          <w:ilvl w:val="0"/>
          <w:numId w:val="2"/>
        </w:numPr>
        <w:tabs>
          <w:tab w:val="num" w:pos="0"/>
        </w:tabs>
        <w:spacing w:after="240"/>
        <w:ind w:left="0" w:firstLine="0"/>
      </w:pPr>
      <w:r w:rsidRPr="00AC2A80">
        <w:rPr>
          <w:i/>
        </w:rPr>
        <w:t>Awareness raising</w:t>
      </w:r>
      <w:r w:rsidR="00C45042" w:rsidRPr="00AC2A80">
        <w:rPr>
          <w:i/>
        </w:rPr>
        <w:t xml:space="preserve"> is</w:t>
      </w:r>
      <w:r w:rsidRPr="00AC2A80">
        <w:rPr>
          <w:i/>
        </w:rPr>
        <w:t xml:space="preserve"> critical.</w:t>
      </w:r>
      <w:r>
        <w:t xml:space="preserve"> </w:t>
      </w:r>
      <w:r w:rsidRPr="00682B57">
        <w:t xml:space="preserve">It will be difficult to </w:t>
      </w:r>
      <w:r>
        <w:t>continue the deep and prolonged awareness raising activities that have been carried out by the PIU, to great success, to ensure herders are well informed about the IBLI product. Since taking over responsibility of the IBLI program in 2015, AgR</w:t>
      </w:r>
      <w:r w:rsidR="00981E5C">
        <w:t>e</w:t>
      </w:r>
      <w:r>
        <w:t xml:space="preserve"> has closed all the PIU regional offices in the aimags, which fulfill the critical function of awareness raising as well as sales support for insurance companies. </w:t>
      </w:r>
      <w:r w:rsidRPr="00682B57">
        <w:t xml:space="preserve">The decline of attention and financing </w:t>
      </w:r>
      <w:r>
        <w:t xml:space="preserve">witnessed over the past 12 months </w:t>
      </w:r>
      <w:r w:rsidRPr="00682B57">
        <w:t xml:space="preserve">has created a sustainability issue. </w:t>
      </w:r>
      <w:r>
        <w:t xml:space="preserve">As the product is a voluntary product, herders must fully understand it before they will be </w:t>
      </w:r>
      <w:r>
        <w:lastRenderedPageBreak/>
        <w:t>willing to pay the premium. Thus the cost of the public good nature of insurance / IBLI awareness raising must</w:t>
      </w:r>
      <w:r w:rsidR="000F5FB8">
        <w:t xml:space="preserve"> be</w:t>
      </w:r>
      <w:r>
        <w:t xml:space="preserve"> met for IBLI to be sustainable in the long term. </w:t>
      </w:r>
      <w:r w:rsidRPr="00682B57">
        <w:t xml:space="preserve">Ensuring adequate budgets to sustain and further increase </w:t>
      </w:r>
      <w:r>
        <w:t xml:space="preserve">this activity </w:t>
      </w:r>
      <w:r w:rsidRPr="00682B57">
        <w:t xml:space="preserve">should remain a priority because of the large positive economic and </w:t>
      </w:r>
      <w:r>
        <w:t xml:space="preserve">welfare </w:t>
      </w:r>
      <w:r w:rsidRPr="00682B57">
        <w:t xml:space="preserve">impacts of </w:t>
      </w:r>
      <w:r>
        <w:t xml:space="preserve">such </w:t>
      </w:r>
      <w:r w:rsidRPr="00682B57">
        <w:t>expenditures</w:t>
      </w:r>
      <w:r>
        <w:t>.</w:t>
      </w:r>
    </w:p>
    <w:p w14:paraId="3ACE6D67" w14:textId="792375CC" w:rsidR="00C67D43" w:rsidRDefault="00C67D43" w:rsidP="005A4EF0">
      <w:pPr>
        <w:pStyle w:val="Heading2"/>
      </w:pPr>
      <w:bookmarkStart w:id="156" w:name="_Toc456784538"/>
      <w:r>
        <w:t>5. Assessment of Bank and Borrower Performance</w:t>
      </w:r>
      <w:bookmarkEnd w:id="154"/>
      <w:bookmarkEnd w:id="156"/>
      <w:r>
        <w:t xml:space="preserve"> </w:t>
      </w:r>
    </w:p>
    <w:p w14:paraId="0E917AB3" w14:textId="77777777" w:rsidR="00C67D43" w:rsidRPr="005A4EF0" w:rsidRDefault="00C67D43" w:rsidP="005A4EF0">
      <w:pPr>
        <w:pStyle w:val="Heading3"/>
        <w:spacing w:after="240"/>
        <w:rPr>
          <w:sz w:val="24"/>
          <w:szCs w:val="24"/>
        </w:rPr>
      </w:pPr>
      <w:bookmarkStart w:id="157" w:name="_Toc456784539"/>
      <w:r w:rsidRPr="005A4EF0">
        <w:rPr>
          <w:sz w:val="24"/>
          <w:szCs w:val="24"/>
        </w:rPr>
        <w:t>5.1 Bank</w:t>
      </w:r>
      <w:r w:rsidR="00E07BAC" w:rsidRPr="005A4EF0">
        <w:rPr>
          <w:sz w:val="24"/>
          <w:szCs w:val="24"/>
        </w:rPr>
        <w:t xml:space="preserve"> Performance</w:t>
      </w:r>
      <w:bookmarkEnd w:id="157"/>
      <w:r w:rsidR="00E07BAC" w:rsidRPr="005A4EF0">
        <w:rPr>
          <w:sz w:val="24"/>
          <w:szCs w:val="24"/>
        </w:rPr>
        <w:t xml:space="preserve"> </w:t>
      </w:r>
    </w:p>
    <w:p w14:paraId="661648FA" w14:textId="1B5BC652" w:rsidR="00332C9C" w:rsidRDefault="00C67D43" w:rsidP="00F92093">
      <w:pPr>
        <w:keepNext/>
        <w:spacing w:line="200" w:lineRule="atLeast"/>
        <w:rPr>
          <w:b/>
        </w:rPr>
      </w:pPr>
      <w:r>
        <w:rPr>
          <w:rStyle w:val="Strong"/>
          <w:color w:val="000000"/>
          <w:sz w:val="22"/>
          <w:szCs w:val="22"/>
        </w:rPr>
        <w:t>(a) Bank Performance in Ensuring Quality at Entry</w:t>
      </w:r>
      <w:r>
        <w:rPr>
          <w:color w:val="000000"/>
          <w:sz w:val="22"/>
          <w:szCs w:val="22"/>
        </w:rPr>
        <w:t xml:space="preserve"> </w:t>
      </w:r>
      <w:r>
        <w:rPr>
          <w:color w:val="000000"/>
          <w:sz w:val="22"/>
          <w:szCs w:val="22"/>
        </w:rPr>
        <w:br/>
      </w:r>
      <w:bookmarkStart w:id="158" w:name="SEC101A"/>
      <w:bookmarkEnd w:id="158"/>
      <w:r w:rsidR="00332C9C">
        <w:t xml:space="preserve">Rating: </w:t>
      </w:r>
      <w:r w:rsidR="0093787A" w:rsidRPr="004F5BD9">
        <w:rPr>
          <w:b/>
        </w:rPr>
        <w:t xml:space="preserve">Highly </w:t>
      </w:r>
      <w:r w:rsidR="00332C9C" w:rsidRPr="004F5BD9">
        <w:rPr>
          <w:b/>
        </w:rPr>
        <w:t>Satisfactory</w:t>
      </w:r>
    </w:p>
    <w:p w14:paraId="2AD4051E" w14:textId="77777777" w:rsidR="005A4EF0" w:rsidRDefault="005A4EF0" w:rsidP="00F92093">
      <w:pPr>
        <w:keepNext/>
        <w:spacing w:line="200" w:lineRule="atLeast"/>
      </w:pPr>
    </w:p>
    <w:p w14:paraId="49945ECE" w14:textId="28A8CDA0" w:rsidR="00332C9C" w:rsidRDefault="00332C9C" w:rsidP="00F92093">
      <w:pPr>
        <w:numPr>
          <w:ilvl w:val="0"/>
          <w:numId w:val="2"/>
        </w:numPr>
        <w:tabs>
          <w:tab w:val="num" w:pos="0"/>
        </w:tabs>
        <w:spacing w:after="240"/>
        <w:ind w:left="0" w:firstLine="0"/>
      </w:pPr>
      <w:r w:rsidRPr="0088090B">
        <w:t xml:space="preserve">The Project was prepared </w:t>
      </w:r>
      <w:r>
        <w:t xml:space="preserve">in response to the request from Mongolia to test the viability of IBLI through a pilot </w:t>
      </w:r>
      <w:r w:rsidRPr="0088090B">
        <w:t xml:space="preserve">with support from a strong team from the </w:t>
      </w:r>
      <w:r w:rsidR="004F57C6">
        <w:t>WB</w:t>
      </w:r>
      <w:r w:rsidRPr="0088090B">
        <w:t>, comprising diverse specialists</w:t>
      </w:r>
      <w:r>
        <w:t xml:space="preserve"> and </w:t>
      </w:r>
      <w:r w:rsidRPr="0088090B">
        <w:t xml:space="preserve">operation officers—all with technical skills necessary to guide project design. </w:t>
      </w:r>
      <w:r>
        <w:t xml:space="preserve">Despite the fact that a project such as IBLI was unprecedented, </w:t>
      </w:r>
      <w:r w:rsidR="00030459">
        <w:t>WB</w:t>
      </w:r>
      <w:r>
        <w:t xml:space="preserve"> management provided strong and consistent support. </w:t>
      </w:r>
      <w:r w:rsidR="00030459">
        <w:t xml:space="preserve">WB </w:t>
      </w:r>
      <w:r w:rsidRPr="0088090B">
        <w:t xml:space="preserve">team benefited from </w:t>
      </w:r>
      <w:r>
        <w:t xml:space="preserve">internal </w:t>
      </w:r>
      <w:r w:rsidRPr="0088090B">
        <w:t xml:space="preserve">collaboration </w:t>
      </w:r>
      <w:r>
        <w:t xml:space="preserve">bringing both finance and agricultural experts onto the team, in addition to external collaboration with </w:t>
      </w:r>
      <w:r w:rsidRPr="0088090B">
        <w:t>FAO</w:t>
      </w:r>
      <w:r>
        <w:t xml:space="preserve"> </w:t>
      </w:r>
      <w:r w:rsidRPr="0088090B">
        <w:t xml:space="preserve">and other experts who were actively engaged </w:t>
      </w:r>
      <w:r>
        <w:t>and knowledgeable in the area of index insurance</w:t>
      </w:r>
      <w:r w:rsidRPr="0088090B">
        <w:t>.</w:t>
      </w:r>
      <w:r>
        <w:t xml:space="preserve"> </w:t>
      </w:r>
      <w:r w:rsidR="00030459">
        <w:t>WB</w:t>
      </w:r>
      <w:r w:rsidRPr="0088090B">
        <w:t xml:space="preserve"> support to the government in preparing the government’s plans was effective and appreciated by counterparts. The project, in turn, aligned very well with these plans. </w:t>
      </w:r>
      <w:r w:rsidR="004F57C6">
        <w:t>WB</w:t>
      </w:r>
      <w:r w:rsidRPr="0088090B">
        <w:t xml:space="preserve"> support to project preparation was </w:t>
      </w:r>
      <w:r>
        <w:t xml:space="preserve">rooted in national as well as international experience and expertise. It was </w:t>
      </w:r>
      <w:r w:rsidRPr="0088090B">
        <w:t xml:space="preserve">informed by the </w:t>
      </w:r>
      <w:r>
        <w:t xml:space="preserve">previous efforts of Mongolia to herders from the impact of high mortality (the restocking programs to previous attempts to introduce livestock insurance). It was in addition informed by international best practice for large scale insurance programs, drawing on experience from India, Mexico, Spain and </w:t>
      </w:r>
      <w:r w:rsidR="00585664">
        <w:t xml:space="preserve">the United States </w:t>
      </w:r>
      <w:r>
        <w:t xml:space="preserve">where successful programs exist. </w:t>
      </w:r>
      <w:r w:rsidRPr="0088090B">
        <w:t xml:space="preserve">The internalization of this experience by the project team, and incorporation of such best practice into the </w:t>
      </w:r>
      <w:r>
        <w:t xml:space="preserve">IBLI project </w:t>
      </w:r>
      <w:r w:rsidRPr="0088090B">
        <w:t xml:space="preserve">ensured that quality at entry was </w:t>
      </w:r>
      <w:r>
        <w:t xml:space="preserve">not only </w:t>
      </w:r>
      <w:r w:rsidRPr="0088090B">
        <w:t>highly satisfactory</w:t>
      </w:r>
      <w:r>
        <w:t>, but also highly innovative</w:t>
      </w:r>
      <w:r w:rsidRPr="0088090B">
        <w:t xml:space="preserve">. </w:t>
      </w:r>
      <w:r>
        <w:t xml:space="preserve">This led to the project being awarded the Golden Plough award by World Bank senior management.  </w:t>
      </w:r>
      <w:r w:rsidRPr="0088090B">
        <w:t>The mitigation plan for addressing critical</w:t>
      </w:r>
      <w:r>
        <w:t xml:space="preserve"> risks was sound and relevant.</w:t>
      </w:r>
    </w:p>
    <w:p w14:paraId="0416AA88" w14:textId="64760DF9" w:rsidR="00332C9C" w:rsidRPr="00332C9C" w:rsidRDefault="00C67D43" w:rsidP="00F92093">
      <w:pPr>
        <w:spacing w:line="200" w:lineRule="atLeast"/>
        <w:rPr>
          <w:color w:val="000000"/>
        </w:rPr>
      </w:pPr>
      <w:r>
        <w:rPr>
          <w:rStyle w:val="Strong"/>
          <w:color w:val="000000"/>
          <w:sz w:val="22"/>
          <w:szCs w:val="22"/>
        </w:rPr>
        <w:t>(b) Quality of Supervision</w:t>
      </w:r>
      <w:r>
        <w:rPr>
          <w:color w:val="000000"/>
          <w:sz w:val="22"/>
          <w:szCs w:val="22"/>
        </w:rPr>
        <w:t xml:space="preserve"> </w:t>
      </w:r>
      <w:r>
        <w:rPr>
          <w:color w:val="000000"/>
          <w:sz w:val="22"/>
          <w:szCs w:val="22"/>
        </w:rPr>
        <w:br/>
      </w:r>
      <w:bookmarkStart w:id="159" w:name="SEC101B"/>
      <w:bookmarkEnd w:id="159"/>
      <w:r w:rsidR="00332C9C" w:rsidRPr="00332C9C">
        <w:rPr>
          <w:color w:val="000000"/>
        </w:rPr>
        <w:t xml:space="preserve">Rating: </w:t>
      </w:r>
      <w:r w:rsidR="00332C9C" w:rsidRPr="00332C9C">
        <w:rPr>
          <w:b/>
          <w:color w:val="000000"/>
        </w:rPr>
        <w:t xml:space="preserve">Satisfactory </w:t>
      </w:r>
    </w:p>
    <w:p w14:paraId="7498DA8D" w14:textId="77777777" w:rsidR="00332C9C" w:rsidRPr="00332C9C" w:rsidRDefault="00332C9C" w:rsidP="00F92093">
      <w:pPr>
        <w:rPr>
          <w:color w:val="000000"/>
        </w:rPr>
      </w:pPr>
    </w:p>
    <w:p w14:paraId="22D514C2" w14:textId="77777777" w:rsidR="005A4EF0" w:rsidRDefault="00332C9C" w:rsidP="00F92093">
      <w:pPr>
        <w:numPr>
          <w:ilvl w:val="0"/>
          <w:numId w:val="2"/>
        </w:numPr>
        <w:tabs>
          <w:tab w:val="num" w:pos="0"/>
        </w:tabs>
        <w:spacing w:after="240"/>
        <w:ind w:left="0" w:firstLine="0"/>
        <w:rPr>
          <w:color w:val="000000"/>
        </w:rPr>
      </w:pPr>
      <w:r w:rsidRPr="00332C9C">
        <w:rPr>
          <w:color w:val="000000"/>
        </w:rPr>
        <w:t xml:space="preserve">The task team was multi-sectoral and provided effective and well-coordinated implementation support, with relentless follow-up on the details of implementation of the numerous and diverse activities. As the scale and scope of the project grew, the task team continued to meet client demand. This is evidenced through the task team </w:t>
      </w:r>
      <w:r w:rsidR="0056503A" w:rsidRPr="00332C9C">
        <w:rPr>
          <w:color w:val="000000"/>
        </w:rPr>
        <w:t>leaders’</w:t>
      </w:r>
      <w:r w:rsidRPr="00332C9C">
        <w:rPr>
          <w:color w:val="000000"/>
        </w:rPr>
        <w:t xml:space="preserve"> </w:t>
      </w:r>
      <w:r w:rsidR="0056503A">
        <w:rPr>
          <w:color w:val="000000"/>
        </w:rPr>
        <w:t>ability</w:t>
      </w:r>
      <w:r w:rsidR="00030459">
        <w:rPr>
          <w:color w:val="000000"/>
        </w:rPr>
        <w:t xml:space="preserve"> to</w:t>
      </w:r>
      <w:r w:rsidR="0056503A">
        <w:rPr>
          <w:color w:val="000000"/>
        </w:rPr>
        <w:t xml:space="preserve"> </w:t>
      </w:r>
      <w:r w:rsidR="00585664">
        <w:rPr>
          <w:color w:val="000000"/>
        </w:rPr>
        <w:t xml:space="preserve">successfully complete the </w:t>
      </w:r>
      <w:r w:rsidRPr="00332C9C">
        <w:rPr>
          <w:color w:val="000000"/>
        </w:rPr>
        <w:t xml:space="preserve">additional </w:t>
      </w:r>
      <w:r w:rsidR="00DF21B1" w:rsidRPr="00332C9C">
        <w:rPr>
          <w:color w:val="000000"/>
        </w:rPr>
        <w:t>financ</w:t>
      </w:r>
      <w:r w:rsidR="00DF21B1">
        <w:rPr>
          <w:color w:val="000000"/>
        </w:rPr>
        <w:t>ing</w:t>
      </w:r>
      <w:r w:rsidRPr="00332C9C">
        <w:rPr>
          <w:color w:val="000000"/>
        </w:rPr>
        <w:t xml:space="preserve">, and </w:t>
      </w:r>
      <w:r w:rsidR="00585664">
        <w:rPr>
          <w:color w:val="000000"/>
        </w:rPr>
        <w:t xml:space="preserve">two project </w:t>
      </w:r>
      <w:r w:rsidRPr="00332C9C">
        <w:rPr>
          <w:color w:val="000000"/>
        </w:rPr>
        <w:t>restructur</w:t>
      </w:r>
      <w:r w:rsidR="00585664">
        <w:rPr>
          <w:color w:val="000000"/>
        </w:rPr>
        <w:t>ing exercises</w:t>
      </w:r>
      <w:r w:rsidR="004F57C6">
        <w:rPr>
          <w:color w:val="000000"/>
        </w:rPr>
        <w:t>, showing the required pro-activity and flexibility</w:t>
      </w:r>
      <w:r w:rsidRPr="00332C9C">
        <w:rPr>
          <w:color w:val="000000"/>
        </w:rPr>
        <w:t>.</w:t>
      </w:r>
      <w:r w:rsidR="0056503A">
        <w:rPr>
          <w:color w:val="000000"/>
        </w:rPr>
        <w:t xml:space="preserve">  </w:t>
      </w:r>
      <w:r w:rsidR="00585664">
        <w:rPr>
          <w:color w:val="000000"/>
        </w:rPr>
        <w:t xml:space="preserve">These changes in the project did not cause any delays in moving from the pilot to the scale up phase. </w:t>
      </w:r>
      <w:r w:rsidR="0056503A">
        <w:rPr>
          <w:color w:val="000000"/>
        </w:rPr>
        <w:t xml:space="preserve">Some minor delays were encountered in this process, however the delays were rapidly addressed and did not impact the overall performance of the project. </w:t>
      </w:r>
      <w:r w:rsidRPr="00332C9C">
        <w:rPr>
          <w:color w:val="000000"/>
        </w:rPr>
        <w:t xml:space="preserve">As the project moved from pilot to scale up phase, the task team recognized the need to bring in additional international expertise to support Mongolia guide the project through the process, conducting sound institutional analysis and making recommendations based on international best practice. It is a testament to the commitment and ability to embrace innovation </w:t>
      </w:r>
      <w:r w:rsidRPr="00332C9C">
        <w:rPr>
          <w:color w:val="000000"/>
        </w:rPr>
        <w:lastRenderedPageBreak/>
        <w:t xml:space="preserve">of the </w:t>
      </w:r>
      <w:r w:rsidR="00271255">
        <w:rPr>
          <w:color w:val="000000"/>
        </w:rPr>
        <w:t>WB</w:t>
      </w:r>
      <w:r w:rsidRPr="00332C9C">
        <w:rPr>
          <w:color w:val="000000"/>
        </w:rPr>
        <w:t>’s multi-sectoral team that the initial ambitious targets, which were subsequently raised through the additional financing, were achieved and many were exceeded, despite the complex multi-sectoral challenges and innovative nature of the project. This is made more impressive by the fact that, given the complex and innovative nature of the IBLI project, national expertise needed to be supported with supervisory support drawing on international experts from around the globe</w:t>
      </w:r>
      <w:r w:rsidR="004F57C6">
        <w:rPr>
          <w:color w:val="000000"/>
        </w:rPr>
        <w:t>. As demonstrated above, safeguards, procurement and FM issues were well and timely handled</w:t>
      </w:r>
      <w:r w:rsidR="00473BE2" w:rsidRPr="004152B8">
        <w:rPr>
          <w:color w:val="000000"/>
        </w:rPr>
        <w:t>.</w:t>
      </w:r>
    </w:p>
    <w:p w14:paraId="59B1ADB3" w14:textId="028FFC07" w:rsidR="00C67D43" w:rsidRDefault="00473BE2" w:rsidP="002A12B8">
      <w:pPr>
        <w:spacing w:after="240"/>
        <w:rPr>
          <w:color w:val="000000"/>
          <w:sz w:val="22"/>
          <w:szCs w:val="22"/>
        </w:rPr>
      </w:pPr>
      <w:r w:rsidRPr="004152B8">
        <w:rPr>
          <w:color w:val="000000"/>
        </w:rPr>
        <w:t xml:space="preserve"> </w:t>
      </w:r>
      <w:r w:rsidR="00C67D43">
        <w:rPr>
          <w:rStyle w:val="Strong"/>
          <w:color w:val="000000"/>
          <w:sz w:val="22"/>
          <w:szCs w:val="22"/>
        </w:rPr>
        <w:t>(c) Justification of Rating for Overall Bank Performance</w:t>
      </w:r>
    </w:p>
    <w:p w14:paraId="72BFF957" w14:textId="77777777" w:rsidR="00BC449F" w:rsidRDefault="00BC449F" w:rsidP="00F92093">
      <w:pPr>
        <w:adjustRightInd w:val="0"/>
        <w:rPr>
          <w:color w:val="000000"/>
        </w:rPr>
      </w:pPr>
      <w:bookmarkStart w:id="160" w:name="SEC101C"/>
      <w:bookmarkEnd w:id="160"/>
      <w:r w:rsidRPr="00BC449F">
        <w:rPr>
          <w:color w:val="000000"/>
        </w:rPr>
        <w:t xml:space="preserve">Rating: </w:t>
      </w:r>
      <w:bookmarkStart w:id="161" w:name="RAT51C"/>
      <w:bookmarkEnd w:id="161"/>
      <w:r w:rsidRPr="00BC449F">
        <w:rPr>
          <w:b/>
          <w:color w:val="000000"/>
        </w:rPr>
        <w:t>Satisfactory</w:t>
      </w:r>
      <w:r w:rsidRPr="00BC449F">
        <w:rPr>
          <w:color w:val="000000"/>
        </w:rPr>
        <w:t xml:space="preserve"> </w:t>
      </w:r>
    </w:p>
    <w:p w14:paraId="470209E2" w14:textId="77777777" w:rsidR="005A4EF0" w:rsidRPr="00BC449F" w:rsidRDefault="005A4EF0" w:rsidP="00F92093">
      <w:pPr>
        <w:adjustRightInd w:val="0"/>
        <w:rPr>
          <w:color w:val="000000"/>
        </w:rPr>
      </w:pPr>
    </w:p>
    <w:p w14:paraId="49CD6CD3" w14:textId="15897E62" w:rsidR="00BC449F" w:rsidRPr="00BC449F" w:rsidRDefault="00BC449F" w:rsidP="00F92093">
      <w:pPr>
        <w:numPr>
          <w:ilvl w:val="0"/>
          <w:numId w:val="2"/>
        </w:numPr>
        <w:tabs>
          <w:tab w:val="num" w:pos="0"/>
        </w:tabs>
        <w:spacing w:after="240"/>
        <w:ind w:left="0" w:firstLine="0"/>
        <w:rPr>
          <w:bCs/>
          <w:color w:val="000000"/>
          <w:lang w:eastAsia="en-US"/>
        </w:rPr>
      </w:pPr>
      <w:r w:rsidRPr="00BC449F">
        <w:rPr>
          <w:iCs/>
          <w:color w:val="000000"/>
          <w:lang w:eastAsia="en-US"/>
        </w:rPr>
        <w:t xml:space="preserve">Strong </w:t>
      </w:r>
      <w:r w:rsidR="00732373">
        <w:rPr>
          <w:iCs/>
          <w:color w:val="000000"/>
          <w:lang w:eastAsia="en-US"/>
        </w:rPr>
        <w:t>WB</w:t>
      </w:r>
      <w:r w:rsidRPr="00BC449F">
        <w:rPr>
          <w:iCs/>
          <w:color w:val="000000"/>
          <w:lang w:eastAsia="en-US"/>
        </w:rPr>
        <w:t xml:space="preserve"> performance during the preparation phase, preparation of a robust multi-sectoral framework, drawing from international expertise and best practice, coordination with partners around a country-owned plan, and an ongoing commitment to use </w:t>
      </w:r>
      <w:r w:rsidR="004F57C6">
        <w:rPr>
          <w:iCs/>
          <w:color w:val="000000"/>
          <w:lang w:eastAsia="en-US"/>
        </w:rPr>
        <w:t>WB</w:t>
      </w:r>
      <w:r w:rsidRPr="00BC449F">
        <w:rPr>
          <w:iCs/>
          <w:color w:val="000000"/>
          <w:lang w:eastAsia="en-US"/>
        </w:rPr>
        <w:t xml:space="preserve"> lending instruments to meet Mongolia’s needs was followed by the team’s relentless attention to the details of implementation in two major sectors and consistently high and successful coordination effort in the supervision phase. This excellent performance warrants an overall Bank performance rating of </w:t>
      </w:r>
      <w:r w:rsidRPr="00BC449F">
        <w:rPr>
          <w:color w:val="000000"/>
          <w:lang w:eastAsia="en-US"/>
        </w:rPr>
        <w:t>Satisfactory.</w:t>
      </w:r>
    </w:p>
    <w:p w14:paraId="02E0B9ED" w14:textId="1B2BF40A" w:rsidR="006737C2" w:rsidRPr="005A4EF0" w:rsidRDefault="00C67D43" w:rsidP="005A4EF0">
      <w:pPr>
        <w:pStyle w:val="Heading3"/>
        <w:spacing w:after="240"/>
        <w:rPr>
          <w:sz w:val="24"/>
          <w:szCs w:val="24"/>
        </w:rPr>
      </w:pPr>
      <w:bookmarkStart w:id="162" w:name="_Toc456784540"/>
      <w:r w:rsidRPr="005A4EF0">
        <w:rPr>
          <w:sz w:val="24"/>
          <w:szCs w:val="24"/>
        </w:rPr>
        <w:t>5.2 Borrower</w:t>
      </w:r>
      <w:r w:rsidR="00E07BAC" w:rsidRPr="005A4EF0">
        <w:rPr>
          <w:sz w:val="24"/>
          <w:szCs w:val="24"/>
        </w:rPr>
        <w:t xml:space="preserve"> Performance</w:t>
      </w:r>
      <w:bookmarkEnd w:id="162"/>
    </w:p>
    <w:p w14:paraId="48DFE193" w14:textId="77777777" w:rsidR="005A4EF0" w:rsidRDefault="00C67D43" w:rsidP="005A4EF0">
      <w:pPr>
        <w:spacing w:line="200" w:lineRule="atLeast"/>
        <w:rPr>
          <w:rStyle w:val="Strong"/>
          <w:color w:val="000000"/>
          <w:sz w:val="22"/>
          <w:szCs w:val="22"/>
        </w:rPr>
      </w:pPr>
      <w:r>
        <w:rPr>
          <w:rStyle w:val="Strong"/>
          <w:color w:val="000000"/>
          <w:sz w:val="22"/>
          <w:szCs w:val="22"/>
        </w:rPr>
        <w:t>(a) Government Performance</w:t>
      </w:r>
      <w:bookmarkStart w:id="163" w:name="SEC102A"/>
      <w:bookmarkEnd w:id="163"/>
    </w:p>
    <w:p w14:paraId="544C3D05" w14:textId="4FDD9540" w:rsidR="00732373" w:rsidRDefault="00547996" w:rsidP="005A4EF0">
      <w:pPr>
        <w:spacing w:line="200" w:lineRule="atLeast"/>
        <w:rPr>
          <w:b/>
        </w:rPr>
      </w:pPr>
      <w:r>
        <w:t xml:space="preserve">Rating: </w:t>
      </w:r>
      <w:r w:rsidRPr="00AE1510">
        <w:rPr>
          <w:b/>
        </w:rPr>
        <w:t>Satisfactory</w:t>
      </w:r>
    </w:p>
    <w:p w14:paraId="02B391B8" w14:textId="77777777" w:rsidR="005A4EF0" w:rsidRDefault="005A4EF0" w:rsidP="005A4EF0">
      <w:pPr>
        <w:spacing w:line="200" w:lineRule="atLeast"/>
      </w:pPr>
    </w:p>
    <w:p w14:paraId="1F9FB111" w14:textId="6B1B473F" w:rsidR="00CC2020" w:rsidRDefault="00547996" w:rsidP="00F92093">
      <w:pPr>
        <w:numPr>
          <w:ilvl w:val="0"/>
          <w:numId w:val="2"/>
        </w:numPr>
        <w:tabs>
          <w:tab w:val="num" w:pos="0"/>
        </w:tabs>
        <w:spacing w:after="240"/>
        <w:ind w:left="0" w:firstLine="0"/>
      </w:pPr>
      <w:r>
        <w:t xml:space="preserve">The project achieved </w:t>
      </w:r>
      <w:r w:rsidR="006E42C0">
        <w:t>its PDO indicators</w:t>
      </w:r>
      <w:r>
        <w:t xml:space="preserve">. Equally important, nearly all interim targets were met during implementation and many were exceeded. The initial piloting of IBLI, and following its success the scaling up of the IBLI project, enabled the Government to provide herders with a viable option to protect their welfare against the impacts of </w:t>
      </w:r>
      <w:r w:rsidR="00732373" w:rsidRPr="00732373">
        <w:rPr>
          <w:i/>
        </w:rPr>
        <w:t>dzud</w:t>
      </w:r>
      <w:r>
        <w:t xml:space="preserve">, which took advantage of the efficiency of private sector service and risk management delivery.  Moreover, </w:t>
      </w:r>
      <w:r w:rsidR="00843AB8">
        <w:t xml:space="preserve">the GoM </w:t>
      </w:r>
      <w:r>
        <w:t>established a legal and institutional framework to support the IBLI program in the mid-long term. The government provided the policy framework and leadership to support the successful implementation of the IBLI project, which was tested on numerous occasions with adverse weather conditions. The government mobilized to effectively share its knowledge with the international community on multiple occasions through international insurance and reinsurance events. This contribution was beyond that envisaged in the project design, and added substantial value to the global knowledge agenda on developing successful national index based insurance programs. Commitment to building national insurance programs is extremely difficult to sustain, as shown by the high failure rate in most developing countries. The government’s sustained commitment to the project for over a decade is by itself sufficient grounds for a satisfactory rating.</w:t>
      </w:r>
    </w:p>
    <w:p w14:paraId="4C58AD9F" w14:textId="77777777" w:rsidR="00C67D43" w:rsidRDefault="00C67D43" w:rsidP="00F92093">
      <w:pPr>
        <w:spacing w:line="200" w:lineRule="atLeast"/>
        <w:rPr>
          <w:color w:val="000000"/>
          <w:sz w:val="22"/>
          <w:szCs w:val="22"/>
        </w:rPr>
      </w:pPr>
      <w:r>
        <w:rPr>
          <w:rStyle w:val="Strong"/>
          <w:color w:val="000000"/>
          <w:sz w:val="22"/>
          <w:szCs w:val="22"/>
        </w:rPr>
        <w:t>(b) Implementing Agency or Agencies Performance</w:t>
      </w:r>
    </w:p>
    <w:p w14:paraId="0F0D562B" w14:textId="77777777" w:rsidR="00AE1510" w:rsidRDefault="00AE1510" w:rsidP="00F92093">
      <w:pPr>
        <w:rPr>
          <w:b/>
          <w:color w:val="000000"/>
        </w:rPr>
      </w:pPr>
      <w:bookmarkStart w:id="164" w:name="SEC102B"/>
      <w:bookmarkEnd w:id="164"/>
      <w:r w:rsidRPr="00AE1510">
        <w:rPr>
          <w:color w:val="000000"/>
        </w:rPr>
        <w:t xml:space="preserve">Rating: </w:t>
      </w:r>
      <w:r w:rsidRPr="00AE1510">
        <w:rPr>
          <w:b/>
          <w:color w:val="000000"/>
        </w:rPr>
        <w:t>Satisfactory</w:t>
      </w:r>
    </w:p>
    <w:p w14:paraId="3DE9EEAD" w14:textId="77777777" w:rsidR="005A4EF0" w:rsidRPr="00AE1510" w:rsidRDefault="005A4EF0" w:rsidP="00F92093">
      <w:pPr>
        <w:rPr>
          <w:color w:val="000000"/>
        </w:rPr>
      </w:pPr>
    </w:p>
    <w:p w14:paraId="23460905" w14:textId="4B9C0635" w:rsidR="00473BE2" w:rsidRPr="00473BE2" w:rsidRDefault="00AE1510" w:rsidP="00F92093">
      <w:pPr>
        <w:numPr>
          <w:ilvl w:val="0"/>
          <w:numId w:val="2"/>
        </w:numPr>
        <w:tabs>
          <w:tab w:val="num" w:pos="0"/>
        </w:tabs>
        <w:spacing w:after="240" w:line="200" w:lineRule="atLeast"/>
        <w:ind w:left="0" w:firstLine="0"/>
        <w:rPr>
          <w:color w:val="000000"/>
          <w:sz w:val="22"/>
          <w:szCs w:val="22"/>
        </w:rPr>
      </w:pPr>
      <w:r w:rsidRPr="007507D1">
        <w:t>IBLI</w:t>
      </w:r>
      <w:r w:rsidRPr="00473BE2">
        <w:rPr>
          <w:color w:val="000000"/>
        </w:rPr>
        <w:t xml:space="preserve"> was implemented by the PIU which sat within the </w:t>
      </w:r>
      <w:r w:rsidR="00732373">
        <w:rPr>
          <w:color w:val="000000"/>
        </w:rPr>
        <w:t>MoF</w:t>
      </w:r>
      <w:r w:rsidRPr="00473BE2">
        <w:rPr>
          <w:color w:val="000000"/>
        </w:rPr>
        <w:t xml:space="preserve">. That said, herding by its nature is rural. Thus the PIU established a methodology to work effectively across a vast, </w:t>
      </w:r>
      <w:r w:rsidRPr="00473BE2">
        <w:rPr>
          <w:color w:val="000000"/>
        </w:rPr>
        <w:lastRenderedPageBreak/>
        <w:t xml:space="preserve">sparsely populated country (Mongolia is the </w:t>
      </w:r>
      <w:r w:rsidR="00653F0C" w:rsidRPr="00653F0C">
        <w:rPr>
          <w:color w:val="000000"/>
        </w:rPr>
        <w:t xml:space="preserve">most sparsely populated </w:t>
      </w:r>
      <w:r w:rsidRPr="00473BE2">
        <w:rPr>
          <w:color w:val="000000"/>
        </w:rPr>
        <w:t>countr</w:t>
      </w:r>
      <w:r w:rsidR="00653F0C">
        <w:rPr>
          <w:color w:val="000000"/>
        </w:rPr>
        <w:t>y</w:t>
      </w:r>
      <w:r w:rsidRPr="00473BE2">
        <w:rPr>
          <w:color w:val="000000"/>
        </w:rPr>
        <w:t xml:space="preserve"> in the world). The difficulties created by a complex project with decentralized implementation were effectively addressed and overcome thanks to exceptional commitment to advancing the IBLI project by the PIU. In addition, as the IBLI project was at its time unprecedented (and is still to this day unique in terms of W</w:t>
      </w:r>
      <w:r w:rsidR="00732373">
        <w:rPr>
          <w:color w:val="000000"/>
        </w:rPr>
        <w:t xml:space="preserve">B </w:t>
      </w:r>
      <w:r w:rsidRPr="00473BE2">
        <w:rPr>
          <w:color w:val="000000"/>
        </w:rPr>
        <w:t xml:space="preserve">lending operations), the PIU displayed enormous capacity to innovate in the face of challenges, which constantly arose due to the unchartered path the project took. Moreover, implementing agencies made adjustments flexibly, supported deliberate and successful coordination across sectors at central, </w:t>
      </w:r>
      <w:r w:rsidR="00732373" w:rsidRPr="00732373">
        <w:rPr>
          <w:i/>
          <w:color w:val="000000"/>
        </w:rPr>
        <w:t>aimag</w:t>
      </w:r>
      <w:r w:rsidR="00732373" w:rsidRPr="00473BE2">
        <w:rPr>
          <w:color w:val="000000"/>
        </w:rPr>
        <w:t xml:space="preserve"> </w:t>
      </w:r>
      <w:r w:rsidRPr="00473BE2">
        <w:rPr>
          <w:color w:val="000000"/>
        </w:rPr>
        <w:t xml:space="preserve">and </w:t>
      </w:r>
      <w:r w:rsidR="00732373" w:rsidRPr="00732373">
        <w:rPr>
          <w:i/>
          <w:color w:val="000000"/>
        </w:rPr>
        <w:t>soum</w:t>
      </w:r>
      <w:r w:rsidR="00732373" w:rsidRPr="00473BE2">
        <w:rPr>
          <w:color w:val="000000"/>
        </w:rPr>
        <w:t xml:space="preserve"> </w:t>
      </w:r>
      <w:r w:rsidRPr="00473BE2">
        <w:rPr>
          <w:color w:val="000000"/>
        </w:rPr>
        <w:t xml:space="preserve">levels, and exploited opportunities for additional efficiencies, to stretch the limited resources available to produce additional results. </w:t>
      </w:r>
      <w:r w:rsidR="00430353">
        <w:rPr>
          <w:color w:val="000000"/>
        </w:rPr>
        <w:t xml:space="preserve">The PIU staff was carefully selected and resulted in a highly motivated and qualified team, most of which was transferred to AgRe. </w:t>
      </w:r>
      <w:r w:rsidRPr="00473BE2">
        <w:rPr>
          <w:color w:val="000000"/>
        </w:rPr>
        <w:t xml:space="preserve">When the ICR team engaged with stakeholders in Mongolia, be it from the insurance, ministerial, provincial governments or indeed herders themselves, the opinion </w:t>
      </w:r>
      <w:r w:rsidR="004F57C6">
        <w:rPr>
          <w:color w:val="000000"/>
        </w:rPr>
        <w:t>about</w:t>
      </w:r>
      <w:r w:rsidR="004F57C6" w:rsidRPr="00473BE2">
        <w:rPr>
          <w:color w:val="000000"/>
        </w:rPr>
        <w:t xml:space="preserve"> </w:t>
      </w:r>
      <w:r w:rsidRPr="00473BE2">
        <w:rPr>
          <w:color w:val="000000"/>
        </w:rPr>
        <w:t>the PIU was unanimous and resounding – it did an excellent job</w:t>
      </w:r>
      <w:r w:rsidR="00A77672">
        <w:rPr>
          <w:color w:val="000000"/>
        </w:rPr>
        <w:t>.</w:t>
      </w:r>
    </w:p>
    <w:p w14:paraId="6D6417ED" w14:textId="77777777" w:rsidR="005A4EF0" w:rsidRDefault="00012CBB" w:rsidP="005A4EF0">
      <w:pPr>
        <w:spacing w:line="200" w:lineRule="atLeast"/>
        <w:rPr>
          <w:rStyle w:val="Strong"/>
          <w:color w:val="000000"/>
          <w:sz w:val="22"/>
          <w:szCs w:val="22"/>
        </w:rPr>
      </w:pPr>
      <w:r w:rsidRPr="00473BE2">
        <w:rPr>
          <w:rStyle w:val="Strong"/>
          <w:color w:val="000000"/>
          <w:sz w:val="22"/>
          <w:szCs w:val="22"/>
        </w:rPr>
        <w:t xml:space="preserve"> </w:t>
      </w:r>
      <w:r w:rsidR="00C67D43" w:rsidRPr="00473BE2">
        <w:rPr>
          <w:rStyle w:val="Strong"/>
          <w:color w:val="000000"/>
          <w:sz w:val="22"/>
          <w:szCs w:val="22"/>
        </w:rPr>
        <w:t>(c) Justification of Rating for Overall Borrower Performance</w:t>
      </w:r>
      <w:bookmarkStart w:id="165" w:name="SEC102C"/>
      <w:bookmarkEnd w:id="165"/>
    </w:p>
    <w:p w14:paraId="3FF3CA1D" w14:textId="33F6C633" w:rsidR="007507D1" w:rsidRPr="00273C6A" w:rsidRDefault="007507D1" w:rsidP="00F92093">
      <w:pPr>
        <w:spacing w:after="240" w:line="200" w:lineRule="atLeast"/>
        <w:rPr>
          <w:color w:val="000000"/>
          <w:sz w:val="22"/>
          <w:szCs w:val="22"/>
        </w:rPr>
      </w:pPr>
      <w:r>
        <w:t xml:space="preserve">Rating: </w:t>
      </w:r>
      <w:r w:rsidRPr="00356978">
        <w:rPr>
          <w:b/>
        </w:rPr>
        <w:t xml:space="preserve">Satisfactory </w:t>
      </w:r>
    </w:p>
    <w:p w14:paraId="049D9AA9" w14:textId="65FA7F4F" w:rsidR="00254477" w:rsidRPr="00C67D43" w:rsidRDefault="007507D1" w:rsidP="00F92093">
      <w:pPr>
        <w:numPr>
          <w:ilvl w:val="0"/>
          <w:numId w:val="2"/>
        </w:numPr>
        <w:tabs>
          <w:tab w:val="num" w:pos="0"/>
        </w:tabs>
        <w:spacing w:after="240"/>
        <w:ind w:left="0" w:firstLine="0"/>
      </w:pPr>
      <w:r>
        <w:t>IBLI achieved excellent results as a multi</w:t>
      </w:r>
      <w:r w:rsidR="004F57C6">
        <w:t>-</w:t>
      </w:r>
      <w:r>
        <w:t xml:space="preserve">sectoral project because of strong government leadership and commitment from the </w:t>
      </w:r>
      <w:r w:rsidR="00732373">
        <w:t>MoF</w:t>
      </w:r>
      <w:r>
        <w:t xml:space="preserve">, with support from the ministry of agriculture and justice, responsible for implementation. Sustaining this program is required for ensuring high economic and welfare benefits within Mongolia and going beyond the project to contribute knowledge to the global knowledge agenda on national insurance programs more than offsets the final ISR </w:t>
      </w:r>
      <w:r w:rsidR="00732373">
        <w:t xml:space="preserve">rating </w:t>
      </w:r>
      <w:r>
        <w:t>of moderately satisfactory in the project period. Altogether, a satisfactory rating is therefore thoroughly justified.</w:t>
      </w:r>
    </w:p>
    <w:p w14:paraId="2D4301CA" w14:textId="32DE85C7" w:rsidR="00C67D43" w:rsidRDefault="00C67D43">
      <w:pPr>
        <w:pStyle w:val="Heading2"/>
      </w:pPr>
      <w:bookmarkStart w:id="166" w:name="_IL11"/>
      <w:bookmarkStart w:id="167" w:name="_Toc158019375"/>
      <w:bookmarkStart w:id="168" w:name="_Toc456784541"/>
      <w:r>
        <w:t>6. Lessons Learned</w:t>
      </w:r>
      <w:bookmarkEnd w:id="166"/>
      <w:bookmarkEnd w:id="167"/>
      <w:bookmarkEnd w:id="168"/>
    </w:p>
    <w:p w14:paraId="1AC61A2E" w14:textId="77777777" w:rsidR="005A4EF0" w:rsidRDefault="005A4EF0" w:rsidP="005A4EF0">
      <w:pPr>
        <w:pStyle w:val="Heading2"/>
        <w:spacing w:before="0" w:beforeAutospacing="0"/>
      </w:pPr>
    </w:p>
    <w:p w14:paraId="0FA1EA85" w14:textId="360A7AAF" w:rsidR="002D01FA" w:rsidRPr="00F92093" w:rsidRDefault="002D01FA" w:rsidP="00F92093">
      <w:pPr>
        <w:numPr>
          <w:ilvl w:val="0"/>
          <w:numId w:val="2"/>
        </w:numPr>
        <w:tabs>
          <w:tab w:val="num" w:pos="0"/>
        </w:tabs>
        <w:spacing w:after="240"/>
        <w:ind w:left="0" w:firstLine="0"/>
      </w:pPr>
      <w:bookmarkStart w:id="169" w:name="SEC11"/>
      <w:bookmarkEnd w:id="169"/>
      <w:r w:rsidRPr="00F92093">
        <w:t xml:space="preserve">The authors believe there were </w:t>
      </w:r>
      <w:r w:rsidRPr="00F92093">
        <w:rPr>
          <w:u w:val="single"/>
        </w:rPr>
        <w:t>two key lessons</w:t>
      </w:r>
      <w:r w:rsidRPr="00F92093">
        <w:t xml:space="preserve">, and multiple additional lessons, learned from the IBLI project. </w:t>
      </w:r>
    </w:p>
    <w:p w14:paraId="3832E392" w14:textId="14DEBF6A" w:rsidR="003A4CDD" w:rsidRPr="00207D77" w:rsidRDefault="003A4CDD" w:rsidP="00F92093">
      <w:pPr>
        <w:numPr>
          <w:ilvl w:val="0"/>
          <w:numId w:val="2"/>
        </w:numPr>
        <w:tabs>
          <w:tab w:val="num" w:pos="0"/>
        </w:tabs>
        <w:spacing w:after="240"/>
        <w:ind w:left="0" w:firstLine="0"/>
        <w:rPr>
          <w:b/>
        </w:rPr>
      </w:pPr>
      <w:r>
        <w:rPr>
          <w:b/>
        </w:rPr>
        <w:t xml:space="preserve">Risk taking, tempered with </w:t>
      </w:r>
      <w:r w:rsidR="002D01FA">
        <w:rPr>
          <w:b/>
        </w:rPr>
        <w:t>sound</w:t>
      </w:r>
      <w:r>
        <w:rPr>
          <w:b/>
        </w:rPr>
        <w:t xml:space="preserve"> risk management, can </w:t>
      </w:r>
      <w:r w:rsidR="0063318C">
        <w:rPr>
          <w:b/>
        </w:rPr>
        <w:t xml:space="preserve">reap large </w:t>
      </w:r>
      <w:r>
        <w:rPr>
          <w:b/>
        </w:rPr>
        <w:t>dividends.</w:t>
      </w:r>
      <w:r>
        <w:t xml:space="preserve">  Acknowledgement should be given to the </w:t>
      </w:r>
      <w:r w:rsidR="004F57C6">
        <w:t>GoM</w:t>
      </w:r>
      <w:r>
        <w:t xml:space="preserve"> and </w:t>
      </w:r>
      <w:r w:rsidR="004F57C6">
        <w:t>WB</w:t>
      </w:r>
      <w:r>
        <w:t xml:space="preserve"> management for agreeing to undertake this project.  At the time it began, in 2005, IBLI was unprecedented </w:t>
      </w:r>
      <w:r w:rsidRPr="00F92093">
        <w:rPr>
          <w:u w:val="single"/>
        </w:rPr>
        <w:t>globally</w:t>
      </w:r>
      <w:r>
        <w:t xml:space="preserve">.  In addition, the insurance market in Mongolia was in its infancy and did </w:t>
      </w:r>
      <w:r w:rsidR="002D01FA">
        <w:t>not</w:t>
      </w:r>
      <w:r>
        <w:t xml:space="preserve"> reach beyond Ulaanbaatar</w:t>
      </w:r>
      <w:r w:rsidR="002D01FA">
        <w:t>. This meant that insurance capacity, both in the public and private sector, was limited</w:t>
      </w:r>
      <w:r>
        <w:t>. These facts alone meant that this project was high risk, both for the government as well as for World Bank management</w:t>
      </w:r>
      <w:r w:rsidR="003E3CD6">
        <w:t xml:space="preserve">.  </w:t>
      </w:r>
      <w:r w:rsidR="002D01FA">
        <w:t xml:space="preserve">Recognizing </w:t>
      </w:r>
      <w:r w:rsidR="003E3CD6">
        <w:t xml:space="preserve">the </w:t>
      </w:r>
      <w:r w:rsidR="002D01FA">
        <w:t>risk</w:t>
      </w:r>
      <w:r w:rsidR="003E3CD6">
        <w:t>s</w:t>
      </w:r>
      <w:r w:rsidR="002D01FA">
        <w:t xml:space="preserve">, the project preparation team </w:t>
      </w:r>
      <w:r w:rsidR="003E3CD6">
        <w:t xml:space="preserve">developed several effective risk management measures </w:t>
      </w:r>
      <w:r w:rsidR="002D01FA">
        <w:t xml:space="preserve">to </w:t>
      </w:r>
      <w:r w:rsidR="003E3CD6">
        <w:t>mitigate them</w:t>
      </w:r>
      <w:r w:rsidR="002D01FA">
        <w:t xml:space="preserve">, including: (i) having a prescriptive DCA, limiting the scope for misuse of funds; (ii) </w:t>
      </w:r>
      <w:r w:rsidR="003E3CD6">
        <w:t>limiting the scope of the PDO to piloting the product in the initial phase, and</w:t>
      </w:r>
      <w:r w:rsidR="002D01FA">
        <w:t xml:space="preserve">; (iii) bringing a multi-sectorial team </w:t>
      </w:r>
      <w:r w:rsidR="003E3CD6">
        <w:t xml:space="preserve">to prepare the project, drawing on wide expertise to create innovative, viable solutions. Acknowledging these efforts, </w:t>
      </w:r>
      <w:r w:rsidR="006F05AE">
        <w:t xml:space="preserve">the project was approved and </w:t>
      </w:r>
      <w:r>
        <w:t xml:space="preserve">now stands as a universally accepted success, in the </w:t>
      </w:r>
      <w:r w:rsidR="004F57C6">
        <w:t>WB</w:t>
      </w:r>
      <w:r>
        <w:t xml:space="preserve"> as well as with the national</w:t>
      </w:r>
      <w:r w:rsidRPr="00455118">
        <w:t xml:space="preserve"> </w:t>
      </w:r>
      <w:r>
        <w:t>government, the provincial government, insurance companies, international reinsurance companies and</w:t>
      </w:r>
      <w:r w:rsidR="006F05AE">
        <w:t>,</w:t>
      </w:r>
      <w:r>
        <w:t xml:space="preserve"> most importantly</w:t>
      </w:r>
      <w:r w:rsidR="006F05AE">
        <w:t>,</w:t>
      </w:r>
      <w:r>
        <w:t xml:space="preserve"> the ultimate beneficiaries - herders.  </w:t>
      </w:r>
      <w:r w:rsidR="006F05AE">
        <w:t>This project stands as an example of how lowering the risk aversion of management and client counterparts in governments can lead to ground breaking projects that address a development challenge previously thought impossible to solve</w:t>
      </w:r>
      <w:r>
        <w:t>.</w:t>
      </w:r>
    </w:p>
    <w:p w14:paraId="395C9625" w14:textId="0CA4AA2D" w:rsidR="00615C0C" w:rsidRPr="00207D77" w:rsidRDefault="00146A80" w:rsidP="00F92093">
      <w:pPr>
        <w:numPr>
          <w:ilvl w:val="0"/>
          <w:numId w:val="2"/>
        </w:numPr>
        <w:tabs>
          <w:tab w:val="num" w:pos="0"/>
        </w:tabs>
        <w:spacing w:after="240"/>
        <w:ind w:left="0" w:firstLine="0"/>
        <w:rPr>
          <w:b/>
        </w:rPr>
      </w:pPr>
      <w:r>
        <w:rPr>
          <w:b/>
        </w:rPr>
        <w:lastRenderedPageBreak/>
        <w:t xml:space="preserve">Contingent IDA has significant value.  </w:t>
      </w:r>
      <w:r w:rsidR="00615C0C" w:rsidRPr="009178A0">
        <w:t xml:space="preserve">The </w:t>
      </w:r>
      <w:r w:rsidR="00B04D17">
        <w:t xml:space="preserve">CDF, now a relic of times past, </w:t>
      </w:r>
      <w:r w:rsidR="00615C0C">
        <w:t xml:space="preserve">played a critical role in </w:t>
      </w:r>
      <w:r w:rsidR="00B04D17">
        <w:t xml:space="preserve">the success of the project.  In </w:t>
      </w:r>
      <w:r w:rsidR="00615C0C">
        <w:t xml:space="preserve">the early years </w:t>
      </w:r>
      <w:r w:rsidR="00B04D17">
        <w:t xml:space="preserve">when there was no capacity in country to bear catastrophic risk, the CDF was there, </w:t>
      </w:r>
      <w:r w:rsidR="002F7735">
        <w:t xml:space="preserve">providing a layer of catastrophe protection for </w:t>
      </w:r>
      <w:r w:rsidR="00615C0C">
        <w:t>government.  This innovative design feature enabled the project to gain several years of successful experience in underwriting</w:t>
      </w:r>
      <w:r w:rsidR="002F7735">
        <w:t xml:space="preserve">, administering </w:t>
      </w:r>
      <w:r w:rsidR="00615C0C">
        <w:t xml:space="preserve">and </w:t>
      </w:r>
      <w:r w:rsidR="002F7735">
        <w:t xml:space="preserve">paying </w:t>
      </w:r>
      <w:r w:rsidR="00615C0C">
        <w:t xml:space="preserve">claims </w:t>
      </w:r>
      <w:r w:rsidR="002F7735">
        <w:t>through IBLI</w:t>
      </w:r>
      <w:r w:rsidR="00615C0C">
        <w:t xml:space="preserve">, </w:t>
      </w:r>
      <w:r w:rsidR="00B04D17">
        <w:t xml:space="preserve">several years in which the project developed credible operational experience. Not only was this protection provided in theory, it was in practice, when </w:t>
      </w:r>
      <w:r w:rsidR="00615C0C">
        <w:t xml:space="preserve">in 2005 </w:t>
      </w:r>
      <w:r w:rsidR="00B04D17">
        <w:t xml:space="preserve">a large Dzud event that lead to the loss of c. 30% of the national herd triggered </w:t>
      </w:r>
      <w:r w:rsidR="00615C0C">
        <w:t xml:space="preserve">a payout of </w:t>
      </w:r>
      <w:r w:rsidR="0074580B">
        <w:t xml:space="preserve">c. </w:t>
      </w:r>
      <w:r w:rsidR="00615C0C">
        <w:t xml:space="preserve">$1.1 million </w:t>
      </w:r>
      <w:r w:rsidR="00B04D17">
        <w:t xml:space="preserve">from the CDF </w:t>
      </w:r>
      <w:r w:rsidR="00615C0C">
        <w:t xml:space="preserve">to herders. </w:t>
      </w:r>
      <w:r w:rsidR="00B04D17">
        <w:t xml:space="preserve">The </w:t>
      </w:r>
      <w:r w:rsidR="0074580B">
        <w:t xml:space="preserve">CDF was then </w:t>
      </w:r>
      <w:r w:rsidR="00E4743B">
        <w:t xml:space="preserve">further </w:t>
      </w:r>
      <w:r w:rsidR="0074580B">
        <w:t xml:space="preserve">vindicated </w:t>
      </w:r>
      <w:r w:rsidR="00AF48BB">
        <w:t>i</w:t>
      </w:r>
      <w:r w:rsidR="00615C0C">
        <w:t>n 2006</w:t>
      </w:r>
      <w:r w:rsidR="00AF48BB">
        <w:t xml:space="preserve"> </w:t>
      </w:r>
      <w:r w:rsidR="0074580B">
        <w:t xml:space="preserve">when </w:t>
      </w:r>
      <w:r w:rsidR="00AF48BB">
        <w:t xml:space="preserve">international </w:t>
      </w:r>
      <w:r w:rsidR="00615C0C">
        <w:t xml:space="preserve">reinsurance companies began providing </w:t>
      </w:r>
      <w:r w:rsidR="00AF48BB">
        <w:t xml:space="preserve">insurance </w:t>
      </w:r>
      <w:r w:rsidR="00615C0C">
        <w:t>protection</w:t>
      </w:r>
      <w:r w:rsidR="00AF48BB">
        <w:t xml:space="preserve"> to the IBLI portfolio, serving as </w:t>
      </w:r>
      <w:r w:rsidR="0074580B">
        <w:t xml:space="preserve">the highest </w:t>
      </w:r>
      <w:r w:rsidR="00AF48BB">
        <w:t xml:space="preserve">credibility stamp for </w:t>
      </w:r>
      <w:r w:rsidR="0074580B">
        <w:t>an insurance product</w:t>
      </w:r>
      <w:r w:rsidR="00AF48BB">
        <w:t xml:space="preserve">.  </w:t>
      </w:r>
      <w:r w:rsidR="00E4743B">
        <w:t xml:space="preserve">Having </w:t>
      </w:r>
      <w:r w:rsidR="0074580B">
        <w:t xml:space="preserve">contingent </w:t>
      </w:r>
      <w:r w:rsidR="00E4743B">
        <w:t xml:space="preserve">disbursement conditions on the </w:t>
      </w:r>
      <w:r w:rsidR="0074580B">
        <w:t>CDF</w:t>
      </w:r>
      <w:r w:rsidR="00E4743B">
        <w:t xml:space="preserve"> </w:t>
      </w:r>
      <w:r w:rsidR="0074580B">
        <w:t xml:space="preserve">IDA </w:t>
      </w:r>
      <w:r w:rsidR="00E4743B">
        <w:t xml:space="preserve">was a fundamental component of the project design, without which the project would </w:t>
      </w:r>
      <w:r w:rsidR="00C32CF0">
        <w:t>have been a non-starter</w:t>
      </w:r>
      <w:r w:rsidR="00E4743B">
        <w:t>.</w:t>
      </w:r>
    </w:p>
    <w:p w14:paraId="4F0ED76D" w14:textId="4B7F35C1" w:rsidR="00896711" w:rsidRPr="009178A0" w:rsidRDefault="00896711" w:rsidP="005A4EF0">
      <w:pPr>
        <w:spacing w:after="240"/>
      </w:pPr>
      <w:r w:rsidRPr="009178A0">
        <w:t xml:space="preserve">Additional lessons learnt include: </w:t>
      </w:r>
    </w:p>
    <w:p w14:paraId="34892458" w14:textId="10892218" w:rsidR="00321F05" w:rsidRPr="00810A5F" w:rsidRDefault="00321F05" w:rsidP="00F92093">
      <w:pPr>
        <w:numPr>
          <w:ilvl w:val="0"/>
          <w:numId w:val="2"/>
        </w:numPr>
        <w:tabs>
          <w:tab w:val="num" w:pos="0"/>
        </w:tabs>
        <w:spacing w:after="240"/>
        <w:ind w:left="0" w:firstLine="0"/>
        <w:rPr>
          <w:b/>
        </w:rPr>
      </w:pPr>
      <w:r w:rsidRPr="002A12B8">
        <w:rPr>
          <w:i/>
        </w:rPr>
        <w:t>Past failures can be overcome by technically robust solutions.</w:t>
      </w:r>
      <w:r>
        <w:t xml:space="preserve"> This project stands as an example of how piloting and scaling up a new approach can overcome challenges which have led to past failures. The Government of Mongolia, on multiple occasions, attempted to introduce livestock insurance.  However, plagued by moral hazard and anti-selection they failed.  IBLI innovated technically sound solutions drawn from international best practices</w:t>
      </w:r>
      <w:r w:rsidR="006E42C0">
        <w:t xml:space="preserve">, which then were adapted over the life of the project, through additional financing and restructuring, to the Mongolian context.  The points listed in paragraph </w:t>
      </w:r>
      <w:r w:rsidR="006E42C0">
        <w:fldChar w:fldCharType="begin"/>
      </w:r>
      <w:r w:rsidR="006E42C0">
        <w:instrText xml:space="preserve"> REF _Ref457830419 \r \h </w:instrText>
      </w:r>
      <w:r w:rsidR="006E42C0">
        <w:fldChar w:fldCharType="separate"/>
      </w:r>
      <w:r w:rsidR="00D41562">
        <w:t>36</w:t>
      </w:r>
      <w:r w:rsidR="006E42C0">
        <w:fldChar w:fldCharType="end"/>
      </w:r>
      <w:r w:rsidR="006E42C0">
        <w:t xml:space="preserve"> are in addition important. </w:t>
      </w:r>
    </w:p>
    <w:p w14:paraId="59620B10" w14:textId="7D1FD983" w:rsidR="00252BED" w:rsidRDefault="00252BED" w:rsidP="00F92093">
      <w:pPr>
        <w:numPr>
          <w:ilvl w:val="0"/>
          <w:numId w:val="2"/>
        </w:numPr>
        <w:tabs>
          <w:tab w:val="num" w:pos="0"/>
        </w:tabs>
        <w:spacing w:after="240"/>
        <w:ind w:left="0" w:firstLine="0"/>
      </w:pPr>
      <w:r w:rsidRPr="002A12B8">
        <w:rPr>
          <w:i/>
        </w:rPr>
        <w:t xml:space="preserve">A carefully planned monitoring and evaluation </w:t>
      </w:r>
      <w:r w:rsidR="0099280F" w:rsidRPr="002A12B8">
        <w:rPr>
          <w:i/>
        </w:rPr>
        <w:t>strategy can enhance a project</w:t>
      </w:r>
      <w:r w:rsidRPr="002A12B8">
        <w:rPr>
          <w:i/>
        </w:rPr>
        <w:t xml:space="preserve">, and </w:t>
      </w:r>
      <w:r w:rsidR="0099280F" w:rsidRPr="002A12B8">
        <w:rPr>
          <w:i/>
        </w:rPr>
        <w:t>increase impact</w:t>
      </w:r>
      <w:r w:rsidRPr="002A12B8">
        <w:rPr>
          <w:i/>
        </w:rPr>
        <w:t>.</w:t>
      </w:r>
      <w:r>
        <w:t xml:space="preserve"> The M&amp;E system, especially the AFBM, </w:t>
      </w:r>
      <w:r w:rsidR="00087842">
        <w:t xml:space="preserve">enabled the PIU to </w:t>
      </w:r>
      <w:r w:rsidR="00916052">
        <w:t xml:space="preserve">constantly monitor the project, amend the approach, and continue to innovate in </w:t>
      </w:r>
      <w:r w:rsidR="00087842">
        <w:t>develop</w:t>
      </w:r>
      <w:r w:rsidR="00916052">
        <w:t>ing</w:t>
      </w:r>
      <w:r w:rsidR="00087842">
        <w:t xml:space="preserve"> </w:t>
      </w:r>
      <w:r>
        <w:t xml:space="preserve">insurance </w:t>
      </w:r>
      <w:r w:rsidR="00087842">
        <w:t xml:space="preserve">products that </w:t>
      </w:r>
      <w:r>
        <w:t xml:space="preserve">matches the </w:t>
      </w:r>
      <w:r w:rsidR="00087842">
        <w:t xml:space="preserve">needs </w:t>
      </w:r>
      <w:r>
        <w:t xml:space="preserve">of herders, </w:t>
      </w:r>
      <w:r w:rsidR="003C732A">
        <w:t xml:space="preserve">the requirements of the private sector, </w:t>
      </w:r>
      <w:r>
        <w:t xml:space="preserve">and therefore, </w:t>
      </w:r>
      <w:r w:rsidR="00087842">
        <w:t>achieved high take up</w:t>
      </w:r>
      <w:r>
        <w:t xml:space="preserve">.  </w:t>
      </w:r>
    </w:p>
    <w:p w14:paraId="37507E2C" w14:textId="604B5FEC" w:rsidR="00455118" w:rsidRPr="004F3BC3" w:rsidRDefault="00017A57" w:rsidP="00F92093">
      <w:pPr>
        <w:numPr>
          <w:ilvl w:val="0"/>
          <w:numId w:val="2"/>
        </w:numPr>
        <w:tabs>
          <w:tab w:val="num" w:pos="0"/>
        </w:tabs>
        <w:spacing w:after="240"/>
        <w:ind w:left="0" w:firstLine="0"/>
        <w:rPr>
          <w:b/>
        </w:rPr>
      </w:pPr>
      <w:r w:rsidRPr="002A12B8">
        <w:rPr>
          <w:i/>
        </w:rPr>
        <w:t>With new insurance products, having payouts helps.</w:t>
      </w:r>
      <w:r>
        <w:t xml:space="preserve"> From conducting interviews at the aimag and soum level, the team </w:t>
      </w:r>
      <w:r w:rsidR="00DA31CC">
        <w:t>unanimously</w:t>
      </w:r>
      <w:r>
        <w:t xml:space="preserve"> heard that the </w:t>
      </w:r>
      <w:r w:rsidR="00D941BF">
        <w:t xml:space="preserve">Dzud, and subsequent </w:t>
      </w:r>
      <w:r>
        <w:t>large payouts</w:t>
      </w:r>
      <w:r w:rsidR="00D941BF">
        <w:t>,</w:t>
      </w:r>
      <w:r>
        <w:t xml:space="preserve"> in Baya</w:t>
      </w:r>
      <w:r w:rsidR="00207D77">
        <w:t xml:space="preserve">nkhongor </w:t>
      </w:r>
      <w:r>
        <w:t>in 2005</w:t>
      </w:r>
      <w:r w:rsidR="00D941BF">
        <w:t xml:space="preserve"> </w:t>
      </w:r>
      <w:r>
        <w:t>were a</w:t>
      </w:r>
      <w:r w:rsidR="00D941BF">
        <w:t xml:space="preserve"> critical </w:t>
      </w:r>
      <w:r>
        <w:t>example to draw on to explain how the insurance works to herders.</w:t>
      </w:r>
    </w:p>
    <w:p w14:paraId="77BEC2DD" w14:textId="689EBDE8" w:rsidR="00252BED" w:rsidRDefault="00252BED" w:rsidP="00F92093">
      <w:pPr>
        <w:numPr>
          <w:ilvl w:val="0"/>
          <w:numId w:val="2"/>
        </w:numPr>
        <w:tabs>
          <w:tab w:val="num" w:pos="0"/>
        </w:tabs>
        <w:spacing w:after="240"/>
        <w:ind w:left="0" w:firstLine="0"/>
      </w:pPr>
      <w:r w:rsidRPr="002A12B8">
        <w:rPr>
          <w:i/>
        </w:rPr>
        <w:t>A strong enabling environment is a prerequisite for the success of an innovation such as index insurance.</w:t>
      </w:r>
      <w:r>
        <w:rPr>
          <w:b/>
        </w:rPr>
        <w:t xml:space="preserve"> </w:t>
      </w:r>
      <w:r w:rsidRPr="00762390">
        <w:t xml:space="preserve">The legal and institutional framework put in place </w:t>
      </w:r>
      <w:r>
        <w:t xml:space="preserve">thanks to the </w:t>
      </w:r>
      <w:r w:rsidRPr="00762390">
        <w:t>IBLI</w:t>
      </w:r>
      <w:r>
        <w:rPr>
          <w:b/>
        </w:rPr>
        <w:t xml:space="preserve"> </w:t>
      </w:r>
      <w:r w:rsidRPr="00762390">
        <w:t>program</w:t>
      </w:r>
      <w:r w:rsidR="003C732A">
        <w:t xml:space="preserve"> generated an atmosphere of trust that</w:t>
      </w:r>
      <w:r>
        <w:t xml:space="preserve"> enabled the development of the private insurance sector, and created the demand for i</w:t>
      </w:r>
      <w:r w:rsidR="003C732A">
        <w:t>nsurance</w:t>
      </w:r>
      <w:r>
        <w:t xml:space="preserve"> among herders. </w:t>
      </w:r>
    </w:p>
    <w:p w14:paraId="2738FB7A" w14:textId="0546FCC9" w:rsidR="00B50B23" w:rsidRPr="00B50B23" w:rsidRDefault="00252BED" w:rsidP="00F92093">
      <w:pPr>
        <w:numPr>
          <w:ilvl w:val="0"/>
          <w:numId w:val="2"/>
        </w:numPr>
        <w:tabs>
          <w:tab w:val="num" w:pos="0"/>
        </w:tabs>
        <w:spacing w:after="240"/>
        <w:ind w:left="0" w:firstLine="0"/>
        <w:rPr>
          <w:b/>
        </w:rPr>
      </w:pPr>
      <w:r w:rsidRPr="002A12B8">
        <w:rPr>
          <w:i/>
        </w:rPr>
        <w:t>A quality assurance mechanism is important for the success of an innovation, especially in the early stages of its development.</w:t>
      </w:r>
      <w:r>
        <w:t xml:space="preserve"> The IBLI program </w:t>
      </w:r>
      <w:r w:rsidR="00D941BF">
        <w:t xml:space="preserve">invested heavily in product design, in particular the livestock mortality </w:t>
      </w:r>
      <w:r>
        <w:t xml:space="preserve">databases, </w:t>
      </w:r>
      <w:r w:rsidR="00D941BF">
        <w:t xml:space="preserve">to enable </w:t>
      </w:r>
      <w:r>
        <w:t>timely</w:t>
      </w:r>
      <w:r w:rsidR="00D941BF">
        <w:t xml:space="preserve">, objective and transparent </w:t>
      </w:r>
      <w:r w:rsidR="009178A0">
        <w:t>payouts.</w:t>
      </w:r>
      <w:r>
        <w:t xml:space="preserve">   </w:t>
      </w:r>
    </w:p>
    <w:p w14:paraId="012BD77D" w14:textId="26A7E351" w:rsidR="00061156" w:rsidRDefault="00D3331E" w:rsidP="00F92093">
      <w:pPr>
        <w:numPr>
          <w:ilvl w:val="0"/>
          <w:numId w:val="2"/>
        </w:numPr>
        <w:tabs>
          <w:tab w:val="num" w:pos="0"/>
        </w:tabs>
        <w:spacing w:after="240"/>
        <w:ind w:left="0" w:firstLine="0"/>
      </w:pPr>
      <w:r w:rsidRPr="002A12B8">
        <w:rPr>
          <w:i/>
        </w:rPr>
        <w:t>Awareness building takes time, and resources</w:t>
      </w:r>
      <w:r w:rsidR="004F57C6" w:rsidRPr="002A12B8">
        <w:rPr>
          <w:i/>
        </w:rPr>
        <w:t xml:space="preserve"> and get creative when promoting an innovation helps</w:t>
      </w:r>
      <w:r w:rsidRPr="002A12B8">
        <w:rPr>
          <w:i/>
        </w:rPr>
        <w:t>.</w:t>
      </w:r>
      <w:r w:rsidRPr="00D3331E">
        <w:rPr>
          <w:b/>
        </w:rPr>
        <w:t xml:space="preserve">  </w:t>
      </w:r>
      <w:r>
        <w:t xml:space="preserve">The project experience evidenced </w:t>
      </w:r>
      <w:r w:rsidR="00D941BF">
        <w:t xml:space="preserve">the </w:t>
      </w:r>
      <w:r>
        <w:t xml:space="preserve">significant </w:t>
      </w:r>
      <w:r w:rsidR="00356978">
        <w:t xml:space="preserve">time </w:t>
      </w:r>
      <w:r w:rsidR="00D941BF">
        <w:t xml:space="preserve">it takes </w:t>
      </w:r>
      <w:r w:rsidR="00356978">
        <w:t>to build up understanding and awareness for ins</w:t>
      </w:r>
      <w:r>
        <w:t>urance</w:t>
      </w:r>
      <w:r w:rsidR="00356978">
        <w:t xml:space="preserve"> products, </w:t>
      </w:r>
      <w:r>
        <w:t>especially</w:t>
      </w:r>
      <w:r w:rsidR="00356978">
        <w:t xml:space="preserve"> complex ones like IBLI.  The </w:t>
      </w:r>
      <w:r w:rsidR="00356978">
        <w:lastRenderedPageBreak/>
        <w:t xml:space="preserve">project spent significant resources on PPA, yet still there were some aimags where awareness </w:t>
      </w:r>
      <w:r>
        <w:t xml:space="preserve">remains </w:t>
      </w:r>
      <w:r w:rsidR="00356978">
        <w:t xml:space="preserve">low.  It </w:t>
      </w:r>
      <w:r>
        <w:t>is</w:t>
      </w:r>
      <w:r w:rsidR="00356978">
        <w:t xml:space="preserve"> recommended that at least 3-4 years of intensive awareness raising </w:t>
      </w:r>
      <w:r>
        <w:t xml:space="preserve">(on the ground staff, face to face trainings, capacitating of insurance </w:t>
      </w:r>
      <w:r w:rsidR="00273C6A">
        <w:t>agents</w:t>
      </w:r>
      <w:r>
        <w:t xml:space="preserve">) </w:t>
      </w:r>
      <w:r w:rsidR="00356978">
        <w:t xml:space="preserve">is done at the </w:t>
      </w:r>
      <w:r>
        <w:t>soum</w:t>
      </w:r>
      <w:r w:rsidR="00B404E4">
        <w:t xml:space="preserve"> level</w:t>
      </w:r>
      <w:r w:rsidR="00356978">
        <w:t xml:space="preserve"> to ensure enough understanding and awareness is raised</w:t>
      </w:r>
      <w:r w:rsidR="006E42C0">
        <w:t>, and that projects recognize that face-to-face training is not financially viable when looking to scale up to large numbers</w:t>
      </w:r>
      <w:r w:rsidR="00356978">
        <w:t>.</w:t>
      </w:r>
      <w:r w:rsidR="004F57C6" w:rsidRPr="004F57C6">
        <w:t xml:space="preserve"> </w:t>
      </w:r>
      <w:r w:rsidR="004F57C6">
        <w:t>Some interesting examples of promotion from the project include: (i) the prestigious national ‘herder award’ granted each year, now requires applicants to be insured; (ii) PIU staff developed decks of cards, with each card providing one piece of information on the IBLI program, and; (iii) rural banks offered discounts on loans (0.2% per month during project).</w:t>
      </w:r>
    </w:p>
    <w:p w14:paraId="43463FC6" w14:textId="2F93CE68" w:rsidR="006E42C0" w:rsidRDefault="006E42C0" w:rsidP="00F92093">
      <w:pPr>
        <w:numPr>
          <w:ilvl w:val="0"/>
          <w:numId w:val="2"/>
        </w:numPr>
        <w:tabs>
          <w:tab w:val="num" w:pos="0"/>
        </w:tabs>
        <w:spacing w:after="240"/>
        <w:ind w:left="0" w:firstLine="0"/>
      </w:pPr>
      <w:r w:rsidRPr="002A12B8">
        <w:rPr>
          <w:i/>
        </w:rPr>
        <w:t>Data</w:t>
      </w:r>
      <w:r w:rsidR="00916052" w:rsidRPr="002A12B8">
        <w:rPr>
          <w:i/>
        </w:rPr>
        <w:t xml:space="preserve"> is a foundation stone for insurance programs,</w:t>
      </w:r>
      <w:r w:rsidR="00916052">
        <w:t xml:space="preserve"> and t</w:t>
      </w:r>
      <w:r>
        <w:t xml:space="preserve">he fact that Mongolia </w:t>
      </w:r>
      <w:r w:rsidR="00916052">
        <w:t>had a relatively high quality, long term data base was critical in pursuing the project.</w:t>
      </w:r>
    </w:p>
    <w:p w14:paraId="45CA9B84" w14:textId="4A491BFE" w:rsidR="00916052" w:rsidRDefault="00916052" w:rsidP="005A4EF0">
      <w:pPr>
        <w:numPr>
          <w:ilvl w:val="0"/>
          <w:numId w:val="2"/>
        </w:numPr>
        <w:tabs>
          <w:tab w:val="num" w:pos="0"/>
        </w:tabs>
        <w:spacing w:after="240"/>
        <w:ind w:left="0" w:firstLine="0"/>
      </w:pPr>
      <w:r w:rsidRPr="002A12B8">
        <w:rPr>
          <w:i/>
        </w:rPr>
        <w:t>The public private partnership approach to develop national agriculture insurance programs proved effective yet again.</w:t>
      </w:r>
      <w:r w:rsidRPr="00C457E7">
        <w:rPr>
          <w:b/>
        </w:rPr>
        <w:t xml:space="preserve">  </w:t>
      </w:r>
      <w:r>
        <w:t xml:space="preserve">This approach was adopted building on </w:t>
      </w:r>
      <w:r w:rsidRPr="00916052">
        <w:t>international best practice.</w:t>
      </w:r>
    </w:p>
    <w:p w14:paraId="45819B44" w14:textId="58E65D56" w:rsidR="006E0A9F" w:rsidRDefault="006E0A9F" w:rsidP="005A4EF0">
      <w:pPr>
        <w:numPr>
          <w:ilvl w:val="0"/>
          <w:numId w:val="2"/>
        </w:numPr>
        <w:tabs>
          <w:tab w:val="num" w:pos="0"/>
        </w:tabs>
        <w:spacing w:after="240"/>
        <w:ind w:left="0" w:firstLine="0"/>
      </w:pPr>
      <w:r w:rsidRPr="002A12B8">
        <w:rPr>
          <w:i/>
        </w:rPr>
        <w:t>The project was resource-intensive for the WB team, which should be taken into account for future replicability.</w:t>
      </w:r>
      <w:r w:rsidRPr="006E0A9F">
        <w:t xml:space="preserve">  This project has mobilized agriculture and finance/insurance experts from Ag GP and F&amp;M GP for 10 years, in addition to a group of high-level consultants. This was made possible thanks to strong support by WB senior management and financial support from donor partners.  The capacity of the WB to replicate such a project elsewhere should be carefully considered (as more recently shown in India or in Kenya)</w:t>
      </w:r>
      <w:r>
        <w:t>, and properly resourced</w:t>
      </w:r>
      <w:r w:rsidRPr="006E0A9F">
        <w:t>.</w:t>
      </w:r>
    </w:p>
    <w:p w14:paraId="633CF818" w14:textId="77777777" w:rsidR="004352B6" w:rsidRDefault="004352B6" w:rsidP="005A4EF0">
      <w:pPr>
        <w:numPr>
          <w:ilvl w:val="0"/>
          <w:numId w:val="2"/>
        </w:numPr>
        <w:tabs>
          <w:tab w:val="num" w:pos="0"/>
        </w:tabs>
        <w:spacing w:after="240"/>
        <w:ind w:left="0" w:firstLine="0"/>
      </w:pPr>
      <w:r w:rsidRPr="002A12B8">
        <w:rPr>
          <w:i/>
        </w:rPr>
        <w:t>Insurance needs to be part of a broader risk management strategy,</w:t>
      </w:r>
      <w:r>
        <w:t xml:space="preserve"> which can </w:t>
      </w:r>
      <w:r w:rsidRPr="004352B6">
        <w:t xml:space="preserve">promote a virtuous cycle of good behavior.  </w:t>
      </w:r>
    </w:p>
    <w:p w14:paraId="5BEF28B7" w14:textId="5C4DDC4F" w:rsidR="004352B6" w:rsidRDefault="004352B6" w:rsidP="005A4EF0">
      <w:pPr>
        <w:numPr>
          <w:ilvl w:val="0"/>
          <w:numId w:val="2"/>
        </w:numPr>
        <w:tabs>
          <w:tab w:val="num" w:pos="0"/>
        </w:tabs>
        <w:spacing w:after="240"/>
        <w:ind w:left="0" w:firstLine="0"/>
      </w:pPr>
      <w:r>
        <w:t>N</w:t>
      </w:r>
      <w:r w:rsidRPr="004352B6">
        <w:t>ovel approaches require a</w:t>
      </w:r>
      <w:r>
        <w:t xml:space="preserve">n initial </w:t>
      </w:r>
      <w:r w:rsidRPr="004352B6">
        <w:t xml:space="preserve">pilot </w:t>
      </w:r>
      <w:r>
        <w:t xml:space="preserve">with </w:t>
      </w:r>
      <w:r w:rsidRPr="004352B6">
        <w:t xml:space="preserve">strong capacity building, public awareness and a robust M&amp;E.  </w:t>
      </w:r>
    </w:p>
    <w:p w14:paraId="021751D3" w14:textId="77777777" w:rsidR="00C67D43" w:rsidRDefault="00C67D43" w:rsidP="00C67D43">
      <w:bookmarkStart w:id="170" w:name="SEC12C"/>
      <w:bookmarkEnd w:id="170"/>
    </w:p>
    <w:p w14:paraId="02EA0508" w14:textId="77777777" w:rsidR="00D0233C" w:rsidRDefault="00E03DE1" w:rsidP="005A4EF0">
      <w:pPr>
        <w:pStyle w:val="Heading2"/>
        <w:jc w:val="center"/>
      </w:pPr>
      <w:r>
        <w:br w:type="page"/>
      </w:r>
      <w:bookmarkStart w:id="171" w:name="_IL15"/>
      <w:bookmarkStart w:id="172" w:name="_Toc158019377"/>
      <w:bookmarkStart w:id="173" w:name="_Toc456784543"/>
      <w:r w:rsidR="0072795A">
        <w:lastRenderedPageBreak/>
        <w:t>Annex 1. Project Costs and Financing</w:t>
      </w:r>
      <w:bookmarkEnd w:id="171"/>
      <w:bookmarkEnd w:id="172"/>
      <w:bookmarkEnd w:id="173"/>
    </w:p>
    <w:p w14:paraId="2E7C7C30" w14:textId="66CFBB20" w:rsidR="00D37929" w:rsidRDefault="0072795A" w:rsidP="00347237">
      <w:pPr>
        <w:pStyle w:val="Heading2"/>
      </w:pPr>
      <w:r>
        <w:t xml:space="preserve"> </w:t>
      </w:r>
      <w:r w:rsidR="00D37929">
        <w:t>a) Project Cost by Component (in USD Million equivalent)</w:t>
      </w:r>
    </w:p>
    <w:p w14:paraId="78B5127A" w14:textId="77777777" w:rsidR="00D37929" w:rsidRDefault="00D37929" w:rsidP="00D37929">
      <w:pPr>
        <w:rPr>
          <w:vanish/>
        </w:rPr>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3315"/>
        <w:gridCol w:w="2011"/>
        <w:gridCol w:w="2011"/>
        <w:gridCol w:w="2013"/>
      </w:tblGrid>
      <w:tr w:rsidR="00D37929" w14:paraId="606A4BDE" w14:textId="77777777" w:rsidTr="00D51717">
        <w:tc>
          <w:tcPr>
            <w:tcW w:w="307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592D8BE" w14:textId="77777777" w:rsidR="00D37929" w:rsidRDefault="00D37929" w:rsidP="00D51717">
            <w:pPr>
              <w:jc w:val="center"/>
              <w:rPr>
                <w:b/>
                <w:bCs/>
                <w:color w:val="606060"/>
                <w:sz w:val="22"/>
                <w:szCs w:val="22"/>
              </w:rPr>
            </w:pPr>
            <w:r>
              <w:rPr>
                <w:b/>
                <w:bCs/>
                <w:color w:val="606060"/>
                <w:sz w:val="22"/>
                <w:szCs w:val="22"/>
              </w:rPr>
              <w:t>Components</w:t>
            </w:r>
          </w:p>
        </w:tc>
        <w:tc>
          <w:tcPr>
            <w:tcW w:w="1863"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D91C5C4" w14:textId="77777777" w:rsidR="00D37929" w:rsidRDefault="00D37929" w:rsidP="00D51717">
            <w:pPr>
              <w:jc w:val="center"/>
              <w:rPr>
                <w:b/>
                <w:bCs/>
                <w:color w:val="606060"/>
                <w:sz w:val="22"/>
                <w:szCs w:val="22"/>
              </w:rPr>
            </w:pPr>
            <w:r>
              <w:rPr>
                <w:b/>
                <w:bCs/>
                <w:color w:val="606060"/>
                <w:sz w:val="22"/>
                <w:szCs w:val="22"/>
              </w:rPr>
              <w:t>Appraisal Estimate (USD millions)</w:t>
            </w:r>
          </w:p>
        </w:tc>
        <w:tc>
          <w:tcPr>
            <w:tcW w:w="1863"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C5CDAC0" w14:textId="77777777" w:rsidR="00D37929" w:rsidRDefault="00D37929" w:rsidP="00D51717">
            <w:pPr>
              <w:jc w:val="center"/>
              <w:rPr>
                <w:b/>
                <w:bCs/>
                <w:color w:val="606060"/>
                <w:sz w:val="22"/>
                <w:szCs w:val="22"/>
              </w:rPr>
            </w:pPr>
            <w:r>
              <w:rPr>
                <w:b/>
                <w:bCs/>
                <w:color w:val="606060"/>
                <w:sz w:val="22"/>
                <w:szCs w:val="22"/>
              </w:rPr>
              <w:t>Actual/Latest Estimate (USD millions)</w:t>
            </w:r>
          </w:p>
        </w:tc>
        <w:tc>
          <w:tcPr>
            <w:tcW w:w="1864"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140DCFA" w14:textId="77777777" w:rsidR="00D37929" w:rsidRDefault="00D37929" w:rsidP="00D51717">
            <w:pPr>
              <w:jc w:val="center"/>
              <w:rPr>
                <w:b/>
                <w:bCs/>
                <w:color w:val="606060"/>
                <w:sz w:val="22"/>
                <w:szCs w:val="22"/>
              </w:rPr>
            </w:pPr>
            <w:r>
              <w:rPr>
                <w:b/>
                <w:bCs/>
                <w:color w:val="606060"/>
                <w:sz w:val="22"/>
                <w:szCs w:val="22"/>
              </w:rPr>
              <w:t>Percentage of Appraisal</w:t>
            </w:r>
          </w:p>
        </w:tc>
      </w:tr>
    </w:tbl>
    <w:p w14:paraId="68ED76F6" w14:textId="77777777" w:rsidR="00D37929" w:rsidRPr="0072795A" w:rsidRDefault="00D37929" w:rsidP="00D37929">
      <w:pPr>
        <w:pBdr>
          <w:left w:val="single" w:sz="4" w:space="4" w:color="B1B1B1"/>
          <w:right w:val="single" w:sz="4" w:space="4" w:color="B1B1B1"/>
        </w:pBdr>
        <w:tabs>
          <w:tab w:val="left" w:pos="2140"/>
          <w:tab w:val="left" w:pos="4290"/>
          <w:tab w:val="left" w:pos="6782"/>
        </w:tabs>
        <w:ind w:left="90" w:right="108"/>
        <w:rPr>
          <w:color w:val="000000"/>
          <w:sz w:val="2"/>
          <w:szCs w:val="2"/>
        </w:rPr>
      </w:pPr>
      <w:bookmarkStart w:id="174" w:name="COMP"/>
      <w:bookmarkEnd w:id="174"/>
    </w:p>
    <w:tbl>
      <w:tblPr>
        <w:tblW w:w="5000" w:type="pct"/>
        <w:tblLayout w:type="fixed"/>
        <w:tblCellMar>
          <w:top w:w="10" w:type="dxa"/>
          <w:left w:w="10" w:type="dxa"/>
          <w:bottom w:w="10" w:type="dxa"/>
          <w:right w:w="10" w:type="dxa"/>
        </w:tblCellMar>
        <w:tblLook w:val="0000" w:firstRow="0" w:lastRow="0" w:firstColumn="0" w:lastColumn="0" w:noHBand="0" w:noVBand="0"/>
      </w:tblPr>
      <w:tblGrid>
        <w:gridCol w:w="3315"/>
        <w:gridCol w:w="2011"/>
        <w:gridCol w:w="2011"/>
        <w:gridCol w:w="2013"/>
      </w:tblGrid>
      <w:tr w:rsidR="00D37929" w14:paraId="2FD093CF" w14:textId="77777777" w:rsidTr="00D51717">
        <w:tc>
          <w:tcPr>
            <w:tcW w:w="3315" w:type="dxa"/>
            <w:tcBorders>
              <w:left w:val="single" w:sz="4" w:space="0" w:color="B1B1B1"/>
              <w:bottom w:val="single" w:sz="4" w:space="0" w:color="B1B1B1"/>
              <w:right w:val="single" w:sz="4" w:space="0" w:color="B1B1B1"/>
            </w:tcBorders>
            <w:vAlign w:val="center"/>
          </w:tcPr>
          <w:p w14:paraId="78F9AA1C" w14:textId="77777777" w:rsidR="00D37929" w:rsidRDefault="00D37929" w:rsidP="00D51717">
            <w:pPr>
              <w:spacing w:line="200" w:lineRule="atLeast"/>
              <w:rPr>
                <w:color w:val="000000"/>
                <w:sz w:val="22"/>
                <w:szCs w:val="22"/>
              </w:rPr>
            </w:pPr>
          </w:p>
        </w:tc>
        <w:tc>
          <w:tcPr>
            <w:tcW w:w="2011" w:type="dxa"/>
            <w:tcBorders>
              <w:left w:val="single" w:sz="4" w:space="0" w:color="B1B1B1"/>
              <w:bottom w:val="single" w:sz="4" w:space="0" w:color="B1B1B1"/>
              <w:right w:val="single" w:sz="4" w:space="0" w:color="B1B1B1"/>
            </w:tcBorders>
            <w:shd w:val="clear" w:color="auto" w:fill="auto"/>
            <w:vAlign w:val="center"/>
          </w:tcPr>
          <w:p w14:paraId="1CFFDFD9" w14:textId="77777777" w:rsidR="00D37929" w:rsidRDefault="00D37929" w:rsidP="00D51717">
            <w:pPr>
              <w:tabs>
                <w:tab w:val="decimal" w:pos="1078"/>
              </w:tabs>
              <w:spacing w:line="200" w:lineRule="atLeast"/>
              <w:rPr>
                <w:color w:val="000000"/>
                <w:sz w:val="22"/>
                <w:szCs w:val="22"/>
              </w:rPr>
            </w:pPr>
          </w:p>
        </w:tc>
        <w:tc>
          <w:tcPr>
            <w:tcW w:w="2011" w:type="dxa"/>
            <w:tcBorders>
              <w:left w:val="single" w:sz="4" w:space="0" w:color="B1B1B1"/>
              <w:bottom w:val="single" w:sz="4" w:space="0" w:color="B1B1B1"/>
              <w:right w:val="single" w:sz="4" w:space="0" w:color="B1B1B1"/>
            </w:tcBorders>
            <w:shd w:val="clear" w:color="auto" w:fill="auto"/>
            <w:vAlign w:val="center"/>
          </w:tcPr>
          <w:p w14:paraId="1F3B3C0F" w14:textId="77777777" w:rsidR="00D37929" w:rsidRDefault="00D37929" w:rsidP="00D51717">
            <w:pPr>
              <w:tabs>
                <w:tab w:val="decimal" w:pos="1091"/>
              </w:tabs>
              <w:spacing w:line="200" w:lineRule="atLeast"/>
              <w:rPr>
                <w:color w:val="000000"/>
                <w:sz w:val="22"/>
                <w:szCs w:val="22"/>
              </w:rPr>
            </w:pPr>
          </w:p>
        </w:tc>
        <w:tc>
          <w:tcPr>
            <w:tcW w:w="2013" w:type="dxa"/>
            <w:tcBorders>
              <w:left w:val="single" w:sz="4" w:space="0" w:color="B1B1B1"/>
              <w:bottom w:val="single" w:sz="4" w:space="0" w:color="B1B1B1"/>
              <w:right w:val="single" w:sz="4" w:space="0" w:color="B1B1B1"/>
            </w:tcBorders>
            <w:shd w:val="clear" w:color="auto" w:fill="auto"/>
            <w:vAlign w:val="center"/>
          </w:tcPr>
          <w:p w14:paraId="3E7BD614" w14:textId="77777777" w:rsidR="00D37929" w:rsidRDefault="00D37929" w:rsidP="00D51717">
            <w:pPr>
              <w:spacing w:line="200" w:lineRule="atLeast"/>
              <w:jc w:val="center"/>
              <w:rPr>
                <w:color w:val="000000"/>
                <w:sz w:val="22"/>
                <w:szCs w:val="22"/>
              </w:rPr>
            </w:pPr>
          </w:p>
        </w:tc>
      </w:tr>
      <w:tr w:rsidR="00D37929" w14:paraId="5C7C9702" w14:textId="77777777" w:rsidTr="00D51717">
        <w:tc>
          <w:tcPr>
            <w:tcW w:w="3315" w:type="dxa"/>
            <w:tcBorders>
              <w:left w:val="single" w:sz="4" w:space="0" w:color="B1B1B1"/>
              <w:bottom w:val="single" w:sz="4" w:space="0" w:color="B1B1B1"/>
              <w:right w:val="single" w:sz="4" w:space="0" w:color="B1B1B1"/>
            </w:tcBorders>
            <w:vAlign w:val="bottom"/>
          </w:tcPr>
          <w:p w14:paraId="6FC33E2B" w14:textId="77777777" w:rsidR="00D37929" w:rsidRPr="00104CB8" w:rsidRDefault="00D37929" w:rsidP="00D51717">
            <w:pPr>
              <w:spacing w:line="200" w:lineRule="atLeast"/>
              <w:rPr>
                <w:color w:val="000000"/>
                <w:sz w:val="22"/>
                <w:szCs w:val="22"/>
              </w:rPr>
            </w:pPr>
            <w:r w:rsidRPr="00104CB8">
              <w:rPr>
                <w:color w:val="000000"/>
                <w:sz w:val="22"/>
                <w:szCs w:val="22"/>
              </w:rPr>
              <w:t>Consultant services</w:t>
            </w:r>
          </w:p>
        </w:tc>
        <w:tc>
          <w:tcPr>
            <w:tcW w:w="2011" w:type="dxa"/>
            <w:tcBorders>
              <w:left w:val="single" w:sz="4" w:space="0" w:color="B1B1B1"/>
              <w:bottom w:val="single" w:sz="4" w:space="0" w:color="B1B1B1"/>
              <w:right w:val="single" w:sz="4" w:space="0" w:color="B1B1B1"/>
            </w:tcBorders>
            <w:shd w:val="clear" w:color="auto" w:fill="auto"/>
            <w:vAlign w:val="bottom"/>
          </w:tcPr>
          <w:p w14:paraId="3034ECE3"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2.25</w:t>
            </w:r>
          </w:p>
        </w:tc>
        <w:tc>
          <w:tcPr>
            <w:tcW w:w="2011" w:type="dxa"/>
            <w:tcBorders>
              <w:left w:val="single" w:sz="4" w:space="0" w:color="B1B1B1"/>
              <w:bottom w:val="single" w:sz="4" w:space="0" w:color="B1B1B1"/>
              <w:right w:val="single" w:sz="4" w:space="0" w:color="B1B1B1"/>
            </w:tcBorders>
            <w:shd w:val="clear" w:color="auto" w:fill="auto"/>
            <w:vAlign w:val="bottom"/>
          </w:tcPr>
          <w:p w14:paraId="79707E47"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2.69</w:t>
            </w:r>
          </w:p>
        </w:tc>
        <w:tc>
          <w:tcPr>
            <w:tcW w:w="2013" w:type="dxa"/>
            <w:tcBorders>
              <w:left w:val="single" w:sz="4" w:space="0" w:color="B1B1B1"/>
              <w:bottom w:val="single" w:sz="4" w:space="0" w:color="B1B1B1"/>
              <w:right w:val="single" w:sz="4" w:space="0" w:color="B1B1B1"/>
            </w:tcBorders>
            <w:shd w:val="clear" w:color="auto" w:fill="auto"/>
            <w:vAlign w:val="bottom"/>
          </w:tcPr>
          <w:p w14:paraId="6BA96460" w14:textId="77777777" w:rsidR="00D37929" w:rsidRPr="00104CB8" w:rsidRDefault="00D37929" w:rsidP="00D51717">
            <w:pPr>
              <w:spacing w:line="200" w:lineRule="atLeast"/>
              <w:jc w:val="center"/>
              <w:rPr>
                <w:color w:val="000000"/>
                <w:sz w:val="22"/>
                <w:szCs w:val="22"/>
              </w:rPr>
            </w:pPr>
            <w:r w:rsidRPr="00104CB8">
              <w:rPr>
                <w:color w:val="000000"/>
                <w:sz w:val="22"/>
                <w:szCs w:val="22"/>
              </w:rPr>
              <w:t>120%</w:t>
            </w:r>
          </w:p>
        </w:tc>
      </w:tr>
      <w:tr w:rsidR="00D37929" w14:paraId="12851DF0" w14:textId="77777777" w:rsidTr="00D51717">
        <w:tc>
          <w:tcPr>
            <w:tcW w:w="3315" w:type="dxa"/>
            <w:tcBorders>
              <w:left w:val="single" w:sz="4" w:space="0" w:color="B1B1B1"/>
              <w:bottom w:val="single" w:sz="4" w:space="0" w:color="B1B1B1"/>
              <w:right w:val="single" w:sz="4" w:space="0" w:color="B1B1B1"/>
            </w:tcBorders>
            <w:vAlign w:val="bottom"/>
          </w:tcPr>
          <w:p w14:paraId="32BA035D" w14:textId="77777777" w:rsidR="00D37929" w:rsidRPr="00104CB8" w:rsidRDefault="00D37929" w:rsidP="00D51717">
            <w:pPr>
              <w:spacing w:line="200" w:lineRule="atLeast"/>
              <w:rPr>
                <w:color w:val="000000"/>
                <w:sz w:val="22"/>
                <w:szCs w:val="22"/>
              </w:rPr>
            </w:pPr>
            <w:r w:rsidRPr="00104CB8">
              <w:rPr>
                <w:color w:val="000000"/>
                <w:sz w:val="22"/>
                <w:szCs w:val="22"/>
              </w:rPr>
              <w:t>Good and services</w:t>
            </w:r>
          </w:p>
        </w:tc>
        <w:tc>
          <w:tcPr>
            <w:tcW w:w="2011" w:type="dxa"/>
            <w:tcBorders>
              <w:left w:val="single" w:sz="4" w:space="0" w:color="B1B1B1"/>
              <w:bottom w:val="single" w:sz="4" w:space="0" w:color="B1B1B1"/>
              <w:right w:val="single" w:sz="4" w:space="0" w:color="B1B1B1"/>
            </w:tcBorders>
            <w:shd w:val="clear" w:color="auto" w:fill="auto"/>
            <w:vAlign w:val="bottom"/>
          </w:tcPr>
          <w:p w14:paraId="251FE63F"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0.45</w:t>
            </w:r>
          </w:p>
        </w:tc>
        <w:tc>
          <w:tcPr>
            <w:tcW w:w="2011" w:type="dxa"/>
            <w:tcBorders>
              <w:left w:val="single" w:sz="4" w:space="0" w:color="B1B1B1"/>
              <w:bottom w:val="single" w:sz="4" w:space="0" w:color="B1B1B1"/>
              <w:right w:val="single" w:sz="4" w:space="0" w:color="B1B1B1"/>
            </w:tcBorders>
            <w:shd w:val="clear" w:color="auto" w:fill="auto"/>
            <w:vAlign w:val="bottom"/>
          </w:tcPr>
          <w:p w14:paraId="53D0C219"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0.27</w:t>
            </w:r>
          </w:p>
        </w:tc>
        <w:tc>
          <w:tcPr>
            <w:tcW w:w="2013" w:type="dxa"/>
            <w:tcBorders>
              <w:left w:val="single" w:sz="4" w:space="0" w:color="B1B1B1"/>
              <w:bottom w:val="single" w:sz="4" w:space="0" w:color="B1B1B1"/>
              <w:right w:val="single" w:sz="4" w:space="0" w:color="B1B1B1"/>
            </w:tcBorders>
            <w:shd w:val="clear" w:color="auto" w:fill="auto"/>
            <w:vAlign w:val="bottom"/>
          </w:tcPr>
          <w:p w14:paraId="0AB3104D" w14:textId="77777777" w:rsidR="00D37929" w:rsidRPr="00104CB8" w:rsidRDefault="00D37929" w:rsidP="00D51717">
            <w:pPr>
              <w:spacing w:line="200" w:lineRule="atLeast"/>
              <w:jc w:val="center"/>
              <w:rPr>
                <w:color w:val="000000"/>
                <w:sz w:val="22"/>
                <w:szCs w:val="22"/>
              </w:rPr>
            </w:pPr>
            <w:r w:rsidRPr="00104CB8">
              <w:rPr>
                <w:color w:val="000000"/>
                <w:sz w:val="22"/>
                <w:szCs w:val="22"/>
              </w:rPr>
              <w:t>59%</w:t>
            </w:r>
          </w:p>
        </w:tc>
      </w:tr>
      <w:tr w:rsidR="00D37929" w14:paraId="47755BF6" w14:textId="77777777" w:rsidTr="00D51717">
        <w:tc>
          <w:tcPr>
            <w:tcW w:w="3315" w:type="dxa"/>
            <w:tcBorders>
              <w:left w:val="single" w:sz="4" w:space="0" w:color="B1B1B1"/>
              <w:bottom w:val="single" w:sz="4" w:space="0" w:color="B1B1B1"/>
              <w:right w:val="single" w:sz="4" w:space="0" w:color="B1B1B1"/>
            </w:tcBorders>
            <w:vAlign w:val="bottom"/>
          </w:tcPr>
          <w:p w14:paraId="17DA2A00" w14:textId="77777777" w:rsidR="00D37929" w:rsidRPr="00104CB8" w:rsidRDefault="00D37929" w:rsidP="00D51717">
            <w:pPr>
              <w:spacing w:line="200" w:lineRule="atLeast"/>
              <w:rPr>
                <w:color w:val="000000"/>
                <w:sz w:val="22"/>
                <w:szCs w:val="22"/>
              </w:rPr>
            </w:pPr>
            <w:r w:rsidRPr="00104CB8">
              <w:rPr>
                <w:color w:val="000000"/>
                <w:sz w:val="22"/>
                <w:szCs w:val="22"/>
              </w:rPr>
              <w:t>Training and workshop</w:t>
            </w:r>
          </w:p>
        </w:tc>
        <w:tc>
          <w:tcPr>
            <w:tcW w:w="2011" w:type="dxa"/>
            <w:tcBorders>
              <w:left w:val="single" w:sz="4" w:space="0" w:color="B1B1B1"/>
              <w:bottom w:val="single" w:sz="4" w:space="0" w:color="B1B1B1"/>
              <w:right w:val="single" w:sz="4" w:space="0" w:color="B1B1B1"/>
            </w:tcBorders>
            <w:shd w:val="clear" w:color="auto" w:fill="auto"/>
            <w:vAlign w:val="bottom"/>
          </w:tcPr>
          <w:p w14:paraId="278A031D"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1.36</w:t>
            </w:r>
          </w:p>
        </w:tc>
        <w:tc>
          <w:tcPr>
            <w:tcW w:w="2011" w:type="dxa"/>
            <w:tcBorders>
              <w:left w:val="single" w:sz="4" w:space="0" w:color="B1B1B1"/>
              <w:bottom w:val="single" w:sz="4" w:space="0" w:color="B1B1B1"/>
              <w:right w:val="single" w:sz="4" w:space="0" w:color="B1B1B1"/>
            </w:tcBorders>
            <w:shd w:val="clear" w:color="auto" w:fill="auto"/>
            <w:vAlign w:val="bottom"/>
          </w:tcPr>
          <w:p w14:paraId="74A64374"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0.53</w:t>
            </w:r>
          </w:p>
        </w:tc>
        <w:tc>
          <w:tcPr>
            <w:tcW w:w="2013" w:type="dxa"/>
            <w:tcBorders>
              <w:left w:val="single" w:sz="4" w:space="0" w:color="B1B1B1"/>
              <w:bottom w:val="single" w:sz="4" w:space="0" w:color="B1B1B1"/>
              <w:right w:val="single" w:sz="4" w:space="0" w:color="B1B1B1"/>
            </w:tcBorders>
            <w:shd w:val="clear" w:color="auto" w:fill="auto"/>
            <w:vAlign w:val="bottom"/>
          </w:tcPr>
          <w:p w14:paraId="2976A3C4" w14:textId="77777777" w:rsidR="00D37929" w:rsidRPr="00104CB8" w:rsidRDefault="00D37929" w:rsidP="00D51717">
            <w:pPr>
              <w:spacing w:line="200" w:lineRule="atLeast"/>
              <w:jc w:val="center"/>
              <w:rPr>
                <w:color w:val="000000"/>
                <w:sz w:val="22"/>
                <w:szCs w:val="22"/>
              </w:rPr>
            </w:pPr>
            <w:r w:rsidRPr="00104CB8">
              <w:rPr>
                <w:color w:val="000000"/>
                <w:sz w:val="22"/>
                <w:szCs w:val="22"/>
              </w:rPr>
              <w:t>39%</w:t>
            </w:r>
          </w:p>
        </w:tc>
      </w:tr>
      <w:tr w:rsidR="00D37929" w14:paraId="590F3928" w14:textId="77777777" w:rsidTr="00D51717">
        <w:tc>
          <w:tcPr>
            <w:tcW w:w="3315" w:type="dxa"/>
            <w:tcBorders>
              <w:left w:val="single" w:sz="4" w:space="0" w:color="B1B1B1"/>
              <w:bottom w:val="single" w:sz="4" w:space="0" w:color="B1B1B1"/>
              <w:right w:val="single" w:sz="4" w:space="0" w:color="B1B1B1"/>
            </w:tcBorders>
            <w:vAlign w:val="bottom"/>
          </w:tcPr>
          <w:p w14:paraId="7C55CA53" w14:textId="77777777" w:rsidR="00D37929" w:rsidRPr="00104CB8" w:rsidRDefault="00D37929" w:rsidP="00D51717">
            <w:pPr>
              <w:spacing w:line="200" w:lineRule="atLeast"/>
              <w:rPr>
                <w:color w:val="000000"/>
                <w:sz w:val="22"/>
                <w:szCs w:val="22"/>
              </w:rPr>
            </w:pPr>
            <w:r w:rsidRPr="00104CB8">
              <w:rPr>
                <w:color w:val="000000"/>
                <w:sz w:val="22"/>
                <w:szCs w:val="22"/>
              </w:rPr>
              <w:t>Contingent debt</w:t>
            </w:r>
          </w:p>
        </w:tc>
        <w:tc>
          <w:tcPr>
            <w:tcW w:w="2011" w:type="dxa"/>
            <w:tcBorders>
              <w:left w:val="single" w:sz="4" w:space="0" w:color="B1B1B1"/>
              <w:bottom w:val="single" w:sz="4" w:space="0" w:color="B1B1B1"/>
              <w:right w:val="single" w:sz="4" w:space="0" w:color="B1B1B1"/>
            </w:tcBorders>
            <w:shd w:val="clear" w:color="auto" w:fill="auto"/>
            <w:vAlign w:val="bottom"/>
          </w:tcPr>
          <w:p w14:paraId="023FC9D1"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3.66</w:t>
            </w:r>
          </w:p>
        </w:tc>
        <w:tc>
          <w:tcPr>
            <w:tcW w:w="2011" w:type="dxa"/>
            <w:tcBorders>
              <w:left w:val="single" w:sz="4" w:space="0" w:color="B1B1B1"/>
              <w:bottom w:val="single" w:sz="4" w:space="0" w:color="B1B1B1"/>
              <w:right w:val="single" w:sz="4" w:space="0" w:color="B1B1B1"/>
            </w:tcBorders>
            <w:shd w:val="clear" w:color="auto" w:fill="auto"/>
            <w:vAlign w:val="bottom"/>
          </w:tcPr>
          <w:p w14:paraId="642E0D8C"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0.76</w:t>
            </w:r>
          </w:p>
        </w:tc>
        <w:tc>
          <w:tcPr>
            <w:tcW w:w="2013" w:type="dxa"/>
            <w:tcBorders>
              <w:left w:val="single" w:sz="4" w:space="0" w:color="B1B1B1"/>
              <w:bottom w:val="single" w:sz="4" w:space="0" w:color="B1B1B1"/>
              <w:right w:val="single" w:sz="4" w:space="0" w:color="B1B1B1"/>
            </w:tcBorders>
            <w:shd w:val="clear" w:color="auto" w:fill="auto"/>
            <w:vAlign w:val="bottom"/>
          </w:tcPr>
          <w:p w14:paraId="55CA9DA9" w14:textId="77777777" w:rsidR="00D37929" w:rsidRPr="00104CB8" w:rsidRDefault="00D37929" w:rsidP="00D51717">
            <w:pPr>
              <w:spacing w:line="200" w:lineRule="atLeast"/>
              <w:jc w:val="center"/>
              <w:rPr>
                <w:color w:val="000000"/>
                <w:sz w:val="22"/>
                <w:szCs w:val="22"/>
              </w:rPr>
            </w:pPr>
            <w:r w:rsidRPr="00104CB8">
              <w:rPr>
                <w:color w:val="000000"/>
                <w:sz w:val="22"/>
                <w:szCs w:val="22"/>
              </w:rPr>
              <w:t>21%</w:t>
            </w:r>
          </w:p>
        </w:tc>
      </w:tr>
      <w:tr w:rsidR="00D37929" w14:paraId="1CA44BDA" w14:textId="77777777" w:rsidTr="00D51717">
        <w:tc>
          <w:tcPr>
            <w:tcW w:w="3315" w:type="dxa"/>
            <w:tcBorders>
              <w:left w:val="single" w:sz="4" w:space="0" w:color="B1B1B1"/>
              <w:bottom w:val="single" w:sz="4" w:space="0" w:color="B1B1B1"/>
              <w:right w:val="single" w:sz="4" w:space="0" w:color="B1B1B1"/>
            </w:tcBorders>
            <w:vAlign w:val="bottom"/>
          </w:tcPr>
          <w:p w14:paraId="3810886D" w14:textId="77777777" w:rsidR="00D37929" w:rsidRPr="00104CB8" w:rsidRDefault="00D37929" w:rsidP="00D51717">
            <w:pPr>
              <w:spacing w:line="200" w:lineRule="atLeast"/>
              <w:rPr>
                <w:color w:val="000000"/>
                <w:sz w:val="22"/>
                <w:szCs w:val="22"/>
              </w:rPr>
            </w:pPr>
            <w:r w:rsidRPr="00104CB8">
              <w:rPr>
                <w:color w:val="000000"/>
                <w:sz w:val="22"/>
                <w:szCs w:val="22"/>
              </w:rPr>
              <w:t>Public awarness campaign</w:t>
            </w:r>
          </w:p>
        </w:tc>
        <w:tc>
          <w:tcPr>
            <w:tcW w:w="2011" w:type="dxa"/>
            <w:tcBorders>
              <w:left w:val="single" w:sz="4" w:space="0" w:color="B1B1B1"/>
              <w:bottom w:val="single" w:sz="4" w:space="0" w:color="B1B1B1"/>
              <w:right w:val="single" w:sz="4" w:space="0" w:color="B1B1B1"/>
            </w:tcBorders>
            <w:shd w:val="clear" w:color="auto" w:fill="auto"/>
            <w:vAlign w:val="bottom"/>
          </w:tcPr>
          <w:p w14:paraId="6D4E8FB7"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0.77</w:t>
            </w:r>
          </w:p>
        </w:tc>
        <w:tc>
          <w:tcPr>
            <w:tcW w:w="2011" w:type="dxa"/>
            <w:tcBorders>
              <w:left w:val="single" w:sz="4" w:space="0" w:color="B1B1B1"/>
              <w:bottom w:val="single" w:sz="4" w:space="0" w:color="B1B1B1"/>
              <w:right w:val="single" w:sz="4" w:space="0" w:color="B1B1B1"/>
            </w:tcBorders>
            <w:shd w:val="clear" w:color="auto" w:fill="auto"/>
            <w:vAlign w:val="bottom"/>
          </w:tcPr>
          <w:p w14:paraId="79EC62AD"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0.79</w:t>
            </w:r>
          </w:p>
        </w:tc>
        <w:tc>
          <w:tcPr>
            <w:tcW w:w="2013" w:type="dxa"/>
            <w:tcBorders>
              <w:left w:val="single" w:sz="4" w:space="0" w:color="B1B1B1"/>
              <w:bottom w:val="single" w:sz="4" w:space="0" w:color="B1B1B1"/>
              <w:right w:val="single" w:sz="4" w:space="0" w:color="B1B1B1"/>
            </w:tcBorders>
            <w:shd w:val="clear" w:color="auto" w:fill="auto"/>
            <w:vAlign w:val="bottom"/>
          </w:tcPr>
          <w:p w14:paraId="7C928925" w14:textId="77777777" w:rsidR="00D37929" w:rsidRPr="00104CB8" w:rsidRDefault="00D37929" w:rsidP="00D51717">
            <w:pPr>
              <w:spacing w:line="200" w:lineRule="atLeast"/>
              <w:jc w:val="center"/>
              <w:rPr>
                <w:color w:val="000000"/>
                <w:sz w:val="22"/>
                <w:szCs w:val="22"/>
              </w:rPr>
            </w:pPr>
            <w:r w:rsidRPr="00104CB8">
              <w:rPr>
                <w:color w:val="000000"/>
                <w:sz w:val="22"/>
                <w:szCs w:val="22"/>
              </w:rPr>
              <w:t>102%</w:t>
            </w:r>
          </w:p>
        </w:tc>
      </w:tr>
      <w:tr w:rsidR="00D37929" w14:paraId="2EECC6FD" w14:textId="77777777" w:rsidTr="00D51717">
        <w:tc>
          <w:tcPr>
            <w:tcW w:w="3315" w:type="dxa"/>
            <w:tcBorders>
              <w:left w:val="single" w:sz="4" w:space="0" w:color="B1B1B1"/>
              <w:bottom w:val="single" w:sz="4" w:space="0" w:color="B1B1B1"/>
              <w:right w:val="single" w:sz="4" w:space="0" w:color="B1B1B1"/>
            </w:tcBorders>
            <w:vAlign w:val="bottom"/>
          </w:tcPr>
          <w:p w14:paraId="65FEA3F7" w14:textId="77777777" w:rsidR="00D37929" w:rsidRPr="00104CB8" w:rsidRDefault="00D37929" w:rsidP="00D51717">
            <w:pPr>
              <w:spacing w:line="200" w:lineRule="atLeast"/>
              <w:rPr>
                <w:color w:val="000000"/>
                <w:sz w:val="22"/>
                <w:szCs w:val="22"/>
              </w:rPr>
            </w:pPr>
            <w:r w:rsidRPr="00104CB8">
              <w:rPr>
                <w:color w:val="000000"/>
                <w:sz w:val="22"/>
                <w:szCs w:val="22"/>
              </w:rPr>
              <w:t>Consultant services for project management</w:t>
            </w:r>
          </w:p>
        </w:tc>
        <w:tc>
          <w:tcPr>
            <w:tcW w:w="2011" w:type="dxa"/>
            <w:tcBorders>
              <w:left w:val="single" w:sz="4" w:space="0" w:color="B1B1B1"/>
              <w:bottom w:val="single" w:sz="4" w:space="0" w:color="B1B1B1"/>
              <w:right w:val="single" w:sz="4" w:space="0" w:color="B1B1B1"/>
            </w:tcBorders>
            <w:shd w:val="clear" w:color="auto" w:fill="auto"/>
            <w:vAlign w:val="bottom"/>
          </w:tcPr>
          <w:p w14:paraId="74E5164A"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1.70</w:t>
            </w:r>
          </w:p>
        </w:tc>
        <w:tc>
          <w:tcPr>
            <w:tcW w:w="2011" w:type="dxa"/>
            <w:tcBorders>
              <w:left w:val="single" w:sz="4" w:space="0" w:color="B1B1B1"/>
              <w:bottom w:val="single" w:sz="4" w:space="0" w:color="B1B1B1"/>
              <w:right w:val="single" w:sz="4" w:space="0" w:color="B1B1B1"/>
            </w:tcBorders>
            <w:shd w:val="clear" w:color="auto" w:fill="auto"/>
            <w:vAlign w:val="bottom"/>
          </w:tcPr>
          <w:p w14:paraId="139513BD"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1.60</w:t>
            </w:r>
          </w:p>
        </w:tc>
        <w:tc>
          <w:tcPr>
            <w:tcW w:w="2013" w:type="dxa"/>
            <w:tcBorders>
              <w:left w:val="single" w:sz="4" w:space="0" w:color="B1B1B1"/>
              <w:bottom w:val="single" w:sz="4" w:space="0" w:color="B1B1B1"/>
              <w:right w:val="single" w:sz="4" w:space="0" w:color="B1B1B1"/>
            </w:tcBorders>
            <w:shd w:val="clear" w:color="auto" w:fill="auto"/>
            <w:vAlign w:val="bottom"/>
          </w:tcPr>
          <w:p w14:paraId="59230111" w14:textId="77777777" w:rsidR="00D37929" w:rsidRPr="00104CB8" w:rsidRDefault="00D37929" w:rsidP="00D51717">
            <w:pPr>
              <w:spacing w:line="200" w:lineRule="atLeast"/>
              <w:jc w:val="center"/>
              <w:rPr>
                <w:color w:val="000000"/>
                <w:sz w:val="22"/>
                <w:szCs w:val="22"/>
              </w:rPr>
            </w:pPr>
            <w:r w:rsidRPr="00104CB8">
              <w:rPr>
                <w:color w:val="000000"/>
                <w:sz w:val="22"/>
                <w:szCs w:val="22"/>
              </w:rPr>
              <w:t>94%</w:t>
            </w:r>
          </w:p>
        </w:tc>
      </w:tr>
      <w:tr w:rsidR="00D37929" w14:paraId="3BA749C0" w14:textId="77777777" w:rsidTr="00D51717">
        <w:tc>
          <w:tcPr>
            <w:tcW w:w="3315" w:type="dxa"/>
            <w:tcBorders>
              <w:left w:val="single" w:sz="4" w:space="0" w:color="B1B1B1"/>
              <w:bottom w:val="single" w:sz="4" w:space="0" w:color="B1B1B1"/>
              <w:right w:val="single" w:sz="4" w:space="0" w:color="B1B1B1"/>
            </w:tcBorders>
            <w:vAlign w:val="bottom"/>
          </w:tcPr>
          <w:p w14:paraId="4C9A9B45" w14:textId="77777777" w:rsidR="00D37929" w:rsidRPr="00104CB8" w:rsidRDefault="00D37929" w:rsidP="00D51717">
            <w:pPr>
              <w:spacing w:line="200" w:lineRule="atLeast"/>
              <w:rPr>
                <w:color w:val="000000"/>
                <w:sz w:val="22"/>
                <w:szCs w:val="22"/>
              </w:rPr>
            </w:pPr>
            <w:r w:rsidRPr="00104CB8">
              <w:rPr>
                <w:color w:val="000000"/>
                <w:sz w:val="22"/>
                <w:szCs w:val="22"/>
              </w:rPr>
              <w:t>Incremental operationg costs</w:t>
            </w:r>
          </w:p>
        </w:tc>
        <w:tc>
          <w:tcPr>
            <w:tcW w:w="2011" w:type="dxa"/>
            <w:tcBorders>
              <w:left w:val="single" w:sz="4" w:space="0" w:color="B1B1B1"/>
              <w:bottom w:val="single" w:sz="4" w:space="0" w:color="B1B1B1"/>
              <w:right w:val="single" w:sz="4" w:space="0" w:color="B1B1B1"/>
            </w:tcBorders>
            <w:shd w:val="clear" w:color="auto" w:fill="auto"/>
            <w:vAlign w:val="bottom"/>
          </w:tcPr>
          <w:p w14:paraId="62438B38"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0.50</w:t>
            </w:r>
          </w:p>
        </w:tc>
        <w:tc>
          <w:tcPr>
            <w:tcW w:w="2011" w:type="dxa"/>
            <w:tcBorders>
              <w:left w:val="single" w:sz="4" w:space="0" w:color="B1B1B1"/>
              <w:bottom w:val="single" w:sz="4" w:space="0" w:color="B1B1B1"/>
              <w:right w:val="single" w:sz="4" w:space="0" w:color="B1B1B1"/>
            </w:tcBorders>
            <w:shd w:val="clear" w:color="auto" w:fill="auto"/>
            <w:vAlign w:val="bottom"/>
          </w:tcPr>
          <w:p w14:paraId="5440C56D"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0.50</w:t>
            </w:r>
          </w:p>
        </w:tc>
        <w:tc>
          <w:tcPr>
            <w:tcW w:w="2013" w:type="dxa"/>
            <w:tcBorders>
              <w:left w:val="single" w:sz="4" w:space="0" w:color="B1B1B1"/>
              <w:bottom w:val="single" w:sz="4" w:space="0" w:color="B1B1B1"/>
              <w:right w:val="single" w:sz="4" w:space="0" w:color="B1B1B1"/>
            </w:tcBorders>
            <w:shd w:val="clear" w:color="auto" w:fill="auto"/>
            <w:vAlign w:val="bottom"/>
          </w:tcPr>
          <w:p w14:paraId="53E2B785" w14:textId="77777777" w:rsidR="00D37929" w:rsidRPr="00104CB8" w:rsidRDefault="00D37929" w:rsidP="00D51717">
            <w:pPr>
              <w:spacing w:line="200" w:lineRule="atLeast"/>
              <w:jc w:val="center"/>
              <w:rPr>
                <w:color w:val="000000"/>
                <w:sz w:val="22"/>
                <w:szCs w:val="22"/>
              </w:rPr>
            </w:pPr>
            <w:r w:rsidRPr="00104CB8">
              <w:rPr>
                <w:color w:val="000000"/>
                <w:sz w:val="22"/>
                <w:szCs w:val="22"/>
              </w:rPr>
              <w:t>100%</w:t>
            </w:r>
          </w:p>
        </w:tc>
      </w:tr>
      <w:tr w:rsidR="00D37929" w14:paraId="1CDD80CE" w14:textId="77777777" w:rsidTr="00D51717">
        <w:tc>
          <w:tcPr>
            <w:tcW w:w="3315" w:type="dxa"/>
            <w:tcBorders>
              <w:left w:val="single" w:sz="4" w:space="0" w:color="B1B1B1"/>
              <w:bottom w:val="single" w:sz="4" w:space="0" w:color="B1B1B1"/>
              <w:right w:val="single" w:sz="4" w:space="0" w:color="B1B1B1"/>
            </w:tcBorders>
            <w:vAlign w:val="bottom"/>
          </w:tcPr>
          <w:p w14:paraId="1BC51BD3" w14:textId="77777777" w:rsidR="00D37929" w:rsidRPr="00104CB8" w:rsidRDefault="00D37929" w:rsidP="00D51717">
            <w:pPr>
              <w:spacing w:line="200" w:lineRule="atLeast"/>
              <w:rPr>
                <w:color w:val="000000"/>
                <w:sz w:val="22"/>
                <w:szCs w:val="22"/>
              </w:rPr>
            </w:pPr>
            <w:r w:rsidRPr="00104CB8">
              <w:rPr>
                <w:color w:val="000000"/>
                <w:sz w:val="22"/>
                <w:szCs w:val="22"/>
              </w:rPr>
              <w:t>Goods under Part c1</w:t>
            </w:r>
          </w:p>
        </w:tc>
        <w:tc>
          <w:tcPr>
            <w:tcW w:w="2011" w:type="dxa"/>
            <w:tcBorders>
              <w:left w:val="single" w:sz="4" w:space="0" w:color="B1B1B1"/>
              <w:bottom w:val="single" w:sz="4" w:space="0" w:color="B1B1B1"/>
              <w:right w:val="single" w:sz="4" w:space="0" w:color="B1B1B1"/>
            </w:tcBorders>
            <w:shd w:val="clear" w:color="auto" w:fill="auto"/>
            <w:vAlign w:val="bottom"/>
          </w:tcPr>
          <w:p w14:paraId="73C935A8"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0.02</w:t>
            </w:r>
          </w:p>
        </w:tc>
        <w:tc>
          <w:tcPr>
            <w:tcW w:w="2011" w:type="dxa"/>
            <w:tcBorders>
              <w:left w:val="single" w:sz="4" w:space="0" w:color="B1B1B1"/>
              <w:bottom w:val="single" w:sz="4" w:space="0" w:color="B1B1B1"/>
              <w:right w:val="single" w:sz="4" w:space="0" w:color="B1B1B1"/>
            </w:tcBorders>
            <w:shd w:val="clear" w:color="auto" w:fill="auto"/>
            <w:vAlign w:val="bottom"/>
          </w:tcPr>
          <w:p w14:paraId="091C5D3A"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0.02</w:t>
            </w:r>
          </w:p>
        </w:tc>
        <w:tc>
          <w:tcPr>
            <w:tcW w:w="2013" w:type="dxa"/>
            <w:tcBorders>
              <w:left w:val="single" w:sz="4" w:space="0" w:color="B1B1B1"/>
              <w:bottom w:val="single" w:sz="4" w:space="0" w:color="B1B1B1"/>
              <w:right w:val="single" w:sz="4" w:space="0" w:color="B1B1B1"/>
            </w:tcBorders>
            <w:shd w:val="clear" w:color="auto" w:fill="auto"/>
            <w:vAlign w:val="bottom"/>
          </w:tcPr>
          <w:p w14:paraId="203142D4" w14:textId="77777777" w:rsidR="00D37929" w:rsidRPr="00104CB8" w:rsidRDefault="00D37929" w:rsidP="00D51717">
            <w:pPr>
              <w:spacing w:line="200" w:lineRule="atLeast"/>
              <w:jc w:val="center"/>
              <w:rPr>
                <w:color w:val="000000"/>
                <w:sz w:val="22"/>
                <w:szCs w:val="22"/>
              </w:rPr>
            </w:pPr>
            <w:r w:rsidRPr="00104CB8">
              <w:rPr>
                <w:color w:val="000000"/>
                <w:sz w:val="22"/>
                <w:szCs w:val="22"/>
              </w:rPr>
              <w:t>98%</w:t>
            </w:r>
          </w:p>
        </w:tc>
      </w:tr>
      <w:tr w:rsidR="00D37929" w14:paraId="0A6366C9" w14:textId="77777777" w:rsidTr="00D51717">
        <w:tc>
          <w:tcPr>
            <w:tcW w:w="3315" w:type="dxa"/>
            <w:tcBorders>
              <w:left w:val="single" w:sz="4" w:space="0" w:color="B1B1B1"/>
              <w:bottom w:val="single" w:sz="4" w:space="0" w:color="B1B1B1"/>
              <w:right w:val="single" w:sz="4" w:space="0" w:color="B1B1B1"/>
            </w:tcBorders>
            <w:vAlign w:val="bottom"/>
          </w:tcPr>
          <w:p w14:paraId="78A324BE" w14:textId="77777777" w:rsidR="00D37929" w:rsidRPr="00104CB8" w:rsidRDefault="00D37929" w:rsidP="00D51717">
            <w:pPr>
              <w:spacing w:line="200" w:lineRule="atLeast"/>
              <w:rPr>
                <w:color w:val="000000"/>
                <w:sz w:val="22"/>
                <w:szCs w:val="22"/>
              </w:rPr>
            </w:pPr>
            <w:r w:rsidRPr="00104CB8">
              <w:rPr>
                <w:color w:val="000000"/>
                <w:sz w:val="22"/>
                <w:szCs w:val="22"/>
              </w:rPr>
              <w:t xml:space="preserve">Reinusrance </w:t>
            </w:r>
          </w:p>
        </w:tc>
        <w:tc>
          <w:tcPr>
            <w:tcW w:w="2011" w:type="dxa"/>
            <w:tcBorders>
              <w:left w:val="single" w:sz="4" w:space="0" w:color="B1B1B1"/>
              <w:bottom w:val="single" w:sz="4" w:space="0" w:color="B1B1B1"/>
              <w:right w:val="single" w:sz="4" w:space="0" w:color="B1B1B1"/>
            </w:tcBorders>
            <w:shd w:val="clear" w:color="auto" w:fill="auto"/>
            <w:vAlign w:val="bottom"/>
          </w:tcPr>
          <w:p w14:paraId="25C578EC"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0.24</w:t>
            </w:r>
          </w:p>
        </w:tc>
        <w:tc>
          <w:tcPr>
            <w:tcW w:w="2011" w:type="dxa"/>
            <w:tcBorders>
              <w:left w:val="single" w:sz="4" w:space="0" w:color="B1B1B1"/>
              <w:bottom w:val="single" w:sz="4" w:space="0" w:color="B1B1B1"/>
              <w:right w:val="single" w:sz="4" w:space="0" w:color="B1B1B1"/>
            </w:tcBorders>
            <w:shd w:val="clear" w:color="auto" w:fill="auto"/>
            <w:vAlign w:val="bottom"/>
          </w:tcPr>
          <w:p w14:paraId="23BCBECB"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0.05</w:t>
            </w:r>
          </w:p>
        </w:tc>
        <w:tc>
          <w:tcPr>
            <w:tcW w:w="2013" w:type="dxa"/>
            <w:tcBorders>
              <w:left w:val="single" w:sz="4" w:space="0" w:color="B1B1B1"/>
              <w:bottom w:val="single" w:sz="4" w:space="0" w:color="B1B1B1"/>
              <w:right w:val="single" w:sz="4" w:space="0" w:color="B1B1B1"/>
            </w:tcBorders>
            <w:shd w:val="clear" w:color="auto" w:fill="auto"/>
            <w:vAlign w:val="bottom"/>
          </w:tcPr>
          <w:p w14:paraId="1AF0290C" w14:textId="77777777" w:rsidR="00D37929" w:rsidRPr="00104CB8" w:rsidRDefault="00D37929" w:rsidP="00D51717">
            <w:pPr>
              <w:spacing w:line="200" w:lineRule="atLeast"/>
              <w:jc w:val="center"/>
              <w:rPr>
                <w:color w:val="000000"/>
                <w:sz w:val="22"/>
                <w:szCs w:val="22"/>
              </w:rPr>
            </w:pPr>
            <w:r w:rsidRPr="00104CB8">
              <w:rPr>
                <w:color w:val="000000"/>
                <w:sz w:val="22"/>
                <w:szCs w:val="22"/>
              </w:rPr>
              <w:t>19%</w:t>
            </w:r>
          </w:p>
        </w:tc>
      </w:tr>
      <w:tr w:rsidR="00D37929" w14:paraId="334A026F" w14:textId="77777777" w:rsidTr="00D51717">
        <w:tc>
          <w:tcPr>
            <w:tcW w:w="3315" w:type="dxa"/>
            <w:tcBorders>
              <w:left w:val="single" w:sz="4" w:space="0" w:color="B1B1B1"/>
              <w:bottom w:val="single" w:sz="4" w:space="0" w:color="B1B1B1"/>
              <w:right w:val="single" w:sz="4" w:space="0" w:color="B1B1B1"/>
            </w:tcBorders>
            <w:vAlign w:val="bottom"/>
          </w:tcPr>
          <w:p w14:paraId="226AF40E" w14:textId="77777777" w:rsidR="00D37929" w:rsidRPr="00104CB8" w:rsidRDefault="00D37929" w:rsidP="00D51717">
            <w:pPr>
              <w:spacing w:line="200" w:lineRule="atLeast"/>
              <w:rPr>
                <w:color w:val="000000"/>
                <w:sz w:val="22"/>
                <w:szCs w:val="22"/>
              </w:rPr>
            </w:pPr>
            <w:r w:rsidRPr="00104CB8">
              <w:rPr>
                <w:color w:val="000000"/>
                <w:sz w:val="22"/>
                <w:szCs w:val="22"/>
              </w:rPr>
              <w:t>Expenditure not claimed</w:t>
            </w:r>
          </w:p>
        </w:tc>
        <w:tc>
          <w:tcPr>
            <w:tcW w:w="2011" w:type="dxa"/>
            <w:tcBorders>
              <w:left w:val="single" w:sz="4" w:space="0" w:color="B1B1B1"/>
              <w:bottom w:val="single" w:sz="4" w:space="0" w:color="B1B1B1"/>
              <w:right w:val="single" w:sz="4" w:space="0" w:color="B1B1B1"/>
            </w:tcBorders>
            <w:shd w:val="clear" w:color="auto" w:fill="auto"/>
            <w:vAlign w:val="bottom"/>
          </w:tcPr>
          <w:p w14:paraId="7C21780D" w14:textId="77777777" w:rsidR="00D37929" w:rsidRPr="00104CB8" w:rsidRDefault="00D37929" w:rsidP="00D51717">
            <w:pPr>
              <w:tabs>
                <w:tab w:val="decimal" w:pos="1078"/>
              </w:tabs>
              <w:spacing w:line="200" w:lineRule="atLeast"/>
              <w:rPr>
                <w:color w:val="000000"/>
                <w:sz w:val="22"/>
                <w:szCs w:val="22"/>
              </w:rPr>
            </w:pPr>
          </w:p>
        </w:tc>
        <w:tc>
          <w:tcPr>
            <w:tcW w:w="2011" w:type="dxa"/>
            <w:tcBorders>
              <w:left w:val="single" w:sz="4" w:space="0" w:color="B1B1B1"/>
              <w:bottom w:val="single" w:sz="4" w:space="0" w:color="B1B1B1"/>
              <w:right w:val="single" w:sz="4" w:space="0" w:color="B1B1B1"/>
            </w:tcBorders>
            <w:shd w:val="clear" w:color="auto" w:fill="auto"/>
            <w:vAlign w:val="bottom"/>
          </w:tcPr>
          <w:p w14:paraId="2B07890E" w14:textId="77777777" w:rsidR="00D37929" w:rsidRPr="00104CB8" w:rsidRDefault="00D37929" w:rsidP="00D51717">
            <w:pPr>
              <w:tabs>
                <w:tab w:val="decimal" w:pos="1091"/>
              </w:tabs>
              <w:spacing w:line="200" w:lineRule="atLeast"/>
              <w:rPr>
                <w:color w:val="000000"/>
                <w:sz w:val="22"/>
                <w:szCs w:val="22"/>
              </w:rPr>
            </w:pPr>
          </w:p>
        </w:tc>
        <w:tc>
          <w:tcPr>
            <w:tcW w:w="2013" w:type="dxa"/>
            <w:tcBorders>
              <w:left w:val="single" w:sz="4" w:space="0" w:color="B1B1B1"/>
              <w:bottom w:val="single" w:sz="4" w:space="0" w:color="B1B1B1"/>
              <w:right w:val="single" w:sz="4" w:space="0" w:color="B1B1B1"/>
            </w:tcBorders>
            <w:shd w:val="clear" w:color="auto" w:fill="auto"/>
            <w:vAlign w:val="bottom"/>
          </w:tcPr>
          <w:p w14:paraId="5B219B27" w14:textId="77777777" w:rsidR="00D37929" w:rsidRPr="00104CB8" w:rsidRDefault="00D37929" w:rsidP="00D51717">
            <w:pPr>
              <w:spacing w:line="200" w:lineRule="atLeast"/>
              <w:jc w:val="center"/>
              <w:rPr>
                <w:color w:val="000000"/>
                <w:sz w:val="22"/>
                <w:szCs w:val="22"/>
              </w:rPr>
            </w:pPr>
          </w:p>
        </w:tc>
      </w:tr>
      <w:tr w:rsidR="00D37929" w14:paraId="428F5314" w14:textId="77777777" w:rsidTr="00D51717">
        <w:tc>
          <w:tcPr>
            <w:tcW w:w="3315" w:type="dxa"/>
            <w:tcBorders>
              <w:left w:val="single" w:sz="4" w:space="0" w:color="B1B1B1"/>
              <w:bottom w:val="single" w:sz="4" w:space="0" w:color="B1B1B1"/>
              <w:right w:val="single" w:sz="4" w:space="0" w:color="B1B1B1"/>
            </w:tcBorders>
            <w:vAlign w:val="bottom"/>
          </w:tcPr>
          <w:p w14:paraId="394C18F1" w14:textId="77777777" w:rsidR="00D37929" w:rsidRPr="00104CB8" w:rsidRDefault="00D37929" w:rsidP="00D51717">
            <w:pPr>
              <w:spacing w:line="200" w:lineRule="atLeast"/>
              <w:rPr>
                <w:color w:val="000000"/>
                <w:sz w:val="22"/>
                <w:szCs w:val="22"/>
              </w:rPr>
            </w:pPr>
            <w:r w:rsidRPr="00104CB8">
              <w:rPr>
                <w:color w:val="000000"/>
                <w:sz w:val="22"/>
                <w:szCs w:val="22"/>
              </w:rPr>
              <w:t xml:space="preserve">Centralized in State treasury </w:t>
            </w:r>
          </w:p>
        </w:tc>
        <w:tc>
          <w:tcPr>
            <w:tcW w:w="2011" w:type="dxa"/>
            <w:tcBorders>
              <w:left w:val="single" w:sz="4" w:space="0" w:color="B1B1B1"/>
              <w:bottom w:val="single" w:sz="4" w:space="0" w:color="B1B1B1"/>
              <w:right w:val="single" w:sz="4" w:space="0" w:color="B1B1B1"/>
            </w:tcBorders>
            <w:shd w:val="clear" w:color="auto" w:fill="auto"/>
            <w:vAlign w:val="bottom"/>
          </w:tcPr>
          <w:p w14:paraId="3765AD5E" w14:textId="77777777" w:rsidR="00D37929" w:rsidRPr="00104CB8" w:rsidRDefault="00D37929" w:rsidP="00D51717">
            <w:pPr>
              <w:tabs>
                <w:tab w:val="decimal" w:pos="1078"/>
              </w:tabs>
              <w:spacing w:line="200" w:lineRule="atLeast"/>
              <w:rPr>
                <w:color w:val="000000"/>
                <w:sz w:val="22"/>
                <w:szCs w:val="22"/>
              </w:rPr>
            </w:pPr>
          </w:p>
        </w:tc>
        <w:tc>
          <w:tcPr>
            <w:tcW w:w="2011" w:type="dxa"/>
            <w:tcBorders>
              <w:left w:val="single" w:sz="4" w:space="0" w:color="B1B1B1"/>
              <w:bottom w:val="single" w:sz="4" w:space="0" w:color="B1B1B1"/>
              <w:right w:val="single" w:sz="4" w:space="0" w:color="B1B1B1"/>
            </w:tcBorders>
            <w:shd w:val="clear" w:color="auto" w:fill="auto"/>
            <w:vAlign w:val="bottom"/>
          </w:tcPr>
          <w:p w14:paraId="52B8C47E" w14:textId="77777777" w:rsidR="00D37929" w:rsidRPr="00104CB8" w:rsidRDefault="00D37929" w:rsidP="00D51717">
            <w:pPr>
              <w:tabs>
                <w:tab w:val="decimal" w:pos="1091"/>
              </w:tabs>
              <w:spacing w:line="200" w:lineRule="atLeast"/>
              <w:rPr>
                <w:color w:val="000000"/>
                <w:sz w:val="22"/>
                <w:szCs w:val="22"/>
              </w:rPr>
            </w:pPr>
          </w:p>
        </w:tc>
        <w:tc>
          <w:tcPr>
            <w:tcW w:w="2013" w:type="dxa"/>
            <w:tcBorders>
              <w:left w:val="single" w:sz="4" w:space="0" w:color="B1B1B1"/>
              <w:bottom w:val="single" w:sz="4" w:space="0" w:color="B1B1B1"/>
              <w:right w:val="single" w:sz="4" w:space="0" w:color="B1B1B1"/>
            </w:tcBorders>
            <w:shd w:val="clear" w:color="auto" w:fill="auto"/>
            <w:vAlign w:val="bottom"/>
          </w:tcPr>
          <w:p w14:paraId="1556EB58" w14:textId="77777777" w:rsidR="00D37929" w:rsidRPr="00104CB8" w:rsidRDefault="00D37929" w:rsidP="00D51717">
            <w:pPr>
              <w:spacing w:line="200" w:lineRule="atLeast"/>
              <w:jc w:val="center"/>
              <w:rPr>
                <w:color w:val="000000"/>
                <w:sz w:val="22"/>
                <w:szCs w:val="22"/>
              </w:rPr>
            </w:pPr>
          </w:p>
        </w:tc>
      </w:tr>
      <w:tr w:rsidR="00D37929" w14:paraId="14F235C7" w14:textId="77777777" w:rsidTr="00D51717">
        <w:tc>
          <w:tcPr>
            <w:tcW w:w="3315" w:type="dxa"/>
            <w:tcBorders>
              <w:left w:val="single" w:sz="4" w:space="0" w:color="B1B1B1"/>
              <w:bottom w:val="single" w:sz="4" w:space="0" w:color="B1B1B1"/>
              <w:right w:val="single" w:sz="4" w:space="0" w:color="B1B1B1"/>
            </w:tcBorders>
            <w:vAlign w:val="bottom"/>
          </w:tcPr>
          <w:p w14:paraId="0F730461" w14:textId="77777777" w:rsidR="00D37929" w:rsidRPr="00104CB8" w:rsidRDefault="00D37929" w:rsidP="00D51717">
            <w:pPr>
              <w:spacing w:line="200" w:lineRule="atLeast"/>
              <w:rPr>
                <w:color w:val="000000"/>
                <w:sz w:val="22"/>
                <w:szCs w:val="22"/>
              </w:rPr>
            </w:pPr>
            <w:r w:rsidRPr="00104CB8">
              <w:rPr>
                <w:color w:val="000000"/>
                <w:sz w:val="22"/>
                <w:szCs w:val="22"/>
              </w:rPr>
              <w:t>Bank charges</w:t>
            </w:r>
          </w:p>
        </w:tc>
        <w:tc>
          <w:tcPr>
            <w:tcW w:w="2011" w:type="dxa"/>
            <w:tcBorders>
              <w:left w:val="single" w:sz="4" w:space="0" w:color="B1B1B1"/>
              <w:bottom w:val="single" w:sz="4" w:space="0" w:color="B1B1B1"/>
              <w:right w:val="single" w:sz="4" w:space="0" w:color="B1B1B1"/>
            </w:tcBorders>
            <w:shd w:val="clear" w:color="auto" w:fill="auto"/>
            <w:vAlign w:val="bottom"/>
          </w:tcPr>
          <w:p w14:paraId="4A7BB61C"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0.00</w:t>
            </w:r>
          </w:p>
        </w:tc>
        <w:tc>
          <w:tcPr>
            <w:tcW w:w="2011" w:type="dxa"/>
            <w:tcBorders>
              <w:left w:val="single" w:sz="4" w:space="0" w:color="B1B1B1"/>
              <w:bottom w:val="single" w:sz="4" w:space="0" w:color="B1B1B1"/>
              <w:right w:val="single" w:sz="4" w:space="0" w:color="B1B1B1"/>
            </w:tcBorders>
            <w:shd w:val="clear" w:color="auto" w:fill="auto"/>
            <w:vAlign w:val="bottom"/>
          </w:tcPr>
          <w:p w14:paraId="070624D8" w14:textId="77777777" w:rsidR="00D37929" w:rsidRPr="00104CB8" w:rsidRDefault="00D37929" w:rsidP="00D51717">
            <w:pPr>
              <w:tabs>
                <w:tab w:val="decimal" w:pos="1091"/>
              </w:tabs>
              <w:spacing w:line="200" w:lineRule="atLeast"/>
              <w:rPr>
                <w:color w:val="000000"/>
                <w:sz w:val="22"/>
                <w:szCs w:val="22"/>
              </w:rPr>
            </w:pPr>
          </w:p>
        </w:tc>
        <w:tc>
          <w:tcPr>
            <w:tcW w:w="2013" w:type="dxa"/>
            <w:tcBorders>
              <w:left w:val="single" w:sz="4" w:space="0" w:color="B1B1B1"/>
              <w:bottom w:val="single" w:sz="4" w:space="0" w:color="B1B1B1"/>
              <w:right w:val="single" w:sz="4" w:space="0" w:color="B1B1B1"/>
            </w:tcBorders>
            <w:shd w:val="clear" w:color="auto" w:fill="auto"/>
            <w:vAlign w:val="bottom"/>
          </w:tcPr>
          <w:p w14:paraId="11C02FB0" w14:textId="77777777" w:rsidR="00D37929" w:rsidRPr="00104CB8" w:rsidRDefault="00D37929" w:rsidP="00D51717">
            <w:pPr>
              <w:spacing w:line="200" w:lineRule="atLeast"/>
              <w:jc w:val="center"/>
              <w:rPr>
                <w:color w:val="000000"/>
                <w:sz w:val="22"/>
                <w:szCs w:val="22"/>
              </w:rPr>
            </w:pPr>
          </w:p>
        </w:tc>
      </w:tr>
      <w:tr w:rsidR="00D37929" w14:paraId="15AEF0F6" w14:textId="77777777" w:rsidTr="00D51717">
        <w:tc>
          <w:tcPr>
            <w:tcW w:w="3315" w:type="dxa"/>
            <w:tcBorders>
              <w:left w:val="single" w:sz="4" w:space="0" w:color="B1B1B1"/>
              <w:bottom w:val="single" w:sz="4" w:space="0" w:color="B1B1B1"/>
              <w:right w:val="single" w:sz="4" w:space="0" w:color="B1B1B1"/>
            </w:tcBorders>
            <w:vAlign w:val="center"/>
          </w:tcPr>
          <w:p w14:paraId="2B05C7AB" w14:textId="77777777" w:rsidR="00D37929" w:rsidRPr="00104CB8" w:rsidRDefault="00D37929" w:rsidP="00D51717">
            <w:pPr>
              <w:spacing w:line="200" w:lineRule="atLeast"/>
              <w:jc w:val="right"/>
              <w:rPr>
                <w:color w:val="000000"/>
                <w:sz w:val="22"/>
                <w:szCs w:val="22"/>
              </w:rPr>
            </w:pPr>
            <w:r w:rsidRPr="00104CB8">
              <w:rPr>
                <w:rStyle w:val="Strong"/>
                <w:color w:val="000000"/>
                <w:sz w:val="22"/>
                <w:szCs w:val="22"/>
              </w:rPr>
              <w:t>Total Baseline Cost  </w:t>
            </w:r>
          </w:p>
        </w:tc>
        <w:tc>
          <w:tcPr>
            <w:tcW w:w="2011" w:type="dxa"/>
            <w:tcBorders>
              <w:left w:val="single" w:sz="4" w:space="0" w:color="B1B1B1"/>
              <w:bottom w:val="single" w:sz="4" w:space="0" w:color="B1B1B1"/>
              <w:right w:val="single" w:sz="4" w:space="0" w:color="B1B1B1"/>
            </w:tcBorders>
            <w:shd w:val="clear" w:color="auto" w:fill="auto"/>
            <w:vAlign w:val="center"/>
          </w:tcPr>
          <w:p w14:paraId="17C9C3B0"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10.95</w:t>
            </w:r>
          </w:p>
        </w:tc>
        <w:tc>
          <w:tcPr>
            <w:tcW w:w="2011" w:type="dxa"/>
            <w:tcBorders>
              <w:left w:val="single" w:sz="4" w:space="0" w:color="B1B1B1"/>
              <w:bottom w:val="single" w:sz="4" w:space="0" w:color="B1B1B1"/>
              <w:right w:val="single" w:sz="4" w:space="0" w:color="B1B1B1"/>
            </w:tcBorders>
            <w:shd w:val="clear" w:color="auto" w:fill="auto"/>
            <w:vAlign w:val="center"/>
          </w:tcPr>
          <w:p w14:paraId="3265053D"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7.20</w:t>
            </w:r>
          </w:p>
        </w:tc>
        <w:tc>
          <w:tcPr>
            <w:tcW w:w="2013" w:type="dxa"/>
            <w:tcBorders>
              <w:left w:val="single" w:sz="4" w:space="0" w:color="B1B1B1"/>
              <w:bottom w:val="single" w:sz="4" w:space="0" w:color="B1B1B1"/>
              <w:right w:val="single" w:sz="4" w:space="0" w:color="B1B1B1"/>
            </w:tcBorders>
            <w:shd w:val="clear" w:color="auto" w:fill="auto"/>
            <w:vAlign w:val="center"/>
          </w:tcPr>
          <w:p w14:paraId="6886C7E1" w14:textId="77777777" w:rsidR="00D37929" w:rsidRPr="00104CB8" w:rsidRDefault="00D37929" w:rsidP="00D51717">
            <w:pPr>
              <w:spacing w:line="200" w:lineRule="atLeast"/>
              <w:jc w:val="center"/>
              <w:rPr>
                <w:color w:val="000000"/>
                <w:sz w:val="22"/>
                <w:szCs w:val="22"/>
              </w:rPr>
            </w:pPr>
            <w:r w:rsidRPr="00104CB8">
              <w:rPr>
                <w:color w:val="000000"/>
                <w:sz w:val="22"/>
                <w:szCs w:val="22"/>
              </w:rPr>
              <w:t>66%</w:t>
            </w:r>
          </w:p>
        </w:tc>
      </w:tr>
      <w:tr w:rsidR="00D37929" w14:paraId="35C05A77"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735EC842" w14:textId="77777777" w:rsidR="00D37929" w:rsidRPr="00104CB8" w:rsidRDefault="00D37929" w:rsidP="00D51717">
            <w:pPr>
              <w:spacing w:line="200" w:lineRule="atLeast"/>
              <w:rPr>
                <w:color w:val="000000"/>
                <w:sz w:val="22"/>
                <w:szCs w:val="22"/>
              </w:rPr>
            </w:pPr>
            <w:bookmarkStart w:id="175" w:name="phyapr_fld_lbl"/>
            <w:r w:rsidRPr="00104CB8">
              <w:rPr>
                <w:color w:val="000000"/>
                <w:sz w:val="22"/>
                <w:szCs w:val="22"/>
              </w:rPr>
              <w:t>Physical Contingencies</w:t>
            </w:r>
            <w:bookmarkEnd w:id="175"/>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6358357" w14:textId="77777777" w:rsidR="00D37929" w:rsidRPr="00104CB8" w:rsidRDefault="00D37929" w:rsidP="00D51717">
            <w:pPr>
              <w:tabs>
                <w:tab w:val="decimal" w:pos="1078"/>
              </w:tabs>
              <w:spacing w:line="200" w:lineRule="atLeast"/>
              <w:rPr>
                <w:color w:val="000000"/>
                <w:sz w:val="22"/>
                <w:szCs w:val="22"/>
              </w:rPr>
            </w:pPr>
            <w:bookmarkStart w:id="176" w:name="phyapr_fld"/>
            <w:r w:rsidRPr="00104CB8">
              <w:rPr>
                <w:color w:val="000000"/>
                <w:sz w:val="22"/>
                <w:szCs w:val="22"/>
              </w:rPr>
              <w:t xml:space="preserve">                                                                           0.</w:t>
            </w:r>
            <w:bookmarkEnd w:id="176"/>
            <w:r w:rsidRPr="00104CB8">
              <w:rPr>
                <w:color w:val="000000"/>
                <w:sz w:val="22"/>
                <w:szCs w:val="22"/>
              </w:rPr>
              <w:t>06</w:t>
            </w:r>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DFC61B8" w14:textId="77777777" w:rsidR="00D37929" w:rsidRPr="00104CB8" w:rsidRDefault="00D37929" w:rsidP="00D51717">
            <w:pPr>
              <w:tabs>
                <w:tab w:val="decimal" w:pos="1091"/>
              </w:tabs>
              <w:spacing w:line="200" w:lineRule="atLeast"/>
              <w:rPr>
                <w:color w:val="000000"/>
                <w:sz w:val="22"/>
                <w:szCs w:val="22"/>
              </w:rPr>
            </w:pPr>
            <w:bookmarkStart w:id="177" w:name="phyact_fld"/>
            <w:r w:rsidRPr="00104CB8">
              <w:rPr>
                <w:color w:val="000000"/>
                <w:sz w:val="22"/>
                <w:szCs w:val="22"/>
              </w:rPr>
              <w:t xml:space="preserve">                                                                           0.00</w:t>
            </w:r>
            <w:bookmarkEnd w:id="177"/>
          </w:p>
        </w:tc>
        <w:tc>
          <w:tcPr>
            <w:tcW w:w="2013"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63DA3C3" w14:textId="77777777" w:rsidR="00D37929" w:rsidRPr="00104CB8" w:rsidRDefault="00D37929" w:rsidP="00D51717">
            <w:pPr>
              <w:spacing w:line="200" w:lineRule="atLeast"/>
              <w:jc w:val="center"/>
              <w:rPr>
                <w:color w:val="000000"/>
                <w:sz w:val="22"/>
                <w:szCs w:val="22"/>
              </w:rPr>
            </w:pPr>
            <w:bookmarkStart w:id="178" w:name="phyper_fld"/>
            <w:r w:rsidRPr="00104CB8">
              <w:rPr>
                <w:color w:val="000000"/>
                <w:sz w:val="22"/>
                <w:szCs w:val="22"/>
              </w:rPr>
              <w:t xml:space="preserve">                                                                           0.00</w:t>
            </w:r>
            <w:bookmarkEnd w:id="178"/>
          </w:p>
        </w:tc>
      </w:tr>
      <w:tr w:rsidR="00D37929" w14:paraId="78DB5580"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2F5B4CFD" w14:textId="77777777" w:rsidR="00D37929" w:rsidRPr="00104CB8" w:rsidRDefault="00D37929" w:rsidP="00D51717">
            <w:pPr>
              <w:spacing w:line="200" w:lineRule="atLeast"/>
              <w:rPr>
                <w:color w:val="000000"/>
                <w:sz w:val="22"/>
                <w:szCs w:val="22"/>
              </w:rPr>
            </w:pPr>
            <w:bookmarkStart w:id="179" w:name="priapr_fld_lbl"/>
            <w:r w:rsidRPr="00104CB8">
              <w:rPr>
                <w:color w:val="000000"/>
                <w:sz w:val="22"/>
                <w:szCs w:val="22"/>
              </w:rPr>
              <w:t>Price Contingencies</w:t>
            </w:r>
            <w:bookmarkEnd w:id="179"/>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CA563DE" w14:textId="77777777" w:rsidR="00D37929" w:rsidRPr="00104CB8" w:rsidRDefault="00D37929" w:rsidP="00D51717">
            <w:pPr>
              <w:tabs>
                <w:tab w:val="decimal" w:pos="1078"/>
              </w:tabs>
              <w:spacing w:line="200" w:lineRule="atLeast"/>
              <w:rPr>
                <w:color w:val="000000"/>
                <w:sz w:val="22"/>
                <w:szCs w:val="22"/>
              </w:rPr>
            </w:pPr>
            <w:bookmarkStart w:id="180" w:name="priapr_fld"/>
            <w:r w:rsidRPr="00104CB8">
              <w:rPr>
                <w:color w:val="000000"/>
                <w:sz w:val="22"/>
                <w:szCs w:val="22"/>
              </w:rPr>
              <w:t xml:space="preserve">                                                                           0.</w:t>
            </w:r>
            <w:bookmarkEnd w:id="180"/>
            <w:r w:rsidRPr="00104CB8">
              <w:rPr>
                <w:color w:val="000000"/>
                <w:sz w:val="22"/>
                <w:szCs w:val="22"/>
              </w:rPr>
              <w:t>19</w:t>
            </w:r>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FF5334F" w14:textId="77777777" w:rsidR="00D37929" w:rsidRPr="00104CB8" w:rsidRDefault="00D37929" w:rsidP="00D51717">
            <w:pPr>
              <w:tabs>
                <w:tab w:val="decimal" w:pos="1091"/>
              </w:tabs>
              <w:spacing w:line="200" w:lineRule="atLeast"/>
              <w:rPr>
                <w:color w:val="000000"/>
                <w:sz w:val="22"/>
                <w:szCs w:val="22"/>
              </w:rPr>
            </w:pPr>
            <w:bookmarkStart w:id="181" w:name="priact_fld"/>
            <w:r w:rsidRPr="00104CB8">
              <w:rPr>
                <w:color w:val="000000"/>
                <w:sz w:val="22"/>
                <w:szCs w:val="22"/>
              </w:rPr>
              <w:t xml:space="preserve">                                                                           0.00</w:t>
            </w:r>
            <w:bookmarkEnd w:id="181"/>
          </w:p>
        </w:tc>
        <w:tc>
          <w:tcPr>
            <w:tcW w:w="2013"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CBE3A9D" w14:textId="77777777" w:rsidR="00D37929" w:rsidRPr="00104CB8" w:rsidRDefault="00D37929" w:rsidP="00D51717">
            <w:pPr>
              <w:spacing w:line="200" w:lineRule="atLeast"/>
              <w:jc w:val="center"/>
              <w:rPr>
                <w:color w:val="000000"/>
                <w:sz w:val="22"/>
                <w:szCs w:val="22"/>
              </w:rPr>
            </w:pPr>
            <w:bookmarkStart w:id="182" w:name="priper_fld"/>
            <w:r w:rsidRPr="00104CB8">
              <w:rPr>
                <w:color w:val="000000"/>
                <w:sz w:val="22"/>
                <w:szCs w:val="22"/>
              </w:rPr>
              <w:t xml:space="preserve">                                                                           0.00</w:t>
            </w:r>
            <w:bookmarkEnd w:id="182"/>
          </w:p>
        </w:tc>
      </w:tr>
      <w:tr w:rsidR="00D37929" w14:paraId="0729BB35"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116BFFBF" w14:textId="77777777" w:rsidR="00D37929" w:rsidRPr="00104CB8" w:rsidRDefault="00D37929" w:rsidP="00D51717">
            <w:pPr>
              <w:spacing w:line="200" w:lineRule="atLeast"/>
              <w:jc w:val="right"/>
              <w:rPr>
                <w:color w:val="000000"/>
                <w:sz w:val="22"/>
                <w:szCs w:val="22"/>
              </w:rPr>
            </w:pPr>
            <w:r w:rsidRPr="00104CB8">
              <w:rPr>
                <w:rStyle w:val="Strong"/>
                <w:color w:val="000000"/>
                <w:sz w:val="22"/>
                <w:szCs w:val="22"/>
              </w:rPr>
              <w:t>Total Project Costs </w:t>
            </w:r>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73EF9C1" w14:textId="77777777" w:rsidR="00D37929" w:rsidRPr="00104CB8" w:rsidRDefault="00D37929" w:rsidP="00D51717">
            <w:pPr>
              <w:tabs>
                <w:tab w:val="decimal" w:pos="1078"/>
              </w:tabs>
              <w:spacing w:line="200" w:lineRule="atLeast"/>
              <w:rPr>
                <w:color w:val="000000"/>
                <w:sz w:val="22"/>
                <w:szCs w:val="22"/>
              </w:rPr>
            </w:pPr>
            <w:r w:rsidRPr="00104CB8">
              <w:rPr>
                <w:color w:val="000000"/>
                <w:sz w:val="22"/>
                <w:szCs w:val="22"/>
              </w:rPr>
              <w:t>11.20</w:t>
            </w:r>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6006A3B" w14:textId="77777777" w:rsidR="00D37929" w:rsidRPr="00104CB8" w:rsidRDefault="00D37929" w:rsidP="00D51717">
            <w:pPr>
              <w:tabs>
                <w:tab w:val="decimal" w:pos="1091"/>
              </w:tabs>
              <w:spacing w:line="200" w:lineRule="atLeast"/>
              <w:rPr>
                <w:color w:val="000000"/>
                <w:sz w:val="22"/>
                <w:szCs w:val="22"/>
              </w:rPr>
            </w:pPr>
            <w:r w:rsidRPr="00104CB8">
              <w:rPr>
                <w:color w:val="000000"/>
                <w:sz w:val="22"/>
                <w:szCs w:val="22"/>
              </w:rPr>
              <w:t>7.20</w:t>
            </w:r>
          </w:p>
        </w:tc>
        <w:tc>
          <w:tcPr>
            <w:tcW w:w="2013"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8F842DC" w14:textId="77777777" w:rsidR="00D37929" w:rsidRPr="00104CB8" w:rsidRDefault="00D37929" w:rsidP="00D51717">
            <w:pPr>
              <w:spacing w:line="200" w:lineRule="atLeast"/>
              <w:jc w:val="center"/>
              <w:rPr>
                <w:color w:val="000000"/>
                <w:sz w:val="22"/>
                <w:szCs w:val="22"/>
              </w:rPr>
            </w:pPr>
            <w:r w:rsidRPr="00104CB8">
              <w:rPr>
                <w:color w:val="000000"/>
                <w:sz w:val="22"/>
                <w:szCs w:val="22"/>
              </w:rPr>
              <w:t>64%</w:t>
            </w:r>
          </w:p>
        </w:tc>
      </w:tr>
      <w:tr w:rsidR="00D37929" w14:paraId="31F5EA15"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66FF8617" w14:textId="77777777" w:rsidR="00D37929" w:rsidRPr="00104CB8" w:rsidRDefault="00D37929" w:rsidP="00D51717">
            <w:pPr>
              <w:spacing w:line="200" w:lineRule="atLeast"/>
              <w:rPr>
                <w:color w:val="000000"/>
                <w:sz w:val="22"/>
                <w:szCs w:val="22"/>
              </w:rPr>
            </w:pPr>
            <w:bookmarkStart w:id="183" w:name="FRONT_END_PPF"/>
            <w:r w:rsidRPr="00104CB8">
              <w:rPr>
                <w:color w:val="000000"/>
                <w:sz w:val="22"/>
                <w:szCs w:val="22"/>
              </w:rPr>
              <w:t>Front-end fee PPF</w:t>
            </w:r>
            <w:bookmarkEnd w:id="183"/>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3C81624" w14:textId="77777777" w:rsidR="00D37929" w:rsidRPr="00104CB8" w:rsidRDefault="00D37929" w:rsidP="00D51717">
            <w:pPr>
              <w:tabs>
                <w:tab w:val="decimal" w:pos="1078"/>
              </w:tabs>
              <w:spacing w:line="200" w:lineRule="atLeast"/>
              <w:rPr>
                <w:color w:val="000000"/>
                <w:sz w:val="22"/>
                <w:szCs w:val="22"/>
              </w:rPr>
            </w:pPr>
            <w:bookmarkStart w:id="184" w:name="FRONT_END_PPF_APR"/>
            <w:r w:rsidRPr="00104CB8">
              <w:rPr>
                <w:color w:val="000000"/>
                <w:sz w:val="22"/>
                <w:szCs w:val="22"/>
              </w:rPr>
              <w:t>0.00</w:t>
            </w:r>
            <w:bookmarkEnd w:id="184"/>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E065199" w14:textId="77777777" w:rsidR="00D37929" w:rsidRPr="00104CB8" w:rsidRDefault="00D37929" w:rsidP="00D51717">
            <w:pPr>
              <w:tabs>
                <w:tab w:val="decimal" w:pos="1091"/>
              </w:tabs>
              <w:spacing w:line="200" w:lineRule="atLeast"/>
              <w:rPr>
                <w:color w:val="000000"/>
                <w:sz w:val="22"/>
                <w:szCs w:val="22"/>
              </w:rPr>
            </w:pPr>
            <w:bookmarkStart w:id="185" w:name="FRONT_END_PPF_ACT"/>
            <w:r w:rsidRPr="00104CB8">
              <w:rPr>
                <w:color w:val="000000"/>
                <w:sz w:val="22"/>
                <w:szCs w:val="22"/>
              </w:rPr>
              <w:t>0.00</w:t>
            </w:r>
            <w:bookmarkEnd w:id="185"/>
          </w:p>
        </w:tc>
        <w:tc>
          <w:tcPr>
            <w:tcW w:w="2013"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375316D" w14:textId="77777777" w:rsidR="00D37929" w:rsidRPr="00104CB8" w:rsidRDefault="00D37929" w:rsidP="00D51717">
            <w:pPr>
              <w:spacing w:line="200" w:lineRule="atLeast"/>
              <w:jc w:val="center"/>
              <w:rPr>
                <w:color w:val="000000"/>
                <w:sz w:val="22"/>
                <w:szCs w:val="22"/>
              </w:rPr>
            </w:pPr>
            <w:bookmarkStart w:id="186" w:name="FRONT_END_PPF_PERC"/>
            <w:r w:rsidRPr="00104CB8">
              <w:rPr>
                <w:color w:val="000000"/>
                <w:sz w:val="22"/>
                <w:szCs w:val="22"/>
              </w:rPr>
              <w:t>.00</w:t>
            </w:r>
            <w:bookmarkEnd w:id="186"/>
          </w:p>
        </w:tc>
      </w:tr>
      <w:tr w:rsidR="00D37929" w14:paraId="7DBAE09C"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4221E60B" w14:textId="77777777" w:rsidR="00D37929" w:rsidRPr="00104CB8" w:rsidRDefault="00D37929" w:rsidP="00D51717">
            <w:pPr>
              <w:spacing w:line="200" w:lineRule="atLeast"/>
              <w:rPr>
                <w:color w:val="000000"/>
                <w:sz w:val="22"/>
                <w:szCs w:val="22"/>
              </w:rPr>
            </w:pPr>
            <w:bookmarkStart w:id="187" w:name="FRONT_END_IBRD"/>
            <w:r w:rsidRPr="00104CB8">
              <w:rPr>
                <w:color w:val="000000"/>
                <w:sz w:val="22"/>
                <w:szCs w:val="22"/>
              </w:rPr>
              <w:t>Front-end fee IBRD</w:t>
            </w:r>
            <w:bookmarkEnd w:id="187"/>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983199A" w14:textId="77777777" w:rsidR="00D37929" w:rsidRPr="00104CB8" w:rsidRDefault="00D37929" w:rsidP="00D51717">
            <w:pPr>
              <w:tabs>
                <w:tab w:val="decimal" w:pos="1078"/>
              </w:tabs>
              <w:spacing w:line="200" w:lineRule="atLeast"/>
              <w:rPr>
                <w:color w:val="000000"/>
                <w:sz w:val="22"/>
                <w:szCs w:val="22"/>
              </w:rPr>
            </w:pPr>
            <w:bookmarkStart w:id="188" w:name="FRONT_END_IBRD_APR"/>
            <w:r w:rsidRPr="00104CB8">
              <w:rPr>
                <w:color w:val="000000"/>
                <w:sz w:val="22"/>
                <w:szCs w:val="22"/>
              </w:rPr>
              <w:t>0.00</w:t>
            </w:r>
            <w:bookmarkEnd w:id="188"/>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579E81D" w14:textId="77777777" w:rsidR="00D37929" w:rsidRPr="00104CB8" w:rsidRDefault="00D37929" w:rsidP="00D51717">
            <w:pPr>
              <w:tabs>
                <w:tab w:val="decimal" w:pos="1091"/>
              </w:tabs>
              <w:spacing w:line="200" w:lineRule="atLeast"/>
              <w:rPr>
                <w:color w:val="000000"/>
                <w:sz w:val="22"/>
                <w:szCs w:val="22"/>
              </w:rPr>
            </w:pPr>
            <w:bookmarkStart w:id="189" w:name="FRONT_END_IBRD_ACT"/>
            <w:r w:rsidRPr="00104CB8">
              <w:rPr>
                <w:color w:val="000000"/>
                <w:sz w:val="22"/>
                <w:szCs w:val="22"/>
              </w:rPr>
              <w:t>0.00</w:t>
            </w:r>
            <w:bookmarkEnd w:id="189"/>
          </w:p>
        </w:tc>
        <w:tc>
          <w:tcPr>
            <w:tcW w:w="2013"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0CA58BB" w14:textId="77777777" w:rsidR="00D37929" w:rsidRPr="00104CB8" w:rsidRDefault="00D37929" w:rsidP="00D51717">
            <w:pPr>
              <w:spacing w:line="200" w:lineRule="atLeast"/>
              <w:jc w:val="center"/>
              <w:rPr>
                <w:color w:val="000000"/>
                <w:sz w:val="22"/>
                <w:szCs w:val="22"/>
              </w:rPr>
            </w:pPr>
            <w:bookmarkStart w:id="190" w:name="FRONT_END_IBRD_PERC"/>
            <w:r w:rsidRPr="00104CB8">
              <w:rPr>
                <w:color w:val="000000"/>
                <w:sz w:val="22"/>
                <w:szCs w:val="22"/>
              </w:rPr>
              <w:t>.00</w:t>
            </w:r>
            <w:bookmarkEnd w:id="190"/>
          </w:p>
        </w:tc>
      </w:tr>
      <w:tr w:rsidR="00D37929" w14:paraId="4781F645"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0547C958" w14:textId="77777777" w:rsidR="00D37929" w:rsidRPr="00104CB8" w:rsidRDefault="00D37929" w:rsidP="00D51717">
            <w:pPr>
              <w:spacing w:line="200" w:lineRule="atLeast"/>
              <w:jc w:val="right"/>
              <w:rPr>
                <w:color w:val="000000"/>
                <w:sz w:val="22"/>
                <w:szCs w:val="22"/>
              </w:rPr>
            </w:pPr>
            <w:r w:rsidRPr="00104CB8">
              <w:rPr>
                <w:rStyle w:val="Strong"/>
                <w:color w:val="000000"/>
                <w:sz w:val="22"/>
                <w:szCs w:val="22"/>
              </w:rPr>
              <w:t>Total Financing Required  </w:t>
            </w:r>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E03F46F" w14:textId="77777777" w:rsidR="00D37929" w:rsidRPr="00104CB8" w:rsidRDefault="00D37929" w:rsidP="00D51717">
            <w:pPr>
              <w:tabs>
                <w:tab w:val="decimal" w:pos="1078"/>
              </w:tabs>
              <w:spacing w:line="200" w:lineRule="atLeast"/>
              <w:rPr>
                <w:color w:val="000000"/>
                <w:sz w:val="22"/>
                <w:szCs w:val="22"/>
              </w:rPr>
            </w:pPr>
            <w:bookmarkStart w:id="191" w:name="TOT_FIN_REQ_APR"/>
            <w:r w:rsidRPr="00104CB8">
              <w:rPr>
                <w:color w:val="000000"/>
                <w:sz w:val="22"/>
                <w:szCs w:val="22"/>
              </w:rPr>
              <w:t>11.20</w:t>
            </w:r>
            <w:bookmarkEnd w:id="191"/>
          </w:p>
        </w:tc>
        <w:tc>
          <w:tcPr>
            <w:tcW w:w="2011"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8C51A64" w14:textId="77777777" w:rsidR="00D37929" w:rsidRPr="00104CB8" w:rsidRDefault="00D37929" w:rsidP="00D51717">
            <w:pPr>
              <w:tabs>
                <w:tab w:val="decimal" w:pos="1091"/>
              </w:tabs>
              <w:spacing w:line="200" w:lineRule="atLeast"/>
              <w:rPr>
                <w:color w:val="000000"/>
                <w:sz w:val="22"/>
                <w:szCs w:val="22"/>
              </w:rPr>
            </w:pPr>
            <w:bookmarkStart w:id="192" w:name="TOT_FIN_REQ_ACT"/>
            <w:r w:rsidRPr="00104CB8">
              <w:rPr>
                <w:color w:val="000000"/>
                <w:sz w:val="22"/>
                <w:szCs w:val="22"/>
              </w:rPr>
              <w:t>7.20</w:t>
            </w:r>
            <w:bookmarkEnd w:id="192"/>
          </w:p>
        </w:tc>
        <w:tc>
          <w:tcPr>
            <w:tcW w:w="2013"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C9266E3" w14:textId="77777777" w:rsidR="00D37929" w:rsidRPr="00104CB8" w:rsidRDefault="00D37929" w:rsidP="00D51717">
            <w:pPr>
              <w:spacing w:line="200" w:lineRule="atLeast"/>
              <w:jc w:val="center"/>
              <w:rPr>
                <w:color w:val="000000"/>
                <w:sz w:val="22"/>
                <w:szCs w:val="22"/>
              </w:rPr>
            </w:pPr>
          </w:p>
        </w:tc>
      </w:tr>
      <w:tr w:rsidR="00D37929" w14:paraId="0251C3C7" w14:textId="77777777" w:rsidTr="00D51717">
        <w:tc>
          <w:tcPr>
            <w:tcW w:w="3315" w:type="dxa"/>
            <w:tcBorders>
              <w:top w:val="single" w:sz="4" w:space="0" w:color="B1B1B1"/>
              <w:left w:val="single" w:sz="4" w:space="0" w:color="B1B1B1"/>
              <w:bottom w:val="single" w:sz="4" w:space="0" w:color="B1B1B1"/>
              <w:right w:val="single" w:sz="4" w:space="0" w:color="B1B1B1"/>
            </w:tcBorders>
            <w:vAlign w:val="center"/>
          </w:tcPr>
          <w:p w14:paraId="5FD18CCE" w14:textId="77777777" w:rsidR="00D37929" w:rsidRPr="00104CB8" w:rsidRDefault="00D37929" w:rsidP="00D51717">
            <w:pPr>
              <w:spacing w:line="200" w:lineRule="atLeast"/>
              <w:jc w:val="right"/>
              <w:rPr>
                <w:color w:val="000000"/>
                <w:sz w:val="22"/>
                <w:szCs w:val="22"/>
              </w:rPr>
            </w:pPr>
          </w:p>
        </w:tc>
        <w:tc>
          <w:tcPr>
            <w:tcW w:w="2011" w:type="dxa"/>
            <w:tcBorders>
              <w:top w:val="single" w:sz="4" w:space="0" w:color="B1B1B1"/>
              <w:left w:val="single" w:sz="4" w:space="0" w:color="B1B1B1"/>
              <w:bottom w:val="single" w:sz="4" w:space="0" w:color="B1B1B1"/>
              <w:right w:val="single" w:sz="4" w:space="0" w:color="B1B1B1"/>
            </w:tcBorders>
            <w:vAlign w:val="center"/>
          </w:tcPr>
          <w:p w14:paraId="0513AF94" w14:textId="77777777" w:rsidR="00D37929" w:rsidRPr="00104CB8" w:rsidRDefault="00D37929" w:rsidP="00D51717">
            <w:pPr>
              <w:tabs>
                <w:tab w:val="decimal" w:pos="1078"/>
              </w:tabs>
              <w:spacing w:line="200" w:lineRule="atLeast"/>
              <w:rPr>
                <w:color w:val="000000"/>
                <w:sz w:val="22"/>
                <w:szCs w:val="22"/>
              </w:rPr>
            </w:pPr>
          </w:p>
        </w:tc>
        <w:tc>
          <w:tcPr>
            <w:tcW w:w="2011" w:type="dxa"/>
            <w:tcBorders>
              <w:top w:val="single" w:sz="4" w:space="0" w:color="B1B1B1"/>
              <w:left w:val="single" w:sz="4" w:space="0" w:color="B1B1B1"/>
              <w:bottom w:val="single" w:sz="4" w:space="0" w:color="B1B1B1"/>
              <w:right w:val="single" w:sz="4" w:space="0" w:color="B1B1B1"/>
            </w:tcBorders>
            <w:vAlign w:val="center"/>
          </w:tcPr>
          <w:p w14:paraId="5F437417" w14:textId="77777777" w:rsidR="00D37929" w:rsidRPr="00104CB8" w:rsidRDefault="00D37929" w:rsidP="00D51717">
            <w:pPr>
              <w:tabs>
                <w:tab w:val="decimal" w:pos="1091"/>
              </w:tabs>
              <w:spacing w:line="200" w:lineRule="atLeast"/>
              <w:rPr>
                <w:color w:val="000000"/>
                <w:sz w:val="22"/>
                <w:szCs w:val="22"/>
              </w:rPr>
            </w:pPr>
          </w:p>
        </w:tc>
        <w:tc>
          <w:tcPr>
            <w:tcW w:w="2013" w:type="dxa"/>
            <w:tcBorders>
              <w:top w:val="single" w:sz="4" w:space="0" w:color="B1B1B1"/>
              <w:left w:val="single" w:sz="4" w:space="0" w:color="B1B1B1"/>
              <w:bottom w:val="single" w:sz="4" w:space="0" w:color="B1B1B1"/>
              <w:right w:val="single" w:sz="4" w:space="0" w:color="B1B1B1"/>
            </w:tcBorders>
            <w:vAlign w:val="center"/>
          </w:tcPr>
          <w:p w14:paraId="39C98074" w14:textId="77777777" w:rsidR="00D37929" w:rsidRPr="00104CB8" w:rsidRDefault="00D37929" w:rsidP="00D51717">
            <w:pPr>
              <w:spacing w:line="200" w:lineRule="atLeast"/>
              <w:jc w:val="center"/>
              <w:rPr>
                <w:color w:val="000000"/>
                <w:sz w:val="22"/>
                <w:szCs w:val="22"/>
              </w:rPr>
            </w:pPr>
          </w:p>
        </w:tc>
      </w:tr>
    </w:tbl>
    <w:p w14:paraId="15D05069" w14:textId="77777777" w:rsidR="00D37929" w:rsidRPr="00104CB8" w:rsidRDefault="00D37929" w:rsidP="00D37929">
      <w:pPr>
        <w:rPr>
          <w:sz w:val="20"/>
        </w:rPr>
      </w:pPr>
      <w:r w:rsidRPr="00104CB8">
        <w:rPr>
          <w:sz w:val="20"/>
        </w:rPr>
        <w:t>a/ Data for appraisal and actual estimates comes from the IBLIP_FY16 audit report (with conversion from Mongolian MNT to USD at the rate of 1 USD =1.98 MNT); data for physical and price contingencies comes from the PAD.</w:t>
      </w:r>
    </w:p>
    <w:p w14:paraId="73A97894" w14:textId="77777777" w:rsidR="00D37929" w:rsidRPr="0049537D" w:rsidRDefault="00D37929" w:rsidP="00D37929"/>
    <w:p w14:paraId="4783AB98" w14:textId="77777777" w:rsidR="00D37929" w:rsidRDefault="00D37929" w:rsidP="00D37929">
      <w:pPr>
        <w:pStyle w:val="Heading3"/>
      </w:pPr>
      <w:r>
        <w:t xml:space="preserve"> </w:t>
      </w:r>
      <w:bookmarkStart w:id="193" w:name="_Toc456784545"/>
      <w:r>
        <w:t>(b) Financing</w:t>
      </w:r>
      <w:bookmarkEnd w:id="193"/>
    </w:p>
    <w:p w14:paraId="215ABA5E" w14:textId="77777777" w:rsidR="00D37929" w:rsidRDefault="00D37929" w:rsidP="00D37929">
      <w:pPr>
        <w:rPr>
          <w:vanish/>
        </w:rPr>
      </w:pPr>
    </w:p>
    <w:p w14:paraId="30AC5AF3" w14:textId="77777777" w:rsidR="00D37929" w:rsidRDefault="00D37929" w:rsidP="00D37929">
      <w:bookmarkStart w:id="194" w:name="FIN"/>
      <w:bookmarkEnd w:id="194"/>
    </w:p>
    <w:tbl>
      <w:tblPr>
        <w:tblW w:w="5000" w:type="pct"/>
        <w:tblLayout w:type="fixed"/>
        <w:tblCellMar>
          <w:top w:w="10" w:type="dxa"/>
          <w:left w:w="10" w:type="dxa"/>
          <w:bottom w:w="10" w:type="dxa"/>
          <w:right w:w="10" w:type="dxa"/>
        </w:tblCellMar>
        <w:tblLook w:val="0000" w:firstRow="0" w:lastRow="0" w:firstColumn="0" w:lastColumn="0" w:noHBand="0" w:noVBand="0"/>
      </w:tblPr>
      <w:tblGrid>
        <w:gridCol w:w="3702"/>
        <w:gridCol w:w="1412"/>
        <w:gridCol w:w="1412"/>
        <w:gridCol w:w="1412"/>
        <w:gridCol w:w="1412"/>
      </w:tblGrid>
      <w:tr w:rsidR="00D37929" w14:paraId="571B4FDE"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F29FBF6" w14:textId="77777777" w:rsidR="00D37929" w:rsidRDefault="00D37929" w:rsidP="00D51717">
            <w:pPr>
              <w:jc w:val="center"/>
              <w:rPr>
                <w:b/>
                <w:bCs/>
                <w:color w:val="606060"/>
                <w:sz w:val="22"/>
                <w:szCs w:val="22"/>
              </w:rPr>
            </w:pPr>
            <w:r>
              <w:rPr>
                <w:b/>
                <w:bCs/>
                <w:color w:val="606060"/>
                <w:sz w:val="22"/>
                <w:szCs w:val="22"/>
              </w:rPr>
              <w:t>Source of Funds</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68B3E47B" w14:textId="77777777" w:rsidR="00D37929" w:rsidRDefault="00D37929" w:rsidP="00D51717">
            <w:pPr>
              <w:jc w:val="center"/>
              <w:rPr>
                <w:b/>
                <w:bCs/>
                <w:color w:val="606060"/>
                <w:sz w:val="22"/>
                <w:szCs w:val="22"/>
              </w:rPr>
            </w:pPr>
            <w:r>
              <w:rPr>
                <w:b/>
                <w:bCs/>
                <w:color w:val="606060"/>
                <w:sz w:val="22"/>
                <w:szCs w:val="22"/>
              </w:rPr>
              <w:t>Type of Cofinancing</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85133E6" w14:textId="77777777" w:rsidR="00D37929" w:rsidRDefault="00D37929" w:rsidP="00D51717">
            <w:pPr>
              <w:jc w:val="center"/>
              <w:rPr>
                <w:b/>
                <w:bCs/>
                <w:color w:val="606060"/>
                <w:sz w:val="22"/>
                <w:szCs w:val="22"/>
              </w:rPr>
            </w:pPr>
            <w:r>
              <w:rPr>
                <w:b/>
                <w:bCs/>
                <w:color w:val="606060"/>
                <w:sz w:val="22"/>
                <w:szCs w:val="22"/>
              </w:rPr>
              <w:t>Appraisal Estimate</w:t>
            </w:r>
          </w:p>
          <w:p w14:paraId="3E40EA01" w14:textId="77777777" w:rsidR="00D37929" w:rsidRDefault="00D37929" w:rsidP="00D51717">
            <w:pPr>
              <w:jc w:val="center"/>
              <w:rPr>
                <w:b/>
                <w:bCs/>
                <w:color w:val="606060"/>
                <w:sz w:val="22"/>
                <w:szCs w:val="22"/>
              </w:rPr>
            </w:pPr>
            <w:r>
              <w:rPr>
                <w:b/>
                <w:bCs/>
                <w:color w:val="606060"/>
                <w:sz w:val="22"/>
                <w:szCs w:val="22"/>
              </w:rPr>
              <w:t>(USD millions)</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B5DEDF8" w14:textId="77777777" w:rsidR="00D37929" w:rsidRDefault="00D37929" w:rsidP="00D51717">
            <w:pPr>
              <w:jc w:val="center"/>
              <w:rPr>
                <w:b/>
                <w:bCs/>
                <w:color w:val="606060"/>
                <w:sz w:val="22"/>
                <w:szCs w:val="22"/>
              </w:rPr>
            </w:pPr>
            <w:r>
              <w:rPr>
                <w:b/>
                <w:bCs/>
                <w:color w:val="606060"/>
                <w:sz w:val="22"/>
                <w:szCs w:val="22"/>
              </w:rPr>
              <w:t>Actual/Latest Estimate</w:t>
            </w:r>
          </w:p>
          <w:p w14:paraId="3D7F397B" w14:textId="77777777" w:rsidR="00D37929" w:rsidRDefault="00D37929" w:rsidP="00D51717">
            <w:pPr>
              <w:jc w:val="center"/>
              <w:rPr>
                <w:b/>
                <w:bCs/>
                <w:color w:val="606060"/>
                <w:sz w:val="22"/>
                <w:szCs w:val="22"/>
              </w:rPr>
            </w:pPr>
            <w:r>
              <w:rPr>
                <w:b/>
                <w:bCs/>
                <w:color w:val="606060"/>
                <w:sz w:val="22"/>
                <w:szCs w:val="22"/>
              </w:rPr>
              <w:t>(USD millions)</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4CCFD39" w14:textId="77777777" w:rsidR="00D37929" w:rsidRDefault="00D37929" w:rsidP="00D51717">
            <w:pPr>
              <w:jc w:val="center"/>
              <w:rPr>
                <w:b/>
                <w:bCs/>
                <w:color w:val="606060"/>
                <w:sz w:val="22"/>
                <w:szCs w:val="22"/>
              </w:rPr>
            </w:pPr>
            <w:r>
              <w:rPr>
                <w:b/>
                <w:bCs/>
                <w:color w:val="606060"/>
                <w:sz w:val="22"/>
                <w:szCs w:val="22"/>
              </w:rPr>
              <w:t>Percentage of Appraisal</w:t>
            </w:r>
          </w:p>
        </w:tc>
      </w:tr>
      <w:tr w:rsidR="00D37929" w14:paraId="1DBE9FB5"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DD3E186" w14:textId="77777777" w:rsidR="00D37929" w:rsidRPr="00800114" w:rsidRDefault="00D37929" w:rsidP="00D51717">
            <w:pPr>
              <w:spacing w:line="200" w:lineRule="atLeast"/>
              <w:rPr>
                <w:color w:val="000000"/>
                <w:sz w:val="22"/>
                <w:szCs w:val="22"/>
              </w:rPr>
            </w:pPr>
            <w:r w:rsidRPr="00800114">
              <w:rPr>
                <w:color w:val="000000"/>
                <w:sz w:val="22"/>
                <w:szCs w:val="22"/>
              </w:rPr>
              <w:t xml:space="preserve"> Borrower</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47F9E68" w14:textId="77777777" w:rsidR="00D37929" w:rsidRPr="00800114" w:rsidRDefault="00D37929" w:rsidP="00D51717">
            <w:pPr>
              <w:spacing w:line="200" w:lineRule="atLeast"/>
              <w:rPr>
                <w:color w:val="000000"/>
                <w:sz w:val="22"/>
                <w:szCs w:val="22"/>
              </w:rPr>
            </w:pP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EECD59F" w14:textId="77777777" w:rsidR="00D37929" w:rsidRPr="00800114" w:rsidRDefault="00D37929" w:rsidP="00D51717">
            <w:pPr>
              <w:spacing w:line="200" w:lineRule="atLeast"/>
              <w:rPr>
                <w:color w:val="000000"/>
                <w:sz w:val="22"/>
                <w:szCs w:val="22"/>
              </w:rPr>
            </w:pPr>
            <w:r w:rsidRPr="00800114">
              <w:rPr>
                <w:color w:val="000000"/>
                <w:sz w:val="22"/>
                <w:szCs w:val="22"/>
              </w:rPr>
              <w:t>0.26</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ECC0670" w14:textId="77777777" w:rsidR="00D37929" w:rsidRPr="00800114" w:rsidRDefault="00D37929" w:rsidP="00D51717">
            <w:pPr>
              <w:spacing w:line="200" w:lineRule="atLeast"/>
              <w:rPr>
                <w:color w:val="000000"/>
                <w:sz w:val="22"/>
                <w:szCs w:val="22"/>
              </w:rPr>
            </w:pPr>
            <w:r w:rsidRPr="00800114">
              <w:rPr>
                <w:color w:val="000000"/>
                <w:sz w:val="22"/>
                <w:szCs w:val="22"/>
              </w:rPr>
              <w:t>0.00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41FA9B7" w14:textId="77777777" w:rsidR="00D37929" w:rsidRPr="00800114" w:rsidRDefault="00D37929" w:rsidP="00D51717">
            <w:pPr>
              <w:spacing w:line="200" w:lineRule="atLeast"/>
              <w:rPr>
                <w:color w:val="000000"/>
                <w:sz w:val="22"/>
                <w:szCs w:val="22"/>
              </w:rPr>
            </w:pPr>
            <w:r w:rsidRPr="00800114">
              <w:rPr>
                <w:color w:val="000000"/>
                <w:sz w:val="22"/>
                <w:szCs w:val="22"/>
              </w:rPr>
              <w:t>.00</w:t>
            </w:r>
          </w:p>
        </w:tc>
      </w:tr>
      <w:tr w:rsidR="00D37929" w14:paraId="52AE0B50"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501AE82" w14:textId="77777777" w:rsidR="00D37929" w:rsidRPr="000071F8" w:rsidRDefault="00D37929" w:rsidP="00D51717">
            <w:pPr>
              <w:spacing w:line="200" w:lineRule="atLeast"/>
              <w:rPr>
                <w:color w:val="000000"/>
                <w:sz w:val="22"/>
                <w:szCs w:val="22"/>
              </w:rPr>
            </w:pPr>
            <w:r w:rsidRPr="000071F8">
              <w:rPr>
                <w:color w:val="000000"/>
                <w:sz w:val="22"/>
                <w:szCs w:val="22"/>
              </w:rPr>
              <w:t xml:space="preserve"> Credit of International Development Association (IDA)—IDA-46870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C907D35" w14:textId="77777777" w:rsidR="00D37929" w:rsidRPr="00970E77" w:rsidRDefault="00D37929" w:rsidP="00D51717">
            <w:pPr>
              <w:spacing w:line="200" w:lineRule="atLeast"/>
              <w:rPr>
                <w:color w:val="000000"/>
                <w:sz w:val="22"/>
                <w:szCs w:val="22"/>
              </w:rPr>
            </w:pPr>
            <w:r w:rsidRPr="00970E77">
              <w:rPr>
                <w:color w:val="000000"/>
                <w:sz w:val="22"/>
                <w:szCs w:val="22"/>
              </w:rPr>
              <w:t>Credit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E2014C5" w14:textId="77777777" w:rsidR="00D37929" w:rsidRPr="00970E77" w:rsidRDefault="00D37929" w:rsidP="00D51717">
            <w:pPr>
              <w:spacing w:line="200" w:lineRule="atLeast"/>
              <w:rPr>
                <w:color w:val="000000"/>
                <w:sz w:val="22"/>
                <w:szCs w:val="22"/>
              </w:rPr>
            </w:pPr>
            <w:r w:rsidRPr="00970E77">
              <w:rPr>
                <w:color w:val="000000"/>
                <w:sz w:val="22"/>
                <w:szCs w:val="22"/>
              </w:rPr>
              <w:t>10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FC9C472" w14:textId="77777777" w:rsidR="00D37929" w:rsidRPr="00970E77" w:rsidRDefault="00D37929" w:rsidP="00D51717">
            <w:pPr>
              <w:spacing w:line="200" w:lineRule="atLeast"/>
              <w:rPr>
                <w:color w:val="000000"/>
                <w:sz w:val="22"/>
                <w:szCs w:val="22"/>
              </w:rPr>
            </w:pPr>
            <w:r w:rsidRPr="00970E77">
              <w:rPr>
                <w:color w:val="000000"/>
                <w:sz w:val="22"/>
                <w:szCs w:val="22"/>
              </w:rPr>
              <w:t>5.72</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A82456B" w14:textId="77777777" w:rsidR="00D37929" w:rsidRPr="00970E77" w:rsidRDefault="00D37929" w:rsidP="00D51717">
            <w:pPr>
              <w:spacing w:line="200" w:lineRule="atLeast"/>
              <w:rPr>
                <w:color w:val="000000"/>
                <w:sz w:val="22"/>
                <w:szCs w:val="22"/>
              </w:rPr>
            </w:pPr>
            <w:r w:rsidRPr="00970E77">
              <w:rPr>
                <w:color w:val="000000"/>
                <w:sz w:val="22"/>
                <w:szCs w:val="22"/>
              </w:rPr>
              <w:t>57%</w:t>
            </w:r>
          </w:p>
        </w:tc>
      </w:tr>
      <w:tr w:rsidR="00D37929" w14:paraId="2CEA25AD"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9F4D60C" w14:textId="77777777" w:rsidR="00D37929" w:rsidRPr="000071F8" w:rsidRDefault="00D37929" w:rsidP="00D51717">
            <w:pPr>
              <w:spacing w:line="200" w:lineRule="atLeast"/>
              <w:rPr>
                <w:color w:val="000000"/>
                <w:sz w:val="22"/>
                <w:szCs w:val="22"/>
              </w:rPr>
            </w:pPr>
            <w:r w:rsidRPr="000071F8">
              <w:rPr>
                <w:color w:val="000000"/>
                <w:sz w:val="22"/>
                <w:szCs w:val="22"/>
              </w:rPr>
              <w:t>Credit of International Development Association (IDA)—IDA-40690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0C49055" w14:textId="77777777" w:rsidR="00D37929" w:rsidRPr="00970E77" w:rsidRDefault="00D37929" w:rsidP="00D51717">
            <w:pPr>
              <w:spacing w:line="200" w:lineRule="atLeast"/>
              <w:rPr>
                <w:color w:val="000000"/>
                <w:sz w:val="22"/>
                <w:szCs w:val="22"/>
              </w:rPr>
            </w:pPr>
            <w:r w:rsidRPr="00970E77">
              <w:rPr>
                <w:color w:val="000000"/>
                <w:sz w:val="22"/>
                <w:szCs w:val="22"/>
              </w:rPr>
              <w:t>Credit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FE1DE07" w14:textId="77777777" w:rsidR="00D37929" w:rsidRPr="00970E77" w:rsidRDefault="00D37929" w:rsidP="00D51717">
            <w:pPr>
              <w:spacing w:line="200" w:lineRule="atLeast"/>
              <w:rPr>
                <w:color w:val="000000"/>
                <w:sz w:val="22"/>
                <w:szCs w:val="22"/>
              </w:rPr>
            </w:pPr>
            <w:r w:rsidRPr="00970E77">
              <w:rPr>
                <w:color w:val="000000"/>
                <w:sz w:val="22"/>
                <w:szCs w:val="22"/>
              </w:rPr>
              <w:t>7.75</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70F8185" w14:textId="77777777" w:rsidR="00D37929" w:rsidRPr="00970E77" w:rsidRDefault="00D37929" w:rsidP="00D51717">
            <w:pPr>
              <w:spacing w:line="200" w:lineRule="atLeast"/>
              <w:rPr>
                <w:color w:val="000000"/>
                <w:sz w:val="22"/>
                <w:szCs w:val="22"/>
              </w:rPr>
            </w:pPr>
            <w:r w:rsidRPr="00970E77">
              <w:rPr>
                <w:color w:val="000000"/>
                <w:sz w:val="22"/>
                <w:szCs w:val="22"/>
              </w:rPr>
              <w:t>4.61</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8E89007" w14:textId="77777777" w:rsidR="00D37929" w:rsidRPr="00970E77" w:rsidRDefault="00D37929" w:rsidP="00D51717">
            <w:pPr>
              <w:spacing w:line="200" w:lineRule="atLeast"/>
              <w:rPr>
                <w:color w:val="000000"/>
                <w:sz w:val="22"/>
                <w:szCs w:val="22"/>
              </w:rPr>
            </w:pPr>
            <w:r w:rsidRPr="00970E77">
              <w:rPr>
                <w:color w:val="000000"/>
                <w:sz w:val="22"/>
                <w:szCs w:val="22"/>
              </w:rPr>
              <w:t>59%</w:t>
            </w:r>
          </w:p>
        </w:tc>
      </w:tr>
      <w:tr w:rsidR="00D37929" w:rsidRPr="00996602" w14:paraId="6AFEFF43"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DB41C1D" w14:textId="77777777" w:rsidR="00D37929" w:rsidRPr="000071F8" w:rsidRDefault="00D37929" w:rsidP="00D51717">
            <w:pPr>
              <w:spacing w:line="200" w:lineRule="atLeast"/>
              <w:rPr>
                <w:color w:val="000000"/>
                <w:sz w:val="22"/>
                <w:szCs w:val="22"/>
              </w:rPr>
            </w:pPr>
            <w:r w:rsidRPr="000071F8">
              <w:rPr>
                <w:color w:val="000000"/>
                <w:sz w:val="22"/>
                <w:szCs w:val="22"/>
              </w:rPr>
              <w:lastRenderedPageBreak/>
              <w:t xml:space="preserve"> JAPAN Policy Human Resource Development Fund grant - PHRD Grants--TF054740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1A75C33" w14:textId="77777777" w:rsidR="00D37929" w:rsidRPr="00095553" w:rsidRDefault="00D37929" w:rsidP="00D51717">
            <w:pPr>
              <w:spacing w:line="200" w:lineRule="atLeast"/>
              <w:rPr>
                <w:color w:val="000000"/>
                <w:sz w:val="22"/>
                <w:szCs w:val="22"/>
              </w:rPr>
            </w:pPr>
            <w:r w:rsidRPr="00095553">
              <w:rPr>
                <w:color w:val="000000"/>
                <w:sz w:val="22"/>
                <w:szCs w:val="22"/>
              </w:rPr>
              <w:t>Grant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C88FE4C" w14:textId="77777777" w:rsidR="00D37929" w:rsidRPr="00095553" w:rsidRDefault="00D37929" w:rsidP="00D51717">
            <w:pPr>
              <w:spacing w:line="200" w:lineRule="atLeast"/>
              <w:rPr>
                <w:color w:val="000000"/>
                <w:sz w:val="22"/>
                <w:szCs w:val="22"/>
              </w:rPr>
            </w:pPr>
            <w:r w:rsidRPr="00095553">
              <w:rPr>
                <w:color w:val="000000"/>
                <w:sz w:val="22"/>
                <w:szCs w:val="22"/>
              </w:rPr>
              <w:t>1.32</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E90877E" w14:textId="77777777" w:rsidR="00D37929" w:rsidRPr="00095553" w:rsidRDefault="00D37929" w:rsidP="00D51717">
            <w:pPr>
              <w:spacing w:line="200" w:lineRule="atLeast"/>
              <w:rPr>
                <w:color w:val="000000"/>
                <w:sz w:val="22"/>
                <w:szCs w:val="22"/>
              </w:rPr>
            </w:pPr>
            <w:r w:rsidRPr="00095553">
              <w:rPr>
                <w:color w:val="000000"/>
                <w:sz w:val="22"/>
                <w:szCs w:val="22"/>
              </w:rPr>
              <w:t>1.32</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9AADD77" w14:textId="77777777" w:rsidR="00D37929" w:rsidRPr="00095553" w:rsidRDefault="00D37929" w:rsidP="00D51717">
            <w:pPr>
              <w:spacing w:line="200" w:lineRule="atLeast"/>
              <w:rPr>
                <w:color w:val="000000"/>
                <w:sz w:val="22"/>
                <w:szCs w:val="22"/>
              </w:rPr>
            </w:pPr>
            <w:r w:rsidRPr="00095553">
              <w:rPr>
                <w:color w:val="000000"/>
                <w:sz w:val="22"/>
                <w:szCs w:val="22"/>
              </w:rPr>
              <w:t>100%</w:t>
            </w:r>
          </w:p>
        </w:tc>
      </w:tr>
      <w:tr w:rsidR="00D37929" w:rsidRPr="00996602" w14:paraId="36AB9F92"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3938FCB" w14:textId="77777777" w:rsidR="00D37929" w:rsidRPr="000071F8" w:rsidRDefault="00D37929" w:rsidP="00D51717">
            <w:pPr>
              <w:spacing w:line="200" w:lineRule="atLeast"/>
              <w:rPr>
                <w:color w:val="000000"/>
                <w:sz w:val="22"/>
                <w:szCs w:val="22"/>
              </w:rPr>
            </w:pPr>
            <w:r w:rsidRPr="000071F8">
              <w:rPr>
                <w:color w:val="000000"/>
                <w:sz w:val="22"/>
                <w:szCs w:val="22"/>
              </w:rPr>
              <w:t>The Japanese government Grant -- TF 53738</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F0052A9" w14:textId="77777777" w:rsidR="00D37929" w:rsidRPr="00095553" w:rsidRDefault="00D37929" w:rsidP="00D51717">
            <w:pPr>
              <w:spacing w:line="200" w:lineRule="atLeast"/>
              <w:rPr>
                <w:color w:val="000000"/>
                <w:sz w:val="22"/>
                <w:szCs w:val="22"/>
              </w:rPr>
            </w:pPr>
            <w:r w:rsidRPr="00095553">
              <w:rPr>
                <w:color w:val="000000"/>
                <w:sz w:val="22"/>
                <w:szCs w:val="22"/>
              </w:rPr>
              <w:t>Grant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A6FF729" w14:textId="77777777" w:rsidR="00D37929" w:rsidRPr="00095553" w:rsidRDefault="00D37929" w:rsidP="00D51717">
            <w:pPr>
              <w:spacing w:line="200" w:lineRule="atLeast"/>
              <w:rPr>
                <w:color w:val="000000"/>
                <w:sz w:val="22"/>
                <w:szCs w:val="22"/>
              </w:rPr>
            </w:pPr>
            <w:r w:rsidRPr="00095553">
              <w:rPr>
                <w:color w:val="000000"/>
                <w:sz w:val="22"/>
                <w:szCs w:val="22"/>
              </w:rPr>
              <w:t>0.36</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469AA9A" w14:textId="77777777" w:rsidR="00D37929" w:rsidRPr="00095553" w:rsidRDefault="00D37929" w:rsidP="00D51717">
            <w:pPr>
              <w:spacing w:line="200" w:lineRule="atLeast"/>
              <w:rPr>
                <w:color w:val="000000"/>
                <w:sz w:val="22"/>
                <w:szCs w:val="22"/>
              </w:rPr>
            </w:pPr>
            <w:r w:rsidRPr="00095553">
              <w:rPr>
                <w:color w:val="000000"/>
                <w:sz w:val="22"/>
                <w:szCs w:val="22"/>
              </w:rPr>
              <w:t>0.36</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4C28D19" w14:textId="77777777" w:rsidR="00D37929" w:rsidRPr="00095553" w:rsidRDefault="00D37929" w:rsidP="00D51717">
            <w:pPr>
              <w:spacing w:line="200" w:lineRule="atLeast"/>
              <w:rPr>
                <w:color w:val="000000"/>
                <w:sz w:val="22"/>
                <w:szCs w:val="22"/>
              </w:rPr>
            </w:pPr>
            <w:r w:rsidRPr="00095553">
              <w:rPr>
                <w:color w:val="000000"/>
                <w:sz w:val="22"/>
                <w:szCs w:val="22"/>
              </w:rPr>
              <w:t>100%</w:t>
            </w:r>
          </w:p>
        </w:tc>
      </w:tr>
      <w:tr w:rsidR="00D37929" w:rsidRPr="00996602" w14:paraId="299A30B4"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115734F" w14:textId="77777777" w:rsidR="00D37929" w:rsidRPr="000071F8" w:rsidRDefault="00D37929" w:rsidP="00D51717">
            <w:pPr>
              <w:spacing w:line="200" w:lineRule="atLeast"/>
              <w:rPr>
                <w:color w:val="000000"/>
                <w:sz w:val="22"/>
                <w:szCs w:val="22"/>
              </w:rPr>
            </w:pPr>
            <w:r w:rsidRPr="000071F8">
              <w:rPr>
                <w:color w:val="000000"/>
                <w:sz w:val="22"/>
                <w:szCs w:val="22"/>
              </w:rPr>
              <w:t xml:space="preserve"> The Financial Sector Reform and Strengthening Initiative</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EF5A4A5" w14:textId="77777777" w:rsidR="00D37929" w:rsidRPr="00095553" w:rsidRDefault="00D37929" w:rsidP="00D51717">
            <w:pPr>
              <w:spacing w:line="200" w:lineRule="atLeast"/>
              <w:rPr>
                <w:color w:val="000000"/>
                <w:sz w:val="22"/>
                <w:szCs w:val="22"/>
              </w:rPr>
            </w:pP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0BA2D07" w14:textId="77777777" w:rsidR="00D37929" w:rsidRPr="00095553" w:rsidRDefault="00D37929" w:rsidP="00D51717">
            <w:pPr>
              <w:spacing w:line="200" w:lineRule="atLeast"/>
              <w:rPr>
                <w:color w:val="000000"/>
                <w:sz w:val="22"/>
                <w:szCs w:val="22"/>
              </w:rPr>
            </w:pPr>
            <w:r w:rsidRPr="00095553">
              <w:rPr>
                <w:color w:val="000000"/>
                <w:sz w:val="22"/>
                <w:szCs w:val="22"/>
              </w:rPr>
              <w:t>0.56</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15E2C46" w14:textId="77777777" w:rsidR="00D37929" w:rsidRPr="00095553" w:rsidRDefault="00D37929" w:rsidP="00D51717">
            <w:pPr>
              <w:spacing w:line="200" w:lineRule="atLeast"/>
              <w:rPr>
                <w:color w:val="000000"/>
                <w:sz w:val="22"/>
                <w:szCs w:val="22"/>
              </w:rPr>
            </w:pPr>
            <w:r w:rsidRPr="00095553">
              <w:rPr>
                <w:color w:val="000000"/>
                <w:sz w:val="22"/>
                <w:szCs w:val="22"/>
              </w:rPr>
              <w:t>0.00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4D56541" w14:textId="77777777" w:rsidR="00D37929" w:rsidRPr="00095553" w:rsidRDefault="00D37929" w:rsidP="00D51717">
            <w:pPr>
              <w:spacing w:line="200" w:lineRule="atLeast"/>
              <w:rPr>
                <w:color w:val="000000"/>
                <w:sz w:val="22"/>
                <w:szCs w:val="22"/>
              </w:rPr>
            </w:pPr>
            <w:r w:rsidRPr="00095553">
              <w:rPr>
                <w:color w:val="000000"/>
                <w:sz w:val="22"/>
                <w:szCs w:val="22"/>
              </w:rPr>
              <w:t>.00</w:t>
            </w:r>
          </w:p>
        </w:tc>
      </w:tr>
      <w:tr w:rsidR="00D37929" w:rsidRPr="00996602" w14:paraId="42546A9C"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B4B24D0" w14:textId="77777777" w:rsidR="00D37929" w:rsidRPr="000071F8" w:rsidRDefault="00D37929" w:rsidP="00D51717">
            <w:pPr>
              <w:spacing w:line="200" w:lineRule="atLeast"/>
              <w:rPr>
                <w:color w:val="000000" w:themeColor="text1"/>
                <w:sz w:val="22"/>
                <w:szCs w:val="22"/>
              </w:rPr>
            </w:pPr>
            <w:r w:rsidRPr="000071F8">
              <w:rPr>
                <w:color w:val="000000" w:themeColor="text1"/>
                <w:sz w:val="22"/>
                <w:szCs w:val="22"/>
              </w:rPr>
              <w:t>Swiss Confederation Government grant —TF13074</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CCFF49D" w14:textId="77777777" w:rsidR="00D37929" w:rsidRPr="00095553" w:rsidRDefault="00D37929" w:rsidP="00D51717">
            <w:pPr>
              <w:spacing w:line="200" w:lineRule="atLeast"/>
              <w:rPr>
                <w:color w:val="000000"/>
                <w:sz w:val="22"/>
                <w:szCs w:val="22"/>
              </w:rPr>
            </w:pPr>
            <w:r w:rsidRPr="00095553">
              <w:rPr>
                <w:color w:val="000000"/>
                <w:sz w:val="22"/>
                <w:szCs w:val="22"/>
              </w:rPr>
              <w:t>Grant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0E7F597" w14:textId="04DFA0BF" w:rsidR="00D37929" w:rsidRPr="00095553" w:rsidRDefault="00D37929" w:rsidP="00091985">
            <w:pPr>
              <w:spacing w:line="200" w:lineRule="atLeast"/>
              <w:rPr>
                <w:color w:val="000000"/>
                <w:sz w:val="22"/>
                <w:szCs w:val="22"/>
              </w:rPr>
            </w:pPr>
            <w:r w:rsidRPr="00095553">
              <w:rPr>
                <w:color w:val="000000"/>
                <w:sz w:val="22"/>
                <w:szCs w:val="22"/>
              </w:rPr>
              <w:t>1.</w:t>
            </w:r>
            <w:r w:rsidR="00091985">
              <w:rPr>
                <w:color w:val="000000"/>
                <w:sz w:val="22"/>
                <w:szCs w:val="22"/>
              </w:rPr>
              <w:t>37</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C5716F" w14:textId="77777777" w:rsidR="00D37929" w:rsidRPr="00095553" w:rsidRDefault="00D37929" w:rsidP="00D51717">
            <w:pPr>
              <w:spacing w:line="200" w:lineRule="atLeast"/>
              <w:rPr>
                <w:color w:val="000000"/>
                <w:sz w:val="22"/>
                <w:szCs w:val="22"/>
              </w:rPr>
            </w:pPr>
            <w:r w:rsidRPr="00095553">
              <w:rPr>
                <w:color w:val="000000"/>
                <w:sz w:val="22"/>
                <w:szCs w:val="22"/>
              </w:rPr>
              <w:t>1.37</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A9D5F0E" w14:textId="122664C7" w:rsidR="00D37929" w:rsidRPr="00095553" w:rsidRDefault="00091985" w:rsidP="00D51717">
            <w:pPr>
              <w:spacing w:line="200" w:lineRule="atLeast"/>
              <w:rPr>
                <w:color w:val="000000"/>
                <w:sz w:val="22"/>
                <w:szCs w:val="22"/>
              </w:rPr>
            </w:pPr>
            <w:r>
              <w:rPr>
                <w:color w:val="000000"/>
                <w:sz w:val="22"/>
                <w:szCs w:val="22"/>
              </w:rPr>
              <w:t>100</w:t>
            </w:r>
            <w:r w:rsidR="00D37929" w:rsidRPr="00095553">
              <w:rPr>
                <w:color w:val="000000"/>
                <w:sz w:val="22"/>
                <w:szCs w:val="22"/>
              </w:rPr>
              <w:t>%</w:t>
            </w:r>
          </w:p>
        </w:tc>
      </w:tr>
      <w:tr w:rsidR="00D37929" w:rsidRPr="00996602" w14:paraId="4CC6C511"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B8ACA4C" w14:textId="77777777" w:rsidR="00D37929" w:rsidRPr="000071F8" w:rsidRDefault="00D37929" w:rsidP="00D51717">
            <w:pPr>
              <w:spacing w:line="200" w:lineRule="atLeast"/>
              <w:rPr>
                <w:color w:val="000000" w:themeColor="text1"/>
                <w:sz w:val="22"/>
                <w:szCs w:val="22"/>
              </w:rPr>
            </w:pPr>
            <w:r w:rsidRPr="000071F8">
              <w:rPr>
                <w:color w:val="000000" w:themeColor="text1"/>
                <w:sz w:val="22"/>
                <w:szCs w:val="22"/>
              </w:rPr>
              <w:t>Korea Partnership on Poverty Reduction and Socio-Economic Development grant --TF94827</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67FA777" w14:textId="77777777" w:rsidR="00D37929" w:rsidRPr="00095553" w:rsidRDefault="00D37929" w:rsidP="00D51717">
            <w:pPr>
              <w:spacing w:line="200" w:lineRule="atLeast"/>
              <w:rPr>
                <w:color w:val="000000"/>
                <w:sz w:val="22"/>
                <w:szCs w:val="22"/>
              </w:rPr>
            </w:pPr>
            <w:r w:rsidRPr="00095553">
              <w:rPr>
                <w:color w:val="000000"/>
                <w:sz w:val="22"/>
                <w:szCs w:val="22"/>
              </w:rPr>
              <w:t>Grant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A48629C" w14:textId="77777777" w:rsidR="00D37929" w:rsidRPr="00095553" w:rsidRDefault="00D37929" w:rsidP="00D51717">
            <w:pPr>
              <w:spacing w:line="200" w:lineRule="atLeast"/>
              <w:rPr>
                <w:color w:val="000000"/>
                <w:sz w:val="22"/>
                <w:szCs w:val="22"/>
              </w:rPr>
            </w:pPr>
            <w:r w:rsidRPr="00095553">
              <w:rPr>
                <w:color w:val="000000"/>
                <w:sz w:val="22"/>
                <w:szCs w:val="22"/>
              </w:rPr>
              <w:t>0.7</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5FBE778" w14:textId="77777777" w:rsidR="00D37929" w:rsidRPr="00095553" w:rsidRDefault="00D37929" w:rsidP="00D51717">
            <w:pPr>
              <w:spacing w:line="200" w:lineRule="atLeast"/>
              <w:rPr>
                <w:color w:val="000000"/>
                <w:sz w:val="22"/>
                <w:szCs w:val="22"/>
              </w:rPr>
            </w:pPr>
            <w:r w:rsidRPr="00095553">
              <w:rPr>
                <w:color w:val="000000"/>
                <w:sz w:val="22"/>
                <w:szCs w:val="22"/>
              </w:rPr>
              <w:t>0.7</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BEBB68A" w14:textId="77777777" w:rsidR="00D37929" w:rsidRPr="00095553" w:rsidRDefault="00D37929" w:rsidP="00D51717">
            <w:pPr>
              <w:spacing w:line="200" w:lineRule="atLeast"/>
              <w:rPr>
                <w:color w:val="000000"/>
                <w:sz w:val="22"/>
                <w:szCs w:val="22"/>
              </w:rPr>
            </w:pPr>
            <w:r w:rsidRPr="00095553">
              <w:rPr>
                <w:color w:val="000000"/>
                <w:sz w:val="22"/>
                <w:szCs w:val="22"/>
              </w:rPr>
              <w:t>100%</w:t>
            </w:r>
          </w:p>
        </w:tc>
      </w:tr>
      <w:tr w:rsidR="00D37929" w14:paraId="6E226440" w14:textId="77777777" w:rsidTr="00D51717">
        <w:tc>
          <w:tcPr>
            <w:tcW w:w="1980" w:type="pct"/>
            <w:tcBorders>
              <w:top w:val="single" w:sz="4" w:space="0" w:color="B1B1B1"/>
              <w:left w:val="single" w:sz="4" w:space="0" w:color="B1B1B1"/>
              <w:bottom w:val="single" w:sz="4" w:space="0" w:color="B1B1B1"/>
              <w:right w:val="single" w:sz="4" w:space="0" w:color="B1B1B1"/>
            </w:tcBorders>
            <w:shd w:val="clear" w:color="auto" w:fill="auto"/>
          </w:tcPr>
          <w:p w14:paraId="0082FD9D" w14:textId="77777777" w:rsidR="00D37929" w:rsidRPr="000071F8" w:rsidRDefault="00D37929" w:rsidP="00D51717">
            <w:pPr>
              <w:spacing w:line="200" w:lineRule="atLeast"/>
              <w:rPr>
                <w:color w:val="000000" w:themeColor="text1"/>
                <w:sz w:val="22"/>
                <w:szCs w:val="22"/>
              </w:rPr>
            </w:pPr>
            <w:r w:rsidRPr="000071F8">
              <w:rPr>
                <w:color w:val="000000" w:themeColor="text1"/>
                <w:sz w:val="22"/>
                <w:szCs w:val="22"/>
              </w:rPr>
              <w:t>Swiss Confederation Government grant TF94002</w:t>
            </w:r>
          </w:p>
        </w:tc>
        <w:tc>
          <w:tcPr>
            <w:tcW w:w="755" w:type="pct"/>
            <w:tcBorders>
              <w:top w:val="single" w:sz="4" w:space="0" w:color="B1B1B1"/>
              <w:left w:val="single" w:sz="4" w:space="0" w:color="B1B1B1"/>
              <w:bottom w:val="single" w:sz="4" w:space="0" w:color="B1B1B1"/>
              <w:right w:val="single" w:sz="4" w:space="0" w:color="B1B1B1"/>
            </w:tcBorders>
            <w:shd w:val="clear" w:color="auto" w:fill="auto"/>
          </w:tcPr>
          <w:p w14:paraId="3C481ABF" w14:textId="77777777" w:rsidR="00D37929" w:rsidRPr="00095553" w:rsidRDefault="00D37929" w:rsidP="00D51717">
            <w:pPr>
              <w:spacing w:line="200" w:lineRule="atLeast"/>
              <w:rPr>
                <w:color w:val="000000"/>
                <w:sz w:val="22"/>
                <w:szCs w:val="22"/>
              </w:rPr>
            </w:pPr>
            <w:r w:rsidRPr="00095553">
              <w:rPr>
                <w:color w:val="000000"/>
                <w:sz w:val="22"/>
                <w:szCs w:val="22"/>
              </w:rPr>
              <w:t>Grant</w:t>
            </w:r>
          </w:p>
        </w:tc>
        <w:tc>
          <w:tcPr>
            <w:tcW w:w="755" w:type="pct"/>
            <w:tcBorders>
              <w:top w:val="single" w:sz="4" w:space="0" w:color="B1B1B1"/>
              <w:left w:val="single" w:sz="4" w:space="0" w:color="B1B1B1"/>
              <w:bottom w:val="single" w:sz="4" w:space="0" w:color="B1B1B1"/>
              <w:right w:val="single" w:sz="4" w:space="0" w:color="B1B1B1"/>
            </w:tcBorders>
            <w:shd w:val="clear" w:color="auto" w:fill="auto"/>
          </w:tcPr>
          <w:p w14:paraId="3536D965" w14:textId="77777777" w:rsidR="00D37929" w:rsidRPr="00095553" w:rsidRDefault="00D37929" w:rsidP="00D51717">
            <w:pPr>
              <w:spacing w:line="200" w:lineRule="atLeast"/>
              <w:rPr>
                <w:color w:val="000000"/>
                <w:sz w:val="22"/>
                <w:szCs w:val="22"/>
              </w:rPr>
            </w:pPr>
            <w:r w:rsidRPr="00095553">
              <w:rPr>
                <w:color w:val="000000"/>
                <w:sz w:val="22"/>
                <w:szCs w:val="22"/>
              </w:rPr>
              <w:t>0.61</w:t>
            </w:r>
          </w:p>
        </w:tc>
        <w:tc>
          <w:tcPr>
            <w:tcW w:w="755" w:type="pct"/>
            <w:tcBorders>
              <w:top w:val="single" w:sz="4" w:space="0" w:color="B1B1B1"/>
              <w:left w:val="single" w:sz="4" w:space="0" w:color="B1B1B1"/>
              <w:bottom w:val="single" w:sz="4" w:space="0" w:color="B1B1B1"/>
              <w:right w:val="single" w:sz="4" w:space="0" w:color="B1B1B1"/>
            </w:tcBorders>
            <w:shd w:val="clear" w:color="auto" w:fill="auto"/>
          </w:tcPr>
          <w:p w14:paraId="143ECBFD" w14:textId="77777777" w:rsidR="00D37929" w:rsidRPr="00095553" w:rsidRDefault="00D37929" w:rsidP="00D51717">
            <w:pPr>
              <w:spacing w:line="200" w:lineRule="atLeast"/>
              <w:rPr>
                <w:color w:val="000000"/>
                <w:sz w:val="22"/>
                <w:szCs w:val="22"/>
              </w:rPr>
            </w:pPr>
            <w:r w:rsidRPr="00095553">
              <w:rPr>
                <w:color w:val="000000"/>
                <w:sz w:val="22"/>
                <w:szCs w:val="22"/>
              </w:rPr>
              <w:t>0.61</w:t>
            </w:r>
          </w:p>
          <w:p w14:paraId="482469A6" w14:textId="77777777" w:rsidR="00D37929" w:rsidRPr="00095553" w:rsidRDefault="00D37929" w:rsidP="00D51717">
            <w:pPr>
              <w:spacing w:line="200" w:lineRule="atLeast"/>
              <w:rPr>
                <w:color w:val="000000"/>
                <w:sz w:val="22"/>
                <w:szCs w:val="22"/>
              </w:rPr>
            </w:pPr>
          </w:p>
        </w:tc>
        <w:tc>
          <w:tcPr>
            <w:tcW w:w="755" w:type="pct"/>
            <w:tcBorders>
              <w:top w:val="single" w:sz="4" w:space="0" w:color="B1B1B1"/>
              <w:left w:val="single" w:sz="4" w:space="0" w:color="B1B1B1"/>
              <w:bottom w:val="single" w:sz="4" w:space="0" w:color="B1B1B1"/>
              <w:right w:val="single" w:sz="4" w:space="0" w:color="B1B1B1"/>
            </w:tcBorders>
            <w:shd w:val="clear" w:color="auto" w:fill="auto"/>
          </w:tcPr>
          <w:p w14:paraId="37F5DCBF" w14:textId="77777777" w:rsidR="00D37929" w:rsidRPr="00095553" w:rsidRDefault="00D37929" w:rsidP="00D51717">
            <w:pPr>
              <w:spacing w:line="200" w:lineRule="atLeast"/>
              <w:rPr>
                <w:color w:val="000000"/>
                <w:sz w:val="22"/>
                <w:szCs w:val="22"/>
              </w:rPr>
            </w:pPr>
            <w:r w:rsidRPr="00095553">
              <w:rPr>
                <w:color w:val="000000"/>
                <w:sz w:val="22"/>
                <w:szCs w:val="22"/>
              </w:rPr>
              <w:t>100%</w:t>
            </w:r>
          </w:p>
        </w:tc>
      </w:tr>
    </w:tbl>
    <w:p w14:paraId="386CD56D" w14:textId="77777777" w:rsidR="00D37929" w:rsidRDefault="00D37929" w:rsidP="00D37929">
      <w:pPr>
        <w:rPr>
          <w:vanish/>
        </w:rPr>
      </w:pPr>
    </w:p>
    <w:p w14:paraId="424478E9" w14:textId="77777777" w:rsidR="00D37929" w:rsidRDefault="00D37929" w:rsidP="00D37929">
      <w:bookmarkStart w:id="195" w:name="_IL16"/>
      <w:r>
        <w:rPr>
          <w:b/>
          <w:bCs/>
        </w:rPr>
        <w:br w:type="page"/>
      </w:r>
    </w:p>
    <w:p w14:paraId="1338D989" w14:textId="77777777" w:rsidR="00C67D43" w:rsidRDefault="00C67D43" w:rsidP="005A4EF0">
      <w:pPr>
        <w:pStyle w:val="Heading2"/>
        <w:jc w:val="center"/>
      </w:pPr>
      <w:bookmarkStart w:id="196" w:name="_Toc158019378"/>
      <w:bookmarkStart w:id="197" w:name="_Toc456784546"/>
      <w:bookmarkEnd w:id="195"/>
      <w:r>
        <w:lastRenderedPageBreak/>
        <w:t>Annex 2. Outputs by Component</w:t>
      </w:r>
      <w:bookmarkEnd w:id="196"/>
      <w:bookmarkEnd w:id="197"/>
      <w:r>
        <w:t xml:space="preserve"> </w:t>
      </w:r>
    </w:p>
    <w:p w14:paraId="2CA016A4" w14:textId="77777777" w:rsidR="00655ABA" w:rsidRDefault="00655ABA" w:rsidP="00940899">
      <w:pPr>
        <w:rPr>
          <w:iCs/>
        </w:rPr>
      </w:pPr>
      <w:bookmarkStart w:id="198" w:name="ANN4"/>
      <w:bookmarkEnd w:id="198"/>
    </w:p>
    <w:p w14:paraId="2EA19043" w14:textId="77777777" w:rsidR="00D163C7" w:rsidRDefault="00D163C7" w:rsidP="00D163C7">
      <w:r w:rsidRPr="00161283">
        <w:t xml:space="preserve">Before </w:t>
      </w:r>
      <w:r>
        <w:t>describing the outputs of the IBLI project by component, we present a summary of its main achievements below.</w:t>
      </w:r>
    </w:p>
    <w:p w14:paraId="4DCD8BD5" w14:textId="77777777" w:rsidR="005A4EF0" w:rsidRPr="00161283" w:rsidRDefault="005A4EF0" w:rsidP="00D163C7"/>
    <w:p w14:paraId="07283322" w14:textId="77777777" w:rsidR="00D163C7" w:rsidRPr="005A6A8F" w:rsidRDefault="00D163C7" w:rsidP="00D163C7">
      <w:pPr>
        <w:numPr>
          <w:ilvl w:val="0"/>
          <w:numId w:val="18"/>
        </w:numPr>
        <w:autoSpaceDE w:val="0"/>
        <w:autoSpaceDN w:val="0"/>
        <w:adjustRightInd w:val="0"/>
        <w:spacing w:after="240"/>
        <w:ind w:left="0" w:firstLine="0"/>
      </w:pPr>
      <w:bookmarkStart w:id="199" w:name="_Ref457829926"/>
      <w:r w:rsidRPr="005A6A8F">
        <w:rPr>
          <w:b/>
        </w:rPr>
        <w:t>Consistent strong implementation with innovation, contributing to country-wide results.</w:t>
      </w:r>
      <w:r w:rsidRPr="005A6A8F">
        <w:t xml:space="preserve">  The successive </w:t>
      </w:r>
      <w:r w:rsidRPr="005A6A8F">
        <w:rPr>
          <w:i/>
        </w:rPr>
        <w:t>dzuds</w:t>
      </w:r>
      <w:r w:rsidRPr="005A6A8F">
        <w:t xml:space="preserve"> from 1999 to 2002, and their associated damage, galvanized the government to fully support the project throughout the ten years of implementation. </w:t>
      </w:r>
      <w:r>
        <w:t>T</w:t>
      </w:r>
      <w:r w:rsidRPr="005A6A8F">
        <w:t xml:space="preserve">he project continuously </w:t>
      </w:r>
      <w:r>
        <w:t xml:space="preserve">learnt from experience, </w:t>
      </w:r>
      <w:r w:rsidRPr="005A6A8F">
        <w:t>amend</w:t>
      </w:r>
      <w:r>
        <w:t>ing and fine-tuning</w:t>
      </w:r>
      <w:r w:rsidRPr="005A6A8F">
        <w:t xml:space="preserve"> its approach: (i) initially the PIU trained agents directly to sell IBLI. </w:t>
      </w:r>
      <w:r>
        <w:t xml:space="preserve">Then they used </w:t>
      </w:r>
      <w:r w:rsidRPr="005A6A8F">
        <w:t>the ‘training of trainers’ model</w:t>
      </w:r>
      <w:r>
        <w:t xml:space="preserve"> - </w:t>
      </w:r>
      <w:r w:rsidRPr="005A6A8F">
        <w:t>train an individual</w:t>
      </w:r>
      <w:r>
        <w:t xml:space="preserve"> </w:t>
      </w:r>
      <w:r w:rsidRPr="005A6A8F">
        <w:t>who then train</w:t>
      </w:r>
      <w:r>
        <w:t>s</w:t>
      </w:r>
      <w:r w:rsidRPr="005A6A8F">
        <w:t xml:space="preserve"> agents in the field</w:t>
      </w:r>
      <w:r>
        <w:t xml:space="preserve">, to facilitate </w:t>
      </w:r>
      <w:r w:rsidRPr="005A6A8F">
        <w:t xml:space="preserve">expansion </w:t>
      </w:r>
      <w:r>
        <w:t>to al</w:t>
      </w:r>
      <w:r w:rsidRPr="005A6A8F">
        <w:t>l 21 aimags. Over the life of the project over 11,000 people (</w:t>
      </w:r>
      <w:r>
        <w:t>although double-counting possible</w:t>
      </w:r>
      <w:r w:rsidRPr="005A6A8F">
        <w:t xml:space="preserve">) attended training and 2,454 insurance agents were licensed; (ii) </w:t>
      </w:r>
      <w:r>
        <w:t>managing</w:t>
      </w:r>
      <w:r w:rsidRPr="005A6A8F">
        <w:t xml:space="preserve"> insurance risk</w:t>
      </w:r>
      <w:r>
        <w:t xml:space="preserve"> </w:t>
      </w:r>
      <w:r w:rsidRPr="005A6A8F">
        <w:t>– in the initial years the highly innovative WB CDF manage</w:t>
      </w:r>
      <w:r>
        <w:t>d</w:t>
      </w:r>
      <w:r w:rsidRPr="005A6A8F">
        <w:t xml:space="preserve"> the costs of extreme risks.  </w:t>
      </w:r>
      <w:r>
        <w:t xml:space="preserve">After </w:t>
      </w:r>
      <w:r w:rsidRPr="005A6A8F">
        <w:t>the program gained experience it successfully purchased reinsurance from the international markets. It then established an equalization reserve</w:t>
      </w:r>
      <w:r>
        <w:t>, and f</w:t>
      </w:r>
      <w:r w:rsidRPr="005A6A8F">
        <w:t>inally, the Agricultural Reinsurance (AgRe) company was established as a sustainable entity to manage the IBLI program going forwar</w:t>
      </w:r>
      <w:r>
        <w:t xml:space="preserve">d; (iii) </w:t>
      </w:r>
      <w:r w:rsidRPr="005A6A8F">
        <w:t>distribution channels</w:t>
      </w:r>
      <w:r>
        <w:t xml:space="preserve">: initially </w:t>
      </w:r>
      <w:r w:rsidRPr="005A6A8F">
        <w:t>sell</w:t>
      </w:r>
      <w:r>
        <w:t xml:space="preserve">ing </w:t>
      </w:r>
      <w:r w:rsidRPr="005A6A8F">
        <w:t>directly to herders</w:t>
      </w:r>
      <w:r>
        <w:t xml:space="preserve"> to </w:t>
      </w:r>
      <w:r w:rsidRPr="005A6A8F">
        <w:t xml:space="preserve">ensure the </w:t>
      </w:r>
      <w:r>
        <w:t xml:space="preserve">project </w:t>
      </w:r>
      <w:r w:rsidRPr="005A6A8F">
        <w:t xml:space="preserve">had control over the sales process. </w:t>
      </w:r>
      <w:r>
        <w:t xml:space="preserve">Then </w:t>
      </w:r>
      <w:r w:rsidRPr="005A6A8F">
        <w:t>IBLI was opened up to herders who do not own the livestock but are responsible for its management</w:t>
      </w:r>
      <w:r w:rsidRPr="005A6A8F">
        <w:rPr>
          <w:vertAlign w:val="superscript"/>
        </w:rPr>
        <w:footnoteReference w:id="13"/>
      </w:r>
      <w:r w:rsidRPr="005A6A8F">
        <w:t xml:space="preserve">. </w:t>
      </w:r>
      <w:r>
        <w:t xml:space="preserve">Then </w:t>
      </w:r>
      <w:r w:rsidRPr="005A6A8F">
        <w:t>the project sold group policies to multiple herders. Finally, the PIU capacitated intermediaries to explain and sell the IBLI, including banks and insurance companies, which enabled wider take up</w:t>
      </w:r>
      <w:r>
        <w:t xml:space="preserve"> </w:t>
      </w:r>
      <w:r w:rsidRPr="005A6A8F">
        <w:t>to be achieved at reasonable costs, and; (iv) the innovation on the data front, moving to higher quality and more rapidly collected data sources through the life of the project. Initially the census method was used to collect data, however this was time a consuming process and conducted at the end of the calendar year which would lead to long delays in payouts. With the project, Mongolia adopted a statistically rigorous survey methodology to collect data mid-year, which was a more rapid, cost effective way of collecting data in addition to enabling IBLI to make payouts to herders in a timelier manner.  The ultimate endorsement of this data was when international reinsurance companies agreed to take on the livestock mortality risk with claims based on it. This innovating, learning and growing process of exemplary project implementation paid dividends, and can be witnessed through the solid performance of the project on the results indicators throughout the life of the project.</w:t>
      </w:r>
      <w:bookmarkEnd w:id="199"/>
      <w:r w:rsidRPr="005A6A8F">
        <w:t xml:space="preserve"> </w:t>
      </w:r>
    </w:p>
    <w:p w14:paraId="2C3E5C32" w14:textId="77777777" w:rsidR="00D163C7" w:rsidRDefault="00D163C7" w:rsidP="005A4EF0">
      <w:pPr>
        <w:numPr>
          <w:ilvl w:val="0"/>
          <w:numId w:val="18"/>
        </w:numPr>
        <w:autoSpaceDE w:val="0"/>
        <w:autoSpaceDN w:val="0"/>
        <w:adjustRightInd w:val="0"/>
        <w:spacing w:after="240"/>
        <w:ind w:left="0" w:firstLine="0"/>
      </w:pPr>
      <w:bookmarkStart w:id="200" w:name="_Ref457829956"/>
      <w:r w:rsidRPr="005E5A4C">
        <w:rPr>
          <w:b/>
        </w:rPr>
        <w:t xml:space="preserve">Strong engagement from both public and private sector throughout project: </w:t>
      </w:r>
      <w:r w:rsidRPr="002A1655">
        <w:t xml:space="preserve">Project worked effectively with private sector, ensuring their sustained engagement and motivation throughout the ten years of the project. This was achieved by ensuring the private sector were involved in all key decision making steps (for example their agreement was sought for purchasing the stop loss reinsurance agreement), as well as other aspects of the project including agent training, and risk sharing arrangements. Moreover, the project maintained a strong value proposition to the private sector throughout the life of the project by: (1) providing significant capacity building of private sector partners to build their knowledge in a new area of insurance, </w:t>
      </w:r>
      <w:r w:rsidRPr="002A1655">
        <w:lastRenderedPageBreak/>
        <w:t>not only in the capital but also at the aimag level staff; (2) link the expansion of IBLI into the rural development plans of insurance companies – senior management in some insurance companies bought into the strategic development concept of expansion of insurance outside of Ulaanbaatar. In addition, with the passing of the Motor Third Party Liability act insurance companies were motivated to expand to rural locations, and PIU leveraged this by pitching the cross selling potential of IBLI; (3) through establishing a risk pool, to efficiently share risk among insurers and the government (and ensure that their balance sheets were protected from large losses such as</w:t>
      </w:r>
      <w:r w:rsidRPr="005E5A4C">
        <w:rPr>
          <w:i/>
        </w:rPr>
        <w:t xml:space="preserve"> dzuds</w:t>
      </w:r>
      <w:r w:rsidRPr="002A1655">
        <w:t xml:space="preserve">); (4) through developing an effective reinsurance strategy to protect insurance companies against catastrophic risk, and securing high quality reinsurance. These steps ensured strong engagement from the private sector, which is shown in the results indicators (number of insurance companies participating), as well as the profitability of the business (participating insurance companies earned profit of c. 2 billion Tugriks (US$100 million) between 2006 and 2015. This is reflected in the increases in the premiums collected, which grew by 28% per year on average over the life of </w:t>
      </w:r>
      <w:r>
        <w:t>the project.</w:t>
      </w:r>
      <w:bookmarkEnd w:id="200"/>
    </w:p>
    <w:p w14:paraId="6F63B085" w14:textId="77777777" w:rsidR="00D163C7" w:rsidRPr="005E5A4C" w:rsidRDefault="00D163C7" w:rsidP="005A4EF0">
      <w:pPr>
        <w:numPr>
          <w:ilvl w:val="0"/>
          <w:numId w:val="18"/>
        </w:numPr>
        <w:autoSpaceDE w:val="0"/>
        <w:autoSpaceDN w:val="0"/>
        <w:adjustRightInd w:val="0"/>
        <w:spacing w:after="240"/>
        <w:ind w:left="0" w:firstLine="0"/>
      </w:pPr>
      <w:bookmarkStart w:id="201" w:name="_Ref457829991"/>
      <w:r w:rsidRPr="005E5A4C">
        <w:rPr>
          <w:b/>
        </w:rPr>
        <w:t>Enhanced capacity of the NSO</w:t>
      </w:r>
      <w:r w:rsidRPr="00F92093">
        <w:t>. The NSO benefited greatly from the IBLIP project, with many unintended outcomes occurring which significantly improved their function as a data collection agency, including: (i) the survey carried out mid-year using a state of the art methodology with training from USDA. This methodology reduced errors in data collection.  Seeing it’s quality, the NSO carried this methodology over to the annual census they carry out in December, which is mandated by law, thus improving the quality of the annual census; (ii) the data base that the NSO could establish at the household level through the project has now taken over as the key database for all the household data the NSO collects, including the annual census data. The NSO has currently entered into a tripartite agreement with MoAF and rural banks to share specific, protected, household related information. This will have four critical benefits to the Mongolian economy: (i) it will enable banks to undertake a better informed lending strategy, thus reducing their exposure to aggregate risk and so the risk of bankruptcy (which has seen to be a large drain on public resources in other countries (AIG in USA, rural banks in India); (ii) it reduces the documentation and time required from herders to take out a loan, making the process more straight forward; (iii) MoFA are now using this herder information to inform their planning, making their risk reduction and response plans better risk informed;  and (iv) the capacity in NSO was developed to such a high level that after the USDA training completed and left NSO with a draft sample survey to conduct the mid-year survey, they have internalized the training and design this survey themselves, making it more appropriate for the Mongolian context</w:t>
      </w:r>
      <w:r>
        <w:t>.</w:t>
      </w:r>
      <w:bookmarkEnd w:id="201"/>
    </w:p>
    <w:p w14:paraId="6E532F3F" w14:textId="77777777" w:rsidR="005A4EF0" w:rsidRDefault="005A4EF0" w:rsidP="005A4EF0">
      <w:pPr>
        <w:rPr>
          <w:b/>
        </w:rPr>
      </w:pPr>
    </w:p>
    <w:p w14:paraId="08487050" w14:textId="77777777" w:rsidR="005A4EF0" w:rsidRDefault="005A4EF0" w:rsidP="005A4EF0">
      <w:pPr>
        <w:rPr>
          <w:b/>
        </w:rPr>
      </w:pPr>
    </w:p>
    <w:p w14:paraId="5E095A3E" w14:textId="77777777" w:rsidR="005A4EF0" w:rsidRDefault="005A4EF0" w:rsidP="005A4EF0">
      <w:pPr>
        <w:rPr>
          <w:b/>
        </w:rPr>
      </w:pPr>
    </w:p>
    <w:p w14:paraId="27D7EAAB" w14:textId="77777777" w:rsidR="005A4EF0" w:rsidRDefault="005A4EF0" w:rsidP="005A4EF0">
      <w:pPr>
        <w:rPr>
          <w:b/>
        </w:rPr>
      </w:pPr>
    </w:p>
    <w:p w14:paraId="21527C69" w14:textId="77777777" w:rsidR="005A4EF0" w:rsidRDefault="005A4EF0" w:rsidP="005A4EF0">
      <w:pPr>
        <w:rPr>
          <w:b/>
        </w:rPr>
      </w:pPr>
    </w:p>
    <w:p w14:paraId="747B9D43" w14:textId="77777777" w:rsidR="005A4EF0" w:rsidRDefault="005A4EF0" w:rsidP="005A4EF0">
      <w:pPr>
        <w:rPr>
          <w:b/>
        </w:rPr>
      </w:pPr>
    </w:p>
    <w:p w14:paraId="454CFA5E" w14:textId="77777777" w:rsidR="005A4EF0" w:rsidRDefault="005A4EF0" w:rsidP="005A4EF0">
      <w:pPr>
        <w:rPr>
          <w:b/>
        </w:rPr>
      </w:pPr>
    </w:p>
    <w:p w14:paraId="352DB8B3" w14:textId="77777777" w:rsidR="005A4EF0" w:rsidRDefault="005A4EF0" w:rsidP="005A4EF0">
      <w:pPr>
        <w:rPr>
          <w:b/>
        </w:rPr>
      </w:pPr>
    </w:p>
    <w:p w14:paraId="3613689F" w14:textId="77777777" w:rsidR="005A4EF0" w:rsidRDefault="005A4EF0" w:rsidP="005A4EF0">
      <w:pPr>
        <w:rPr>
          <w:b/>
        </w:rPr>
      </w:pPr>
    </w:p>
    <w:p w14:paraId="21A15B14" w14:textId="77777777" w:rsidR="005A4EF0" w:rsidRDefault="005A4EF0" w:rsidP="005A4EF0">
      <w:pPr>
        <w:rPr>
          <w:b/>
        </w:rPr>
      </w:pPr>
    </w:p>
    <w:p w14:paraId="462FD466" w14:textId="77777777" w:rsidR="005A4EF0" w:rsidRDefault="005A4EF0" w:rsidP="005A4EF0">
      <w:pPr>
        <w:rPr>
          <w:b/>
        </w:rPr>
      </w:pPr>
    </w:p>
    <w:p w14:paraId="5DD70360" w14:textId="77777777" w:rsidR="005A4EF0" w:rsidRDefault="00D163C7" w:rsidP="005A4EF0">
      <w:pPr>
        <w:rPr>
          <w:b/>
        </w:rPr>
      </w:pPr>
      <w:r w:rsidRPr="00A73E9C">
        <w:rPr>
          <w:b/>
        </w:rPr>
        <w:lastRenderedPageBreak/>
        <w:t>Original credit No.: IDA40690-MOG; Trust Fund No.: TF54740; Project IP: 088816</w:t>
      </w:r>
    </w:p>
    <w:p w14:paraId="3BEF81CB" w14:textId="77777777" w:rsidR="005A4EF0" w:rsidRDefault="005A4EF0" w:rsidP="005A4EF0">
      <w:pPr>
        <w:rPr>
          <w:b/>
        </w:rPr>
      </w:pPr>
    </w:p>
    <w:p w14:paraId="3913D2A9" w14:textId="31B5B143" w:rsidR="00D163C7" w:rsidRPr="00A73E9C" w:rsidRDefault="00D163C7" w:rsidP="005A4EF0">
      <w:pPr>
        <w:numPr>
          <w:ilvl w:val="0"/>
          <w:numId w:val="18"/>
        </w:numPr>
        <w:autoSpaceDE w:val="0"/>
        <w:autoSpaceDN w:val="0"/>
        <w:adjustRightInd w:val="0"/>
        <w:spacing w:after="240"/>
        <w:ind w:left="0" w:firstLine="0"/>
        <w:rPr>
          <w:iCs/>
        </w:rPr>
      </w:pPr>
      <w:r w:rsidRPr="00A73E9C">
        <w:rPr>
          <w:i/>
          <w:noProof/>
          <w:lang w:eastAsia="en-US"/>
        </w:rPr>
        <mc:AlternateContent>
          <mc:Choice Requires="wps">
            <w:drawing>
              <wp:anchor distT="45720" distB="45720" distL="114300" distR="114300" simplePos="0" relativeHeight="251659264" behindDoc="1" locked="0" layoutInCell="1" allowOverlap="1" wp14:anchorId="3010EF35" wp14:editId="0CE80409">
                <wp:simplePos x="0" y="0"/>
                <wp:positionH relativeFrom="column">
                  <wp:posOffset>95250</wp:posOffset>
                </wp:positionH>
                <wp:positionV relativeFrom="paragraph">
                  <wp:posOffset>1381125</wp:posOffset>
                </wp:positionV>
                <wp:extent cx="5073650" cy="2952750"/>
                <wp:effectExtent l="0" t="0" r="12700" b="19050"/>
                <wp:wrapTight wrapText="bothSides">
                  <wp:wrapPolygon edited="0">
                    <wp:start x="0" y="0"/>
                    <wp:lineTo x="0" y="21600"/>
                    <wp:lineTo x="21573" y="21600"/>
                    <wp:lineTo x="2157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2952750"/>
                        </a:xfrm>
                        <a:prstGeom prst="rect">
                          <a:avLst/>
                        </a:prstGeom>
                        <a:solidFill>
                          <a:srgbClr val="FFFFFF"/>
                        </a:solidFill>
                        <a:ln w="9525">
                          <a:solidFill>
                            <a:srgbClr val="000000"/>
                          </a:solidFill>
                          <a:miter lim="800000"/>
                          <a:headEnd/>
                          <a:tailEnd/>
                        </a:ln>
                      </wps:spPr>
                      <wps:txbx>
                        <w:txbxContent>
                          <w:p w14:paraId="7268A758" w14:textId="77777777" w:rsidR="00D13D0D" w:rsidRDefault="00D13D0D" w:rsidP="00D163C7">
                            <w:r>
                              <w:t>The IBLI product as initially designed was made of two sub-products: first, a base product (BIP), which is a commercial product, sold and serviced by insurance companies. It was supposed to payout when the sum mortality rates exceed specified percentages, in the range 7 to 10 percent and depending on species.  The maximum payment for the BIP would be when the mortality rates reach a specified “exhaustion point” of 30 percent for Bayankhongor and Uvs and 25% for Khenti.  These numbers were subject to annual review and change if necessary.</w:t>
                            </w:r>
                          </w:p>
                          <w:p w14:paraId="33E8C7EA" w14:textId="77777777" w:rsidR="00D13D0D" w:rsidRDefault="00D13D0D" w:rsidP="00D163C7">
                            <w:r>
                              <w:t xml:space="preserve"> Second, a disaster response product (DRP), which is a social product funded by the Government. It begun payment at mortality rates that exceed the BIP “exhaustion point”. Herders who purchase the BIP were automatically  registered for DRP for the same number of species and livestock. For additional animals or for herders who decide not to purchase BIP, herders must pay MNT 40 per sheep unit (subject to annual review).</w:t>
                            </w:r>
                          </w:p>
                          <w:p w14:paraId="044A3A0C" w14:textId="77777777" w:rsidR="00D13D0D" w:rsidRDefault="00D13D0D" w:rsidP="00D163C7">
                            <w:r>
                              <w:t xml:space="preserve">With scaling up of the project to the 21 </w:t>
                            </w:r>
                            <w:r w:rsidRPr="008F1B22">
                              <w:rPr>
                                <w:i/>
                              </w:rPr>
                              <w:t>aimags</w:t>
                            </w:r>
                            <w:r>
                              <w:t xml:space="preserve">, the DRP sub-product has been discontinued.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0EF35" id="_x0000_t202" coordsize="21600,21600" o:spt="202" path="m,l,21600r21600,l21600,xe">
                <v:stroke joinstyle="miter"/>
                <v:path gradientshapeok="t" o:connecttype="rect"/>
              </v:shapetype>
              <v:shape id="Text Box 2" o:spid="_x0000_s1026" type="#_x0000_t202" style="position:absolute;left:0;text-align:left;margin-left:7.5pt;margin-top:108.75pt;width:399.5pt;height:23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">
                <v:textbox>
                  <w:txbxContent>
                    <w:p w14:paraId="7268A758" w14:textId="77777777" w:rsidR="00D13D0D" w:rsidRDefault="00D13D0D" w:rsidP="00D163C7">
                      <w:r>
                        <w:t>The IBLI product as initially designed was made of two sub-products: first, a base product (BIP), which is a commercial product, sold and serviced by insurance companies. It was supposed to payout when the sum mortality rates exceed specified percentages, in the range 7 to 10 percent and depending on species.  The maximum payment for the BIP would be when the mortality rates reach a specified “exhaustion point” of 30 percent for Bayankhongor and Uvs and 25% for Khenti.  These numbers were subject to annual review and change if necessary.</w:t>
                      </w:r>
                    </w:p>
                    <w:p w14:paraId="33E8C7EA" w14:textId="77777777" w:rsidR="00D13D0D" w:rsidRDefault="00D13D0D" w:rsidP="00D163C7">
                      <w:r>
                        <w:t xml:space="preserve"> Second, a disaster response product (DRP), which is a social product funded by the Government. It begun payment at mortality rates that exceed the BIP “exhaustion point”. Herders who purchase the BIP were automatically  registered for DRP for the same number of species and livestock. For additional animals or for herders who decide not to purchase BIP, herders must pay MNT 40 per sheep unit (subject to annual review).</w:t>
                      </w:r>
                    </w:p>
                    <w:p w14:paraId="044A3A0C" w14:textId="77777777" w:rsidR="00D13D0D" w:rsidRDefault="00D13D0D" w:rsidP="00D163C7">
                      <w:r>
                        <w:t xml:space="preserve">With scaling up of the project to the 21 </w:t>
                      </w:r>
                      <w:r w:rsidRPr="008F1B22">
                        <w:rPr>
                          <w:i/>
                        </w:rPr>
                        <w:t>aimags</w:t>
                      </w:r>
                      <w:r>
                        <w:t xml:space="preserve">, the DRP sub-product has been discontinued. </w:t>
                      </w:r>
                    </w:p>
                  </w:txbxContent>
                </v:textbox>
                <w10:wrap type="tight"/>
              </v:shape>
            </w:pict>
          </mc:Fallback>
        </mc:AlternateContent>
      </w:r>
      <w:r w:rsidRPr="00A73E9C">
        <w:rPr>
          <w:b/>
          <w:iCs/>
        </w:rPr>
        <w:t>Component 1: Pilot Index-Based Livestock Insurance Programs</w:t>
      </w:r>
      <w:r w:rsidRPr="00A73E9C">
        <w:rPr>
          <w:rFonts w:eastAsiaTheme="minorHAnsi"/>
          <w:b/>
          <w:lang w:eastAsia="en-US"/>
        </w:rPr>
        <w:t>(US$6.32 million, including US$5 for Contingent Debt Facility, or 65.6 percent of total Project cost with IDA contribution of US$5.05)</w:t>
      </w:r>
      <w:r w:rsidRPr="00A73E9C">
        <w:rPr>
          <w:b/>
          <w:iCs/>
        </w:rPr>
        <w:t xml:space="preserve">. </w:t>
      </w:r>
      <w:r w:rsidRPr="00A73E9C">
        <w:rPr>
          <w:iCs/>
        </w:rPr>
        <w:t xml:space="preserve">The main objective of this component was to ensure that Index based livestock insurance, which was made of the two IBLI products described below, functions in the three (later four) pilot aimags. The component had five subcomponents: </w:t>
      </w:r>
      <w:r w:rsidR="005A4EF0">
        <w:rPr>
          <w:iCs/>
        </w:rPr>
        <w:t>(</w:t>
      </w:r>
      <w:r w:rsidRPr="00A73E9C">
        <w:rPr>
          <w:iCs/>
        </w:rPr>
        <w:t>i) livestock data collection; (ii) IBLI software development; (iii) training during pilot implementation; (iv) Contingent Debt Facility (CDF) and, (v) Pilot performance, review and refinement.</w:t>
      </w:r>
    </w:p>
    <w:p w14:paraId="488582EC"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i/>
          <w:lang w:eastAsia="en-US"/>
        </w:rPr>
        <w:t xml:space="preserve">Livestock data collection. </w:t>
      </w:r>
      <w:r w:rsidRPr="00A73E9C">
        <w:rPr>
          <w:rFonts w:eastAsiaTheme="minorHAnsi"/>
          <w:lang w:eastAsia="en-US"/>
        </w:rPr>
        <w:t xml:space="preserve">Under this activity, the project aimed at supporting NSO in collecting and analyzing data that will be the basis for calculating annual soum level livestock mortality rates. Thanks to technical assistance provided by the USDA NASS, this objective was achieved. The survey carried out mid-year used a state of the art methodology that reduced errors in data collection.  </w:t>
      </w:r>
    </w:p>
    <w:p w14:paraId="44FC764B"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i/>
          <w:lang w:eastAsia="en-US"/>
        </w:rPr>
        <w:t xml:space="preserve">IBLI software development. </w:t>
      </w:r>
      <w:r w:rsidRPr="00A73E9C">
        <w:rPr>
          <w:rFonts w:eastAsiaTheme="minorHAnsi"/>
          <w:lang w:eastAsia="en-US"/>
        </w:rPr>
        <w:t xml:space="preserve">This activity was intended to enhance the existing IBLI educational software, the initial design of three operational software packages for operating the pilots, and the necessary testing, technical support and modification during the pilot period. This objective was achieved.  The development of the IBLI software was successfully completed, and an audit of the 2006 sales shows that it </w:t>
      </w:r>
      <w:r>
        <w:rPr>
          <w:rFonts w:eastAsiaTheme="minorHAnsi"/>
          <w:lang w:eastAsia="en-US"/>
        </w:rPr>
        <w:t>was</w:t>
      </w:r>
      <w:r w:rsidRPr="00A73E9C">
        <w:rPr>
          <w:rFonts w:eastAsiaTheme="minorHAnsi"/>
          <w:lang w:eastAsia="en-US"/>
        </w:rPr>
        <w:t xml:space="preserve"> working properly (in 98% of the cases</w:t>
      </w:r>
      <w:r>
        <w:rPr>
          <w:rFonts w:eastAsiaTheme="minorHAnsi"/>
          <w:lang w:eastAsia="en-US"/>
        </w:rPr>
        <w:t>, see aide memoire of the second supervision mission, dated September 2006</w:t>
      </w:r>
      <w:r w:rsidRPr="00A73E9C">
        <w:rPr>
          <w:rFonts w:eastAsiaTheme="minorHAnsi"/>
          <w:lang w:eastAsia="en-US"/>
        </w:rPr>
        <w:t xml:space="preserve">). The IBLI software has been installed at aimags and at PIU at UB. Other add-ons include a stand-alone Data Entry software, MIS software, and Portfolio Risk Assessment Software that has been made available, after training, to the participating insurance companies. A GIS feature to allow mapping of sum data to understand spatial patterns was also incorporated. </w:t>
      </w:r>
    </w:p>
    <w:p w14:paraId="2452FDEE" w14:textId="77777777" w:rsidR="00D163C7" w:rsidRPr="00A73E9C" w:rsidRDefault="00D163C7" w:rsidP="005A4EF0">
      <w:pPr>
        <w:numPr>
          <w:ilvl w:val="0"/>
          <w:numId w:val="18"/>
        </w:numPr>
        <w:autoSpaceDE w:val="0"/>
        <w:autoSpaceDN w:val="0"/>
        <w:adjustRightInd w:val="0"/>
        <w:spacing w:after="240"/>
        <w:ind w:left="0" w:firstLine="0"/>
        <w:rPr>
          <w:rFonts w:eastAsiaTheme="minorHAnsi"/>
          <w:i/>
          <w:lang w:eastAsia="en-US"/>
        </w:rPr>
      </w:pPr>
      <w:r w:rsidRPr="00A73E9C">
        <w:rPr>
          <w:rFonts w:eastAsiaTheme="minorHAnsi"/>
          <w:i/>
          <w:lang w:eastAsia="en-US"/>
        </w:rPr>
        <w:lastRenderedPageBreak/>
        <w:t xml:space="preserve">Training during pilot implementation. </w:t>
      </w:r>
      <w:r w:rsidRPr="00A73E9C">
        <w:rPr>
          <w:rFonts w:eastAsiaTheme="minorHAnsi"/>
          <w:lang w:eastAsia="en-US"/>
        </w:rPr>
        <w:t>This sub-component aimed at providing technical support for the training of Project Implementation Unit (PIU) and insurance company staff, together with the provision of essential materials.</w:t>
      </w:r>
    </w:p>
    <w:p w14:paraId="1EE44F68" w14:textId="77777777" w:rsidR="00D163C7" w:rsidRPr="00A73E9C" w:rsidRDefault="00D163C7" w:rsidP="005A4EF0">
      <w:pPr>
        <w:numPr>
          <w:ilvl w:val="0"/>
          <w:numId w:val="18"/>
        </w:numPr>
        <w:autoSpaceDE w:val="0"/>
        <w:autoSpaceDN w:val="0"/>
        <w:adjustRightInd w:val="0"/>
        <w:spacing w:after="240"/>
        <w:ind w:left="0" w:firstLine="0"/>
      </w:pPr>
      <w:r w:rsidRPr="00A73E9C">
        <w:rPr>
          <w:rFonts w:eastAsiaTheme="minorHAnsi"/>
          <w:b/>
          <w:i/>
          <w:lang w:eastAsia="en-US"/>
        </w:rPr>
        <w:t xml:space="preserve"> </w:t>
      </w:r>
      <w:r w:rsidRPr="00A73E9C">
        <w:rPr>
          <w:rFonts w:eastAsiaTheme="minorHAnsi"/>
          <w:i/>
          <w:lang w:eastAsia="en-US"/>
        </w:rPr>
        <w:t xml:space="preserve">Provision for and management of Contingent Debt Facility (CDF).  </w:t>
      </w:r>
      <w:r w:rsidRPr="00A73E9C">
        <w:rPr>
          <w:rFonts w:eastAsiaTheme="minorHAnsi"/>
          <w:bCs/>
          <w:lang w:eastAsia="en-US"/>
        </w:rPr>
        <w:t xml:space="preserve">Under this subcomponent, approximately US$5 million were made available in a Government held CDF to be used to fund indemnity payments to herders under the DRP and to meet any shortfall in indemnity payments under the BIP. In the second insurance cycle, the MoF made an official request to use the CDF on July 18, 2008, and the funds were deposited into the LIIP account on August 4, 2008 (relatively fast). </w:t>
      </w:r>
    </w:p>
    <w:p w14:paraId="37C7083F"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i/>
          <w:lang w:eastAsia="en-US"/>
        </w:rPr>
        <w:t xml:space="preserve">Product Performance and Refinement.  </w:t>
      </w:r>
      <w:r w:rsidRPr="00A73E9C">
        <w:rPr>
          <w:rFonts w:eastAsiaTheme="minorHAnsi"/>
          <w:lang w:eastAsia="en-US"/>
        </w:rPr>
        <w:t>Under this activity, performance criteria regarding the appropriateness of the insurance scheme was established to enable necessary adjustments of the insurance product. As shown by the continuous improvement in the design of the product through the pilot, this subcomponent has successfully reached its objective.  For example, two years of successive losses by insurance companies have led to the introduction of an aimag-level stop loss, to limit losses due to high mortality in individual aimags, which would be priced into the government reinsurance.</w:t>
      </w:r>
    </w:p>
    <w:p w14:paraId="69942CF4"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lang w:eastAsia="en-US"/>
        </w:rPr>
        <w:t>Ultimately, this component overachieved all its objective: the pilot had four successful insurance cycles in (2006-2007), (2007-2008),</w:t>
      </w:r>
      <w:r w:rsidRPr="00A73E9C">
        <w:t xml:space="preserve"> </w:t>
      </w:r>
      <w:r w:rsidRPr="00A73E9C">
        <w:rPr>
          <w:rFonts w:eastAsiaTheme="minorHAnsi"/>
          <w:lang w:eastAsia="en-US"/>
        </w:rPr>
        <w:t>(2008-2009),</w:t>
      </w:r>
      <w:r w:rsidRPr="00A73E9C">
        <w:t xml:space="preserve"> </w:t>
      </w:r>
      <w:r w:rsidRPr="00A73E9C">
        <w:rPr>
          <w:rFonts w:eastAsiaTheme="minorHAnsi"/>
          <w:lang w:eastAsia="en-US"/>
        </w:rPr>
        <w:t xml:space="preserve">and (2009-2010).  The sales of BIP have been greater than anticipated: 2412 policies were sold in all three pilot aimags in the first insurance cycle, over 3000 policies sold in the second insurance cycle, 4074 policies were sold in the third insurance cycle, and 5628 were sold in the fourth insurance cycle, including the newly added aimag. This result is unexpected, given the low amount of indemnity disbursed before 2008 (only $142,000, or 2.8% of the CDF has been disbursed by 2008), and the declining price of cashmere in 2008 and 2009, which limited the ability of herders to pay for IBLI in cash.  </w:t>
      </w:r>
    </w:p>
    <w:p w14:paraId="748D8533"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Pr>
          <w:rFonts w:eastAsiaTheme="minorHAnsi"/>
          <w:lang w:eastAsia="en-US"/>
        </w:rPr>
        <w:t xml:space="preserve">Mongolia experienced two years of successive </w:t>
      </w:r>
      <w:r w:rsidRPr="00B56D28">
        <w:rPr>
          <w:rFonts w:eastAsiaTheme="minorHAnsi"/>
          <w:i/>
          <w:lang w:eastAsia="en-US"/>
        </w:rPr>
        <w:t>dzuds</w:t>
      </w:r>
      <w:r>
        <w:rPr>
          <w:rFonts w:eastAsiaTheme="minorHAnsi"/>
          <w:i/>
          <w:lang w:eastAsia="en-US"/>
        </w:rPr>
        <w:t xml:space="preserve">, </w:t>
      </w:r>
      <w:r w:rsidRPr="00B56D28">
        <w:rPr>
          <w:rFonts w:eastAsiaTheme="minorHAnsi"/>
          <w:lang w:eastAsia="en-US"/>
        </w:rPr>
        <w:t>and insured herders</w:t>
      </w:r>
      <w:r>
        <w:rPr>
          <w:rFonts w:eastAsiaTheme="minorHAnsi"/>
          <w:lang w:eastAsia="en-US"/>
        </w:rPr>
        <w:t xml:space="preserve"> received payouts two years in a row, which resulted in losses for insurance companies.  </w:t>
      </w:r>
      <w:r w:rsidRPr="00A73E9C">
        <w:rPr>
          <w:rFonts w:eastAsiaTheme="minorHAnsi"/>
          <w:lang w:eastAsia="en-US"/>
        </w:rPr>
        <w:t>Despite</w:t>
      </w:r>
      <w:r>
        <w:rPr>
          <w:rFonts w:eastAsiaTheme="minorHAnsi"/>
          <w:lang w:eastAsia="en-US"/>
        </w:rPr>
        <w:t xml:space="preserve"> these </w:t>
      </w:r>
      <w:r w:rsidRPr="00A73E9C">
        <w:rPr>
          <w:rFonts w:eastAsiaTheme="minorHAnsi"/>
          <w:lang w:eastAsia="en-US"/>
        </w:rPr>
        <w:t xml:space="preserve">losses, all the four insurance companies that were present in the fourth insurance cycle had expressed their interest in continuing their participation for the fifth insurance cycle. </w:t>
      </w:r>
    </w:p>
    <w:p w14:paraId="743BD954"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lang w:eastAsia="en-US"/>
        </w:rPr>
        <w:t>In addition, the mechanisms proved to be successful at disbursing the indemnity to herders in a timely manner. For example, by mid-August, all 1783 eligible herders received their claims ($US340, 000).</w:t>
      </w:r>
    </w:p>
    <w:p w14:paraId="370D699F" w14:textId="77777777" w:rsidR="00D163C7" w:rsidRDefault="00D163C7" w:rsidP="005A4EF0">
      <w:pPr>
        <w:numPr>
          <w:ilvl w:val="0"/>
          <w:numId w:val="18"/>
        </w:numPr>
        <w:autoSpaceDE w:val="0"/>
        <w:autoSpaceDN w:val="0"/>
        <w:adjustRightInd w:val="0"/>
        <w:spacing w:after="240"/>
        <w:ind w:left="0" w:firstLine="0"/>
        <w:rPr>
          <w:rFonts w:eastAsiaTheme="minorHAnsi"/>
          <w:lang w:eastAsia="en-US"/>
        </w:rPr>
      </w:pPr>
      <w:r w:rsidRPr="00ED69C5">
        <w:rPr>
          <w:rFonts w:eastAsiaTheme="minorHAnsi"/>
          <w:lang w:eastAsia="en-US"/>
        </w:rPr>
        <w:t>During the four</w:t>
      </w:r>
      <w:r w:rsidRPr="000E192C">
        <w:rPr>
          <w:rFonts w:eastAsiaTheme="minorHAnsi"/>
          <w:lang w:eastAsia="en-US"/>
        </w:rPr>
        <w:t>th insurance cycle of the pilot phase, Mongolia suffered a severe dzud, the worst in recorded history in terms of numbers of livestock lost (around 0.7 million head) with high levels of losses across the four aimags covered by the insurance, resulting in s</w:t>
      </w:r>
      <w:r w:rsidRPr="00645F21">
        <w:rPr>
          <w:rFonts w:eastAsiaTheme="minorHAnsi"/>
          <w:lang w:eastAsia="en-US"/>
        </w:rPr>
        <w:t xml:space="preserve">ignificant indemnity payouts to insured herders. In fact, 84% of the insured herders received a total indemnity payment of US$1.42 million. The survival of the pilot to this </w:t>
      </w:r>
      <w:r w:rsidRPr="00104CB8">
        <w:rPr>
          <w:rFonts w:eastAsiaTheme="minorHAnsi"/>
          <w:i/>
          <w:lang w:eastAsia="en-US"/>
        </w:rPr>
        <w:t xml:space="preserve">dzud </w:t>
      </w:r>
      <w:r w:rsidRPr="00ED69C5">
        <w:rPr>
          <w:rFonts w:eastAsiaTheme="minorHAnsi"/>
          <w:lang w:eastAsia="en-US"/>
        </w:rPr>
        <w:t xml:space="preserve">event is a strong demonstration of its success. </w:t>
      </w:r>
      <w:r w:rsidRPr="000E192C">
        <w:rPr>
          <w:rFonts w:eastAsiaTheme="minorHAnsi"/>
          <w:lang w:eastAsia="en-US"/>
        </w:rPr>
        <w:t xml:space="preserve">The table below </w:t>
      </w:r>
      <w:r w:rsidRPr="00645F21">
        <w:rPr>
          <w:rFonts w:eastAsiaTheme="minorHAnsi"/>
          <w:lang w:eastAsia="en-US"/>
        </w:rPr>
        <w:t xml:space="preserve">summarizes the performance of the IBLI pilot. </w:t>
      </w:r>
    </w:p>
    <w:p w14:paraId="4274ED9B" w14:textId="77777777" w:rsidR="005A4EF0" w:rsidRDefault="005A4EF0" w:rsidP="005A4EF0">
      <w:pPr>
        <w:autoSpaceDE w:val="0"/>
        <w:autoSpaceDN w:val="0"/>
        <w:adjustRightInd w:val="0"/>
        <w:spacing w:after="240"/>
        <w:rPr>
          <w:rFonts w:eastAsiaTheme="minorHAnsi"/>
          <w:lang w:eastAsia="en-US"/>
        </w:rPr>
      </w:pPr>
    </w:p>
    <w:p w14:paraId="1ACC3A56" w14:textId="77777777" w:rsidR="005A4EF0" w:rsidRPr="00645F21" w:rsidRDefault="005A4EF0" w:rsidP="005A4EF0">
      <w:pPr>
        <w:autoSpaceDE w:val="0"/>
        <w:autoSpaceDN w:val="0"/>
        <w:adjustRightInd w:val="0"/>
        <w:spacing w:after="240"/>
        <w:rPr>
          <w:rFonts w:eastAsiaTheme="minorHAnsi"/>
          <w:lang w:eastAsia="en-US"/>
        </w:rPr>
      </w:pPr>
    </w:p>
    <w:tbl>
      <w:tblPr>
        <w:tblStyle w:val="TableGrid"/>
        <w:tblW w:w="0" w:type="auto"/>
        <w:jc w:val="center"/>
        <w:tblLook w:val="04A0" w:firstRow="1" w:lastRow="0" w:firstColumn="1" w:lastColumn="0" w:noHBand="0" w:noVBand="1"/>
      </w:tblPr>
      <w:tblGrid>
        <w:gridCol w:w="1438"/>
        <w:gridCol w:w="1438"/>
        <w:gridCol w:w="1438"/>
        <w:gridCol w:w="1438"/>
        <w:gridCol w:w="1438"/>
      </w:tblGrid>
      <w:tr w:rsidR="00D163C7" w:rsidRPr="00A73E9C" w14:paraId="5C614BCB" w14:textId="77777777" w:rsidTr="00D51717">
        <w:trPr>
          <w:jc w:val="center"/>
        </w:trPr>
        <w:tc>
          <w:tcPr>
            <w:tcW w:w="1438" w:type="dxa"/>
          </w:tcPr>
          <w:p w14:paraId="1899C737" w14:textId="77777777" w:rsidR="00D163C7" w:rsidRPr="00A73E9C" w:rsidRDefault="00D163C7" w:rsidP="00D51717">
            <w:pPr>
              <w:spacing w:after="240"/>
              <w:jc w:val="both"/>
              <w:rPr>
                <w:rFonts w:eastAsiaTheme="minorHAnsi"/>
                <w:sz w:val="16"/>
                <w:szCs w:val="16"/>
                <w:lang w:eastAsia="en-US"/>
              </w:rPr>
            </w:pPr>
          </w:p>
        </w:tc>
        <w:tc>
          <w:tcPr>
            <w:tcW w:w="1438" w:type="dxa"/>
          </w:tcPr>
          <w:p w14:paraId="5E7C4346"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2006</w:t>
            </w:r>
          </w:p>
        </w:tc>
        <w:tc>
          <w:tcPr>
            <w:tcW w:w="1438" w:type="dxa"/>
          </w:tcPr>
          <w:p w14:paraId="602DBA68"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2007</w:t>
            </w:r>
          </w:p>
        </w:tc>
        <w:tc>
          <w:tcPr>
            <w:tcW w:w="1438" w:type="dxa"/>
          </w:tcPr>
          <w:p w14:paraId="555509C9"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2008</w:t>
            </w:r>
          </w:p>
        </w:tc>
        <w:tc>
          <w:tcPr>
            <w:tcW w:w="1438" w:type="dxa"/>
          </w:tcPr>
          <w:p w14:paraId="3A655456"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2009</w:t>
            </w:r>
          </w:p>
        </w:tc>
      </w:tr>
      <w:tr w:rsidR="00D163C7" w:rsidRPr="00A73E9C" w14:paraId="02B3C963" w14:textId="77777777" w:rsidTr="00D51717">
        <w:trPr>
          <w:jc w:val="center"/>
        </w:trPr>
        <w:tc>
          <w:tcPr>
            <w:tcW w:w="1438" w:type="dxa"/>
          </w:tcPr>
          <w:p w14:paraId="1BA5A1CF"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Insured herders (penetration rate)</w:t>
            </w:r>
          </w:p>
        </w:tc>
        <w:tc>
          <w:tcPr>
            <w:tcW w:w="1438" w:type="dxa"/>
          </w:tcPr>
          <w:p w14:paraId="3C3D4DBA"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2,412 (8.7%)</w:t>
            </w:r>
          </w:p>
        </w:tc>
        <w:tc>
          <w:tcPr>
            <w:tcW w:w="1438" w:type="dxa"/>
          </w:tcPr>
          <w:p w14:paraId="16DBB602"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3,075 (12.8%)</w:t>
            </w:r>
          </w:p>
        </w:tc>
        <w:tc>
          <w:tcPr>
            <w:tcW w:w="1438" w:type="dxa"/>
          </w:tcPr>
          <w:p w14:paraId="05E2319D"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4,047 (14%)</w:t>
            </w:r>
          </w:p>
        </w:tc>
        <w:tc>
          <w:tcPr>
            <w:tcW w:w="1438" w:type="dxa"/>
          </w:tcPr>
          <w:p w14:paraId="51960111"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5,628</w:t>
            </w:r>
          </w:p>
        </w:tc>
      </w:tr>
      <w:tr w:rsidR="00D163C7" w:rsidRPr="00A73E9C" w14:paraId="51504F03" w14:textId="77777777" w:rsidTr="00D51717">
        <w:trPr>
          <w:jc w:val="center"/>
        </w:trPr>
        <w:tc>
          <w:tcPr>
            <w:tcW w:w="1438" w:type="dxa"/>
          </w:tcPr>
          <w:p w14:paraId="46419722"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Total livestock insured (#)(penetration rate)</w:t>
            </w:r>
          </w:p>
        </w:tc>
        <w:tc>
          <w:tcPr>
            <w:tcW w:w="1438" w:type="dxa"/>
          </w:tcPr>
          <w:p w14:paraId="5D4FC7B9"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292,000 (5.5%)</w:t>
            </w:r>
          </w:p>
        </w:tc>
        <w:tc>
          <w:tcPr>
            <w:tcW w:w="1438" w:type="dxa"/>
          </w:tcPr>
          <w:p w14:paraId="58ADE2EA"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409,000 (5.8%)</w:t>
            </w:r>
          </w:p>
        </w:tc>
        <w:tc>
          <w:tcPr>
            <w:tcW w:w="1438" w:type="dxa"/>
          </w:tcPr>
          <w:p w14:paraId="21E71BA1"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489,800 (6%)</w:t>
            </w:r>
          </w:p>
        </w:tc>
        <w:tc>
          <w:tcPr>
            <w:tcW w:w="1438" w:type="dxa"/>
          </w:tcPr>
          <w:p w14:paraId="3A1BA331"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789,038</w:t>
            </w:r>
          </w:p>
        </w:tc>
      </w:tr>
      <w:tr w:rsidR="00D163C7" w:rsidRPr="00A73E9C" w14:paraId="6DBA9F37" w14:textId="77777777" w:rsidTr="00D51717">
        <w:trPr>
          <w:trHeight w:val="413"/>
          <w:jc w:val="center"/>
        </w:trPr>
        <w:tc>
          <w:tcPr>
            <w:tcW w:w="1438" w:type="dxa"/>
          </w:tcPr>
          <w:p w14:paraId="10F4197C"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Insurance companies</w:t>
            </w:r>
          </w:p>
        </w:tc>
        <w:tc>
          <w:tcPr>
            <w:tcW w:w="1438" w:type="dxa"/>
          </w:tcPr>
          <w:p w14:paraId="7F825307"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3</w:t>
            </w:r>
          </w:p>
        </w:tc>
        <w:tc>
          <w:tcPr>
            <w:tcW w:w="1438" w:type="dxa"/>
          </w:tcPr>
          <w:p w14:paraId="45B84175"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4</w:t>
            </w:r>
          </w:p>
        </w:tc>
        <w:tc>
          <w:tcPr>
            <w:tcW w:w="1438" w:type="dxa"/>
          </w:tcPr>
          <w:p w14:paraId="48B4008B"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4</w:t>
            </w:r>
          </w:p>
        </w:tc>
        <w:tc>
          <w:tcPr>
            <w:tcW w:w="1438" w:type="dxa"/>
          </w:tcPr>
          <w:p w14:paraId="3C85A292"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4</w:t>
            </w:r>
          </w:p>
        </w:tc>
      </w:tr>
      <w:tr w:rsidR="00D163C7" w:rsidRPr="00A73E9C" w14:paraId="7A16F788" w14:textId="77777777" w:rsidTr="00D51717">
        <w:trPr>
          <w:jc w:val="center"/>
        </w:trPr>
        <w:tc>
          <w:tcPr>
            <w:tcW w:w="1438" w:type="dxa"/>
          </w:tcPr>
          <w:p w14:paraId="2B7AFB91"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Insurance agents</w:t>
            </w:r>
          </w:p>
        </w:tc>
        <w:tc>
          <w:tcPr>
            <w:tcW w:w="1438" w:type="dxa"/>
          </w:tcPr>
          <w:p w14:paraId="2811A373"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144</w:t>
            </w:r>
          </w:p>
        </w:tc>
        <w:tc>
          <w:tcPr>
            <w:tcW w:w="1438" w:type="dxa"/>
          </w:tcPr>
          <w:p w14:paraId="47B827FA"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154</w:t>
            </w:r>
          </w:p>
        </w:tc>
        <w:tc>
          <w:tcPr>
            <w:tcW w:w="1438" w:type="dxa"/>
          </w:tcPr>
          <w:p w14:paraId="7EE27A4F"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183</w:t>
            </w:r>
          </w:p>
        </w:tc>
        <w:tc>
          <w:tcPr>
            <w:tcW w:w="1438" w:type="dxa"/>
          </w:tcPr>
          <w:p w14:paraId="517B1665" w14:textId="77777777" w:rsidR="00D163C7" w:rsidRPr="00A73E9C" w:rsidRDefault="00D163C7" w:rsidP="00D51717">
            <w:pPr>
              <w:spacing w:after="240"/>
              <w:jc w:val="both"/>
              <w:rPr>
                <w:rFonts w:eastAsiaTheme="minorHAnsi"/>
                <w:sz w:val="16"/>
                <w:szCs w:val="16"/>
                <w:lang w:eastAsia="en-US"/>
              </w:rPr>
            </w:pPr>
          </w:p>
        </w:tc>
      </w:tr>
      <w:tr w:rsidR="00D163C7" w:rsidRPr="00A73E9C" w14:paraId="2004B63B" w14:textId="77777777" w:rsidTr="00D51717">
        <w:trPr>
          <w:jc w:val="center"/>
        </w:trPr>
        <w:tc>
          <w:tcPr>
            <w:tcW w:w="1438" w:type="dxa"/>
          </w:tcPr>
          <w:p w14:paraId="5E230A40" w14:textId="77777777" w:rsidR="00D163C7" w:rsidRPr="00A73E9C" w:rsidRDefault="00D163C7" w:rsidP="00D51717">
            <w:pPr>
              <w:spacing w:after="240"/>
              <w:jc w:val="both"/>
              <w:rPr>
                <w:rFonts w:eastAsiaTheme="minorHAnsi"/>
                <w:b/>
                <w:sz w:val="16"/>
                <w:szCs w:val="16"/>
                <w:lang w:eastAsia="en-US"/>
              </w:rPr>
            </w:pPr>
            <w:r w:rsidRPr="00A73E9C">
              <w:rPr>
                <w:rFonts w:eastAsiaTheme="minorHAnsi"/>
                <w:b/>
                <w:sz w:val="16"/>
                <w:szCs w:val="16"/>
                <w:lang w:eastAsia="en-US"/>
              </w:rPr>
              <w:t>Pilot aimags</w:t>
            </w:r>
          </w:p>
        </w:tc>
        <w:tc>
          <w:tcPr>
            <w:tcW w:w="1438" w:type="dxa"/>
          </w:tcPr>
          <w:p w14:paraId="014D1E2F"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3</w:t>
            </w:r>
          </w:p>
        </w:tc>
        <w:tc>
          <w:tcPr>
            <w:tcW w:w="1438" w:type="dxa"/>
          </w:tcPr>
          <w:p w14:paraId="068B97E4" w14:textId="77777777" w:rsidR="00D163C7" w:rsidRPr="00A73E9C" w:rsidRDefault="00D163C7" w:rsidP="00D51717">
            <w:pPr>
              <w:spacing w:after="240"/>
              <w:jc w:val="both"/>
              <w:rPr>
                <w:rFonts w:eastAsiaTheme="minorHAnsi"/>
                <w:sz w:val="16"/>
                <w:szCs w:val="16"/>
                <w:lang w:eastAsia="en-US"/>
              </w:rPr>
            </w:pPr>
            <w:r w:rsidRPr="00A73E9C">
              <w:rPr>
                <w:rFonts w:eastAsiaTheme="minorHAnsi"/>
                <w:sz w:val="16"/>
                <w:szCs w:val="16"/>
                <w:lang w:eastAsia="en-US"/>
              </w:rPr>
              <w:t>3</w:t>
            </w:r>
          </w:p>
        </w:tc>
        <w:tc>
          <w:tcPr>
            <w:tcW w:w="1438" w:type="dxa"/>
          </w:tcPr>
          <w:p w14:paraId="344EBCC1" w14:textId="77777777" w:rsidR="00D163C7" w:rsidRPr="00A73E9C" w:rsidRDefault="00D163C7" w:rsidP="00D51717">
            <w:pPr>
              <w:keepNext/>
              <w:spacing w:after="240"/>
              <w:jc w:val="both"/>
              <w:rPr>
                <w:rFonts w:eastAsiaTheme="minorHAnsi"/>
                <w:sz w:val="16"/>
                <w:szCs w:val="16"/>
                <w:lang w:eastAsia="en-US"/>
              </w:rPr>
            </w:pPr>
            <w:r w:rsidRPr="00A73E9C">
              <w:rPr>
                <w:rFonts w:eastAsiaTheme="minorHAnsi"/>
                <w:sz w:val="16"/>
                <w:szCs w:val="16"/>
                <w:lang w:eastAsia="en-US"/>
              </w:rPr>
              <w:t>3</w:t>
            </w:r>
          </w:p>
        </w:tc>
        <w:tc>
          <w:tcPr>
            <w:tcW w:w="1438" w:type="dxa"/>
          </w:tcPr>
          <w:p w14:paraId="4BABFC8E" w14:textId="77777777" w:rsidR="00D163C7" w:rsidRPr="00A73E9C" w:rsidRDefault="00D163C7" w:rsidP="00D51717">
            <w:pPr>
              <w:keepNext/>
              <w:spacing w:after="240"/>
              <w:jc w:val="both"/>
              <w:rPr>
                <w:rFonts w:eastAsiaTheme="minorHAnsi"/>
                <w:sz w:val="16"/>
                <w:szCs w:val="16"/>
                <w:lang w:eastAsia="en-US"/>
              </w:rPr>
            </w:pPr>
            <w:r w:rsidRPr="00A73E9C">
              <w:rPr>
                <w:rFonts w:eastAsiaTheme="minorHAnsi"/>
                <w:sz w:val="16"/>
                <w:szCs w:val="16"/>
                <w:lang w:eastAsia="en-US"/>
              </w:rPr>
              <w:t>4</w:t>
            </w:r>
          </w:p>
        </w:tc>
      </w:tr>
    </w:tbl>
    <w:p w14:paraId="2238F108" w14:textId="77777777" w:rsidR="005A4EF0" w:rsidRDefault="005A4EF0" w:rsidP="005A4EF0">
      <w:pPr>
        <w:jc w:val="center"/>
        <w:rPr>
          <w:i/>
          <w:iCs/>
          <w:color w:val="000000" w:themeColor="text1"/>
          <w:sz w:val="18"/>
          <w:szCs w:val="18"/>
        </w:rPr>
      </w:pPr>
    </w:p>
    <w:p w14:paraId="6FCFC11C" w14:textId="70DA6BE7" w:rsidR="00D163C7" w:rsidRPr="005A4EF0" w:rsidRDefault="00D163C7" w:rsidP="00D163C7">
      <w:pPr>
        <w:spacing w:after="200"/>
        <w:jc w:val="center"/>
        <w:rPr>
          <w:iCs/>
          <w:color w:val="000000" w:themeColor="text1"/>
          <w:sz w:val="18"/>
          <w:szCs w:val="18"/>
        </w:rPr>
      </w:pPr>
      <w:r w:rsidRPr="005A4EF0">
        <w:rPr>
          <w:iCs/>
          <w:color w:val="000000" w:themeColor="text1"/>
          <w:sz w:val="18"/>
          <w:szCs w:val="18"/>
        </w:rPr>
        <w:t xml:space="preserve">Table </w:t>
      </w:r>
      <w:r w:rsidR="005A4EF0" w:rsidRPr="005A4EF0">
        <w:rPr>
          <w:iCs/>
          <w:color w:val="000000" w:themeColor="text1"/>
          <w:sz w:val="18"/>
          <w:szCs w:val="18"/>
        </w:rPr>
        <w:t>6</w:t>
      </w:r>
      <w:r w:rsidR="005A4EF0">
        <w:rPr>
          <w:iCs/>
          <w:color w:val="000000" w:themeColor="text1"/>
          <w:sz w:val="18"/>
          <w:szCs w:val="18"/>
        </w:rPr>
        <w:t>:</w:t>
      </w:r>
      <w:r w:rsidRPr="005A4EF0">
        <w:rPr>
          <w:iCs/>
          <w:color w:val="000000" w:themeColor="text1"/>
          <w:sz w:val="18"/>
          <w:szCs w:val="18"/>
        </w:rPr>
        <w:t xml:space="preserve"> Performance of the pilot</w:t>
      </w:r>
    </w:p>
    <w:p w14:paraId="10303A8C" w14:textId="77777777" w:rsidR="00D163C7" w:rsidRPr="00A73E9C" w:rsidRDefault="00D163C7" w:rsidP="005A4EF0">
      <w:pPr>
        <w:numPr>
          <w:ilvl w:val="0"/>
          <w:numId w:val="18"/>
        </w:numPr>
        <w:autoSpaceDE w:val="0"/>
        <w:autoSpaceDN w:val="0"/>
        <w:adjustRightInd w:val="0"/>
        <w:spacing w:after="240"/>
        <w:ind w:left="0" w:firstLine="0"/>
      </w:pPr>
      <w:r w:rsidRPr="00A73E9C">
        <w:rPr>
          <w:rFonts w:eastAsiaTheme="minorHAnsi"/>
          <w:b/>
          <w:lang w:eastAsia="en-US"/>
        </w:rPr>
        <w:t xml:space="preserve">Component 2. Promotion and Public Awareness Component (US$0. 89 million, or 9.2 percent of total Project cost with IDA contribution of US$ 0.86). </w:t>
      </w:r>
      <w:r w:rsidRPr="00A73E9C">
        <w:t>Under this component, the project aimed at creating awareness and educating key stakeholders on the details of the insurance product and the IBLI pilot. Stakeholders included herders and herder groups, local government officials, insurance sales agents, commercial banks and other micro-finance institutions, NGOs and relevant projects, parliamentarians, Government officials, donor organizations and insurance/banking institutions.</w:t>
      </w:r>
    </w:p>
    <w:p w14:paraId="2542CB94" w14:textId="77777777" w:rsidR="00D163C7" w:rsidRPr="00A73E9C" w:rsidRDefault="00D163C7" w:rsidP="005A4EF0">
      <w:pPr>
        <w:numPr>
          <w:ilvl w:val="0"/>
          <w:numId w:val="18"/>
        </w:numPr>
        <w:autoSpaceDE w:val="0"/>
        <w:autoSpaceDN w:val="0"/>
        <w:adjustRightInd w:val="0"/>
        <w:spacing w:after="240"/>
        <w:ind w:left="0" w:firstLine="0"/>
      </w:pPr>
      <w:r w:rsidRPr="00A73E9C">
        <w:t>Being aware of the existence of the IBLIP products, and understanding how they work were the most important determinant for the uptake of these products. Therefore, the high participation rates of herders in this project can be attributed to the highly satisfactory implementation of this component. In addition, project documents as well as discussions with local stakeholders and PIU agents revealed that these activities were pivotal for the understanding of IBLI by local stakeholders.</w:t>
      </w:r>
    </w:p>
    <w:p w14:paraId="0E88A185" w14:textId="2629E135" w:rsidR="00D163C7" w:rsidRPr="00A73E9C" w:rsidRDefault="00D163C7" w:rsidP="00D163C7">
      <w:pPr>
        <w:numPr>
          <w:ilvl w:val="0"/>
          <w:numId w:val="18"/>
        </w:numPr>
        <w:spacing w:after="240"/>
        <w:ind w:left="0" w:firstLine="0"/>
        <w:jc w:val="both"/>
      </w:pPr>
      <w:r w:rsidRPr="00A73E9C">
        <w:t>The component had six awareness raising activities (i) identification of stakeholder public awareness needs and concerns; (ii) preparation and circulation of promotional materials. (iii) Face to face education of key local stakeholders and clients/beneficiaries; (iv) Radio and TV programs, (</w:t>
      </w:r>
      <w:r w:rsidR="005A4EF0">
        <w:t>v</w:t>
      </w:r>
      <w:r w:rsidRPr="00A73E9C">
        <w:t>) National and provincial workshops; and (</w:t>
      </w:r>
      <w:r w:rsidR="005A4EF0">
        <w:t>vi</w:t>
      </w:r>
      <w:r w:rsidRPr="00A73E9C">
        <w:t>) Inter-sum and aimag exchange visits.</w:t>
      </w:r>
    </w:p>
    <w:p w14:paraId="2AA91A00" w14:textId="77777777" w:rsidR="00D163C7" w:rsidRPr="00A73E9C" w:rsidRDefault="00D163C7" w:rsidP="005A4EF0">
      <w:pPr>
        <w:numPr>
          <w:ilvl w:val="1"/>
          <w:numId w:val="18"/>
        </w:numPr>
        <w:spacing w:after="240"/>
      </w:pPr>
      <w:r w:rsidRPr="00A73E9C">
        <w:t xml:space="preserve"> An extensive and comprehensive print and broadcast media campaign</w:t>
      </w:r>
      <w:r w:rsidRPr="00A73E9C">
        <w:rPr>
          <w:b/>
        </w:rPr>
        <w:t xml:space="preserve">. </w:t>
      </w:r>
      <w:r w:rsidRPr="00A73E9C">
        <w:t xml:space="preserve">The PIU conducted a comprehensive print and broadcast media campaign that included a very wide range of products: brochures, newsletters, TV advertisements, radio programs, playing cards with IBLI policies on each card, competitions, to name a few. Herders visited by the ICR team said that these materials enhanced their knowledge and understanding of the product. </w:t>
      </w:r>
    </w:p>
    <w:p w14:paraId="34572BB2" w14:textId="77777777" w:rsidR="00D163C7" w:rsidRPr="00A73E9C" w:rsidRDefault="00D163C7" w:rsidP="005A4EF0">
      <w:pPr>
        <w:numPr>
          <w:ilvl w:val="1"/>
          <w:numId w:val="18"/>
        </w:numPr>
        <w:spacing w:after="240"/>
      </w:pPr>
      <w:r w:rsidRPr="00A73E9C">
        <w:t xml:space="preserve">An extensive face to face education of key stakeholders and clients/beneficiaries. This activity was very extensive in the pilot aimags reaching almost 95% of all herder households in the first year and 56% in the second year. In the third year of the pilot, only 30% of the herders benefited from this activity. To overcome negative perception </w:t>
      </w:r>
      <w:r w:rsidRPr="00A73E9C">
        <w:lastRenderedPageBreak/>
        <w:t xml:space="preserve">of livestock insurance among some herders, it was recommended that more focused discussions during the face-to-face education were made with influential herders. </w:t>
      </w:r>
    </w:p>
    <w:p w14:paraId="0F342043" w14:textId="77777777" w:rsidR="00D163C7" w:rsidRPr="00A73E9C" w:rsidRDefault="00D163C7" w:rsidP="005A4EF0">
      <w:pPr>
        <w:numPr>
          <w:ilvl w:val="1"/>
          <w:numId w:val="18"/>
        </w:numPr>
        <w:spacing w:after="240"/>
      </w:pPr>
      <w:r w:rsidRPr="00A73E9C">
        <w:t xml:space="preserve">Radio and TV programs. Seven different topics were advertised on the Mongolian National Broadcasting TV (TV5 and TV 9). Radio advertisings were also transmitted through the Mongolian National Radio on a regular basis. </w:t>
      </w:r>
    </w:p>
    <w:p w14:paraId="5DC66096" w14:textId="77777777" w:rsidR="00D163C7" w:rsidRPr="00A73E9C" w:rsidRDefault="00D163C7" w:rsidP="005A4EF0">
      <w:pPr>
        <w:numPr>
          <w:ilvl w:val="1"/>
          <w:numId w:val="18"/>
        </w:numPr>
        <w:spacing w:after="240"/>
      </w:pPr>
      <w:r w:rsidRPr="00A73E9C">
        <w:t>National and provincial workshops on focus areas.  Almost 600 workshops and meetings have been held to discuss the various aspects of the insurance scheme. These meetings/workshops range from parliamentary discussions on issues related to the legal and regulatory framework of the insurance scheme to sessions with groups of herders in a bagh on the basis of how the index is developed.</w:t>
      </w:r>
    </w:p>
    <w:p w14:paraId="1E7447D1" w14:textId="77777777" w:rsidR="00D163C7" w:rsidRPr="00A73E9C" w:rsidRDefault="00D163C7" w:rsidP="005A4EF0">
      <w:pPr>
        <w:numPr>
          <w:ilvl w:val="0"/>
          <w:numId w:val="18"/>
        </w:numPr>
        <w:autoSpaceDE w:val="0"/>
        <w:autoSpaceDN w:val="0"/>
        <w:adjustRightInd w:val="0"/>
        <w:spacing w:after="240"/>
        <w:ind w:left="0" w:firstLine="0"/>
      </w:pPr>
      <w:r w:rsidRPr="00A73E9C">
        <w:t>A slimmed down PPA campaign</w:t>
      </w:r>
      <w:r>
        <w:t xml:space="preserve"> was</w:t>
      </w:r>
      <w:r w:rsidRPr="00A73E9C">
        <w:t xml:space="preserve"> introduced with the fourth aimag. While face-to-face education is one of the most effective ways to explain the product to herders, it is expensive. With the additional Sukhbaatar aimag being added to the pilot in the fourth insurance cycle, a slimmed down approach was adopted with a more targeted approach to face to face education and increased emphasis on alternative, cheaper media. This new approach did not compromise the degree of awareness of the project</w:t>
      </w:r>
      <w:r>
        <w:rPr>
          <w:rStyle w:val="FootnoteReference"/>
        </w:rPr>
        <w:footnoteReference w:id="14"/>
      </w:r>
      <w:r w:rsidRPr="00A73E9C">
        <w:t>. Furthermore, and also for financial sustainability, in Sukhbaatar and subsequent new aimags, as an alternative to the full time soum coordinator for the project, who in the pilot aimags has been one of the focal points for information sharing and promotion, local government officers, in particular, deputy soum governors, soum agriculture officers and bag governors, took over the role of promoting the project at the local level.</w:t>
      </w:r>
    </w:p>
    <w:p w14:paraId="6DF3D0EC" w14:textId="2FB16614" w:rsidR="00D163C7" w:rsidRPr="00A73E9C" w:rsidRDefault="00D163C7" w:rsidP="005A4EF0">
      <w:pPr>
        <w:numPr>
          <w:ilvl w:val="0"/>
          <w:numId w:val="18"/>
        </w:numPr>
        <w:autoSpaceDE w:val="0"/>
        <w:autoSpaceDN w:val="0"/>
        <w:adjustRightInd w:val="0"/>
        <w:spacing w:after="240"/>
        <w:ind w:left="0" w:firstLine="0"/>
      </w:pPr>
      <w:r w:rsidRPr="00A73E9C">
        <w:rPr>
          <w:rFonts w:eastAsiaTheme="minorHAnsi"/>
          <w:b/>
          <w:lang w:eastAsia="en-US"/>
        </w:rPr>
        <w:t xml:space="preserve">Component 3: Institutional Capacity Building Component (US$0. 65 million or 6.7 percent of total Project cost with all contribution from Japan PHRD Grant, and the FIRST Initiative Grant). </w:t>
      </w:r>
      <w:r w:rsidRPr="00A73E9C">
        <w:t>The objective of this component was to provide support to establish the institutional framework and capacity necessary for the potential expansion of the insurance products following demonstration of the viability of the concept.  The component had three sub-components: (i) strengthening livestock data systems; (ii) developing legal and regulatory framework; and (iii) Examining options for nationwide expansion of IBLI.</w:t>
      </w:r>
    </w:p>
    <w:p w14:paraId="3DA2F02F" w14:textId="77777777" w:rsidR="00D163C7" w:rsidRPr="00A73E9C" w:rsidRDefault="00D163C7" w:rsidP="005A4EF0">
      <w:pPr>
        <w:numPr>
          <w:ilvl w:val="0"/>
          <w:numId w:val="18"/>
        </w:numPr>
        <w:autoSpaceDE w:val="0"/>
        <w:autoSpaceDN w:val="0"/>
        <w:adjustRightInd w:val="0"/>
        <w:spacing w:after="240"/>
        <w:ind w:left="0" w:firstLine="0"/>
        <w:rPr>
          <w:color w:val="000000" w:themeColor="text1"/>
        </w:rPr>
      </w:pPr>
      <w:r w:rsidRPr="00A73E9C">
        <w:rPr>
          <w:rFonts w:eastAsiaTheme="minorHAnsi"/>
          <w:i/>
          <w:lang w:eastAsia="en-US"/>
        </w:rPr>
        <w:t>Strengthening livestock data systems</w:t>
      </w:r>
      <w:r w:rsidRPr="00A73E9C">
        <w:rPr>
          <w:rFonts w:eastAsiaTheme="minorHAnsi"/>
          <w:i/>
          <w:color w:val="C0504D" w:themeColor="accent2"/>
          <w:lang w:eastAsia="en-US"/>
        </w:rPr>
        <w:t>.</w:t>
      </w:r>
      <w:r w:rsidRPr="00A73E9C">
        <w:rPr>
          <w:rFonts w:eastAsiaTheme="minorHAnsi"/>
          <w:b/>
          <w:i/>
          <w:color w:val="C0504D" w:themeColor="accent2"/>
          <w:lang w:eastAsia="en-US"/>
        </w:rPr>
        <w:t xml:space="preserve"> </w:t>
      </w:r>
      <w:r w:rsidRPr="00A73E9C">
        <w:t xml:space="preserve">This subcomponent aimed at enhancing the GoM’s agencies, including the NSO to assess and develop alternative cost-effective methods for livestock data collection. This is particularly important since the success of the IBLI scheme is completely dependent on the provision of reliable and accurate livestock mortality data.  Overall, this sub-component has been achieved successfully. First, the capacity of the NSO for conducting mid-year census has been enhanced since the methodology and the questionnaires were revised; and soum enumerators have been trained in the questionnaire usage. Second, </w:t>
      </w:r>
      <w:r w:rsidRPr="00A73E9C">
        <w:lastRenderedPageBreak/>
        <w:t>instead of using a costly census methodology for the mid-year survey of June (used to calculate livestock mortality), the NSO has successfully started using a sample survey methodology the results of which show only insignificant differences with the census</w:t>
      </w:r>
      <w:r w:rsidRPr="00A73E9C">
        <w:rPr>
          <w:color w:val="000000" w:themeColor="text1"/>
        </w:rPr>
        <w:t xml:space="preserve">.  These results are an important achievement for the NSO as sample based surveys are cheaper than census surveys. A comprehensive technical assistance program for the National Statistics’ office (NSO) with the National Agriculture Statistical Service of the </w:t>
      </w:r>
      <w:r w:rsidRPr="00A73E9C">
        <w:t>United States’ Department of Agriculture (NASS) was instrumental in achieving the objective of this sub-component.</w:t>
      </w:r>
      <w:r w:rsidRPr="00A73E9C">
        <w:rPr>
          <w:color w:val="000000" w:themeColor="text1"/>
        </w:rPr>
        <w:t xml:space="preserve"> </w:t>
      </w:r>
    </w:p>
    <w:p w14:paraId="2EE51E0E" w14:textId="43A5CD1B" w:rsidR="00D163C7" w:rsidRPr="00A73E9C" w:rsidRDefault="00D163C7" w:rsidP="005A4EF0">
      <w:pPr>
        <w:numPr>
          <w:ilvl w:val="0"/>
          <w:numId w:val="18"/>
        </w:numPr>
        <w:autoSpaceDE w:val="0"/>
        <w:autoSpaceDN w:val="0"/>
        <w:adjustRightInd w:val="0"/>
        <w:spacing w:after="240"/>
        <w:ind w:left="0" w:firstLine="0"/>
      </w:pPr>
      <w:r w:rsidRPr="00A73E9C">
        <w:rPr>
          <w:rFonts w:eastAsiaTheme="minorHAnsi"/>
          <w:i/>
          <w:lang w:eastAsia="en-US"/>
        </w:rPr>
        <w:t>Developing legal and regulatory framework</w:t>
      </w:r>
      <w:r w:rsidRPr="00A73E9C">
        <w:rPr>
          <w:rFonts w:eastAsiaTheme="minorHAnsi"/>
          <w:b/>
          <w:i/>
          <w:color w:val="C0504D" w:themeColor="accent2"/>
          <w:lang w:eastAsia="en-US"/>
        </w:rPr>
        <w:t xml:space="preserve">. </w:t>
      </w:r>
      <w:r w:rsidRPr="00A73E9C">
        <w:t>This subcomponent aimed at developing the necessary legal and institutional framework for the sustainability and prospective scale-up of the pilot IBLI Program on a nation-wide scale. The subcomponent also aimed at enhancing the capacity of the Government of Mongolia’s related supervisory agencies (financial Regulatory Committee (to be established) and/or the insurance Supervisory Agency</w:t>
      </w:r>
      <w:r w:rsidR="005A4EF0">
        <w:t>)</w:t>
      </w:r>
      <w:r w:rsidRPr="00A73E9C">
        <w:t xml:space="preserve">. </w:t>
      </w:r>
    </w:p>
    <w:p w14:paraId="26BED6E7" w14:textId="69696803" w:rsidR="00D163C7" w:rsidRPr="00A73E9C" w:rsidRDefault="00D163C7" w:rsidP="005A4EF0">
      <w:pPr>
        <w:numPr>
          <w:ilvl w:val="0"/>
          <w:numId w:val="18"/>
        </w:numPr>
        <w:autoSpaceDE w:val="0"/>
        <w:autoSpaceDN w:val="0"/>
        <w:adjustRightInd w:val="0"/>
        <w:spacing w:after="240"/>
        <w:ind w:left="0" w:firstLine="0"/>
      </w:pPr>
      <w:r w:rsidRPr="00A73E9C">
        <w:rPr>
          <w:sz w:val="22"/>
          <w:szCs w:val="22"/>
        </w:rPr>
        <w:t xml:space="preserve"> </w:t>
      </w:r>
      <w:r w:rsidRPr="00A73E9C">
        <w:t>The main intermediate result, drafting IBLI regulation, has not been achieved by the end of the pilot because a Legal Working Group (established by the Government in the Spring of 2008, and including representatives of Ministry of Finance, Ministry of Justice and Internal Affairs, Ministry of Food, Agriculture, and Light Industry, insurance companies, scientists and researchers</w:t>
      </w:r>
      <w:r w:rsidR="005A4EF0">
        <w:t>)</w:t>
      </w:r>
      <w:r w:rsidRPr="00A73E9C">
        <w:t xml:space="preserve">, decided that the IBLI framework should be regulated by a new and independent Law. This is because unlike traditional insurance, in which payments are made based on individual losses, IBLI’s payments are made based on a soum mortality index. </w:t>
      </w:r>
    </w:p>
    <w:p w14:paraId="02473144" w14:textId="77777777" w:rsidR="00D163C7" w:rsidRPr="00A73E9C" w:rsidRDefault="00D163C7" w:rsidP="005A4EF0">
      <w:pPr>
        <w:numPr>
          <w:ilvl w:val="0"/>
          <w:numId w:val="18"/>
        </w:numPr>
        <w:autoSpaceDE w:val="0"/>
        <w:autoSpaceDN w:val="0"/>
        <w:adjustRightInd w:val="0"/>
        <w:spacing w:after="240"/>
        <w:ind w:left="0" w:firstLine="0"/>
      </w:pPr>
      <w:r w:rsidRPr="00A73E9C">
        <w:t>To elaborate the new IBLI Law, a new Legal Working Group (the IBLI Working Group) was established in accordance with the Minister of Finance’s order dated June 2nd 2010. Its members have been drawn from MOF, MOFALI, MOJHA, FRC and participating insurance companies and included professors and researchers. It was chaired by the Vice-Minister of Finance. It was agreed to frame the new legislation in such a way to enable gradual scale-up of IBLI, and to be consistent with the project’s approach and objectives.</w:t>
      </w:r>
    </w:p>
    <w:p w14:paraId="0039ACEA" w14:textId="77777777" w:rsidR="00D163C7" w:rsidRPr="00A73E9C" w:rsidRDefault="00D163C7" w:rsidP="005A4EF0">
      <w:pPr>
        <w:numPr>
          <w:ilvl w:val="0"/>
          <w:numId w:val="18"/>
        </w:numPr>
        <w:autoSpaceDE w:val="0"/>
        <w:autoSpaceDN w:val="0"/>
        <w:adjustRightInd w:val="0"/>
        <w:spacing w:after="240"/>
        <w:ind w:left="0" w:firstLine="0"/>
      </w:pPr>
      <w:r w:rsidRPr="00A73E9C">
        <w:rPr>
          <w:rFonts w:eastAsiaTheme="minorHAnsi"/>
          <w:i/>
          <w:lang w:eastAsia="en-US"/>
        </w:rPr>
        <w:t>Examining options for nationwide expansion of IBLI.</w:t>
      </w:r>
      <w:r w:rsidRPr="00A73E9C">
        <w:rPr>
          <w:rFonts w:eastAsiaTheme="minorHAnsi"/>
          <w:b/>
          <w:i/>
          <w:color w:val="C0504D" w:themeColor="accent2"/>
          <w:lang w:eastAsia="en-US"/>
        </w:rPr>
        <w:t xml:space="preserve"> </w:t>
      </w:r>
      <w:r w:rsidRPr="00A73E9C">
        <w:t>The objective of this subcomponent was to create a plan for the expansion of IBLI and to assess the fiscal and economic implications of a national program. The objective of this subcomponent was successfully achieved since the outcome of this activity allowed the project to be scale-up nationwide.</w:t>
      </w:r>
    </w:p>
    <w:p w14:paraId="3FAB2AC2" w14:textId="77777777" w:rsidR="00D163C7" w:rsidRPr="00A73E9C" w:rsidRDefault="00D163C7" w:rsidP="005A4EF0">
      <w:pPr>
        <w:numPr>
          <w:ilvl w:val="0"/>
          <w:numId w:val="18"/>
        </w:numPr>
        <w:autoSpaceDE w:val="0"/>
        <w:autoSpaceDN w:val="0"/>
        <w:adjustRightInd w:val="0"/>
        <w:spacing w:after="240"/>
        <w:ind w:left="0" w:firstLine="0"/>
      </w:pPr>
      <w:r w:rsidRPr="00A73E9C">
        <w:t xml:space="preserve">A part of this subcomponent, the project worked closely with other key project counterparts such as the Financial Regulatory Commission, the Ministry of Justice, the Ministry of Finance, the Ministry of Agriculture and members of parliament to assess what type of support would be required to develop the agricultural insurance industry. The following was achieved: </w:t>
      </w:r>
    </w:p>
    <w:p w14:paraId="24942339" w14:textId="77777777" w:rsidR="00D163C7" w:rsidRPr="00A73E9C" w:rsidRDefault="00D163C7" w:rsidP="005A4EF0">
      <w:pPr>
        <w:numPr>
          <w:ilvl w:val="1"/>
          <w:numId w:val="18"/>
        </w:numPr>
        <w:spacing w:after="240"/>
        <w:rPr>
          <w:rFonts w:eastAsiaTheme="minorHAnsi"/>
          <w:lang w:eastAsia="en-US"/>
        </w:rPr>
      </w:pPr>
      <w:r w:rsidRPr="00A73E9C">
        <w:rPr>
          <w:rFonts w:eastAsiaTheme="minorHAnsi"/>
          <w:lang w:eastAsia="en-US"/>
        </w:rPr>
        <w:t>A study on the economic, financial, fiscal and social consequences of expanding the index-based livestock insurance program nationwide was realized. This study expanded the portfolio risk assessment software to all aimags in Mongolia, including the development of boundary maps of Mongolia at the sum level so as to carry out a thorough risk assessment of livestock mortality (</w:t>
      </w:r>
      <w:r w:rsidRPr="00A73E9C">
        <w:rPr>
          <w:rFonts w:eastAsiaTheme="minorHAnsi"/>
          <w:i/>
          <w:lang w:eastAsia="en-US"/>
        </w:rPr>
        <w:t>check if this took place</w:t>
      </w:r>
      <w:r w:rsidRPr="00A73E9C">
        <w:rPr>
          <w:rFonts w:eastAsiaTheme="minorHAnsi"/>
          <w:lang w:eastAsia="en-US"/>
        </w:rPr>
        <w:t>)</w:t>
      </w:r>
    </w:p>
    <w:p w14:paraId="6218079D" w14:textId="77777777" w:rsidR="00D163C7" w:rsidRPr="00A73E9C" w:rsidRDefault="00D163C7" w:rsidP="005A4EF0">
      <w:pPr>
        <w:numPr>
          <w:ilvl w:val="1"/>
          <w:numId w:val="18"/>
        </w:numPr>
        <w:spacing w:after="240"/>
        <w:rPr>
          <w:rFonts w:eastAsiaTheme="minorHAnsi"/>
          <w:lang w:eastAsia="en-US"/>
        </w:rPr>
      </w:pPr>
      <w:r w:rsidRPr="00A73E9C">
        <w:rPr>
          <w:rFonts w:eastAsiaTheme="minorHAnsi"/>
          <w:lang w:eastAsia="en-US"/>
        </w:rPr>
        <w:lastRenderedPageBreak/>
        <w:t xml:space="preserve">Technical assistance started being provided for various feasibility studies to assess options/issues for nationwide scale-up. </w:t>
      </w:r>
    </w:p>
    <w:p w14:paraId="4EE8FDEE" w14:textId="77777777" w:rsidR="00D163C7" w:rsidRPr="00A73E9C" w:rsidRDefault="00D163C7" w:rsidP="005A4EF0">
      <w:pPr>
        <w:numPr>
          <w:ilvl w:val="1"/>
          <w:numId w:val="18"/>
        </w:numPr>
        <w:spacing w:after="240"/>
        <w:rPr>
          <w:rFonts w:eastAsiaTheme="minorHAnsi"/>
          <w:lang w:eastAsia="en-US"/>
        </w:rPr>
      </w:pPr>
      <w:r w:rsidRPr="00A73E9C">
        <w:rPr>
          <w:rFonts w:eastAsiaTheme="minorHAnsi"/>
          <w:lang w:eastAsia="en-US"/>
        </w:rPr>
        <w:t>Another aimag was added to the pilot to enhance the learning potential from the pilot</w:t>
      </w:r>
    </w:p>
    <w:p w14:paraId="5B6282E1" w14:textId="77777777" w:rsidR="00D163C7" w:rsidRPr="00A73E9C" w:rsidRDefault="00D163C7" w:rsidP="005A4EF0">
      <w:pPr>
        <w:numPr>
          <w:ilvl w:val="1"/>
          <w:numId w:val="18"/>
        </w:numPr>
        <w:spacing w:after="240"/>
        <w:rPr>
          <w:rFonts w:eastAsiaTheme="minorHAnsi"/>
          <w:lang w:eastAsia="en-US"/>
        </w:rPr>
      </w:pPr>
      <w:r w:rsidRPr="00A73E9C">
        <w:rPr>
          <w:rFonts w:eastAsiaTheme="minorHAnsi"/>
          <w:lang w:eastAsia="en-US"/>
        </w:rPr>
        <w:t xml:space="preserve">Enough interest was generated among insurance companies in the global reinsurance market. This was achieved thanks to a study tour to Europe that was organized by the PIU, where a delegation (including representatives from all four participating reinsurance companies, the Financial Regulation Commission, National Statistics Office and PIU) met with five reinsurance firms. </w:t>
      </w:r>
    </w:p>
    <w:p w14:paraId="6D43CF65" w14:textId="77777777" w:rsidR="00D163C7" w:rsidRPr="00A73E9C" w:rsidRDefault="00D163C7" w:rsidP="005A4EF0">
      <w:pPr>
        <w:numPr>
          <w:ilvl w:val="1"/>
          <w:numId w:val="18"/>
        </w:numPr>
        <w:spacing w:after="240"/>
        <w:rPr>
          <w:rFonts w:eastAsiaTheme="minorHAnsi"/>
          <w:lang w:eastAsia="en-US"/>
        </w:rPr>
      </w:pPr>
      <w:r w:rsidRPr="00A73E9C">
        <w:rPr>
          <w:rFonts w:eastAsiaTheme="minorHAnsi"/>
          <w:lang w:eastAsia="en-US"/>
        </w:rPr>
        <w:t xml:space="preserve">Support to the development of an appropriate legal and regulatory framework was secured. </w:t>
      </w:r>
    </w:p>
    <w:p w14:paraId="5D7857D7" w14:textId="77777777" w:rsidR="00D163C7" w:rsidRPr="00A73E9C" w:rsidRDefault="00D163C7" w:rsidP="00D163C7">
      <w:pPr>
        <w:autoSpaceDE w:val="0"/>
        <w:autoSpaceDN w:val="0"/>
        <w:adjustRightInd w:val="0"/>
        <w:ind w:left="720"/>
        <w:contextualSpacing/>
        <w:rPr>
          <w:rFonts w:eastAsiaTheme="minorHAnsi"/>
          <w:sz w:val="22"/>
          <w:szCs w:val="22"/>
          <w:lang w:eastAsia="en-US"/>
        </w:rPr>
      </w:pPr>
    </w:p>
    <w:p w14:paraId="6CCEC093"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b/>
          <w:lang w:eastAsia="en-US"/>
        </w:rPr>
        <w:t>Component 4: Monitoring and Evaluation (M&amp;E) Component (US$0.27 million, or 2.8 percent of total Project cost with IDA contribution of US$ 0.20).</w:t>
      </w:r>
      <w:r w:rsidRPr="00A73E9C">
        <w:rPr>
          <w:rFonts w:eastAsiaTheme="minorHAnsi"/>
          <w:lang w:eastAsia="en-US"/>
        </w:rPr>
        <w:t xml:space="preserve"> This component sought to track access by different social groups, to monitor responses to the newly introduced IBLI product, and to determine if and how herders modify their behavior. Key elements of this component were: (i) the baseline survey; (ii) the annual field based monitoring, (iii) the impact assessment, (iv) post-event monitoring framework, and (v) M&amp;E training and capacity building.  The objectives of this component as measured in the results framework were met:  the targeted number of annual monitoring reports, impact assessments, and post-event indemnity response report were met; the number of herders interviews conducted met the target, and the number of dissemination workshops were met (check). </w:t>
      </w:r>
    </w:p>
    <w:p w14:paraId="52BEAFB4"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lang w:eastAsia="en-US"/>
        </w:rPr>
        <w:t xml:space="preserve">More importantly, the findings of these reports were used to inform changes in the design of the IBLI product.  For example, thanks to the monitoring activities of the 2008 sales season, it was decided that the one on one education method to raise awareness among herders was costly and potentially unsustainable. In addition, the M&amp;E revealed that herders were not sensitive to price, and that stipulating the administrative charge on the sales sheet caused confusion among herders. </w:t>
      </w:r>
    </w:p>
    <w:p w14:paraId="7867603B"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lang w:eastAsia="en-US"/>
        </w:rPr>
        <w:t xml:space="preserve"> The baseline survey</w:t>
      </w:r>
      <w:r w:rsidRPr="00A73E9C">
        <w:rPr>
          <w:rFonts w:eastAsiaTheme="minorHAnsi"/>
          <w:b/>
          <w:lang w:eastAsia="en-US"/>
        </w:rPr>
        <w:t xml:space="preserve">. </w:t>
      </w:r>
      <w:r w:rsidRPr="00A73E9C">
        <w:rPr>
          <w:rFonts w:eastAsiaTheme="minorHAnsi"/>
          <w:lang w:eastAsia="en-US"/>
        </w:rPr>
        <w:t xml:space="preserve">The baseline survey took place soon after the project became effective in 2005. It was carried out in the three pilot aimags and also in three non-pilot aimags and covered a total of 24 soums. </w:t>
      </w:r>
    </w:p>
    <w:p w14:paraId="30E3C174" w14:textId="77777777"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lang w:eastAsia="en-US"/>
        </w:rPr>
        <w:t xml:space="preserve"> The annual field based monitoring (AFBM). An AFBM report was produced yearly throughout the lifetime of the pilot. The reports provided valuable information of the project on the field that allowed refining the IBLI product and its delivery mechanisms. In fact, it improved the understanding of the determinants of herder’s uptake of IBLI by documenting their views on the pilot, and their understanding, knowledge and attitude towards the insurance contract. They also documented IBLI sales, and attitudes of insurance companies and their agents, attitudes and participation of government officials in the project activities, and the involvement of banks and non-banking financial organizations. They also documented the efficiency of the indemnity payment distribution, and more general perceptions of insurance. More importantly, they contained useful information on the PPA approaches, and were very valuable in assessing the </w:t>
      </w:r>
      <w:r w:rsidRPr="00A73E9C">
        <w:rPr>
          <w:rFonts w:eastAsiaTheme="minorHAnsi"/>
          <w:lang w:eastAsia="en-US"/>
        </w:rPr>
        <w:lastRenderedPageBreak/>
        <w:t xml:space="preserve">different PPA approaches that were used.  No delays were observed in this activity during the pilot, except the AFBM report of the fourth cycle as the financing was coming from the Korean Grant which only became effective in August 2010.  </w:t>
      </w:r>
    </w:p>
    <w:p w14:paraId="2C814919" w14:textId="179DEBB4"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b/>
          <w:lang w:eastAsia="en-US"/>
        </w:rPr>
        <w:t xml:space="preserve"> </w:t>
      </w:r>
      <w:r w:rsidR="005A4EF0">
        <w:rPr>
          <w:rFonts w:eastAsiaTheme="minorHAnsi"/>
          <w:lang w:eastAsia="en-US"/>
        </w:rPr>
        <w:t>T</w:t>
      </w:r>
      <w:r w:rsidRPr="00A73E9C">
        <w:rPr>
          <w:rFonts w:eastAsiaTheme="minorHAnsi"/>
          <w:lang w:eastAsia="en-US"/>
        </w:rPr>
        <w:t>he impact assessment. The first impact assessment was conducted jointly with the AFBM in 2007. In 2010, it was agreed that the project would make a rigorous impact assessment after three insurance cycles have been completed, based on a methodology developed by an international consultant. It was also agreed to engage local consultants to work with international team to develop the detailed survey instrument and to carry the data collection, analysis and presentation. However, the PIU faced delays in selecting a consultancy to carry out this task. At first, funding was not available from the Swiss TF as the closing date has elapsed and required restructuring. When this problem was addressed, qualified consultants within the budget allocated to this task were not available. The ToRs for this task were cleared only during the scale-up phase of the project.</w:t>
      </w:r>
    </w:p>
    <w:p w14:paraId="76DE0245" w14:textId="52B31449" w:rsidR="00D163C7" w:rsidRPr="00A73E9C" w:rsidRDefault="005A4EF0" w:rsidP="005A4EF0">
      <w:pPr>
        <w:numPr>
          <w:ilvl w:val="0"/>
          <w:numId w:val="18"/>
        </w:numPr>
        <w:autoSpaceDE w:val="0"/>
        <w:autoSpaceDN w:val="0"/>
        <w:adjustRightInd w:val="0"/>
        <w:spacing w:after="240"/>
        <w:ind w:left="0" w:firstLine="0"/>
        <w:rPr>
          <w:rFonts w:eastAsiaTheme="minorHAnsi"/>
          <w:lang w:eastAsia="en-US"/>
        </w:rPr>
      </w:pPr>
      <w:r>
        <w:rPr>
          <w:rFonts w:eastAsiaTheme="minorHAnsi"/>
          <w:lang w:eastAsia="en-US"/>
        </w:rPr>
        <w:t xml:space="preserve"> P</w:t>
      </w:r>
      <w:r w:rsidR="00D163C7" w:rsidRPr="00A73E9C">
        <w:rPr>
          <w:rFonts w:eastAsiaTheme="minorHAnsi"/>
          <w:lang w:eastAsia="en-US"/>
        </w:rPr>
        <w:t>ost-event monitoring framework. This framework is initiated only if a significant event and payout occurs, as detailed in the M&amp;E manual. It aimed at tracking and evaluating logistical aspects (such as timing, delivery and receipt of payments) as well as monitoring and evaluating recipient’s responses (such as their degree of satisfaction with the process/timing, use of funds, influence on future insurance purchases, etc.)</w:t>
      </w:r>
    </w:p>
    <w:p w14:paraId="3E0A0821" w14:textId="3B1E134E" w:rsidR="00D163C7" w:rsidRPr="00A73E9C" w:rsidRDefault="00D163C7" w:rsidP="005A4EF0">
      <w:pPr>
        <w:numPr>
          <w:ilvl w:val="0"/>
          <w:numId w:val="18"/>
        </w:numPr>
        <w:autoSpaceDE w:val="0"/>
        <w:autoSpaceDN w:val="0"/>
        <w:adjustRightInd w:val="0"/>
        <w:spacing w:after="240"/>
        <w:ind w:left="0" w:firstLine="0"/>
        <w:rPr>
          <w:rFonts w:eastAsiaTheme="minorHAnsi"/>
          <w:lang w:eastAsia="en-US"/>
        </w:rPr>
      </w:pPr>
      <w:r w:rsidRPr="00A73E9C">
        <w:rPr>
          <w:rFonts w:eastAsiaTheme="minorHAnsi"/>
          <w:lang w:eastAsia="en-US"/>
        </w:rPr>
        <w:t xml:space="preserve">M&amp;E training and capacity building. Training was provided to XX  aimag and soum staff on M&amp;E methods and specific processes and approaches for the IBLIP M&amp;E by the PIU and an international M&amp;E consultant. Additional training was also provided to the PIU and the AFBM consultant on participatory methods such as community scorecard, citizen report card, and soft systems analysis..  In addition, an international consultant team provided capacity building to the PIU and helped it design an M&amp;E Manual that was translated into Mongolian and disseminated in all soum secretaries and aimag coordinators. </w:t>
      </w:r>
    </w:p>
    <w:p w14:paraId="21E6A598" w14:textId="77777777" w:rsidR="00D163C7" w:rsidRDefault="00D163C7" w:rsidP="00D163C7">
      <w:pPr>
        <w:rPr>
          <w:iCs/>
        </w:rPr>
      </w:pPr>
    </w:p>
    <w:p w14:paraId="286B7643" w14:textId="77777777" w:rsidR="00D163C7" w:rsidRDefault="00D163C7" w:rsidP="00D163C7"/>
    <w:p w14:paraId="73A01013" w14:textId="5E95994B" w:rsidR="005A4EF0" w:rsidRDefault="00D163C7" w:rsidP="00D163C7">
      <w:pPr>
        <w:rPr>
          <w:b/>
        </w:rPr>
      </w:pPr>
      <w:r w:rsidRPr="00E46901">
        <w:rPr>
          <w:b/>
        </w:rPr>
        <w:t>Restructured credit No.: IDA4096-MG; IDA468</w:t>
      </w:r>
      <w:r>
        <w:rPr>
          <w:b/>
        </w:rPr>
        <w:t>0</w:t>
      </w:r>
      <w:r w:rsidRPr="00E46901">
        <w:rPr>
          <w:b/>
        </w:rPr>
        <w:t xml:space="preserve">-MN, TF094002-MN, TF094827; Project IP: P088816 </w:t>
      </w:r>
    </w:p>
    <w:p w14:paraId="2C26BDC5" w14:textId="77777777" w:rsidR="005A4EF0" w:rsidRPr="00E46901" w:rsidRDefault="005A4EF0" w:rsidP="00D163C7">
      <w:pPr>
        <w:rPr>
          <w:b/>
        </w:rPr>
      </w:pPr>
    </w:p>
    <w:p w14:paraId="7144D836" w14:textId="77777777" w:rsidR="00D163C7" w:rsidRPr="00E46901" w:rsidRDefault="00D163C7" w:rsidP="005A4EF0">
      <w:pPr>
        <w:numPr>
          <w:ilvl w:val="0"/>
          <w:numId w:val="18"/>
        </w:numPr>
        <w:autoSpaceDE w:val="0"/>
        <w:autoSpaceDN w:val="0"/>
        <w:adjustRightInd w:val="0"/>
        <w:spacing w:after="240"/>
        <w:ind w:left="0" w:firstLine="0"/>
      </w:pPr>
      <w:r w:rsidRPr="00E46901">
        <w:t>With the additional financing to scale up the project from 4 provinces (aimags) up to an additional 17,  the component titles of the original credit did not change, but there were minor modifications to reflect : (i) Simplification of design and discontinuation of DRP, (ii) enhancement of likely sustainability through scaling back or redesigning support activities; and (iii) greater emphasis on institutional capacity and institutional and legal frameworks for sustainability, reflecting the shift from piloting to scale-up. The components, their modifications and their output are as follows:</w:t>
      </w:r>
    </w:p>
    <w:p w14:paraId="792792AA" w14:textId="77777777" w:rsidR="00D163C7" w:rsidRPr="00B14B82" w:rsidRDefault="00D163C7" w:rsidP="005A4EF0">
      <w:pPr>
        <w:numPr>
          <w:ilvl w:val="0"/>
          <w:numId w:val="18"/>
        </w:numPr>
        <w:autoSpaceDE w:val="0"/>
        <w:autoSpaceDN w:val="0"/>
        <w:adjustRightInd w:val="0"/>
        <w:spacing w:after="240"/>
        <w:ind w:left="0" w:firstLine="0"/>
        <w:rPr>
          <w:i/>
        </w:rPr>
      </w:pPr>
      <w:r w:rsidRPr="00E46901">
        <w:rPr>
          <w:rFonts w:eastAsiaTheme="minorHAnsi"/>
          <w:b/>
          <w:lang w:eastAsia="en-US"/>
        </w:rPr>
        <w:t>Component 1: Index-Based Livestock Insurance Programs</w:t>
      </w:r>
      <w:r w:rsidRPr="00E46901">
        <w:rPr>
          <w:b/>
        </w:rPr>
        <w:t xml:space="preserve"> (US$11.348 million, including US$11.348 CDF)</w:t>
      </w:r>
      <w:r w:rsidRPr="00E46901">
        <w:rPr>
          <w:rFonts w:eastAsiaTheme="minorHAnsi"/>
          <w:b/>
          <w:lang w:eastAsia="en-US"/>
        </w:rPr>
        <w:t>.</w:t>
      </w:r>
      <w:r w:rsidRPr="00E46901">
        <w:t xml:space="preserve">This component remained the core component of the project. In addition to the five activities of the original component 1 under the pilot, the following substantial changes were made: (1) separating the commercial insurance from the DRP; (2) introducing the Government Catastrophic Coverage; (iii) scaling-up the project from 4 aimags to </w:t>
      </w:r>
      <w:r w:rsidRPr="00E46901">
        <w:lastRenderedPageBreak/>
        <w:t xml:space="preserve">a national coverage (5 aimags in 2010, and 6 in 2011, and 6 in 2012); </w:t>
      </w:r>
      <w:r>
        <w:t xml:space="preserve">and </w:t>
      </w:r>
      <w:r w:rsidRPr="00E46901">
        <w:t xml:space="preserve">(iv) introducing sample based data surveys instead of annual-midyear censuses as the basis for livestock mortality calculation to reduce data collection costs and increase the accuracy of the mortality estimates.  The main objective of this component was to ensure that Index based livestock insurance is scaled-up. </w:t>
      </w:r>
    </w:p>
    <w:p w14:paraId="7E32781E" w14:textId="77777777" w:rsidR="00D163C7" w:rsidRDefault="00D163C7" w:rsidP="005A4EF0">
      <w:pPr>
        <w:numPr>
          <w:ilvl w:val="0"/>
          <w:numId w:val="18"/>
        </w:numPr>
        <w:autoSpaceDE w:val="0"/>
        <w:autoSpaceDN w:val="0"/>
        <w:adjustRightInd w:val="0"/>
        <w:spacing w:after="240"/>
        <w:ind w:left="0" w:firstLine="0"/>
      </w:pPr>
      <w:r>
        <w:t xml:space="preserve">This component has overachieved its objective. First, </w:t>
      </w:r>
      <w:r w:rsidRPr="00B14B82">
        <w:t xml:space="preserve">7 private insurance companies </w:t>
      </w:r>
      <w:r>
        <w:t xml:space="preserve">were participating in the project by the tenth insurance cycle, offering an insurance contract to almost 10,000 herders in all 21 aimags. </w:t>
      </w:r>
      <w:r w:rsidRPr="00273C6A">
        <w:t>In the first sales season in 2006, three insurance companies executed the sale of livestock insurance products. The number of participating insurance companies has gradually increased with the addition of Bodi insurance in 2007, Monre insurance in 2012, and Normin insurance and Practical insurance in 2013</w:t>
      </w:r>
      <w:r>
        <w:t>.</w:t>
      </w:r>
      <w:r w:rsidRPr="00ED3822">
        <w:rPr>
          <w:iCs/>
        </w:rPr>
        <w:t xml:space="preserve"> In addition, </w:t>
      </w:r>
      <w:r>
        <w:rPr>
          <w:iCs/>
        </w:rPr>
        <w:t>as of 2015, there were 3</w:t>
      </w:r>
      <w:r w:rsidRPr="00ED3822">
        <w:rPr>
          <w:iCs/>
        </w:rPr>
        <w:t>,</w:t>
      </w:r>
      <w:r>
        <w:rPr>
          <w:iCs/>
        </w:rPr>
        <w:t>8</w:t>
      </w:r>
      <w:r w:rsidRPr="00ED3822">
        <w:rPr>
          <w:iCs/>
        </w:rPr>
        <w:t xml:space="preserve">00 insurance agents </w:t>
      </w:r>
      <w:r>
        <w:rPr>
          <w:iCs/>
        </w:rPr>
        <w:t xml:space="preserve">(with overlap) </w:t>
      </w:r>
      <w:r w:rsidRPr="00ED3822">
        <w:rPr>
          <w:iCs/>
        </w:rPr>
        <w:t>selling IBLI</w:t>
      </w:r>
      <w:r>
        <w:rPr>
          <w:iCs/>
        </w:rPr>
        <w:t xml:space="preserve"> policies on a part-time basis</w:t>
      </w:r>
      <w:r w:rsidRPr="00ED3822">
        <w:rPr>
          <w:iCs/>
        </w:rPr>
        <w:t xml:space="preserve">. The commitment of the insurance companies to the IBLI program is demonstrated through their decisions to stay in the program despite registering losses after the 2010 Dzud. </w:t>
      </w:r>
      <w:r>
        <w:t xml:space="preserve">This result is surprising given the </w:t>
      </w:r>
      <w:r w:rsidRPr="00B14B82">
        <w:t xml:space="preserve">relatively good climate observed during the past 3 </w:t>
      </w:r>
      <w:r>
        <w:t xml:space="preserve">insurance cycles, and the </w:t>
      </w:r>
      <w:r w:rsidRPr="00B14B82">
        <w:t>decrease</w:t>
      </w:r>
      <w:r>
        <w:t xml:space="preserve">d intensity of </w:t>
      </w:r>
      <w:r w:rsidRPr="00B14B82">
        <w:t>public awareness</w:t>
      </w:r>
      <w:r>
        <w:t xml:space="preserve"> activities </w:t>
      </w:r>
      <w:r w:rsidRPr="00B14B82">
        <w:t>due to th</w:t>
      </w:r>
      <w:r>
        <w:t xml:space="preserve">e approaching project closure. </w:t>
      </w:r>
    </w:p>
    <w:p w14:paraId="71371A8B" w14:textId="77777777" w:rsidR="00D163C7" w:rsidRPr="00CE7B78" w:rsidRDefault="00D163C7" w:rsidP="005A4EF0">
      <w:pPr>
        <w:numPr>
          <w:ilvl w:val="0"/>
          <w:numId w:val="18"/>
        </w:numPr>
        <w:autoSpaceDE w:val="0"/>
        <w:autoSpaceDN w:val="0"/>
        <w:adjustRightInd w:val="0"/>
        <w:spacing w:after="240"/>
        <w:ind w:left="0" w:firstLine="0"/>
      </w:pPr>
      <w:r>
        <w:t>Second, i</w:t>
      </w:r>
      <w:r w:rsidRPr="00CE7B78">
        <w:t xml:space="preserve">nternational reinsurance </w:t>
      </w:r>
      <w:r>
        <w:t xml:space="preserve">was </w:t>
      </w:r>
      <w:r w:rsidRPr="00CE7B78">
        <w:t>successfully secured for IBLI.  In 2010, the first reinsurance contract was executed between the PIU and SCOR</w:t>
      </w:r>
      <w:r>
        <w:t>, an independent global reinsurance company,</w:t>
      </w:r>
      <w:r w:rsidRPr="00CE7B78">
        <w:t xml:space="preserve"> to cover part of the risk borne collectively by the insurance companies. This coverage with SCOR has been further expanded in 2011 and 2012 with QatarRe joining the program in 2013. Since 2013, further transfer of risk to the international reinsurance markets was achieved through contracting with SwissRe and Lloyds Syndicates. </w:t>
      </w:r>
    </w:p>
    <w:p w14:paraId="7533C933" w14:textId="77777777" w:rsidR="00D163C7" w:rsidRPr="00E46901" w:rsidRDefault="00D163C7" w:rsidP="005A4EF0">
      <w:pPr>
        <w:numPr>
          <w:ilvl w:val="0"/>
          <w:numId w:val="18"/>
        </w:numPr>
        <w:autoSpaceDE w:val="0"/>
        <w:autoSpaceDN w:val="0"/>
        <w:adjustRightInd w:val="0"/>
        <w:spacing w:after="240"/>
        <w:ind w:left="0" w:firstLine="0"/>
      </w:pPr>
      <w:r w:rsidRPr="00E46901">
        <w:rPr>
          <w:rFonts w:eastAsiaTheme="minorHAnsi"/>
          <w:b/>
          <w:lang w:eastAsia="en-US"/>
        </w:rPr>
        <w:t>Component 2: Promotion and Public Awareness Component (US$0. 962 million).</w:t>
      </w:r>
      <w:r w:rsidRPr="00E46901">
        <w:rPr>
          <w:rFonts w:eastAsiaTheme="minorHAnsi"/>
          <w:lang w:eastAsia="en-US"/>
        </w:rPr>
        <w:t xml:space="preserve"> </w:t>
      </w:r>
      <w:r w:rsidRPr="00E46901">
        <w:t xml:space="preserve">This component continued to raise awareness among the same stakeholders and using the same methods as during the pilot. This component was successful in raising the awareness levels of the herders.  In fact, by the end of the project, 85.3% of herders in selected areas were aware of the product compared to the target of 80%. In addition, 56% of the herders in the pilot areas received information from the project, compared to the target of 50%. </w:t>
      </w:r>
    </w:p>
    <w:p w14:paraId="5EBAB232" w14:textId="77777777" w:rsidR="00D163C7" w:rsidRPr="00E46901" w:rsidRDefault="00D163C7" w:rsidP="005A4EF0">
      <w:pPr>
        <w:numPr>
          <w:ilvl w:val="0"/>
          <w:numId w:val="18"/>
        </w:numPr>
        <w:autoSpaceDE w:val="0"/>
        <w:autoSpaceDN w:val="0"/>
        <w:adjustRightInd w:val="0"/>
        <w:spacing w:after="240"/>
        <w:ind w:left="0" w:firstLine="0"/>
      </w:pPr>
      <w:r w:rsidRPr="00E46901">
        <w:t xml:space="preserve">The success of this component was thanks to the continuous effort put by the project to develop and use both innovative (for example, a risk management board game was used in the Northern aimags) and traditional approaches to disseminate information and educate on insurance.  To sustain the financial viability of the scheme, face-to-face education, despite being the most effective education tool, was scaled back since it is costly.   </w:t>
      </w:r>
      <w:r>
        <w:t xml:space="preserve">Subsequently, </w:t>
      </w:r>
      <w:r w:rsidRPr="00E46901">
        <w:t xml:space="preserve">a new approach focusing on training of trainers were used to reduced cost. The restructuring of the project in 2012 allowed the reallocation of funds to the training expenditure category. </w:t>
      </w:r>
    </w:p>
    <w:p w14:paraId="3B530DFE" w14:textId="77777777" w:rsidR="00D163C7" w:rsidRPr="00E46901" w:rsidRDefault="00D163C7" w:rsidP="005A4EF0">
      <w:pPr>
        <w:numPr>
          <w:ilvl w:val="0"/>
          <w:numId w:val="18"/>
        </w:numPr>
        <w:autoSpaceDE w:val="0"/>
        <w:autoSpaceDN w:val="0"/>
        <w:adjustRightInd w:val="0"/>
        <w:spacing w:after="240"/>
        <w:ind w:left="0" w:firstLine="0"/>
      </w:pPr>
      <w:r w:rsidRPr="00E46901">
        <w:t>Furthermore, to make information dissemination and education effective, the activity was decentralized to the aimags. The aimag coordinators was tasked to prepare a program to reach herders and was responsible for implementation but service providers were still paid from headquarters (check when this was done).</w:t>
      </w:r>
    </w:p>
    <w:p w14:paraId="7C4C9D57" w14:textId="77777777" w:rsidR="00D163C7" w:rsidRPr="00E46901" w:rsidRDefault="00D163C7" w:rsidP="005A4EF0">
      <w:pPr>
        <w:numPr>
          <w:ilvl w:val="0"/>
          <w:numId w:val="18"/>
        </w:numPr>
        <w:autoSpaceDE w:val="0"/>
        <w:autoSpaceDN w:val="0"/>
        <w:adjustRightInd w:val="0"/>
        <w:spacing w:after="240"/>
        <w:ind w:left="0" w:firstLine="0"/>
      </w:pPr>
      <w:r w:rsidRPr="00E46901">
        <w:rPr>
          <w:rFonts w:eastAsiaTheme="minorHAnsi"/>
          <w:b/>
          <w:lang w:eastAsia="en-US"/>
        </w:rPr>
        <w:t>Component 3: Institutional Capacity Building Component (</w:t>
      </w:r>
      <w:r w:rsidRPr="00E46901">
        <w:rPr>
          <w:b/>
        </w:rPr>
        <w:t>US$0. 675 million</w:t>
      </w:r>
      <w:r w:rsidRPr="00E46901">
        <w:rPr>
          <w:rFonts w:eastAsiaTheme="minorHAnsi"/>
          <w:b/>
          <w:lang w:eastAsia="en-US"/>
        </w:rPr>
        <w:t xml:space="preserve">). </w:t>
      </w:r>
      <w:r w:rsidRPr="00E46901">
        <w:t xml:space="preserve">As in the pilot, this component continued to provide support for capacity building for key public </w:t>
      </w:r>
      <w:r w:rsidRPr="00E46901">
        <w:lastRenderedPageBreak/>
        <w:t xml:space="preserve">institutions that play key role in implementation. The only difference is that support under this component was refocused on sustainability of institutional arrangements (including legal and regulatory) and the capacity of stakeholders (NSO; insurance companies, FRC, etc.). The new activities are (i) capacity building to strengthen livestock data collection systems; (ii) capacity building to support development of an appropriate legal and regulatory framework, including the development of a livestock insurance law; and (iii) capacity building to the FRC in developing an appropriate regulatory framework for IBLI, including providing assistance in developing prudential requirements and in considering future regulations that may be needed to support IBLI. </w:t>
      </w:r>
    </w:p>
    <w:p w14:paraId="223D0B2B" w14:textId="77777777" w:rsidR="00D163C7" w:rsidRPr="00E46901" w:rsidRDefault="00D163C7" w:rsidP="005A4EF0">
      <w:pPr>
        <w:numPr>
          <w:ilvl w:val="0"/>
          <w:numId w:val="18"/>
        </w:numPr>
        <w:autoSpaceDE w:val="0"/>
        <w:autoSpaceDN w:val="0"/>
        <w:adjustRightInd w:val="0"/>
        <w:spacing w:after="240"/>
        <w:ind w:left="0" w:firstLine="0"/>
      </w:pPr>
      <w:r w:rsidRPr="00E46901">
        <w:rPr>
          <w:i/>
        </w:rPr>
        <w:t>Capacity building to strengthen livestock data collection systems</w:t>
      </w:r>
      <w:r w:rsidRPr="00E46901">
        <w:rPr>
          <w:color w:val="7030A0"/>
        </w:rPr>
        <w:t xml:space="preserve">. </w:t>
      </w:r>
      <w:r w:rsidRPr="00E46901">
        <w:t>Under this sub-component, the project aimed at continuing the capacity building activities undertaken under the pilot, to accompany the NSO in the successful scale-up of the project. Overall, this sub-component has been successfully achieved.  The target number of soums where cost effective new methods for NSO livestock data collection and statistics introduced was overachieved (330 soums from 21 aimags and nine districts from Ulaan Baatar compared to a target of 200 soums by the end of the project).  More importantly, the mid-year survey for livestock mortality calculation is</w:t>
      </w:r>
      <w:r>
        <w:t xml:space="preserve"> now</w:t>
      </w:r>
      <w:r w:rsidRPr="00E46901">
        <w:t xml:space="preserve"> fully institutionalized and implemented a national scale without the project’s support. </w:t>
      </w:r>
    </w:p>
    <w:p w14:paraId="1AE22E24" w14:textId="77777777" w:rsidR="00D163C7" w:rsidRPr="00E46901" w:rsidRDefault="00D163C7" w:rsidP="005A4EF0">
      <w:pPr>
        <w:numPr>
          <w:ilvl w:val="0"/>
          <w:numId w:val="18"/>
        </w:numPr>
        <w:autoSpaceDE w:val="0"/>
        <w:autoSpaceDN w:val="0"/>
        <w:adjustRightInd w:val="0"/>
        <w:spacing w:after="240"/>
        <w:ind w:left="0" w:firstLine="0"/>
      </w:pPr>
      <w:r w:rsidRPr="00E46901">
        <w:t>A remaining issue that does not affect the rating of this subcomponent, is that the cost of the mid-year surveys remains high, especially with the national scale-up of the project. This could negatively affect the future sustainability of the insurance scheme since it represents the largest share of its cost. The TT recommended finding other ways of financing this mid-year survey, (different from adding this cost to the administrative load of the insurance scheme since it could discourage its demand), and the idea of NSO financing this cost from its budget was proposed. However, it remains unclear whether this took place.</w:t>
      </w:r>
    </w:p>
    <w:p w14:paraId="7210D36C" w14:textId="77777777" w:rsidR="00D163C7" w:rsidRPr="00E46901" w:rsidRDefault="00D163C7" w:rsidP="005A4EF0">
      <w:pPr>
        <w:numPr>
          <w:ilvl w:val="0"/>
          <w:numId w:val="18"/>
        </w:numPr>
        <w:autoSpaceDE w:val="0"/>
        <w:autoSpaceDN w:val="0"/>
        <w:adjustRightInd w:val="0"/>
        <w:spacing w:after="240"/>
        <w:ind w:left="0" w:firstLine="0"/>
      </w:pPr>
      <w:r w:rsidRPr="00E46901">
        <w:rPr>
          <w:color w:val="7030A0"/>
        </w:rPr>
        <w:t xml:space="preserve"> </w:t>
      </w:r>
      <w:r w:rsidRPr="00BE018C">
        <w:t>Capacity building to support development of an appropriate legal and regulatory framework, including the development of a livestock insurance law</w:t>
      </w:r>
      <w:r w:rsidRPr="00E46901">
        <w:rPr>
          <w:i/>
        </w:rPr>
        <w:t>.</w:t>
      </w:r>
      <w:r w:rsidRPr="00E46901">
        <w:t xml:space="preserve"> Under this subcomponent, it was expected that an appropriate policy and institutional framework for the sustainability of the index insurance program beyond the lifetime of the project would be developed.  This objective was successfully achieved as the Index based Livestock Insurance Law (IBLI) was passed by an Act of Parliament on June 13, 2014. It was even above the target since the target was only to draft the legislation (and the current status is that the law is adopted).</w:t>
      </w:r>
    </w:p>
    <w:p w14:paraId="0A8BC6DB" w14:textId="77777777" w:rsidR="00D163C7" w:rsidRPr="00E46901" w:rsidRDefault="00D163C7" w:rsidP="005A4EF0">
      <w:pPr>
        <w:numPr>
          <w:ilvl w:val="0"/>
          <w:numId w:val="18"/>
        </w:numPr>
        <w:autoSpaceDE w:val="0"/>
        <w:autoSpaceDN w:val="0"/>
        <w:adjustRightInd w:val="0"/>
        <w:spacing w:after="240"/>
        <w:ind w:left="0" w:firstLine="0"/>
      </w:pPr>
      <w:r w:rsidRPr="00E46901">
        <w:t xml:space="preserve"> The drafts of the legislation were elaborated by a Legal Working Group (the IBLI) that was established in accordance with the Minister of Finance’s order dated June 2nd 2010. Its members have been drawn from MOF, MOFALI, MOJHA, FRC and participating insurance companies and includes professors and researchers. It was chaired by the Vice-Minister of Finance. </w:t>
      </w:r>
    </w:p>
    <w:p w14:paraId="2F587356" w14:textId="77777777" w:rsidR="00D163C7" w:rsidRPr="00E46901" w:rsidRDefault="00D163C7" w:rsidP="005A4EF0">
      <w:pPr>
        <w:numPr>
          <w:ilvl w:val="0"/>
          <w:numId w:val="18"/>
        </w:numPr>
        <w:autoSpaceDE w:val="0"/>
        <w:autoSpaceDN w:val="0"/>
        <w:adjustRightInd w:val="0"/>
        <w:spacing w:after="240"/>
        <w:ind w:left="0" w:firstLine="0"/>
      </w:pPr>
      <w:r w:rsidRPr="00E46901">
        <w:t xml:space="preserve"> Before drafting the IBLI Law, the Legal Working Group has successfully established a legal and regulatory program, in which public-private partnerships would remain with a clear separation of roles and responsibilities between the Mongolian Agriculture Reinsurance </w:t>
      </w:r>
      <w:r>
        <w:t xml:space="preserve">Joint Stock </w:t>
      </w:r>
      <w:r w:rsidRPr="00E46901">
        <w:t>Company (</w:t>
      </w:r>
      <w:r>
        <w:t>AgRe</w:t>
      </w:r>
      <w:r w:rsidRPr="00E46901">
        <w:t xml:space="preserve">), which would continue playing the role of the PIU after the end of the project, and the Government, which would continue to play a role similar to the IDA Contingent </w:t>
      </w:r>
      <w:r w:rsidRPr="00E46901">
        <w:lastRenderedPageBreak/>
        <w:t xml:space="preserve">Facility. The institutional framework of the new legal entity was reviewed by consultants that determined that it provides a feasible and sustainable business model.  In addition, a formal actuarial review of the ratemaking methodology was completed by an accredited international actuary teamed with a local actuary. </w:t>
      </w:r>
    </w:p>
    <w:p w14:paraId="6F4D716C" w14:textId="77777777" w:rsidR="00D163C7" w:rsidRPr="004D773F" w:rsidRDefault="00D163C7" w:rsidP="005A4EF0">
      <w:pPr>
        <w:numPr>
          <w:ilvl w:val="0"/>
          <w:numId w:val="18"/>
        </w:numPr>
        <w:autoSpaceDE w:val="0"/>
        <w:autoSpaceDN w:val="0"/>
        <w:adjustRightInd w:val="0"/>
        <w:spacing w:after="240"/>
        <w:ind w:left="0" w:firstLine="0"/>
        <w:rPr>
          <w:b/>
        </w:rPr>
      </w:pPr>
      <w:r w:rsidRPr="00E46901">
        <w:t xml:space="preserve">The Ministry of Finance followed-up and approved a charter for the establishment of </w:t>
      </w:r>
      <w:r>
        <w:t>AgRe</w:t>
      </w:r>
      <w:r w:rsidRPr="00E46901">
        <w:t xml:space="preserve"> on September 5, 2014 to take over the management of the IBLI program after the Bank’s support ceases. The Government has also released an amount of 20Billion MNT as the initial capital for the Company out of which 19.6 billion MNT has been invested in Government bonds leaving 0.4billion MNT in the Company’s accounts. The government has also established a Board of Directors and appointed officers to various positions. A business plan was prepared and used for securing a license for the Company. The Company was duly established, registered by the General Authority for State Registration and issued a certificate under the Company’s Act on September 26, 2014</w:t>
      </w:r>
      <w:r>
        <w:t xml:space="preserve">. </w:t>
      </w:r>
      <w:r w:rsidRPr="00E46901">
        <w:t xml:space="preserve">Following the establishment of the Company, the capital adequacy, operations manuals and relevant regulations have been drafted. </w:t>
      </w:r>
      <w:r w:rsidRPr="00ED18F3">
        <w:t>The PIU made sure that all necessary capacity was transferred to the AgRe, organized training and workshops, and few PIU staff moved to the Company</w:t>
      </w:r>
    </w:p>
    <w:p w14:paraId="09052B82" w14:textId="77777777" w:rsidR="00D163C7" w:rsidRPr="00E46901" w:rsidRDefault="00D163C7" w:rsidP="005A4EF0">
      <w:pPr>
        <w:numPr>
          <w:ilvl w:val="0"/>
          <w:numId w:val="18"/>
        </w:numPr>
        <w:autoSpaceDE w:val="0"/>
        <w:autoSpaceDN w:val="0"/>
        <w:adjustRightInd w:val="0"/>
        <w:spacing w:after="240"/>
        <w:ind w:left="0" w:firstLine="0"/>
      </w:pPr>
      <w:r w:rsidRPr="00BE018C">
        <w:t>Capacity building to the FRC</w:t>
      </w:r>
      <w:r w:rsidRPr="00E46901">
        <w:rPr>
          <w:i/>
        </w:rPr>
        <w:t xml:space="preserve">. </w:t>
      </w:r>
      <w:r w:rsidRPr="00E46901">
        <w:t xml:space="preserve">The Financial Regulatory Commission was established in January 2006, at the start of the IBLI pilot. This subcomponent aimed at strengthening the capacity of the FRC to develop an appropriate regulatory framework for IBLI, by proving assistance in developing prudential requirements and in considering future regulations that may be needed to support IBLI. This objective was successfully achieved as an international legal and regulatory consultant provided technical assistance to the company on: (i) the draft regulations to be issued under IBLI; (ii) the 2013 reinsurance agreement; (iii) the proposed 2014 reinsurance agreements and amendments. The consultant also drafted an IBLI Stop Loss Reinsurance Agreement and the Operating Agreement to replace the previous Cooperation agreement, including the final version of 2014 LRI herder policy. As a result of this technical assistance, 3 draft regulations applicable under IBLI law: Premium, Mutual risk fund and Independent Fund are in drafts and yet to be approved jointly by the MoF and FRC as required by Index-based Livestock Insurance Law (IBLI Law). </w:t>
      </w:r>
    </w:p>
    <w:p w14:paraId="2662C3AA" w14:textId="77777777" w:rsidR="00D163C7" w:rsidRPr="00E46901" w:rsidRDefault="00D163C7" w:rsidP="005A4EF0">
      <w:pPr>
        <w:numPr>
          <w:ilvl w:val="0"/>
          <w:numId w:val="18"/>
        </w:numPr>
        <w:autoSpaceDE w:val="0"/>
        <w:autoSpaceDN w:val="0"/>
        <w:adjustRightInd w:val="0"/>
        <w:spacing w:after="240"/>
        <w:ind w:left="0" w:firstLine="0"/>
      </w:pPr>
      <w:r w:rsidRPr="00E46901">
        <w:rPr>
          <w:rFonts w:eastAsiaTheme="minorHAnsi"/>
          <w:b/>
          <w:lang w:eastAsia="en-US"/>
        </w:rPr>
        <w:t>Component 4: Monitoring and Evaluation (M&amp;E) Component (</w:t>
      </w:r>
      <w:r w:rsidRPr="00E46901">
        <w:rPr>
          <w:b/>
        </w:rPr>
        <w:t>US$0.395 million</w:t>
      </w:r>
      <w:r w:rsidRPr="00E46901">
        <w:rPr>
          <w:rFonts w:eastAsiaTheme="minorHAnsi"/>
          <w:b/>
          <w:lang w:eastAsia="en-US"/>
        </w:rPr>
        <w:t>)</w:t>
      </w:r>
      <w:r w:rsidRPr="00E46901">
        <w:rPr>
          <w:rFonts w:eastAsiaTheme="minorHAnsi"/>
          <w:lang w:eastAsia="en-US"/>
        </w:rPr>
        <w:t xml:space="preserve">. </w:t>
      </w:r>
      <w:r w:rsidRPr="00E46901">
        <w:t>This component and its objective did not change as a result of the scaling up of the project. All the activities carried out during the pilot were also successfully completed and contributed to the refinement of the product and its distribution mechanism. The final ISR rates this component as satisfactory. In addition to the other regular monito</w:t>
      </w:r>
      <w:r>
        <w:t>ring and evaluation activities, a</w:t>
      </w:r>
      <w:r w:rsidRPr="00E46901">
        <w:t xml:space="preserve">n impact assessment was carried out in 2014. </w:t>
      </w:r>
    </w:p>
    <w:p w14:paraId="35F91565" w14:textId="77777777" w:rsidR="00D163C7" w:rsidRPr="00E46901" w:rsidRDefault="00D163C7" w:rsidP="00D163C7"/>
    <w:p w14:paraId="2FB685DB" w14:textId="77777777" w:rsidR="00D163C7" w:rsidRPr="00E46901" w:rsidRDefault="00D163C7" w:rsidP="00D163C7"/>
    <w:p w14:paraId="4AD3E362" w14:textId="7B9D1183" w:rsidR="00940899" w:rsidRPr="00E46901" w:rsidRDefault="00D163C7" w:rsidP="00940899">
      <w:r w:rsidRPr="00E46901">
        <w:br w:type="page"/>
      </w:r>
    </w:p>
    <w:p w14:paraId="1EF52A16" w14:textId="77777777" w:rsidR="00E07BAC" w:rsidRDefault="00C67D43" w:rsidP="005A4EF0">
      <w:pPr>
        <w:pStyle w:val="Heading2"/>
        <w:jc w:val="center"/>
      </w:pPr>
      <w:bookmarkStart w:id="202" w:name="_Toc158019379"/>
      <w:bookmarkStart w:id="203" w:name="_Toc456784547"/>
      <w:bookmarkStart w:id="204" w:name="_IL17"/>
      <w:r>
        <w:lastRenderedPageBreak/>
        <w:t>Annex 3. Economic and Financial Analysis</w:t>
      </w:r>
      <w:bookmarkEnd w:id="202"/>
      <w:bookmarkEnd w:id="203"/>
      <w:r w:rsidR="00E07BAC">
        <w:t xml:space="preserve"> </w:t>
      </w:r>
    </w:p>
    <w:p w14:paraId="77256949" w14:textId="77777777" w:rsidR="00C67D43" w:rsidRPr="00E07BAC" w:rsidRDefault="00C67D43" w:rsidP="00E07BAC">
      <w:bookmarkStart w:id="205" w:name="ANN5"/>
      <w:bookmarkEnd w:id="204"/>
      <w:bookmarkEnd w:id="205"/>
    </w:p>
    <w:p w14:paraId="73124A75" w14:textId="77777777" w:rsidR="004B664D" w:rsidRPr="00C03BB5" w:rsidRDefault="004B664D" w:rsidP="005A4EF0">
      <w:pPr>
        <w:numPr>
          <w:ilvl w:val="0"/>
          <w:numId w:val="32"/>
        </w:numPr>
        <w:spacing w:after="240" w:line="259" w:lineRule="auto"/>
        <w:ind w:firstLine="0"/>
        <w:rPr>
          <w:rFonts w:eastAsia="Calibri"/>
          <w:sz w:val="22"/>
          <w:szCs w:val="22"/>
          <w:lang w:eastAsia="en-US"/>
        </w:rPr>
      </w:pPr>
      <w:r w:rsidRPr="00C03BB5">
        <w:rPr>
          <w:rFonts w:eastAsia="Calibri"/>
          <w:sz w:val="22"/>
          <w:szCs w:val="22"/>
          <w:lang w:eastAsia="en-US"/>
        </w:rPr>
        <w:t xml:space="preserve">The objective of the IBLIP project was to reduce the impact of livestock mortality on herders by transferring part of the mortality risk through an index based livestock contract. When </w:t>
      </w:r>
      <w:r w:rsidRPr="00C03BB5">
        <w:rPr>
          <w:rFonts w:eastAsia="Calibri"/>
          <w:i/>
          <w:sz w:val="22"/>
          <w:szCs w:val="22"/>
          <w:lang w:eastAsia="en-US"/>
        </w:rPr>
        <w:t xml:space="preserve">dzud </w:t>
      </w:r>
      <w:r w:rsidRPr="00C03BB5">
        <w:rPr>
          <w:rFonts w:eastAsia="Calibri"/>
          <w:sz w:val="22"/>
          <w:szCs w:val="22"/>
          <w:lang w:eastAsia="en-US"/>
        </w:rPr>
        <w:t xml:space="preserve">(severe drought and winters) strike Mongolian herders, the effects are devastating. Livestock, their main asset and source of livelihood, weaken and face an increased mortality risk. This situation forces poor households to sell their livestock to keep a minimum consumption level, which limits their ability to generate income. Anticipating the negative impacts of </w:t>
      </w:r>
      <w:r w:rsidRPr="00C03BB5">
        <w:rPr>
          <w:rFonts w:eastAsia="Calibri"/>
          <w:i/>
          <w:sz w:val="22"/>
          <w:szCs w:val="22"/>
          <w:lang w:eastAsia="en-US"/>
        </w:rPr>
        <w:t xml:space="preserve">dzud, </w:t>
      </w:r>
      <w:r w:rsidRPr="00C03BB5">
        <w:rPr>
          <w:rFonts w:eastAsia="Calibri"/>
          <w:sz w:val="22"/>
          <w:szCs w:val="22"/>
          <w:lang w:eastAsia="en-US"/>
        </w:rPr>
        <w:t xml:space="preserve">uninsured herders adopt costly risk management strategies, such as increasing their herd size at the cost of reduced livestock quality (i.e. health) and reduced availability of forage.  </w:t>
      </w:r>
    </w:p>
    <w:p w14:paraId="1FBF4FE2" w14:textId="5748CEEA" w:rsidR="004B664D" w:rsidRPr="00C03BB5" w:rsidRDefault="004B664D" w:rsidP="005A4EF0">
      <w:pPr>
        <w:numPr>
          <w:ilvl w:val="0"/>
          <w:numId w:val="32"/>
        </w:numPr>
        <w:spacing w:after="240" w:line="259" w:lineRule="auto"/>
        <w:ind w:firstLine="0"/>
        <w:rPr>
          <w:rFonts w:eastAsia="Calibri"/>
          <w:sz w:val="22"/>
          <w:szCs w:val="22"/>
          <w:lang w:eastAsia="en-US"/>
        </w:rPr>
      </w:pPr>
      <w:r w:rsidRPr="00C03BB5">
        <w:rPr>
          <w:rFonts w:eastAsia="Calibri"/>
          <w:sz w:val="22"/>
          <w:szCs w:val="22"/>
          <w:lang w:eastAsia="en-US"/>
        </w:rPr>
        <w:t xml:space="preserve">In theory, IBLIP has two anticipated types of impacts. First, indemnity payments received in case of high sum level mortality rates allow herders to re-stock, and therefore to preserve their main source of livelihood.  As demonstrated in the impact study (annex 5),  </w:t>
      </w:r>
      <w:r w:rsidR="000D7C76" w:rsidRPr="00C03BB5">
        <w:rPr>
          <w:rFonts w:eastAsia="Calibri"/>
          <w:sz w:val="22"/>
          <w:szCs w:val="22"/>
          <w:lang w:eastAsia="en-US"/>
        </w:rPr>
        <w:t xml:space="preserve">herders </w:t>
      </w:r>
      <w:r w:rsidRPr="00C03BB5">
        <w:rPr>
          <w:rFonts w:eastAsia="Calibri"/>
          <w:sz w:val="22"/>
          <w:szCs w:val="22"/>
          <w:lang w:eastAsia="en-US"/>
        </w:rPr>
        <w:t xml:space="preserve">who purchased the index-based livestock insurance in 2009 and received indemnity payments in autumn 2010 (a </w:t>
      </w:r>
      <w:r w:rsidRPr="00C03BB5">
        <w:rPr>
          <w:rFonts w:eastAsia="Calibri"/>
          <w:i/>
          <w:sz w:val="22"/>
          <w:szCs w:val="22"/>
          <w:lang w:eastAsia="en-US"/>
        </w:rPr>
        <w:t>dzud</w:t>
      </w:r>
      <w:r w:rsidRPr="00C03BB5">
        <w:rPr>
          <w:rFonts w:eastAsia="Calibri"/>
          <w:sz w:val="22"/>
          <w:szCs w:val="22"/>
          <w:lang w:eastAsia="en-US"/>
        </w:rPr>
        <w:t xml:space="preserve"> year) have a larger herd size in 2011, 2012, and 2013 compared to herders who did not purchase the index-based livestock insurance</w:t>
      </w:r>
      <w:r w:rsidRPr="00C03BB5">
        <w:rPr>
          <w:rFonts w:eastAsia="Calibri"/>
          <w:sz w:val="22"/>
          <w:szCs w:val="22"/>
          <w:vertAlign w:val="superscript"/>
          <w:lang w:eastAsia="en-US"/>
        </w:rPr>
        <w:footnoteReference w:id="15"/>
      </w:r>
      <w:r w:rsidRPr="00C03BB5">
        <w:rPr>
          <w:rFonts w:eastAsia="Calibri"/>
          <w:sz w:val="22"/>
          <w:szCs w:val="22"/>
          <w:lang w:eastAsia="en-US"/>
        </w:rPr>
        <w:t xml:space="preserve">. Second, anticipating the indemnity payment in case of a high mortality rate, insured herders would limit the herd size to the carrying capacity of their environment to keep a herd of a good quality. This finding has been verified thanks to interviews conducted with herders during field visits. </w:t>
      </w:r>
    </w:p>
    <w:p w14:paraId="096861CE" w14:textId="77777777" w:rsidR="004B664D" w:rsidRPr="00C03BB5" w:rsidRDefault="004B664D" w:rsidP="005A4EF0">
      <w:pPr>
        <w:numPr>
          <w:ilvl w:val="0"/>
          <w:numId w:val="32"/>
        </w:numPr>
        <w:spacing w:after="240" w:line="259" w:lineRule="auto"/>
        <w:ind w:firstLine="0"/>
        <w:rPr>
          <w:rFonts w:eastAsia="Calibri"/>
          <w:sz w:val="22"/>
          <w:szCs w:val="22"/>
          <w:lang w:eastAsia="en-US"/>
        </w:rPr>
      </w:pPr>
      <w:r w:rsidRPr="00C03BB5">
        <w:rPr>
          <w:rFonts w:eastAsia="Calibri"/>
          <w:sz w:val="22"/>
          <w:szCs w:val="22"/>
          <w:lang w:eastAsia="en-US"/>
        </w:rPr>
        <w:t>At appraisal, in 2005, it was decided that a traditional economic and financial analysis of the IBLIP project, which reports internal rates of return, was not feasible because of the probabilistic nature of the benefits of insurance--insured herders get a payout only in high livestock mortality years. An expected utility approach was also ruled out because of the complexity of measuring risk preference parameters</w:t>
      </w:r>
      <w:r w:rsidRPr="00C03BB5">
        <w:rPr>
          <w:rFonts w:eastAsia="Calibri"/>
          <w:sz w:val="22"/>
          <w:szCs w:val="22"/>
          <w:vertAlign w:val="superscript"/>
          <w:lang w:eastAsia="en-US"/>
        </w:rPr>
        <w:footnoteReference w:id="16"/>
      </w:r>
      <w:r w:rsidRPr="00C03BB5">
        <w:rPr>
          <w:rFonts w:eastAsia="Calibri"/>
          <w:sz w:val="22"/>
          <w:szCs w:val="22"/>
          <w:lang w:eastAsia="en-US"/>
        </w:rPr>
        <w:t xml:space="preserve">. Instead, to obtain insights into the effect of the project on herders, a multi-period herd model, simulated over the 1993 to 2003 period for the IBLI pilot was used to identify changes in with-project (i.e., insured) herder income, ending herd value, and herder household income volatility relative to without project (i.e., uninsured) herders.  The model was run for six selected </w:t>
      </w:r>
      <w:r w:rsidRPr="00C03BB5">
        <w:rPr>
          <w:rFonts w:eastAsia="Calibri"/>
          <w:i/>
          <w:iCs/>
          <w:sz w:val="22"/>
          <w:szCs w:val="22"/>
          <w:lang w:eastAsia="en-US"/>
        </w:rPr>
        <w:t>sums</w:t>
      </w:r>
      <w:r w:rsidRPr="00C03BB5">
        <w:rPr>
          <w:rFonts w:eastAsia="Calibri"/>
          <w:sz w:val="22"/>
          <w:szCs w:val="22"/>
          <w:lang w:eastAsia="en-US"/>
        </w:rPr>
        <w:t xml:space="preserve">, two in each pilot </w:t>
      </w:r>
      <w:r w:rsidRPr="00C03BB5">
        <w:rPr>
          <w:rFonts w:eastAsia="Calibri"/>
          <w:i/>
          <w:iCs/>
          <w:sz w:val="22"/>
          <w:szCs w:val="22"/>
          <w:lang w:eastAsia="en-US"/>
        </w:rPr>
        <w:t xml:space="preserve">aimag, </w:t>
      </w:r>
      <w:r w:rsidRPr="00C03BB5">
        <w:rPr>
          <w:rFonts w:eastAsia="Calibri"/>
          <w:sz w:val="22"/>
          <w:szCs w:val="22"/>
          <w:lang w:eastAsia="en-US"/>
        </w:rPr>
        <w:t xml:space="preserve">Khentii </w:t>
      </w:r>
      <w:r w:rsidRPr="00C03BB5">
        <w:rPr>
          <w:rFonts w:eastAsia="Calibri"/>
          <w:i/>
          <w:sz w:val="22"/>
          <w:szCs w:val="22"/>
          <w:lang w:eastAsia="en-US"/>
        </w:rPr>
        <w:t>aimag</w:t>
      </w:r>
      <w:r w:rsidRPr="00C03BB5">
        <w:rPr>
          <w:rFonts w:eastAsia="Calibri"/>
          <w:sz w:val="22"/>
          <w:szCs w:val="22"/>
          <w:lang w:eastAsia="en-US"/>
        </w:rPr>
        <w:t xml:space="preserve"> (Batnorov and Binder </w:t>
      </w:r>
      <w:r w:rsidRPr="00C03BB5">
        <w:rPr>
          <w:rFonts w:eastAsia="Calibri"/>
          <w:i/>
          <w:sz w:val="22"/>
          <w:szCs w:val="22"/>
          <w:lang w:eastAsia="en-US"/>
        </w:rPr>
        <w:t>sums</w:t>
      </w:r>
      <w:r w:rsidRPr="00C03BB5">
        <w:rPr>
          <w:rFonts w:eastAsia="Calibri"/>
          <w:sz w:val="22"/>
          <w:szCs w:val="22"/>
          <w:lang w:eastAsia="en-US"/>
        </w:rPr>
        <w:t xml:space="preserve">), Bayankhonga </w:t>
      </w:r>
      <w:r w:rsidRPr="00C03BB5">
        <w:rPr>
          <w:rFonts w:eastAsia="Calibri"/>
          <w:i/>
          <w:sz w:val="22"/>
          <w:szCs w:val="22"/>
          <w:lang w:eastAsia="en-US"/>
        </w:rPr>
        <w:t xml:space="preserve">aimag </w:t>
      </w:r>
      <w:r w:rsidRPr="00C03BB5">
        <w:rPr>
          <w:rFonts w:eastAsia="Calibri"/>
          <w:sz w:val="22"/>
          <w:szCs w:val="22"/>
          <w:lang w:eastAsia="en-US"/>
        </w:rPr>
        <w:t xml:space="preserve">(Jargalant and Baynonor </w:t>
      </w:r>
      <w:r w:rsidRPr="00C03BB5">
        <w:rPr>
          <w:rFonts w:eastAsia="Calibri"/>
          <w:i/>
          <w:sz w:val="22"/>
          <w:szCs w:val="22"/>
          <w:lang w:eastAsia="en-US"/>
        </w:rPr>
        <w:t>sums</w:t>
      </w:r>
      <w:r w:rsidRPr="00C03BB5">
        <w:rPr>
          <w:rFonts w:eastAsia="Calibri"/>
          <w:sz w:val="22"/>
          <w:szCs w:val="22"/>
          <w:lang w:eastAsia="en-US"/>
        </w:rPr>
        <w:t xml:space="preserve">), and Uvs </w:t>
      </w:r>
      <w:r w:rsidRPr="00C03BB5">
        <w:rPr>
          <w:rFonts w:eastAsia="Calibri"/>
          <w:i/>
          <w:sz w:val="22"/>
          <w:szCs w:val="22"/>
          <w:lang w:eastAsia="en-US"/>
        </w:rPr>
        <w:t>aimag</w:t>
      </w:r>
      <w:r w:rsidRPr="00C03BB5">
        <w:rPr>
          <w:rFonts w:eastAsia="Calibri"/>
          <w:sz w:val="22"/>
          <w:szCs w:val="22"/>
          <w:lang w:eastAsia="en-US"/>
        </w:rPr>
        <w:t xml:space="preserve"> (Malchin and Olgii </w:t>
      </w:r>
      <w:r w:rsidRPr="00C03BB5">
        <w:rPr>
          <w:rFonts w:eastAsia="Calibri"/>
          <w:i/>
          <w:sz w:val="22"/>
          <w:szCs w:val="22"/>
          <w:lang w:eastAsia="en-US"/>
        </w:rPr>
        <w:t>sums</w:t>
      </w:r>
      <w:r w:rsidRPr="00C03BB5">
        <w:rPr>
          <w:rFonts w:eastAsia="Calibri"/>
          <w:sz w:val="22"/>
          <w:szCs w:val="22"/>
          <w:lang w:eastAsia="en-US"/>
        </w:rPr>
        <w:t xml:space="preserve">). Within each </w:t>
      </w:r>
      <w:r w:rsidRPr="00C03BB5">
        <w:rPr>
          <w:rFonts w:eastAsia="Calibri"/>
          <w:i/>
          <w:iCs/>
          <w:sz w:val="22"/>
          <w:szCs w:val="22"/>
          <w:lang w:eastAsia="en-US"/>
        </w:rPr>
        <w:t>aimag</w:t>
      </w:r>
      <w:r w:rsidRPr="00C03BB5">
        <w:rPr>
          <w:rFonts w:eastAsia="Calibri"/>
          <w:sz w:val="22"/>
          <w:szCs w:val="22"/>
          <w:lang w:eastAsia="en-US"/>
        </w:rPr>
        <w:t xml:space="preserve">, one </w:t>
      </w:r>
      <w:r w:rsidRPr="00C03BB5">
        <w:rPr>
          <w:rFonts w:eastAsia="Calibri"/>
          <w:i/>
          <w:iCs/>
          <w:sz w:val="22"/>
          <w:szCs w:val="22"/>
          <w:lang w:eastAsia="en-US"/>
        </w:rPr>
        <w:t>sum</w:t>
      </w:r>
      <w:r w:rsidRPr="00C03BB5">
        <w:rPr>
          <w:rFonts w:eastAsia="Calibri"/>
          <w:sz w:val="22"/>
          <w:szCs w:val="22"/>
          <w:lang w:eastAsia="en-US"/>
        </w:rPr>
        <w:t xml:space="preserve"> was classified as high risk and one </w:t>
      </w:r>
      <w:r w:rsidRPr="00C03BB5">
        <w:rPr>
          <w:rFonts w:eastAsia="Calibri"/>
          <w:i/>
          <w:iCs/>
          <w:sz w:val="22"/>
          <w:szCs w:val="22"/>
          <w:lang w:eastAsia="en-US"/>
        </w:rPr>
        <w:t>sum</w:t>
      </w:r>
      <w:r w:rsidRPr="00C03BB5">
        <w:rPr>
          <w:rFonts w:eastAsia="Calibri"/>
          <w:sz w:val="22"/>
          <w:szCs w:val="22"/>
          <w:lang w:eastAsia="en-US"/>
        </w:rPr>
        <w:t xml:space="preserve"> as low risk according to actual historical mortality rates experienced in each </w:t>
      </w:r>
      <w:r w:rsidRPr="00C03BB5">
        <w:rPr>
          <w:rFonts w:eastAsia="Calibri"/>
          <w:i/>
          <w:iCs/>
          <w:sz w:val="22"/>
          <w:szCs w:val="22"/>
          <w:lang w:eastAsia="en-US"/>
        </w:rPr>
        <w:t>sum.</w:t>
      </w:r>
    </w:p>
    <w:p w14:paraId="047CC101" w14:textId="77777777" w:rsidR="004B664D" w:rsidRPr="00C03BB5" w:rsidRDefault="004B664D" w:rsidP="005A4EF0">
      <w:pPr>
        <w:numPr>
          <w:ilvl w:val="0"/>
          <w:numId w:val="32"/>
        </w:numPr>
        <w:spacing w:after="240" w:line="259" w:lineRule="auto"/>
        <w:ind w:firstLine="0"/>
        <w:rPr>
          <w:rFonts w:eastAsia="Calibri"/>
          <w:sz w:val="22"/>
          <w:szCs w:val="22"/>
          <w:lang w:eastAsia="en-US"/>
        </w:rPr>
      </w:pPr>
      <w:r w:rsidRPr="00C03BB5">
        <w:rPr>
          <w:rFonts w:eastAsia="Calibri"/>
          <w:sz w:val="22"/>
          <w:szCs w:val="22"/>
          <w:lang w:eastAsia="en-US"/>
        </w:rPr>
        <w:t xml:space="preserve">The PAD analysis indicated that when </w:t>
      </w:r>
      <w:r w:rsidRPr="00C03BB5">
        <w:rPr>
          <w:rFonts w:eastAsia="Calibri"/>
          <w:i/>
          <w:iCs/>
          <w:sz w:val="22"/>
          <w:szCs w:val="22"/>
          <w:lang w:eastAsia="en-US"/>
        </w:rPr>
        <w:t>dzud</w:t>
      </w:r>
      <w:r w:rsidRPr="00C03BB5">
        <w:rPr>
          <w:rFonts w:eastAsia="Calibri"/>
          <w:sz w:val="22"/>
          <w:szCs w:val="22"/>
          <w:lang w:eastAsia="en-US"/>
        </w:rPr>
        <w:t xml:space="preserve"> mortality rates are relatively high, an insured herder is likely to have a higher yearly income over the long term than an uninsured herder, as well as a higher herd value. Furthermore, the insured herder is able to do this with a decreased herd size because the IBLI insurance can be substituted for the ever increasing herd size policy of risk mitigation practiced by most herders. This may have the long-term effect of keeping the livestock size consistent with the long-term </w:t>
      </w:r>
      <w:r w:rsidRPr="00C03BB5">
        <w:rPr>
          <w:rFonts w:eastAsia="Calibri"/>
          <w:sz w:val="22"/>
          <w:szCs w:val="22"/>
          <w:lang w:eastAsia="en-US"/>
        </w:rPr>
        <w:lastRenderedPageBreak/>
        <w:t xml:space="preserve">carrying capacity of the range (especially in </w:t>
      </w:r>
      <w:r w:rsidRPr="00C03BB5">
        <w:rPr>
          <w:rFonts w:eastAsia="Calibri"/>
          <w:i/>
          <w:iCs/>
          <w:sz w:val="22"/>
          <w:szCs w:val="22"/>
          <w:lang w:eastAsia="en-US"/>
        </w:rPr>
        <w:t>dzud</w:t>
      </w:r>
      <w:r w:rsidRPr="00C03BB5">
        <w:rPr>
          <w:rFonts w:eastAsia="Calibri"/>
          <w:sz w:val="22"/>
          <w:szCs w:val="22"/>
          <w:lang w:eastAsia="en-US"/>
        </w:rPr>
        <w:t xml:space="preserve"> prone areas) as well as increasing environmental benefits.</w:t>
      </w:r>
    </w:p>
    <w:p w14:paraId="4104FA70"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At the time of the appraisal of the additional financing for the national scaling up of IBLIP in 2009, a review concluded that the multi-period herd model was still a valid tool to learn about the impacts of IBILP on herders</w:t>
      </w:r>
      <w:r w:rsidRPr="00C03BB5">
        <w:rPr>
          <w:rFonts w:eastAsia="Calibri"/>
          <w:sz w:val="22"/>
          <w:szCs w:val="22"/>
          <w:vertAlign w:val="superscript"/>
          <w:lang w:eastAsia="en-US"/>
        </w:rPr>
        <w:footnoteReference w:id="17"/>
      </w:r>
      <w:r w:rsidRPr="00C03BB5">
        <w:rPr>
          <w:rFonts w:eastAsia="Calibri"/>
          <w:sz w:val="22"/>
          <w:szCs w:val="22"/>
          <w:lang w:eastAsia="en-US"/>
        </w:rPr>
        <w:t xml:space="preserve">. Thus, the multi-period herd model simulation used in the PAD was updated and run over a ten year period from 1998 to 2007 for Malchin </w:t>
      </w:r>
      <w:r w:rsidRPr="00C03BB5">
        <w:rPr>
          <w:rFonts w:eastAsia="Calibri"/>
          <w:i/>
          <w:sz w:val="22"/>
          <w:szCs w:val="22"/>
          <w:lang w:eastAsia="en-US"/>
        </w:rPr>
        <w:t xml:space="preserve">sum </w:t>
      </w:r>
      <w:r w:rsidRPr="00C03BB5">
        <w:rPr>
          <w:rFonts w:eastAsia="Calibri"/>
          <w:sz w:val="22"/>
          <w:szCs w:val="22"/>
          <w:lang w:eastAsia="en-US"/>
        </w:rPr>
        <w:t>(low mortality)</w:t>
      </w:r>
      <w:r w:rsidRPr="00C03BB5">
        <w:rPr>
          <w:rFonts w:eastAsia="Calibri"/>
          <w:i/>
          <w:sz w:val="22"/>
          <w:szCs w:val="22"/>
          <w:lang w:eastAsia="en-US"/>
        </w:rPr>
        <w:t xml:space="preserve"> </w:t>
      </w:r>
      <w:r w:rsidRPr="00C03BB5">
        <w:rPr>
          <w:rFonts w:eastAsia="Calibri"/>
          <w:sz w:val="22"/>
          <w:szCs w:val="22"/>
          <w:lang w:eastAsia="en-US"/>
        </w:rPr>
        <w:t xml:space="preserve">and Olgii </w:t>
      </w:r>
      <w:r w:rsidRPr="00C03BB5">
        <w:rPr>
          <w:rFonts w:eastAsia="Calibri"/>
          <w:i/>
          <w:sz w:val="22"/>
          <w:szCs w:val="22"/>
          <w:lang w:eastAsia="en-US"/>
        </w:rPr>
        <w:t xml:space="preserve">sum </w:t>
      </w:r>
      <w:r w:rsidRPr="00C03BB5">
        <w:rPr>
          <w:rFonts w:eastAsia="Calibri"/>
          <w:sz w:val="22"/>
          <w:szCs w:val="22"/>
          <w:lang w:eastAsia="en-US"/>
        </w:rPr>
        <w:t>(high mortality)</w:t>
      </w:r>
      <w:r w:rsidRPr="00C03BB5">
        <w:rPr>
          <w:rFonts w:eastAsia="Calibri"/>
          <w:i/>
          <w:sz w:val="22"/>
          <w:szCs w:val="22"/>
          <w:lang w:eastAsia="en-US"/>
        </w:rPr>
        <w:t xml:space="preserve"> </w:t>
      </w:r>
      <w:r w:rsidRPr="00C03BB5">
        <w:rPr>
          <w:rFonts w:eastAsia="Calibri"/>
          <w:sz w:val="22"/>
          <w:szCs w:val="22"/>
          <w:lang w:eastAsia="en-US"/>
        </w:rPr>
        <w:t xml:space="preserve">in Uvs </w:t>
      </w:r>
      <w:r w:rsidRPr="00C03BB5">
        <w:rPr>
          <w:rFonts w:eastAsia="Calibri"/>
          <w:i/>
          <w:sz w:val="22"/>
          <w:szCs w:val="22"/>
          <w:lang w:eastAsia="en-US"/>
        </w:rPr>
        <w:t xml:space="preserve">aimag. </w:t>
      </w:r>
      <w:r w:rsidRPr="00C03BB5">
        <w:rPr>
          <w:rFonts w:eastAsia="Calibri"/>
          <w:sz w:val="22"/>
          <w:szCs w:val="22"/>
          <w:lang w:eastAsia="en-US"/>
        </w:rPr>
        <w:t xml:space="preserve">The results of 2009 analysis corroborates the 2005 analysis at appraisal. The results indicate that net income increases can be substantial for a with-project insured herder over an uninsured herder primarily because insured herders are able to restock using the combined BIP and DRP payout from each </w:t>
      </w:r>
      <w:r w:rsidRPr="00C03BB5">
        <w:rPr>
          <w:rFonts w:eastAsia="Calibri"/>
          <w:i/>
          <w:sz w:val="22"/>
          <w:szCs w:val="22"/>
          <w:lang w:eastAsia="en-US"/>
        </w:rPr>
        <w:t>dzud</w:t>
      </w:r>
      <w:r w:rsidRPr="00C03BB5">
        <w:rPr>
          <w:rFonts w:eastAsia="Calibri"/>
          <w:sz w:val="22"/>
          <w:szCs w:val="22"/>
          <w:lang w:eastAsia="en-US"/>
        </w:rPr>
        <w:t xml:space="preserve"> event year. Net income increases are considerable and are 14%, 15% and 17% higher in Malchin sum  and 13%, 22% and 37% higher in Olgii sum relative to the without-project base net income for each of the percentage coverage levels simulated (i.e., 30%, 50% and 100% of animal value respectively).  Additionally, the value of the herd in Olgii </w:t>
      </w:r>
      <w:r w:rsidRPr="00C03BB5">
        <w:rPr>
          <w:rFonts w:eastAsia="Calibri"/>
          <w:i/>
          <w:iCs/>
          <w:sz w:val="22"/>
          <w:szCs w:val="22"/>
          <w:lang w:eastAsia="en-US"/>
        </w:rPr>
        <w:t>sum</w:t>
      </w:r>
      <w:r w:rsidRPr="00C03BB5">
        <w:rPr>
          <w:rFonts w:eastAsia="Calibri"/>
          <w:sz w:val="22"/>
          <w:szCs w:val="22"/>
          <w:lang w:eastAsia="en-US"/>
        </w:rPr>
        <w:t xml:space="preserve">  (which has a high mortality risk) is higher at the end of the period (2007) relative to the without-project herd value by 88%, 95% and 115% depending on the percentage of livestock species value insured respectively. The high species mortality rates prevent the uninsured herder from increasing herd size above that of the with-project herder who uses the IBLI payouts for restocking. </w:t>
      </w:r>
    </w:p>
    <w:p w14:paraId="77086191" w14:textId="42925EC8"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 xml:space="preserve">Using the PAD Financial and Economic analysis as a guide for purposes of comparability, this ICR analysis updates the original simple multi-period herd simulation model to gain insights into the benefit of the project to herders, using data collected from project reports, NSO databases, and national and international databases.  This analysis provides participating organizations </w:t>
      </w:r>
      <w:r w:rsidR="00766749" w:rsidRPr="00C03BB5">
        <w:rPr>
          <w:rFonts w:eastAsia="Calibri"/>
          <w:sz w:val="22"/>
          <w:szCs w:val="22"/>
          <w:lang w:eastAsia="en-US"/>
        </w:rPr>
        <w:t xml:space="preserve"> with </w:t>
      </w:r>
      <w:r w:rsidRPr="00C03BB5">
        <w:rPr>
          <w:rFonts w:eastAsia="Calibri"/>
          <w:sz w:val="22"/>
          <w:szCs w:val="22"/>
          <w:lang w:eastAsia="en-US"/>
        </w:rPr>
        <w:t xml:space="preserve">an insight into the impact of the project in terms of herder income, ending herd value, and herder household income volatility, using updated assumptions. </w:t>
      </w:r>
    </w:p>
    <w:p w14:paraId="1793F170" w14:textId="77777777" w:rsidR="004B664D" w:rsidRPr="00C03BB5" w:rsidRDefault="004B664D" w:rsidP="004B664D">
      <w:pPr>
        <w:spacing w:after="160" w:line="259" w:lineRule="auto"/>
        <w:jc w:val="both"/>
        <w:rPr>
          <w:rFonts w:eastAsia="Calibri"/>
          <w:b/>
          <w:sz w:val="22"/>
          <w:szCs w:val="22"/>
          <w:lang w:eastAsia="en-US"/>
        </w:rPr>
      </w:pPr>
      <w:r w:rsidRPr="00C03BB5">
        <w:rPr>
          <w:rFonts w:eastAsia="Calibri"/>
          <w:b/>
          <w:sz w:val="22"/>
          <w:szCs w:val="22"/>
          <w:lang w:eastAsia="en-US"/>
        </w:rPr>
        <w:t>Main Assumptions of the model</w:t>
      </w:r>
    </w:p>
    <w:p w14:paraId="21A20F9C"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 xml:space="preserve">The multi-period herd model used in the PAD was updated over the 2005-2015 period to identify changes in with-project herder income, ending herd value, and income volatility. The model was simulated in two selected </w:t>
      </w:r>
      <w:r w:rsidRPr="00C03BB5">
        <w:rPr>
          <w:rFonts w:eastAsia="Calibri"/>
          <w:i/>
          <w:sz w:val="22"/>
          <w:szCs w:val="22"/>
          <w:lang w:eastAsia="en-US"/>
        </w:rPr>
        <w:t>sums</w:t>
      </w:r>
      <w:r w:rsidRPr="00C03BB5">
        <w:rPr>
          <w:rFonts w:eastAsia="Calibri"/>
          <w:sz w:val="22"/>
          <w:szCs w:val="22"/>
          <w:lang w:eastAsia="en-US"/>
        </w:rPr>
        <w:t xml:space="preserve">: Bumbugur </w:t>
      </w:r>
      <w:r w:rsidRPr="00C03BB5">
        <w:rPr>
          <w:rFonts w:eastAsia="Calibri"/>
          <w:i/>
          <w:sz w:val="22"/>
          <w:szCs w:val="22"/>
          <w:lang w:eastAsia="en-US"/>
        </w:rPr>
        <w:t>sum</w:t>
      </w:r>
      <w:r w:rsidRPr="00C03BB5">
        <w:rPr>
          <w:rFonts w:eastAsia="Calibri"/>
          <w:sz w:val="22"/>
          <w:szCs w:val="22"/>
          <w:lang w:eastAsia="en-US"/>
        </w:rPr>
        <w:t xml:space="preserve"> (high risk) and Jargalant </w:t>
      </w:r>
      <w:r w:rsidRPr="00C03BB5">
        <w:rPr>
          <w:rFonts w:eastAsia="Calibri"/>
          <w:i/>
          <w:sz w:val="22"/>
          <w:szCs w:val="22"/>
          <w:lang w:eastAsia="en-US"/>
        </w:rPr>
        <w:t>sum</w:t>
      </w:r>
      <w:r w:rsidRPr="00C03BB5">
        <w:rPr>
          <w:rFonts w:eastAsia="Calibri"/>
          <w:sz w:val="22"/>
          <w:szCs w:val="22"/>
          <w:lang w:eastAsia="en-US"/>
        </w:rPr>
        <w:t xml:space="preserve"> (low risk) in Bayankhongor </w:t>
      </w:r>
      <w:r w:rsidRPr="00C03BB5">
        <w:rPr>
          <w:rFonts w:eastAsia="Calibri"/>
          <w:i/>
          <w:sz w:val="22"/>
          <w:szCs w:val="22"/>
          <w:lang w:eastAsia="en-US"/>
        </w:rPr>
        <w:t>aimag</w:t>
      </w:r>
      <w:r w:rsidRPr="00C03BB5">
        <w:rPr>
          <w:rFonts w:eastAsia="Calibri"/>
          <w:sz w:val="22"/>
          <w:szCs w:val="22"/>
          <w:lang w:eastAsia="en-US"/>
        </w:rPr>
        <w:t xml:space="preserve"> (pilot aimag)</w:t>
      </w:r>
      <w:r w:rsidRPr="00C03BB5">
        <w:rPr>
          <w:rFonts w:eastAsia="Calibri"/>
          <w:sz w:val="22"/>
          <w:szCs w:val="22"/>
          <w:vertAlign w:val="superscript"/>
          <w:lang w:eastAsia="en-US"/>
        </w:rPr>
        <w:footnoteReference w:id="18"/>
      </w:r>
      <w:r w:rsidRPr="00C03BB5">
        <w:rPr>
          <w:rFonts w:eastAsia="Calibri"/>
          <w:sz w:val="22"/>
          <w:szCs w:val="22"/>
          <w:lang w:eastAsia="en-US"/>
        </w:rPr>
        <w:t xml:space="preserve">. The model was also simulated for two sums in Tuv </w:t>
      </w:r>
      <w:r w:rsidRPr="00C03BB5">
        <w:rPr>
          <w:rFonts w:eastAsia="Calibri"/>
          <w:i/>
          <w:sz w:val="22"/>
          <w:szCs w:val="22"/>
          <w:lang w:eastAsia="en-US"/>
        </w:rPr>
        <w:t>aimag</w:t>
      </w:r>
      <w:r w:rsidRPr="00C03BB5">
        <w:rPr>
          <w:rFonts w:eastAsia="Calibri"/>
          <w:sz w:val="22"/>
          <w:szCs w:val="22"/>
          <w:lang w:eastAsia="en-US"/>
        </w:rPr>
        <w:t xml:space="preserve">, but this annex describes the results for Bayankhongor aimag only since the results of Tuv </w:t>
      </w:r>
      <w:r w:rsidRPr="00C03BB5">
        <w:rPr>
          <w:rFonts w:eastAsia="Calibri"/>
          <w:i/>
          <w:sz w:val="22"/>
          <w:szCs w:val="22"/>
          <w:lang w:eastAsia="en-US"/>
        </w:rPr>
        <w:t>aimag</w:t>
      </w:r>
      <w:r w:rsidRPr="00C03BB5">
        <w:rPr>
          <w:rFonts w:eastAsia="Calibri"/>
          <w:sz w:val="22"/>
          <w:szCs w:val="22"/>
          <w:lang w:eastAsia="en-US"/>
        </w:rPr>
        <w:t xml:space="preserve"> are qualitatively the same. </w:t>
      </w:r>
    </w:p>
    <w:p w14:paraId="613D96CE" w14:textId="77777777" w:rsidR="004B664D" w:rsidRPr="00C03BB5" w:rsidRDefault="004B664D" w:rsidP="005A4EF0">
      <w:pPr>
        <w:numPr>
          <w:ilvl w:val="0"/>
          <w:numId w:val="32"/>
        </w:numPr>
        <w:spacing w:after="160" w:line="259" w:lineRule="auto"/>
        <w:ind w:firstLine="0"/>
        <w:rPr>
          <w:rFonts w:eastAsia="Calibri"/>
          <w:bCs/>
          <w:iCs/>
          <w:sz w:val="22"/>
          <w:szCs w:val="22"/>
          <w:lang w:eastAsia="en-US"/>
        </w:rPr>
      </w:pPr>
      <w:r w:rsidRPr="00C03BB5">
        <w:rPr>
          <w:rFonts w:eastAsia="Calibri"/>
          <w:bCs/>
          <w:iCs/>
          <w:sz w:val="22"/>
          <w:szCs w:val="22"/>
          <w:lang w:eastAsia="en-US"/>
        </w:rPr>
        <w:t xml:space="preserve">Most of the assumptions remain the same for the ex-post simulation model analysis (they were validated by field visits) with three main exceptions: (i) the strike rate for the IBLI insurance program has </w:t>
      </w:r>
      <w:r w:rsidRPr="00C03BB5">
        <w:rPr>
          <w:rFonts w:eastAsia="Calibri"/>
          <w:bCs/>
          <w:iCs/>
          <w:sz w:val="22"/>
          <w:szCs w:val="22"/>
          <w:lang w:eastAsia="en-US"/>
        </w:rPr>
        <w:lastRenderedPageBreak/>
        <w:t xml:space="preserve">been changed from 7% to 6% starting in 2009, (ii) the Disaster Response Product (DRP) has been discontinued, and (iii) the revenue from milk is accounted for when calculating herders’ total revenue. </w:t>
      </w:r>
    </w:p>
    <w:p w14:paraId="12CF5373" w14:textId="08FB52CA"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i/>
          <w:iCs/>
          <w:sz w:val="22"/>
          <w:szCs w:val="22"/>
          <w:lang w:eastAsia="en-US"/>
        </w:rPr>
        <w:t>Model and Production Coefficients</w:t>
      </w:r>
      <w:r w:rsidRPr="00C03BB5">
        <w:rPr>
          <w:rFonts w:eastAsia="Calibri"/>
          <w:sz w:val="22"/>
          <w:szCs w:val="22"/>
          <w:lang w:eastAsia="en-US"/>
        </w:rPr>
        <w:t>.  The model is adapted from a single period herd model formulated by the Centre for Policy Research (CPR) in Mongolia and is based on field survey information. The model has five species and begins with 200 animals in the initial year (</w:t>
      </w:r>
      <w:r w:rsidRPr="00C03BB5">
        <w:rPr>
          <w:rFonts w:eastAsia="Calibri"/>
          <w:i/>
          <w:sz w:val="22"/>
          <w:szCs w:val="22"/>
          <w:lang w:eastAsia="en-US"/>
        </w:rPr>
        <w:t>camels, 3; horses, 17; cattle 14; sheep, 88; goats, 78</w:t>
      </w:r>
      <w:r w:rsidRPr="00C03BB5">
        <w:rPr>
          <w:rFonts w:eastAsia="Calibri"/>
          <w:sz w:val="22"/>
          <w:szCs w:val="22"/>
          <w:lang w:eastAsia="en-US"/>
        </w:rPr>
        <w:t>).</w:t>
      </w:r>
      <w:r w:rsidRPr="00C03BB5">
        <w:rPr>
          <w:rFonts w:eastAsia="Calibri"/>
          <w:sz w:val="22"/>
          <w:szCs w:val="22"/>
          <w:vertAlign w:val="superscript"/>
          <w:lang w:eastAsia="en-US"/>
        </w:rPr>
        <w:footnoteReference w:id="19"/>
      </w:r>
      <w:r w:rsidRPr="00C03BB5">
        <w:rPr>
          <w:rFonts w:eastAsia="Calibri"/>
          <w:sz w:val="22"/>
          <w:szCs w:val="22"/>
          <w:lang w:eastAsia="en-US"/>
        </w:rPr>
        <w:t xml:space="preserve"> The model specifies species coefficients for the percentage of reproductive females, yearlings per 100 females, live animals sold, and number of livestock consumed by the household. Coefficients are also specified for wool and cashmere yield/animal by species, and for milk production. Yearly mortality rates are actual rates </w:t>
      </w:r>
      <w:r w:rsidR="00766749" w:rsidRPr="00C03BB5">
        <w:rPr>
          <w:rFonts w:eastAsia="Calibri"/>
          <w:sz w:val="22"/>
          <w:szCs w:val="22"/>
          <w:lang w:eastAsia="en-US"/>
        </w:rPr>
        <w:t>calculated from</w:t>
      </w:r>
      <w:r w:rsidRPr="00C03BB5">
        <w:rPr>
          <w:rFonts w:eastAsia="Calibri"/>
          <w:sz w:val="22"/>
          <w:szCs w:val="22"/>
          <w:lang w:eastAsia="en-US"/>
        </w:rPr>
        <w:t xml:space="preserve"> the National Statistical Office (NSO) </w:t>
      </w:r>
      <w:r w:rsidR="00766749" w:rsidRPr="00C03BB5">
        <w:rPr>
          <w:rFonts w:eastAsia="Calibri"/>
          <w:sz w:val="22"/>
          <w:szCs w:val="22"/>
          <w:lang w:eastAsia="en-US"/>
        </w:rPr>
        <w:t xml:space="preserve">data </w:t>
      </w:r>
      <w:r w:rsidRPr="00C03BB5">
        <w:rPr>
          <w:rFonts w:eastAsia="Calibri"/>
          <w:sz w:val="22"/>
          <w:szCs w:val="22"/>
          <w:lang w:eastAsia="en-US"/>
        </w:rPr>
        <w:t xml:space="preserve">and presented in Tables 1 for the two </w:t>
      </w:r>
      <w:r w:rsidRPr="00C03BB5">
        <w:rPr>
          <w:rFonts w:eastAsia="Calibri"/>
          <w:i/>
          <w:sz w:val="22"/>
          <w:szCs w:val="22"/>
          <w:lang w:eastAsia="en-US"/>
        </w:rPr>
        <w:t>sums</w:t>
      </w:r>
      <w:r w:rsidRPr="00C03BB5">
        <w:rPr>
          <w:rFonts w:eastAsia="Calibri"/>
          <w:sz w:val="22"/>
          <w:szCs w:val="22"/>
          <w:lang w:eastAsia="en-US"/>
        </w:rPr>
        <w:t xml:space="preserve">.  </w:t>
      </w:r>
    </w:p>
    <w:p w14:paraId="36C12ADC" w14:textId="77777777" w:rsidR="004B664D" w:rsidRPr="00C03BB5" w:rsidRDefault="004B664D" w:rsidP="004B664D">
      <w:pPr>
        <w:spacing w:after="120" w:line="259" w:lineRule="auto"/>
        <w:jc w:val="center"/>
        <w:rPr>
          <w:rFonts w:eastAsia="Calibri"/>
          <w:b/>
          <w:sz w:val="22"/>
          <w:szCs w:val="22"/>
          <w:lang w:eastAsia="en-US"/>
        </w:rPr>
      </w:pPr>
      <w:r w:rsidRPr="00C03BB5">
        <w:rPr>
          <w:rFonts w:eastAsia="Calibri"/>
          <w:b/>
          <w:sz w:val="22"/>
          <w:szCs w:val="22"/>
          <w:lang w:eastAsia="en-US"/>
        </w:rPr>
        <w:t xml:space="preserve">Table 1. Animal Species Mortality Rates, Bayankhongor </w:t>
      </w:r>
      <w:r w:rsidRPr="00C03BB5">
        <w:rPr>
          <w:rFonts w:eastAsia="Calibri"/>
          <w:b/>
          <w:i/>
          <w:sz w:val="22"/>
          <w:szCs w:val="22"/>
          <w:lang w:eastAsia="en-US"/>
        </w:rPr>
        <w:t>aimag</w:t>
      </w:r>
      <w:r w:rsidRPr="00C03BB5">
        <w:rPr>
          <w:rFonts w:eastAsia="Calibri"/>
          <w:b/>
          <w:sz w:val="22"/>
          <w:szCs w:val="22"/>
          <w:lang w:eastAsia="en-US"/>
        </w:rPr>
        <w:t>, 2005-2015</w:t>
      </w:r>
    </w:p>
    <w:tbl>
      <w:tblPr>
        <w:tblW w:w="9391" w:type="dxa"/>
        <w:tblLayout w:type="fixed"/>
        <w:tblCellMar>
          <w:left w:w="0" w:type="dxa"/>
          <w:right w:w="0" w:type="dxa"/>
        </w:tblCellMar>
        <w:tblLook w:val="04A0" w:firstRow="1" w:lastRow="0" w:firstColumn="1" w:lastColumn="0" w:noHBand="0" w:noVBand="1"/>
      </w:tblPr>
      <w:tblGrid>
        <w:gridCol w:w="736"/>
        <w:gridCol w:w="844"/>
        <w:gridCol w:w="844"/>
        <w:gridCol w:w="844"/>
        <w:gridCol w:w="844"/>
        <w:gridCol w:w="848"/>
        <w:gridCol w:w="124"/>
        <w:gridCol w:w="158"/>
        <w:gridCol w:w="604"/>
        <w:gridCol w:w="158"/>
        <w:gridCol w:w="687"/>
        <w:gridCol w:w="158"/>
        <w:gridCol w:w="687"/>
        <w:gridCol w:w="158"/>
        <w:gridCol w:w="694"/>
        <w:gridCol w:w="151"/>
        <w:gridCol w:w="694"/>
        <w:gridCol w:w="158"/>
      </w:tblGrid>
      <w:tr w:rsidR="004B664D" w:rsidRPr="00C03BB5" w14:paraId="417D2A74" w14:textId="77777777" w:rsidTr="000D7C76">
        <w:trPr>
          <w:gridAfter w:val="1"/>
          <w:wAfter w:w="153" w:type="dxa"/>
          <w:trHeight w:val="166"/>
        </w:trPr>
        <w:tc>
          <w:tcPr>
            <w:tcW w:w="737" w:type="dxa"/>
            <w:tcBorders>
              <w:top w:val="single" w:sz="8" w:space="0" w:color="auto"/>
              <w:left w:val="nil"/>
              <w:bottom w:val="nil"/>
              <w:right w:val="nil"/>
            </w:tcBorders>
            <w:shd w:val="clear" w:color="auto" w:fill="auto"/>
            <w:noWrap/>
            <w:tcMar>
              <w:top w:w="15" w:type="dxa"/>
              <w:left w:w="15" w:type="dxa"/>
              <w:bottom w:w="0" w:type="dxa"/>
              <w:right w:w="15" w:type="dxa"/>
            </w:tcMar>
            <w:vAlign w:val="bottom"/>
            <w:hideMark/>
          </w:tcPr>
          <w:p w14:paraId="2B9609B9" w14:textId="77777777" w:rsidR="004B664D" w:rsidRPr="00C03BB5" w:rsidRDefault="004B664D" w:rsidP="004B664D">
            <w:pPr>
              <w:spacing w:after="160" w:line="259" w:lineRule="auto"/>
              <w:rPr>
                <w:rFonts w:eastAsia="Calibri"/>
                <w:color w:val="000000"/>
                <w:sz w:val="14"/>
                <w:szCs w:val="22"/>
                <w:lang w:eastAsia="en-US"/>
              </w:rPr>
            </w:pPr>
            <w:r w:rsidRPr="00C03BB5">
              <w:rPr>
                <w:rFonts w:eastAsia="Calibri"/>
                <w:color w:val="000000"/>
                <w:sz w:val="14"/>
                <w:szCs w:val="22"/>
                <w:lang w:eastAsia="en-US"/>
              </w:rPr>
              <w:t> </w:t>
            </w:r>
          </w:p>
        </w:tc>
        <w:tc>
          <w:tcPr>
            <w:tcW w:w="4229" w:type="dxa"/>
            <w:gridSpan w:val="5"/>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35FFC2D8"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 xml:space="preserve">Bumbugur </w:t>
            </w:r>
            <w:r w:rsidRPr="00C03BB5">
              <w:rPr>
                <w:rFonts w:eastAsia="Calibri"/>
                <w:b/>
                <w:bCs/>
                <w:i/>
                <w:iCs/>
                <w:color w:val="000000"/>
                <w:sz w:val="14"/>
                <w:szCs w:val="18"/>
                <w:lang w:eastAsia="en-US"/>
              </w:rPr>
              <w:t>sum</w:t>
            </w:r>
            <w:r w:rsidRPr="00C03BB5">
              <w:rPr>
                <w:rFonts w:eastAsia="Calibri"/>
                <w:b/>
                <w:bCs/>
                <w:color w:val="000000"/>
                <w:sz w:val="14"/>
                <w:szCs w:val="18"/>
                <w:lang w:eastAsia="en-US"/>
              </w:rPr>
              <w:t xml:space="preserve"> </w:t>
            </w:r>
          </w:p>
        </w:tc>
        <w:tc>
          <w:tcPr>
            <w:tcW w:w="124" w:type="dxa"/>
            <w:tcBorders>
              <w:top w:val="single" w:sz="8" w:space="0" w:color="auto"/>
              <w:left w:val="nil"/>
              <w:bottom w:val="nil"/>
              <w:right w:val="nil"/>
            </w:tcBorders>
            <w:shd w:val="clear" w:color="auto" w:fill="auto"/>
            <w:noWrap/>
            <w:tcMar>
              <w:top w:w="15" w:type="dxa"/>
              <w:left w:w="15" w:type="dxa"/>
              <w:bottom w:w="0" w:type="dxa"/>
              <w:right w:w="15" w:type="dxa"/>
            </w:tcMar>
            <w:vAlign w:val="bottom"/>
            <w:hideMark/>
          </w:tcPr>
          <w:p w14:paraId="2FE29AA2"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 </w:t>
            </w:r>
          </w:p>
        </w:tc>
        <w:tc>
          <w:tcPr>
            <w:tcW w:w="4148" w:type="dxa"/>
            <w:gridSpan w:val="10"/>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2352FB3D"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 xml:space="preserve">Jargalant </w:t>
            </w:r>
            <w:r w:rsidRPr="00C03BB5">
              <w:rPr>
                <w:rFonts w:eastAsia="Calibri"/>
                <w:b/>
                <w:bCs/>
                <w:i/>
                <w:iCs/>
                <w:color w:val="000000"/>
                <w:sz w:val="14"/>
                <w:szCs w:val="22"/>
                <w:lang w:eastAsia="en-US"/>
              </w:rPr>
              <w:t>sum</w:t>
            </w:r>
          </w:p>
        </w:tc>
      </w:tr>
      <w:tr w:rsidR="004B664D" w:rsidRPr="00C03BB5" w14:paraId="72317646" w14:textId="77777777" w:rsidTr="000D7C76">
        <w:trPr>
          <w:gridAfter w:val="1"/>
          <w:wAfter w:w="158" w:type="dxa"/>
          <w:trHeight w:val="166"/>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79D26F11" w14:textId="77777777" w:rsidR="004B664D" w:rsidRPr="00C03BB5" w:rsidRDefault="004B664D" w:rsidP="004B664D">
            <w:pPr>
              <w:spacing w:after="160" w:line="259" w:lineRule="auto"/>
              <w:jc w:val="center"/>
              <w:rPr>
                <w:rFonts w:eastAsia="Calibri"/>
                <w:b/>
                <w:bCs/>
                <w:sz w:val="14"/>
                <w:szCs w:val="18"/>
                <w:lang w:eastAsia="en-US"/>
              </w:rPr>
            </w:pPr>
          </w:p>
        </w:tc>
        <w:tc>
          <w:tcPr>
            <w:tcW w:w="845"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18FBD198"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Camel</w:t>
            </w:r>
          </w:p>
        </w:tc>
        <w:tc>
          <w:tcPr>
            <w:tcW w:w="845"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0FA475C9"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Horse</w:t>
            </w:r>
          </w:p>
        </w:tc>
        <w:tc>
          <w:tcPr>
            <w:tcW w:w="845"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33475106"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Cattle</w:t>
            </w:r>
          </w:p>
        </w:tc>
        <w:tc>
          <w:tcPr>
            <w:tcW w:w="845"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1FC2513"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Sheep</w:t>
            </w:r>
          </w:p>
        </w:tc>
        <w:tc>
          <w:tcPr>
            <w:tcW w:w="847"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1273832"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Goat</w:t>
            </w:r>
          </w:p>
        </w:tc>
        <w:tc>
          <w:tcPr>
            <w:tcW w:w="124"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68A3BE63"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 </w:t>
            </w:r>
          </w:p>
        </w:tc>
        <w:tc>
          <w:tcPr>
            <w:tcW w:w="762" w:type="dxa"/>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6CCBCF34"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Camel</w:t>
            </w:r>
          </w:p>
        </w:tc>
        <w:tc>
          <w:tcPr>
            <w:tcW w:w="845" w:type="dxa"/>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61D8E5AA"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Horse</w:t>
            </w:r>
          </w:p>
        </w:tc>
        <w:tc>
          <w:tcPr>
            <w:tcW w:w="845" w:type="dxa"/>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8EF9AA0"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Cattle</w:t>
            </w:r>
          </w:p>
        </w:tc>
        <w:tc>
          <w:tcPr>
            <w:tcW w:w="848" w:type="dxa"/>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7B0BCD3B"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Sheep</w:t>
            </w:r>
          </w:p>
        </w:tc>
        <w:tc>
          <w:tcPr>
            <w:tcW w:w="845" w:type="dxa"/>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0ECD39DC" w14:textId="77777777" w:rsidR="004B664D" w:rsidRPr="00C03BB5" w:rsidRDefault="004B664D" w:rsidP="004B664D">
            <w:pPr>
              <w:spacing w:after="160" w:line="259" w:lineRule="auto"/>
              <w:jc w:val="center"/>
              <w:rPr>
                <w:rFonts w:eastAsia="Calibri"/>
                <w:b/>
                <w:bCs/>
                <w:sz w:val="14"/>
                <w:szCs w:val="18"/>
                <w:lang w:eastAsia="en-US"/>
              </w:rPr>
            </w:pPr>
            <w:r w:rsidRPr="00C03BB5">
              <w:rPr>
                <w:rFonts w:eastAsia="Calibri"/>
                <w:b/>
                <w:bCs/>
                <w:sz w:val="14"/>
                <w:szCs w:val="18"/>
                <w:lang w:eastAsia="en-US"/>
              </w:rPr>
              <w:t>Goat</w:t>
            </w:r>
          </w:p>
        </w:tc>
      </w:tr>
      <w:tr w:rsidR="004B664D" w:rsidRPr="00C03BB5" w14:paraId="3D12AC77"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6E9354F6"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2005</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52F532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397089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7432675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1.2%</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4CB47669"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1.0%</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422F7E5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0.2%</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30E0A5F"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CB0BEA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38E9B8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70F07C5A"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4DF7664"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1BCDB12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r>
      <w:tr w:rsidR="004B664D" w:rsidRPr="00C03BB5" w14:paraId="67CC0E44"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106F3603"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2006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1577D05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0800C0B"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B5AE08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1.0%</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8658A4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1.2%</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5A76350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3DC738F"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B49E2A8"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1C89193B"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4.8%</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299A9E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5.3%</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C16CE1D"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4.6%</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1EE2346"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5.4%</w:t>
            </w:r>
          </w:p>
        </w:tc>
      </w:tr>
      <w:tr w:rsidR="004B664D" w:rsidRPr="00C03BB5" w14:paraId="41D8A148"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1A4C3EBE"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2007</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7A0FB20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7.7%</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472E6AF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0.8%</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5AC9B807"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1.3%</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07A5D6E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1.1%</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00317CFD"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594A412"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266F5D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7.7%</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2F152B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3.4%</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F00015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3.1%</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E3FBB7B"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2.5%</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1E085CB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3.2%</w:t>
            </w:r>
          </w:p>
        </w:tc>
      </w:tr>
      <w:tr w:rsidR="004B664D" w:rsidRPr="00C03BB5" w14:paraId="3A01AF86"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2EB01CBA"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2008</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54ACFA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3.2%</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120E245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1.1%</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43943D06"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4.5%</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8F5E3DA"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7C32DF69"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0.1%</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6B1A858"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89412B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39E8251"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3.3%</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2FA5218"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2.7%</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82C0F1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2.2%</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D4B3A2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2.3%</w:t>
            </w:r>
          </w:p>
        </w:tc>
      </w:tr>
      <w:tr w:rsidR="004B664D" w:rsidRPr="00C03BB5" w14:paraId="0F79691E"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6DB76F9C"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2009</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1419BE6"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27.2%</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D06938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15.1%</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4055AA9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10.5%</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17EE7FB"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22.0%</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6C9662B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12.9%</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05530B0"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F39AAAD"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255876A"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4.3%</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638BBC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3.7%</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989C6E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7.0%</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5A11398"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6.2%</w:t>
            </w:r>
          </w:p>
        </w:tc>
      </w:tr>
      <w:tr w:rsidR="004B664D" w:rsidRPr="00C03BB5" w14:paraId="3651DBB5"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3FC24E88"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2010</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1C4B9EC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25.3%</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1C183827"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27.8%</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682EF88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35.6%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6D01FE87"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41.1%</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008E81E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22.9%</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761AFE64"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49E435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6.3%</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68AD73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20.9%</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76E6A89"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26.8%</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1F9EDA6"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18.0%</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C1ED804"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18.0%</w:t>
            </w:r>
          </w:p>
        </w:tc>
      </w:tr>
      <w:tr w:rsidR="004B664D" w:rsidRPr="00C03BB5" w14:paraId="72DD278D"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7D6688D0"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2011</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619BA08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7.4%</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A6941F7"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0.5%</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314770D"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0.9%</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6327EACA"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1.4%</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0D6722A6"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1.1%</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8A8F6EC" w14:textId="77777777" w:rsidR="004B664D" w:rsidRPr="00C03BB5" w:rsidRDefault="004B664D" w:rsidP="004B664D">
            <w:pPr>
              <w:spacing w:after="160" w:line="259" w:lineRule="auto"/>
              <w:jc w:val="right"/>
              <w:rPr>
                <w:rFonts w:eastAsia="Calibri"/>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1515938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77CA5D9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4.2%</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974593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4.0%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F908A2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2.7%</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1710997E"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2.3%</w:t>
            </w:r>
          </w:p>
        </w:tc>
      </w:tr>
      <w:tr w:rsidR="004B664D" w:rsidRPr="00C03BB5" w14:paraId="35943DF0"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29432F94"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2012</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11851537"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11.0%</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98B874B"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6.6%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8D21772"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7.9%</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6EDA4A07"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9.7%</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4756D1AC"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5.4%</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8B6994F" w14:textId="77777777" w:rsidR="004B664D" w:rsidRPr="00C03BB5" w:rsidRDefault="004B664D" w:rsidP="004B664D">
            <w:pPr>
              <w:spacing w:after="160" w:line="259" w:lineRule="auto"/>
              <w:jc w:val="right"/>
              <w:rPr>
                <w:rFonts w:eastAsia="Calibri"/>
                <w:b/>
                <w:bCs/>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024662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F6EF88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0.8%</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6F41F6A9"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0.6%</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0A0AF80"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0.6%</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F798FF3"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1.0%</w:t>
            </w:r>
          </w:p>
        </w:tc>
      </w:tr>
      <w:tr w:rsidR="004B664D" w:rsidRPr="00C03BB5" w14:paraId="5E8D377E"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1318DFCE"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2013</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C4E9D7B"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11.0%</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EFC41A4"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6.6%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1E6EEEC5"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7.9%</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0CACC44"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9.7%</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1F0B183C"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5.4%</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07AD6CDF" w14:textId="77777777" w:rsidR="004B664D" w:rsidRPr="00C03BB5" w:rsidRDefault="004B664D" w:rsidP="004B664D">
            <w:pPr>
              <w:spacing w:after="160" w:line="259" w:lineRule="auto"/>
              <w:jc w:val="right"/>
              <w:rPr>
                <w:rFonts w:eastAsia="Calibri"/>
                <w:b/>
                <w:bCs/>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3366DE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7A22BD95"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0.9%</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1D003B4"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0.9%</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442ACC8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8F65E5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0.5%</w:t>
            </w:r>
          </w:p>
        </w:tc>
      </w:tr>
      <w:tr w:rsidR="004B664D" w:rsidRPr="00C03BB5" w14:paraId="562F4CD2" w14:textId="77777777" w:rsidTr="000D7C76">
        <w:trPr>
          <w:trHeight w:val="15"/>
        </w:trPr>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6A96D674"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2014</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37AE1FBF"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11.0%</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E04A2AD"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6.6%</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02E19AD9"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7.9%</w:t>
            </w:r>
          </w:p>
        </w:tc>
        <w:tc>
          <w:tcPr>
            <w:tcW w:w="845" w:type="dxa"/>
            <w:tcBorders>
              <w:top w:val="nil"/>
              <w:left w:val="nil"/>
              <w:bottom w:val="nil"/>
              <w:right w:val="nil"/>
            </w:tcBorders>
            <w:shd w:val="clear" w:color="auto" w:fill="auto"/>
            <w:noWrap/>
            <w:tcMar>
              <w:top w:w="15" w:type="dxa"/>
              <w:left w:w="15" w:type="dxa"/>
              <w:bottom w:w="0" w:type="dxa"/>
              <w:right w:w="225" w:type="dxa"/>
            </w:tcMar>
            <w:vAlign w:val="bottom"/>
            <w:hideMark/>
          </w:tcPr>
          <w:p w14:paraId="23FE1BB3"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9.7%</w:t>
            </w:r>
          </w:p>
        </w:tc>
        <w:tc>
          <w:tcPr>
            <w:tcW w:w="847" w:type="dxa"/>
            <w:tcBorders>
              <w:top w:val="nil"/>
              <w:left w:val="nil"/>
              <w:bottom w:val="nil"/>
              <w:right w:val="nil"/>
            </w:tcBorders>
            <w:shd w:val="clear" w:color="auto" w:fill="auto"/>
            <w:noWrap/>
            <w:tcMar>
              <w:top w:w="15" w:type="dxa"/>
              <w:left w:w="15" w:type="dxa"/>
              <w:bottom w:w="0" w:type="dxa"/>
              <w:right w:w="225" w:type="dxa"/>
            </w:tcMar>
            <w:vAlign w:val="bottom"/>
            <w:hideMark/>
          </w:tcPr>
          <w:p w14:paraId="66796397"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5.4%</w:t>
            </w:r>
          </w:p>
        </w:tc>
        <w:tc>
          <w:tcPr>
            <w:tcW w:w="28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9EE8639" w14:textId="77777777" w:rsidR="004B664D" w:rsidRPr="00C03BB5" w:rsidRDefault="004B664D" w:rsidP="004B664D">
            <w:pPr>
              <w:spacing w:after="160" w:line="259" w:lineRule="auto"/>
              <w:jc w:val="right"/>
              <w:rPr>
                <w:rFonts w:eastAsia="Calibri"/>
                <w:b/>
                <w:bCs/>
                <w:color w:val="000000"/>
                <w:sz w:val="12"/>
                <w:szCs w:val="20"/>
                <w:lang w:eastAsia="en-US"/>
              </w:rPr>
            </w:pPr>
          </w:p>
        </w:tc>
        <w:tc>
          <w:tcPr>
            <w:tcW w:w="762"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2EA027E7"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12791A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1.4%</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760C5BA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845"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5324421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848" w:type="dxa"/>
            <w:gridSpan w:val="2"/>
            <w:tcBorders>
              <w:top w:val="nil"/>
              <w:left w:val="nil"/>
              <w:bottom w:val="nil"/>
              <w:right w:val="nil"/>
            </w:tcBorders>
            <w:shd w:val="clear" w:color="auto" w:fill="auto"/>
            <w:noWrap/>
            <w:tcMar>
              <w:top w:w="15" w:type="dxa"/>
              <w:left w:w="15" w:type="dxa"/>
              <w:bottom w:w="0" w:type="dxa"/>
              <w:right w:w="225" w:type="dxa"/>
            </w:tcMar>
            <w:vAlign w:val="bottom"/>
            <w:hideMark/>
          </w:tcPr>
          <w:p w14:paraId="31098B3C"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r>
      <w:tr w:rsidR="004B664D" w:rsidRPr="00C03BB5" w14:paraId="55612E3D" w14:textId="77777777" w:rsidTr="000D7C76">
        <w:trPr>
          <w:trHeight w:val="15"/>
        </w:trPr>
        <w:tc>
          <w:tcPr>
            <w:tcW w:w="737"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6FA2EDD3" w14:textId="77777777" w:rsidR="004B664D" w:rsidRPr="00C03BB5" w:rsidRDefault="004B664D" w:rsidP="004B664D">
            <w:pPr>
              <w:spacing w:after="160" w:line="259" w:lineRule="auto"/>
              <w:jc w:val="right"/>
              <w:rPr>
                <w:rFonts w:eastAsia="Calibri"/>
                <w:color w:val="000000"/>
                <w:sz w:val="12"/>
                <w:szCs w:val="22"/>
                <w:lang w:eastAsia="en-US"/>
              </w:rPr>
            </w:pPr>
            <w:r w:rsidRPr="00C03BB5">
              <w:rPr>
                <w:rFonts w:eastAsia="Calibri"/>
                <w:color w:val="000000"/>
                <w:sz w:val="12"/>
                <w:szCs w:val="22"/>
                <w:lang w:eastAsia="en-US"/>
              </w:rPr>
              <w:t>2015</w:t>
            </w:r>
          </w:p>
        </w:tc>
        <w:tc>
          <w:tcPr>
            <w:tcW w:w="845" w:type="dxa"/>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588ABA2D"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11.0%</w:t>
            </w:r>
          </w:p>
        </w:tc>
        <w:tc>
          <w:tcPr>
            <w:tcW w:w="845" w:type="dxa"/>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5D153A5F"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6.6%</w:t>
            </w:r>
          </w:p>
        </w:tc>
        <w:tc>
          <w:tcPr>
            <w:tcW w:w="845" w:type="dxa"/>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126D292E"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7.9%</w:t>
            </w:r>
          </w:p>
        </w:tc>
        <w:tc>
          <w:tcPr>
            <w:tcW w:w="845" w:type="dxa"/>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00D174F3"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9.7%</w:t>
            </w:r>
          </w:p>
        </w:tc>
        <w:tc>
          <w:tcPr>
            <w:tcW w:w="847" w:type="dxa"/>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7E803A55" w14:textId="77777777" w:rsidR="004B664D" w:rsidRPr="00C03BB5" w:rsidRDefault="004B664D" w:rsidP="004B664D">
            <w:pPr>
              <w:spacing w:after="160" w:line="259" w:lineRule="auto"/>
              <w:jc w:val="right"/>
              <w:rPr>
                <w:rFonts w:eastAsia="Calibri"/>
                <w:b/>
                <w:bCs/>
                <w:color w:val="000000"/>
                <w:sz w:val="12"/>
                <w:szCs w:val="20"/>
                <w:lang w:eastAsia="en-US"/>
              </w:rPr>
            </w:pPr>
            <w:r w:rsidRPr="00C03BB5">
              <w:rPr>
                <w:rFonts w:eastAsia="Calibri"/>
                <w:b/>
                <w:bCs/>
                <w:color w:val="000000"/>
                <w:sz w:val="12"/>
                <w:szCs w:val="20"/>
                <w:lang w:eastAsia="en-US"/>
              </w:rPr>
              <w:t>5.4%</w:t>
            </w:r>
          </w:p>
        </w:tc>
        <w:tc>
          <w:tcPr>
            <w:tcW w:w="282" w:type="dxa"/>
            <w:gridSpan w:val="2"/>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184AC798"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 </w:t>
            </w:r>
          </w:p>
        </w:tc>
        <w:tc>
          <w:tcPr>
            <w:tcW w:w="762" w:type="dxa"/>
            <w:gridSpan w:val="2"/>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07D7C2DA"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0.0%</w:t>
            </w:r>
          </w:p>
        </w:tc>
        <w:tc>
          <w:tcPr>
            <w:tcW w:w="845" w:type="dxa"/>
            <w:gridSpan w:val="2"/>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7B5AD43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0.5%</w:t>
            </w:r>
          </w:p>
        </w:tc>
        <w:tc>
          <w:tcPr>
            <w:tcW w:w="845" w:type="dxa"/>
            <w:gridSpan w:val="2"/>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668D77C9"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0.6%</w:t>
            </w:r>
          </w:p>
        </w:tc>
        <w:tc>
          <w:tcPr>
            <w:tcW w:w="845" w:type="dxa"/>
            <w:gridSpan w:val="2"/>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5C394072"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0.3%</w:t>
            </w:r>
          </w:p>
        </w:tc>
        <w:tc>
          <w:tcPr>
            <w:tcW w:w="848" w:type="dxa"/>
            <w:gridSpan w:val="2"/>
            <w:tcBorders>
              <w:top w:val="nil"/>
              <w:left w:val="nil"/>
              <w:bottom w:val="single" w:sz="8" w:space="0" w:color="auto"/>
              <w:right w:val="nil"/>
            </w:tcBorders>
            <w:shd w:val="clear" w:color="auto" w:fill="auto"/>
            <w:noWrap/>
            <w:tcMar>
              <w:top w:w="15" w:type="dxa"/>
              <w:left w:w="15" w:type="dxa"/>
              <w:bottom w:w="0" w:type="dxa"/>
              <w:right w:w="225" w:type="dxa"/>
            </w:tcMar>
            <w:vAlign w:val="bottom"/>
            <w:hideMark/>
          </w:tcPr>
          <w:p w14:paraId="1B6A3ADF" w14:textId="77777777" w:rsidR="004B664D" w:rsidRPr="00C03BB5" w:rsidRDefault="004B664D" w:rsidP="004B664D">
            <w:pPr>
              <w:spacing w:after="160" w:line="259" w:lineRule="auto"/>
              <w:jc w:val="right"/>
              <w:rPr>
                <w:rFonts w:eastAsia="Calibri"/>
                <w:color w:val="000000"/>
                <w:sz w:val="12"/>
                <w:szCs w:val="20"/>
                <w:lang w:eastAsia="en-US"/>
              </w:rPr>
            </w:pPr>
            <w:r w:rsidRPr="00C03BB5">
              <w:rPr>
                <w:rFonts w:eastAsia="Calibri"/>
                <w:color w:val="000000"/>
                <w:sz w:val="12"/>
                <w:szCs w:val="20"/>
                <w:lang w:eastAsia="en-US"/>
              </w:rPr>
              <w:t>0.4%</w:t>
            </w:r>
          </w:p>
        </w:tc>
      </w:tr>
      <w:tr w:rsidR="004B664D" w:rsidRPr="00C03BB5" w14:paraId="2E75F2AE" w14:textId="77777777" w:rsidTr="000D7C76">
        <w:trPr>
          <w:gridAfter w:val="1"/>
          <w:wAfter w:w="152" w:type="dxa"/>
          <w:trHeight w:val="160"/>
        </w:trPr>
        <w:tc>
          <w:tcPr>
            <w:tcW w:w="8394" w:type="dxa"/>
            <w:gridSpan w:val="15"/>
            <w:tcBorders>
              <w:top w:val="nil"/>
              <w:left w:val="nil"/>
              <w:bottom w:val="nil"/>
              <w:right w:val="nil"/>
            </w:tcBorders>
            <w:shd w:val="clear" w:color="auto" w:fill="auto"/>
            <w:noWrap/>
            <w:tcMar>
              <w:top w:w="15" w:type="dxa"/>
              <w:left w:w="15" w:type="dxa"/>
              <w:bottom w:w="0" w:type="dxa"/>
              <w:right w:w="15" w:type="dxa"/>
            </w:tcMar>
            <w:vAlign w:val="bottom"/>
            <w:hideMark/>
          </w:tcPr>
          <w:p w14:paraId="0C37C0F7" w14:textId="77777777" w:rsidR="004B664D" w:rsidRPr="00C03BB5" w:rsidRDefault="004B664D" w:rsidP="004B664D">
            <w:pPr>
              <w:spacing w:after="160" w:line="259" w:lineRule="auto"/>
              <w:rPr>
                <w:rFonts w:eastAsia="Calibri"/>
                <w:color w:val="000000"/>
                <w:sz w:val="14"/>
                <w:szCs w:val="22"/>
                <w:lang w:eastAsia="en-US"/>
              </w:rPr>
            </w:pPr>
            <w:r w:rsidRPr="00C03BB5">
              <w:rPr>
                <w:rFonts w:eastAsia="Calibri"/>
                <w:color w:val="000000"/>
                <w:sz w:val="14"/>
                <w:szCs w:val="22"/>
                <w:lang w:eastAsia="en-US"/>
              </w:rPr>
              <w:t>Source: Calculations using NSO data; data in bold is missing and was replaced by the average historical rate</w:t>
            </w:r>
          </w:p>
          <w:p w14:paraId="51F27F4C" w14:textId="77777777" w:rsidR="004B664D" w:rsidRPr="00C03BB5" w:rsidRDefault="004B664D" w:rsidP="004B664D">
            <w:pPr>
              <w:spacing w:after="160" w:line="259" w:lineRule="auto"/>
              <w:rPr>
                <w:rFonts w:eastAsia="Calibri"/>
                <w:color w:val="000000"/>
                <w:sz w:val="14"/>
                <w:szCs w:val="22"/>
                <w:lang w:eastAsia="en-US"/>
              </w:rPr>
            </w:pPr>
          </w:p>
        </w:tc>
        <w:tc>
          <w:tcPr>
            <w:tcW w:w="84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F0A6FF5" w14:textId="77777777" w:rsidR="004B664D" w:rsidRPr="00C03BB5" w:rsidRDefault="004B664D" w:rsidP="004B664D">
            <w:pPr>
              <w:spacing w:after="160" w:line="259" w:lineRule="auto"/>
              <w:rPr>
                <w:rFonts w:eastAsia="Calibri"/>
                <w:color w:val="000000"/>
                <w:sz w:val="14"/>
                <w:szCs w:val="22"/>
                <w:lang w:eastAsia="en-US"/>
              </w:rPr>
            </w:pPr>
          </w:p>
        </w:tc>
      </w:tr>
    </w:tbl>
    <w:p w14:paraId="7DEBCD88"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i/>
          <w:iCs/>
          <w:sz w:val="22"/>
          <w:szCs w:val="22"/>
          <w:lang w:eastAsia="en-US"/>
        </w:rPr>
        <w:t xml:space="preserve"> Period of Analysis</w:t>
      </w:r>
      <w:r w:rsidRPr="00C03BB5">
        <w:rPr>
          <w:rFonts w:eastAsia="Calibri"/>
          <w:sz w:val="22"/>
          <w:szCs w:val="22"/>
          <w:lang w:eastAsia="en-US"/>
        </w:rPr>
        <w:t xml:space="preserve">. The period of analysis for the simulation is ten years over the period of 2005 (start of the IBLI project) to 2015 (closing of the IBLI project). This historical period simulated also contains the severe </w:t>
      </w:r>
      <w:r w:rsidRPr="00C03BB5">
        <w:rPr>
          <w:rFonts w:eastAsia="Calibri"/>
          <w:i/>
          <w:iCs/>
          <w:sz w:val="22"/>
          <w:szCs w:val="22"/>
          <w:lang w:eastAsia="en-US"/>
        </w:rPr>
        <w:t>dzud</w:t>
      </w:r>
      <w:r w:rsidRPr="00C03BB5">
        <w:rPr>
          <w:rFonts w:eastAsia="Calibri"/>
          <w:sz w:val="22"/>
          <w:szCs w:val="22"/>
          <w:lang w:eastAsia="en-US"/>
        </w:rPr>
        <w:t xml:space="preserve"> event (mortality rates above 6%) of 2010 that caused the loss of 9.7 million heads of livestock with an estimated value of US$477 million in Mongolia.  The sums in Bayankhongor aimag were more affected by the </w:t>
      </w:r>
      <w:r w:rsidRPr="00C03BB5">
        <w:rPr>
          <w:rFonts w:eastAsia="Calibri"/>
          <w:i/>
          <w:sz w:val="22"/>
          <w:szCs w:val="22"/>
          <w:lang w:eastAsia="en-US"/>
        </w:rPr>
        <w:t>dzud</w:t>
      </w:r>
      <w:r w:rsidRPr="00C03BB5">
        <w:rPr>
          <w:rFonts w:eastAsia="Calibri"/>
          <w:sz w:val="22"/>
          <w:szCs w:val="22"/>
          <w:lang w:eastAsia="en-US"/>
        </w:rPr>
        <w:t xml:space="preserve"> than their counterparts in Tuv aimag (see table 1).   </w:t>
      </w:r>
    </w:p>
    <w:p w14:paraId="5A38CFD1" w14:textId="2CA3C57C"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i/>
          <w:iCs/>
          <w:sz w:val="22"/>
          <w:szCs w:val="22"/>
          <w:lang w:eastAsia="en-US"/>
        </w:rPr>
        <w:t>Prices and Sales Revenues</w:t>
      </w:r>
      <w:r w:rsidRPr="00C03BB5">
        <w:rPr>
          <w:rFonts w:eastAsia="Calibri"/>
          <w:sz w:val="22"/>
          <w:szCs w:val="22"/>
          <w:lang w:eastAsia="en-US"/>
        </w:rPr>
        <w:t xml:space="preserve">.  The historical 2005 to 2015 animal and animal product prices are based on NSO data (for live animals, wool and cashmere, and hide and skin) and FAOSTAT data (for milk). Missing price data was estimated with the Consumer Price Index (IMF International financial Data, </w:t>
      </w:r>
      <w:r w:rsidRPr="00C03BB5">
        <w:rPr>
          <w:rFonts w:eastAsia="Calibri"/>
          <w:sz w:val="22"/>
          <w:szCs w:val="22"/>
          <w:lang w:eastAsia="en-US"/>
        </w:rPr>
        <w:lastRenderedPageBreak/>
        <w:t xml:space="preserve">2016) using 2015 as the base year. Yearly sales revenues are calculated for live animals sold, </w:t>
      </w:r>
      <w:r w:rsidR="00766749" w:rsidRPr="00C03BB5">
        <w:rPr>
          <w:rFonts w:eastAsia="Calibri"/>
          <w:sz w:val="22"/>
          <w:szCs w:val="22"/>
          <w:lang w:eastAsia="en-US"/>
        </w:rPr>
        <w:t xml:space="preserve">milk, </w:t>
      </w:r>
      <w:r w:rsidRPr="00C03BB5">
        <w:rPr>
          <w:rFonts w:eastAsia="Calibri"/>
          <w:sz w:val="22"/>
          <w:szCs w:val="22"/>
          <w:lang w:eastAsia="en-US"/>
        </w:rPr>
        <w:t xml:space="preserve">wool, cashmere and skins and hides from consumed animals. </w:t>
      </w:r>
    </w:p>
    <w:p w14:paraId="5089770A"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i/>
          <w:iCs/>
          <w:sz w:val="22"/>
          <w:szCs w:val="22"/>
          <w:lang w:eastAsia="en-US"/>
        </w:rPr>
        <w:t>Production Costs</w:t>
      </w:r>
      <w:r w:rsidRPr="00C03BB5">
        <w:rPr>
          <w:rFonts w:eastAsia="Calibri"/>
          <w:sz w:val="22"/>
          <w:szCs w:val="22"/>
          <w:lang w:eastAsia="en-US"/>
        </w:rPr>
        <w:t xml:space="preserve">. Yearly production costs that include taxes on animals, fodder, migration costs, veterinary services and fuel costs are accounted for to identify herder net revenues. As no yearly record of the cost and amount of each of these items are readily available, updated costs/animal from the CPR Model were estimated each year to 2015 using the Consumer Price Index (Producer Price Index not available). </w:t>
      </w:r>
    </w:p>
    <w:p w14:paraId="44A8ACF9"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i/>
          <w:iCs/>
          <w:sz w:val="22"/>
          <w:szCs w:val="22"/>
          <w:lang w:eastAsia="en-US"/>
        </w:rPr>
        <w:t>Other Model Assumptions</w:t>
      </w:r>
      <w:r w:rsidRPr="00C03BB5">
        <w:rPr>
          <w:rFonts w:eastAsia="Calibri"/>
          <w:sz w:val="22"/>
          <w:szCs w:val="22"/>
          <w:lang w:eastAsia="en-US"/>
        </w:rPr>
        <w:t>:</w:t>
      </w:r>
    </w:p>
    <w:p w14:paraId="1600AD58" w14:textId="77777777" w:rsidR="004B664D" w:rsidRPr="00C03BB5" w:rsidRDefault="004B664D" w:rsidP="005A4EF0">
      <w:pPr>
        <w:numPr>
          <w:ilvl w:val="0"/>
          <w:numId w:val="33"/>
        </w:numPr>
        <w:spacing w:after="160" w:line="259" w:lineRule="auto"/>
        <w:rPr>
          <w:rFonts w:eastAsia="Calibri"/>
          <w:sz w:val="22"/>
          <w:szCs w:val="22"/>
          <w:lang w:eastAsia="en-US"/>
        </w:rPr>
      </w:pPr>
      <w:r w:rsidRPr="00C03BB5">
        <w:rPr>
          <w:rFonts w:eastAsia="Calibri"/>
          <w:sz w:val="22"/>
          <w:szCs w:val="22"/>
          <w:lang w:eastAsia="en-US"/>
        </w:rPr>
        <w:t xml:space="preserve">The herder’s livestock mortality rate is the same as the </w:t>
      </w:r>
      <w:r w:rsidRPr="00C03BB5">
        <w:rPr>
          <w:rFonts w:eastAsia="Calibri"/>
          <w:i/>
          <w:iCs/>
          <w:sz w:val="22"/>
          <w:szCs w:val="22"/>
          <w:lang w:eastAsia="en-US"/>
        </w:rPr>
        <w:t>sum</w:t>
      </w:r>
      <w:r w:rsidRPr="00C03BB5">
        <w:rPr>
          <w:rFonts w:eastAsia="Calibri"/>
          <w:sz w:val="22"/>
          <w:szCs w:val="22"/>
          <w:lang w:eastAsia="en-US"/>
        </w:rPr>
        <w:t xml:space="preserve"> mortality rate, which means that there is no basis risk. </w:t>
      </w:r>
    </w:p>
    <w:p w14:paraId="3306B720" w14:textId="77777777" w:rsidR="004B664D" w:rsidRPr="00C03BB5" w:rsidRDefault="004B664D" w:rsidP="005A4EF0">
      <w:pPr>
        <w:numPr>
          <w:ilvl w:val="0"/>
          <w:numId w:val="33"/>
        </w:numPr>
        <w:spacing w:after="160" w:line="259" w:lineRule="auto"/>
        <w:rPr>
          <w:rFonts w:eastAsia="Calibri"/>
          <w:sz w:val="22"/>
          <w:szCs w:val="22"/>
          <w:lang w:eastAsia="en-US"/>
        </w:rPr>
      </w:pPr>
      <w:r w:rsidRPr="00C03BB5">
        <w:rPr>
          <w:rFonts w:eastAsia="Calibri"/>
          <w:sz w:val="22"/>
          <w:szCs w:val="22"/>
          <w:lang w:eastAsia="en-US"/>
        </w:rPr>
        <w:t xml:space="preserve">In a </w:t>
      </w:r>
      <w:r w:rsidRPr="00C03BB5">
        <w:rPr>
          <w:rFonts w:eastAsia="Calibri"/>
          <w:i/>
          <w:iCs/>
          <w:sz w:val="22"/>
          <w:szCs w:val="22"/>
          <w:lang w:eastAsia="en-US"/>
        </w:rPr>
        <w:t>dzud</w:t>
      </w:r>
      <w:r w:rsidRPr="00C03BB5">
        <w:rPr>
          <w:rFonts w:eastAsia="Calibri"/>
          <w:sz w:val="22"/>
          <w:szCs w:val="22"/>
          <w:lang w:eastAsia="en-US"/>
        </w:rPr>
        <w:t xml:space="preserve"> year, the herder will sell one-half of normal livestock sales to preserve his productive asset. </w:t>
      </w:r>
    </w:p>
    <w:p w14:paraId="23AC1C45" w14:textId="77777777" w:rsidR="004B664D" w:rsidRPr="00C03BB5" w:rsidRDefault="004B664D" w:rsidP="005A4EF0">
      <w:pPr>
        <w:numPr>
          <w:ilvl w:val="0"/>
          <w:numId w:val="33"/>
        </w:numPr>
        <w:spacing w:after="160" w:line="259" w:lineRule="auto"/>
        <w:rPr>
          <w:rFonts w:eastAsia="Calibri"/>
          <w:sz w:val="22"/>
          <w:szCs w:val="22"/>
          <w:lang w:eastAsia="en-US"/>
        </w:rPr>
      </w:pPr>
      <w:r w:rsidRPr="00C03BB5">
        <w:rPr>
          <w:rFonts w:eastAsia="Calibri"/>
          <w:sz w:val="22"/>
          <w:szCs w:val="22"/>
          <w:lang w:eastAsia="en-US"/>
        </w:rPr>
        <w:t xml:space="preserve">The herders sell all the milk that they produce (the auto-consumption is negligible). </w:t>
      </w:r>
    </w:p>
    <w:p w14:paraId="1CC54E26" w14:textId="77777777" w:rsidR="004B664D" w:rsidRPr="00C03BB5" w:rsidRDefault="004B664D" w:rsidP="005A4EF0">
      <w:pPr>
        <w:numPr>
          <w:ilvl w:val="0"/>
          <w:numId w:val="33"/>
        </w:numPr>
        <w:spacing w:after="160" w:line="259" w:lineRule="auto"/>
        <w:rPr>
          <w:rFonts w:eastAsia="Calibri"/>
          <w:sz w:val="22"/>
          <w:szCs w:val="22"/>
          <w:lang w:eastAsia="en-US"/>
        </w:rPr>
      </w:pPr>
      <w:r w:rsidRPr="00C03BB5">
        <w:rPr>
          <w:rFonts w:eastAsia="Calibri"/>
          <w:sz w:val="22"/>
          <w:szCs w:val="22"/>
          <w:lang w:eastAsia="en-US"/>
        </w:rPr>
        <w:t>In addition, to maintain comparability with the original analysis, it is assumed that uninsured herders have the goal of increasing herd size as a self-insurance mechanism but the increase is limited to the annual species growth rate at the national level</w:t>
      </w:r>
      <w:r w:rsidRPr="00C03BB5">
        <w:rPr>
          <w:rFonts w:eastAsia="Calibri"/>
          <w:sz w:val="22"/>
          <w:szCs w:val="22"/>
          <w:vertAlign w:val="superscript"/>
          <w:lang w:eastAsia="en-US"/>
        </w:rPr>
        <w:footnoteReference w:id="20"/>
      </w:r>
      <w:r w:rsidRPr="00C03BB5">
        <w:rPr>
          <w:rFonts w:eastAsia="Calibri"/>
          <w:sz w:val="22"/>
          <w:szCs w:val="22"/>
          <w:lang w:eastAsia="en-US"/>
        </w:rPr>
        <w:t>.</w:t>
      </w:r>
    </w:p>
    <w:p w14:paraId="5853BB6E" w14:textId="77777777" w:rsidR="004B664D" w:rsidRPr="00C03BB5" w:rsidRDefault="004B664D" w:rsidP="005A4EF0">
      <w:pPr>
        <w:numPr>
          <w:ilvl w:val="0"/>
          <w:numId w:val="33"/>
        </w:numPr>
        <w:spacing w:after="160" w:line="259" w:lineRule="auto"/>
        <w:rPr>
          <w:rFonts w:eastAsia="Calibri"/>
          <w:sz w:val="22"/>
          <w:szCs w:val="22"/>
          <w:lang w:eastAsia="en-US"/>
        </w:rPr>
      </w:pPr>
      <w:r w:rsidRPr="00C03BB5">
        <w:rPr>
          <w:rFonts w:eastAsia="Calibri"/>
          <w:sz w:val="22"/>
          <w:szCs w:val="22"/>
          <w:lang w:eastAsia="en-US"/>
        </w:rPr>
        <w:t>Herders do not receive any other disaster relief in the form of income or restocking of animals</w:t>
      </w:r>
      <w:r w:rsidRPr="00C03BB5">
        <w:rPr>
          <w:rFonts w:eastAsia="Calibri"/>
          <w:sz w:val="22"/>
          <w:szCs w:val="22"/>
          <w:vertAlign w:val="superscript"/>
          <w:lang w:eastAsia="en-US"/>
        </w:rPr>
        <w:footnoteReference w:id="21"/>
      </w:r>
      <w:r w:rsidRPr="00C03BB5">
        <w:rPr>
          <w:rFonts w:eastAsia="Calibri"/>
          <w:sz w:val="22"/>
          <w:szCs w:val="22"/>
          <w:lang w:eastAsia="en-US"/>
        </w:rPr>
        <w:t>.</w:t>
      </w:r>
    </w:p>
    <w:p w14:paraId="1F4A4A92" w14:textId="77777777" w:rsidR="004B664D" w:rsidRPr="00C03BB5" w:rsidRDefault="004B664D" w:rsidP="005A4EF0">
      <w:pPr>
        <w:rPr>
          <w:rFonts w:eastAsia="Calibri"/>
          <w:sz w:val="22"/>
          <w:szCs w:val="22"/>
          <w:lang w:eastAsia="en-US"/>
        </w:rPr>
      </w:pPr>
    </w:p>
    <w:p w14:paraId="001B9431"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iCs/>
          <w:sz w:val="22"/>
          <w:szCs w:val="22"/>
          <w:lang w:eastAsia="en-US"/>
        </w:rPr>
        <w:t>With-Project Assumptions,</w:t>
      </w:r>
      <w:r w:rsidRPr="00C03BB5">
        <w:rPr>
          <w:rFonts w:eastAsia="Calibri"/>
          <w:sz w:val="22"/>
          <w:szCs w:val="22"/>
          <w:lang w:eastAsia="en-US"/>
        </w:rPr>
        <w:t xml:space="preserve"> Strike Rates and Insurance Premiums. </w:t>
      </w:r>
    </w:p>
    <w:p w14:paraId="3D10C46A" w14:textId="77777777" w:rsidR="004B664D" w:rsidRPr="00C03BB5" w:rsidRDefault="004B664D" w:rsidP="005A4EF0">
      <w:pPr>
        <w:spacing w:after="240"/>
        <w:rPr>
          <w:rFonts w:eastAsia="Calibri"/>
          <w:sz w:val="22"/>
          <w:szCs w:val="22"/>
          <w:lang w:eastAsia="en-US"/>
        </w:rPr>
      </w:pPr>
      <w:r w:rsidRPr="00C03BB5">
        <w:rPr>
          <w:rFonts w:eastAsia="Calibri"/>
          <w:sz w:val="22"/>
          <w:szCs w:val="22"/>
          <w:lang w:eastAsia="en-US"/>
        </w:rPr>
        <w:t>The with-project situation offers herders the possibility of purchasing IBLI by paying a premium that varies by specie</w:t>
      </w:r>
      <w:r w:rsidRPr="00C03BB5">
        <w:rPr>
          <w:rFonts w:eastAsia="Calibri"/>
          <w:sz w:val="22"/>
          <w:szCs w:val="22"/>
          <w:vertAlign w:val="superscript"/>
          <w:lang w:eastAsia="en-US"/>
        </w:rPr>
        <w:footnoteReference w:id="22"/>
      </w:r>
      <w:r w:rsidRPr="00C03BB5">
        <w:rPr>
          <w:rFonts w:eastAsia="Calibri"/>
          <w:sz w:val="22"/>
          <w:szCs w:val="22"/>
          <w:lang w:eastAsia="en-US"/>
        </w:rPr>
        <w:t xml:space="preserve">. Herders receive payouts based on the average mortality rate at the sum level, which is assumed to be the same as the herders’ livestock mortality rate as explained above. When the sum level species mortality rates are higher than the species strike rate (6% for all animals), the herder receives a payout.  </w:t>
      </w:r>
    </w:p>
    <w:p w14:paraId="474BDB38" w14:textId="77777777" w:rsidR="004B664D" w:rsidRPr="00C03BB5" w:rsidRDefault="004B664D" w:rsidP="005A4EF0">
      <w:pPr>
        <w:spacing w:after="240"/>
        <w:rPr>
          <w:rFonts w:eastAsia="Calibri"/>
          <w:sz w:val="22"/>
          <w:szCs w:val="22"/>
          <w:lang w:eastAsia="en-US"/>
        </w:rPr>
      </w:pPr>
      <w:r w:rsidRPr="00C03BB5">
        <w:rPr>
          <w:rFonts w:eastAsia="Calibri"/>
          <w:sz w:val="22"/>
          <w:szCs w:val="22"/>
          <w:lang w:eastAsia="en-US"/>
        </w:rPr>
        <w:t>The actual payout amount depends on the percentage coverage of total insurable livestock value by species chosen by the herder (any amount between 1% and 100%). Additional with-project assumptions are as follows and are the same as in the original analysis.</w:t>
      </w:r>
    </w:p>
    <w:p w14:paraId="4425CADC" w14:textId="77777777" w:rsidR="004B664D" w:rsidRPr="00C03BB5" w:rsidRDefault="004B664D" w:rsidP="005A4EF0">
      <w:pPr>
        <w:numPr>
          <w:ilvl w:val="0"/>
          <w:numId w:val="33"/>
        </w:numPr>
        <w:spacing w:after="240" w:line="259" w:lineRule="auto"/>
        <w:contextualSpacing/>
        <w:rPr>
          <w:rFonts w:eastAsia="Calibri"/>
          <w:sz w:val="22"/>
          <w:szCs w:val="22"/>
          <w:lang w:eastAsia="en-US"/>
        </w:rPr>
      </w:pPr>
      <w:r w:rsidRPr="00C03BB5">
        <w:rPr>
          <w:rFonts w:eastAsia="Calibri"/>
          <w:sz w:val="22"/>
          <w:szCs w:val="22"/>
          <w:lang w:eastAsia="en-US"/>
        </w:rPr>
        <w:t xml:space="preserve">The herder will use one-half of insurance payment for household consumption and the other half for restocking of animals during the </w:t>
      </w:r>
      <w:r w:rsidRPr="00C03BB5">
        <w:rPr>
          <w:rFonts w:eastAsia="Calibri"/>
          <w:i/>
          <w:sz w:val="22"/>
          <w:szCs w:val="22"/>
          <w:lang w:eastAsia="en-US"/>
        </w:rPr>
        <w:t xml:space="preserve">dzud </w:t>
      </w:r>
      <w:r w:rsidRPr="00C03BB5">
        <w:rPr>
          <w:rFonts w:eastAsia="Calibri"/>
          <w:sz w:val="22"/>
          <w:szCs w:val="22"/>
          <w:lang w:eastAsia="en-US"/>
        </w:rPr>
        <w:t>year</w:t>
      </w:r>
      <w:r w:rsidRPr="00C03BB5">
        <w:rPr>
          <w:rFonts w:eastAsia="Calibri"/>
          <w:sz w:val="22"/>
          <w:szCs w:val="22"/>
          <w:vertAlign w:val="superscript"/>
          <w:lang w:eastAsia="en-US"/>
        </w:rPr>
        <w:footnoteReference w:id="23"/>
      </w:r>
      <w:r w:rsidRPr="00C03BB5">
        <w:rPr>
          <w:rFonts w:eastAsia="Calibri"/>
          <w:sz w:val="22"/>
          <w:szCs w:val="22"/>
          <w:lang w:eastAsia="en-US"/>
        </w:rPr>
        <w:t>.</w:t>
      </w:r>
    </w:p>
    <w:p w14:paraId="78E439C1" w14:textId="77777777" w:rsidR="004B664D" w:rsidRPr="00C03BB5" w:rsidRDefault="004B664D" w:rsidP="005A4EF0">
      <w:pPr>
        <w:numPr>
          <w:ilvl w:val="0"/>
          <w:numId w:val="33"/>
        </w:numPr>
        <w:spacing w:after="240" w:line="259" w:lineRule="auto"/>
        <w:contextualSpacing/>
        <w:rPr>
          <w:rFonts w:eastAsia="Calibri"/>
          <w:sz w:val="22"/>
          <w:szCs w:val="22"/>
          <w:lang w:eastAsia="en-US"/>
        </w:rPr>
      </w:pPr>
      <w:r w:rsidRPr="00C03BB5">
        <w:rPr>
          <w:rFonts w:eastAsia="Calibri"/>
          <w:sz w:val="22"/>
          <w:szCs w:val="22"/>
          <w:lang w:eastAsia="en-US"/>
        </w:rPr>
        <w:lastRenderedPageBreak/>
        <w:t>The composition of restocked animals is the same as the composition of the herd - restocking is done in proportion to the IBLI payout by species.</w:t>
      </w:r>
    </w:p>
    <w:p w14:paraId="6688872A" w14:textId="77777777" w:rsidR="004B664D" w:rsidRPr="00C03BB5" w:rsidRDefault="004B664D" w:rsidP="005A4EF0">
      <w:pPr>
        <w:numPr>
          <w:ilvl w:val="0"/>
          <w:numId w:val="33"/>
        </w:numPr>
        <w:spacing w:after="240" w:line="259" w:lineRule="auto"/>
        <w:contextualSpacing/>
        <w:rPr>
          <w:rFonts w:eastAsia="Calibri"/>
          <w:sz w:val="22"/>
          <w:szCs w:val="22"/>
          <w:lang w:eastAsia="en-US"/>
        </w:rPr>
      </w:pPr>
      <w:r w:rsidRPr="00C03BB5">
        <w:rPr>
          <w:rFonts w:eastAsia="Calibri"/>
          <w:sz w:val="22"/>
          <w:szCs w:val="22"/>
          <w:lang w:eastAsia="en-US"/>
        </w:rPr>
        <w:t xml:space="preserve">The with-project herder will start with an initial herd size of 200 animals in 2005 but will limit the herd size to 225 animals in each of the following years. In fact, they use IBLI insurance as their main means for risk mitigation instead of an ever increasing herd size. </w:t>
      </w:r>
    </w:p>
    <w:p w14:paraId="1EB63F62" w14:textId="77777777" w:rsidR="004B664D" w:rsidRPr="00C03BB5" w:rsidRDefault="004B664D" w:rsidP="005A4EF0">
      <w:pPr>
        <w:numPr>
          <w:ilvl w:val="0"/>
          <w:numId w:val="33"/>
        </w:numPr>
        <w:spacing w:after="240" w:line="259" w:lineRule="auto"/>
        <w:contextualSpacing/>
        <w:rPr>
          <w:rFonts w:eastAsia="Calibri"/>
          <w:sz w:val="22"/>
          <w:szCs w:val="22"/>
          <w:lang w:eastAsia="en-US"/>
        </w:rPr>
      </w:pPr>
      <w:r w:rsidRPr="00C03BB5">
        <w:rPr>
          <w:rFonts w:eastAsia="Calibri"/>
          <w:sz w:val="22"/>
          <w:szCs w:val="22"/>
          <w:lang w:eastAsia="en-US"/>
        </w:rPr>
        <w:t>The model assumes a constant percentage value of livestock insured by species throughout the period. That is, if a herder selects 50% of the value of a livestock species to be insured, the model assumption is that 50% of the value of the species will be insured each and every year.</w:t>
      </w:r>
    </w:p>
    <w:p w14:paraId="5AFAE13E" w14:textId="77777777" w:rsidR="005A4EF0" w:rsidRDefault="005A4EF0" w:rsidP="005A4EF0">
      <w:pPr>
        <w:spacing w:after="160" w:line="259" w:lineRule="auto"/>
        <w:rPr>
          <w:rFonts w:eastAsia="Calibri"/>
          <w:b/>
          <w:sz w:val="22"/>
          <w:szCs w:val="22"/>
          <w:lang w:eastAsia="en-US"/>
        </w:rPr>
      </w:pPr>
    </w:p>
    <w:p w14:paraId="50AA665F" w14:textId="77777777" w:rsidR="004B664D" w:rsidRPr="00C03BB5" w:rsidRDefault="004B664D" w:rsidP="005A4EF0">
      <w:pPr>
        <w:spacing w:after="160" w:line="259" w:lineRule="auto"/>
        <w:rPr>
          <w:rFonts w:eastAsia="Calibri"/>
          <w:b/>
          <w:sz w:val="22"/>
          <w:szCs w:val="22"/>
          <w:lang w:eastAsia="en-US"/>
        </w:rPr>
      </w:pPr>
      <w:r w:rsidRPr="00C03BB5">
        <w:rPr>
          <w:rFonts w:eastAsia="Calibri"/>
          <w:b/>
          <w:sz w:val="22"/>
          <w:szCs w:val="22"/>
          <w:lang w:eastAsia="en-US"/>
        </w:rPr>
        <w:t>Model Results</w:t>
      </w:r>
    </w:p>
    <w:p w14:paraId="34262733"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The multi-period herd model was simulated from 2005 to 2015, using the assumptions described above, and starting with herd size of 200 for both with-project and without project scenarios. Table 3 and Table 4 present a summary of the simulation model results. Results are given for three different percentage coverage levels of the total insurable value of all livestock species in the model (i.e., 30%, 50% and 100%) , as was done in the original analysis, to capture the heterogeneity of the potential impacts depending on the chosen coverage level.</w:t>
      </w:r>
    </w:p>
    <w:p w14:paraId="36BA9D74"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 xml:space="preserve">Table 3 presents the total IBLI payouts and the premiums paid by herders for the Bayankhongor aimag. Insurance premiums and payouts increase proportionally with the proportion of livestock value insured. The IBLI loss ratio (indemnity payouts/ premiums) in Jargalant sum is 0.5 whereas the loss ratio in Bumbugur sum is 1.18 reflecting the difference in the mortality risk between the two sums. The results in Table 3 indicate that the IBLI program benefits to herders will be different in each sum as would be expected because of the difference in </w:t>
      </w:r>
      <w:r w:rsidRPr="00C03BB5">
        <w:rPr>
          <w:rFonts w:eastAsia="Calibri"/>
          <w:i/>
          <w:sz w:val="22"/>
          <w:szCs w:val="22"/>
          <w:lang w:eastAsia="en-US"/>
        </w:rPr>
        <w:t>dzud</w:t>
      </w:r>
      <w:r w:rsidRPr="00C03BB5">
        <w:rPr>
          <w:rFonts w:eastAsia="Calibri"/>
          <w:sz w:val="22"/>
          <w:szCs w:val="22"/>
          <w:lang w:eastAsia="en-US"/>
        </w:rPr>
        <w:t xml:space="preserve"> events and that herders would respond accordingly as to what animals to insure and at what rate.   </w:t>
      </w:r>
    </w:p>
    <w:p w14:paraId="30374162" w14:textId="561A8C71" w:rsidR="004B664D" w:rsidRDefault="004B664D" w:rsidP="004B664D">
      <w:pPr>
        <w:jc w:val="center"/>
        <w:rPr>
          <w:rFonts w:eastAsia="Times New Roman"/>
          <w:bCs/>
          <w:sz w:val="18"/>
          <w:szCs w:val="18"/>
          <w:lang w:eastAsia="en-US"/>
        </w:rPr>
      </w:pPr>
      <w:r w:rsidRPr="005A4EF0">
        <w:rPr>
          <w:rFonts w:eastAsia="Times New Roman"/>
          <w:bCs/>
          <w:lang w:eastAsia="en-US"/>
        </w:rPr>
        <w:t xml:space="preserve">Table </w:t>
      </w:r>
      <w:r w:rsidR="005A4EF0" w:rsidRPr="005A4EF0">
        <w:rPr>
          <w:rFonts w:eastAsia="Times New Roman"/>
          <w:bCs/>
          <w:lang w:eastAsia="en-US"/>
        </w:rPr>
        <w:t>2</w:t>
      </w:r>
      <w:r w:rsidRPr="005A4EF0">
        <w:rPr>
          <w:rFonts w:eastAsia="Times New Roman"/>
          <w:bCs/>
          <w:lang w:eastAsia="en-US"/>
        </w:rPr>
        <w:t xml:space="preserve">. Herder IBLI Premiums and IBLI Payouts, Bayankhongor aimag </w:t>
      </w:r>
      <w:r w:rsidRPr="005A4EF0">
        <w:rPr>
          <w:rFonts w:eastAsia="Times New Roman"/>
          <w:bCs/>
          <w:sz w:val="18"/>
          <w:szCs w:val="18"/>
          <w:lang w:eastAsia="en-US"/>
        </w:rPr>
        <w:t>(2015 Constant US$)</w:t>
      </w:r>
    </w:p>
    <w:p w14:paraId="659FEDA6" w14:textId="77777777" w:rsidR="005A4EF0" w:rsidRPr="005A4EF0" w:rsidRDefault="005A4EF0" w:rsidP="004B664D">
      <w:pPr>
        <w:jc w:val="center"/>
        <w:rPr>
          <w:rFonts w:eastAsia="Times New Roman"/>
          <w:bCs/>
          <w:lang w:eastAsia="en-U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630"/>
        <w:gridCol w:w="653"/>
        <w:gridCol w:w="720"/>
        <w:gridCol w:w="900"/>
        <w:gridCol w:w="720"/>
        <w:gridCol w:w="630"/>
        <w:gridCol w:w="720"/>
        <w:gridCol w:w="877"/>
      </w:tblGrid>
      <w:tr w:rsidR="004B664D" w:rsidRPr="00C03BB5" w14:paraId="68984893" w14:textId="77777777" w:rsidTr="000D7C76">
        <w:trPr>
          <w:jc w:val="center"/>
        </w:trPr>
        <w:tc>
          <w:tcPr>
            <w:tcW w:w="1255" w:type="dxa"/>
          </w:tcPr>
          <w:p w14:paraId="52D42910" w14:textId="77777777" w:rsidR="004B664D" w:rsidRPr="00C03BB5" w:rsidRDefault="004B664D" w:rsidP="004B664D">
            <w:pPr>
              <w:jc w:val="center"/>
              <w:rPr>
                <w:rFonts w:eastAsia="Times New Roman"/>
                <w:b/>
                <w:sz w:val="18"/>
                <w:szCs w:val="18"/>
                <w:lang w:eastAsia="en-US"/>
              </w:rPr>
            </w:pPr>
            <w:r w:rsidRPr="00C03BB5">
              <w:rPr>
                <w:rFonts w:eastAsia="Times New Roman"/>
                <w:b/>
                <w:sz w:val="18"/>
                <w:szCs w:val="18"/>
                <w:lang w:eastAsia="en-US"/>
              </w:rPr>
              <w:t>livestock value insured</w:t>
            </w:r>
          </w:p>
        </w:tc>
        <w:tc>
          <w:tcPr>
            <w:tcW w:w="2903" w:type="dxa"/>
            <w:gridSpan w:val="4"/>
          </w:tcPr>
          <w:p w14:paraId="30382A33" w14:textId="77777777" w:rsidR="004B664D" w:rsidRPr="00C03BB5" w:rsidRDefault="004B664D" w:rsidP="004B664D">
            <w:pPr>
              <w:jc w:val="center"/>
              <w:rPr>
                <w:rFonts w:eastAsia="Times New Roman"/>
                <w:b/>
                <w:i/>
                <w:sz w:val="18"/>
                <w:szCs w:val="18"/>
                <w:lang w:eastAsia="en-US"/>
              </w:rPr>
            </w:pPr>
            <w:r w:rsidRPr="00C03BB5">
              <w:rPr>
                <w:rFonts w:eastAsia="Times New Roman"/>
                <w:b/>
                <w:sz w:val="18"/>
                <w:szCs w:val="18"/>
                <w:lang w:eastAsia="en-US"/>
              </w:rPr>
              <w:t xml:space="preserve">Jargalant </w:t>
            </w:r>
            <w:r w:rsidRPr="00C03BB5">
              <w:rPr>
                <w:rFonts w:eastAsia="Times New Roman"/>
                <w:b/>
                <w:i/>
                <w:sz w:val="18"/>
                <w:szCs w:val="18"/>
                <w:lang w:eastAsia="en-US"/>
              </w:rPr>
              <w:t>Sum</w:t>
            </w:r>
          </w:p>
          <w:p w14:paraId="75B7A2C4" w14:textId="77777777" w:rsidR="004B664D" w:rsidRPr="00C03BB5" w:rsidRDefault="004B664D" w:rsidP="004B664D">
            <w:pPr>
              <w:jc w:val="center"/>
              <w:rPr>
                <w:rFonts w:eastAsia="Times New Roman"/>
                <w:b/>
                <w:sz w:val="18"/>
                <w:szCs w:val="18"/>
                <w:lang w:eastAsia="en-US"/>
              </w:rPr>
            </w:pPr>
            <w:r w:rsidRPr="00C03BB5">
              <w:rPr>
                <w:rFonts w:eastAsia="Times New Roman"/>
                <w:b/>
                <w:i/>
                <w:sz w:val="18"/>
                <w:szCs w:val="18"/>
                <w:lang w:eastAsia="en-US"/>
              </w:rPr>
              <w:t xml:space="preserve"> </w:t>
            </w:r>
            <w:r w:rsidRPr="00C03BB5">
              <w:rPr>
                <w:rFonts w:eastAsia="Times New Roman"/>
                <w:b/>
                <w:sz w:val="18"/>
                <w:szCs w:val="18"/>
                <w:lang w:eastAsia="en-US"/>
              </w:rPr>
              <w:t>(Relatively Low Risk)</w:t>
            </w:r>
          </w:p>
          <w:p w14:paraId="20EC3AE8"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_____________________________</w:t>
            </w:r>
          </w:p>
        </w:tc>
        <w:tc>
          <w:tcPr>
            <w:tcW w:w="2947" w:type="dxa"/>
            <w:gridSpan w:val="4"/>
          </w:tcPr>
          <w:p w14:paraId="219C99F2" w14:textId="77777777" w:rsidR="004B664D" w:rsidRPr="00C03BB5" w:rsidRDefault="004B664D" w:rsidP="004B664D">
            <w:pPr>
              <w:jc w:val="center"/>
              <w:rPr>
                <w:rFonts w:eastAsia="Times New Roman"/>
                <w:b/>
                <w:sz w:val="18"/>
                <w:szCs w:val="18"/>
                <w:lang w:eastAsia="en-US"/>
              </w:rPr>
            </w:pPr>
            <w:r w:rsidRPr="00C03BB5">
              <w:rPr>
                <w:rFonts w:eastAsia="Times New Roman"/>
                <w:b/>
                <w:sz w:val="18"/>
                <w:szCs w:val="18"/>
                <w:lang w:eastAsia="en-US"/>
              </w:rPr>
              <w:t xml:space="preserve">Bumbugur </w:t>
            </w:r>
            <w:r w:rsidRPr="00C03BB5">
              <w:rPr>
                <w:rFonts w:eastAsia="Times New Roman"/>
                <w:b/>
                <w:i/>
                <w:sz w:val="18"/>
                <w:szCs w:val="18"/>
                <w:lang w:eastAsia="en-US"/>
              </w:rPr>
              <w:t>Sum</w:t>
            </w:r>
            <w:r w:rsidRPr="00C03BB5">
              <w:rPr>
                <w:rFonts w:eastAsia="Times New Roman"/>
                <w:b/>
                <w:sz w:val="18"/>
                <w:szCs w:val="18"/>
                <w:lang w:eastAsia="en-US"/>
              </w:rPr>
              <w:t xml:space="preserve"> </w:t>
            </w:r>
          </w:p>
          <w:p w14:paraId="0FCA8D38" w14:textId="77777777" w:rsidR="004B664D" w:rsidRPr="00C03BB5" w:rsidRDefault="004B664D" w:rsidP="004B664D">
            <w:pPr>
              <w:jc w:val="center"/>
              <w:rPr>
                <w:rFonts w:eastAsia="Times New Roman"/>
                <w:b/>
                <w:sz w:val="18"/>
                <w:szCs w:val="18"/>
                <w:lang w:eastAsia="en-US"/>
              </w:rPr>
            </w:pPr>
            <w:r w:rsidRPr="00C03BB5">
              <w:rPr>
                <w:rFonts w:eastAsia="Times New Roman"/>
                <w:b/>
                <w:sz w:val="18"/>
                <w:szCs w:val="18"/>
                <w:lang w:eastAsia="en-US"/>
              </w:rPr>
              <w:t>(Relatively High Risk)</w:t>
            </w:r>
          </w:p>
        </w:tc>
      </w:tr>
      <w:tr w:rsidR="004B664D" w:rsidRPr="00C03BB5" w14:paraId="735FE0A5" w14:textId="77777777" w:rsidTr="000D7C76">
        <w:trPr>
          <w:jc w:val="center"/>
        </w:trPr>
        <w:tc>
          <w:tcPr>
            <w:tcW w:w="1255" w:type="dxa"/>
          </w:tcPr>
          <w:p w14:paraId="35252830" w14:textId="77777777" w:rsidR="004B664D" w:rsidRPr="00C03BB5" w:rsidRDefault="004B664D" w:rsidP="004B664D">
            <w:pPr>
              <w:jc w:val="center"/>
              <w:rPr>
                <w:rFonts w:eastAsia="Times New Roman"/>
                <w:sz w:val="18"/>
                <w:szCs w:val="18"/>
                <w:lang w:eastAsia="en-US"/>
              </w:rPr>
            </w:pPr>
          </w:p>
        </w:tc>
        <w:tc>
          <w:tcPr>
            <w:tcW w:w="630" w:type="dxa"/>
          </w:tcPr>
          <w:p w14:paraId="6D838BC8"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2006</w:t>
            </w:r>
          </w:p>
        </w:tc>
        <w:tc>
          <w:tcPr>
            <w:tcW w:w="653" w:type="dxa"/>
          </w:tcPr>
          <w:p w14:paraId="6A966965"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 xml:space="preserve">2010 </w:t>
            </w:r>
            <w:r w:rsidRPr="00C03BB5">
              <w:rPr>
                <w:rFonts w:eastAsia="Times New Roman"/>
                <w:i/>
                <w:sz w:val="16"/>
                <w:szCs w:val="18"/>
                <w:lang w:eastAsia="en-US"/>
              </w:rPr>
              <w:t>(dzud)</w:t>
            </w:r>
          </w:p>
        </w:tc>
        <w:tc>
          <w:tcPr>
            <w:tcW w:w="720" w:type="dxa"/>
          </w:tcPr>
          <w:p w14:paraId="27563DB5"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2010</w:t>
            </w:r>
          </w:p>
        </w:tc>
        <w:tc>
          <w:tcPr>
            <w:tcW w:w="900" w:type="dxa"/>
          </w:tcPr>
          <w:p w14:paraId="3289FF74"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Total a/</w:t>
            </w:r>
          </w:p>
        </w:tc>
        <w:tc>
          <w:tcPr>
            <w:tcW w:w="720" w:type="dxa"/>
          </w:tcPr>
          <w:p w14:paraId="7319CF8B"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2006</w:t>
            </w:r>
          </w:p>
        </w:tc>
        <w:tc>
          <w:tcPr>
            <w:tcW w:w="630" w:type="dxa"/>
          </w:tcPr>
          <w:p w14:paraId="403BEF7F"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2010</w:t>
            </w:r>
          </w:p>
          <w:p w14:paraId="565FB978" w14:textId="77777777" w:rsidR="004B664D" w:rsidRPr="00C03BB5" w:rsidRDefault="004B664D" w:rsidP="004B664D">
            <w:pPr>
              <w:jc w:val="center"/>
              <w:rPr>
                <w:rFonts w:eastAsia="Times New Roman"/>
                <w:i/>
                <w:sz w:val="18"/>
                <w:szCs w:val="18"/>
                <w:lang w:eastAsia="en-US"/>
              </w:rPr>
            </w:pPr>
            <w:r w:rsidRPr="00C03BB5">
              <w:rPr>
                <w:rFonts w:eastAsia="Times New Roman"/>
                <w:i/>
                <w:sz w:val="16"/>
                <w:szCs w:val="18"/>
                <w:lang w:eastAsia="en-US"/>
              </w:rPr>
              <w:t>(dzud)</w:t>
            </w:r>
          </w:p>
        </w:tc>
        <w:tc>
          <w:tcPr>
            <w:tcW w:w="720" w:type="dxa"/>
          </w:tcPr>
          <w:p w14:paraId="315B24BC"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2015</w:t>
            </w:r>
          </w:p>
        </w:tc>
        <w:tc>
          <w:tcPr>
            <w:tcW w:w="877" w:type="dxa"/>
          </w:tcPr>
          <w:p w14:paraId="109D089B"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Total a/</w:t>
            </w:r>
          </w:p>
        </w:tc>
      </w:tr>
      <w:tr w:rsidR="004B664D" w:rsidRPr="00C03BB5" w14:paraId="5A1057DF" w14:textId="77777777" w:rsidTr="000D7C76">
        <w:trPr>
          <w:jc w:val="center"/>
        </w:trPr>
        <w:tc>
          <w:tcPr>
            <w:tcW w:w="1255" w:type="dxa"/>
          </w:tcPr>
          <w:p w14:paraId="403A1EF0" w14:textId="77777777" w:rsidR="004B664D" w:rsidRPr="00C03BB5" w:rsidRDefault="004B664D" w:rsidP="004B664D">
            <w:pPr>
              <w:jc w:val="center"/>
              <w:rPr>
                <w:rFonts w:eastAsia="Times New Roman"/>
                <w:sz w:val="18"/>
                <w:szCs w:val="18"/>
                <w:lang w:eastAsia="en-US"/>
              </w:rPr>
            </w:pPr>
            <w:r w:rsidRPr="00C03BB5">
              <w:rPr>
                <w:rFonts w:eastAsia="Times New Roman"/>
                <w:b/>
                <w:sz w:val="18"/>
                <w:szCs w:val="18"/>
                <w:lang w:eastAsia="en-US"/>
              </w:rPr>
              <w:t>30%</w:t>
            </w:r>
            <w:r w:rsidRPr="00C03BB5">
              <w:rPr>
                <w:rFonts w:eastAsia="Times New Roman"/>
                <w:sz w:val="18"/>
                <w:szCs w:val="18"/>
                <w:lang w:eastAsia="en-US"/>
              </w:rPr>
              <w:t xml:space="preserve">  b/</w:t>
            </w:r>
          </w:p>
        </w:tc>
        <w:tc>
          <w:tcPr>
            <w:tcW w:w="630" w:type="dxa"/>
          </w:tcPr>
          <w:p w14:paraId="10C1C6EA" w14:textId="77777777" w:rsidR="004B664D" w:rsidRPr="00C03BB5" w:rsidRDefault="004B664D" w:rsidP="004B664D">
            <w:pPr>
              <w:jc w:val="center"/>
              <w:rPr>
                <w:rFonts w:eastAsia="Times New Roman"/>
                <w:sz w:val="18"/>
                <w:szCs w:val="18"/>
                <w:lang w:eastAsia="en-US"/>
              </w:rPr>
            </w:pPr>
          </w:p>
        </w:tc>
        <w:tc>
          <w:tcPr>
            <w:tcW w:w="653" w:type="dxa"/>
          </w:tcPr>
          <w:p w14:paraId="74F8BDCB" w14:textId="77777777" w:rsidR="004B664D" w:rsidRPr="00C03BB5" w:rsidRDefault="004B664D" w:rsidP="004B664D">
            <w:pPr>
              <w:jc w:val="center"/>
              <w:rPr>
                <w:rFonts w:eastAsia="Times New Roman"/>
                <w:sz w:val="18"/>
                <w:szCs w:val="18"/>
                <w:lang w:eastAsia="en-US"/>
              </w:rPr>
            </w:pPr>
          </w:p>
        </w:tc>
        <w:tc>
          <w:tcPr>
            <w:tcW w:w="720" w:type="dxa"/>
          </w:tcPr>
          <w:p w14:paraId="05961D32" w14:textId="77777777" w:rsidR="004B664D" w:rsidRPr="00C03BB5" w:rsidRDefault="004B664D" w:rsidP="004B664D">
            <w:pPr>
              <w:jc w:val="center"/>
              <w:rPr>
                <w:rFonts w:eastAsia="Times New Roman"/>
                <w:sz w:val="18"/>
                <w:szCs w:val="18"/>
                <w:lang w:eastAsia="en-US"/>
              </w:rPr>
            </w:pPr>
          </w:p>
        </w:tc>
        <w:tc>
          <w:tcPr>
            <w:tcW w:w="900" w:type="dxa"/>
          </w:tcPr>
          <w:p w14:paraId="6AEAB1CC" w14:textId="77777777" w:rsidR="004B664D" w:rsidRPr="00C03BB5" w:rsidRDefault="004B664D" w:rsidP="004B664D">
            <w:pPr>
              <w:jc w:val="center"/>
              <w:rPr>
                <w:rFonts w:eastAsia="Times New Roman"/>
                <w:sz w:val="18"/>
                <w:szCs w:val="18"/>
                <w:lang w:eastAsia="en-US"/>
              </w:rPr>
            </w:pPr>
          </w:p>
        </w:tc>
        <w:tc>
          <w:tcPr>
            <w:tcW w:w="720" w:type="dxa"/>
          </w:tcPr>
          <w:p w14:paraId="48B3C683" w14:textId="77777777" w:rsidR="004B664D" w:rsidRPr="00C03BB5" w:rsidRDefault="004B664D" w:rsidP="004B664D">
            <w:pPr>
              <w:jc w:val="center"/>
              <w:rPr>
                <w:rFonts w:eastAsia="Times New Roman"/>
                <w:sz w:val="18"/>
                <w:szCs w:val="18"/>
                <w:lang w:eastAsia="en-US"/>
              </w:rPr>
            </w:pPr>
          </w:p>
        </w:tc>
        <w:tc>
          <w:tcPr>
            <w:tcW w:w="630" w:type="dxa"/>
          </w:tcPr>
          <w:p w14:paraId="33D35C8B" w14:textId="77777777" w:rsidR="004B664D" w:rsidRPr="00C03BB5" w:rsidRDefault="004B664D" w:rsidP="004B664D">
            <w:pPr>
              <w:jc w:val="center"/>
              <w:rPr>
                <w:rFonts w:eastAsia="Times New Roman"/>
                <w:sz w:val="18"/>
                <w:szCs w:val="18"/>
                <w:lang w:eastAsia="en-US"/>
              </w:rPr>
            </w:pPr>
          </w:p>
        </w:tc>
        <w:tc>
          <w:tcPr>
            <w:tcW w:w="720" w:type="dxa"/>
          </w:tcPr>
          <w:p w14:paraId="4E9208E0" w14:textId="77777777" w:rsidR="004B664D" w:rsidRPr="00C03BB5" w:rsidRDefault="004B664D" w:rsidP="004B664D">
            <w:pPr>
              <w:jc w:val="center"/>
              <w:rPr>
                <w:rFonts w:eastAsia="Times New Roman"/>
                <w:sz w:val="18"/>
                <w:szCs w:val="18"/>
                <w:lang w:eastAsia="en-US"/>
              </w:rPr>
            </w:pPr>
          </w:p>
        </w:tc>
        <w:tc>
          <w:tcPr>
            <w:tcW w:w="877" w:type="dxa"/>
          </w:tcPr>
          <w:p w14:paraId="536B650C" w14:textId="77777777" w:rsidR="004B664D" w:rsidRPr="00C03BB5" w:rsidRDefault="004B664D" w:rsidP="004B664D">
            <w:pPr>
              <w:jc w:val="center"/>
              <w:rPr>
                <w:rFonts w:eastAsia="Times New Roman"/>
                <w:sz w:val="18"/>
                <w:szCs w:val="18"/>
                <w:lang w:eastAsia="en-US"/>
              </w:rPr>
            </w:pPr>
          </w:p>
        </w:tc>
      </w:tr>
      <w:tr w:rsidR="004B664D" w:rsidRPr="00C03BB5" w14:paraId="1CDB23FE" w14:textId="77777777" w:rsidTr="000D7C76">
        <w:trPr>
          <w:jc w:val="center"/>
        </w:trPr>
        <w:tc>
          <w:tcPr>
            <w:tcW w:w="1255" w:type="dxa"/>
          </w:tcPr>
          <w:p w14:paraId="4007F009" w14:textId="77777777" w:rsidR="004B664D" w:rsidRPr="00C03BB5" w:rsidRDefault="004B664D" w:rsidP="004B664D">
            <w:pPr>
              <w:rPr>
                <w:rFonts w:eastAsia="Times New Roman"/>
                <w:sz w:val="16"/>
                <w:szCs w:val="16"/>
                <w:lang w:eastAsia="en-US"/>
              </w:rPr>
            </w:pPr>
            <w:r w:rsidRPr="00C03BB5">
              <w:rPr>
                <w:rFonts w:eastAsia="Times New Roman"/>
                <w:sz w:val="16"/>
                <w:szCs w:val="16"/>
                <w:lang w:eastAsia="en-US"/>
              </w:rPr>
              <w:t xml:space="preserve"> Premium</w:t>
            </w:r>
          </w:p>
        </w:tc>
        <w:tc>
          <w:tcPr>
            <w:tcW w:w="630" w:type="dxa"/>
          </w:tcPr>
          <w:p w14:paraId="0B9063F0"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93</w:t>
            </w:r>
          </w:p>
        </w:tc>
        <w:tc>
          <w:tcPr>
            <w:tcW w:w="653" w:type="dxa"/>
          </w:tcPr>
          <w:p w14:paraId="3D56996C"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317</w:t>
            </w:r>
          </w:p>
        </w:tc>
        <w:tc>
          <w:tcPr>
            <w:tcW w:w="720" w:type="dxa"/>
          </w:tcPr>
          <w:p w14:paraId="3E4896A8"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614</w:t>
            </w:r>
          </w:p>
        </w:tc>
        <w:tc>
          <w:tcPr>
            <w:tcW w:w="900" w:type="dxa"/>
          </w:tcPr>
          <w:p w14:paraId="01C87D62"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3,533</w:t>
            </w:r>
          </w:p>
        </w:tc>
        <w:tc>
          <w:tcPr>
            <w:tcW w:w="720" w:type="dxa"/>
          </w:tcPr>
          <w:p w14:paraId="037EBD9F"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93</w:t>
            </w:r>
          </w:p>
        </w:tc>
        <w:tc>
          <w:tcPr>
            <w:tcW w:w="630" w:type="dxa"/>
          </w:tcPr>
          <w:p w14:paraId="303D25E7"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317</w:t>
            </w:r>
          </w:p>
        </w:tc>
        <w:tc>
          <w:tcPr>
            <w:tcW w:w="720" w:type="dxa"/>
          </w:tcPr>
          <w:p w14:paraId="34E3CEAC"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568</w:t>
            </w:r>
          </w:p>
        </w:tc>
        <w:tc>
          <w:tcPr>
            <w:tcW w:w="877" w:type="dxa"/>
          </w:tcPr>
          <w:p w14:paraId="227C7D2E"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3,348</w:t>
            </w:r>
          </w:p>
        </w:tc>
      </w:tr>
      <w:tr w:rsidR="004B664D" w:rsidRPr="00C03BB5" w14:paraId="5DF57854" w14:textId="77777777" w:rsidTr="000D7C76">
        <w:trPr>
          <w:jc w:val="center"/>
        </w:trPr>
        <w:tc>
          <w:tcPr>
            <w:tcW w:w="1255" w:type="dxa"/>
          </w:tcPr>
          <w:p w14:paraId="1E00940A" w14:textId="77777777" w:rsidR="004B664D" w:rsidRPr="00C03BB5" w:rsidRDefault="004B664D" w:rsidP="004B664D">
            <w:pPr>
              <w:rPr>
                <w:rFonts w:eastAsia="Times New Roman"/>
                <w:sz w:val="16"/>
                <w:szCs w:val="16"/>
                <w:lang w:eastAsia="en-US"/>
              </w:rPr>
            </w:pPr>
            <w:r w:rsidRPr="00C03BB5">
              <w:rPr>
                <w:rFonts w:eastAsia="Times New Roman"/>
                <w:sz w:val="16"/>
                <w:szCs w:val="16"/>
                <w:lang w:eastAsia="en-US"/>
              </w:rPr>
              <w:t>Payouts</w:t>
            </w:r>
          </w:p>
        </w:tc>
        <w:tc>
          <w:tcPr>
            <w:tcW w:w="630" w:type="dxa"/>
          </w:tcPr>
          <w:p w14:paraId="173C0DC7"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835</w:t>
            </w:r>
          </w:p>
        </w:tc>
        <w:tc>
          <w:tcPr>
            <w:tcW w:w="653" w:type="dxa"/>
          </w:tcPr>
          <w:p w14:paraId="75E947B8"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846</w:t>
            </w:r>
          </w:p>
        </w:tc>
        <w:tc>
          <w:tcPr>
            <w:tcW w:w="720" w:type="dxa"/>
          </w:tcPr>
          <w:p w14:paraId="11715DC9"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0</w:t>
            </w:r>
          </w:p>
        </w:tc>
        <w:tc>
          <w:tcPr>
            <w:tcW w:w="900" w:type="dxa"/>
          </w:tcPr>
          <w:p w14:paraId="4527B485"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2,580</w:t>
            </w:r>
          </w:p>
        </w:tc>
        <w:tc>
          <w:tcPr>
            <w:tcW w:w="720" w:type="dxa"/>
          </w:tcPr>
          <w:p w14:paraId="1F453D9E"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835</w:t>
            </w:r>
          </w:p>
        </w:tc>
        <w:tc>
          <w:tcPr>
            <w:tcW w:w="630" w:type="dxa"/>
          </w:tcPr>
          <w:p w14:paraId="3E598E12"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2,246</w:t>
            </w:r>
          </w:p>
        </w:tc>
        <w:tc>
          <w:tcPr>
            <w:tcW w:w="720" w:type="dxa"/>
          </w:tcPr>
          <w:p w14:paraId="0CAC20CF"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164</w:t>
            </w:r>
          </w:p>
        </w:tc>
        <w:tc>
          <w:tcPr>
            <w:tcW w:w="877" w:type="dxa"/>
          </w:tcPr>
          <w:p w14:paraId="427357A0"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5,166</w:t>
            </w:r>
          </w:p>
        </w:tc>
      </w:tr>
      <w:tr w:rsidR="004B664D" w:rsidRPr="00C03BB5" w14:paraId="765CB8FC" w14:textId="77777777" w:rsidTr="000D7C76">
        <w:trPr>
          <w:jc w:val="center"/>
        </w:trPr>
        <w:tc>
          <w:tcPr>
            <w:tcW w:w="1255" w:type="dxa"/>
          </w:tcPr>
          <w:p w14:paraId="2D161B3D" w14:textId="77777777" w:rsidR="004B664D" w:rsidRPr="00C03BB5" w:rsidRDefault="004B664D" w:rsidP="004B664D">
            <w:pPr>
              <w:jc w:val="center"/>
              <w:rPr>
                <w:rFonts w:eastAsia="Times New Roman"/>
                <w:b/>
                <w:sz w:val="16"/>
                <w:szCs w:val="16"/>
                <w:lang w:eastAsia="en-US"/>
              </w:rPr>
            </w:pPr>
            <w:r w:rsidRPr="00C03BB5">
              <w:rPr>
                <w:rFonts w:eastAsia="Times New Roman"/>
                <w:b/>
                <w:sz w:val="16"/>
                <w:szCs w:val="16"/>
                <w:lang w:eastAsia="en-US"/>
              </w:rPr>
              <w:t xml:space="preserve">50% </w:t>
            </w:r>
          </w:p>
        </w:tc>
        <w:tc>
          <w:tcPr>
            <w:tcW w:w="630" w:type="dxa"/>
          </w:tcPr>
          <w:p w14:paraId="441FBC24" w14:textId="77777777" w:rsidR="004B664D" w:rsidRPr="00C03BB5" w:rsidRDefault="004B664D" w:rsidP="004B664D">
            <w:pPr>
              <w:jc w:val="center"/>
              <w:rPr>
                <w:rFonts w:eastAsia="Times New Roman"/>
                <w:sz w:val="16"/>
                <w:szCs w:val="16"/>
                <w:lang w:eastAsia="en-US"/>
              </w:rPr>
            </w:pPr>
          </w:p>
        </w:tc>
        <w:tc>
          <w:tcPr>
            <w:tcW w:w="653" w:type="dxa"/>
          </w:tcPr>
          <w:p w14:paraId="108187C6" w14:textId="77777777" w:rsidR="004B664D" w:rsidRPr="00C03BB5" w:rsidRDefault="004B664D" w:rsidP="004B664D">
            <w:pPr>
              <w:jc w:val="center"/>
              <w:rPr>
                <w:rFonts w:eastAsia="Times New Roman"/>
                <w:sz w:val="16"/>
                <w:szCs w:val="16"/>
                <w:lang w:eastAsia="en-US"/>
              </w:rPr>
            </w:pPr>
          </w:p>
        </w:tc>
        <w:tc>
          <w:tcPr>
            <w:tcW w:w="720" w:type="dxa"/>
          </w:tcPr>
          <w:p w14:paraId="54427079" w14:textId="77777777" w:rsidR="004B664D" w:rsidRPr="00C03BB5" w:rsidRDefault="004B664D" w:rsidP="004B664D">
            <w:pPr>
              <w:jc w:val="center"/>
              <w:rPr>
                <w:rFonts w:eastAsia="Times New Roman"/>
                <w:sz w:val="16"/>
                <w:szCs w:val="16"/>
                <w:lang w:eastAsia="en-US"/>
              </w:rPr>
            </w:pPr>
          </w:p>
        </w:tc>
        <w:tc>
          <w:tcPr>
            <w:tcW w:w="900" w:type="dxa"/>
          </w:tcPr>
          <w:p w14:paraId="13E1BEFB" w14:textId="77777777" w:rsidR="004B664D" w:rsidRPr="00C03BB5" w:rsidRDefault="004B664D" w:rsidP="004B664D">
            <w:pPr>
              <w:jc w:val="center"/>
              <w:rPr>
                <w:rFonts w:eastAsia="Times New Roman"/>
                <w:sz w:val="16"/>
                <w:szCs w:val="16"/>
                <w:lang w:eastAsia="en-US"/>
              </w:rPr>
            </w:pPr>
          </w:p>
        </w:tc>
        <w:tc>
          <w:tcPr>
            <w:tcW w:w="720" w:type="dxa"/>
          </w:tcPr>
          <w:p w14:paraId="566861AC" w14:textId="77777777" w:rsidR="004B664D" w:rsidRPr="00C03BB5" w:rsidRDefault="004B664D" w:rsidP="004B664D">
            <w:pPr>
              <w:jc w:val="center"/>
              <w:rPr>
                <w:rFonts w:eastAsia="Times New Roman"/>
                <w:sz w:val="18"/>
                <w:szCs w:val="18"/>
                <w:lang w:eastAsia="en-US"/>
              </w:rPr>
            </w:pPr>
          </w:p>
        </w:tc>
        <w:tc>
          <w:tcPr>
            <w:tcW w:w="630" w:type="dxa"/>
          </w:tcPr>
          <w:p w14:paraId="7D77F00D" w14:textId="77777777" w:rsidR="004B664D" w:rsidRPr="00C03BB5" w:rsidRDefault="004B664D" w:rsidP="004B664D">
            <w:pPr>
              <w:jc w:val="center"/>
              <w:rPr>
                <w:rFonts w:eastAsia="Times New Roman"/>
                <w:sz w:val="18"/>
                <w:szCs w:val="18"/>
                <w:lang w:eastAsia="en-US"/>
              </w:rPr>
            </w:pPr>
          </w:p>
        </w:tc>
        <w:tc>
          <w:tcPr>
            <w:tcW w:w="720" w:type="dxa"/>
          </w:tcPr>
          <w:p w14:paraId="7D412A7D" w14:textId="77777777" w:rsidR="004B664D" w:rsidRPr="00C03BB5" w:rsidRDefault="004B664D" w:rsidP="004B664D">
            <w:pPr>
              <w:jc w:val="center"/>
              <w:rPr>
                <w:rFonts w:eastAsia="Times New Roman"/>
                <w:sz w:val="18"/>
                <w:szCs w:val="18"/>
                <w:lang w:eastAsia="en-US"/>
              </w:rPr>
            </w:pPr>
          </w:p>
        </w:tc>
        <w:tc>
          <w:tcPr>
            <w:tcW w:w="877" w:type="dxa"/>
          </w:tcPr>
          <w:p w14:paraId="480802B5" w14:textId="77777777" w:rsidR="004B664D" w:rsidRPr="00C03BB5" w:rsidRDefault="004B664D" w:rsidP="004B664D">
            <w:pPr>
              <w:jc w:val="center"/>
              <w:rPr>
                <w:rFonts w:eastAsia="Times New Roman"/>
                <w:sz w:val="18"/>
                <w:szCs w:val="18"/>
                <w:lang w:eastAsia="en-US"/>
              </w:rPr>
            </w:pPr>
          </w:p>
        </w:tc>
      </w:tr>
      <w:tr w:rsidR="004B664D" w:rsidRPr="00C03BB5" w14:paraId="688FF016" w14:textId="77777777" w:rsidTr="000D7C76">
        <w:trPr>
          <w:jc w:val="center"/>
        </w:trPr>
        <w:tc>
          <w:tcPr>
            <w:tcW w:w="1255" w:type="dxa"/>
          </w:tcPr>
          <w:p w14:paraId="5E319694" w14:textId="21DBDF12" w:rsidR="004B664D" w:rsidRPr="00C03BB5" w:rsidRDefault="004B664D" w:rsidP="004B664D">
            <w:pPr>
              <w:rPr>
                <w:rFonts w:eastAsia="Times New Roman"/>
                <w:sz w:val="16"/>
                <w:szCs w:val="16"/>
                <w:lang w:eastAsia="en-US"/>
              </w:rPr>
            </w:pPr>
            <w:r w:rsidRPr="00C03BB5">
              <w:rPr>
                <w:rFonts w:eastAsia="Times New Roman"/>
                <w:sz w:val="16"/>
                <w:szCs w:val="16"/>
                <w:lang w:eastAsia="en-US"/>
              </w:rPr>
              <w:t>Premium</w:t>
            </w:r>
          </w:p>
        </w:tc>
        <w:tc>
          <w:tcPr>
            <w:tcW w:w="630" w:type="dxa"/>
          </w:tcPr>
          <w:p w14:paraId="2F6A8F7F"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155</w:t>
            </w:r>
          </w:p>
        </w:tc>
        <w:tc>
          <w:tcPr>
            <w:tcW w:w="653" w:type="dxa"/>
          </w:tcPr>
          <w:p w14:paraId="260FCBE9"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528</w:t>
            </w:r>
          </w:p>
        </w:tc>
        <w:tc>
          <w:tcPr>
            <w:tcW w:w="720" w:type="dxa"/>
          </w:tcPr>
          <w:p w14:paraId="470E7C24"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1,040</w:t>
            </w:r>
          </w:p>
        </w:tc>
        <w:tc>
          <w:tcPr>
            <w:tcW w:w="900" w:type="dxa"/>
          </w:tcPr>
          <w:p w14:paraId="11BD4A65"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5,946</w:t>
            </w:r>
          </w:p>
        </w:tc>
        <w:tc>
          <w:tcPr>
            <w:tcW w:w="720" w:type="dxa"/>
          </w:tcPr>
          <w:p w14:paraId="25DBCBF3"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154</w:t>
            </w:r>
          </w:p>
        </w:tc>
        <w:tc>
          <w:tcPr>
            <w:tcW w:w="630" w:type="dxa"/>
          </w:tcPr>
          <w:p w14:paraId="7C2BF926"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531</w:t>
            </w:r>
          </w:p>
        </w:tc>
        <w:tc>
          <w:tcPr>
            <w:tcW w:w="720" w:type="dxa"/>
          </w:tcPr>
          <w:p w14:paraId="3E0218C5"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979</w:t>
            </w:r>
          </w:p>
        </w:tc>
        <w:tc>
          <w:tcPr>
            <w:tcW w:w="877" w:type="dxa"/>
          </w:tcPr>
          <w:p w14:paraId="717D220B"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5,722</w:t>
            </w:r>
          </w:p>
        </w:tc>
      </w:tr>
      <w:tr w:rsidR="004B664D" w:rsidRPr="00C03BB5" w14:paraId="2D2B6248" w14:textId="77777777" w:rsidTr="000D7C76">
        <w:trPr>
          <w:jc w:val="center"/>
        </w:trPr>
        <w:tc>
          <w:tcPr>
            <w:tcW w:w="1255" w:type="dxa"/>
          </w:tcPr>
          <w:p w14:paraId="74FA7200" w14:textId="77777777" w:rsidR="004B664D" w:rsidRPr="00C03BB5" w:rsidRDefault="004B664D" w:rsidP="004B664D">
            <w:pPr>
              <w:rPr>
                <w:rFonts w:eastAsia="Times New Roman"/>
                <w:sz w:val="16"/>
                <w:szCs w:val="16"/>
                <w:lang w:eastAsia="en-US"/>
              </w:rPr>
            </w:pPr>
            <w:r w:rsidRPr="00C03BB5">
              <w:rPr>
                <w:rFonts w:eastAsia="Times New Roman"/>
                <w:sz w:val="16"/>
                <w:szCs w:val="16"/>
                <w:lang w:eastAsia="en-US"/>
              </w:rPr>
              <w:t>Payouts</w:t>
            </w:r>
          </w:p>
        </w:tc>
        <w:tc>
          <w:tcPr>
            <w:tcW w:w="630" w:type="dxa"/>
          </w:tcPr>
          <w:p w14:paraId="46F46D6D"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835</w:t>
            </w:r>
          </w:p>
        </w:tc>
        <w:tc>
          <w:tcPr>
            <w:tcW w:w="653" w:type="dxa"/>
          </w:tcPr>
          <w:p w14:paraId="2A16B927"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1,410</w:t>
            </w:r>
          </w:p>
        </w:tc>
        <w:tc>
          <w:tcPr>
            <w:tcW w:w="720" w:type="dxa"/>
          </w:tcPr>
          <w:p w14:paraId="44C9DCBE"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0</w:t>
            </w:r>
          </w:p>
        </w:tc>
        <w:tc>
          <w:tcPr>
            <w:tcW w:w="900" w:type="dxa"/>
          </w:tcPr>
          <w:p w14:paraId="0F263B1F"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3,159</w:t>
            </w:r>
          </w:p>
        </w:tc>
        <w:tc>
          <w:tcPr>
            <w:tcW w:w="720" w:type="dxa"/>
          </w:tcPr>
          <w:p w14:paraId="48B6BC6C"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835</w:t>
            </w:r>
          </w:p>
        </w:tc>
        <w:tc>
          <w:tcPr>
            <w:tcW w:w="630" w:type="dxa"/>
          </w:tcPr>
          <w:p w14:paraId="256762DD"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3,140</w:t>
            </w:r>
          </w:p>
        </w:tc>
        <w:tc>
          <w:tcPr>
            <w:tcW w:w="720" w:type="dxa"/>
          </w:tcPr>
          <w:p w14:paraId="0A4873C8"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285</w:t>
            </w:r>
          </w:p>
        </w:tc>
        <w:tc>
          <w:tcPr>
            <w:tcW w:w="877" w:type="dxa"/>
          </w:tcPr>
          <w:p w14:paraId="188E7BAD"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6,911</w:t>
            </w:r>
          </w:p>
        </w:tc>
      </w:tr>
      <w:tr w:rsidR="004B664D" w:rsidRPr="00C03BB5" w14:paraId="41D8ED48" w14:textId="77777777" w:rsidTr="000D7C76">
        <w:trPr>
          <w:jc w:val="center"/>
        </w:trPr>
        <w:tc>
          <w:tcPr>
            <w:tcW w:w="1255" w:type="dxa"/>
          </w:tcPr>
          <w:p w14:paraId="7466341A" w14:textId="77777777" w:rsidR="004B664D" w:rsidRPr="00C03BB5" w:rsidRDefault="004B664D" w:rsidP="004B664D">
            <w:pPr>
              <w:jc w:val="center"/>
              <w:rPr>
                <w:rFonts w:eastAsia="Times New Roman"/>
                <w:b/>
                <w:sz w:val="16"/>
                <w:szCs w:val="16"/>
                <w:lang w:eastAsia="en-US"/>
              </w:rPr>
            </w:pPr>
            <w:r w:rsidRPr="00C03BB5">
              <w:rPr>
                <w:rFonts w:eastAsia="Times New Roman"/>
                <w:b/>
                <w:sz w:val="16"/>
                <w:szCs w:val="16"/>
                <w:lang w:eastAsia="en-US"/>
              </w:rPr>
              <w:t xml:space="preserve">100% </w:t>
            </w:r>
          </w:p>
        </w:tc>
        <w:tc>
          <w:tcPr>
            <w:tcW w:w="630" w:type="dxa"/>
          </w:tcPr>
          <w:p w14:paraId="0FE9C262" w14:textId="77777777" w:rsidR="004B664D" w:rsidRPr="00C03BB5" w:rsidRDefault="004B664D" w:rsidP="004B664D">
            <w:pPr>
              <w:jc w:val="center"/>
              <w:rPr>
                <w:rFonts w:eastAsia="Times New Roman"/>
                <w:sz w:val="16"/>
                <w:szCs w:val="16"/>
                <w:lang w:eastAsia="en-US"/>
              </w:rPr>
            </w:pPr>
          </w:p>
        </w:tc>
        <w:tc>
          <w:tcPr>
            <w:tcW w:w="653" w:type="dxa"/>
          </w:tcPr>
          <w:p w14:paraId="15D2E3AD" w14:textId="77777777" w:rsidR="004B664D" w:rsidRPr="00C03BB5" w:rsidRDefault="004B664D" w:rsidP="004B664D">
            <w:pPr>
              <w:jc w:val="center"/>
              <w:rPr>
                <w:rFonts w:eastAsia="Times New Roman"/>
                <w:sz w:val="16"/>
                <w:szCs w:val="16"/>
                <w:lang w:eastAsia="en-US"/>
              </w:rPr>
            </w:pPr>
          </w:p>
        </w:tc>
        <w:tc>
          <w:tcPr>
            <w:tcW w:w="720" w:type="dxa"/>
          </w:tcPr>
          <w:p w14:paraId="56750E8E" w14:textId="77777777" w:rsidR="004B664D" w:rsidRPr="00C03BB5" w:rsidRDefault="004B664D" w:rsidP="004B664D">
            <w:pPr>
              <w:jc w:val="center"/>
              <w:rPr>
                <w:rFonts w:eastAsia="Times New Roman"/>
                <w:sz w:val="16"/>
                <w:szCs w:val="16"/>
                <w:lang w:eastAsia="en-US"/>
              </w:rPr>
            </w:pPr>
          </w:p>
        </w:tc>
        <w:tc>
          <w:tcPr>
            <w:tcW w:w="900" w:type="dxa"/>
          </w:tcPr>
          <w:p w14:paraId="63BC4BF4" w14:textId="77777777" w:rsidR="004B664D" w:rsidRPr="00C03BB5" w:rsidRDefault="004B664D" w:rsidP="004B664D">
            <w:pPr>
              <w:jc w:val="center"/>
              <w:rPr>
                <w:rFonts w:eastAsia="Times New Roman"/>
                <w:sz w:val="16"/>
                <w:szCs w:val="16"/>
                <w:lang w:eastAsia="en-US"/>
              </w:rPr>
            </w:pPr>
          </w:p>
        </w:tc>
        <w:tc>
          <w:tcPr>
            <w:tcW w:w="720" w:type="dxa"/>
          </w:tcPr>
          <w:p w14:paraId="49BABED5" w14:textId="77777777" w:rsidR="004B664D" w:rsidRPr="00C03BB5" w:rsidRDefault="004B664D" w:rsidP="004B664D">
            <w:pPr>
              <w:jc w:val="center"/>
              <w:rPr>
                <w:rFonts w:eastAsia="Times New Roman"/>
                <w:sz w:val="18"/>
                <w:szCs w:val="18"/>
                <w:lang w:eastAsia="en-US"/>
              </w:rPr>
            </w:pPr>
          </w:p>
        </w:tc>
        <w:tc>
          <w:tcPr>
            <w:tcW w:w="630" w:type="dxa"/>
          </w:tcPr>
          <w:p w14:paraId="1C37E080" w14:textId="77777777" w:rsidR="004B664D" w:rsidRPr="00C03BB5" w:rsidRDefault="004B664D" w:rsidP="004B664D">
            <w:pPr>
              <w:jc w:val="center"/>
              <w:rPr>
                <w:rFonts w:eastAsia="Times New Roman"/>
                <w:sz w:val="18"/>
                <w:szCs w:val="18"/>
                <w:lang w:eastAsia="en-US"/>
              </w:rPr>
            </w:pPr>
          </w:p>
        </w:tc>
        <w:tc>
          <w:tcPr>
            <w:tcW w:w="720" w:type="dxa"/>
          </w:tcPr>
          <w:p w14:paraId="26AC504A" w14:textId="77777777" w:rsidR="004B664D" w:rsidRPr="00C03BB5" w:rsidRDefault="004B664D" w:rsidP="004B664D">
            <w:pPr>
              <w:jc w:val="center"/>
              <w:rPr>
                <w:rFonts w:eastAsia="Times New Roman"/>
                <w:sz w:val="18"/>
                <w:szCs w:val="18"/>
                <w:lang w:eastAsia="en-US"/>
              </w:rPr>
            </w:pPr>
          </w:p>
        </w:tc>
        <w:tc>
          <w:tcPr>
            <w:tcW w:w="877" w:type="dxa"/>
          </w:tcPr>
          <w:p w14:paraId="3B90ECCB" w14:textId="77777777" w:rsidR="004B664D" w:rsidRPr="00C03BB5" w:rsidRDefault="004B664D" w:rsidP="004B664D">
            <w:pPr>
              <w:jc w:val="center"/>
              <w:rPr>
                <w:rFonts w:eastAsia="Times New Roman"/>
                <w:sz w:val="18"/>
                <w:szCs w:val="18"/>
                <w:lang w:eastAsia="en-US"/>
              </w:rPr>
            </w:pPr>
          </w:p>
        </w:tc>
      </w:tr>
      <w:tr w:rsidR="004B664D" w:rsidRPr="00C03BB5" w14:paraId="5988A5EF" w14:textId="77777777" w:rsidTr="000D7C76">
        <w:trPr>
          <w:jc w:val="center"/>
        </w:trPr>
        <w:tc>
          <w:tcPr>
            <w:tcW w:w="1255" w:type="dxa"/>
          </w:tcPr>
          <w:p w14:paraId="3A13AC36" w14:textId="0B0971C9" w:rsidR="004B664D" w:rsidRPr="00C03BB5" w:rsidRDefault="004B664D" w:rsidP="004B664D">
            <w:pPr>
              <w:rPr>
                <w:rFonts w:eastAsia="Times New Roman"/>
                <w:sz w:val="16"/>
                <w:szCs w:val="16"/>
                <w:lang w:eastAsia="en-US"/>
              </w:rPr>
            </w:pPr>
            <w:r w:rsidRPr="00C03BB5">
              <w:rPr>
                <w:rFonts w:eastAsia="Times New Roman"/>
                <w:sz w:val="16"/>
                <w:szCs w:val="16"/>
                <w:lang w:eastAsia="en-US"/>
              </w:rPr>
              <w:t>Premium</w:t>
            </w:r>
          </w:p>
        </w:tc>
        <w:tc>
          <w:tcPr>
            <w:tcW w:w="630" w:type="dxa"/>
          </w:tcPr>
          <w:p w14:paraId="1FC27148"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310</w:t>
            </w:r>
          </w:p>
        </w:tc>
        <w:tc>
          <w:tcPr>
            <w:tcW w:w="653" w:type="dxa"/>
          </w:tcPr>
          <w:p w14:paraId="01808C96"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1,057</w:t>
            </w:r>
          </w:p>
        </w:tc>
        <w:tc>
          <w:tcPr>
            <w:tcW w:w="720" w:type="dxa"/>
          </w:tcPr>
          <w:p w14:paraId="3B9DF729"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2,167</w:t>
            </w:r>
          </w:p>
        </w:tc>
        <w:tc>
          <w:tcPr>
            <w:tcW w:w="900" w:type="dxa"/>
          </w:tcPr>
          <w:p w14:paraId="361FC13A"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12,178</w:t>
            </w:r>
          </w:p>
        </w:tc>
        <w:tc>
          <w:tcPr>
            <w:tcW w:w="720" w:type="dxa"/>
          </w:tcPr>
          <w:p w14:paraId="7B44B17F"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309</w:t>
            </w:r>
          </w:p>
        </w:tc>
        <w:tc>
          <w:tcPr>
            <w:tcW w:w="630" w:type="dxa"/>
          </w:tcPr>
          <w:p w14:paraId="155A56C4"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1,073</w:t>
            </w:r>
          </w:p>
        </w:tc>
        <w:tc>
          <w:tcPr>
            <w:tcW w:w="720" w:type="dxa"/>
          </w:tcPr>
          <w:p w14:paraId="45BF59F8"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2,122</w:t>
            </w:r>
          </w:p>
        </w:tc>
        <w:tc>
          <w:tcPr>
            <w:tcW w:w="877" w:type="dxa"/>
          </w:tcPr>
          <w:p w14:paraId="58EB64D8"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12,082</w:t>
            </w:r>
          </w:p>
        </w:tc>
      </w:tr>
      <w:tr w:rsidR="004B664D" w:rsidRPr="00C03BB5" w14:paraId="4F811C85" w14:textId="77777777" w:rsidTr="000D7C76">
        <w:trPr>
          <w:jc w:val="center"/>
        </w:trPr>
        <w:tc>
          <w:tcPr>
            <w:tcW w:w="1255" w:type="dxa"/>
          </w:tcPr>
          <w:p w14:paraId="6A529824" w14:textId="77777777" w:rsidR="004B664D" w:rsidRPr="00C03BB5" w:rsidRDefault="004B664D" w:rsidP="004B664D">
            <w:pPr>
              <w:rPr>
                <w:rFonts w:eastAsia="Times New Roman"/>
                <w:sz w:val="16"/>
                <w:szCs w:val="16"/>
                <w:lang w:eastAsia="en-US"/>
              </w:rPr>
            </w:pPr>
            <w:r w:rsidRPr="00C03BB5">
              <w:rPr>
                <w:rFonts w:eastAsia="Times New Roman"/>
                <w:sz w:val="16"/>
                <w:szCs w:val="16"/>
                <w:lang w:eastAsia="en-US"/>
              </w:rPr>
              <w:t xml:space="preserve">   Payouts</w:t>
            </w:r>
          </w:p>
        </w:tc>
        <w:tc>
          <w:tcPr>
            <w:tcW w:w="630" w:type="dxa"/>
          </w:tcPr>
          <w:p w14:paraId="7DA38081"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835</w:t>
            </w:r>
          </w:p>
        </w:tc>
        <w:tc>
          <w:tcPr>
            <w:tcW w:w="653" w:type="dxa"/>
          </w:tcPr>
          <w:p w14:paraId="0485D67E"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2,820</w:t>
            </w:r>
          </w:p>
        </w:tc>
        <w:tc>
          <w:tcPr>
            <w:tcW w:w="720" w:type="dxa"/>
          </w:tcPr>
          <w:p w14:paraId="1D825C8B"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0</w:t>
            </w:r>
          </w:p>
        </w:tc>
        <w:tc>
          <w:tcPr>
            <w:tcW w:w="900" w:type="dxa"/>
          </w:tcPr>
          <w:p w14:paraId="2D24FFE3"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4,607</w:t>
            </w:r>
          </w:p>
        </w:tc>
        <w:tc>
          <w:tcPr>
            <w:tcW w:w="720" w:type="dxa"/>
          </w:tcPr>
          <w:p w14:paraId="7F797490"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835</w:t>
            </w:r>
          </w:p>
        </w:tc>
        <w:tc>
          <w:tcPr>
            <w:tcW w:w="630" w:type="dxa"/>
          </w:tcPr>
          <w:p w14:paraId="7179B4FE"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5,409</w:t>
            </w:r>
          </w:p>
        </w:tc>
        <w:tc>
          <w:tcPr>
            <w:tcW w:w="720" w:type="dxa"/>
          </w:tcPr>
          <w:p w14:paraId="652157B4"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631</w:t>
            </w:r>
          </w:p>
        </w:tc>
        <w:tc>
          <w:tcPr>
            <w:tcW w:w="877" w:type="dxa"/>
          </w:tcPr>
          <w:p w14:paraId="4B2E6FBA"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11,455</w:t>
            </w:r>
          </w:p>
        </w:tc>
      </w:tr>
      <w:tr w:rsidR="004B664D" w:rsidRPr="00C03BB5" w14:paraId="4BE58D61" w14:textId="77777777" w:rsidTr="000D7C76">
        <w:trPr>
          <w:jc w:val="center"/>
        </w:trPr>
        <w:tc>
          <w:tcPr>
            <w:tcW w:w="1255" w:type="dxa"/>
          </w:tcPr>
          <w:p w14:paraId="272FEE03" w14:textId="77777777" w:rsidR="004B664D" w:rsidRPr="00C03BB5" w:rsidRDefault="004B664D" w:rsidP="004B664D">
            <w:pPr>
              <w:rPr>
                <w:rFonts w:eastAsia="Times New Roman"/>
                <w:sz w:val="16"/>
                <w:szCs w:val="16"/>
                <w:lang w:eastAsia="en-US"/>
              </w:rPr>
            </w:pPr>
          </w:p>
        </w:tc>
        <w:tc>
          <w:tcPr>
            <w:tcW w:w="630" w:type="dxa"/>
          </w:tcPr>
          <w:p w14:paraId="74CABECE" w14:textId="77777777" w:rsidR="004B664D" w:rsidRPr="00C03BB5" w:rsidRDefault="004B664D" w:rsidP="004B664D">
            <w:pPr>
              <w:jc w:val="center"/>
              <w:rPr>
                <w:rFonts w:eastAsia="Times New Roman"/>
                <w:sz w:val="16"/>
                <w:szCs w:val="16"/>
                <w:lang w:eastAsia="en-US"/>
              </w:rPr>
            </w:pPr>
          </w:p>
        </w:tc>
        <w:tc>
          <w:tcPr>
            <w:tcW w:w="653" w:type="dxa"/>
          </w:tcPr>
          <w:p w14:paraId="2106DD3F" w14:textId="77777777" w:rsidR="004B664D" w:rsidRPr="00C03BB5" w:rsidRDefault="004B664D" w:rsidP="004B664D">
            <w:pPr>
              <w:jc w:val="center"/>
              <w:rPr>
                <w:rFonts w:eastAsia="Times New Roman"/>
                <w:sz w:val="16"/>
                <w:szCs w:val="16"/>
                <w:lang w:eastAsia="en-US"/>
              </w:rPr>
            </w:pPr>
          </w:p>
        </w:tc>
        <w:tc>
          <w:tcPr>
            <w:tcW w:w="720" w:type="dxa"/>
          </w:tcPr>
          <w:p w14:paraId="1F628FD5" w14:textId="77777777" w:rsidR="004B664D" w:rsidRPr="00C03BB5" w:rsidRDefault="004B664D" w:rsidP="004B664D">
            <w:pPr>
              <w:jc w:val="center"/>
              <w:rPr>
                <w:rFonts w:eastAsia="Times New Roman"/>
                <w:sz w:val="16"/>
                <w:szCs w:val="16"/>
                <w:lang w:eastAsia="en-US"/>
              </w:rPr>
            </w:pPr>
          </w:p>
        </w:tc>
        <w:tc>
          <w:tcPr>
            <w:tcW w:w="900" w:type="dxa"/>
          </w:tcPr>
          <w:p w14:paraId="23349EF8" w14:textId="77777777" w:rsidR="004B664D" w:rsidRPr="00C03BB5" w:rsidRDefault="004B664D" w:rsidP="004B664D">
            <w:pPr>
              <w:jc w:val="center"/>
              <w:rPr>
                <w:rFonts w:eastAsia="Times New Roman"/>
                <w:sz w:val="16"/>
                <w:szCs w:val="16"/>
                <w:lang w:eastAsia="en-US"/>
              </w:rPr>
            </w:pPr>
          </w:p>
        </w:tc>
        <w:tc>
          <w:tcPr>
            <w:tcW w:w="720" w:type="dxa"/>
          </w:tcPr>
          <w:p w14:paraId="34C35999" w14:textId="77777777" w:rsidR="004B664D" w:rsidRPr="00C03BB5" w:rsidRDefault="004B664D" w:rsidP="004B664D">
            <w:pPr>
              <w:jc w:val="center"/>
              <w:rPr>
                <w:rFonts w:eastAsia="Times New Roman"/>
                <w:sz w:val="18"/>
                <w:szCs w:val="18"/>
                <w:lang w:eastAsia="en-US"/>
              </w:rPr>
            </w:pPr>
          </w:p>
        </w:tc>
        <w:tc>
          <w:tcPr>
            <w:tcW w:w="630" w:type="dxa"/>
          </w:tcPr>
          <w:p w14:paraId="455123B0" w14:textId="77777777" w:rsidR="004B664D" w:rsidRPr="00C03BB5" w:rsidRDefault="004B664D" w:rsidP="004B664D">
            <w:pPr>
              <w:jc w:val="center"/>
              <w:rPr>
                <w:rFonts w:eastAsia="Times New Roman"/>
                <w:sz w:val="18"/>
                <w:szCs w:val="18"/>
                <w:lang w:eastAsia="en-US"/>
              </w:rPr>
            </w:pPr>
          </w:p>
        </w:tc>
        <w:tc>
          <w:tcPr>
            <w:tcW w:w="720" w:type="dxa"/>
          </w:tcPr>
          <w:p w14:paraId="54D3005C" w14:textId="77777777" w:rsidR="004B664D" w:rsidRPr="00C03BB5" w:rsidRDefault="004B664D" w:rsidP="004B664D">
            <w:pPr>
              <w:jc w:val="center"/>
              <w:rPr>
                <w:rFonts w:eastAsia="Times New Roman"/>
                <w:sz w:val="18"/>
                <w:szCs w:val="18"/>
                <w:lang w:eastAsia="en-US"/>
              </w:rPr>
            </w:pPr>
          </w:p>
        </w:tc>
        <w:tc>
          <w:tcPr>
            <w:tcW w:w="877" w:type="dxa"/>
          </w:tcPr>
          <w:p w14:paraId="3DC1B911" w14:textId="77777777" w:rsidR="004B664D" w:rsidRPr="00C03BB5" w:rsidRDefault="004B664D" w:rsidP="004B664D">
            <w:pPr>
              <w:jc w:val="center"/>
              <w:rPr>
                <w:rFonts w:eastAsia="Times New Roman"/>
                <w:sz w:val="18"/>
                <w:szCs w:val="18"/>
                <w:lang w:eastAsia="en-US"/>
              </w:rPr>
            </w:pPr>
          </w:p>
        </w:tc>
      </w:tr>
      <w:tr w:rsidR="004B664D" w:rsidRPr="00C03BB5" w14:paraId="77D3645B" w14:textId="77777777" w:rsidTr="000D7C76">
        <w:trPr>
          <w:jc w:val="center"/>
        </w:trPr>
        <w:tc>
          <w:tcPr>
            <w:tcW w:w="1255" w:type="dxa"/>
          </w:tcPr>
          <w:p w14:paraId="406D91AA" w14:textId="77777777" w:rsidR="004B664D" w:rsidRPr="00C03BB5" w:rsidRDefault="004B664D" w:rsidP="004B664D">
            <w:pPr>
              <w:rPr>
                <w:rFonts w:eastAsia="Times New Roman"/>
                <w:sz w:val="16"/>
                <w:szCs w:val="16"/>
                <w:lang w:eastAsia="en-US"/>
              </w:rPr>
            </w:pPr>
            <w:r w:rsidRPr="00C03BB5">
              <w:rPr>
                <w:rFonts w:eastAsia="Times New Roman"/>
                <w:sz w:val="16"/>
                <w:szCs w:val="16"/>
                <w:lang w:eastAsia="en-US"/>
              </w:rPr>
              <w:t>Loss ratio</w:t>
            </w:r>
            <w:r w:rsidRPr="00C03BB5">
              <w:rPr>
                <w:rFonts w:eastAsia="Times New Roman"/>
                <w:sz w:val="18"/>
                <w:szCs w:val="18"/>
                <w:lang w:eastAsia="en-US"/>
              </w:rPr>
              <w:t xml:space="preserve"> c/</w:t>
            </w:r>
          </w:p>
        </w:tc>
        <w:tc>
          <w:tcPr>
            <w:tcW w:w="630" w:type="dxa"/>
          </w:tcPr>
          <w:p w14:paraId="4679EEEA" w14:textId="77777777" w:rsidR="004B664D" w:rsidRPr="00C03BB5" w:rsidRDefault="004B664D" w:rsidP="004B664D">
            <w:pPr>
              <w:jc w:val="center"/>
              <w:rPr>
                <w:rFonts w:eastAsia="Times New Roman"/>
                <w:sz w:val="16"/>
                <w:szCs w:val="16"/>
                <w:lang w:eastAsia="en-US"/>
              </w:rPr>
            </w:pPr>
          </w:p>
        </w:tc>
        <w:tc>
          <w:tcPr>
            <w:tcW w:w="653" w:type="dxa"/>
          </w:tcPr>
          <w:p w14:paraId="4ECF5DC6" w14:textId="77777777" w:rsidR="004B664D" w:rsidRPr="00C03BB5" w:rsidRDefault="004B664D" w:rsidP="004B664D">
            <w:pPr>
              <w:jc w:val="center"/>
              <w:rPr>
                <w:rFonts w:eastAsia="Times New Roman"/>
                <w:sz w:val="16"/>
                <w:szCs w:val="16"/>
                <w:lang w:eastAsia="en-US"/>
              </w:rPr>
            </w:pPr>
          </w:p>
        </w:tc>
        <w:tc>
          <w:tcPr>
            <w:tcW w:w="720" w:type="dxa"/>
          </w:tcPr>
          <w:p w14:paraId="044D5BCF" w14:textId="77777777" w:rsidR="004B664D" w:rsidRPr="00C03BB5" w:rsidRDefault="004B664D" w:rsidP="004B664D">
            <w:pPr>
              <w:jc w:val="center"/>
              <w:rPr>
                <w:rFonts w:eastAsia="Times New Roman"/>
                <w:sz w:val="16"/>
                <w:szCs w:val="16"/>
                <w:lang w:eastAsia="en-US"/>
              </w:rPr>
            </w:pPr>
          </w:p>
        </w:tc>
        <w:tc>
          <w:tcPr>
            <w:tcW w:w="900" w:type="dxa"/>
          </w:tcPr>
          <w:p w14:paraId="26C7D6BD" w14:textId="77777777" w:rsidR="004B664D" w:rsidRPr="00C03BB5" w:rsidRDefault="004B664D" w:rsidP="004B664D">
            <w:pPr>
              <w:jc w:val="center"/>
              <w:rPr>
                <w:rFonts w:eastAsia="Times New Roman"/>
                <w:sz w:val="16"/>
                <w:szCs w:val="16"/>
                <w:lang w:eastAsia="en-US"/>
              </w:rPr>
            </w:pPr>
            <w:r w:rsidRPr="00C03BB5">
              <w:rPr>
                <w:rFonts w:eastAsia="Times New Roman"/>
                <w:sz w:val="16"/>
                <w:szCs w:val="16"/>
                <w:lang w:eastAsia="en-US"/>
              </w:rPr>
              <w:t>0.5</w:t>
            </w:r>
          </w:p>
        </w:tc>
        <w:tc>
          <w:tcPr>
            <w:tcW w:w="720" w:type="dxa"/>
          </w:tcPr>
          <w:p w14:paraId="5B85CF86" w14:textId="77777777" w:rsidR="004B664D" w:rsidRPr="00C03BB5" w:rsidRDefault="004B664D" w:rsidP="004B664D">
            <w:pPr>
              <w:jc w:val="center"/>
              <w:rPr>
                <w:rFonts w:eastAsia="Times New Roman"/>
                <w:sz w:val="18"/>
                <w:szCs w:val="18"/>
                <w:lang w:eastAsia="en-US"/>
              </w:rPr>
            </w:pPr>
          </w:p>
        </w:tc>
        <w:tc>
          <w:tcPr>
            <w:tcW w:w="630" w:type="dxa"/>
          </w:tcPr>
          <w:p w14:paraId="377730BB" w14:textId="77777777" w:rsidR="004B664D" w:rsidRPr="00C03BB5" w:rsidRDefault="004B664D" w:rsidP="004B664D">
            <w:pPr>
              <w:jc w:val="center"/>
              <w:rPr>
                <w:rFonts w:eastAsia="Times New Roman"/>
                <w:sz w:val="18"/>
                <w:szCs w:val="18"/>
                <w:lang w:eastAsia="en-US"/>
              </w:rPr>
            </w:pPr>
          </w:p>
        </w:tc>
        <w:tc>
          <w:tcPr>
            <w:tcW w:w="720" w:type="dxa"/>
          </w:tcPr>
          <w:p w14:paraId="729542BB" w14:textId="77777777" w:rsidR="004B664D" w:rsidRPr="00C03BB5" w:rsidRDefault="004B664D" w:rsidP="004B664D">
            <w:pPr>
              <w:jc w:val="center"/>
              <w:rPr>
                <w:rFonts w:eastAsia="Times New Roman"/>
                <w:sz w:val="18"/>
                <w:szCs w:val="18"/>
                <w:lang w:eastAsia="en-US"/>
              </w:rPr>
            </w:pPr>
          </w:p>
        </w:tc>
        <w:tc>
          <w:tcPr>
            <w:tcW w:w="877" w:type="dxa"/>
          </w:tcPr>
          <w:p w14:paraId="632E071A" w14:textId="77777777" w:rsidR="004B664D" w:rsidRPr="00C03BB5" w:rsidRDefault="004B664D" w:rsidP="004B664D">
            <w:pPr>
              <w:jc w:val="center"/>
              <w:rPr>
                <w:rFonts w:eastAsia="Times New Roman"/>
                <w:sz w:val="18"/>
                <w:szCs w:val="18"/>
                <w:lang w:eastAsia="en-US"/>
              </w:rPr>
            </w:pPr>
            <w:r w:rsidRPr="00C03BB5">
              <w:rPr>
                <w:rFonts w:eastAsia="Times New Roman"/>
                <w:sz w:val="18"/>
                <w:szCs w:val="18"/>
                <w:lang w:eastAsia="en-US"/>
              </w:rPr>
              <w:t>1.18</w:t>
            </w:r>
          </w:p>
        </w:tc>
      </w:tr>
    </w:tbl>
    <w:p w14:paraId="436CE93F" w14:textId="77777777" w:rsidR="005A4EF0" w:rsidRDefault="005A4EF0" w:rsidP="004B664D">
      <w:pPr>
        <w:rPr>
          <w:rFonts w:eastAsia="Times New Roman"/>
          <w:i/>
          <w:sz w:val="18"/>
          <w:szCs w:val="18"/>
          <w:lang w:eastAsia="en-US"/>
        </w:rPr>
      </w:pPr>
    </w:p>
    <w:p w14:paraId="03BDF731" w14:textId="77777777" w:rsidR="004B664D" w:rsidRPr="00C03BB5" w:rsidRDefault="004B664D" w:rsidP="004B664D">
      <w:pPr>
        <w:rPr>
          <w:rFonts w:eastAsia="Times New Roman"/>
          <w:i/>
          <w:sz w:val="18"/>
          <w:szCs w:val="18"/>
          <w:lang w:eastAsia="en-US"/>
        </w:rPr>
      </w:pPr>
      <w:r w:rsidRPr="00C03BB5">
        <w:rPr>
          <w:rFonts w:eastAsia="Times New Roman"/>
          <w:i/>
          <w:sz w:val="18"/>
          <w:szCs w:val="18"/>
          <w:lang w:eastAsia="en-US"/>
        </w:rPr>
        <w:t>Source: Herd Models applied to Jargalant sum and Bumbugut sum).</w:t>
      </w:r>
    </w:p>
    <w:p w14:paraId="29C0B74B" w14:textId="77777777" w:rsidR="004B664D" w:rsidRPr="00C03BB5" w:rsidRDefault="004B664D" w:rsidP="004B664D">
      <w:pPr>
        <w:rPr>
          <w:rFonts w:eastAsia="Times New Roman"/>
          <w:i/>
          <w:sz w:val="18"/>
          <w:szCs w:val="18"/>
          <w:lang w:eastAsia="en-US"/>
        </w:rPr>
      </w:pPr>
      <w:r w:rsidRPr="00C03BB5">
        <w:rPr>
          <w:rFonts w:eastAsia="Times New Roman"/>
          <w:i/>
          <w:sz w:val="18"/>
          <w:szCs w:val="18"/>
          <w:lang w:eastAsia="en-US"/>
        </w:rPr>
        <w:t>a/ Total of all premiums paid by the herder over the 10 years and total of all payouts over the 10 years.</w:t>
      </w:r>
    </w:p>
    <w:p w14:paraId="61447D54" w14:textId="77777777" w:rsidR="004B664D" w:rsidRPr="00C03BB5" w:rsidRDefault="004B664D" w:rsidP="004B664D">
      <w:pPr>
        <w:rPr>
          <w:rFonts w:eastAsia="Times New Roman"/>
          <w:i/>
          <w:sz w:val="18"/>
          <w:szCs w:val="18"/>
          <w:lang w:eastAsia="en-US"/>
        </w:rPr>
      </w:pPr>
      <w:r w:rsidRPr="00C03BB5">
        <w:rPr>
          <w:rFonts w:eastAsia="Times New Roman"/>
          <w:i/>
          <w:sz w:val="18"/>
          <w:szCs w:val="18"/>
          <w:lang w:eastAsia="en-US"/>
        </w:rPr>
        <w:t>b/ All species are insured at the same rate in the model runs.</w:t>
      </w:r>
    </w:p>
    <w:p w14:paraId="1B88EB7D" w14:textId="77777777" w:rsidR="004B664D" w:rsidRPr="00C03BB5" w:rsidRDefault="004B664D" w:rsidP="004B664D">
      <w:pPr>
        <w:rPr>
          <w:rFonts w:eastAsia="Times New Roman"/>
          <w:i/>
          <w:sz w:val="18"/>
          <w:szCs w:val="18"/>
          <w:lang w:eastAsia="en-US"/>
        </w:rPr>
      </w:pPr>
      <w:r w:rsidRPr="00C03BB5">
        <w:rPr>
          <w:rFonts w:eastAsia="Times New Roman"/>
          <w:i/>
          <w:sz w:val="18"/>
          <w:szCs w:val="18"/>
          <w:lang w:eastAsia="en-US"/>
        </w:rPr>
        <w:t>c/ Average loss ratio.</w:t>
      </w:r>
    </w:p>
    <w:p w14:paraId="6EBEEA6E" w14:textId="77777777" w:rsidR="004B664D" w:rsidRPr="00C03BB5" w:rsidRDefault="004B664D" w:rsidP="004B664D">
      <w:pPr>
        <w:rPr>
          <w:rFonts w:eastAsia="Times New Roman"/>
          <w:i/>
          <w:sz w:val="18"/>
          <w:szCs w:val="18"/>
          <w:lang w:eastAsia="en-US"/>
        </w:rPr>
      </w:pPr>
    </w:p>
    <w:p w14:paraId="2D347DDD"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 xml:space="preserve">The results in Table 3, Figure 1, and Figure 3 corroborate the findings of the original economic analysis. They indicate that net income increases for a with-project (insured) herder over an uninsured </w:t>
      </w:r>
      <w:r w:rsidRPr="00C03BB5">
        <w:rPr>
          <w:rFonts w:eastAsia="Calibri"/>
          <w:sz w:val="22"/>
          <w:szCs w:val="22"/>
          <w:lang w:eastAsia="en-US"/>
        </w:rPr>
        <w:lastRenderedPageBreak/>
        <w:t xml:space="preserve">herder in both </w:t>
      </w:r>
      <w:r w:rsidRPr="00C03BB5">
        <w:rPr>
          <w:rFonts w:eastAsia="Calibri"/>
          <w:i/>
          <w:sz w:val="22"/>
          <w:szCs w:val="22"/>
          <w:lang w:eastAsia="en-US"/>
        </w:rPr>
        <w:t>sums</w:t>
      </w:r>
      <w:r w:rsidRPr="00C03BB5">
        <w:rPr>
          <w:rFonts w:eastAsia="Calibri"/>
          <w:sz w:val="22"/>
          <w:szCs w:val="22"/>
          <w:lang w:eastAsia="en-US"/>
        </w:rPr>
        <w:t xml:space="preserve"> because insured herders can restock using 50% of the insurance payout from each </w:t>
      </w:r>
      <w:r w:rsidRPr="00C03BB5">
        <w:rPr>
          <w:rFonts w:eastAsia="Calibri"/>
          <w:i/>
          <w:iCs/>
          <w:sz w:val="22"/>
          <w:szCs w:val="22"/>
          <w:lang w:eastAsia="en-US"/>
        </w:rPr>
        <w:t xml:space="preserve">dzud event </w:t>
      </w:r>
      <w:r w:rsidRPr="00C03BB5">
        <w:rPr>
          <w:rFonts w:eastAsia="Calibri"/>
          <w:sz w:val="22"/>
          <w:szCs w:val="22"/>
          <w:lang w:eastAsia="en-US"/>
        </w:rPr>
        <w:t xml:space="preserve">year while limiting the herd size to 225 animals. Net income increases are considerable and are 7%, 6 and 4% higher in Jargalant </w:t>
      </w:r>
      <w:r w:rsidRPr="00C03BB5">
        <w:rPr>
          <w:rFonts w:eastAsia="Calibri"/>
          <w:i/>
          <w:iCs/>
          <w:sz w:val="22"/>
          <w:szCs w:val="22"/>
          <w:lang w:eastAsia="en-US"/>
        </w:rPr>
        <w:t>sum</w:t>
      </w:r>
      <w:r w:rsidRPr="00C03BB5">
        <w:rPr>
          <w:rFonts w:eastAsia="Calibri"/>
          <w:sz w:val="22"/>
          <w:szCs w:val="22"/>
          <w:lang w:eastAsia="en-US"/>
        </w:rPr>
        <w:t xml:space="preserve">  and 5%, 6% and 7% higher in Bumbugur </w:t>
      </w:r>
      <w:r w:rsidRPr="00C03BB5">
        <w:rPr>
          <w:rFonts w:eastAsia="Calibri"/>
          <w:i/>
          <w:iCs/>
          <w:sz w:val="22"/>
          <w:szCs w:val="22"/>
          <w:lang w:eastAsia="en-US"/>
        </w:rPr>
        <w:t>sum</w:t>
      </w:r>
      <w:r w:rsidRPr="00C03BB5">
        <w:rPr>
          <w:rFonts w:eastAsia="Calibri"/>
          <w:sz w:val="22"/>
          <w:szCs w:val="22"/>
          <w:lang w:eastAsia="en-US"/>
        </w:rPr>
        <w:t xml:space="preserve"> relative to the without-project base net income for each of the percentage coverage levels simulated (i.e., 30%, 50% and 100% of animal value respectively). Additionally, the with-project herder’s value of the herd in Jargalant </w:t>
      </w:r>
      <w:r w:rsidRPr="00C03BB5">
        <w:rPr>
          <w:rFonts w:eastAsia="Calibri"/>
          <w:i/>
          <w:iCs/>
          <w:sz w:val="22"/>
          <w:szCs w:val="22"/>
          <w:lang w:eastAsia="en-US"/>
        </w:rPr>
        <w:t>sum</w:t>
      </w:r>
      <w:r w:rsidRPr="00C03BB5">
        <w:rPr>
          <w:rFonts w:eastAsia="Calibri"/>
          <w:sz w:val="22"/>
          <w:szCs w:val="22"/>
          <w:lang w:eastAsia="en-US"/>
        </w:rPr>
        <w:t xml:space="preserve"> is higher at the end of the period (2015) relative to the without-project herd value by 12% to 19% depending on the percentage of livestock species value insured. </w:t>
      </w:r>
      <w:bookmarkStart w:id="206" w:name="OLE_LINK1"/>
      <w:r w:rsidRPr="00C03BB5">
        <w:rPr>
          <w:rFonts w:eastAsia="Calibri"/>
          <w:sz w:val="22"/>
          <w:szCs w:val="22"/>
          <w:lang w:eastAsia="en-US"/>
        </w:rPr>
        <w:t xml:space="preserve">The high species mortality rates prevent the without-project herder from increasing herd size above that of the with-project herder who uses the IBLI payouts for restocking. </w:t>
      </w:r>
      <w:bookmarkEnd w:id="206"/>
      <w:r w:rsidRPr="00C03BB5">
        <w:rPr>
          <w:rFonts w:eastAsia="Calibri"/>
          <w:sz w:val="22"/>
          <w:szCs w:val="22"/>
          <w:lang w:eastAsia="en-US"/>
        </w:rPr>
        <w:t xml:space="preserve">With lower relative mortality rates in Jargalant </w:t>
      </w:r>
      <w:r w:rsidRPr="00C03BB5">
        <w:rPr>
          <w:rFonts w:eastAsia="Calibri"/>
          <w:iCs/>
          <w:sz w:val="22"/>
          <w:szCs w:val="22"/>
          <w:lang w:eastAsia="en-US"/>
        </w:rPr>
        <w:t>sum</w:t>
      </w:r>
      <w:r w:rsidRPr="00C03BB5">
        <w:rPr>
          <w:rFonts w:eastAsia="Calibri"/>
          <w:sz w:val="22"/>
          <w:szCs w:val="22"/>
          <w:lang w:eastAsia="en-US"/>
        </w:rPr>
        <w:t xml:space="preserve">, the with-project herder’s value of the herd at the end of the period (2015) is higher than in Bumbugur </w:t>
      </w:r>
      <w:r w:rsidRPr="00C03BB5">
        <w:rPr>
          <w:rFonts w:eastAsia="Calibri"/>
          <w:iCs/>
          <w:sz w:val="22"/>
          <w:szCs w:val="22"/>
          <w:lang w:eastAsia="en-US"/>
        </w:rPr>
        <w:t>sum.</w:t>
      </w:r>
    </w:p>
    <w:p w14:paraId="1077AB81" w14:textId="77777777" w:rsidR="004B664D" w:rsidRPr="00C03BB5" w:rsidRDefault="004B664D" w:rsidP="004B664D">
      <w:pPr>
        <w:spacing w:after="160" w:line="259" w:lineRule="auto"/>
        <w:jc w:val="center"/>
        <w:rPr>
          <w:rFonts w:eastAsia="Calibri"/>
          <w:b/>
          <w:bCs/>
          <w:sz w:val="22"/>
          <w:szCs w:val="22"/>
          <w:lang w:eastAsia="en-US"/>
        </w:rPr>
      </w:pPr>
      <w:r w:rsidRPr="00C03BB5">
        <w:rPr>
          <w:rFonts w:eastAsia="Calibri"/>
          <w:b/>
          <w:bCs/>
          <w:sz w:val="22"/>
          <w:szCs w:val="22"/>
          <w:lang w:eastAsia="en-US"/>
        </w:rPr>
        <w:t>Table 3. Summary of Simulation Model Results for Bayankhongor aimag</w:t>
      </w: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900"/>
        <w:gridCol w:w="1029"/>
        <w:gridCol w:w="938"/>
        <w:gridCol w:w="1003"/>
        <w:gridCol w:w="938"/>
        <w:gridCol w:w="939"/>
        <w:gridCol w:w="1003"/>
      </w:tblGrid>
      <w:tr w:rsidR="004B664D" w:rsidRPr="00C03BB5" w14:paraId="30EB5084" w14:textId="77777777" w:rsidTr="000D7C76">
        <w:trPr>
          <w:trHeight w:val="539"/>
        </w:trPr>
        <w:tc>
          <w:tcPr>
            <w:tcW w:w="3420" w:type="dxa"/>
          </w:tcPr>
          <w:p w14:paraId="59FB27B6" w14:textId="77777777" w:rsidR="004B664D" w:rsidRPr="00C03BB5" w:rsidRDefault="004B664D" w:rsidP="004B664D">
            <w:pPr>
              <w:spacing w:after="160" w:line="259" w:lineRule="auto"/>
              <w:contextualSpacing/>
              <w:jc w:val="center"/>
              <w:rPr>
                <w:rFonts w:eastAsia="Calibri"/>
                <w:sz w:val="22"/>
                <w:szCs w:val="22"/>
                <w:lang w:eastAsia="en-US"/>
              </w:rPr>
            </w:pPr>
          </w:p>
        </w:tc>
        <w:tc>
          <w:tcPr>
            <w:tcW w:w="900" w:type="dxa"/>
          </w:tcPr>
          <w:p w14:paraId="132F65A2" w14:textId="77777777" w:rsidR="004B664D" w:rsidRPr="00C03BB5" w:rsidRDefault="004B664D" w:rsidP="004B664D">
            <w:pPr>
              <w:spacing w:after="160" w:line="259" w:lineRule="auto"/>
              <w:contextualSpacing/>
              <w:jc w:val="center"/>
              <w:rPr>
                <w:rFonts w:eastAsia="Calibri"/>
                <w:b/>
                <w:sz w:val="16"/>
                <w:szCs w:val="16"/>
                <w:lang w:eastAsia="en-US"/>
              </w:rPr>
            </w:pPr>
            <w:r w:rsidRPr="00C03BB5">
              <w:rPr>
                <w:rFonts w:eastAsia="Calibri"/>
                <w:b/>
                <w:sz w:val="16"/>
                <w:szCs w:val="16"/>
                <w:lang w:eastAsia="en-US"/>
              </w:rPr>
              <w:t>Without Project</w:t>
            </w:r>
          </w:p>
        </w:tc>
        <w:tc>
          <w:tcPr>
            <w:tcW w:w="2970" w:type="dxa"/>
            <w:gridSpan w:val="3"/>
            <w:tcBorders>
              <w:bottom w:val="single" w:sz="4" w:space="0" w:color="auto"/>
            </w:tcBorders>
          </w:tcPr>
          <w:p w14:paraId="1C5ABCA3" w14:textId="77777777" w:rsidR="004B664D" w:rsidRPr="00C03BB5" w:rsidRDefault="004B664D" w:rsidP="004B664D">
            <w:pPr>
              <w:spacing w:after="160" w:line="259" w:lineRule="auto"/>
              <w:contextualSpacing/>
              <w:jc w:val="center"/>
              <w:rPr>
                <w:rFonts w:eastAsia="Calibri"/>
                <w:b/>
                <w:sz w:val="16"/>
                <w:szCs w:val="16"/>
                <w:lang w:eastAsia="en-US"/>
              </w:rPr>
            </w:pPr>
            <w:r w:rsidRPr="00C03BB5">
              <w:rPr>
                <w:rFonts w:eastAsia="Calibri"/>
                <w:b/>
                <w:sz w:val="16"/>
                <w:szCs w:val="16"/>
                <w:lang w:eastAsia="en-US"/>
              </w:rPr>
              <w:t>With Project Results</w:t>
            </w:r>
          </w:p>
          <w:p w14:paraId="60038950" w14:textId="77777777" w:rsidR="004B664D" w:rsidRPr="00C03BB5" w:rsidRDefault="004B664D" w:rsidP="004B664D">
            <w:pPr>
              <w:spacing w:after="160" w:line="259" w:lineRule="auto"/>
              <w:contextualSpacing/>
              <w:jc w:val="center"/>
              <w:rPr>
                <w:rFonts w:eastAsia="Calibri"/>
                <w:b/>
                <w:sz w:val="16"/>
                <w:szCs w:val="16"/>
                <w:lang w:eastAsia="en-US"/>
              </w:rPr>
            </w:pPr>
            <w:r w:rsidRPr="00C03BB5">
              <w:rPr>
                <w:rFonts w:eastAsia="Calibri"/>
                <w:b/>
                <w:sz w:val="16"/>
                <w:szCs w:val="16"/>
                <w:lang w:eastAsia="en-US"/>
              </w:rPr>
              <w:t>(%Livestock Value Insured)</w:t>
            </w:r>
          </w:p>
        </w:tc>
        <w:tc>
          <w:tcPr>
            <w:tcW w:w="2880" w:type="dxa"/>
            <w:gridSpan w:val="3"/>
          </w:tcPr>
          <w:p w14:paraId="02B7A293" w14:textId="77777777" w:rsidR="004B664D" w:rsidRPr="00C03BB5" w:rsidRDefault="004B664D" w:rsidP="004B664D">
            <w:pPr>
              <w:spacing w:after="160" w:line="259" w:lineRule="auto"/>
              <w:contextualSpacing/>
              <w:jc w:val="center"/>
              <w:rPr>
                <w:rFonts w:eastAsia="Calibri"/>
                <w:b/>
                <w:sz w:val="16"/>
                <w:szCs w:val="16"/>
                <w:lang w:eastAsia="en-US"/>
              </w:rPr>
            </w:pPr>
            <w:r w:rsidRPr="00C03BB5">
              <w:rPr>
                <w:rFonts w:eastAsia="Calibri"/>
                <w:b/>
                <w:sz w:val="16"/>
                <w:szCs w:val="16"/>
                <w:lang w:eastAsia="en-US"/>
              </w:rPr>
              <w:t>Changes With Project</w:t>
            </w:r>
          </w:p>
          <w:p w14:paraId="59E49314" w14:textId="77777777" w:rsidR="004B664D" w:rsidRPr="00C03BB5" w:rsidRDefault="004B664D" w:rsidP="004B664D">
            <w:pPr>
              <w:spacing w:after="160" w:line="259" w:lineRule="auto"/>
              <w:contextualSpacing/>
              <w:jc w:val="center"/>
              <w:rPr>
                <w:rFonts w:eastAsia="Calibri"/>
                <w:b/>
                <w:sz w:val="16"/>
                <w:szCs w:val="16"/>
                <w:lang w:eastAsia="en-US"/>
              </w:rPr>
            </w:pPr>
            <w:r w:rsidRPr="00C03BB5">
              <w:rPr>
                <w:rFonts w:eastAsia="Calibri"/>
                <w:b/>
                <w:sz w:val="16"/>
                <w:szCs w:val="16"/>
                <w:lang w:eastAsia="en-US"/>
              </w:rPr>
              <w:t>(%Livestock Value Insured)</w:t>
            </w:r>
          </w:p>
        </w:tc>
      </w:tr>
      <w:tr w:rsidR="004B664D" w:rsidRPr="00C03BB5" w14:paraId="7BE529E8" w14:textId="77777777" w:rsidTr="000D7C76">
        <w:trPr>
          <w:trHeight w:val="242"/>
        </w:trPr>
        <w:tc>
          <w:tcPr>
            <w:tcW w:w="3420" w:type="dxa"/>
          </w:tcPr>
          <w:p w14:paraId="4E7CB829" w14:textId="77777777" w:rsidR="004B664D" w:rsidRPr="00C03BB5" w:rsidRDefault="004B664D" w:rsidP="004B664D">
            <w:pPr>
              <w:spacing w:after="160" w:line="259" w:lineRule="auto"/>
              <w:contextualSpacing/>
              <w:rPr>
                <w:rFonts w:eastAsia="Calibri"/>
                <w:sz w:val="18"/>
                <w:szCs w:val="18"/>
                <w:lang w:eastAsia="en-US"/>
              </w:rPr>
            </w:pPr>
          </w:p>
        </w:tc>
        <w:tc>
          <w:tcPr>
            <w:tcW w:w="900" w:type="dxa"/>
          </w:tcPr>
          <w:p w14:paraId="21B1DF6D" w14:textId="77777777" w:rsidR="004B664D" w:rsidRPr="00C03BB5" w:rsidRDefault="004B664D" w:rsidP="004B664D">
            <w:pPr>
              <w:spacing w:after="160" w:line="259" w:lineRule="auto"/>
              <w:contextualSpacing/>
              <w:rPr>
                <w:rFonts w:eastAsia="Calibri"/>
                <w:sz w:val="18"/>
                <w:szCs w:val="18"/>
                <w:lang w:eastAsia="en-US"/>
              </w:rPr>
            </w:pPr>
          </w:p>
        </w:tc>
        <w:tc>
          <w:tcPr>
            <w:tcW w:w="1029" w:type="dxa"/>
            <w:tcBorders>
              <w:top w:val="single" w:sz="4" w:space="0" w:color="auto"/>
            </w:tcBorders>
          </w:tcPr>
          <w:p w14:paraId="3FD52CF8" w14:textId="77777777" w:rsidR="004B664D" w:rsidRPr="00C03BB5" w:rsidRDefault="004B664D" w:rsidP="004B664D">
            <w:pPr>
              <w:spacing w:after="160" w:line="259" w:lineRule="auto"/>
              <w:contextualSpacing/>
              <w:jc w:val="center"/>
              <w:rPr>
                <w:rFonts w:eastAsia="Calibri"/>
                <w:sz w:val="18"/>
                <w:szCs w:val="18"/>
                <w:lang w:eastAsia="en-US"/>
              </w:rPr>
            </w:pPr>
            <w:r w:rsidRPr="00C03BB5">
              <w:rPr>
                <w:rFonts w:eastAsia="Calibri"/>
                <w:sz w:val="18"/>
                <w:szCs w:val="18"/>
                <w:lang w:eastAsia="en-US"/>
              </w:rPr>
              <w:t>30%</w:t>
            </w:r>
          </w:p>
        </w:tc>
        <w:tc>
          <w:tcPr>
            <w:tcW w:w="938" w:type="dxa"/>
            <w:tcBorders>
              <w:top w:val="single" w:sz="4" w:space="0" w:color="auto"/>
            </w:tcBorders>
          </w:tcPr>
          <w:p w14:paraId="702AEDCC" w14:textId="77777777" w:rsidR="004B664D" w:rsidRPr="00C03BB5" w:rsidRDefault="004B664D" w:rsidP="004B664D">
            <w:pPr>
              <w:spacing w:after="160" w:line="259" w:lineRule="auto"/>
              <w:contextualSpacing/>
              <w:jc w:val="center"/>
              <w:rPr>
                <w:rFonts w:eastAsia="Calibri"/>
                <w:sz w:val="18"/>
                <w:szCs w:val="18"/>
                <w:lang w:eastAsia="en-US"/>
              </w:rPr>
            </w:pPr>
            <w:r w:rsidRPr="00C03BB5">
              <w:rPr>
                <w:rFonts w:eastAsia="Calibri"/>
                <w:sz w:val="18"/>
                <w:szCs w:val="18"/>
                <w:lang w:eastAsia="en-US"/>
              </w:rPr>
              <w:t>50%</w:t>
            </w:r>
          </w:p>
        </w:tc>
        <w:tc>
          <w:tcPr>
            <w:tcW w:w="1003" w:type="dxa"/>
            <w:tcBorders>
              <w:top w:val="single" w:sz="4" w:space="0" w:color="auto"/>
            </w:tcBorders>
          </w:tcPr>
          <w:p w14:paraId="39F1A4CB" w14:textId="77777777" w:rsidR="004B664D" w:rsidRPr="00C03BB5" w:rsidRDefault="004B664D" w:rsidP="004B664D">
            <w:pPr>
              <w:spacing w:after="160" w:line="259" w:lineRule="auto"/>
              <w:contextualSpacing/>
              <w:jc w:val="center"/>
              <w:rPr>
                <w:rFonts w:eastAsia="Calibri"/>
                <w:sz w:val="18"/>
                <w:szCs w:val="18"/>
                <w:lang w:eastAsia="en-US"/>
              </w:rPr>
            </w:pPr>
            <w:r w:rsidRPr="00C03BB5">
              <w:rPr>
                <w:rFonts w:eastAsia="Calibri"/>
                <w:sz w:val="18"/>
                <w:szCs w:val="18"/>
                <w:lang w:eastAsia="en-US"/>
              </w:rPr>
              <w:t>100%</w:t>
            </w:r>
          </w:p>
        </w:tc>
        <w:tc>
          <w:tcPr>
            <w:tcW w:w="938" w:type="dxa"/>
          </w:tcPr>
          <w:p w14:paraId="064BD8FD" w14:textId="77777777" w:rsidR="004B664D" w:rsidRPr="00C03BB5" w:rsidRDefault="004B664D" w:rsidP="004B664D">
            <w:pPr>
              <w:spacing w:after="160" w:line="259" w:lineRule="auto"/>
              <w:contextualSpacing/>
              <w:jc w:val="center"/>
              <w:rPr>
                <w:rFonts w:eastAsia="Calibri"/>
                <w:sz w:val="18"/>
                <w:szCs w:val="18"/>
                <w:lang w:eastAsia="en-US"/>
              </w:rPr>
            </w:pPr>
            <w:r w:rsidRPr="00C03BB5">
              <w:rPr>
                <w:rFonts w:eastAsia="Calibri"/>
                <w:sz w:val="18"/>
                <w:szCs w:val="18"/>
                <w:lang w:eastAsia="en-US"/>
              </w:rPr>
              <w:t>30%</w:t>
            </w:r>
          </w:p>
        </w:tc>
        <w:tc>
          <w:tcPr>
            <w:tcW w:w="939" w:type="dxa"/>
          </w:tcPr>
          <w:p w14:paraId="26D02233" w14:textId="77777777" w:rsidR="004B664D" w:rsidRPr="00C03BB5" w:rsidRDefault="004B664D" w:rsidP="004B664D">
            <w:pPr>
              <w:spacing w:after="160" w:line="259" w:lineRule="auto"/>
              <w:contextualSpacing/>
              <w:jc w:val="center"/>
              <w:rPr>
                <w:rFonts w:eastAsia="Calibri"/>
                <w:sz w:val="18"/>
                <w:szCs w:val="18"/>
                <w:lang w:eastAsia="en-US"/>
              </w:rPr>
            </w:pPr>
            <w:r w:rsidRPr="00C03BB5">
              <w:rPr>
                <w:rFonts w:eastAsia="Calibri"/>
                <w:sz w:val="18"/>
                <w:szCs w:val="18"/>
                <w:lang w:eastAsia="en-US"/>
              </w:rPr>
              <w:t>50%</w:t>
            </w:r>
          </w:p>
        </w:tc>
        <w:tc>
          <w:tcPr>
            <w:tcW w:w="1003" w:type="dxa"/>
          </w:tcPr>
          <w:p w14:paraId="19BCD286" w14:textId="77777777" w:rsidR="004B664D" w:rsidRPr="00C03BB5" w:rsidRDefault="004B664D" w:rsidP="004B664D">
            <w:pPr>
              <w:spacing w:after="160" w:line="259" w:lineRule="auto"/>
              <w:contextualSpacing/>
              <w:jc w:val="center"/>
              <w:rPr>
                <w:rFonts w:eastAsia="Calibri"/>
                <w:sz w:val="18"/>
                <w:szCs w:val="18"/>
                <w:lang w:eastAsia="en-US"/>
              </w:rPr>
            </w:pPr>
            <w:r w:rsidRPr="00C03BB5">
              <w:rPr>
                <w:rFonts w:eastAsia="Calibri"/>
                <w:sz w:val="18"/>
                <w:szCs w:val="18"/>
                <w:lang w:eastAsia="en-US"/>
              </w:rPr>
              <w:t>100%</w:t>
            </w:r>
          </w:p>
        </w:tc>
      </w:tr>
      <w:tr w:rsidR="004B664D" w:rsidRPr="00C03BB5" w14:paraId="1DFA3BE1" w14:textId="77777777" w:rsidTr="000D7C76">
        <w:trPr>
          <w:trHeight w:val="188"/>
        </w:trPr>
        <w:tc>
          <w:tcPr>
            <w:tcW w:w="3420" w:type="dxa"/>
          </w:tcPr>
          <w:p w14:paraId="21859135" w14:textId="77777777" w:rsidR="004B664D" w:rsidRPr="00C03BB5" w:rsidRDefault="004B664D" w:rsidP="004B664D">
            <w:pPr>
              <w:spacing w:after="160"/>
              <w:contextualSpacing/>
              <w:rPr>
                <w:rFonts w:eastAsia="Calibri"/>
                <w:b/>
                <w:sz w:val="18"/>
                <w:szCs w:val="18"/>
                <w:highlight w:val="yellow"/>
                <w:lang w:eastAsia="en-US"/>
              </w:rPr>
            </w:pPr>
            <w:r w:rsidRPr="00C03BB5">
              <w:rPr>
                <w:rFonts w:eastAsia="Calibri"/>
                <w:b/>
                <w:sz w:val="18"/>
                <w:szCs w:val="18"/>
                <w:lang w:eastAsia="en-US"/>
              </w:rPr>
              <w:t>I.  Jargalant Sum,  Bayankhongor Aimag</w:t>
            </w:r>
          </w:p>
        </w:tc>
        <w:tc>
          <w:tcPr>
            <w:tcW w:w="900" w:type="dxa"/>
          </w:tcPr>
          <w:p w14:paraId="1C2075B3" w14:textId="77777777" w:rsidR="004B664D" w:rsidRPr="00C03BB5" w:rsidRDefault="004B664D" w:rsidP="004B664D">
            <w:pPr>
              <w:spacing w:after="160"/>
              <w:contextualSpacing/>
              <w:rPr>
                <w:rFonts w:eastAsia="Calibri"/>
                <w:sz w:val="18"/>
                <w:szCs w:val="18"/>
                <w:highlight w:val="yellow"/>
                <w:lang w:eastAsia="en-US"/>
              </w:rPr>
            </w:pPr>
          </w:p>
        </w:tc>
        <w:tc>
          <w:tcPr>
            <w:tcW w:w="1029" w:type="dxa"/>
          </w:tcPr>
          <w:p w14:paraId="24500688" w14:textId="77777777" w:rsidR="004B664D" w:rsidRPr="00C03BB5" w:rsidRDefault="004B664D" w:rsidP="004B664D">
            <w:pPr>
              <w:spacing w:after="160"/>
              <w:contextualSpacing/>
              <w:rPr>
                <w:rFonts w:eastAsia="Calibri"/>
                <w:sz w:val="18"/>
                <w:szCs w:val="18"/>
                <w:highlight w:val="yellow"/>
                <w:lang w:eastAsia="en-US"/>
              </w:rPr>
            </w:pPr>
          </w:p>
        </w:tc>
        <w:tc>
          <w:tcPr>
            <w:tcW w:w="938" w:type="dxa"/>
          </w:tcPr>
          <w:p w14:paraId="2D175338" w14:textId="77777777" w:rsidR="004B664D" w:rsidRPr="00C03BB5" w:rsidRDefault="004B664D" w:rsidP="004B664D">
            <w:pPr>
              <w:spacing w:after="160"/>
              <w:contextualSpacing/>
              <w:rPr>
                <w:rFonts w:eastAsia="Calibri"/>
                <w:sz w:val="18"/>
                <w:szCs w:val="18"/>
                <w:highlight w:val="yellow"/>
                <w:lang w:eastAsia="en-US"/>
              </w:rPr>
            </w:pPr>
          </w:p>
        </w:tc>
        <w:tc>
          <w:tcPr>
            <w:tcW w:w="1003" w:type="dxa"/>
          </w:tcPr>
          <w:p w14:paraId="72E04D94" w14:textId="77777777" w:rsidR="004B664D" w:rsidRPr="00C03BB5" w:rsidRDefault="004B664D" w:rsidP="004B664D">
            <w:pPr>
              <w:spacing w:after="160"/>
              <w:contextualSpacing/>
              <w:rPr>
                <w:rFonts w:eastAsia="Calibri"/>
                <w:sz w:val="18"/>
                <w:szCs w:val="18"/>
                <w:highlight w:val="yellow"/>
                <w:lang w:eastAsia="en-US"/>
              </w:rPr>
            </w:pPr>
          </w:p>
        </w:tc>
        <w:tc>
          <w:tcPr>
            <w:tcW w:w="938" w:type="dxa"/>
          </w:tcPr>
          <w:p w14:paraId="220D167C" w14:textId="77777777" w:rsidR="004B664D" w:rsidRPr="00C03BB5" w:rsidRDefault="004B664D" w:rsidP="004B664D">
            <w:pPr>
              <w:spacing w:after="160"/>
              <w:contextualSpacing/>
              <w:rPr>
                <w:rFonts w:eastAsia="Calibri"/>
                <w:sz w:val="18"/>
                <w:szCs w:val="18"/>
                <w:highlight w:val="yellow"/>
                <w:lang w:eastAsia="en-US"/>
              </w:rPr>
            </w:pPr>
          </w:p>
        </w:tc>
        <w:tc>
          <w:tcPr>
            <w:tcW w:w="939" w:type="dxa"/>
          </w:tcPr>
          <w:p w14:paraId="6B24664A" w14:textId="77777777" w:rsidR="004B664D" w:rsidRPr="00C03BB5" w:rsidRDefault="004B664D" w:rsidP="004B664D">
            <w:pPr>
              <w:spacing w:after="160"/>
              <w:contextualSpacing/>
              <w:rPr>
                <w:rFonts w:eastAsia="Calibri"/>
                <w:sz w:val="18"/>
                <w:szCs w:val="18"/>
                <w:highlight w:val="yellow"/>
                <w:lang w:eastAsia="en-US"/>
              </w:rPr>
            </w:pPr>
          </w:p>
        </w:tc>
        <w:tc>
          <w:tcPr>
            <w:tcW w:w="1003" w:type="dxa"/>
          </w:tcPr>
          <w:p w14:paraId="6E751D84" w14:textId="77777777" w:rsidR="004B664D" w:rsidRPr="00C03BB5" w:rsidRDefault="004B664D" w:rsidP="004B664D">
            <w:pPr>
              <w:spacing w:after="160"/>
              <w:contextualSpacing/>
              <w:rPr>
                <w:rFonts w:eastAsia="Calibri"/>
                <w:sz w:val="18"/>
                <w:szCs w:val="18"/>
                <w:highlight w:val="yellow"/>
                <w:lang w:eastAsia="en-US"/>
              </w:rPr>
            </w:pPr>
          </w:p>
        </w:tc>
      </w:tr>
      <w:tr w:rsidR="004B664D" w:rsidRPr="00C03BB5" w14:paraId="76587E14" w14:textId="77777777" w:rsidTr="000D7C76">
        <w:trPr>
          <w:trHeight w:val="144"/>
        </w:trPr>
        <w:tc>
          <w:tcPr>
            <w:tcW w:w="3420" w:type="dxa"/>
            <w:tcBorders>
              <w:bottom w:val="nil"/>
            </w:tcBorders>
          </w:tcPr>
          <w:p w14:paraId="23D7E202" w14:textId="77777777" w:rsidR="004B664D" w:rsidRPr="00C03BB5" w:rsidRDefault="004B664D" w:rsidP="004B664D">
            <w:pPr>
              <w:spacing w:after="160" w:line="259" w:lineRule="auto"/>
              <w:contextualSpacing/>
              <w:rPr>
                <w:rFonts w:eastAsia="Calibri"/>
                <w:i/>
                <w:sz w:val="18"/>
                <w:szCs w:val="18"/>
                <w:u w:val="single"/>
                <w:lang w:eastAsia="en-US"/>
              </w:rPr>
            </w:pPr>
            <w:r w:rsidRPr="00C03BB5">
              <w:rPr>
                <w:rFonts w:eastAsia="Calibri"/>
                <w:i/>
                <w:sz w:val="20"/>
                <w:szCs w:val="18"/>
                <w:u w:val="single"/>
                <w:lang w:eastAsia="en-US"/>
              </w:rPr>
              <w:t>Income (2015 constant US$ )</w:t>
            </w:r>
          </w:p>
        </w:tc>
        <w:tc>
          <w:tcPr>
            <w:tcW w:w="900" w:type="dxa"/>
          </w:tcPr>
          <w:p w14:paraId="2C063434" w14:textId="77777777" w:rsidR="004B664D" w:rsidRPr="00C03BB5" w:rsidRDefault="004B664D" w:rsidP="004B664D">
            <w:pPr>
              <w:spacing w:after="160"/>
              <w:contextualSpacing/>
              <w:jc w:val="right"/>
              <w:rPr>
                <w:rFonts w:eastAsia="Calibri"/>
                <w:sz w:val="18"/>
                <w:szCs w:val="18"/>
                <w:lang w:eastAsia="en-US"/>
              </w:rPr>
            </w:pPr>
          </w:p>
        </w:tc>
        <w:tc>
          <w:tcPr>
            <w:tcW w:w="1029" w:type="dxa"/>
          </w:tcPr>
          <w:p w14:paraId="050D81B1" w14:textId="77777777" w:rsidR="004B664D" w:rsidRPr="00C03BB5" w:rsidRDefault="004B664D" w:rsidP="004B664D">
            <w:pPr>
              <w:spacing w:after="160"/>
              <w:contextualSpacing/>
              <w:jc w:val="right"/>
              <w:rPr>
                <w:rFonts w:eastAsia="Calibri"/>
                <w:sz w:val="18"/>
                <w:szCs w:val="18"/>
                <w:lang w:eastAsia="en-US"/>
              </w:rPr>
            </w:pPr>
          </w:p>
        </w:tc>
        <w:tc>
          <w:tcPr>
            <w:tcW w:w="938" w:type="dxa"/>
          </w:tcPr>
          <w:p w14:paraId="72350BC2"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781114F9" w14:textId="77777777" w:rsidR="004B664D" w:rsidRPr="00C03BB5" w:rsidRDefault="004B664D" w:rsidP="004B664D">
            <w:pPr>
              <w:spacing w:after="160"/>
              <w:contextualSpacing/>
              <w:jc w:val="right"/>
              <w:rPr>
                <w:rFonts w:eastAsia="Calibri"/>
                <w:sz w:val="18"/>
                <w:szCs w:val="18"/>
                <w:lang w:eastAsia="en-US"/>
              </w:rPr>
            </w:pPr>
          </w:p>
        </w:tc>
        <w:tc>
          <w:tcPr>
            <w:tcW w:w="938" w:type="dxa"/>
          </w:tcPr>
          <w:p w14:paraId="425E8C44" w14:textId="77777777" w:rsidR="004B664D" w:rsidRPr="00C03BB5" w:rsidRDefault="004B664D" w:rsidP="004B664D">
            <w:pPr>
              <w:spacing w:after="160"/>
              <w:contextualSpacing/>
              <w:jc w:val="right"/>
              <w:rPr>
                <w:rFonts w:eastAsia="Calibri"/>
                <w:sz w:val="18"/>
                <w:szCs w:val="18"/>
                <w:lang w:eastAsia="en-US"/>
              </w:rPr>
            </w:pPr>
          </w:p>
        </w:tc>
        <w:tc>
          <w:tcPr>
            <w:tcW w:w="939" w:type="dxa"/>
          </w:tcPr>
          <w:p w14:paraId="4037F7A0"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3E2396AF" w14:textId="77777777" w:rsidR="004B664D" w:rsidRPr="00C03BB5" w:rsidRDefault="004B664D" w:rsidP="004B664D">
            <w:pPr>
              <w:spacing w:after="160"/>
              <w:contextualSpacing/>
              <w:jc w:val="right"/>
              <w:rPr>
                <w:rFonts w:eastAsia="Calibri"/>
                <w:sz w:val="18"/>
                <w:szCs w:val="18"/>
                <w:lang w:eastAsia="en-US"/>
              </w:rPr>
            </w:pPr>
          </w:p>
        </w:tc>
      </w:tr>
      <w:tr w:rsidR="004B664D" w:rsidRPr="00C03BB5" w14:paraId="533E32DA" w14:textId="77777777" w:rsidTr="000D7C76">
        <w:trPr>
          <w:trHeight w:val="144"/>
        </w:trPr>
        <w:tc>
          <w:tcPr>
            <w:tcW w:w="3420" w:type="dxa"/>
            <w:tcBorders>
              <w:top w:val="nil"/>
            </w:tcBorders>
          </w:tcPr>
          <w:p w14:paraId="3BE9C28C"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Total net income over period a/</w:t>
            </w:r>
          </w:p>
        </w:tc>
        <w:tc>
          <w:tcPr>
            <w:tcW w:w="900" w:type="dxa"/>
          </w:tcPr>
          <w:p w14:paraId="11D9435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161,389</w:t>
            </w:r>
          </w:p>
        </w:tc>
        <w:tc>
          <w:tcPr>
            <w:tcW w:w="1029" w:type="dxa"/>
          </w:tcPr>
          <w:p w14:paraId="56F80E5B"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172,999</w:t>
            </w:r>
          </w:p>
        </w:tc>
        <w:tc>
          <w:tcPr>
            <w:tcW w:w="938" w:type="dxa"/>
          </w:tcPr>
          <w:p w14:paraId="054B9F0A"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171,646</w:t>
            </w:r>
          </w:p>
        </w:tc>
        <w:tc>
          <w:tcPr>
            <w:tcW w:w="1003" w:type="dxa"/>
          </w:tcPr>
          <w:p w14:paraId="4120FE47"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167,867</w:t>
            </w:r>
          </w:p>
        </w:tc>
        <w:tc>
          <w:tcPr>
            <w:tcW w:w="938" w:type="dxa"/>
          </w:tcPr>
          <w:p w14:paraId="29C7B3C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11,611</w:t>
            </w:r>
          </w:p>
        </w:tc>
        <w:tc>
          <w:tcPr>
            <w:tcW w:w="939" w:type="dxa"/>
          </w:tcPr>
          <w:p w14:paraId="6D478AF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10,258</w:t>
            </w:r>
          </w:p>
        </w:tc>
        <w:tc>
          <w:tcPr>
            <w:tcW w:w="1003" w:type="dxa"/>
          </w:tcPr>
          <w:p w14:paraId="6CAA103F"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6,479</w:t>
            </w:r>
          </w:p>
        </w:tc>
      </w:tr>
      <w:tr w:rsidR="004B664D" w:rsidRPr="00C03BB5" w14:paraId="01A4C840" w14:textId="77777777" w:rsidTr="000D7C76">
        <w:trPr>
          <w:trHeight w:val="251"/>
        </w:trPr>
        <w:tc>
          <w:tcPr>
            <w:tcW w:w="3420" w:type="dxa"/>
            <w:tcBorders>
              <w:top w:val="nil"/>
            </w:tcBorders>
          </w:tcPr>
          <w:p w14:paraId="1431B9AD"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    % change in net income</w:t>
            </w:r>
          </w:p>
        </w:tc>
        <w:tc>
          <w:tcPr>
            <w:tcW w:w="900" w:type="dxa"/>
          </w:tcPr>
          <w:p w14:paraId="52ACEB94" w14:textId="77777777" w:rsidR="004B664D" w:rsidRPr="00C03BB5" w:rsidRDefault="004B664D" w:rsidP="004B664D">
            <w:pPr>
              <w:spacing w:after="160"/>
              <w:contextualSpacing/>
              <w:jc w:val="right"/>
              <w:rPr>
                <w:rFonts w:eastAsia="Calibri"/>
                <w:sz w:val="18"/>
                <w:szCs w:val="18"/>
                <w:lang w:eastAsia="en-US"/>
              </w:rPr>
            </w:pPr>
          </w:p>
        </w:tc>
        <w:tc>
          <w:tcPr>
            <w:tcW w:w="1029" w:type="dxa"/>
          </w:tcPr>
          <w:p w14:paraId="4ED65C6A" w14:textId="77777777" w:rsidR="004B664D" w:rsidRPr="00C03BB5" w:rsidRDefault="004B664D" w:rsidP="004B664D">
            <w:pPr>
              <w:spacing w:after="160"/>
              <w:contextualSpacing/>
              <w:jc w:val="right"/>
              <w:rPr>
                <w:rFonts w:eastAsia="Calibri"/>
                <w:sz w:val="18"/>
                <w:szCs w:val="18"/>
                <w:lang w:eastAsia="en-US"/>
              </w:rPr>
            </w:pPr>
          </w:p>
        </w:tc>
        <w:tc>
          <w:tcPr>
            <w:tcW w:w="938" w:type="dxa"/>
          </w:tcPr>
          <w:p w14:paraId="10A42B92"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05284A72" w14:textId="77777777" w:rsidR="004B664D" w:rsidRPr="00C03BB5" w:rsidRDefault="004B664D" w:rsidP="004B664D">
            <w:pPr>
              <w:spacing w:after="160"/>
              <w:contextualSpacing/>
              <w:jc w:val="right"/>
              <w:rPr>
                <w:rFonts w:eastAsia="Calibri"/>
                <w:sz w:val="18"/>
                <w:szCs w:val="18"/>
                <w:lang w:eastAsia="en-US"/>
              </w:rPr>
            </w:pPr>
          </w:p>
        </w:tc>
        <w:tc>
          <w:tcPr>
            <w:tcW w:w="938" w:type="dxa"/>
          </w:tcPr>
          <w:p w14:paraId="75BCB90C"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7%</w:t>
            </w:r>
          </w:p>
        </w:tc>
        <w:tc>
          <w:tcPr>
            <w:tcW w:w="939" w:type="dxa"/>
          </w:tcPr>
          <w:p w14:paraId="6414060E"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6%</w:t>
            </w:r>
          </w:p>
        </w:tc>
        <w:tc>
          <w:tcPr>
            <w:tcW w:w="1003" w:type="dxa"/>
          </w:tcPr>
          <w:p w14:paraId="6F393B4C"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4%</w:t>
            </w:r>
          </w:p>
        </w:tc>
      </w:tr>
      <w:tr w:rsidR="004B664D" w:rsidRPr="00C03BB5" w14:paraId="7DE98CF1" w14:textId="77777777" w:rsidTr="000D7C76">
        <w:trPr>
          <w:trHeight w:val="144"/>
        </w:trPr>
        <w:tc>
          <w:tcPr>
            <w:tcW w:w="3420" w:type="dxa"/>
          </w:tcPr>
          <w:p w14:paraId="29A2F99F"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   Mean income /year</w:t>
            </w:r>
          </w:p>
        </w:tc>
        <w:tc>
          <w:tcPr>
            <w:tcW w:w="900" w:type="dxa"/>
          </w:tcPr>
          <w:p w14:paraId="6C4F0F58"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14,672</w:t>
            </w:r>
          </w:p>
        </w:tc>
        <w:tc>
          <w:tcPr>
            <w:tcW w:w="1029" w:type="dxa"/>
          </w:tcPr>
          <w:p w14:paraId="300C8C5B"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15,727</w:t>
            </w:r>
          </w:p>
        </w:tc>
        <w:tc>
          <w:tcPr>
            <w:tcW w:w="938" w:type="dxa"/>
          </w:tcPr>
          <w:p w14:paraId="6C715825"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15,604</w:t>
            </w:r>
          </w:p>
        </w:tc>
        <w:tc>
          <w:tcPr>
            <w:tcW w:w="1003" w:type="dxa"/>
          </w:tcPr>
          <w:p w14:paraId="534F8285"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15,261</w:t>
            </w:r>
          </w:p>
        </w:tc>
        <w:tc>
          <w:tcPr>
            <w:tcW w:w="938" w:type="dxa"/>
          </w:tcPr>
          <w:p w14:paraId="2C4F048E"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1,056</w:t>
            </w:r>
          </w:p>
        </w:tc>
        <w:tc>
          <w:tcPr>
            <w:tcW w:w="939" w:type="dxa"/>
          </w:tcPr>
          <w:p w14:paraId="6E6E861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933</w:t>
            </w:r>
          </w:p>
        </w:tc>
        <w:tc>
          <w:tcPr>
            <w:tcW w:w="1003" w:type="dxa"/>
          </w:tcPr>
          <w:p w14:paraId="211A02C9"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589</w:t>
            </w:r>
          </w:p>
        </w:tc>
      </w:tr>
      <w:tr w:rsidR="004B664D" w:rsidRPr="00C03BB5" w14:paraId="4E5167D2" w14:textId="77777777" w:rsidTr="000D7C76">
        <w:trPr>
          <w:trHeight w:val="152"/>
        </w:trPr>
        <w:tc>
          <w:tcPr>
            <w:tcW w:w="3420" w:type="dxa"/>
          </w:tcPr>
          <w:p w14:paraId="03D0F509"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   Std. Deviation</w:t>
            </w:r>
          </w:p>
        </w:tc>
        <w:tc>
          <w:tcPr>
            <w:tcW w:w="900" w:type="dxa"/>
          </w:tcPr>
          <w:p w14:paraId="02551AF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4,295</w:t>
            </w:r>
          </w:p>
        </w:tc>
        <w:tc>
          <w:tcPr>
            <w:tcW w:w="1029" w:type="dxa"/>
          </w:tcPr>
          <w:p w14:paraId="15F7134D"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4,520</w:t>
            </w:r>
          </w:p>
        </w:tc>
        <w:tc>
          <w:tcPr>
            <w:tcW w:w="938" w:type="dxa"/>
          </w:tcPr>
          <w:p w14:paraId="42AC2799"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4,611</w:t>
            </w:r>
          </w:p>
        </w:tc>
        <w:tc>
          <w:tcPr>
            <w:tcW w:w="1003" w:type="dxa"/>
          </w:tcPr>
          <w:p w14:paraId="6177F305"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4,881</w:t>
            </w:r>
          </w:p>
        </w:tc>
        <w:tc>
          <w:tcPr>
            <w:tcW w:w="938" w:type="dxa"/>
          </w:tcPr>
          <w:p w14:paraId="51B2E9DF" w14:textId="77777777" w:rsidR="004B664D" w:rsidRPr="00C03BB5" w:rsidRDefault="004B664D" w:rsidP="004B664D">
            <w:pPr>
              <w:spacing w:after="160"/>
              <w:contextualSpacing/>
              <w:jc w:val="right"/>
              <w:rPr>
                <w:rFonts w:eastAsia="Calibri"/>
                <w:sz w:val="18"/>
                <w:szCs w:val="18"/>
                <w:lang w:eastAsia="en-US"/>
              </w:rPr>
            </w:pPr>
          </w:p>
        </w:tc>
        <w:tc>
          <w:tcPr>
            <w:tcW w:w="939" w:type="dxa"/>
          </w:tcPr>
          <w:p w14:paraId="57C2EECB"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6C4FD954" w14:textId="77777777" w:rsidR="004B664D" w:rsidRPr="00C03BB5" w:rsidRDefault="004B664D" w:rsidP="004B664D">
            <w:pPr>
              <w:spacing w:after="160"/>
              <w:contextualSpacing/>
              <w:jc w:val="right"/>
              <w:rPr>
                <w:rFonts w:eastAsia="Calibri"/>
                <w:sz w:val="18"/>
                <w:szCs w:val="18"/>
                <w:lang w:eastAsia="en-US"/>
              </w:rPr>
            </w:pPr>
          </w:p>
        </w:tc>
      </w:tr>
      <w:tr w:rsidR="004B664D" w:rsidRPr="00C03BB5" w14:paraId="6F161171" w14:textId="77777777" w:rsidTr="000D7C76">
        <w:trPr>
          <w:trHeight w:val="144"/>
        </w:trPr>
        <w:tc>
          <w:tcPr>
            <w:tcW w:w="3420" w:type="dxa"/>
          </w:tcPr>
          <w:p w14:paraId="2408CA51"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   Coefficient of Variation</w:t>
            </w:r>
          </w:p>
        </w:tc>
        <w:tc>
          <w:tcPr>
            <w:tcW w:w="900" w:type="dxa"/>
          </w:tcPr>
          <w:p w14:paraId="004655E7"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29</w:t>
            </w:r>
          </w:p>
        </w:tc>
        <w:tc>
          <w:tcPr>
            <w:tcW w:w="1029" w:type="dxa"/>
          </w:tcPr>
          <w:p w14:paraId="255A358B"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29</w:t>
            </w:r>
          </w:p>
        </w:tc>
        <w:tc>
          <w:tcPr>
            <w:tcW w:w="938" w:type="dxa"/>
          </w:tcPr>
          <w:p w14:paraId="10C4D8F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30</w:t>
            </w:r>
          </w:p>
        </w:tc>
        <w:tc>
          <w:tcPr>
            <w:tcW w:w="1003" w:type="dxa"/>
          </w:tcPr>
          <w:p w14:paraId="6AC31CF7"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32</w:t>
            </w:r>
          </w:p>
        </w:tc>
        <w:tc>
          <w:tcPr>
            <w:tcW w:w="938" w:type="dxa"/>
          </w:tcPr>
          <w:p w14:paraId="5A3B2F42" w14:textId="77777777" w:rsidR="004B664D" w:rsidRPr="00C03BB5" w:rsidRDefault="004B664D" w:rsidP="004B664D">
            <w:pPr>
              <w:spacing w:after="160"/>
              <w:contextualSpacing/>
              <w:jc w:val="right"/>
              <w:rPr>
                <w:rFonts w:eastAsia="Calibri"/>
                <w:sz w:val="18"/>
                <w:szCs w:val="18"/>
                <w:lang w:eastAsia="en-US"/>
              </w:rPr>
            </w:pPr>
          </w:p>
        </w:tc>
        <w:tc>
          <w:tcPr>
            <w:tcW w:w="939" w:type="dxa"/>
          </w:tcPr>
          <w:p w14:paraId="2B90D6A9"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6E87E982" w14:textId="77777777" w:rsidR="004B664D" w:rsidRPr="00C03BB5" w:rsidRDefault="004B664D" w:rsidP="004B664D">
            <w:pPr>
              <w:spacing w:after="160"/>
              <w:contextualSpacing/>
              <w:jc w:val="right"/>
              <w:rPr>
                <w:rFonts w:eastAsia="Calibri"/>
                <w:sz w:val="18"/>
                <w:szCs w:val="18"/>
                <w:lang w:eastAsia="en-US"/>
              </w:rPr>
            </w:pPr>
          </w:p>
        </w:tc>
      </w:tr>
      <w:tr w:rsidR="004B664D" w:rsidRPr="00C03BB5" w14:paraId="241C4E07" w14:textId="77777777" w:rsidTr="000D7C76">
        <w:trPr>
          <w:trHeight w:val="144"/>
        </w:trPr>
        <w:tc>
          <w:tcPr>
            <w:tcW w:w="3420" w:type="dxa"/>
          </w:tcPr>
          <w:p w14:paraId="3CA80793"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   VaR(5%)</w:t>
            </w:r>
          </w:p>
        </w:tc>
        <w:tc>
          <w:tcPr>
            <w:tcW w:w="900" w:type="dxa"/>
          </w:tcPr>
          <w:p w14:paraId="15375F0F"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9,750</w:t>
            </w:r>
          </w:p>
        </w:tc>
        <w:tc>
          <w:tcPr>
            <w:tcW w:w="1029" w:type="dxa"/>
          </w:tcPr>
          <w:p w14:paraId="08466EF6"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10,093</w:t>
            </w:r>
          </w:p>
        </w:tc>
        <w:tc>
          <w:tcPr>
            <w:tcW w:w="938" w:type="dxa"/>
          </w:tcPr>
          <w:p w14:paraId="111B82CD"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10,030</w:t>
            </w:r>
          </w:p>
        </w:tc>
        <w:tc>
          <w:tcPr>
            <w:tcW w:w="1003" w:type="dxa"/>
          </w:tcPr>
          <w:p w14:paraId="6775A51F"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9,872</w:t>
            </w:r>
          </w:p>
        </w:tc>
        <w:tc>
          <w:tcPr>
            <w:tcW w:w="938" w:type="dxa"/>
          </w:tcPr>
          <w:p w14:paraId="274C8E60" w14:textId="77777777" w:rsidR="004B664D" w:rsidRPr="00C03BB5" w:rsidRDefault="004B664D" w:rsidP="004B664D">
            <w:pPr>
              <w:spacing w:after="160"/>
              <w:contextualSpacing/>
              <w:jc w:val="right"/>
              <w:rPr>
                <w:rFonts w:eastAsia="Calibri"/>
                <w:sz w:val="18"/>
                <w:szCs w:val="18"/>
                <w:lang w:eastAsia="en-US"/>
              </w:rPr>
            </w:pPr>
          </w:p>
        </w:tc>
        <w:tc>
          <w:tcPr>
            <w:tcW w:w="939" w:type="dxa"/>
          </w:tcPr>
          <w:p w14:paraId="3EFEB2DF"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4C20DF1E" w14:textId="77777777" w:rsidR="004B664D" w:rsidRPr="00C03BB5" w:rsidRDefault="004B664D" w:rsidP="004B664D">
            <w:pPr>
              <w:spacing w:after="160"/>
              <w:contextualSpacing/>
              <w:jc w:val="right"/>
              <w:rPr>
                <w:rFonts w:eastAsia="Calibri"/>
                <w:sz w:val="18"/>
                <w:szCs w:val="18"/>
                <w:lang w:eastAsia="en-US"/>
              </w:rPr>
            </w:pPr>
          </w:p>
        </w:tc>
      </w:tr>
      <w:tr w:rsidR="004B664D" w:rsidRPr="00C03BB5" w14:paraId="16BEF02E" w14:textId="77777777" w:rsidTr="000D7C76">
        <w:trPr>
          <w:trHeight w:val="144"/>
        </w:trPr>
        <w:tc>
          <w:tcPr>
            <w:tcW w:w="3420" w:type="dxa"/>
          </w:tcPr>
          <w:p w14:paraId="6CEA2AFF"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   VaR(10%)</w:t>
            </w:r>
          </w:p>
        </w:tc>
        <w:tc>
          <w:tcPr>
            <w:tcW w:w="900" w:type="dxa"/>
          </w:tcPr>
          <w:p w14:paraId="6E806B46"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10,103</w:t>
            </w:r>
          </w:p>
        </w:tc>
        <w:tc>
          <w:tcPr>
            <w:tcW w:w="1029" w:type="dxa"/>
          </w:tcPr>
          <w:p w14:paraId="4FA05956"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10,185</w:t>
            </w:r>
          </w:p>
        </w:tc>
        <w:tc>
          <w:tcPr>
            <w:tcW w:w="938" w:type="dxa"/>
          </w:tcPr>
          <w:p w14:paraId="55900A4A"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10,123</w:t>
            </w:r>
          </w:p>
        </w:tc>
        <w:tc>
          <w:tcPr>
            <w:tcW w:w="1003" w:type="dxa"/>
          </w:tcPr>
          <w:p w14:paraId="11E78EC1"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9,968</w:t>
            </w:r>
          </w:p>
        </w:tc>
        <w:tc>
          <w:tcPr>
            <w:tcW w:w="938" w:type="dxa"/>
          </w:tcPr>
          <w:p w14:paraId="7B5C3BBB" w14:textId="77777777" w:rsidR="004B664D" w:rsidRPr="00C03BB5" w:rsidRDefault="004B664D" w:rsidP="004B664D">
            <w:pPr>
              <w:spacing w:after="160"/>
              <w:contextualSpacing/>
              <w:jc w:val="right"/>
              <w:rPr>
                <w:rFonts w:eastAsia="Calibri"/>
                <w:sz w:val="18"/>
                <w:szCs w:val="18"/>
                <w:lang w:eastAsia="en-US"/>
              </w:rPr>
            </w:pPr>
          </w:p>
        </w:tc>
        <w:tc>
          <w:tcPr>
            <w:tcW w:w="939" w:type="dxa"/>
          </w:tcPr>
          <w:p w14:paraId="1C6C68ED"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06020678" w14:textId="77777777" w:rsidR="004B664D" w:rsidRPr="00C03BB5" w:rsidRDefault="004B664D" w:rsidP="004B664D">
            <w:pPr>
              <w:spacing w:after="160"/>
              <w:contextualSpacing/>
              <w:jc w:val="right"/>
              <w:rPr>
                <w:rFonts w:eastAsia="Calibri"/>
                <w:sz w:val="18"/>
                <w:szCs w:val="18"/>
                <w:lang w:eastAsia="en-US"/>
              </w:rPr>
            </w:pPr>
          </w:p>
        </w:tc>
      </w:tr>
      <w:tr w:rsidR="004B664D" w:rsidRPr="00C03BB5" w14:paraId="2715F3E6" w14:textId="77777777" w:rsidTr="000D7C76">
        <w:trPr>
          <w:trHeight w:val="144"/>
        </w:trPr>
        <w:tc>
          <w:tcPr>
            <w:tcW w:w="3420" w:type="dxa"/>
          </w:tcPr>
          <w:p w14:paraId="3610CC3C" w14:textId="77777777" w:rsidR="004B664D" w:rsidRPr="00C03BB5" w:rsidRDefault="004B664D" w:rsidP="004B664D">
            <w:pPr>
              <w:spacing w:after="160"/>
              <w:contextualSpacing/>
              <w:rPr>
                <w:rFonts w:eastAsia="Calibri"/>
                <w:sz w:val="18"/>
                <w:szCs w:val="18"/>
                <w:lang w:eastAsia="en-US"/>
              </w:rPr>
            </w:pPr>
            <w:r w:rsidRPr="00C03BB5">
              <w:rPr>
                <w:rFonts w:eastAsia="Calibri"/>
                <w:sz w:val="18"/>
                <w:szCs w:val="18"/>
                <w:lang w:eastAsia="en-US"/>
              </w:rPr>
              <w:t xml:space="preserve">Value of herd in 2015 </w:t>
            </w:r>
            <w:r w:rsidRPr="00C03BB5">
              <w:rPr>
                <w:rFonts w:eastAsia="Calibri"/>
                <w:sz w:val="18"/>
                <w:szCs w:val="16"/>
                <w:lang w:eastAsia="en-US"/>
              </w:rPr>
              <w:t>(2015US$)</w:t>
            </w:r>
          </w:p>
        </w:tc>
        <w:tc>
          <w:tcPr>
            <w:tcW w:w="900" w:type="dxa"/>
          </w:tcPr>
          <w:p w14:paraId="3D77E420"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26,442</w:t>
            </w:r>
          </w:p>
        </w:tc>
        <w:tc>
          <w:tcPr>
            <w:tcW w:w="1029" w:type="dxa"/>
          </w:tcPr>
          <w:p w14:paraId="3B7780A8"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29,730</w:t>
            </w:r>
          </w:p>
        </w:tc>
        <w:tc>
          <w:tcPr>
            <w:tcW w:w="938" w:type="dxa"/>
          </w:tcPr>
          <w:p w14:paraId="728F8F7C"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30,236</w:t>
            </w:r>
          </w:p>
        </w:tc>
        <w:tc>
          <w:tcPr>
            <w:tcW w:w="1003" w:type="dxa"/>
          </w:tcPr>
          <w:p w14:paraId="08807BD1"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31,499</w:t>
            </w:r>
          </w:p>
        </w:tc>
        <w:tc>
          <w:tcPr>
            <w:tcW w:w="938" w:type="dxa"/>
          </w:tcPr>
          <w:p w14:paraId="441AA677"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3,288</w:t>
            </w:r>
          </w:p>
        </w:tc>
        <w:tc>
          <w:tcPr>
            <w:tcW w:w="939" w:type="dxa"/>
          </w:tcPr>
          <w:p w14:paraId="4D70FD25"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3,794</w:t>
            </w:r>
          </w:p>
        </w:tc>
        <w:tc>
          <w:tcPr>
            <w:tcW w:w="1003" w:type="dxa"/>
          </w:tcPr>
          <w:p w14:paraId="02AC4D16" w14:textId="77777777" w:rsidR="004B664D" w:rsidRPr="00C03BB5" w:rsidRDefault="004B664D" w:rsidP="004B664D">
            <w:pPr>
              <w:spacing w:after="160"/>
              <w:contextualSpacing/>
              <w:jc w:val="right"/>
              <w:rPr>
                <w:rFonts w:eastAsia="Calibri"/>
                <w:sz w:val="18"/>
                <w:szCs w:val="18"/>
                <w:lang w:eastAsia="en-US"/>
              </w:rPr>
            </w:pPr>
            <w:r w:rsidRPr="00C03BB5">
              <w:rPr>
                <w:rFonts w:eastAsia="Calibri"/>
                <w:sz w:val="18"/>
                <w:szCs w:val="18"/>
                <w:lang w:eastAsia="en-US"/>
              </w:rPr>
              <w:t>5,057</w:t>
            </w:r>
          </w:p>
        </w:tc>
      </w:tr>
      <w:tr w:rsidR="004B664D" w:rsidRPr="00C03BB5" w14:paraId="06F48DAB" w14:textId="77777777" w:rsidTr="000D7C76">
        <w:trPr>
          <w:trHeight w:val="144"/>
        </w:trPr>
        <w:tc>
          <w:tcPr>
            <w:tcW w:w="3420" w:type="dxa"/>
          </w:tcPr>
          <w:p w14:paraId="103A8D29" w14:textId="77777777" w:rsidR="004B664D" w:rsidRPr="00C03BB5" w:rsidRDefault="004B664D" w:rsidP="004B664D">
            <w:pPr>
              <w:spacing w:after="160"/>
              <w:contextualSpacing/>
              <w:rPr>
                <w:rFonts w:eastAsia="Calibri"/>
                <w:sz w:val="18"/>
                <w:szCs w:val="18"/>
                <w:lang w:eastAsia="en-US"/>
              </w:rPr>
            </w:pPr>
          </w:p>
        </w:tc>
        <w:tc>
          <w:tcPr>
            <w:tcW w:w="900" w:type="dxa"/>
          </w:tcPr>
          <w:p w14:paraId="314616C4" w14:textId="77777777" w:rsidR="004B664D" w:rsidRPr="00C03BB5" w:rsidRDefault="004B664D" w:rsidP="004B664D">
            <w:pPr>
              <w:spacing w:after="160"/>
              <w:contextualSpacing/>
              <w:jc w:val="right"/>
              <w:rPr>
                <w:rFonts w:eastAsia="Calibri"/>
                <w:sz w:val="18"/>
                <w:szCs w:val="18"/>
                <w:lang w:eastAsia="en-US"/>
              </w:rPr>
            </w:pPr>
          </w:p>
        </w:tc>
        <w:tc>
          <w:tcPr>
            <w:tcW w:w="1029" w:type="dxa"/>
          </w:tcPr>
          <w:p w14:paraId="68E431DF" w14:textId="77777777" w:rsidR="004B664D" w:rsidRPr="00C03BB5" w:rsidRDefault="004B664D" w:rsidP="004B664D">
            <w:pPr>
              <w:spacing w:after="160"/>
              <w:contextualSpacing/>
              <w:jc w:val="right"/>
              <w:rPr>
                <w:rFonts w:eastAsia="Calibri"/>
                <w:sz w:val="18"/>
                <w:szCs w:val="18"/>
                <w:lang w:eastAsia="en-US"/>
              </w:rPr>
            </w:pPr>
          </w:p>
        </w:tc>
        <w:tc>
          <w:tcPr>
            <w:tcW w:w="938" w:type="dxa"/>
          </w:tcPr>
          <w:p w14:paraId="155A1B98"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3CE1590E" w14:textId="77777777" w:rsidR="004B664D" w:rsidRPr="00C03BB5" w:rsidRDefault="004B664D" w:rsidP="004B664D">
            <w:pPr>
              <w:spacing w:after="160"/>
              <w:contextualSpacing/>
              <w:jc w:val="right"/>
              <w:rPr>
                <w:rFonts w:eastAsia="Calibri"/>
                <w:sz w:val="18"/>
                <w:szCs w:val="18"/>
                <w:lang w:eastAsia="en-US"/>
              </w:rPr>
            </w:pPr>
          </w:p>
        </w:tc>
        <w:tc>
          <w:tcPr>
            <w:tcW w:w="938" w:type="dxa"/>
          </w:tcPr>
          <w:p w14:paraId="2C2248D3" w14:textId="77777777" w:rsidR="004B664D" w:rsidRPr="00C03BB5" w:rsidRDefault="004B664D" w:rsidP="004B664D">
            <w:pPr>
              <w:spacing w:after="160"/>
              <w:contextualSpacing/>
              <w:jc w:val="right"/>
              <w:rPr>
                <w:rFonts w:eastAsia="Calibri"/>
                <w:sz w:val="18"/>
                <w:szCs w:val="18"/>
                <w:lang w:eastAsia="en-US"/>
              </w:rPr>
            </w:pPr>
          </w:p>
        </w:tc>
        <w:tc>
          <w:tcPr>
            <w:tcW w:w="939" w:type="dxa"/>
          </w:tcPr>
          <w:p w14:paraId="3A509F38" w14:textId="77777777" w:rsidR="004B664D" w:rsidRPr="00C03BB5" w:rsidRDefault="004B664D" w:rsidP="004B664D">
            <w:pPr>
              <w:spacing w:after="160"/>
              <w:contextualSpacing/>
              <w:jc w:val="right"/>
              <w:rPr>
                <w:rFonts w:eastAsia="Calibri"/>
                <w:sz w:val="18"/>
                <w:szCs w:val="18"/>
                <w:lang w:eastAsia="en-US"/>
              </w:rPr>
            </w:pPr>
          </w:p>
        </w:tc>
        <w:tc>
          <w:tcPr>
            <w:tcW w:w="1003" w:type="dxa"/>
          </w:tcPr>
          <w:p w14:paraId="41F8F5A5" w14:textId="77777777" w:rsidR="004B664D" w:rsidRPr="00C03BB5" w:rsidRDefault="004B664D" w:rsidP="004B664D">
            <w:pPr>
              <w:spacing w:after="160"/>
              <w:contextualSpacing/>
              <w:jc w:val="right"/>
              <w:rPr>
                <w:rFonts w:eastAsia="Calibri"/>
                <w:sz w:val="18"/>
                <w:szCs w:val="18"/>
                <w:lang w:eastAsia="en-US"/>
              </w:rPr>
            </w:pPr>
          </w:p>
        </w:tc>
      </w:tr>
      <w:tr w:rsidR="004B664D" w:rsidRPr="00C03BB5" w14:paraId="795EA9AD" w14:textId="77777777" w:rsidTr="000D7C76">
        <w:trPr>
          <w:trHeight w:val="144"/>
        </w:trPr>
        <w:tc>
          <w:tcPr>
            <w:tcW w:w="3420" w:type="dxa"/>
          </w:tcPr>
          <w:p w14:paraId="6EEB7A9D" w14:textId="77777777" w:rsidR="004B664D" w:rsidRPr="00C03BB5" w:rsidRDefault="004B664D" w:rsidP="004B664D">
            <w:pPr>
              <w:spacing w:after="160" w:line="259" w:lineRule="auto"/>
              <w:contextualSpacing/>
              <w:rPr>
                <w:rFonts w:eastAsia="Calibri"/>
                <w:i/>
                <w:sz w:val="18"/>
                <w:szCs w:val="18"/>
                <w:u w:val="single"/>
                <w:lang w:eastAsia="en-US"/>
              </w:rPr>
            </w:pPr>
            <w:r w:rsidRPr="00C03BB5">
              <w:rPr>
                <w:rFonts w:eastAsia="Calibri"/>
                <w:i/>
                <w:sz w:val="20"/>
                <w:szCs w:val="18"/>
                <w:u w:val="single"/>
                <w:lang w:eastAsia="en-US"/>
              </w:rPr>
              <w:t>Livestock Herd Numbers</w:t>
            </w:r>
          </w:p>
        </w:tc>
        <w:tc>
          <w:tcPr>
            <w:tcW w:w="900" w:type="dxa"/>
          </w:tcPr>
          <w:p w14:paraId="5ACBBA4A" w14:textId="77777777" w:rsidR="004B664D" w:rsidRPr="00C03BB5" w:rsidRDefault="004B664D" w:rsidP="004B664D">
            <w:pPr>
              <w:spacing w:after="160" w:line="259" w:lineRule="auto"/>
              <w:contextualSpacing/>
              <w:jc w:val="right"/>
              <w:rPr>
                <w:rFonts w:eastAsia="Calibri"/>
                <w:sz w:val="18"/>
                <w:szCs w:val="18"/>
                <w:lang w:eastAsia="en-US"/>
              </w:rPr>
            </w:pPr>
          </w:p>
        </w:tc>
        <w:tc>
          <w:tcPr>
            <w:tcW w:w="1029" w:type="dxa"/>
          </w:tcPr>
          <w:p w14:paraId="54B6A064"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7D3411AA"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519691D4"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18656196"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045D7CBB"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1186BF1E"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2DDB6650" w14:textId="77777777" w:rsidTr="000D7C76">
        <w:trPr>
          <w:trHeight w:val="144"/>
        </w:trPr>
        <w:tc>
          <w:tcPr>
            <w:tcW w:w="3420" w:type="dxa"/>
          </w:tcPr>
          <w:p w14:paraId="3FA05280"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Livestock total at end of 2015</w:t>
            </w:r>
          </w:p>
        </w:tc>
        <w:tc>
          <w:tcPr>
            <w:tcW w:w="900" w:type="dxa"/>
          </w:tcPr>
          <w:p w14:paraId="0489CDB3"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232</w:t>
            </w:r>
          </w:p>
        </w:tc>
        <w:tc>
          <w:tcPr>
            <w:tcW w:w="1029" w:type="dxa"/>
          </w:tcPr>
          <w:p w14:paraId="35A4ED4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225</w:t>
            </w:r>
          </w:p>
        </w:tc>
        <w:tc>
          <w:tcPr>
            <w:tcW w:w="938" w:type="dxa"/>
          </w:tcPr>
          <w:p w14:paraId="133048F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225</w:t>
            </w:r>
          </w:p>
        </w:tc>
        <w:tc>
          <w:tcPr>
            <w:tcW w:w="1003" w:type="dxa"/>
          </w:tcPr>
          <w:p w14:paraId="3E6BE2B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225</w:t>
            </w:r>
          </w:p>
        </w:tc>
        <w:tc>
          <w:tcPr>
            <w:tcW w:w="938" w:type="dxa"/>
          </w:tcPr>
          <w:p w14:paraId="4BE5DFD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c>
          <w:tcPr>
            <w:tcW w:w="939" w:type="dxa"/>
          </w:tcPr>
          <w:p w14:paraId="4CC95F5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c>
          <w:tcPr>
            <w:tcW w:w="1003" w:type="dxa"/>
          </w:tcPr>
          <w:p w14:paraId="645BB92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r>
      <w:tr w:rsidR="004B664D" w:rsidRPr="00C03BB5" w14:paraId="27813C3F" w14:textId="77777777" w:rsidTr="000D7C76">
        <w:trPr>
          <w:trHeight w:val="144"/>
        </w:trPr>
        <w:tc>
          <w:tcPr>
            <w:tcW w:w="3420" w:type="dxa"/>
          </w:tcPr>
          <w:p w14:paraId="54F0CDAC"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Mean livestock total over period</w:t>
            </w:r>
          </w:p>
        </w:tc>
        <w:tc>
          <w:tcPr>
            <w:tcW w:w="900" w:type="dxa"/>
          </w:tcPr>
          <w:p w14:paraId="350F2BAF"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217</w:t>
            </w:r>
          </w:p>
        </w:tc>
        <w:tc>
          <w:tcPr>
            <w:tcW w:w="1029" w:type="dxa"/>
          </w:tcPr>
          <w:p w14:paraId="220B9724"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223</w:t>
            </w:r>
          </w:p>
        </w:tc>
        <w:tc>
          <w:tcPr>
            <w:tcW w:w="938" w:type="dxa"/>
          </w:tcPr>
          <w:p w14:paraId="31B20D41"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223</w:t>
            </w:r>
          </w:p>
        </w:tc>
        <w:tc>
          <w:tcPr>
            <w:tcW w:w="1003" w:type="dxa"/>
          </w:tcPr>
          <w:p w14:paraId="16B353E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223</w:t>
            </w:r>
          </w:p>
        </w:tc>
        <w:tc>
          <w:tcPr>
            <w:tcW w:w="938" w:type="dxa"/>
          </w:tcPr>
          <w:p w14:paraId="78A67DD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6</w:t>
            </w:r>
          </w:p>
        </w:tc>
        <w:tc>
          <w:tcPr>
            <w:tcW w:w="939" w:type="dxa"/>
          </w:tcPr>
          <w:p w14:paraId="263762E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6</w:t>
            </w:r>
          </w:p>
        </w:tc>
        <w:tc>
          <w:tcPr>
            <w:tcW w:w="1003" w:type="dxa"/>
          </w:tcPr>
          <w:p w14:paraId="35DAD74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6</w:t>
            </w:r>
          </w:p>
        </w:tc>
      </w:tr>
      <w:tr w:rsidR="004B664D" w:rsidRPr="00C03BB5" w14:paraId="183E7881" w14:textId="77777777" w:rsidTr="000D7C76">
        <w:trPr>
          <w:trHeight w:val="144"/>
        </w:trPr>
        <w:tc>
          <w:tcPr>
            <w:tcW w:w="3420" w:type="dxa"/>
          </w:tcPr>
          <w:p w14:paraId="23F10FFC"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Animal Units (AU)  in 2015</w:t>
            </w:r>
          </w:p>
        </w:tc>
        <w:tc>
          <w:tcPr>
            <w:tcW w:w="900" w:type="dxa"/>
          </w:tcPr>
          <w:p w14:paraId="71FEFAE1"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445</w:t>
            </w:r>
          </w:p>
        </w:tc>
        <w:tc>
          <w:tcPr>
            <w:tcW w:w="1029" w:type="dxa"/>
          </w:tcPr>
          <w:p w14:paraId="5DEB7CC0"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441</w:t>
            </w:r>
          </w:p>
        </w:tc>
        <w:tc>
          <w:tcPr>
            <w:tcW w:w="938" w:type="dxa"/>
          </w:tcPr>
          <w:p w14:paraId="2E1DCB0F"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449</w:t>
            </w:r>
          </w:p>
        </w:tc>
        <w:tc>
          <w:tcPr>
            <w:tcW w:w="1003" w:type="dxa"/>
          </w:tcPr>
          <w:p w14:paraId="4803DB36"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470</w:t>
            </w:r>
          </w:p>
        </w:tc>
        <w:tc>
          <w:tcPr>
            <w:tcW w:w="938" w:type="dxa"/>
          </w:tcPr>
          <w:p w14:paraId="56FD7B83"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-3</w:t>
            </w:r>
          </w:p>
        </w:tc>
        <w:tc>
          <w:tcPr>
            <w:tcW w:w="939" w:type="dxa"/>
          </w:tcPr>
          <w:p w14:paraId="557822B6"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5</w:t>
            </w:r>
          </w:p>
        </w:tc>
        <w:tc>
          <w:tcPr>
            <w:tcW w:w="1003" w:type="dxa"/>
          </w:tcPr>
          <w:p w14:paraId="7CD87CF3"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25</w:t>
            </w:r>
          </w:p>
        </w:tc>
      </w:tr>
      <w:tr w:rsidR="004B664D" w:rsidRPr="00C03BB5" w14:paraId="6A68932A" w14:textId="77777777" w:rsidTr="000D7C76">
        <w:trPr>
          <w:trHeight w:val="20"/>
        </w:trPr>
        <w:tc>
          <w:tcPr>
            <w:tcW w:w="3420" w:type="dxa"/>
          </w:tcPr>
          <w:p w14:paraId="2FA1BB04"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Mean AU over period</w:t>
            </w:r>
          </w:p>
        </w:tc>
        <w:tc>
          <w:tcPr>
            <w:tcW w:w="900" w:type="dxa"/>
          </w:tcPr>
          <w:p w14:paraId="6A904D3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401</w:t>
            </w:r>
          </w:p>
        </w:tc>
        <w:tc>
          <w:tcPr>
            <w:tcW w:w="1029" w:type="dxa"/>
          </w:tcPr>
          <w:p w14:paraId="3CEFED42"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411</w:t>
            </w:r>
          </w:p>
        </w:tc>
        <w:tc>
          <w:tcPr>
            <w:tcW w:w="938" w:type="dxa"/>
          </w:tcPr>
          <w:p w14:paraId="5B6DDD7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414</w:t>
            </w:r>
          </w:p>
        </w:tc>
        <w:tc>
          <w:tcPr>
            <w:tcW w:w="1003" w:type="dxa"/>
          </w:tcPr>
          <w:p w14:paraId="20D6B61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421</w:t>
            </w:r>
          </w:p>
        </w:tc>
        <w:tc>
          <w:tcPr>
            <w:tcW w:w="938" w:type="dxa"/>
          </w:tcPr>
          <w:p w14:paraId="6814543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11</w:t>
            </w:r>
          </w:p>
        </w:tc>
        <w:tc>
          <w:tcPr>
            <w:tcW w:w="939" w:type="dxa"/>
          </w:tcPr>
          <w:p w14:paraId="6EF097B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13</w:t>
            </w:r>
          </w:p>
        </w:tc>
        <w:tc>
          <w:tcPr>
            <w:tcW w:w="1003" w:type="dxa"/>
          </w:tcPr>
          <w:p w14:paraId="1EF9A62B"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21</w:t>
            </w:r>
          </w:p>
        </w:tc>
      </w:tr>
      <w:tr w:rsidR="004B664D" w:rsidRPr="00C03BB5" w14:paraId="70C23B5B" w14:textId="77777777" w:rsidTr="000D7C76">
        <w:tc>
          <w:tcPr>
            <w:tcW w:w="3420" w:type="dxa"/>
          </w:tcPr>
          <w:p w14:paraId="48E2A067" w14:textId="77777777" w:rsidR="004B664D" w:rsidRPr="00C03BB5" w:rsidRDefault="004B664D" w:rsidP="004B664D">
            <w:pPr>
              <w:spacing w:after="160" w:line="259" w:lineRule="auto"/>
              <w:contextualSpacing/>
              <w:rPr>
                <w:rFonts w:eastAsia="Calibri"/>
                <w:b/>
                <w:sz w:val="18"/>
                <w:szCs w:val="18"/>
                <w:lang w:val="pl-PL" w:eastAsia="en-US"/>
              </w:rPr>
            </w:pPr>
            <w:r w:rsidRPr="00C03BB5">
              <w:rPr>
                <w:rFonts w:eastAsia="Calibri"/>
                <w:b/>
                <w:sz w:val="18"/>
                <w:szCs w:val="18"/>
                <w:lang w:val="pl-PL" w:eastAsia="en-US"/>
              </w:rPr>
              <w:t xml:space="preserve">II. </w:t>
            </w:r>
            <w:r w:rsidRPr="00C03BB5">
              <w:rPr>
                <w:rFonts w:eastAsia="Times New Roman"/>
                <w:b/>
                <w:sz w:val="18"/>
                <w:szCs w:val="18"/>
                <w:lang w:eastAsia="en-US"/>
              </w:rPr>
              <w:t>Bumbugur</w:t>
            </w:r>
            <w:r w:rsidRPr="00C03BB5">
              <w:rPr>
                <w:rFonts w:eastAsia="Calibri"/>
                <w:b/>
                <w:sz w:val="18"/>
                <w:szCs w:val="18"/>
                <w:lang w:val="pl-PL" w:eastAsia="en-US"/>
              </w:rPr>
              <w:t xml:space="preserve">, </w:t>
            </w:r>
            <w:r w:rsidRPr="00C03BB5">
              <w:rPr>
                <w:rFonts w:eastAsia="Calibri"/>
                <w:b/>
                <w:sz w:val="18"/>
                <w:szCs w:val="18"/>
                <w:lang w:eastAsia="en-US"/>
              </w:rPr>
              <w:t>Bayankhongor</w:t>
            </w:r>
            <w:r w:rsidRPr="00C03BB5">
              <w:rPr>
                <w:rFonts w:eastAsia="Calibri"/>
                <w:b/>
                <w:sz w:val="18"/>
                <w:szCs w:val="18"/>
                <w:lang w:val="pl-PL" w:eastAsia="en-US"/>
              </w:rPr>
              <w:t xml:space="preserve"> Aimag</w:t>
            </w:r>
          </w:p>
        </w:tc>
        <w:tc>
          <w:tcPr>
            <w:tcW w:w="900" w:type="dxa"/>
          </w:tcPr>
          <w:p w14:paraId="393069B5" w14:textId="77777777" w:rsidR="004B664D" w:rsidRPr="00C03BB5" w:rsidRDefault="004B664D" w:rsidP="004B664D">
            <w:pPr>
              <w:spacing w:after="160" w:line="259" w:lineRule="auto"/>
              <w:contextualSpacing/>
              <w:jc w:val="right"/>
              <w:rPr>
                <w:rFonts w:eastAsia="Calibri"/>
                <w:sz w:val="18"/>
                <w:szCs w:val="18"/>
                <w:lang w:val="pl-PL" w:eastAsia="en-US"/>
              </w:rPr>
            </w:pPr>
          </w:p>
        </w:tc>
        <w:tc>
          <w:tcPr>
            <w:tcW w:w="1029" w:type="dxa"/>
          </w:tcPr>
          <w:p w14:paraId="115419E0" w14:textId="77777777" w:rsidR="004B664D" w:rsidRPr="00C03BB5" w:rsidRDefault="004B664D" w:rsidP="004B664D">
            <w:pPr>
              <w:spacing w:after="160" w:line="259" w:lineRule="auto"/>
              <w:contextualSpacing/>
              <w:jc w:val="right"/>
              <w:rPr>
                <w:rFonts w:eastAsia="Calibri"/>
                <w:sz w:val="18"/>
                <w:szCs w:val="18"/>
                <w:lang w:val="pl-PL" w:eastAsia="en-US"/>
              </w:rPr>
            </w:pPr>
          </w:p>
        </w:tc>
        <w:tc>
          <w:tcPr>
            <w:tcW w:w="938" w:type="dxa"/>
          </w:tcPr>
          <w:p w14:paraId="62716709" w14:textId="77777777" w:rsidR="004B664D" w:rsidRPr="00C03BB5" w:rsidRDefault="004B664D" w:rsidP="004B664D">
            <w:pPr>
              <w:spacing w:after="160" w:line="259" w:lineRule="auto"/>
              <w:contextualSpacing/>
              <w:jc w:val="right"/>
              <w:rPr>
                <w:rFonts w:eastAsia="Calibri"/>
                <w:sz w:val="18"/>
                <w:szCs w:val="18"/>
                <w:lang w:val="pl-PL" w:eastAsia="en-US"/>
              </w:rPr>
            </w:pPr>
          </w:p>
        </w:tc>
        <w:tc>
          <w:tcPr>
            <w:tcW w:w="1003" w:type="dxa"/>
          </w:tcPr>
          <w:p w14:paraId="338ABB1B" w14:textId="77777777" w:rsidR="004B664D" w:rsidRPr="00C03BB5" w:rsidRDefault="004B664D" w:rsidP="004B664D">
            <w:pPr>
              <w:spacing w:after="160" w:line="259" w:lineRule="auto"/>
              <w:contextualSpacing/>
              <w:jc w:val="right"/>
              <w:rPr>
                <w:rFonts w:eastAsia="Calibri"/>
                <w:sz w:val="18"/>
                <w:szCs w:val="18"/>
                <w:lang w:val="pl-PL" w:eastAsia="en-US"/>
              </w:rPr>
            </w:pPr>
          </w:p>
        </w:tc>
        <w:tc>
          <w:tcPr>
            <w:tcW w:w="938" w:type="dxa"/>
          </w:tcPr>
          <w:p w14:paraId="6C38D7CB" w14:textId="77777777" w:rsidR="004B664D" w:rsidRPr="00C03BB5" w:rsidRDefault="004B664D" w:rsidP="004B664D">
            <w:pPr>
              <w:spacing w:after="160" w:line="259" w:lineRule="auto"/>
              <w:contextualSpacing/>
              <w:jc w:val="right"/>
              <w:rPr>
                <w:rFonts w:eastAsia="Calibri"/>
                <w:sz w:val="18"/>
                <w:szCs w:val="18"/>
                <w:lang w:val="pl-PL" w:eastAsia="en-US"/>
              </w:rPr>
            </w:pPr>
          </w:p>
        </w:tc>
        <w:tc>
          <w:tcPr>
            <w:tcW w:w="939" w:type="dxa"/>
          </w:tcPr>
          <w:p w14:paraId="5BBB708B" w14:textId="77777777" w:rsidR="004B664D" w:rsidRPr="00C03BB5" w:rsidRDefault="004B664D" w:rsidP="004B664D">
            <w:pPr>
              <w:spacing w:after="160" w:line="259" w:lineRule="auto"/>
              <w:contextualSpacing/>
              <w:jc w:val="right"/>
              <w:rPr>
                <w:rFonts w:eastAsia="Calibri"/>
                <w:sz w:val="18"/>
                <w:szCs w:val="18"/>
                <w:lang w:val="pl-PL" w:eastAsia="en-US"/>
              </w:rPr>
            </w:pPr>
          </w:p>
        </w:tc>
        <w:tc>
          <w:tcPr>
            <w:tcW w:w="1003" w:type="dxa"/>
          </w:tcPr>
          <w:p w14:paraId="40D9709E" w14:textId="77777777" w:rsidR="004B664D" w:rsidRPr="00C03BB5" w:rsidRDefault="004B664D" w:rsidP="004B664D">
            <w:pPr>
              <w:spacing w:after="160" w:line="259" w:lineRule="auto"/>
              <w:contextualSpacing/>
              <w:jc w:val="right"/>
              <w:rPr>
                <w:rFonts w:eastAsia="Calibri"/>
                <w:sz w:val="18"/>
                <w:szCs w:val="18"/>
                <w:lang w:val="pl-PL" w:eastAsia="en-US"/>
              </w:rPr>
            </w:pPr>
          </w:p>
        </w:tc>
      </w:tr>
      <w:tr w:rsidR="004B664D" w:rsidRPr="00C03BB5" w14:paraId="64462AD3" w14:textId="77777777" w:rsidTr="000D7C76">
        <w:tc>
          <w:tcPr>
            <w:tcW w:w="3420" w:type="dxa"/>
          </w:tcPr>
          <w:p w14:paraId="666C09B8" w14:textId="77777777" w:rsidR="004B664D" w:rsidRPr="00C03BB5" w:rsidRDefault="004B664D" w:rsidP="004B664D">
            <w:pPr>
              <w:spacing w:after="160" w:line="259" w:lineRule="auto"/>
              <w:contextualSpacing/>
              <w:rPr>
                <w:rFonts w:eastAsia="Calibri"/>
                <w:sz w:val="18"/>
                <w:szCs w:val="18"/>
                <w:u w:val="single"/>
                <w:lang w:eastAsia="en-US"/>
              </w:rPr>
            </w:pPr>
            <w:r w:rsidRPr="00C03BB5">
              <w:rPr>
                <w:rFonts w:eastAsia="Calibri"/>
                <w:i/>
                <w:sz w:val="20"/>
                <w:szCs w:val="18"/>
                <w:u w:val="single"/>
                <w:lang w:eastAsia="en-US"/>
              </w:rPr>
              <w:t>Income (2015 constant US$)</w:t>
            </w:r>
          </w:p>
        </w:tc>
        <w:tc>
          <w:tcPr>
            <w:tcW w:w="900" w:type="dxa"/>
          </w:tcPr>
          <w:p w14:paraId="59BDB4D4" w14:textId="77777777" w:rsidR="004B664D" w:rsidRPr="00C03BB5" w:rsidRDefault="004B664D" w:rsidP="004B664D">
            <w:pPr>
              <w:spacing w:after="160" w:line="259" w:lineRule="auto"/>
              <w:contextualSpacing/>
              <w:jc w:val="right"/>
              <w:rPr>
                <w:rFonts w:eastAsia="Calibri"/>
                <w:sz w:val="18"/>
                <w:szCs w:val="18"/>
                <w:lang w:eastAsia="en-US"/>
              </w:rPr>
            </w:pPr>
          </w:p>
        </w:tc>
        <w:tc>
          <w:tcPr>
            <w:tcW w:w="1029" w:type="dxa"/>
          </w:tcPr>
          <w:p w14:paraId="5DCF12D0"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6C11A1AF"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7B749488"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42731D37"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5534B1E7"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6199CC79"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5D68E61F" w14:textId="77777777" w:rsidTr="000D7C76">
        <w:tc>
          <w:tcPr>
            <w:tcW w:w="3420" w:type="dxa"/>
          </w:tcPr>
          <w:p w14:paraId="72E5DDEE"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Total net income over period a/</w:t>
            </w:r>
          </w:p>
        </w:tc>
        <w:tc>
          <w:tcPr>
            <w:tcW w:w="900" w:type="dxa"/>
          </w:tcPr>
          <w:p w14:paraId="777FE84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156,518</w:t>
            </w:r>
          </w:p>
        </w:tc>
        <w:tc>
          <w:tcPr>
            <w:tcW w:w="1029" w:type="dxa"/>
          </w:tcPr>
          <w:p w14:paraId="00FEA62B"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164,698</w:t>
            </w:r>
          </w:p>
        </w:tc>
        <w:tc>
          <w:tcPr>
            <w:tcW w:w="938" w:type="dxa"/>
          </w:tcPr>
          <w:p w14:paraId="44395FE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166,020</w:t>
            </w:r>
          </w:p>
        </w:tc>
        <w:tc>
          <w:tcPr>
            <w:tcW w:w="1003" w:type="dxa"/>
          </w:tcPr>
          <w:p w14:paraId="682178D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167,635</w:t>
            </w:r>
          </w:p>
        </w:tc>
        <w:tc>
          <w:tcPr>
            <w:tcW w:w="938" w:type="dxa"/>
          </w:tcPr>
          <w:p w14:paraId="672687F4"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8,181</w:t>
            </w:r>
          </w:p>
        </w:tc>
        <w:tc>
          <w:tcPr>
            <w:tcW w:w="939" w:type="dxa"/>
          </w:tcPr>
          <w:p w14:paraId="4C3A9B6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9,502</w:t>
            </w:r>
          </w:p>
        </w:tc>
        <w:tc>
          <w:tcPr>
            <w:tcW w:w="1003" w:type="dxa"/>
          </w:tcPr>
          <w:p w14:paraId="7F683FE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11,117</w:t>
            </w:r>
          </w:p>
        </w:tc>
      </w:tr>
      <w:tr w:rsidR="004B664D" w:rsidRPr="00C03BB5" w14:paraId="4BBC33D5" w14:textId="77777777" w:rsidTr="000D7C76">
        <w:tc>
          <w:tcPr>
            <w:tcW w:w="3420" w:type="dxa"/>
          </w:tcPr>
          <w:p w14:paraId="1C5125AE"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   % change in net income</w:t>
            </w:r>
          </w:p>
        </w:tc>
        <w:tc>
          <w:tcPr>
            <w:tcW w:w="900" w:type="dxa"/>
          </w:tcPr>
          <w:p w14:paraId="701F45B2" w14:textId="77777777" w:rsidR="004B664D" w:rsidRPr="00C03BB5" w:rsidRDefault="004B664D" w:rsidP="004B664D">
            <w:pPr>
              <w:spacing w:after="160" w:line="259" w:lineRule="auto"/>
              <w:contextualSpacing/>
              <w:jc w:val="right"/>
              <w:rPr>
                <w:rFonts w:eastAsia="Calibri"/>
                <w:sz w:val="18"/>
                <w:szCs w:val="18"/>
                <w:lang w:eastAsia="en-US"/>
              </w:rPr>
            </w:pPr>
          </w:p>
        </w:tc>
        <w:tc>
          <w:tcPr>
            <w:tcW w:w="1029" w:type="dxa"/>
          </w:tcPr>
          <w:p w14:paraId="7AC1B46C"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74338FB0"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791C47E6"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4CFF313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5%</w:t>
            </w:r>
          </w:p>
        </w:tc>
        <w:tc>
          <w:tcPr>
            <w:tcW w:w="939" w:type="dxa"/>
          </w:tcPr>
          <w:p w14:paraId="75103C7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6%</w:t>
            </w:r>
          </w:p>
        </w:tc>
        <w:tc>
          <w:tcPr>
            <w:tcW w:w="1003" w:type="dxa"/>
          </w:tcPr>
          <w:p w14:paraId="0AED46A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r>
      <w:tr w:rsidR="004B664D" w:rsidRPr="00C03BB5" w14:paraId="3B61EACC" w14:textId="77777777" w:rsidTr="000D7C76">
        <w:tc>
          <w:tcPr>
            <w:tcW w:w="3420" w:type="dxa"/>
          </w:tcPr>
          <w:p w14:paraId="0E1D50F1"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   Mean income /year</w:t>
            </w:r>
          </w:p>
        </w:tc>
        <w:tc>
          <w:tcPr>
            <w:tcW w:w="900" w:type="dxa"/>
          </w:tcPr>
          <w:p w14:paraId="15B6E9DF"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14,229</w:t>
            </w:r>
          </w:p>
        </w:tc>
        <w:tc>
          <w:tcPr>
            <w:tcW w:w="1029" w:type="dxa"/>
          </w:tcPr>
          <w:p w14:paraId="2536CBF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14,973</w:t>
            </w:r>
          </w:p>
        </w:tc>
        <w:tc>
          <w:tcPr>
            <w:tcW w:w="938" w:type="dxa"/>
          </w:tcPr>
          <w:p w14:paraId="423B3578"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15,093</w:t>
            </w:r>
          </w:p>
        </w:tc>
        <w:tc>
          <w:tcPr>
            <w:tcW w:w="1003" w:type="dxa"/>
          </w:tcPr>
          <w:p w14:paraId="747F10A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15,240</w:t>
            </w:r>
          </w:p>
        </w:tc>
        <w:tc>
          <w:tcPr>
            <w:tcW w:w="938" w:type="dxa"/>
          </w:tcPr>
          <w:p w14:paraId="49AF1BF4"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744</w:t>
            </w:r>
          </w:p>
        </w:tc>
        <w:tc>
          <w:tcPr>
            <w:tcW w:w="939" w:type="dxa"/>
          </w:tcPr>
          <w:p w14:paraId="5DD0438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864</w:t>
            </w:r>
          </w:p>
        </w:tc>
        <w:tc>
          <w:tcPr>
            <w:tcW w:w="1003" w:type="dxa"/>
          </w:tcPr>
          <w:p w14:paraId="19BB240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1,011</w:t>
            </w:r>
          </w:p>
        </w:tc>
      </w:tr>
      <w:tr w:rsidR="004B664D" w:rsidRPr="00C03BB5" w14:paraId="14BFA3A5" w14:textId="77777777" w:rsidTr="000D7C76">
        <w:tc>
          <w:tcPr>
            <w:tcW w:w="3420" w:type="dxa"/>
          </w:tcPr>
          <w:p w14:paraId="36796E2D"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   Std. Deviation</w:t>
            </w:r>
          </w:p>
        </w:tc>
        <w:tc>
          <w:tcPr>
            <w:tcW w:w="900" w:type="dxa"/>
          </w:tcPr>
          <w:p w14:paraId="6B84748F"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4,615</w:t>
            </w:r>
          </w:p>
        </w:tc>
        <w:tc>
          <w:tcPr>
            <w:tcW w:w="1029" w:type="dxa"/>
          </w:tcPr>
          <w:p w14:paraId="5378855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4,625</w:t>
            </w:r>
          </w:p>
        </w:tc>
        <w:tc>
          <w:tcPr>
            <w:tcW w:w="938" w:type="dxa"/>
          </w:tcPr>
          <w:p w14:paraId="51A029F4"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4,865</w:t>
            </w:r>
          </w:p>
        </w:tc>
        <w:tc>
          <w:tcPr>
            <w:tcW w:w="1003" w:type="dxa"/>
          </w:tcPr>
          <w:p w14:paraId="08765D32"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5,530</w:t>
            </w:r>
          </w:p>
        </w:tc>
        <w:tc>
          <w:tcPr>
            <w:tcW w:w="938" w:type="dxa"/>
          </w:tcPr>
          <w:p w14:paraId="3FE1FBB0"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5B817570"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1083361D"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300C3BBB" w14:textId="77777777" w:rsidTr="000D7C76">
        <w:tc>
          <w:tcPr>
            <w:tcW w:w="3420" w:type="dxa"/>
          </w:tcPr>
          <w:p w14:paraId="16F5B1C2"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   Coefficient of Variation</w:t>
            </w:r>
          </w:p>
        </w:tc>
        <w:tc>
          <w:tcPr>
            <w:tcW w:w="900" w:type="dxa"/>
          </w:tcPr>
          <w:p w14:paraId="6AB1178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32</w:t>
            </w:r>
          </w:p>
        </w:tc>
        <w:tc>
          <w:tcPr>
            <w:tcW w:w="1029" w:type="dxa"/>
          </w:tcPr>
          <w:p w14:paraId="26E0446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31</w:t>
            </w:r>
          </w:p>
        </w:tc>
        <w:tc>
          <w:tcPr>
            <w:tcW w:w="938" w:type="dxa"/>
          </w:tcPr>
          <w:p w14:paraId="04ADCDC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32</w:t>
            </w:r>
          </w:p>
        </w:tc>
        <w:tc>
          <w:tcPr>
            <w:tcW w:w="1003" w:type="dxa"/>
          </w:tcPr>
          <w:p w14:paraId="1ABC56B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36</w:t>
            </w:r>
          </w:p>
        </w:tc>
        <w:tc>
          <w:tcPr>
            <w:tcW w:w="938" w:type="dxa"/>
          </w:tcPr>
          <w:p w14:paraId="46584569"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436BA230"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1339EB80"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4CD29578" w14:textId="77777777" w:rsidTr="000D7C76">
        <w:tc>
          <w:tcPr>
            <w:tcW w:w="3420" w:type="dxa"/>
          </w:tcPr>
          <w:p w14:paraId="605C518B"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   VaR(5%)</w:t>
            </w:r>
          </w:p>
        </w:tc>
        <w:tc>
          <w:tcPr>
            <w:tcW w:w="900" w:type="dxa"/>
          </w:tcPr>
          <w:p w14:paraId="50B12ED1"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9,779</w:t>
            </w:r>
          </w:p>
        </w:tc>
        <w:tc>
          <w:tcPr>
            <w:tcW w:w="1029" w:type="dxa"/>
          </w:tcPr>
          <w:p w14:paraId="385DE24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10,013</w:t>
            </w:r>
          </w:p>
        </w:tc>
        <w:tc>
          <w:tcPr>
            <w:tcW w:w="938" w:type="dxa"/>
          </w:tcPr>
          <w:p w14:paraId="04BF0CF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9,950</w:t>
            </w:r>
          </w:p>
        </w:tc>
        <w:tc>
          <w:tcPr>
            <w:tcW w:w="1003" w:type="dxa"/>
          </w:tcPr>
          <w:p w14:paraId="30616900"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9,793</w:t>
            </w:r>
          </w:p>
        </w:tc>
        <w:tc>
          <w:tcPr>
            <w:tcW w:w="938" w:type="dxa"/>
          </w:tcPr>
          <w:p w14:paraId="2405F5DA"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13B55F4D"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3015BBCE"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7E7B179A" w14:textId="77777777" w:rsidTr="000D7C76">
        <w:tc>
          <w:tcPr>
            <w:tcW w:w="3420" w:type="dxa"/>
          </w:tcPr>
          <w:p w14:paraId="45BCE8F2"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   VaR(10%)</w:t>
            </w:r>
          </w:p>
        </w:tc>
        <w:tc>
          <w:tcPr>
            <w:tcW w:w="900" w:type="dxa"/>
          </w:tcPr>
          <w:p w14:paraId="7B41694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10,113</w:t>
            </w:r>
          </w:p>
        </w:tc>
        <w:tc>
          <w:tcPr>
            <w:tcW w:w="1029" w:type="dxa"/>
          </w:tcPr>
          <w:p w14:paraId="177088B6"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10,015</w:t>
            </w:r>
          </w:p>
        </w:tc>
        <w:tc>
          <w:tcPr>
            <w:tcW w:w="938" w:type="dxa"/>
          </w:tcPr>
          <w:p w14:paraId="53395F58"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9,953</w:t>
            </w:r>
          </w:p>
        </w:tc>
        <w:tc>
          <w:tcPr>
            <w:tcW w:w="1003" w:type="dxa"/>
          </w:tcPr>
          <w:p w14:paraId="5B0B99C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9,799</w:t>
            </w:r>
          </w:p>
        </w:tc>
        <w:tc>
          <w:tcPr>
            <w:tcW w:w="938" w:type="dxa"/>
          </w:tcPr>
          <w:p w14:paraId="6716FC7F"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77E17D7C"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2097E6B9"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4631F3A2" w14:textId="77777777" w:rsidTr="000D7C76">
        <w:tc>
          <w:tcPr>
            <w:tcW w:w="3420" w:type="dxa"/>
          </w:tcPr>
          <w:p w14:paraId="53456B53"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 xml:space="preserve">Value of herd in 2015 </w:t>
            </w:r>
            <w:r w:rsidRPr="00C03BB5">
              <w:rPr>
                <w:rFonts w:eastAsia="Calibri"/>
                <w:sz w:val="18"/>
                <w:szCs w:val="16"/>
                <w:lang w:eastAsia="en-US"/>
              </w:rPr>
              <w:t>(2015 US$)</w:t>
            </w:r>
          </w:p>
        </w:tc>
        <w:tc>
          <w:tcPr>
            <w:tcW w:w="900" w:type="dxa"/>
          </w:tcPr>
          <w:p w14:paraId="29333D13"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25,741</w:t>
            </w:r>
          </w:p>
        </w:tc>
        <w:tc>
          <w:tcPr>
            <w:tcW w:w="1029" w:type="dxa"/>
          </w:tcPr>
          <w:p w14:paraId="2DBAC74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27,515</w:t>
            </w:r>
          </w:p>
        </w:tc>
        <w:tc>
          <w:tcPr>
            <w:tcW w:w="938" w:type="dxa"/>
          </w:tcPr>
          <w:p w14:paraId="717C1D00"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28,441</w:t>
            </w:r>
          </w:p>
        </w:tc>
        <w:tc>
          <w:tcPr>
            <w:tcW w:w="1003" w:type="dxa"/>
          </w:tcPr>
          <w:p w14:paraId="41716EE7"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30,833</w:t>
            </w:r>
          </w:p>
        </w:tc>
        <w:tc>
          <w:tcPr>
            <w:tcW w:w="938" w:type="dxa"/>
          </w:tcPr>
          <w:p w14:paraId="37B86EF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1,774</w:t>
            </w:r>
          </w:p>
        </w:tc>
        <w:tc>
          <w:tcPr>
            <w:tcW w:w="939" w:type="dxa"/>
          </w:tcPr>
          <w:p w14:paraId="39857B14"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2,700</w:t>
            </w:r>
          </w:p>
        </w:tc>
        <w:tc>
          <w:tcPr>
            <w:tcW w:w="1003" w:type="dxa"/>
          </w:tcPr>
          <w:p w14:paraId="50CF9272"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5,093</w:t>
            </w:r>
          </w:p>
        </w:tc>
      </w:tr>
      <w:tr w:rsidR="004B664D" w:rsidRPr="00C03BB5" w14:paraId="41F609F6" w14:textId="77777777" w:rsidTr="000D7C76">
        <w:tc>
          <w:tcPr>
            <w:tcW w:w="3420" w:type="dxa"/>
          </w:tcPr>
          <w:p w14:paraId="055C6DFD" w14:textId="77777777" w:rsidR="004B664D" w:rsidRPr="00C03BB5" w:rsidRDefault="004B664D" w:rsidP="004B664D">
            <w:pPr>
              <w:spacing w:after="160" w:line="259" w:lineRule="auto"/>
              <w:contextualSpacing/>
              <w:rPr>
                <w:rFonts w:eastAsia="Calibri"/>
                <w:sz w:val="18"/>
                <w:szCs w:val="18"/>
                <w:lang w:eastAsia="en-US"/>
              </w:rPr>
            </w:pPr>
          </w:p>
        </w:tc>
        <w:tc>
          <w:tcPr>
            <w:tcW w:w="900" w:type="dxa"/>
          </w:tcPr>
          <w:p w14:paraId="45F4381C" w14:textId="77777777" w:rsidR="004B664D" w:rsidRPr="00C03BB5" w:rsidRDefault="004B664D" w:rsidP="004B664D">
            <w:pPr>
              <w:spacing w:after="160" w:line="259" w:lineRule="auto"/>
              <w:contextualSpacing/>
              <w:jc w:val="right"/>
              <w:rPr>
                <w:rFonts w:eastAsia="Calibri"/>
                <w:sz w:val="18"/>
                <w:szCs w:val="18"/>
                <w:lang w:eastAsia="en-US"/>
              </w:rPr>
            </w:pPr>
          </w:p>
        </w:tc>
        <w:tc>
          <w:tcPr>
            <w:tcW w:w="1029" w:type="dxa"/>
          </w:tcPr>
          <w:p w14:paraId="451962AA"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79EADB16"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41E3D833"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5CE9E415"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13DFE561"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0F6F755C"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041C942D" w14:textId="77777777" w:rsidTr="000D7C76">
        <w:tc>
          <w:tcPr>
            <w:tcW w:w="3420" w:type="dxa"/>
          </w:tcPr>
          <w:p w14:paraId="16E8FD68" w14:textId="77777777" w:rsidR="004B664D" w:rsidRPr="00C03BB5" w:rsidRDefault="004B664D" w:rsidP="004B664D">
            <w:pPr>
              <w:spacing w:after="160" w:line="259" w:lineRule="auto"/>
              <w:contextualSpacing/>
              <w:rPr>
                <w:rFonts w:eastAsia="Calibri"/>
                <w:i/>
                <w:sz w:val="18"/>
                <w:szCs w:val="18"/>
                <w:u w:val="single"/>
                <w:lang w:eastAsia="en-US"/>
              </w:rPr>
            </w:pPr>
            <w:r w:rsidRPr="00C03BB5">
              <w:rPr>
                <w:rFonts w:eastAsia="Calibri"/>
                <w:i/>
                <w:sz w:val="20"/>
                <w:szCs w:val="18"/>
                <w:u w:val="single"/>
                <w:lang w:eastAsia="en-US"/>
              </w:rPr>
              <w:t>Livestock Herd Numbers</w:t>
            </w:r>
          </w:p>
        </w:tc>
        <w:tc>
          <w:tcPr>
            <w:tcW w:w="900" w:type="dxa"/>
          </w:tcPr>
          <w:p w14:paraId="034E4CDC" w14:textId="77777777" w:rsidR="004B664D" w:rsidRPr="00C03BB5" w:rsidRDefault="004B664D" w:rsidP="004B664D">
            <w:pPr>
              <w:spacing w:after="160" w:line="259" w:lineRule="auto"/>
              <w:contextualSpacing/>
              <w:jc w:val="right"/>
              <w:rPr>
                <w:rFonts w:eastAsia="Calibri"/>
                <w:sz w:val="18"/>
                <w:szCs w:val="18"/>
                <w:lang w:eastAsia="en-US"/>
              </w:rPr>
            </w:pPr>
          </w:p>
        </w:tc>
        <w:tc>
          <w:tcPr>
            <w:tcW w:w="1029" w:type="dxa"/>
          </w:tcPr>
          <w:p w14:paraId="6DE751BC"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5E3793E1"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153115F4" w14:textId="77777777" w:rsidR="004B664D" w:rsidRPr="00C03BB5" w:rsidRDefault="004B664D" w:rsidP="004B664D">
            <w:pPr>
              <w:spacing w:after="160" w:line="259" w:lineRule="auto"/>
              <w:contextualSpacing/>
              <w:jc w:val="right"/>
              <w:rPr>
                <w:rFonts w:eastAsia="Calibri"/>
                <w:sz w:val="18"/>
                <w:szCs w:val="18"/>
                <w:lang w:eastAsia="en-US"/>
              </w:rPr>
            </w:pPr>
          </w:p>
        </w:tc>
        <w:tc>
          <w:tcPr>
            <w:tcW w:w="938" w:type="dxa"/>
          </w:tcPr>
          <w:p w14:paraId="1723E4BF" w14:textId="77777777" w:rsidR="004B664D" w:rsidRPr="00C03BB5" w:rsidRDefault="004B664D" w:rsidP="004B664D">
            <w:pPr>
              <w:spacing w:after="160" w:line="259" w:lineRule="auto"/>
              <w:contextualSpacing/>
              <w:jc w:val="right"/>
              <w:rPr>
                <w:rFonts w:eastAsia="Calibri"/>
                <w:sz w:val="18"/>
                <w:szCs w:val="18"/>
                <w:lang w:eastAsia="en-US"/>
              </w:rPr>
            </w:pPr>
          </w:p>
        </w:tc>
        <w:tc>
          <w:tcPr>
            <w:tcW w:w="939" w:type="dxa"/>
          </w:tcPr>
          <w:p w14:paraId="570B2237" w14:textId="77777777" w:rsidR="004B664D" w:rsidRPr="00C03BB5" w:rsidRDefault="004B664D" w:rsidP="004B664D">
            <w:pPr>
              <w:spacing w:after="160" w:line="259" w:lineRule="auto"/>
              <w:contextualSpacing/>
              <w:jc w:val="right"/>
              <w:rPr>
                <w:rFonts w:eastAsia="Calibri"/>
                <w:sz w:val="18"/>
                <w:szCs w:val="18"/>
                <w:lang w:eastAsia="en-US"/>
              </w:rPr>
            </w:pPr>
          </w:p>
        </w:tc>
        <w:tc>
          <w:tcPr>
            <w:tcW w:w="1003" w:type="dxa"/>
          </w:tcPr>
          <w:p w14:paraId="612C85F9" w14:textId="77777777" w:rsidR="004B664D" w:rsidRPr="00C03BB5" w:rsidRDefault="004B664D" w:rsidP="004B664D">
            <w:pPr>
              <w:spacing w:after="160" w:line="259" w:lineRule="auto"/>
              <w:contextualSpacing/>
              <w:jc w:val="right"/>
              <w:rPr>
                <w:rFonts w:eastAsia="Calibri"/>
                <w:sz w:val="18"/>
                <w:szCs w:val="18"/>
                <w:lang w:eastAsia="en-US"/>
              </w:rPr>
            </w:pPr>
          </w:p>
        </w:tc>
      </w:tr>
      <w:tr w:rsidR="004B664D" w:rsidRPr="00C03BB5" w14:paraId="4B8CD69F" w14:textId="77777777" w:rsidTr="000D7C76">
        <w:tc>
          <w:tcPr>
            <w:tcW w:w="3420" w:type="dxa"/>
          </w:tcPr>
          <w:p w14:paraId="576D3958"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Livestock total at end 2015</w:t>
            </w:r>
          </w:p>
        </w:tc>
        <w:tc>
          <w:tcPr>
            <w:tcW w:w="900" w:type="dxa"/>
          </w:tcPr>
          <w:p w14:paraId="143DCB40"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218</w:t>
            </w:r>
          </w:p>
        </w:tc>
        <w:tc>
          <w:tcPr>
            <w:tcW w:w="1029" w:type="dxa"/>
          </w:tcPr>
          <w:p w14:paraId="21AB0768"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225</w:t>
            </w:r>
          </w:p>
        </w:tc>
        <w:tc>
          <w:tcPr>
            <w:tcW w:w="938" w:type="dxa"/>
          </w:tcPr>
          <w:p w14:paraId="3947DA41"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225</w:t>
            </w:r>
          </w:p>
        </w:tc>
        <w:tc>
          <w:tcPr>
            <w:tcW w:w="1003" w:type="dxa"/>
          </w:tcPr>
          <w:p w14:paraId="148CAF4E"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225</w:t>
            </w:r>
          </w:p>
        </w:tc>
        <w:tc>
          <w:tcPr>
            <w:tcW w:w="938" w:type="dxa"/>
          </w:tcPr>
          <w:p w14:paraId="742E05F2"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c>
          <w:tcPr>
            <w:tcW w:w="939" w:type="dxa"/>
          </w:tcPr>
          <w:p w14:paraId="24A7011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c>
          <w:tcPr>
            <w:tcW w:w="1003" w:type="dxa"/>
          </w:tcPr>
          <w:p w14:paraId="35E2741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r>
      <w:tr w:rsidR="004B664D" w:rsidRPr="00C03BB5" w14:paraId="429EC00A" w14:textId="77777777" w:rsidTr="000D7C76">
        <w:tc>
          <w:tcPr>
            <w:tcW w:w="3420" w:type="dxa"/>
          </w:tcPr>
          <w:p w14:paraId="75126F0B"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Mean livestock total over period</w:t>
            </w:r>
          </w:p>
        </w:tc>
        <w:tc>
          <w:tcPr>
            <w:tcW w:w="900" w:type="dxa"/>
          </w:tcPr>
          <w:p w14:paraId="5F3AFEAB"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216</w:t>
            </w:r>
          </w:p>
        </w:tc>
        <w:tc>
          <w:tcPr>
            <w:tcW w:w="1029" w:type="dxa"/>
          </w:tcPr>
          <w:p w14:paraId="7548C1C1"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218</w:t>
            </w:r>
          </w:p>
        </w:tc>
        <w:tc>
          <w:tcPr>
            <w:tcW w:w="938" w:type="dxa"/>
          </w:tcPr>
          <w:p w14:paraId="033E0EF0"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220</w:t>
            </w:r>
          </w:p>
        </w:tc>
        <w:tc>
          <w:tcPr>
            <w:tcW w:w="1003" w:type="dxa"/>
          </w:tcPr>
          <w:p w14:paraId="7ECFD08B"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222</w:t>
            </w:r>
          </w:p>
        </w:tc>
        <w:tc>
          <w:tcPr>
            <w:tcW w:w="938" w:type="dxa"/>
          </w:tcPr>
          <w:p w14:paraId="05807005"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w:t>
            </w:r>
          </w:p>
        </w:tc>
        <w:tc>
          <w:tcPr>
            <w:tcW w:w="939" w:type="dxa"/>
          </w:tcPr>
          <w:p w14:paraId="2B561C40"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w:t>
            </w:r>
          </w:p>
        </w:tc>
        <w:tc>
          <w:tcPr>
            <w:tcW w:w="1003" w:type="dxa"/>
          </w:tcPr>
          <w:p w14:paraId="21869214"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7</w:t>
            </w:r>
          </w:p>
        </w:tc>
      </w:tr>
      <w:tr w:rsidR="004B664D" w:rsidRPr="00C03BB5" w14:paraId="1822725F" w14:textId="77777777" w:rsidTr="000D7C76">
        <w:tc>
          <w:tcPr>
            <w:tcW w:w="3420" w:type="dxa"/>
          </w:tcPr>
          <w:p w14:paraId="5F3A1101"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Animal Units (AU) in 2015</w:t>
            </w:r>
          </w:p>
        </w:tc>
        <w:tc>
          <w:tcPr>
            <w:tcW w:w="900" w:type="dxa"/>
          </w:tcPr>
          <w:p w14:paraId="51AB373E"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422</w:t>
            </w:r>
          </w:p>
        </w:tc>
        <w:tc>
          <w:tcPr>
            <w:tcW w:w="1029" w:type="dxa"/>
          </w:tcPr>
          <w:p w14:paraId="3073243C"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427</w:t>
            </w:r>
          </w:p>
        </w:tc>
        <w:tc>
          <w:tcPr>
            <w:tcW w:w="938" w:type="dxa"/>
          </w:tcPr>
          <w:p w14:paraId="4C41DC0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442</w:t>
            </w:r>
          </w:p>
        </w:tc>
        <w:tc>
          <w:tcPr>
            <w:tcW w:w="1003" w:type="dxa"/>
          </w:tcPr>
          <w:p w14:paraId="15A3B8CA"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478</w:t>
            </w:r>
          </w:p>
        </w:tc>
        <w:tc>
          <w:tcPr>
            <w:tcW w:w="938" w:type="dxa"/>
          </w:tcPr>
          <w:p w14:paraId="44F4DD9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5</w:t>
            </w:r>
          </w:p>
        </w:tc>
        <w:tc>
          <w:tcPr>
            <w:tcW w:w="939" w:type="dxa"/>
          </w:tcPr>
          <w:p w14:paraId="00E6039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19</w:t>
            </w:r>
          </w:p>
        </w:tc>
        <w:tc>
          <w:tcPr>
            <w:tcW w:w="1003" w:type="dxa"/>
          </w:tcPr>
          <w:p w14:paraId="13254706"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56</w:t>
            </w:r>
          </w:p>
        </w:tc>
      </w:tr>
      <w:tr w:rsidR="004B664D" w:rsidRPr="00C03BB5" w14:paraId="73CF6388" w14:textId="77777777" w:rsidTr="000D7C76">
        <w:tc>
          <w:tcPr>
            <w:tcW w:w="3420" w:type="dxa"/>
          </w:tcPr>
          <w:p w14:paraId="7C8A6689" w14:textId="77777777" w:rsidR="004B664D" w:rsidRPr="00C03BB5" w:rsidRDefault="004B664D" w:rsidP="004B664D">
            <w:pPr>
              <w:spacing w:after="160" w:line="259" w:lineRule="auto"/>
              <w:contextualSpacing/>
              <w:rPr>
                <w:rFonts w:eastAsia="Calibri"/>
                <w:sz w:val="18"/>
                <w:szCs w:val="18"/>
                <w:lang w:eastAsia="en-US"/>
              </w:rPr>
            </w:pPr>
            <w:r w:rsidRPr="00C03BB5">
              <w:rPr>
                <w:rFonts w:eastAsia="Calibri"/>
                <w:sz w:val="18"/>
                <w:szCs w:val="18"/>
                <w:lang w:eastAsia="en-US"/>
              </w:rPr>
              <w:t>Mean AU over period</w:t>
            </w:r>
          </w:p>
        </w:tc>
        <w:tc>
          <w:tcPr>
            <w:tcW w:w="900" w:type="dxa"/>
          </w:tcPr>
          <w:p w14:paraId="648C8AEB"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401</w:t>
            </w:r>
          </w:p>
        </w:tc>
        <w:tc>
          <w:tcPr>
            <w:tcW w:w="1029" w:type="dxa"/>
          </w:tcPr>
          <w:p w14:paraId="7EBA463D"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407</w:t>
            </w:r>
          </w:p>
        </w:tc>
        <w:tc>
          <w:tcPr>
            <w:tcW w:w="938" w:type="dxa"/>
          </w:tcPr>
          <w:p w14:paraId="4B258F71"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414</w:t>
            </w:r>
          </w:p>
        </w:tc>
        <w:tc>
          <w:tcPr>
            <w:tcW w:w="1003" w:type="dxa"/>
          </w:tcPr>
          <w:p w14:paraId="7AFCB07F"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429</w:t>
            </w:r>
          </w:p>
        </w:tc>
        <w:tc>
          <w:tcPr>
            <w:tcW w:w="938" w:type="dxa"/>
          </w:tcPr>
          <w:p w14:paraId="4B0BFF28"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6</w:t>
            </w:r>
          </w:p>
        </w:tc>
        <w:tc>
          <w:tcPr>
            <w:tcW w:w="939" w:type="dxa"/>
          </w:tcPr>
          <w:p w14:paraId="264887A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13</w:t>
            </w:r>
          </w:p>
        </w:tc>
        <w:tc>
          <w:tcPr>
            <w:tcW w:w="1003" w:type="dxa"/>
          </w:tcPr>
          <w:p w14:paraId="478927F9" w14:textId="77777777" w:rsidR="004B664D" w:rsidRPr="00C03BB5" w:rsidRDefault="004B664D" w:rsidP="004B664D">
            <w:pPr>
              <w:spacing w:after="160" w:line="259" w:lineRule="auto"/>
              <w:contextualSpacing/>
              <w:jc w:val="right"/>
              <w:rPr>
                <w:rFonts w:eastAsia="Calibri"/>
                <w:sz w:val="18"/>
                <w:szCs w:val="18"/>
                <w:lang w:eastAsia="en-US"/>
              </w:rPr>
            </w:pPr>
            <w:r w:rsidRPr="00C03BB5">
              <w:rPr>
                <w:rFonts w:eastAsia="Calibri"/>
                <w:sz w:val="18"/>
                <w:szCs w:val="18"/>
                <w:lang w:eastAsia="en-US"/>
              </w:rPr>
              <w:t>29</w:t>
            </w:r>
          </w:p>
        </w:tc>
      </w:tr>
    </w:tbl>
    <w:p w14:paraId="762A3DB5" w14:textId="46EA5A39" w:rsidR="004B664D" w:rsidRPr="00C03BB5" w:rsidRDefault="004B664D" w:rsidP="004B664D">
      <w:pPr>
        <w:spacing w:after="160" w:line="259" w:lineRule="auto"/>
        <w:rPr>
          <w:rFonts w:eastAsia="Calibri"/>
          <w:sz w:val="18"/>
          <w:szCs w:val="18"/>
          <w:lang w:eastAsia="en-US"/>
        </w:rPr>
      </w:pPr>
      <w:r w:rsidRPr="00C03BB5">
        <w:rPr>
          <w:rFonts w:eastAsia="Calibri"/>
          <w:sz w:val="18"/>
          <w:szCs w:val="18"/>
          <w:lang w:eastAsia="en-US"/>
        </w:rPr>
        <w:t>Source: Herd Models applied to Jargalant sum and Bumbugu</w:t>
      </w:r>
      <w:r w:rsidR="00766749" w:rsidRPr="00C03BB5">
        <w:rPr>
          <w:rFonts w:eastAsia="Calibri"/>
          <w:sz w:val="18"/>
          <w:szCs w:val="18"/>
          <w:lang w:eastAsia="en-US"/>
        </w:rPr>
        <w:t>r</w:t>
      </w:r>
      <w:r w:rsidRPr="00C03BB5">
        <w:rPr>
          <w:rFonts w:eastAsia="Calibri"/>
          <w:sz w:val="18"/>
          <w:szCs w:val="18"/>
          <w:lang w:eastAsia="en-US"/>
        </w:rPr>
        <w:t xml:space="preserve"> sum).</w:t>
      </w:r>
    </w:p>
    <w:p w14:paraId="4D8E38C5" w14:textId="77777777" w:rsidR="004B664D" w:rsidRPr="00C03BB5" w:rsidRDefault="004B664D" w:rsidP="004B664D">
      <w:pPr>
        <w:spacing w:after="160" w:line="259" w:lineRule="auto"/>
        <w:rPr>
          <w:rFonts w:eastAsia="Calibri"/>
          <w:sz w:val="18"/>
          <w:szCs w:val="18"/>
          <w:lang w:eastAsia="en-US"/>
        </w:rPr>
      </w:pPr>
      <w:r w:rsidRPr="00C03BB5">
        <w:rPr>
          <w:rFonts w:eastAsia="Calibri"/>
          <w:sz w:val="18"/>
          <w:szCs w:val="18"/>
          <w:lang w:eastAsia="en-US"/>
        </w:rPr>
        <w:t>a/ Includes the 50% of IBLI payouts that the herder uses for household consumption.</w:t>
      </w:r>
    </w:p>
    <w:p w14:paraId="72CD3DB9" w14:textId="77777777"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 xml:space="preserve">The benefits of IBLI payouts to herders increase with the amount of coverage they choose for their livestock.  The largest gains in terms of livestock value take place when 100% of the livestock is </w:t>
      </w:r>
      <w:r w:rsidRPr="00C03BB5">
        <w:rPr>
          <w:rFonts w:eastAsia="Calibri"/>
          <w:sz w:val="22"/>
          <w:szCs w:val="22"/>
          <w:lang w:eastAsia="en-US"/>
        </w:rPr>
        <w:lastRenderedPageBreak/>
        <w:t>insured, but even the gains when insuring only 30% of the value of the livestock are considerable.   The with-project income variability (the coefficient of variation), is higher than without-project income variability in both sums because of the relatively large payouts in 2010.</w:t>
      </w:r>
    </w:p>
    <w:p w14:paraId="46C5CE7A" w14:textId="11B709EB" w:rsidR="004B664D" w:rsidRPr="00C03BB5" w:rsidRDefault="004B664D" w:rsidP="005A4EF0">
      <w:pPr>
        <w:numPr>
          <w:ilvl w:val="0"/>
          <w:numId w:val="32"/>
        </w:numPr>
        <w:spacing w:after="160" w:line="259" w:lineRule="auto"/>
        <w:ind w:firstLine="0"/>
        <w:rPr>
          <w:rFonts w:eastAsia="Calibri"/>
          <w:sz w:val="22"/>
          <w:szCs w:val="22"/>
          <w:lang w:eastAsia="en-US"/>
        </w:rPr>
      </w:pPr>
      <w:r w:rsidRPr="00C03BB5">
        <w:rPr>
          <w:rFonts w:eastAsia="Calibri"/>
          <w:sz w:val="22"/>
          <w:szCs w:val="22"/>
          <w:lang w:eastAsia="en-US"/>
        </w:rPr>
        <w:t xml:space="preserve">The value at risk (at 5% and 10%) of the herder’s income with and without insurance does not show large differences.  However, the value at risk of the income (at </w:t>
      </w:r>
      <w:r w:rsidR="00766749" w:rsidRPr="00C03BB5">
        <w:rPr>
          <w:rFonts w:eastAsia="Calibri"/>
          <w:sz w:val="22"/>
          <w:szCs w:val="22"/>
          <w:lang w:eastAsia="en-US"/>
        </w:rPr>
        <w:t>5</w:t>
      </w:r>
      <w:r w:rsidRPr="00C03BB5">
        <w:rPr>
          <w:rFonts w:eastAsia="Calibri"/>
          <w:sz w:val="22"/>
          <w:szCs w:val="22"/>
          <w:lang w:eastAsia="en-US"/>
        </w:rPr>
        <w:t xml:space="preserve">%) is generally higher when insurance is purchased relative to the without insurance scenarios for </w:t>
      </w:r>
      <w:r w:rsidR="00766749" w:rsidRPr="00C03BB5">
        <w:rPr>
          <w:rFonts w:eastAsia="Calibri"/>
          <w:sz w:val="22"/>
          <w:szCs w:val="22"/>
          <w:lang w:eastAsia="en-US"/>
        </w:rPr>
        <w:t>both sums.</w:t>
      </w:r>
      <w:r w:rsidRPr="00C03BB5">
        <w:rPr>
          <w:rFonts w:eastAsia="Calibri"/>
          <w:sz w:val="22"/>
          <w:szCs w:val="22"/>
          <w:lang w:eastAsia="en-US"/>
        </w:rPr>
        <w:t xml:space="preserve"> This means that the insured herder is less exposed to low incomes when insured at the 100% level than the uninsured herder.</w:t>
      </w:r>
    </w:p>
    <w:p w14:paraId="2D8F0A4B" w14:textId="00FF21F4" w:rsidR="004B664D" w:rsidRPr="00C03BB5" w:rsidRDefault="004B664D" w:rsidP="004B664D">
      <w:pPr>
        <w:spacing w:after="160" w:line="259" w:lineRule="auto"/>
        <w:jc w:val="center"/>
        <w:rPr>
          <w:rFonts w:eastAsia="Calibri"/>
          <w:b/>
          <w:bCs/>
          <w:sz w:val="22"/>
          <w:szCs w:val="22"/>
          <w:lang w:eastAsia="en-US"/>
        </w:rPr>
      </w:pPr>
      <w:r w:rsidRPr="00C03BB5">
        <w:rPr>
          <w:rFonts w:eastAsia="Calibri"/>
          <w:b/>
          <w:bCs/>
          <w:sz w:val="22"/>
          <w:szCs w:val="22"/>
          <w:lang w:eastAsia="en-US"/>
        </w:rPr>
        <w:t xml:space="preserve">Figure </w:t>
      </w:r>
      <w:r w:rsidRPr="00C03BB5">
        <w:rPr>
          <w:rFonts w:eastAsia="Calibri"/>
          <w:b/>
          <w:bCs/>
          <w:sz w:val="22"/>
          <w:szCs w:val="22"/>
          <w:lang w:eastAsia="en-US"/>
        </w:rPr>
        <w:fldChar w:fldCharType="begin"/>
      </w:r>
      <w:r w:rsidRPr="00C03BB5">
        <w:rPr>
          <w:rFonts w:eastAsia="Calibri"/>
          <w:b/>
          <w:bCs/>
          <w:sz w:val="22"/>
          <w:szCs w:val="22"/>
          <w:lang w:eastAsia="en-US"/>
        </w:rPr>
        <w:instrText xml:space="preserve"> SEQ Figure \* ARABIC </w:instrText>
      </w:r>
      <w:r w:rsidRPr="00C03BB5">
        <w:rPr>
          <w:rFonts w:eastAsia="Calibri"/>
          <w:b/>
          <w:bCs/>
          <w:sz w:val="22"/>
          <w:szCs w:val="22"/>
          <w:lang w:eastAsia="en-US"/>
        </w:rPr>
        <w:fldChar w:fldCharType="separate"/>
      </w:r>
      <w:r w:rsidR="00D41562">
        <w:rPr>
          <w:rFonts w:eastAsia="Calibri"/>
          <w:b/>
          <w:bCs/>
          <w:noProof/>
          <w:sz w:val="22"/>
          <w:szCs w:val="22"/>
          <w:lang w:eastAsia="en-US"/>
        </w:rPr>
        <w:t>4</w:t>
      </w:r>
      <w:r w:rsidRPr="00C03BB5">
        <w:rPr>
          <w:rFonts w:eastAsia="Calibri"/>
          <w:b/>
          <w:bCs/>
          <w:sz w:val="22"/>
          <w:szCs w:val="22"/>
          <w:lang w:eastAsia="en-US"/>
        </w:rPr>
        <w:fldChar w:fldCharType="end"/>
      </w:r>
      <w:r w:rsidRPr="00C03BB5">
        <w:rPr>
          <w:rFonts w:eastAsia="Calibri"/>
          <w:b/>
          <w:bCs/>
          <w:sz w:val="22"/>
          <w:szCs w:val="22"/>
          <w:lang w:eastAsia="en-US"/>
        </w:rPr>
        <w:t xml:space="preserve"> Mortality rates and net revenue with and without insurance, 50% coverage level,  Bumbugur sum</w:t>
      </w:r>
    </w:p>
    <w:p w14:paraId="638AAF45" w14:textId="77777777" w:rsidR="004B664D" w:rsidRPr="00C03BB5" w:rsidRDefault="004B664D" w:rsidP="004B664D">
      <w:pPr>
        <w:spacing w:after="240" w:line="259" w:lineRule="auto"/>
        <w:jc w:val="center"/>
        <w:rPr>
          <w:rFonts w:eastAsia="Calibri"/>
          <w:b/>
          <w:sz w:val="22"/>
          <w:szCs w:val="22"/>
          <w:lang w:eastAsia="en-US"/>
        </w:rPr>
      </w:pPr>
      <w:r w:rsidRPr="00C03BB5">
        <w:rPr>
          <w:rFonts w:eastAsia="Calibri"/>
          <w:noProof/>
          <w:sz w:val="22"/>
          <w:szCs w:val="22"/>
          <w:lang w:eastAsia="en-US"/>
        </w:rPr>
        <w:drawing>
          <wp:inline distT="0" distB="0" distL="0" distR="0" wp14:anchorId="3B581980" wp14:editId="0EAFB0BA">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C6ED78" w14:textId="0DF0D6C2" w:rsidR="004B664D" w:rsidRPr="00C03BB5" w:rsidRDefault="004B664D" w:rsidP="004B664D">
      <w:pPr>
        <w:spacing w:after="160" w:line="259" w:lineRule="auto"/>
        <w:jc w:val="center"/>
        <w:rPr>
          <w:rFonts w:eastAsia="Calibri"/>
          <w:b/>
          <w:bCs/>
          <w:sz w:val="22"/>
          <w:szCs w:val="22"/>
          <w:lang w:eastAsia="en-US"/>
        </w:rPr>
      </w:pPr>
      <w:r w:rsidRPr="00C03BB5">
        <w:rPr>
          <w:rFonts w:eastAsia="Calibri"/>
          <w:sz w:val="22"/>
          <w:szCs w:val="22"/>
          <w:lang w:eastAsia="en-US"/>
        </w:rPr>
        <w:t xml:space="preserve">Figure </w:t>
      </w:r>
      <w:r w:rsidRPr="00C03BB5">
        <w:rPr>
          <w:rFonts w:eastAsia="Calibri"/>
          <w:sz w:val="22"/>
          <w:szCs w:val="22"/>
          <w:lang w:eastAsia="en-US"/>
        </w:rPr>
        <w:fldChar w:fldCharType="begin"/>
      </w:r>
      <w:r w:rsidRPr="00C03BB5">
        <w:rPr>
          <w:rFonts w:eastAsia="Calibri"/>
          <w:sz w:val="22"/>
          <w:szCs w:val="22"/>
          <w:lang w:eastAsia="en-US"/>
        </w:rPr>
        <w:instrText xml:space="preserve"> SEQ Figure \* ARABIC </w:instrText>
      </w:r>
      <w:r w:rsidRPr="00C03BB5">
        <w:rPr>
          <w:rFonts w:eastAsia="Calibri"/>
          <w:sz w:val="22"/>
          <w:szCs w:val="22"/>
          <w:lang w:eastAsia="en-US"/>
        </w:rPr>
        <w:fldChar w:fldCharType="separate"/>
      </w:r>
      <w:r w:rsidR="00D41562">
        <w:rPr>
          <w:rFonts w:eastAsia="Calibri"/>
          <w:noProof/>
          <w:sz w:val="22"/>
          <w:szCs w:val="22"/>
          <w:lang w:eastAsia="en-US"/>
        </w:rPr>
        <w:t>5</w:t>
      </w:r>
      <w:r w:rsidRPr="00C03BB5">
        <w:rPr>
          <w:rFonts w:eastAsia="Calibri"/>
          <w:sz w:val="22"/>
          <w:szCs w:val="22"/>
          <w:lang w:eastAsia="en-US"/>
        </w:rPr>
        <w:fldChar w:fldCharType="end"/>
      </w:r>
      <w:r w:rsidRPr="00C03BB5">
        <w:rPr>
          <w:rFonts w:eastAsia="Calibri"/>
          <w:sz w:val="22"/>
          <w:szCs w:val="22"/>
          <w:lang w:eastAsia="en-US"/>
        </w:rPr>
        <w:t xml:space="preserve"> </w:t>
      </w:r>
      <w:r w:rsidRPr="00C03BB5">
        <w:rPr>
          <w:rFonts w:eastAsia="Calibri"/>
          <w:b/>
          <w:bCs/>
          <w:sz w:val="22"/>
          <w:szCs w:val="22"/>
          <w:lang w:eastAsia="en-US"/>
        </w:rPr>
        <w:t>Mortality rates and livestock numbers with and without insurance (in sheep units), 50% coverage level, Bumbugur sum</w:t>
      </w:r>
    </w:p>
    <w:p w14:paraId="0D90FE79" w14:textId="77777777" w:rsidR="004B664D" w:rsidRPr="00C03BB5" w:rsidRDefault="004B664D" w:rsidP="004B664D">
      <w:pPr>
        <w:keepNext/>
        <w:spacing w:after="200"/>
        <w:jc w:val="center"/>
        <w:rPr>
          <w:rFonts w:eastAsia="Calibri"/>
          <w:i/>
          <w:iCs/>
          <w:color w:val="44546A"/>
          <w:sz w:val="18"/>
          <w:szCs w:val="18"/>
          <w:lang w:eastAsia="en-US"/>
        </w:rPr>
      </w:pPr>
    </w:p>
    <w:p w14:paraId="0E7F0E66" w14:textId="3AD02FD6" w:rsidR="005955F3" w:rsidRPr="00C03BB5" w:rsidRDefault="004B664D" w:rsidP="004B664D">
      <w:pPr>
        <w:spacing w:after="240" w:line="259" w:lineRule="auto"/>
        <w:jc w:val="center"/>
        <w:rPr>
          <w:rFonts w:eastAsia="Calibri"/>
          <w:b/>
          <w:sz w:val="22"/>
          <w:szCs w:val="22"/>
          <w:lang w:eastAsia="en-US"/>
        </w:rPr>
      </w:pPr>
      <w:r w:rsidRPr="00C03BB5">
        <w:rPr>
          <w:rFonts w:eastAsia="Calibri"/>
          <w:noProof/>
          <w:sz w:val="22"/>
          <w:szCs w:val="22"/>
          <w:lang w:eastAsia="en-US"/>
        </w:rPr>
        <w:drawing>
          <wp:inline distT="0" distB="0" distL="0" distR="0" wp14:anchorId="7EB5F97C" wp14:editId="051B97BB">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BFF561" w14:textId="3C3273B8" w:rsidR="005955F3" w:rsidRPr="00C03BB5" w:rsidRDefault="005955F3" w:rsidP="005955F3">
      <w:pPr>
        <w:spacing w:after="160" w:line="259" w:lineRule="auto"/>
        <w:jc w:val="both"/>
        <w:rPr>
          <w:rFonts w:eastAsia="Calibri"/>
          <w:b/>
          <w:sz w:val="22"/>
          <w:szCs w:val="22"/>
          <w:lang w:eastAsia="en-US"/>
        </w:rPr>
      </w:pPr>
      <w:r w:rsidRPr="00C03BB5">
        <w:rPr>
          <w:rFonts w:eastAsia="Calibri"/>
          <w:b/>
          <w:sz w:val="22"/>
          <w:szCs w:val="22"/>
          <w:lang w:eastAsia="en-US"/>
        </w:rPr>
        <w:lastRenderedPageBreak/>
        <w:t>Financial forecast analysis</w:t>
      </w:r>
    </w:p>
    <w:p w14:paraId="57357BD4" w14:textId="0F616630" w:rsidR="005955F3" w:rsidRPr="00C03BB5" w:rsidRDefault="005955F3" w:rsidP="005A4EF0">
      <w:pPr>
        <w:numPr>
          <w:ilvl w:val="0"/>
          <w:numId w:val="32"/>
        </w:numPr>
        <w:spacing w:after="160" w:line="259" w:lineRule="auto"/>
        <w:ind w:firstLine="0"/>
      </w:pPr>
      <w:r w:rsidRPr="00C03BB5">
        <w:t xml:space="preserve">A financial forecast analysis was conducted to explore the sustainability of the Agriculture Reinsurance company (AgRe) in the mid-long term.  A dynamic financial analysis (DFA) was </w:t>
      </w:r>
      <w:r w:rsidR="00281CF4" w:rsidRPr="00C03BB5">
        <w:t>developed, which conducted 10,000 simulations of potential outcomes for how the capital of AgRe will grow over a five year time horizon.  These simulations where then analysed to understand the likely range of outcomes for the capital of AgRe</w:t>
      </w:r>
      <w:r w:rsidRPr="00C03BB5">
        <w:t xml:space="preserve">.  The assumptions of the DFA are given below.  The results of the DFA can be seen in </w:t>
      </w:r>
      <w:r w:rsidRPr="00C03BB5">
        <w:fldChar w:fldCharType="begin"/>
      </w:r>
      <w:r w:rsidRPr="00C03BB5">
        <w:instrText xml:space="preserve"> REF _Ref456859375 \h </w:instrText>
      </w:r>
      <w:r w:rsidR="00C03BB5">
        <w:instrText xml:space="preserve"> \* MERGEFORMAT </w:instrText>
      </w:r>
      <w:r w:rsidRPr="00C03BB5">
        <w:fldChar w:fldCharType="separate"/>
      </w:r>
      <w:r w:rsidR="00D41562" w:rsidRPr="00C03BB5">
        <w:t xml:space="preserve">Figure </w:t>
      </w:r>
      <w:r w:rsidR="00D41562">
        <w:rPr>
          <w:noProof/>
        </w:rPr>
        <w:t>6</w:t>
      </w:r>
      <w:r w:rsidRPr="00C03BB5">
        <w:fldChar w:fldCharType="end"/>
      </w:r>
      <w:r w:rsidRPr="00C03BB5">
        <w:t>.</w:t>
      </w:r>
    </w:p>
    <w:p w14:paraId="39DC5BF1" w14:textId="77777777" w:rsidR="005955F3" w:rsidRPr="00C03BB5" w:rsidRDefault="005955F3" w:rsidP="005955F3"/>
    <w:p w14:paraId="55C003EB" w14:textId="7DA96E6A" w:rsidR="005955F3" w:rsidRPr="00C03BB5" w:rsidRDefault="005955F3" w:rsidP="005955F3">
      <w:pPr>
        <w:pStyle w:val="Caption"/>
      </w:pPr>
      <w:bookmarkStart w:id="207" w:name="_Ref456859375"/>
      <w:r w:rsidRPr="00C03BB5">
        <w:t xml:space="preserve">Figure </w:t>
      </w:r>
      <w:r w:rsidR="00601B66">
        <w:fldChar w:fldCharType="begin"/>
      </w:r>
      <w:r w:rsidR="00601B66">
        <w:instrText xml:space="preserve"> SEQ Figure \* ARABIC </w:instrText>
      </w:r>
      <w:r w:rsidR="00601B66">
        <w:fldChar w:fldCharType="separate"/>
      </w:r>
      <w:r w:rsidR="00D41562">
        <w:rPr>
          <w:noProof/>
        </w:rPr>
        <w:t>6</w:t>
      </w:r>
      <w:r w:rsidR="00601B66">
        <w:rPr>
          <w:noProof/>
        </w:rPr>
        <w:fldChar w:fldCharType="end"/>
      </w:r>
      <w:bookmarkEnd w:id="207"/>
      <w:r w:rsidRPr="00C03BB5">
        <w:t>:DFA of Capital &amp; reserves of AgRe over time</w:t>
      </w:r>
    </w:p>
    <w:p w14:paraId="42632045" w14:textId="77777777" w:rsidR="005955F3" w:rsidRPr="00C03BB5" w:rsidRDefault="005955F3" w:rsidP="005955F3">
      <w:r w:rsidRPr="00C03BB5">
        <w:rPr>
          <w:noProof/>
          <w:lang w:eastAsia="en-US"/>
        </w:rPr>
        <w:drawing>
          <wp:inline distT="0" distB="0" distL="0" distR="0" wp14:anchorId="11D8E449" wp14:editId="0F42A2CD">
            <wp:extent cx="5874589" cy="3743864"/>
            <wp:effectExtent l="0" t="0" r="1206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D9BEFF" w14:textId="77777777" w:rsidR="005955F3" w:rsidRPr="00C03BB5" w:rsidRDefault="005955F3" w:rsidP="005955F3"/>
    <w:p w14:paraId="0F8124DE" w14:textId="77777777" w:rsidR="005955F3" w:rsidRPr="00C03BB5" w:rsidRDefault="005955F3" w:rsidP="005A4EF0">
      <w:pPr>
        <w:spacing w:after="160" w:line="259" w:lineRule="auto"/>
      </w:pPr>
      <w:r w:rsidRPr="00C03BB5">
        <w:t>Explanation of results:</w:t>
      </w:r>
    </w:p>
    <w:p w14:paraId="686FFF3C" w14:textId="4EF33EA6" w:rsidR="005955F3" w:rsidRPr="00C03BB5" w:rsidRDefault="005955F3" w:rsidP="005A4EF0">
      <w:pPr>
        <w:numPr>
          <w:ilvl w:val="0"/>
          <w:numId w:val="32"/>
        </w:numPr>
        <w:spacing w:after="160" w:line="259" w:lineRule="auto"/>
        <w:ind w:firstLine="0"/>
      </w:pPr>
      <w:r w:rsidRPr="00C03BB5">
        <w:t xml:space="preserve">The chart shows the relative likelihood of possible outcomes for the growth in the capital of AgRe over a 5 year time horizon. The central band, coloured deep red, is the median projection and there is a 10% chance that this outcome will occur. The next deepest shade, on both sides of the central band, </w:t>
      </w:r>
      <w:r w:rsidR="00281CF4" w:rsidRPr="00C03BB5">
        <w:t>represents the 45</w:t>
      </w:r>
      <w:r w:rsidR="00281CF4" w:rsidRPr="00C03BB5">
        <w:rPr>
          <w:vertAlign w:val="superscript"/>
        </w:rPr>
        <w:t>th</w:t>
      </w:r>
      <w:r w:rsidR="00281CF4" w:rsidRPr="00C03BB5">
        <w:t xml:space="preserve"> and 55</w:t>
      </w:r>
      <w:r w:rsidR="00281CF4" w:rsidRPr="00C03BB5">
        <w:rPr>
          <w:vertAlign w:val="superscript"/>
        </w:rPr>
        <w:t>th</w:t>
      </w:r>
      <w:r w:rsidR="00281CF4" w:rsidRPr="00C03BB5">
        <w:t xml:space="preserve"> percentile outcomes, and therefore </w:t>
      </w:r>
      <w:r w:rsidRPr="00C03BB5">
        <w:t>takes the distribution out to 20% (</w:t>
      </w:r>
      <w:r w:rsidR="00281CF4" w:rsidRPr="00C03BB5">
        <w:t xml:space="preserve">i.e. </w:t>
      </w:r>
      <w:r w:rsidRPr="00C03BB5">
        <w:t>there is a 20% chance that the central deep red band or the next deepest shade band will occur); and so on, in steps of 10 percentage points until the outermost</w:t>
      </w:r>
      <w:r w:rsidR="00281CF4" w:rsidRPr="00C03BB5">
        <w:t xml:space="preserve"> (lightest shade of red) </w:t>
      </w:r>
      <w:r w:rsidRPr="00C03BB5">
        <w:t>band which takes the distribution to the 99% percentile (i.e. there is a 99% chance that the projection will be within all bands shown on the graph).</w:t>
      </w:r>
    </w:p>
    <w:p w14:paraId="2B9F8F8B" w14:textId="1F902D8E" w:rsidR="005955F3" w:rsidRPr="00C03BB5" w:rsidRDefault="00281CF4" w:rsidP="005A4EF0">
      <w:pPr>
        <w:numPr>
          <w:ilvl w:val="0"/>
          <w:numId w:val="32"/>
        </w:numPr>
        <w:spacing w:after="160" w:line="259" w:lineRule="auto"/>
        <w:ind w:firstLine="0"/>
      </w:pPr>
      <w:r w:rsidRPr="00C03BB5">
        <w:t>T</w:t>
      </w:r>
      <w:r w:rsidR="005955F3" w:rsidRPr="00C03BB5">
        <w:t xml:space="preserve">he median projection is that the capital of AgRe will grow by approx. 40% by year five to approx. Tugrik 29 billion.  This growth is driven by growing the premiums, investment returns </w:t>
      </w:r>
      <w:r w:rsidRPr="00C03BB5">
        <w:lastRenderedPageBreak/>
        <w:t xml:space="preserve">on assets </w:t>
      </w:r>
      <w:r w:rsidR="005955F3" w:rsidRPr="00C03BB5">
        <w:t xml:space="preserve">and </w:t>
      </w:r>
      <w:r w:rsidRPr="00C03BB5">
        <w:t xml:space="preserve">the application of </w:t>
      </w:r>
      <w:r w:rsidR="005955F3" w:rsidRPr="00C03BB5">
        <w:t xml:space="preserve">a sound reinsurance strategy.  This </w:t>
      </w:r>
      <w:r w:rsidRPr="00C03BB5">
        <w:t xml:space="preserve">represents good expected </w:t>
      </w:r>
      <w:r w:rsidR="005955F3" w:rsidRPr="00C03BB5">
        <w:t xml:space="preserve">outcome for AgRe, </w:t>
      </w:r>
      <w:r w:rsidRPr="00C03BB5">
        <w:t xml:space="preserve">and </w:t>
      </w:r>
      <w:r w:rsidR="005955F3" w:rsidRPr="00C03BB5">
        <w:t>shows that it is likely to be sustainable in the mid-long term.</w:t>
      </w:r>
    </w:p>
    <w:p w14:paraId="23528CCF" w14:textId="13E3682C" w:rsidR="005955F3" w:rsidRPr="00C03BB5" w:rsidRDefault="004E5736" w:rsidP="005A4EF0">
      <w:pPr>
        <w:numPr>
          <w:ilvl w:val="0"/>
          <w:numId w:val="32"/>
        </w:numPr>
        <w:spacing w:after="160" w:line="259" w:lineRule="auto"/>
        <w:ind w:firstLine="0"/>
      </w:pPr>
      <w:r w:rsidRPr="00C03BB5">
        <w:t>There is a</w:t>
      </w:r>
      <w:r w:rsidR="00CB292B" w:rsidRPr="00C03BB5">
        <w:t>n</w:t>
      </w:r>
      <w:r w:rsidRPr="00C03BB5">
        <w:t xml:space="preserve"> </w:t>
      </w:r>
      <w:r w:rsidR="005955F3" w:rsidRPr="00C03BB5">
        <w:t xml:space="preserve">8% chance that the capital will be less than the Tugrik 20bn, the </w:t>
      </w:r>
      <w:r w:rsidRPr="00C03BB5">
        <w:t xml:space="preserve">assumed starting level of </w:t>
      </w:r>
      <w:r w:rsidR="005955F3" w:rsidRPr="00C03BB5">
        <w:t>capitalization of AgRe</w:t>
      </w:r>
      <w:r w:rsidRPr="00C03BB5">
        <w:t xml:space="preserve">.  In other words, there is a </w:t>
      </w:r>
      <w:r w:rsidR="005955F3" w:rsidRPr="00C03BB5">
        <w:t xml:space="preserve">92% chance that after five years AgRe will maintain its level of capital.  This again </w:t>
      </w:r>
      <w:r w:rsidRPr="00C03BB5">
        <w:t>represents a good outcome for AgRe, and again displays that it is highly likely AgRe will be sustainable in the mid-long term.</w:t>
      </w:r>
    </w:p>
    <w:p w14:paraId="30F0955A" w14:textId="3929ABCF" w:rsidR="005955F3" w:rsidRPr="00C03BB5" w:rsidRDefault="00695C05" w:rsidP="005A4EF0">
      <w:pPr>
        <w:numPr>
          <w:ilvl w:val="0"/>
          <w:numId w:val="32"/>
        </w:numPr>
        <w:spacing w:after="160" w:line="259" w:lineRule="auto"/>
        <w:ind w:firstLine="0"/>
      </w:pPr>
      <w:r w:rsidRPr="00C03BB5">
        <w:t>T</w:t>
      </w:r>
      <w:r w:rsidR="005955F3" w:rsidRPr="00C03BB5">
        <w:t xml:space="preserve">here </w:t>
      </w:r>
      <w:r w:rsidRPr="00C03BB5">
        <w:t xml:space="preserve">less than </w:t>
      </w:r>
      <w:r w:rsidR="005955F3" w:rsidRPr="00C03BB5">
        <w:t xml:space="preserve">a 1% chance that the capital </w:t>
      </w:r>
      <w:r w:rsidRPr="00C03BB5">
        <w:t xml:space="preserve">will be </w:t>
      </w:r>
      <w:r w:rsidR="005955F3" w:rsidRPr="00C03BB5">
        <w:t xml:space="preserve">depleted by year five.  </w:t>
      </w:r>
      <w:r w:rsidR="00CB292B" w:rsidRPr="00C03BB5">
        <w:t xml:space="preserve">Given </w:t>
      </w:r>
      <w:r w:rsidR="005955F3" w:rsidRPr="00C03BB5">
        <w:t xml:space="preserve">AgRe is </w:t>
      </w:r>
      <w:r w:rsidR="00CB292B" w:rsidRPr="00C03BB5">
        <w:t xml:space="preserve">a (re)insurance company, it should be </w:t>
      </w:r>
      <w:r w:rsidR="005955F3" w:rsidRPr="00C03BB5">
        <w:t>in the business of taking on and managing risk</w:t>
      </w:r>
      <w:r w:rsidR="00CB292B" w:rsidRPr="00C03BB5">
        <w:t xml:space="preserve">.  Thus </w:t>
      </w:r>
      <w:r w:rsidR="005955F3" w:rsidRPr="00C03BB5">
        <w:t>it should be</w:t>
      </w:r>
      <w:r w:rsidR="00CB292B" w:rsidRPr="00C03BB5">
        <w:t xml:space="preserve"> case</w:t>
      </w:r>
      <w:r w:rsidR="005955F3" w:rsidRPr="00C03BB5">
        <w:t xml:space="preserve">, and indeed is desirable, that the probability of depletion of capital is greater than zero over a five year time horizon.  This </w:t>
      </w:r>
      <w:r w:rsidRPr="00C03BB5">
        <w:t xml:space="preserve">demonstrates </w:t>
      </w:r>
      <w:r w:rsidR="005955F3" w:rsidRPr="00C03BB5">
        <w:t>that AgRe is indeed taking on and managing risk</w:t>
      </w:r>
      <w:r w:rsidR="00CB292B" w:rsidRPr="00C03BB5">
        <w:t xml:space="preserve"> in a calculated and strategic manner – on the one hand, reinsurance is good as it helps remove risk from the balance sheet.  On the other hand, reinsurance is costly so can impact the profitability of a company is too much risk is transferred to their markets.  AgRe appears to be striking this balance well, effectively using the capital it has been given by GoM to take on risk, and then ceding the more catastrophe risk to the reinsurance markets to protect its balance sheet (and capital) from extreme losses.</w:t>
      </w:r>
    </w:p>
    <w:p w14:paraId="189E615C" w14:textId="77777777" w:rsidR="005955F3" w:rsidRPr="00C03BB5" w:rsidRDefault="005955F3" w:rsidP="005955F3">
      <w:pPr>
        <w:pStyle w:val="ListBullet"/>
        <w:numPr>
          <w:ilvl w:val="0"/>
          <w:numId w:val="0"/>
        </w:numPr>
        <w:ind w:left="360" w:hanging="360"/>
      </w:pPr>
    </w:p>
    <w:p w14:paraId="0F09BABA" w14:textId="77777777" w:rsidR="005955F3" w:rsidRPr="00C03BB5" w:rsidRDefault="005955F3" w:rsidP="005955F3">
      <w:pPr>
        <w:pStyle w:val="ListBullet"/>
        <w:numPr>
          <w:ilvl w:val="0"/>
          <w:numId w:val="0"/>
        </w:numPr>
        <w:ind w:left="360" w:hanging="360"/>
      </w:pPr>
      <w:r w:rsidRPr="00C03BB5">
        <w:t>Assumptions of the model:</w:t>
      </w:r>
    </w:p>
    <w:p w14:paraId="034D1CCF" w14:textId="15F5640C" w:rsidR="005955F3" w:rsidRPr="00C03BB5" w:rsidRDefault="005955F3" w:rsidP="005955F3">
      <w:pPr>
        <w:pStyle w:val="ListBullet"/>
      </w:pPr>
      <w:r w:rsidRPr="00C03BB5">
        <w:t xml:space="preserve">Capital at year 1: </w:t>
      </w:r>
      <w:r w:rsidR="007452B7" w:rsidRPr="00C03BB5">
        <w:t xml:space="preserve">Tugrik </w:t>
      </w:r>
      <w:r w:rsidRPr="00C03BB5">
        <w:t>20</w:t>
      </w:r>
      <w:r w:rsidR="007452B7" w:rsidRPr="00C03BB5">
        <w:t xml:space="preserve"> billion </w:t>
      </w:r>
    </w:p>
    <w:p w14:paraId="4056DD42" w14:textId="517CA5DB" w:rsidR="005955F3" w:rsidRPr="00C03BB5" w:rsidRDefault="005955F3" w:rsidP="005955F3">
      <w:pPr>
        <w:pStyle w:val="ListBullet"/>
      </w:pPr>
      <w:r w:rsidRPr="00C03BB5">
        <w:t xml:space="preserve">Annual </w:t>
      </w:r>
      <w:r w:rsidR="007452B7" w:rsidRPr="00C03BB5">
        <w:t>i</w:t>
      </w:r>
      <w:r w:rsidRPr="00C03BB5">
        <w:t xml:space="preserve">nterest </w:t>
      </w:r>
      <w:r w:rsidR="007452B7" w:rsidRPr="00C03BB5">
        <w:t>r</w:t>
      </w:r>
      <w:r w:rsidRPr="00C03BB5">
        <w:t>ate on retained capital: 3%</w:t>
      </w:r>
    </w:p>
    <w:p w14:paraId="5F72FF53" w14:textId="77777777" w:rsidR="005955F3" w:rsidRPr="00C03BB5" w:rsidRDefault="005955F3" w:rsidP="005955F3">
      <w:pPr>
        <w:pStyle w:val="ListBullet"/>
      </w:pPr>
      <w:r w:rsidRPr="00C03BB5">
        <w:t>Reinsurance attachment (expressed as a loss ratio): 56%</w:t>
      </w:r>
    </w:p>
    <w:p w14:paraId="59B9F588" w14:textId="77777777" w:rsidR="005955F3" w:rsidRPr="00C03BB5" w:rsidRDefault="005955F3" w:rsidP="005955F3">
      <w:pPr>
        <w:pStyle w:val="ListBullet"/>
      </w:pPr>
      <w:r w:rsidRPr="00C03BB5">
        <w:t>Reinsurance exhaustion point (expressed as a loss ratio):202%</w:t>
      </w:r>
    </w:p>
    <w:p w14:paraId="4E0D4F34" w14:textId="77777777" w:rsidR="005955F3" w:rsidRPr="00C03BB5" w:rsidRDefault="005955F3" w:rsidP="005955F3">
      <w:pPr>
        <w:pStyle w:val="ListBullet"/>
      </w:pPr>
      <w:r w:rsidRPr="00C03BB5">
        <w:t>Reinsurance Multiple (multiplied times the expected loss to calculate the reinsurance premium): 2</w:t>
      </w:r>
    </w:p>
    <w:p w14:paraId="6FA44DD6" w14:textId="57D3174D" w:rsidR="005955F3" w:rsidRPr="00C03BB5" w:rsidRDefault="005955F3" w:rsidP="005955F3">
      <w:pPr>
        <w:pStyle w:val="ListBullet"/>
      </w:pPr>
      <w:r w:rsidRPr="00C03BB5">
        <w:t xml:space="preserve">Gross premiums in 2015: </w:t>
      </w:r>
      <w:r w:rsidR="007452B7" w:rsidRPr="00C03BB5">
        <w:t xml:space="preserve">Tugrik </w:t>
      </w:r>
      <w:r w:rsidRPr="00C03BB5">
        <w:t>1</w:t>
      </w:r>
      <w:r w:rsidR="007452B7" w:rsidRPr="00C03BB5">
        <w:t>.</w:t>
      </w:r>
      <w:r w:rsidRPr="00C03BB5">
        <w:t>3</w:t>
      </w:r>
      <w:r w:rsidR="007452B7" w:rsidRPr="00C03BB5">
        <w:t xml:space="preserve"> billion </w:t>
      </w:r>
    </w:p>
    <w:p w14:paraId="0D4B03AE" w14:textId="77777777" w:rsidR="005955F3" w:rsidRPr="00C03BB5" w:rsidRDefault="005955F3" w:rsidP="005955F3">
      <w:pPr>
        <w:pStyle w:val="ListBullet"/>
      </w:pPr>
      <w:r w:rsidRPr="00C03BB5">
        <w:t>Annual premium growth rate: 15%</w:t>
      </w:r>
    </w:p>
    <w:p w14:paraId="5D199E06" w14:textId="77777777" w:rsidR="004B664D" w:rsidRPr="00C03BB5" w:rsidRDefault="004B664D" w:rsidP="004B664D">
      <w:pPr>
        <w:spacing w:after="240" w:line="259" w:lineRule="auto"/>
        <w:jc w:val="center"/>
        <w:rPr>
          <w:rFonts w:eastAsia="Calibri"/>
          <w:b/>
          <w:sz w:val="22"/>
          <w:szCs w:val="22"/>
          <w:lang w:eastAsia="en-US"/>
        </w:rPr>
      </w:pPr>
    </w:p>
    <w:p w14:paraId="71450636" w14:textId="77777777" w:rsidR="00C67D43" w:rsidRPr="00C03BB5" w:rsidRDefault="00C67D43" w:rsidP="00C67D43"/>
    <w:p w14:paraId="000C26A7" w14:textId="7DA548F7" w:rsidR="008374D5" w:rsidRDefault="00E03DE1" w:rsidP="005A4EF0">
      <w:pPr>
        <w:pStyle w:val="Heading2"/>
        <w:jc w:val="center"/>
      </w:pPr>
      <w:r w:rsidRPr="00C03BB5">
        <w:br w:type="page"/>
      </w:r>
      <w:bookmarkStart w:id="208" w:name="_IL18"/>
      <w:bookmarkStart w:id="209" w:name="_Toc158019380"/>
      <w:bookmarkStart w:id="210" w:name="_Toc456784548"/>
      <w:r w:rsidR="008374D5">
        <w:lastRenderedPageBreak/>
        <w:t xml:space="preserve">Annex 4. </w:t>
      </w:r>
      <w:bookmarkStart w:id="211" w:name="ANN4_RE_LBL"/>
      <w:r w:rsidR="008374D5">
        <w:t>Bank Lending and Implementation Support/Supervision Processes</w:t>
      </w:r>
      <w:bookmarkEnd w:id="208"/>
      <w:bookmarkEnd w:id="209"/>
      <w:bookmarkEnd w:id="210"/>
      <w:bookmarkEnd w:id="211"/>
    </w:p>
    <w:p w14:paraId="6D3390D5" w14:textId="77777777" w:rsidR="008374D5" w:rsidRDefault="008374D5" w:rsidP="00CD3651"/>
    <w:p w14:paraId="6E48361C" w14:textId="77777777" w:rsidR="008374D5" w:rsidRDefault="008374D5" w:rsidP="00CD3651">
      <w:pPr>
        <w:pStyle w:val="Heading3"/>
      </w:pPr>
      <w:bookmarkStart w:id="212" w:name="_Toc456784549"/>
      <w:r>
        <w:t>(a) Task Team members</w:t>
      </w:r>
      <w:bookmarkEnd w:id="212"/>
    </w:p>
    <w:tbl>
      <w:tblPr>
        <w:tblW w:w="5000" w:type="pct"/>
        <w:tblLayout w:type="fixed"/>
        <w:tblCellMar>
          <w:top w:w="10" w:type="dxa"/>
          <w:left w:w="10" w:type="dxa"/>
          <w:bottom w:w="10" w:type="dxa"/>
          <w:right w:w="10" w:type="dxa"/>
        </w:tblCellMar>
        <w:tblLook w:val="0000" w:firstRow="0" w:lastRow="0" w:firstColumn="0" w:lastColumn="0" w:noHBand="0" w:noVBand="0"/>
      </w:tblPr>
      <w:tblGrid>
        <w:gridCol w:w="2926"/>
        <w:gridCol w:w="3501"/>
        <w:gridCol w:w="974"/>
        <w:gridCol w:w="1949"/>
      </w:tblGrid>
      <w:tr w:rsidR="008374D5" w14:paraId="48E90CAD" w14:textId="77777777" w:rsidTr="008374D5">
        <w:tc>
          <w:tcPr>
            <w:tcW w:w="156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6350CC07" w14:textId="77777777" w:rsidR="008374D5" w:rsidRDefault="008374D5" w:rsidP="00CD3651">
            <w:pPr>
              <w:jc w:val="center"/>
              <w:rPr>
                <w:b/>
                <w:bCs/>
                <w:color w:val="606060"/>
                <w:sz w:val="22"/>
                <w:szCs w:val="22"/>
              </w:rPr>
            </w:pPr>
            <w:r>
              <w:rPr>
                <w:b/>
                <w:bCs/>
                <w:color w:val="606060"/>
                <w:sz w:val="22"/>
                <w:szCs w:val="22"/>
              </w:rPr>
              <w:t>Names</w:t>
            </w:r>
          </w:p>
        </w:tc>
        <w:tc>
          <w:tcPr>
            <w:tcW w:w="1872"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2DB00C20" w14:textId="77777777" w:rsidR="008374D5" w:rsidRDefault="008374D5" w:rsidP="00CD3651">
            <w:pPr>
              <w:jc w:val="center"/>
              <w:rPr>
                <w:b/>
                <w:bCs/>
                <w:color w:val="606060"/>
                <w:sz w:val="22"/>
                <w:szCs w:val="22"/>
              </w:rPr>
            </w:pPr>
            <w:r>
              <w:rPr>
                <w:b/>
                <w:bCs/>
                <w:color w:val="606060"/>
                <w:sz w:val="22"/>
                <w:szCs w:val="22"/>
              </w:rPr>
              <w:t>Title</w:t>
            </w:r>
          </w:p>
        </w:tc>
        <w:tc>
          <w:tcPr>
            <w:tcW w:w="521"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5CDEA76" w14:textId="77777777" w:rsidR="008374D5" w:rsidRDefault="008374D5" w:rsidP="00CD3651">
            <w:pPr>
              <w:jc w:val="center"/>
              <w:rPr>
                <w:b/>
                <w:bCs/>
                <w:color w:val="606060"/>
                <w:sz w:val="22"/>
                <w:szCs w:val="22"/>
              </w:rPr>
            </w:pPr>
            <w:r>
              <w:rPr>
                <w:b/>
                <w:bCs/>
                <w:color w:val="606060"/>
                <w:sz w:val="22"/>
                <w:szCs w:val="22"/>
              </w:rPr>
              <w:t>Unit</w:t>
            </w:r>
          </w:p>
        </w:tc>
        <w:tc>
          <w:tcPr>
            <w:tcW w:w="1042"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7A88B9B" w14:textId="77777777" w:rsidR="008374D5" w:rsidRDefault="008374D5" w:rsidP="00CD3651">
            <w:pPr>
              <w:jc w:val="center"/>
              <w:rPr>
                <w:b/>
                <w:bCs/>
                <w:color w:val="606060"/>
                <w:sz w:val="22"/>
                <w:szCs w:val="22"/>
              </w:rPr>
            </w:pPr>
            <w:r>
              <w:rPr>
                <w:b/>
                <w:bCs/>
                <w:color w:val="606060"/>
                <w:sz w:val="22"/>
                <w:szCs w:val="22"/>
              </w:rPr>
              <w:t>Responsibility/</w:t>
            </w:r>
          </w:p>
          <w:p w14:paraId="780091DF" w14:textId="77777777" w:rsidR="008374D5" w:rsidRDefault="008374D5" w:rsidP="00CD3651">
            <w:pPr>
              <w:jc w:val="center"/>
              <w:rPr>
                <w:b/>
                <w:bCs/>
                <w:color w:val="606060"/>
                <w:sz w:val="22"/>
                <w:szCs w:val="22"/>
              </w:rPr>
            </w:pPr>
            <w:r>
              <w:rPr>
                <w:b/>
                <w:bCs/>
                <w:color w:val="606060"/>
                <w:sz w:val="22"/>
                <w:szCs w:val="22"/>
              </w:rPr>
              <w:t>Specialty</w:t>
            </w:r>
          </w:p>
        </w:tc>
      </w:tr>
      <w:tr w:rsidR="008374D5" w14:paraId="796957C3" w14:textId="77777777" w:rsidTr="008374D5">
        <w:tc>
          <w:tcPr>
            <w:tcW w:w="5000" w:type="pct"/>
            <w:gridSpan w:val="4"/>
            <w:tcBorders>
              <w:top w:val="single" w:sz="4" w:space="0" w:color="B1B1B1"/>
              <w:left w:val="single" w:sz="4" w:space="0" w:color="B1B1B1"/>
              <w:bottom w:val="single" w:sz="4" w:space="0" w:color="B1B1B1"/>
              <w:right w:val="single" w:sz="4" w:space="0" w:color="B1B1B1"/>
            </w:tcBorders>
            <w:vAlign w:val="center"/>
          </w:tcPr>
          <w:p w14:paraId="2F981BA5" w14:textId="77777777" w:rsidR="008374D5" w:rsidRDefault="008374D5" w:rsidP="00CD3651">
            <w:pPr>
              <w:spacing w:line="200" w:lineRule="atLeast"/>
              <w:rPr>
                <w:color w:val="000000"/>
                <w:sz w:val="22"/>
                <w:szCs w:val="22"/>
              </w:rPr>
            </w:pPr>
            <w:bookmarkStart w:id="213" w:name="ANN4a_RE_LBL"/>
            <w:r>
              <w:rPr>
                <w:rStyle w:val="Strong"/>
                <w:color w:val="000000"/>
                <w:sz w:val="22"/>
                <w:szCs w:val="22"/>
              </w:rPr>
              <w:t>Lending</w:t>
            </w:r>
            <w:bookmarkEnd w:id="213"/>
          </w:p>
        </w:tc>
      </w:tr>
      <w:tr w:rsidR="00772F11" w14:paraId="04FB2D32"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958D756" w14:textId="77777777" w:rsidR="00772F11" w:rsidRPr="008374D5" w:rsidRDefault="00772F11">
            <w:pPr>
              <w:spacing w:line="200" w:lineRule="atLeast"/>
              <w:rPr>
                <w:color w:val="000000"/>
                <w:sz w:val="20"/>
                <w:szCs w:val="20"/>
              </w:rPr>
            </w:pPr>
            <w:r>
              <w:rPr>
                <w:color w:val="000000"/>
                <w:sz w:val="20"/>
                <w:szCs w:val="20"/>
              </w:rPr>
              <w:t xml:space="preserve"> Evelyn Bautista-Laguidao</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049F60E" w14:textId="77777777" w:rsidR="00772F11" w:rsidRPr="008374D5" w:rsidRDefault="00772F11">
            <w:pPr>
              <w:spacing w:line="200" w:lineRule="atLeast"/>
              <w:rPr>
                <w:color w:val="000000"/>
                <w:sz w:val="20"/>
                <w:szCs w:val="20"/>
              </w:rPr>
            </w:pPr>
            <w:r>
              <w:rPr>
                <w:color w:val="000000"/>
                <w:sz w:val="20"/>
                <w:szCs w:val="20"/>
              </w:rPr>
              <w:t>Senior Executive Assistant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0713B91" w14:textId="77777777" w:rsidR="00772F11" w:rsidRPr="008374D5" w:rsidRDefault="00772F11">
            <w:pPr>
              <w:spacing w:line="200" w:lineRule="atLeast"/>
              <w:jc w:val="center"/>
              <w:rPr>
                <w:color w:val="000000"/>
                <w:sz w:val="20"/>
                <w:szCs w:val="20"/>
              </w:rPr>
            </w:pPr>
            <w:r>
              <w:rPr>
                <w:color w:val="000000"/>
                <w:sz w:val="20"/>
                <w:szCs w:val="20"/>
              </w:rPr>
              <w:t>CROVP</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3072AA1" w14:textId="77777777" w:rsidR="00772F11" w:rsidRPr="008374D5" w:rsidRDefault="00772F11">
            <w:pPr>
              <w:spacing w:line="200" w:lineRule="atLeast"/>
              <w:rPr>
                <w:color w:val="000000"/>
                <w:sz w:val="20"/>
                <w:szCs w:val="20"/>
              </w:rPr>
            </w:pPr>
          </w:p>
        </w:tc>
      </w:tr>
      <w:tr w:rsidR="00772F11" w14:paraId="2EA7B3AC"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3018E50" w14:textId="77777777" w:rsidR="00772F11" w:rsidRPr="008374D5" w:rsidRDefault="00772F11">
            <w:pPr>
              <w:spacing w:line="200" w:lineRule="atLeast"/>
              <w:rPr>
                <w:color w:val="000000"/>
                <w:sz w:val="20"/>
                <w:szCs w:val="20"/>
              </w:rPr>
            </w:pPr>
            <w:r>
              <w:rPr>
                <w:color w:val="000000"/>
                <w:sz w:val="20"/>
                <w:szCs w:val="20"/>
              </w:rPr>
              <w:t xml:space="preserve"> Davaanyam Bayartsogt</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DBD60E9" w14:textId="77777777" w:rsidR="00772F11" w:rsidRPr="008374D5" w:rsidRDefault="00772F11">
            <w:pPr>
              <w:spacing w:line="200" w:lineRule="atLeast"/>
              <w:rPr>
                <w:color w:val="000000"/>
                <w:sz w:val="20"/>
                <w:szCs w:val="20"/>
              </w:rPr>
            </w:pPr>
            <w:r>
              <w:rPr>
                <w:color w:val="000000"/>
                <w:sz w:val="20"/>
                <w:szCs w:val="20"/>
              </w:rPr>
              <w:t>Consultant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53BC048" w14:textId="77777777" w:rsidR="00772F11" w:rsidRPr="008374D5" w:rsidRDefault="00772F11">
            <w:pPr>
              <w:spacing w:line="200" w:lineRule="atLeast"/>
              <w:jc w:val="center"/>
              <w:rPr>
                <w:color w:val="000000"/>
                <w:sz w:val="20"/>
                <w:szCs w:val="20"/>
              </w:rPr>
            </w:pPr>
            <w:r>
              <w:rPr>
                <w:color w:val="000000"/>
                <w:sz w:val="20"/>
                <w:szCs w:val="20"/>
              </w:rPr>
              <w:t>EACMF</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04C6ABE" w14:textId="77777777" w:rsidR="00772F11" w:rsidRPr="008374D5" w:rsidRDefault="00772F11">
            <w:pPr>
              <w:spacing w:line="200" w:lineRule="atLeast"/>
              <w:rPr>
                <w:color w:val="000000"/>
                <w:sz w:val="20"/>
                <w:szCs w:val="20"/>
              </w:rPr>
            </w:pPr>
          </w:p>
        </w:tc>
      </w:tr>
      <w:tr w:rsidR="00772F11" w14:paraId="2DDB5DFB"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2A48D3F" w14:textId="77777777" w:rsidR="00772F11" w:rsidRPr="008374D5" w:rsidRDefault="00772F11">
            <w:pPr>
              <w:spacing w:line="200" w:lineRule="atLeast"/>
              <w:rPr>
                <w:color w:val="000000"/>
                <w:sz w:val="20"/>
                <w:szCs w:val="20"/>
              </w:rPr>
            </w:pPr>
            <w:r>
              <w:rPr>
                <w:color w:val="000000"/>
                <w:sz w:val="20"/>
                <w:szCs w:val="20"/>
              </w:rPr>
              <w:t xml:space="preserve"> Nathan M. Belete</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DCB99D5" w14:textId="77777777" w:rsidR="00772F11" w:rsidRPr="008374D5" w:rsidRDefault="00772F11">
            <w:pPr>
              <w:spacing w:line="200" w:lineRule="atLeast"/>
              <w:rPr>
                <w:color w:val="000000"/>
                <w:sz w:val="20"/>
                <w:szCs w:val="20"/>
              </w:rPr>
            </w:pPr>
            <w:r>
              <w:rPr>
                <w:color w:val="000000"/>
                <w:sz w:val="20"/>
                <w:szCs w:val="20"/>
              </w:rPr>
              <w:t>Sector Manager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6D9423D" w14:textId="77777777" w:rsidR="00772F11" w:rsidRPr="008374D5" w:rsidRDefault="00772F11">
            <w:pPr>
              <w:spacing w:line="200" w:lineRule="atLeast"/>
              <w:jc w:val="center"/>
              <w:rPr>
                <w:color w:val="000000"/>
                <w:sz w:val="20"/>
                <w:szCs w:val="20"/>
              </w:rPr>
            </w:pPr>
            <w:r>
              <w:rPr>
                <w:color w:val="000000"/>
                <w:sz w:val="20"/>
                <w:szCs w:val="20"/>
              </w:rPr>
              <w:t>EASIS</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7CF1167" w14:textId="77777777" w:rsidR="00772F11" w:rsidRPr="008374D5" w:rsidRDefault="00772F11">
            <w:pPr>
              <w:spacing w:line="200" w:lineRule="atLeast"/>
              <w:rPr>
                <w:color w:val="000000"/>
                <w:sz w:val="20"/>
                <w:szCs w:val="20"/>
              </w:rPr>
            </w:pPr>
          </w:p>
        </w:tc>
      </w:tr>
      <w:tr w:rsidR="00772F11" w14:paraId="7DD03A6A"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3B13D8D" w14:textId="77777777" w:rsidR="00772F11" w:rsidRPr="008374D5" w:rsidRDefault="00772F11">
            <w:pPr>
              <w:spacing w:line="200" w:lineRule="atLeast"/>
              <w:rPr>
                <w:color w:val="000000"/>
                <w:sz w:val="20"/>
                <w:szCs w:val="20"/>
              </w:rPr>
            </w:pPr>
            <w:r>
              <w:rPr>
                <w:color w:val="000000"/>
                <w:sz w:val="20"/>
                <w:szCs w:val="20"/>
              </w:rPr>
              <w:t xml:space="preserve"> Yi Dong</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1931C1E" w14:textId="77777777" w:rsidR="00772F11" w:rsidRPr="008374D5" w:rsidRDefault="00772F11">
            <w:pPr>
              <w:spacing w:line="200" w:lineRule="atLeast"/>
              <w:rPr>
                <w:color w:val="000000"/>
                <w:sz w:val="20"/>
                <w:szCs w:val="20"/>
              </w:rPr>
            </w:pPr>
            <w:r>
              <w:rPr>
                <w:color w:val="000000"/>
                <w:sz w:val="20"/>
                <w:szCs w:val="20"/>
              </w:rPr>
              <w:t>Sr Financial Management Specia</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3AA9932" w14:textId="77777777" w:rsidR="00772F11" w:rsidRPr="008374D5" w:rsidRDefault="00772F11">
            <w:pPr>
              <w:spacing w:line="200" w:lineRule="atLeast"/>
              <w:jc w:val="center"/>
              <w:rPr>
                <w:color w:val="000000"/>
                <w:sz w:val="20"/>
                <w:szCs w:val="20"/>
              </w:rPr>
            </w:pPr>
            <w:r>
              <w:rPr>
                <w:color w:val="000000"/>
                <w:sz w:val="20"/>
                <w:szCs w:val="20"/>
              </w:rPr>
              <w:t>EASFM</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2C3D507" w14:textId="77777777" w:rsidR="00772F11" w:rsidRPr="008374D5" w:rsidRDefault="00772F11">
            <w:pPr>
              <w:spacing w:line="200" w:lineRule="atLeast"/>
              <w:rPr>
                <w:color w:val="000000"/>
                <w:sz w:val="20"/>
                <w:szCs w:val="20"/>
              </w:rPr>
            </w:pPr>
          </w:p>
        </w:tc>
      </w:tr>
      <w:tr w:rsidR="00772F11" w14:paraId="48671C1F"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85E02A6" w14:textId="77777777" w:rsidR="00772F11" w:rsidRPr="008374D5" w:rsidRDefault="00772F11">
            <w:pPr>
              <w:spacing w:line="200" w:lineRule="atLeast"/>
              <w:rPr>
                <w:color w:val="000000"/>
                <w:sz w:val="20"/>
                <w:szCs w:val="20"/>
              </w:rPr>
            </w:pPr>
            <w:r>
              <w:rPr>
                <w:color w:val="000000"/>
                <w:sz w:val="20"/>
                <w:szCs w:val="20"/>
              </w:rPr>
              <w:t xml:space="preserve"> Daniel R. Gibson</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99863D0" w14:textId="77777777" w:rsidR="00772F11" w:rsidRPr="008374D5" w:rsidRDefault="00772F11">
            <w:pPr>
              <w:spacing w:line="200" w:lineRule="atLeast"/>
              <w:rPr>
                <w:color w:val="000000"/>
                <w:sz w:val="20"/>
                <w:szCs w:val="20"/>
              </w:rPr>
            </w:pPr>
            <w:r>
              <w:rPr>
                <w:color w:val="000000"/>
                <w:sz w:val="20"/>
                <w:szCs w:val="20"/>
              </w:rPr>
              <w:t>Consultant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639DD4F" w14:textId="77777777" w:rsidR="00772F11" w:rsidRPr="008374D5" w:rsidRDefault="00772F11">
            <w:pPr>
              <w:spacing w:line="200" w:lineRule="atLeast"/>
              <w:jc w:val="center"/>
              <w:rPr>
                <w:color w:val="000000"/>
                <w:sz w:val="20"/>
                <w:szCs w:val="20"/>
              </w:rPr>
            </w:pPr>
            <w:r>
              <w:rPr>
                <w:color w:val="000000"/>
                <w:sz w:val="20"/>
                <w:szCs w:val="20"/>
              </w:rPr>
              <w:t>EASDE</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4EBE2C2" w14:textId="77777777" w:rsidR="00772F11" w:rsidRPr="008374D5" w:rsidRDefault="00772F11">
            <w:pPr>
              <w:spacing w:line="200" w:lineRule="atLeast"/>
              <w:rPr>
                <w:color w:val="000000"/>
                <w:sz w:val="20"/>
                <w:szCs w:val="20"/>
              </w:rPr>
            </w:pPr>
          </w:p>
        </w:tc>
      </w:tr>
      <w:tr w:rsidR="00772F11" w14:paraId="35AC57EB"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6AE9D77" w14:textId="77777777" w:rsidR="00772F11" w:rsidRPr="008374D5" w:rsidRDefault="00772F11">
            <w:pPr>
              <w:spacing w:line="200" w:lineRule="atLeast"/>
              <w:rPr>
                <w:color w:val="000000"/>
                <w:sz w:val="20"/>
                <w:szCs w:val="20"/>
              </w:rPr>
            </w:pPr>
            <w:r>
              <w:rPr>
                <w:color w:val="000000"/>
                <w:sz w:val="20"/>
                <w:szCs w:val="20"/>
              </w:rPr>
              <w:t xml:space="preserve"> Andrew D. Goodland</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3DBADA7" w14:textId="77777777" w:rsidR="00772F11" w:rsidRPr="008374D5" w:rsidRDefault="00772F11">
            <w:pPr>
              <w:spacing w:line="200" w:lineRule="atLeast"/>
              <w:rPr>
                <w:color w:val="000000"/>
                <w:sz w:val="20"/>
                <w:szCs w:val="20"/>
              </w:rPr>
            </w:pPr>
            <w:r>
              <w:rPr>
                <w:color w:val="000000"/>
                <w:sz w:val="20"/>
                <w:szCs w:val="20"/>
              </w:rPr>
              <w:t>Senior Agriculture Economist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DA1CE2F" w14:textId="77777777" w:rsidR="00772F11" w:rsidRPr="008374D5" w:rsidRDefault="00772F11">
            <w:pPr>
              <w:spacing w:line="200" w:lineRule="atLeast"/>
              <w:jc w:val="center"/>
              <w:rPr>
                <w:color w:val="000000"/>
                <w:sz w:val="20"/>
                <w:szCs w:val="20"/>
              </w:rPr>
            </w:pPr>
            <w:r>
              <w:rPr>
                <w:color w:val="000000"/>
                <w:sz w:val="20"/>
                <w:szCs w:val="20"/>
              </w:rPr>
              <w:t>AFTA3</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36FDE34" w14:textId="77777777" w:rsidR="00772F11" w:rsidRPr="008374D5" w:rsidRDefault="00772F11">
            <w:pPr>
              <w:spacing w:line="200" w:lineRule="atLeast"/>
              <w:rPr>
                <w:color w:val="000000"/>
                <w:sz w:val="20"/>
                <w:szCs w:val="20"/>
              </w:rPr>
            </w:pPr>
          </w:p>
        </w:tc>
      </w:tr>
      <w:tr w:rsidR="00772F11" w14:paraId="212677A9"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FB5A2D8" w14:textId="77777777" w:rsidR="00772F11" w:rsidRPr="008374D5" w:rsidRDefault="00772F11">
            <w:pPr>
              <w:spacing w:line="200" w:lineRule="atLeast"/>
              <w:rPr>
                <w:color w:val="000000"/>
                <w:sz w:val="20"/>
                <w:szCs w:val="20"/>
              </w:rPr>
            </w:pPr>
            <w:r>
              <w:rPr>
                <w:color w:val="000000"/>
                <w:sz w:val="20"/>
                <w:szCs w:val="20"/>
              </w:rPr>
              <w:t xml:space="preserve"> Natasha Hayward</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6351574" w14:textId="77777777" w:rsidR="00772F11" w:rsidRPr="008374D5" w:rsidRDefault="00772F11">
            <w:pPr>
              <w:spacing w:line="200" w:lineRule="atLeast"/>
              <w:rPr>
                <w:color w:val="000000"/>
                <w:sz w:val="20"/>
                <w:szCs w:val="20"/>
              </w:rPr>
            </w:pPr>
            <w:r>
              <w:rPr>
                <w:color w:val="000000"/>
                <w:sz w:val="20"/>
                <w:szCs w:val="20"/>
              </w:rPr>
              <w:t>Senior Social Development Spec</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84ECF1" w14:textId="77777777" w:rsidR="00772F11" w:rsidRPr="008374D5" w:rsidRDefault="00772F11">
            <w:pPr>
              <w:spacing w:line="200" w:lineRule="atLeast"/>
              <w:jc w:val="center"/>
              <w:rPr>
                <w:color w:val="000000"/>
                <w:sz w:val="20"/>
                <w:szCs w:val="20"/>
              </w:rPr>
            </w:pPr>
            <w:r>
              <w:rPr>
                <w:color w:val="000000"/>
                <w:sz w:val="20"/>
                <w:szCs w:val="20"/>
              </w:rPr>
              <w:t>EASID</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F829F50" w14:textId="77777777" w:rsidR="00772F11" w:rsidRPr="008374D5" w:rsidRDefault="00772F11">
            <w:pPr>
              <w:spacing w:line="200" w:lineRule="atLeast"/>
              <w:rPr>
                <w:color w:val="000000"/>
                <w:sz w:val="20"/>
                <w:szCs w:val="20"/>
              </w:rPr>
            </w:pPr>
          </w:p>
        </w:tc>
      </w:tr>
      <w:tr w:rsidR="00772F11" w14:paraId="6A92A3C4"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BC95FB1" w14:textId="77777777" w:rsidR="00772F11" w:rsidRPr="008374D5" w:rsidRDefault="00772F11">
            <w:pPr>
              <w:spacing w:line="200" w:lineRule="atLeast"/>
              <w:rPr>
                <w:color w:val="000000"/>
                <w:sz w:val="20"/>
                <w:szCs w:val="20"/>
              </w:rPr>
            </w:pPr>
            <w:r>
              <w:rPr>
                <w:color w:val="000000"/>
                <w:sz w:val="20"/>
                <w:szCs w:val="20"/>
              </w:rPr>
              <w:t xml:space="preserve"> Rodney Lester</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768E636" w14:textId="77777777" w:rsidR="00772F11" w:rsidRPr="008374D5" w:rsidRDefault="00772F11">
            <w:pPr>
              <w:spacing w:line="200" w:lineRule="atLeast"/>
              <w:rPr>
                <w:color w:val="000000"/>
                <w:sz w:val="20"/>
                <w:szCs w:val="20"/>
              </w:rPr>
            </w:pPr>
            <w:r>
              <w:rPr>
                <w:color w:val="000000"/>
                <w:sz w:val="20"/>
                <w:szCs w:val="20"/>
              </w:rPr>
              <w:t>Consultant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E548872" w14:textId="77777777" w:rsidR="00772F11" w:rsidRPr="008374D5" w:rsidRDefault="00772F11">
            <w:pPr>
              <w:spacing w:line="200" w:lineRule="atLeast"/>
              <w:jc w:val="center"/>
              <w:rPr>
                <w:color w:val="000000"/>
                <w:sz w:val="20"/>
                <w:szCs w:val="20"/>
              </w:rPr>
            </w:pPr>
            <w:r>
              <w:rPr>
                <w:color w:val="000000"/>
                <w:sz w:val="20"/>
                <w:szCs w:val="20"/>
              </w:rPr>
              <w:t>LCSPF</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C036DA8" w14:textId="77777777" w:rsidR="00772F11" w:rsidRPr="008374D5" w:rsidRDefault="00772F11">
            <w:pPr>
              <w:spacing w:line="200" w:lineRule="atLeast"/>
              <w:rPr>
                <w:color w:val="000000"/>
                <w:sz w:val="20"/>
                <w:szCs w:val="20"/>
              </w:rPr>
            </w:pPr>
          </w:p>
        </w:tc>
      </w:tr>
      <w:tr w:rsidR="00772F11" w14:paraId="31D95197"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6A178F6" w14:textId="77777777" w:rsidR="00772F11" w:rsidRPr="008374D5" w:rsidRDefault="00772F11">
            <w:pPr>
              <w:spacing w:line="200" w:lineRule="atLeast"/>
              <w:rPr>
                <w:color w:val="000000"/>
                <w:sz w:val="20"/>
                <w:szCs w:val="20"/>
              </w:rPr>
            </w:pPr>
            <w:r>
              <w:rPr>
                <w:color w:val="000000"/>
                <w:sz w:val="20"/>
                <w:szCs w:val="20"/>
              </w:rPr>
              <w:t xml:space="preserve"> Xiaoping Li</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BAA3847" w14:textId="77777777" w:rsidR="00772F11" w:rsidRPr="008374D5" w:rsidRDefault="00772F11">
            <w:pPr>
              <w:spacing w:line="200" w:lineRule="atLeast"/>
              <w:rPr>
                <w:color w:val="000000"/>
                <w:sz w:val="20"/>
                <w:szCs w:val="20"/>
              </w:rPr>
            </w:pPr>
            <w:r>
              <w:rPr>
                <w:color w:val="000000"/>
                <w:sz w:val="20"/>
                <w:szCs w:val="20"/>
              </w:rPr>
              <w:t>Senior Procurement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C3DDD80" w14:textId="77777777" w:rsidR="00772F11" w:rsidRPr="008374D5" w:rsidRDefault="00772F11">
            <w:pPr>
              <w:spacing w:line="200" w:lineRule="atLeast"/>
              <w:jc w:val="center"/>
              <w:rPr>
                <w:color w:val="000000"/>
                <w:sz w:val="20"/>
                <w:szCs w:val="20"/>
              </w:rPr>
            </w:pPr>
            <w:r>
              <w:rPr>
                <w:color w:val="000000"/>
                <w:sz w:val="20"/>
                <w:szCs w:val="20"/>
              </w:rPr>
              <w:t>AFTPW</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C674BF2" w14:textId="77777777" w:rsidR="00772F11" w:rsidRPr="008374D5" w:rsidRDefault="00772F11">
            <w:pPr>
              <w:spacing w:line="200" w:lineRule="atLeast"/>
              <w:rPr>
                <w:color w:val="000000"/>
                <w:sz w:val="20"/>
                <w:szCs w:val="20"/>
              </w:rPr>
            </w:pPr>
          </w:p>
        </w:tc>
      </w:tr>
      <w:tr w:rsidR="00772F11" w14:paraId="0C5D9EA0"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91BDD0D" w14:textId="77777777" w:rsidR="00772F11" w:rsidRPr="008374D5" w:rsidRDefault="00772F11">
            <w:pPr>
              <w:spacing w:line="200" w:lineRule="atLeast"/>
              <w:rPr>
                <w:color w:val="000000"/>
                <w:sz w:val="20"/>
                <w:szCs w:val="20"/>
              </w:rPr>
            </w:pPr>
            <w:r>
              <w:rPr>
                <w:color w:val="000000"/>
                <w:sz w:val="20"/>
                <w:szCs w:val="20"/>
              </w:rPr>
              <w:t xml:space="preserve"> Olivier Mahul</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CFC3BB3" w14:textId="77777777" w:rsidR="00772F11" w:rsidRPr="008374D5" w:rsidRDefault="00772F11">
            <w:pPr>
              <w:spacing w:line="200" w:lineRule="atLeast"/>
              <w:rPr>
                <w:color w:val="000000"/>
                <w:sz w:val="20"/>
                <w:szCs w:val="20"/>
              </w:rPr>
            </w:pPr>
            <w:r>
              <w:rPr>
                <w:color w:val="000000"/>
                <w:sz w:val="20"/>
                <w:szCs w:val="20"/>
              </w:rPr>
              <w:t>Program Manager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38B2529" w14:textId="77777777" w:rsidR="00772F11" w:rsidRPr="008374D5" w:rsidRDefault="00772F11">
            <w:pPr>
              <w:spacing w:line="200" w:lineRule="atLeast"/>
              <w:jc w:val="center"/>
              <w:rPr>
                <w:color w:val="000000"/>
                <w:sz w:val="20"/>
                <w:szCs w:val="20"/>
              </w:rPr>
            </w:pPr>
            <w:r>
              <w:rPr>
                <w:color w:val="000000"/>
                <w:sz w:val="20"/>
                <w:szCs w:val="20"/>
              </w:rPr>
              <w:t>FCMNB</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C1D5548" w14:textId="77777777" w:rsidR="00772F11" w:rsidRPr="008374D5" w:rsidRDefault="00772F11">
            <w:pPr>
              <w:spacing w:line="200" w:lineRule="atLeast"/>
              <w:rPr>
                <w:color w:val="000000"/>
                <w:sz w:val="20"/>
                <w:szCs w:val="20"/>
              </w:rPr>
            </w:pPr>
          </w:p>
        </w:tc>
      </w:tr>
      <w:tr w:rsidR="00772F11" w14:paraId="612B9273" w14:textId="77777777">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E9B1027" w14:textId="77777777" w:rsidR="00772F11" w:rsidRPr="008374D5" w:rsidRDefault="00772F11">
            <w:pPr>
              <w:spacing w:line="200" w:lineRule="atLeast"/>
              <w:rPr>
                <w:color w:val="000000"/>
                <w:sz w:val="20"/>
                <w:szCs w:val="20"/>
              </w:rPr>
            </w:pPr>
            <w:r>
              <w:rPr>
                <w:color w:val="000000"/>
                <w:sz w:val="20"/>
                <w:szCs w:val="20"/>
              </w:rPr>
              <w:t xml:space="preserve"> </w:t>
            </w:r>
            <w:bookmarkStart w:id="214" w:name="TEAM_LEN_COL_1"/>
            <w:r>
              <w:rPr>
                <w:color w:val="000000"/>
                <w:sz w:val="20"/>
                <w:szCs w:val="20"/>
              </w:rPr>
              <w:t>Robin Mearns</w:t>
            </w:r>
            <w:bookmarkEnd w:id="214"/>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C79292" w14:textId="77777777" w:rsidR="00772F11" w:rsidRPr="008374D5" w:rsidRDefault="00772F11">
            <w:pPr>
              <w:spacing w:line="200" w:lineRule="atLeast"/>
              <w:rPr>
                <w:color w:val="000000"/>
                <w:sz w:val="20"/>
                <w:szCs w:val="20"/>
              </w:rPr>
            </w:pPr>
            <w:bookmarkStart w:id="215" w:name="TEAM_LEN_COL_2"/>
            <w:r>
              <w:rPr>
                <w:color w:val="000000"/>
                <w:sz w:val="20"/>
                <w:szCs w:val="20"/>
              </w:rPr>
              <w:t>Sector Leader</w:t>
            </w:r>
            <w:bookmarkEnd w:id="215"/>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C4E9BD2" w14:textId="77777777" w:rsidR="00772F11" w:rsidRPr="008374D5" w:rsidRDefault="00772F11">
            <w:pPr>
              <w:spacing w:line="200" w:lineRule="atLeast"/>
              <w:jc w:val="center"/>
              <w:rPr>
                <w:color w:val="000000"/>
                <w:sz w:val="20"/>
                <w:szCs w:val="20"/>
              </w:rPr>
            </w:pPr>
            <w:bookmarkStart w:id="216" w:name="TEAM_LEN_COL_3"/>
            <w:r>
              <w:rPr>
                <w:color w:val="000000"/>
                <w:sz w:val="20"/>
                <w:szCs w:val="20"/>
              </w:rPr>
              <w:t>AFTSN</w:t>
            </w:r>
            <w:bookmarkEnd w:id="216"/>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EBC8448" w14:textId="77777777" w:rsidR="00772F11" w:rsidRPr="008374D5" w:rsidRDefault="00772F11">
            <w:pPr>
              <w:spacing w:line="200" w:lineRule="atLeast"/>
              <w:rPr>
                <w:color w:val="000000"/>
                <w:sz w:val="20"/>
                <w:szCs w:val="20"/>
              </w:rPr>
            </w:pPr>
            <w:bookmarkStart w:id="217" w:name="TEAM_LEN_COL_4"/>
            <w:bookmarkEnd w:id="217"/>
          </w:p>
        </w:tc>
      </w:tr>
    </w:tbl>
    <w:p w14:paraId="5F9E2CE1" w14:textId="77777777" w:rsidR="008374D5" w:rsidRPr="008374D5" w:rsidRDefault="008374D5" w:rsidP="001C00E2">
      <w:pPr>
        <w:pBdr>
          <w:left w:val="single" w:sz="4" w:space="4" w:color="B1B1B1"/>
          <w:right w:val="single" w:sz="4" w:space="4" w:color="B1B1B1"/>
        </w:pBdr>
        <w:ind w:left="99" w:right="108"/>
        <w:rPr>
          <w:rStyle w:val="Strong"/>
          <w:color w:val="000000"/>
          <w:sz w:val="2"/>
          <w:szCs w:val="2"/>
        </w:rPr>
      </w:pPr>
      <w:bookmarkStart w:id="218" w:name="TEAM_LEN"/>
      <w:bookmarkEnd w:id="218"/>
    </w:p>
    <w:tbl>
      <w:tblPr>
        <w:tblW w:w="5000" w:type="pct"/>
        <w:tblLayout w:type="fixed"/>
        <w:tblCellMar>
          <w:top w:w="10" w:type="dxa"/>
          <w:left w:w="10" w:type="dxa"/>
          <w:bottom w:w="10" w:type="dxa"/>
          <w:right w:w="10" w:type="dxa"/>
        </w:tblCellMar>
        <w:tblLook w:val="0000" w:firstRow="0" w:lastRow="0" w:firstColumn="0" w:lastColumn="0" w:noHBand="0" w:noVBand="0"/>
      </w:tblPr>
      <w:tblGrid>
        <w:gridCol w:w="2926"/>
        <w:gridCol w:w="3498"/>
        <w:gridCol w:w="972"/>
        <w:gridCol w:w="1954"/>
      </w:tblGrid>
      <w:tr w:rsidR="008374D5" w14:paraId="11E43C94" w14:textId="77777777" w:rsidTr="005A4EF0">
        <w:tc>
          <w:tcPr>
            <w:tcW w:w="9350" w:type="dxa"/>
            <w:gridSpan w:val="4"/>
            <w:tcBorders>
              <w:left w:val="single" w:sz="4" w:space="0" w:color="B1B1B1"/>
              <w:bottom w:val="single" w:sz="4" w:space="0" w:color="B1B1B1"/>
              <w:right w:val="single" w:sz="4" w:space="0" w:color="B1B1B1"/>
            </w:tcBorders>
            <w:vAlign w:val="center"/>
          </w:tcPr>
          <w:p w14:paraId="522C8B2E" w14:textId="77777777" w:rsidR="008374D5" w:rsidRDefault="008374D5" w:rsidP="00CD3651">
            <w:pPr>
              <w:spacing w:line="200" w:lineRule="atLeast"/>
              <w:rPr>
                <w:color w:val="000000"/>
                <w:sz w:val="22"/>
                <w:szCs w:val="22"/>
              </w:rPr>
            </w:pPr>
            <w:r>
              <w:rPr>
                <w:rStyle w:val="Strong"/>
                <w:color w:val="000000"/>
                <w:sz w:val="22"/>
                <w:szCs w:val="22"/>
              </w:rPr>
              <w:t>Supervision/ICR</w:t>
            </w:r>
          </w:p>
        </w:tc>
      </w:tr>
      <w:tr w:rsidR="005A4EF0" w14:paraId="5BEE702E"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CD47765" w14:textId="29205466" w:rsidR="005A4EF0" w:rsidRPr="00313A8F" w:rsidRDefault="00653F0C" w:rsidP="002420B3">
            <w:pPr>
              <w:spacing w:line="200" w:lineRule="atLeast"/>
              <w:rPr>
                <w:color w:val="000000"/>
                <w:sz w:val="20"/>
                <w:szCs w:val="20"/>
              </w:rPr>
            </w:pPr>
            <w:r>
              <w:rPr>
                <w:color w:val="000000"/>
                <w:sz w:val="20"/>
                <w:szCs w:val="20"/>
              </w:rPr>
              <w:t xml:space="preserve"> </w:t>
            </w:r>
            <w:r w:rsidR="005A4EF0">
              <w:rPr>
                <w:color w:val="000000"/>
                <w:sz w:val="20"/>
                <w:szCs w:val="20"/>
              </w:rPr>
              <w:t>Stephane Forman</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DF556FF" w14:textId="77777777" w:rsidR="005A4EF0" w:rsidRPr="00313A8F" w:rsidRDefault="005A4EF0" w:rsidP="002420B3">
            <w:pPr>
              <w:spacing w:line="200" w:lineRule="atLeast"/>
              <w:rPr>
                <w:color w:val="000000"/>
                <w:sz w:val="20"/>
                <w:szCs w:val="20"/>
              </w:rPr>
            </w:pPr>
            <w:r>
              <w:rPr>
                <w:color w:val="000000"/>
                <w:sz w:val="20"/>
                <w:szCs w:val="20"/>
              </w:rPr>
              <w:t>Senior Livestock Specialist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81777D6" w14:textId="77777777" w:rsidR="005A4EF0" w:rsidRPr="00313A8F" w:rsidRDefault="005A4EF0" w:rsidP="002420B3">
            <w:pPr>
              <w:spacing w:line="200" w:lineRule="atLeast"/>
              <w:jc w:val="center"/>
              <w:rPr>
                <w:color w:val="000000"/>
                <w:sz w:val="20"/>
                <w:szCs w:val="20"/>
              </w:rPr>
            </w:pPr>
            <w:r>
              <w:rPr>
                <w:color w:val="000000"/>
                <w:sz w:val="20"/>
                <w:szCs w:val="20"/>
              </w:rPr>
              <w:t>GFADR</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75D28AE" w14:textId="77777777" w:rsidR="005A4EF0" w:rsidRPr="005A4EF0" w:rsidRDefault="005A4EF0" w:rsidP="002420B3">
            <w:pPr>
              <w:spacing w:line="200" w:lineRule="atLeast"/>
              <w:rPr>
                <w:color w:val="000000"/>
                <w:sz w:val="20"/>
                <w:szCs w:val="20"/>
              </w:rPr>
            </w:pPr>
            <w:r w:rsidRPr="005A4EF0">
              <w:rPr>
                <w:color w:val="000000"/>
                <w:sz w:val="20"/>
                <w:szCs w:val="20"/>
              </w:rPr>
              <w:t>Task Team Leader</w:t>
            </w:r>
          </w:p>
        </w:tc>
      </w:tr>
      <w:tr w:rsidR="00D13D0D" w14:paraId="7A13820C" w14:textId="77777777" w:rsidTr="00D13D0D">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EB3A85E" w14:textId="77777777" w:rsidR="00D13D0D" w:rsidRPr="00313A8F" w:rsidRDefault="00D13D0D" w:rsidP="00D13D0D">
            <w:pPr>
              <w:spacing w:line="200" w:lineRule="atLeast"/>
              <w:rPr>
                <w:color w:val="000000"/>
                <w:sz w:val="20"/>
                <w:szCs w:val="20"/>
              </w:rPr>
            </w:pPr>
            <w:r w:rsidRPr="00313A8F">
              <w:rPr>
                <w:color w:val="000000"/>
                <w:sz w:val="20"/>
                <w:szCs w:val="20"/>
              </w:rPr>
              <w:t xml:space="preserve"> Nathan M. Belete</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D4F004F" w14:textId="77777777" w:rsidR="00D13D0D" w:rsidRPr="00313A8F" w:rsidRDefault="00D13D0D" w:rsidP="00D13D0D">
            <w:pPr>
              <w:spacing w:line="200" w:lineRule="atLeast"/>
              <w:rPr>
                <w:color w:val="000000"/>
                <w:sz w:val="20"/>
                <w:szCs w:val="20"/>
              </w:rPr>
            </w:pPr>
            <w:r>
              <w:rPr>
                <w:color w:val="000000"/>
                <w:sz w:val="20"/>
                <w:szCs w:val="20"/>
              </w:rPr>
              <w:t>Practice</w:t>
            </w:r>
            <w:r w:rsidRPr="00313A8F">
              <w:rPr>
                <w:color w:val="000000"/>
                <w:sz w:val="20"/>
                <w:szCs w:val="20"/>
              </w:rPr>
              <w:t xml:space="preserve"> Manager</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ACB883A" w14:textId="77777777" w:rsidR="00D13D0D" w:rsidRPr="00313A8F" w:rsidRDefault="00D13D0D" w:rsidP="00D13D0D">
            <w:pPr>
              <w:spacing w:line="200" w:lineRule="atLeast"/>
              <w:jc w:val="center"/>
              <w:rPr>
                <w:color w:val="000000"/>
                <w:sz w:val="20"/>
                <w:szCs w:val="20"/>
              </w:rPr>
            </w:pPr>
            <w:r>
              <w:rPr>
                <w:color w:val="000000"/>
                <w:sz w:val="20"/>
                <w:szCs w:val="20"/>
              </w:rPr>
              <w:t>GFADR</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D35F561" w14:textId="77777777" w:rsidR="00D13D0D" w:rsidRDefault="00D13D0D" w:rsidP="00D13D0D">
            <w:pPr>
              <w:spacing w:line="200" w:lineRule="atLeast"/>
              <w:rPr>
                <w:color w:val="000000"/>
                <w:sz w:val="22"/>
                <w:szCs w:val="22"/>
              </w:rPr>
            </w:pPr>
          </w:p>
        </w:tc>
      </w:tr>
      <w:tr w:rsidR="00D13D0D" w14:paraId="5EC77693" w14:textId="77777777" w:rsidTr="00D13D0D">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970F135" w14:textId="5852967C" w:rsidR="00D13D0D" w:rsidRPr="00313A8F" w:rsidRDefault="00653F0C" w:rsidP="00D13D0D">
            <w:pPr>
              <w:spacing w:line="200" w:lineRule="atLeast"/>
              <w:rPr>
                <w:color w:val="000000"/>
                <w:sz w:val="20"/>
                <w:szCs w:val="20"/>
              </w:rPr>
            </w:pPr>
            <w:r>
              <w:rPr>
                <w:color w:val="000000"/>
                <w:sz w:val="20"/>
                <w:szCs w:val="20"/>
              </w:rPr>
              <w:t xml:space="preserve"> </w:t>
            </w:r>
            <w:r w:rsidR="00D13D0D">
              <w:rPr>
                <w:color w:val="000000"/>
                <w:sz w:val="20"/>
                <w:szCs w:val="20"/>
              </w:rPr>
              <w:t>James Anderson</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CE258FE" w14:textId="77777777" w:rsidR="00D13D0D" w:rsidRPr="00313A8F" w:rsidDel="00D13D0D" w:rsidRDefault="00D13D0D" w:rsidP="00D13D0D">
            <w:pPr>
              <w:spacing w:line="200" w:lineRule="atLeast"/>
              <w:rPr>
                <w:color w:val="000000"/>
                <w:sz w:val="20"/>
                <w:szCs w:val="20"/>
              </w:rPr>
            </w:pPr>
            <w:r>
              <w:rPr>
                <w:color w:val="000000"/>
                <w:sz w:val="20"/>
                <w:szCs w:val="20"/>
              </w:rPr>
              <w:t>Country Manager</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27CE0D6" w14:textId="77777777" w:rsidR="00D13D0D" w:rsidRPr="00313A8F" w:rsidDel="00D13D0D" w:rsidRDefault="00D13D0D" w:rsidP="00D13D0D">
            <w:pPr>
              <w:spacing w:line="200" w:lineRule="atLeast"/>
              <w:jc w:val="center"/>
              <w:rPr>
                <w:color w:val="000000"/>
                <w:sz w:val="20"/>
                <w:szCs w:val="20"/>
              </w:rPr>
            </w:pPr>
            <w:r>
              <w:rPr>
                <w:color w:val="000000"/>
                <w:sz w:val="20"/>
                <w:szCs w:val="20"/>
              </w:rPr>
              <w:t>EACMF</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BCA6668" w14:textId="77777777" w:rsidR="00D13D0D" w:rsidRDefault="00D13D0D" w:rsidP="00D13D0D">
            <w:pPr>
              <w:spacing w:line="200" w:lineRule="atLeast"/>
              <w:rPr>
                <w:color w:val="000000"/>
                <w:sz w:val="22"/>
                <w:szCs w:val="22"/>
              </w:rPr>
            </w:pPr>
          </w:p>
        </w:tc>
      </w:tr>
      <w:tr w:rsidR="005A4EF0" w14:paraId="10F2E120"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5526DCC" w14:textId="7363ED2F" w:rsidR="005A4EF0" w:rsidRPr="00313A8F" w:rsidRDefault="00653F0C" w:rsidP="002420B3">
            <w:pPr>
              <w:spacing w:line="200" w:lineRule="atLeast"/>
              <w:rPr>
                <w:color w:val="000000"/>
                <w:sz w:val="20"/>
                <w:szCs w:val="20"/>
              </w:rPr>
            </w:pPr>
            <w:r>
              <w:rPr>
                <w:color w:val="000000"/>
                <w:sz w:val="20"/>
                <w:szCs w:val="20"/>
              </w:rPr>
              <w:t xml:space="preserve"> </w:t>
            </w:r>
            <w:r w:rsidR="005A4EF0">
              <w:rPr>
                <w:color w:val="000000"/>
                <w:sz w:val="20"/>
                <w:szCs w:val="20"/>
              </w:rPr>
              <w:t>Barry Patrick Maher</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64B2A31" w14:textId="77777777" w:rsidR="005A4EF0" w:rsidRPr="00313A8F" w:rsidRDefault="005A4EF0" w:rsidP="002420B3">
            <w:pPr>
              <w:spacing w:line="200" w:lineRule="atLeast"/>
              <w:rPr>
                <w:color w:val="000000"/>
                <w:sz w:val="20"/>
                <w:szCs w:val="20"/>
              </w:rPr>
            </w:pPr>
            <w:r>
              <w:rPr>
                <w:color w:val="000000"/>
                <w:sz w:val="20"/>
                <w:szCs w:val="20"/>
              </w:rPr>
              <w:t>Senior Financial Sector Specialist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C9E4FAD" w14:textId="77777777" w:rsidR="005A4EF0" w:rsidRPr="00313A8F" w:rsidRDefault="005A4EF0" w:rsidP="002420B3">
            <w:pPr>
              <w:spacing w:line="200" w:lineRule="atLeast"/>
              <w:jc w:val="center"/>
              <w:rPr>
                <w:color w:val="000000"/>
                <w:sz w:val="20"/>
                <w:szCs w:val="20"/>
              </w:rPr>
            </w:pPr>
            <w:r>
              <w:rPr>
                <w:color w:val="000000"/>
                <w:sz w:val="20"/>
                <w:szCs w:val="20"/>
              </w:rPr>
              <w:t>GFM3A</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0636A53" w14:textId="77777777" w:rsidR="005A4EF0" w:rsidRPr="005A4EF0" w:rsidRDefault="005A4EF0" w:rsidP="002420B3">
            <w:pPr>
              <w:spacing w:line="200" w:lineRule="atLeast"/>
              <w:rPr>
                <w:color w:val="000000"/>
                <w:sz w:val="20"/>
                <w:szCs w:val="20"/>
              </w:rPr>
            </w:pPr>
            <w:r w:rsidRPr="005A4EF0">
              <w:rPr>
                <w:color w:val="000000"/>
                <w:sz w:val="20"/>
                <w:szCs w:val="20"/>
              </w:rPr>
              <w:t>ICR Author</w:t>
            </w:r>
          </w:p>
        </w:tc>
      </w:tr>
      <w:tr w:rsidR="005A4EF0" w14:paraId="413B0AC5"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0B33C7A" w14:textId="5B8F119E" w:rsidR="005A4EF0" w:rsidRPr="00313A8F" w:rsidRDefault="00653F0C" w:rsidP="002420B3">
            <w:pPr>
              <w:spacing w:line="200" w:lineRule="atLeast"/>
              <w:rPr>
                <w:color w:val="000000"/>
                <w:sz w:val="20"/>
                <w:szCs w:val="20"/>
              </w:rPr>
            </w:pPr>
            <w:r>
              <w:rPr>
                <w:color w:val="000000"/>
                <w:sz w:val="20"/>
                <w:szCs w:val="20"/>
              </w:rPr>
              <w:t xml:space="preserve"> </w:t>
            </w:r>
            <w:r w:rsidR="005A4EF0">
              <w:rPr>
                <w:color w:val="000000"/>
                <w:sz w:val="20"/>
                <w:szCs w:val="20"/>
              </w:rPr>
              <w:t>Ghada Elabed</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723E279" w14:textId="77777777" w:rsidR="005A4EF0" w:rsidRPr="00313A8F" w:rsidRDefault="005A4EF0" w:rsidP="002420B3">
            <w:pPr>
              <w:spacing w:line="200" w:lineRule="atLeast"/>
              <w:rPr>
                <w:color w:val="000000"/>
                <w:sz w:val="20"/>
                <w:szCs w:val="20"/>
              </w:rPr>
            </w:pPr>
            <w:r>
              <w:rPr>
                <w:color w:val="000000"/>
                <w:sz w:val="20"/>
                <w:szCs w:val="20"/>
              </w:rPr>
              <w:t xml:space="preserve">Young Professional </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6B400BF" w14:textId="77777777" w:rsidR="005A4EF0" w:rsidRPr="00313A8F" w:rsidRDefault="005A4EF0" w:rsidP="002420B3">
            <w:pPr>
              <w:spacing w:line="200" w:lineRule="atLeast"/>
              <w:jc w:val="center"/>
              <w:rPr>
                <w:color w:val="000000"/>
                <w:sz w:val="20"/>
                <w:szCs w:val="20"/>
              </w:rPr>
            </w:pPr>
            <w:r>
              <w:rPr>
                <w:color w:val="000000"/>
                <w:sz w:val="20"/>
                <w:szCs w:val="20"/>
              </w:rPr>
              <w:t>GFADR</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28D491F" w14:textId="77777777" w:rsidR="005A4EF0" w:rsidRPr="005A4EF0" w:rsidRDefault="005A4EF0" w:rsidP="002420B3">
            <w:pPr>
              <w:spacing w:line="200" w:lineRule="atLeast"/>
              <w:rPr>
                <w:color w:val="000000"/>
                <w:sz w:val="20"/>
                <w:szCs w:val="20"/>
              </w:rPr>
            </w:pPr>
            <w:r w:rsidRPr="005A4EF0">
              <w:rPr>
                <w:color w:val="000000"/>
                <w:sz w:val="20"/>
                <w:szCs w:val="20"/>
              </w:rPr>
              <w:t>ICR Author</w:t>
            </w:r>
          </w:p>
        </w:tc>
      </w:tr>
      <w:tr w:rsidR="00772F11" w14:paraId="0083F6A2"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BF4BD93" w14:textId="77777777" w:rsidR="00772F11" w:rsidRPr="00313A8F" w:rsidRDefault="00772F11">
            <w:pPr>
              <w:spacing w:line="200" w:lineRule="atLeast"/>
              <w:rPr>
                <w:color w:val="000000"/>
                <w:sz w:val="20"/>
                <w:szCs w:val="20"/>
              </w:rPr>
            </w:pPr>
            <w:r w:rsidRPr="00313A8F">
              <w:rPr>
                <w:color w:val="000000"/>
                <w:sz w:val="20"/>
                <w:szCs w:val="20"/>
              </w:rPr>
              <w:t xml:space="preserve"> Erdene Ochir Badarch</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7199900" w14:textId="77777777" w:rsidR="00772F11" w:rsidRPr="00313A8F" w:rsidRDefault="00772F11">
            <w:pPr>
              <w:spacing w:line="200" w:lineRule="atLeast"/>
              <w:rPr>
                <w:color w:val="000000"/>
                <w:sz w:val="20"/>
                <w:szCs w:val="20"/>
              </w:rPr>
            </w:pPr>
            <w:r w:rsidRPr="00313A8F">
              <w:rPr>
                <w:color w:val="000000"/>
                <w:sz w:val="20"/>
                <w:szCs w:val="20"/>
              </w:rPr>
              <w:t>Operations Officer</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C0F84B8" w14:textId="77777777" w:rsidR="00772F11" w:rsidRPr="00313A8F" w:rsidRDefault="00772F11">
            <w:pPr>
              <w:spacing w:line="200" w:lineRule="atLeast"/>
              <w:jc w:val="center"/>
              <w:rPr>
                <w:color w:val="000000"/>
                <w:sz w:val="20"/>
                <w:szCs w:val="20"/>
              </w:rPr>
            </w:pPr>
            <w:r w:rsidRPr="00313A8F">
              <w:rPr>
                <w:color w:val="000000"/>
                <w:sz w:val="20"/>
                <w:szCs w:val="20"/>
              </w:rPr>
              <w:t>EASCS</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A635A16" w14:textId="77777777" w:rsidR="00772F11" w:rsidRDefault="00772F11">
            <w:pPr>
              <w:spacing w:line="200" w:lineRule="atLeast"/>
              <w:rPr>
                <w:color w:val="000000"/>
                <w:sz w:val="22"/>
                <w:szCs w:val="22"/>
              </w:rPr>
            </w:pPr>
          </w:p>
        </w:tc>
      </w:tr>
      <w:tr w:rsidR="00772F11" w14:paraId="15F3E504"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19942E5" w14:textId="77777777" w:rsidR="00772F11" w:rsidRPr="00313A8F" w:rsidRDefault="00772F11">
            <w:pPr>
              <w:spacing w:line="200" w:lineRule="atLeast"/>
              <w:rPr>
                <w:color w:val="000000"/>
                <w:sz w:val="20"/>
                <w:szCs w:val="20"/>
              </w:rPr>
            </w:pPr>
            <w:r w:rsidRPr="00313A8F">
              <w:rPr>
                <w:color w:val="000000"/>
                <w:sz w:val="20"/>
                <w:szCs w:val="20"/>
              </w:rPr>
              <w:t xml:space="preserve"> Davaanyam Bayartsogt</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FA8452D" w14:textId="77777777" w:rsidR="00772F11" w:rsidRPr="00313A8F" w:rsidRDefault="00772F11">
            <w:pPr>
              <w:spacing w:line="200" w:lineRule="atLeast"/>
              <w:rPr>
                <w:color w:val="000000"/>
                <w:sz w:val="20"/>
                <w:szCs w:val="20"/>
              </w:rPr>
            </w:pPr>
            <w:r w:rsidRPr="00313A8F">
              <w:rPr>
                <w:color w:val="000000"/>
                <w:sz w:val="20"/>
                <w:szCs w:val="20"/>
              </w:rPr>
              <w:t>Consultant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572A991" w14:textId="77777777" w:rsidR="00772F11" w:rsidRPr="00313A8F" w:rsidRDefault="00772F11">
            <w:pPr>
              <w:spacing w:line="200" w:lineRule="atLeast"/>
              <w:jc w:val="center"/>
              <w:rPr>
                <w:color w:val="000000"/>
                <w:sz w:val="20"/>
                <w:szCs w:val="20"/>
              </w:rPr>
            </w:pPr>
            <w:r w:rsidRPr="00313A8F">
              <w:rPr>
                <w:color w:val="000000"/>
                <w:sz w:val="20"/>
                <w:szCs w:val="20"/>
              </w:rPr>
              <w:t>EACMF</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ADFC777" w14:textId="77777777" w:rsidR="00772F11" w:rsidRDefault="00772F11">
            <w:pPr>
              <w:spacing w:line="200" w:lineRule="atLeast"/>
              <w:rPr>
                <w:color w:val="000000"/>
                <w:sz w:val="22"/>
                <w:szCs w:val="22"/>
              </w:rPr>
            </w:pPr>
          </w:p>
        </w:tc>
      </w:tr>
      <w:tr w:rsidR="00772F11" w14:paraId="4F546711"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56828AD" w14:textId="77777777" w:rsidR="00772F11" w:rsidRPr="00313A8F" w:rsidRDefault="00772F11">
            <w:pPr>
              <w:spacing w:line="200" w:lineRule="atLeast"/>
              <w:rPr>
                <w:color w:val="000000"/>
                <w:sz w:val="20"/>
                <w:szCs w:val="20"/>
              </w:rPr>
            </w:pPr>
            <w:r w:rsidRPr="00313A8F">
              <w:rPr>
                <w:color w:val="000000"/>
                <w:sz w:val="20"/>
                <w:szCs w:val="20"/>
              </w:rPr>
              <w:t xml:space="preserve"> Dulguun Byambatsoo</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7ED4F6F" w14:textId="77777777" w:rsidR="00772F11" w:rsidRPr="00313A8F" w:rsidRDefault="00772F11">
            <w:pPr>
              <w:spacing w:line="200" w:lineRule="atLeast"/>
              <w:rPr>
                <w:color w:val="000000"/>
                <w:sz w:val="20"/>
                <w:szCs w:val="20"/>
              </w:rPr>
            </w:pPr>
            <w:r w:rsidRPr="00313A8F">
              <w:rPr>
                <w:color w:val="000000"/>
                <w:sz w:val="20"/>
                <w:szCs w:val="20"/>
              </w:rPr>
              <w:t>E T Consultant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60D4650" w14:textId="77777777" w:rsidR="00772F11" w:rsidRPr="00313A8F" w:rsidRDefault="00772F11">
            <w:pPr>
              <w:spacing w:line="200" w:lineRule="atLeast"/>
              <w:jc w:val="center"/>
              <w:rPr>
                <w:color w:val="000000"/>
                <w:sz w:val="20"/>
                <w:szCs w:val="20"/>
              </w:rPr>
            </w:pPr>
            <w:r w:rsidRPr="00313A8F">
              <w:rPr>
                <w:color w:val="000000"/>
                <w:sz w:val="20"/>
                <w:szCs w:val="20"/>
              </w:rPr>
              <w:t>EASFM</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64F67F8" w14:textId="77777777" w:rsidR="00772F11" w:rsidRDefault="00772F11">
            <w:pPr>
              <w:spacing w:line="200" w:lineRule="atLeast"/>
              <w:rPr>
                <w:color w:val="000000"/>
                <w:sz w:val="22"/>
                <w:szCs w:val="22"/>
              </w:rPr>
            </w:pPr>
          </w:p>
        </w:tc>
      </w:tr>
      <w:tr w:rsidR="00772F11" w14:paraId="337EBB17"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402C613" w14:textId="77777777" w:rsidR="00772F11" w:rsidRPr="00313A8F" w:rsidRDefault="00772F11">
            <w:pPr>
              <w:spacing w:line="200" w:lineRule="atLeast"/>
              <w:rPr>
                <w:color w:val="000000"/>
                <w:sz w:val="20"/>
                <w:szCs w:val="20"/>
              </w:rPr>
            </w:pPr>
            <w:r w:rsidRPr="00313A8F">
              <w:rPr>
                <w:color w:val="000000"/>
                <w:sz w:val="20"/>
                <w:szCs w:val="20"/>
              </w:rPr>
              <w:t xml:space="preserve"> Yi Dong</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975AB02" w14:textId="77777777" w:rsidR="00772F11" w:rsidRPr="00313A8F" w:rsidRDefault="00772F11">
            <w:pPr>
              <w:spacing w:line="200" w:lineRule="atLeast"/>
              <w:rPr>
                <w:color w:val="000000"/>
                <w:sz w:val="20"/>
                <w:szCs w:val="20"/>
              </w:rPr>
            </w:pPr>
            <w:r w:rsidRPr="00313A8F">
              <w:rPr>
                <w:color w:val="000000"/>
                <w:sz w:val="20"/>
                <w:szCs w:val="20"/>
              </w:rPr>
              <w:t>Sr Financial Management Specia</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22E38FB" w14:textId="77777777" w:rsidR="00772F11" w:rsidRPr="00313A8F" w:rsidRDefault="00772F11">
            <w:pPr>
              <w:spacing w:line="200" w:lineRule="atLeast"/>
              <w:jc w:val="center"/>
              <w:rPr>
                <w:color w:val="000000"/>
                <w:sz w:val="20"/>
                <w:szCs w:val="20"/>
              </w:rPr>
            </w:pPr>
            <w:r w:rsidRPr="00313A8F">
              <w:rPr>
                <w:color w:val="000000"/>
                <w:sz w:val="20"/>
                <w:szCs w:val="20"/>
              </w:rPr>
              <w:t>EASFM</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24CB313" w14:textId="77777777" w:rsidR="00772F11" w:rsidRDefault="00772F11">
            <w:pPr>
              <w:spacing w:line="200" w:lineRule="atLeast"/>
              <w:rPr>
                <w:color w:val="000000"/>
                <w:sz w:val="22"/>
                <w:szCs w:val="22"/>
              </w:rPr>
            </w:pPr>
          </w:p>
        </w:tc>
      </w:tr>
      <w:tr w:rsidR="00772F11" w14:paraId="2E6A2638"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FDC3D5F" w14:textId="77777777" w:rsidR="00772F11" w:rsidRPr="00313A8F" w:rsidRDefault="00772F11">
            <w:pPr>
              <w:spacing w:line="200" w:lineRule="atLeast"/>
              <w:rPr>
                <w:color w:val="000000"/>
                <w:sz w:val="20"/>
                <w:szCs w:val="20"/>
              </w:rPr>
            </w:pPr>
            <w:r w:rsidRPr="00313A8F">
              <w:rPr>
                <w:color w:val="000000"/>
                <w:sz w:val="20"/>
                <w:szCs w:val="20"/>
              </w:rPr>
              <w:t xml:space="preserve"> Andrew D. Goodland</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F2B1B15" w14:textId="77777777" w:rsidR="00772F11" w:rsidRPr="00313A8F" w:rsidRDefault="00772F11">
            <w:pPr>
              <w:spacing w:line="200" w:lineRule="atLeast"/>
              <w:rPr>
                <w:color w:val="000000"/>
                <w:sz w:val="20"/>
                <w:szCs w:val="20"/>
              </w:rPr>
            </w:pPr>
            <w:r w:rsidRPr="00313A8F">
              <w:rPr>
                <w:color w:val="000000"/>
                <w:sz w:val="20"/>
                <w:szCs w:val="20"/>
              </w:rPr>
              <w:t>Senior Agriculture Economist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3BAEFF7" w14:textId="77777777" w:rsidR="00772F11" w:rsidRPr="00313A8F" w:rsidRDefault="00772F11">
            <w:pPr>
              <w:spacing w:line="200" w:lineRule="atLeast"/>
              <w:jc w:val="center"/>
              <w:rPr>
                <w:color w:val="000000"/>
                <w:sz w:val="20"/>
                <w:szCs w:val="20"/>
              </w:rPr>
            </w:pPr>
            <w:r w:rsidRPr="00313A8F">
              <w:rPr>
                <w:color w:val="000000"/>
                <w:sz w:val="20"/>
                <w:szCs w:val="20"/>
              </w:rPr>
              <w:t>AFTA3</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5948976" w14:textId="77777777" w:rsidR="00772F11" w:rsidRDefault="00772F11">
            <w:pPr>
              <w:spacing w:line="200" w:lineRule="atLeast"/>
              <w:rPr>
                <w:color w:val="000000"/>
                <w:sz w:val="22"/>
                <w:szCs w:val="22"/>
              </w:rPr>
            </w:pPr>
          </w:p>
        </w:tc>
      </w:tr>
      <w:tr w:rsidR="00772F11" w14:paraId="225915E1"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9490E95" w14:textId="77777777" w:rsidR="00772F11" w:rsidRPr="00313A8F" w:rsidRDefault="00772F11">
            <w:pPr>
              <w:spacing w:line="200" w:lineRule="atLeast"/>
              <w:rPr>
                <w:color w:val="000000"/>
                <w:sz w:val="20"/>
                <w:szCs w:val="20"/>
              </w:rPr>
            </w:pPr>
            <w:r w:rsidRPr="00313A8F">
              <w:rPr>
                <w:color w:val="000000"/>
                <w:sz w:val="20"/>
                <w:szCs w:val="20"/>
              </w:rPr>
              <w:t xml:space="preserve"> Xiaoping Li</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2C1349C" w14:textId="77777777" w:rsidR="00772F11" w:rsidRPr="00313A8F" w:rsidRDefault="00772F11">
            <w:pPr>
              <w:spacing w:line="200" w:lineRule="atLeast"/>
              <w:rPr>
                <w:color w:val="000000"/>
                <w:sz w:val="20"/>
                <w:szCs w:val="20"/>
              </w:rPr>
            </w:pPr>
            <w:r w:rsidRPr="00313A8F">
              <w:rPr>
                <w:color w:val="000000"/>
                <w:sz w:val="20"/>
                <w:szCs w:val="20"/>
              </w:rPr>
              <w:t>Senior Procurement Specialist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90C0D48" w14:textId="77777777" w:rsidR="00772F11" w:rsidRPr="00313A8F" w:rsidRDefault="00772F11">
            <w:pPr>
              <w:spacing w:line="200" w:lineRule="atLeast"/>
              <w:jc w:val="center"/>
              <w:rPr>
                <w:color w:val="000000"/>
                <w:sz w:val="20"/>
                <w:szCs w:val="20"/>
              </w:rPr>
            </w:pPr>
            <w:r w:rsidRPr="00313A8F">
              <w:rPr>
                <w:color w:val="000000"/>
                <w:sz w:val="20"/>
                <w:szCs w:val="20"/>
              </w:rPr>
              <w:t>AFTPW</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E663702" w14:textId="77777777" w:rsidR="00772F11" w:rsidRDefault="00772F11">
            <w:pPr>
              <w:spacing w:line="200" w:lineRule="atLeast"/>
              <w:rPr>
                <w:color w:val="000000"/>
                <w:sz w:val="22"/>
                <w:szCs w:val="22"/>
              </w:rPr>
            </w:pPr>
          </w:p>
        </w:tc>
      </w:tr>
      <w:tr w:rsidR="00772F11" w14:paraId="21C3BED7"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EA91D86" w14:textId="77777777" w:rsidR="00772F11" w:rsidRPr="00313A8F" w:rsidRDefault="00772F11">
            <w:pPr>
              <w:spacing w:line="200" w:lineRule="atLeast"/>
              <w:rPr>
                <w:color w:val="000000"/>
                <w:sz w:val="20"/>
                <w:szCs w:val="20"/>
              </w:rPr>
            </w:pPr>
            <w:r w:rsidRPr="00313A8F">
              <w:rPr>
                <w:color w:val="000000"/>
                <w:sz w:val="20"/>
                <w:szCs w:val="20"/>
              </w:rPr>
              <w:t xml:space="preserve"> Olivier Mahul</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8DE6DC7" w14:textId="77777777" w:rsidR="00772F11" w:rsidRPr="00313A8F" w:rsidRDefault="00772F11">
            <w:pPr>
              <w:spacing w:line="200" w:lineRule="atLeast"/>
              <w:rPr>
                <w:color w:val="000000"/>
                <w:sz w:val="20"/>
                <w:szCs w:val="20"/>
              </w:rPr>
            </w:pPr>
            <w:r w:rsidRPr="00313A8F">
              <w:rPr>
                <w:color w:val="000000"/>
                <w:sz w:val="20"/>
                <w:szCs w:val="20"/>
              </w:rPr>
              <w:t>Program Manager</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8264BCE" w14:textId="77777777" w:rsidR="00772F11" w:rsidRPr="00313A8F" w:rsidRDefault="00772F11">
            <w:pPr>
              <w:spacing w:line="200" w:lineRule="atLeast"/>
              <w:jc w:val="center"/>
              <w:rPr>
                <w:color w:val="000000"/>
                <w:sz w:val="20"/>
                <w:szCs w:val="20"/>
              </w:rPr>
            </w:pPr>
            <w:r w:rsidRPr="00313A8F">
              <w:rPr>
                <w:color w:val="000000"/>
                <w:sz w:val="20"/>
                <w:szCs w:val="20"/>
              </w:rPr>
              <w:t>FCMNB</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036CF84" w14:textId="77777777" w:rsidR="00772F11" w:rsidRDefault="00772F11">
            <w:pPr>
              <w:spacing w:line="200" w:lineRule="atLeast"/>
              <w:rPr>
                <w:color w:val="000000"/>
                <w:sz w:val="22"/>
                <w:szCs w:val="22"/>
              </w:rPr>
            </w:pPr>
          </w:p>
        </w:tc>
      </w:tr>
      <w:tr w:rsidR="00772F11" w14:paraId="3FDF5539"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D7D074F" w14:textId="77777777" w:rsidR="00772F11" w:rsidRPr="00313A8F" w:rsidRDefault="00772F11">
            <w:pPr>
              <w:spacing w:line="200" w:lineRule="atLeast"/>
              <w:rPr>
                <w:color w:val="000000"/>
                <w:sz w:val="20"/>
                <w:szCs w:val="20"/>
              </w:rPr>
            </w:pPr>
            <w:r w:rsidRPr="00313A8F">
              <w:rPr>
                <w:color w:val="000000"/>
                <w:sz w:val="20"/>
                <w:szCs w:val="20"/>
              </w:rPr>
              <w:t xml:space="preserve"> Gayane Minasyan</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08E4D4B" w14:textId="77777777" w:rsidR="00772F11" w:rsidRPr="00313A8F" w:rsidRDefault="00772F11">
            <w:pPr>
              <w:spacing w:line="200" w:lineRule="atLeast"/>
              <w:rPr>
                <w:color w:val="000000"/>
                <w:sz w:val="20"/>
                <w:szCs w:val="20"/>
              </w:rPr>
            </w:pPr>
            <w:r w:rsidRPr="00313A8F">
              <w:rPr>
                <w:color w:val="000000"/>
                <w:sz w:val="20"/>
                <w:szCs w:val="20"/>
              </w:rPr>
              <w:t>Senior Environmental Economist</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E383028" w14:textId="77777777" w:rsidR="00772F11" w:rsidRPr="00313A8F" w:rsidRDefault="00772F11">
            <w:pPr>
              <w:spacing w:line="200" w:lineRule="atLeast"/>
              <w:jc w:val="center"/>
              <w:rPr>
                <w:color w:val="000000"/>
                <w:sz w:val="20"/>
                <w:szCs w:val="20"/>
              </w:rPr>
            </w:pPr>
            <w:r w:rsidRPr="00313A8F">
              <w:rPr>
                <w:color w:val="000000"/>
                <w:sz w:val="20"/>
                <w:szCs w:val="20"/>
              </w:rPr>
              <w:t>ECSEN</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C9C3663" w14:textId="77777777" w:rsidR="00772F11" w:rsidRDefault="00772F11">
            <w:pPr>
              <w:spacing w:line="200" w:lineRule="atLeast"/>
              <w:rPr>
                <w:color w:val="000000"/>
                <w:sz w:val="22"/>
                <w:szCs w:val="22"/>
              </w:rPr>
            </w:pPr>
          </w:p>
        </w:tc>
      </w:tr>
      <w:tr w:rsidR="00772F11" w14:paraId="1598A720"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5D53CDA" w14:textId="77777777" w:rsidR="00772F11" w:rsidRPr="00313A8F" w:rsidRDefault="00772F11">
            <w:pPr>
              <w:spacing w:line="200" w:lineRule="atLeast"/>
              <w:rPr>
                <w:color w:val="000000"/>
                <w:sz w:val="20"/>
                <w:szCs w:val="20"/>
              </w:rPr>
            </w:pPr>
            <w:r w:rsidRPr="00313A8F">
              <w:rPr>
                <w:color w:val="000000"/>
                <w:sz w:val="20"/>
                <w:szCs w:val="20"/>
              </w:rPr>
              <w:t xml:space="preserve"> Lhagvasuren Ochir</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08C6C89" w14:textId="77777777" w:rsidR="00772F11" w:rsidRPr="00313A8F" w:rsidRDefault="00772F11">
            <w:pPr>
              <w:spacing w:line="200" w:lineRule="atLeast"/>
              <w:rPr>
                <w:color w:val="000000"/>
                <w:sz w:val="20"/>
                <w:szCs w:val="20"/>
              </w:rPr>
            </w:pPr>
            <w:r w:rsidRPr="00313A8F">
              <w:rPr>
                <w:color w:val="000000"/>
                <w:sz w:val="20"/>
                <w:szCs w:val="20"/>
              </w:rPr>
              <w:t>Operations Officer</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62C88A0" w14:textId="77777777" w:rsidR="00772F11" w:rsidRPr="00313A8F" w:rsidRDefault="00772F11">
            <w:pPr>
              <w:spacing w:line="200" w:lineRule="atLeast"/>
              <w:jc w:val="center"/>
              <w:rPr>
                <w:color w:val="000000"/>
                <w:sz w:val="20"/>
                <w:szCs w:val="20"/>
              </w:rPr>
            </w:pPr>
            <w:r w:rsidRPr="00313A8F">
              <w:rPr>
                <w:color w:val="000000"/>
                <w:sz w:val="20"/>
                <w:szCs w:val="20"/>
              </w:rPr>
              <w:t>EACMF</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5825F8F" w14:textId="77777777" w:rsidR="00772F11" w:rsidRDefault="00772F11">
            <w:pPr>
              <w:spacing w:line="200" w:lineRule="atLeast"/>
              <w:rPr>
                <w:color w:val="000000"/>
                <w:sz w:val="22"/>
                <w:szCs w:val="22"/>
              </w:rPr>
            </w:pPr>
          </w:p>
        </w:tc>
      </w:tr>
      <w:tr w:rsidR="00772F11" w14:paraId="11E3A28D"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C50369E" w14:textId="77777777" w:rsidR="00772F11" w:rsidRPr="00313A8F" w:rsidRDefault="00772F11">
            <w:pPr>
              <w:spacing w:line="200" w:lineRule="atLeast"/>
              <w:rPr>
                <w:color w:val="000000"/>
                <w:sz w:val="20"/>
                <w:szCs w:val="20"/>
              </w:rPr>
            </w:pPr>
            <w:r w:rsidRPr="00313A8F">
              <w:rPr>
                <w:color w:val="000000"/>
                <w:sz w:val="20"/>
                <w:szCs w:val="20"/>
              </w:rPr>
              <w:t xml:space="preserve"> Martin M. Serrano</w:t>
            </w:r>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C4C0385" w14:textId="77777777" w:rsidR="00772F11" w:rsidRPr="00313A8F" w:rsidRDefault="00772F11">
            <w:pPr>
              <w:spacing w:line="200" w:lineRule="atLeast"/>
              <w:rPr>
                <w:color w:val="000000"/>
                <w:sz w:val="20"/>
                <w:szCs w:val="20"/>
              </w:rPr>
            </w:pPr>
            <w:r w:rsidRPr="00313A8F">
              <w:rPr>
                <w:color w:val="000000"/>
                <w:sz w:val="20"/>
                <w:szCs w:val="20"/>
              </w:rPr>
              <w:t>Senior Counsel</w:t>
            </w:r>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B2FE108" w14:textId="77777777" w:rsidR="00772F11" w:rsidRPr="00313A8F" w:rsidRDefault="00772F11">
            <w:pPr>
              <w:spacing w:line="200" w:lineRule="atLeast"/>
              <w:jc w:val="center"/>
              <w:rPr>
                <w:color w:val="000000"/>
                <w:sz w:val="20"/>
                <w:szCs w:val="20"/>
              </w:rPr>
            </w:pPr>
            <w:r w:rsidRPr="00313A8F">
              <w:rPr>
                <w:color w:val="000000"/>
                <w:sz w:val="20"/>
                <w:szCs w:val="20"/>
              </w:rPr>
              <w:t>LEGES</w:t>
            </w:r>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6D8AFF9" w14:textId="77777777" w:rsidR="00772F11" w:rsidRDefault="00772F11">
            <w:pPr>
              <w:spacing w:line="200" w:lineRule="atLeast"/>
              <w:rPr>
                <w:color w:val="000000"/>
                <w:sz w:val="22"/>
                <w:szCs w:val="22"/>
              </w:rPr>
            </w:pPr>
          </w:p>
        </w:tc>
      </w:tr>
      <w:tr w:rsidR="00772F11" w14:paraId="2B4596A3" w14:textId="77777777" w:rsidTr="005A4EF0">
        <w:tc>
          <w:tcPr>
            <w:tcW w:w="2926"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4DFAC73" w14:textId="77777777" w:rsidR="00772F11" w:rsidRPr="00313A8F" w:rsidRDefault="00772F11">
            <w:pPr>
              <w:spacing w:line="200" w:lineRule="atLeast"/>
              <w:rPr>
                <w:color w:val="000000"/>
                <w:sz w:val="20"/>
                <w:szCs w:val="20"/>
              </w:rPr>
            </w:pPr>
            <w:r w:rsidRPr="00313A8F">
              <w:rPr>
                <w:color w:val="000000"/>
                <w:sz w:val="20"/>
                <w:szCs w:val="20"/>
              </w:rPr>
              <w:t xml:space="preserve"> </w:t>
            </w:r>
            <w:bookmarkStart w:id="219" w:name="TEAM_SUP_COL_1"/>
            <w:r w:rsidRPr="00313A8F">
              <w:rPr>
                <w:color w:val="000000"/>
                <w:sz w:val="20"/>
                <w:szCs w:val="20"/>
              </w:rPr>
              <w:t>Gerelgua Tserendagva</w:t>
            </w:r>
            <w:bookmarkEnd w:id="219"/>
          </w:p>
        </w:tc>
        <w:tc>
          <w:tcPr>
            <w:tcW w:w="349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3E79E93" w14:textId="77777777" w:rsidR="00772F11" w:rsidRPr="00313A8F" w:rsidRDefault="00772F11">
            <w:pPr>
              <w:spacing w:line="200" w:lineRule="atLeast"/>
              <w:rPr>
                <w:color w:val="000000"/>
                <w:sz w:val="20"/>
                <w:szCs w:val="20"/>
              </w:rPr>
            </w:pPr>
            <w:bookmarkStart w:id="220" w:name="TEAM_SUP_COL_2"/>
            <w:r w:rsidRPr="00313A8F">
              <w:rPr>
                <w:color w:val="000000"/>
                <w:sz w:val="20"/>
                <w:szCs w:val="20"/>
              </w:rPr>
              <w:t>Procurement Specialist</w:t>
            </w:r>
            <w:bookmarkEnd w:id="220"/>
          </w:p>
        </w:tc>
        <w:tc>
          <w:tcPr>
            <w:tcW w:w="97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7BB75B3" w14:textId="77777777" w:rsidR="00772F11" w:rsidRPr="00313A8F" w:rsidRDefault="00772F11">
            <w:pPr>
              <w:spacing w:line="200" w:lineRule="atLeast"/>
              <w:jc w:val="center"/>
              <w:rPr>
                <w:color w:val="000000"/>
                <w:sz w:val="20"/>
                <w:szCs w:val="20"/>
              </w:rPr>
            </w:pPr>
            <w:bookmarkStart w:id="221" w:name="TEAM_SUP_COL_3"/>
            <w:r w:rsidRPr="00313A8F">
              <w:rPr>
                <w:color w:val="000000"/>
                <w:sz w:val="20"/>
                <w:szCs w:val="20"/>
              </w:rPr>
              <w:t>EASR2</w:t>
            </w:r>
            <w:bookmarkEnd w:id="221"/>
          </w:p>
        </w:tc>
        <w:tc>
          <w:tcPr>
            <w:tcW w:w="195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D9F1717" w14:textId="77777777" w:rsidR="00772F11" w:rsidRDefault="00772F11">
            <w:pPr>
              <w:spacing w:line="200" w:lineRule="atLeast"/>
              <w:rPr>
                <w:color w:val="000000"/>
                <w:sz w:val="22"/>
                <w:szCs w:val="22"/>
              </w:rPr>
            </w:pPr>
            <w:bookmarkStart w:id="222" w:name="TEAM_SUP_COL_4"/>
            <w:bookmarkEnd w:id="222"/>
          </w:p>
        </w:tc>
      </w:tr>
    </w:tbl>
    <w:p w14:paraId="27B0B76B" w14:textId="77777777" w:rsidR="008374D5" w:rsidRDefault="008374D5" w:rsidP="001C00E2">
      <w:bookmarkStart w:id="223" w:name="TEAM_SUP"/>
      <w:bookmarkEnd w:id="223"/>
    </w:p>
    <w:p w14:paraId="4179534C" w14:textId="77777777" w:rsidR="00FD2995" w:rsidRDefault="00775151" w:rsidP="00FD2995">
      <w:pPr>
        <w:pStyle w:val="Heading3"/>
      </w:pPr>
      <w:bookmarkStart w:id="224" w:name="_Toc456784550"/>
      <w:r>
        <w:t>(</w:t>
      </w:r>
      <w:r w:rsidR="00FD2995">
        <w:t xml:space="preserve">b) </w:t>
      </w:r>
      <w:r w:rsidR="00FD2995" w:rsidRPr="00FD2995">
        <w:t>Staff Time and Cost</w:t>
      </w:r>
      <w:bookmarkEnd w:id="224"/>
    </w:p>
    <w:tbl>
      <w:tblPr>
        <w:tblW w:w="5000" w:type="pct"/>
        <w:tblCellMar>
          <w:top w:w="10" w:type="dxa"/>
          <w:left w:w="10" w:type="dxa"/>
          <w:bottom w:w="10" w:type="dxa"/>
          <w:right w:w="10" w:type="dxa"/>
        </w:tblCellMar>
        <w:tblLook w:val="0000" w:firstRow="0" w:lastRow="0" w:firstColumn="0" w:lastColumn="0" w:noHBand="0" w:noVBand="0"/>
      </w:tblPr>
      <w:tblGrid>
        <w:gridCol w:w="3508"/>
        <w:gridCol w:w="2915"/>
        <w:gridCol w:w="2927"/>
      </w:tblGrid>
      <w:tr w:rsidR="008374D5" w14:paraId="6954B3F8" w14:textId="77777777" w:rsidTr="00BB1EB2">
        <w:tc>
          <w:tcPr>
            <w:tcW w:w="1876" w:type="pct"/>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667D52C3" w14:textId="77777777" w:rsidR="008374D5" w:rsidRPr="00FD2995" w:rsidRDefault="008374D5" w:rsidP="001C00E2">
            <w:pPr>
              <w:pStyle w:val="Heading3"/>
              <w:keepNext/>
            </w:pPr>
            <w:bookmarkStart w:id="225" w:name="_Toc456784551"/>
            <w:r w:rsidRPr="00FD2995">
              <w:t>Stage of Project Cycle</w:t>
            </w:r>
            <w:bookmarkEnd w:id="225"/>
          </w:p>
        </w:tc>
        <w:tc>
          <w:tcPr>
            <w:tcW w:w="3124"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0DCFFF8" w14:textId="77777777" w:rsidR="008374D5" w:rsidRPr="00FD2995" w:rsidRDefault="008374D5" w:rsidP="001C00E2">
            <w:pPr>
              <w:pStyle w:val="Heading3"/>
              <w:keepNext/>
              <w:jc w:val="center"/>
            </w:pPr>
            <w:bookmarkStart w:id="226" w:name="_Toc456784552"/>
            <w:r w:rsidRPr="00FD2995">
              <w:t>Staff Time and Cost (Bank Budget Only)</w:t>
            </w:r>
            <w:bookmarkEnd w:id="226"/>
          </w:p>
        </w:tc>
      </w:tr>
      <w:tr w:rsidR="008374D5" w14:paraId="6F997339" w14:textId="77777777" w:rsidTr="00BB1EB2">
        <w:tc>
          <w:tcPr>
            <w:tcW w:w="1876" w:type="pct"/>
            <w:vMerge/>
            <w:tcBorders>
              <w:top w:val="single" w:sz="4" w:space="0" w:color="B1B1B1"/>
              <w:left w:val="single" w:sz="4" w:space="0" w:color="B1B1B1"/>
              <w:bottom w:val="single" w:sz="4" w:space="0" w:color="B1B1B1"/>
              <w:right w:val="single" w:sz="4" w:space="0" w:color="B1B1B1"/>
            </w:tcBorders>
            <w:vAlign w:val="center"/>
          </w:tcPr>
          <w:p w14:paraId="71891A11" w14:textId="77777777" w:rsidR="008374D5" w:rsidRPr="00FD2995" w:rsidRDefault="008374D5" w:rsidP="001C00E2">
            <w:pPr>
              <w:pStyle w:val="Heading3"/>
              <w:keepNext/>
            </w:pPr>
          </w:p>
        </w:tc>
        <w:tc>
          <w:tcPr>
            <w:tcW w:w="1559"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33B9EA60" w14:textId="77777777" w:rsidR="008374D5" w:rsidRPr="00FD2995" w:rsidRDefault="008374D5" w:rsidP="001C00E2">
            <w:pPr>
              <w:pStyle w:val="Heading3"/>
              <w:keepNext/>
              <w:jc w:val="center"/>
            </w:pPr>
            <w:bookmarkStart w:id="227" w:name="_Toc456784553"/>
            <w:r w:rsidRPr="00FD2995">
              <w:t>No. of staff weeks</w:t>
            </w:r>
            <w:bookmarkEnd w:id="227"/>
          </w:p>
        </w:tc>
        <w:tc>
          <w:tcPr>
            <w:tcW w:w="156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7E612370" w14:textId="77777777" w:rsidR="008374D5" w:rsidRPr="00FD2995" w:rsidRDefault="008374D5" w:rsidP="001C00E2">
            <w:pPr>
              <w:pStyle w:val="Heading3"/>
              <w:keepNext/>
              <w:jc w:val="center"/>
            </w:pPr>
            <w:bookmarkStart w:id="228" w:name="_Toc456784554"/>
            <w:r w:rsidRPr="00FD2995">
              <w:t>USD Thousands (including travel and consultant costs)</w:t>
            </w:r>
            <w:bookmarkEnd w:id="228"/>
          </w:p>
        </w:tc>
      </w:tr>
      <w:tr w:rsidR="008374D5" w14:paraId="624E30A5" w14:textId="77777777" w:rsidTr="00BB1EB2">
        <w:tc>
          <w:tcPr>
            <w:tcW w:w="1876" w:type="pct"/>
            <w:tcBorders>
              <w:top w:val="single" w:sz="4" w:space="0" w:color="B1B1B1"/>
              <w:left w:val="single" w:sz="4" w:space="0" w:color="B1B1B1"/>
              <w:bottom w:val="single" w:sz="4" w:space="0" w:color="B1B1B1"/>
              <w:right w:val="single" w:sz="4" w:space="0" w:color="B1B1B1"/>
            </w:tcBorders>
            <w:vAlign w:val="center"/>
          </w:tcPr>
          <w:p w14:paraId="6CE65581" w14:textId="77777777" w:rsidR="008374D5" w:rsidRPr="00FD2995" w:rsidRDefault="008374D5" w:rsidP="00FD2995">
            <w:pPr>
              <w:pStyle w:val="Heading3"/>
            </w:pPr>
            <w:bookmarkStart w:id="229" w:name="_Toc456784555"/>
            <w:r w:rsidRPr="00FD2995">
              <w:t>Lending</w:t>
            </w:r>
            <w:bookmarkEnd w:id="229"/>
          </w:p>
        </w:tc>
        <w:tc>
          <w:tcPr>
            <w:tcW w:w="1559" w:type="pct"/>
            <w:tcBorders>
              <w:top w:val="single" w:sz="4" w:space="0" w:color="B1B1B1"/>
              <w:left w:val="single" w:sz="4" w:space="0" w:color="B1B1B1"/>
              <w:bottom w:val="single" w:sz="4" w:space="0" w:color="B1B1B1"/>
              <w:right w:val="single" w:sz="4" w:space="0" w:color="B1B1B1"/>
            </w:tcBorders>
            <w:vAlign w:val="center"/>
          </w:tcPr>
          <w:p w14:paraId="5B6B232F" w14:textId="77777777" w:rsidR="008374D5" w:rsidRPr="00FD2995" w:rsidRDefault="008374D5" w:rsidP="00FD2995">
            <w:pPr>
              <w:pStyle w:val="Heading3"/>
            </w:pPr>
          </w:p>
        </w:tc>
        <w:tc>
          <w:tcPr>
            <w:tcW w:w="1565" w:type="pct"/>
            <w:tcBorders>
              <w:top w:val="single" w:sz="4" w:space="0" w:color="B1B1B1"/>
              <w:left w:val="single" w:sz="4" w:space="0" w:color="B1B1B1"/>
              <w:bottom w:val="single" w:sz="4" w:space="0" w:color="B1B1B1"/>
              <w:right w:val="single" w:sz="4" w:space="0" w:color="B1B1B1"/>
            </w:tcBorders>
            <w:vAlign w:val="center"/>
          </w:tcPr>
          <w:p w14:paraId="38319C83" w14:textId="77777777" w:rsidR="008374D5" w:rsidRPr="00FD2995" w:rsidRDefault="008374D5" w:rsidP="00FD2995">
            <w:pPr>
              <w:pStyle w:val="Heading3"/>
            </w:pPr>
          </w:p>
        </w:tc>
      </w:tr>
      <w:tr w:rsidR="00772F11" w:rsidRPr="00BB1EB2" w14:paraId="78073BE3"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6CAD08B9"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FY05</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53498CB" w14:textId="77777777" w:rsidR="00772F11" w:rsidRPr="00BB1EB2" w:rsidRDefault="00772F11">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DD679B1" w14:textId="77777777" w:rsidR="00772F11" w:rsidRPr="00BB1EB2" w:rsidRDefault="00772F11">
            <w:pPr>
              <w:tabs>
                <w:tab w:val="decimal" w:pos="1425"/>
              </w:tabs>
              <w:spacing w:line="200" w:lineRule="atLeast"/>
              <w:rPr>
                <w:color w:val="000000"/>
                <w:sz w:val="22"/>
                <w:szCs w:val="22"/>
              </w:rPr>
            </w:pPr>
            <w:r>
              <w:rPr>
                <w:color w:val="000000"/>
                <w:sz w:val="22"/>
                <w:szCs w:val="22"/>
              </w:rPr>
              <w:t>381.98</w:t>
            </w:r>
          </w:p>
        </w:tc>
      </w:tr>
      <w:tr w:rsidR="00772F11" w:rsidRPr="00BB1EB2" w14:paraId="5C9D33A0"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48916355"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FY06</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C9C9510" w14:textId="77777777" w:rsidR="00772F11" w:rsidRPr="00BB1EB2" w:rsidRDefault="00772F11">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E0F50D7" w14:textId="77777777" w:rsidR="00772F11" w:rsidRPr="00BB1EB2" w:rsidRDefault="00772F11">
            <w:pPr>
              <w:tabs>
                <w:tab w:val="decimal" w:pos="1425"/>
              </w:tabs>
              <w:spacing w:line="200" w:lineRule="atLeast"/>
              <w:rPr>
                <w:color w:val="000000"/>
                <w:sz w:val="22"/>
                <w:szCs w:val="22"/>
              </w:rPr>
            </w:pPr>
            <w:r>
              <w:rPr>
                <w:color w:val="000000"/>
                <w:sz w:val="22"/>
                <w:szCs w:val="22"/>
              </w:rPr>
              <w:t>13.79</w:t>
            </w:r>
          </w:p>
        </w:tc>
      </w:tr>
      <w:tr w:rsidR="00772F11" w:rsidRPr="00BB1EB2" w14:paraId="7C183E8D"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15D27425"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FY07</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5BE5BF3" w14:textId="77777777" w:rsidR="00772F11" w:rsidRPr="00BB1EB2" w:rsidRDefault="00772F11">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2DA4F12" w14:textId="77777777" w:rsidR="00772F11" w:rsidRPr="00BB1EB2" w:rsidRDefault="00772F11">
            <w:pPr>
              <w:tabs>
                <w:tab w:val="decimal" w:pos="1425"/>
              </w:tabs>
              <w:spacing w:line="200" w:lineRule="atLeast"/>
              <w:rPr>
                <w:color w:val="000000"/>
                <w:sz w:val="22"/>
                <w:szCs w:val="22"/>
              </w:rPr>
            </w:pPr>
            <w:r>
              <w:rPr>
                <w:color w:val="000000"/>
                <w:sz w:val="22"/>
                <w:szCs w:val="22"/>
              </w:rPr>
              <w:t>0.00</w:t>
            </w:r>
          </w:p>
        </w:tc>
      </w:tr>
      <w:tr w:rsidR="00772F11" w:rsidRPr="00BB1EB2" w14:paraId="0B9D3CB9"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49249F55"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w:t>
            </w:r>
            <w:bookmarkStart w:id="230" w:name="TIMECOST_LEN_COL_1"/>
            <w:r>
              <w:rPr>
                <w:rStyle w:val="Strong"/>
                <w:b w:val="0"/>
                <w:color w:val="000000"/>
                <w:sz w:val="22"/>
                <w:szCs w:val="22"/>
              </w:rPr>
              <w:t>FY08</w:t>
            </w:r>
            <w:bookmarkEnd w:id="230"/>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016050" w14:textId="77777777" w:rsidR="00772F11" w:rsidRPr="00BB1EB2" w:rsidRDefault="00772F11">
            <w:pPr>
              <w:tabs>
                <w:tab w:val="decimal" w:pos="1431"/>
              </w:tabs>
              <w:spacing w:line="200" w:lineRule="atLeast"/>
              <w:rPr>
                <w:color w:val="000000"/>
                <w:sz w:val="22"/>
                <w:szCs w:val="22"/>
              </w:rPr>
            </w:pPr>
            <w:bookmarkStart w:id="231" w:name="TIMECOST_LEN_COL_2"/>
            <w:bookmarkEnd w:id="231"/>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8D8AE22" w14:textId="77777777" w:rsidR="00772F11" w:rsidRPr="00BB1EB2" w:rsidRDefault="00772F11">
            <w:pPr>
              <w:tabs>
                <w:tab w:val="decimal" w:pos="1425"/>
              </w:tabs>
              <w:spacing w:line="200" w:lineRule="atLeast"/>
              <w:rPr>
                <w:color w:val="000000"/>
                <w:sz w:val="22"/>
                <w:szCs w:val="22"/>
              </w:rPr>
            </w:pPr>
            <w:bookmarkStart w:id="232" w:name="TIMECOST_LEN_COL_3"/>
            <w:r>
              <w:rPr>
                <w:color w:val="000000"/>
                <w:sz w:val="22"/>
                <w:szCs w:val="22"/>
              </w:rPr>
              <w:t>0.00</w:t>
            </w:r>
            <w:bookmarkEnd w:id="232"/>
          </w:p>
        </w:tc>
      </w:tr>
    </w:tbl>
    <w:p w14:paraId="2A2F4E0A" w14:textId="77777777" w:rsidR="00BB1EB2" w:rsidRPr="00BB1EB2" w:rsidRDefault="00BB1EB2" w:rsidP="001C00E2">
      <w:pPr>
        <w:pBdr>
          <w:left w:val="single" w:sz="4" w:space="4" w:color="B1B1B1"/>
          <w:right w:val="single" w:sz="4" w:space="4" w:color="B1B1B1"/>
        </w:pBdr>
        <w:tabs>
          <w:tab w:val="decimal" w:pos="3249"/>
          <w:tab w:val="left" w:pos="5949"/>
        </w:tabs>
        <w:ind w:left="99" w:right="99"/>
        <w:rPr>
          <w:color w:val="000000"/>
          <w:sz w:val="2"/>
          <w:szCs w:val="2"/>
        </w:rPr>
      </w:pPr>
      <w:bookmarkStart w:id="233" w:name="TIMECOST_LEN"/>
      <w:bookmarkEnd w:id="233"/>
    </w:p>
    <w:tbl>
      <w:tblPr>
        <w:tblW w:w="5000" w:type="pct"/>
        <w:tblCellMar>
          <w:top w:w="10" w:type="dxa"/>
          <w:left w:w="10" w:type="dxa"/>
          <w:bottom w:w="10" w:type="dxa"/>
          <w:right w:w="10" w:type="dxa"/>
        </w:tblCellMar>
        <w:tblLook w:val="0000" w:firstRow="0" w:lastRow="0" w:firstColumn="0" w:lastColumn="0" w:noHBand="0" w:noVBand="0"/>
      </w:tblPr>
      <w:tblGrid>
        <w:gridCol w:w="3508"/>
        <w:gridCol w:w="2915"/>
        <w:gridCol w:w="2927"/>
      </w:tblGrid>
      <w:tr w:rsidR="008374D5" w14:paraId="47258279" w14:textId="77777777" w:rsidTr="001C00E2">
        <w:tc>
          <w:tcPr>
            <w:tcW w:w="1876" w:type="pct"/>
            <w:tcBorders>
              <w:left w:val="single" w:sz="4" w:space="0" w:color="B1B1B1"/>
              <w:bottom w:val="single" w:sz="4" w:space="0" w:color="B1B1B1"/>
              <w:right w:val="single" w:sz="4" w:space="0" w:color="B1B1B1"/>
            </w:tcBorders>
            <w:vAlign w:val="center"/>
          </w:tcPr>
          <w:p w14:paraId="73D19E63" w14:textId="77777777" w:rsidR="008374D5" w:rsidRDefault="008374D5" w:rsidP="00CD3651">
            <w:pPr>
              <w:spacing w:line="200" w:lineRule="atLeast"/>
              <w:jc w:val="right"/>
              <w:rPr>
                <w:color w:val="000000"/>
                <w:sz w:val="22"/>
                <w:szCs w:val="22"/>
              </w:rPr>
            </w:pPr>
            <w:r>
              <w:rPr>
                <w:rStyle w:val="Strong"/>
                <w:color w:val="000000"/>
                <w:sz w:val="22"/>
                <w:szCs w:val="22"/>
              </w:rPr>
              <w:t>Total:</w:t>
            </w:r>
          </w:p>
        </w:tc>
        <w:tc>
          <w:tcPr>
            <w:tcW w:w="1559" w:type="pct"/>
            <w:tcBorders>
              <w:left w:val="single" w:sz="4" w:space="0" w:color="B1B1B1"/>
              <w:bottom w:val="single" w:sz="4" w:space="0" w:color="B1B1B1"/>
              <w:right w:val="single" w:sz="4" w:space="0" w:color="B1B1B1"/>
            </w:tcBorders>
            <w:shd w:val="clear" w:color="auto" w:fill="auto"/>
            <w:vAlign w:val="center"/>
          </w:tcPr>
          <w:p w14:paraId="4BB6241D" w14:textId="77777777" w:rsidR="008374D5" w:rsidRDefault="008374D5" w:rsidP="00BB1EB2">
            <w:pPr>
              <w:tabs>
                <w:tab w:val="decimal" w:pos="1431"/>
              </w:tabs>
              <w:spacing w:line="200" w:lineRule="atLeast"/>
              <w:rPr>
                <w:color w:val="000000"/>
                <w:sz w:val="22"/>
                <w:szCs w:val="22"/>
              </w:rPr>
            </w:pPr>
            <w:bookmarkStart w:id="234" w:name="LEN_WEEKS"/>
            <w:bookmarkEnd w:id="234"/>
          </w:p>
        </w:tc>
        <w:tc>
          <w:tcPr>
            <w:tcW w:w="1565" w:type="pct"/>
            <w:tcBorders>
              <w:left w:val="single" w:sz="4" w:space="0" w:color="B1B1B1"/>
              <w:bottom w:val="single" w:sz="4" w:space="0" w:color="B1B1B1"/>
              <w:right w:val="single" w:sz="4" w:space="0" w:color="B1B1B1"/>
            </w:tcBorders>
            <w:shd w:val="clear" w:color="auto" w:fill="auto"/>
            <w:vAlign w:val="center"/>
          </w:tcPr>
          <w:p w14:paraId="259458F5" w14:textId="77777777" w:rsidR="008374D5" w:rsidRDefault="00772F11" w:rsidP="008374D5">
            <w:pPr>
              <w:tabs>
                <w:tab w:val="decimal" w:pos="1425"/>
              </w:tabs>
              <w:spacing w:line="200" w:lineRule="atLeast"/>
              <w:rPr>
                <w:color w:val="000000"/>
                <w:sz w:val="22"/>
                <w:szCs w:val="22"/>
              </w:rPr>
            </w:pPr>
            <w:bookmarkStart w:id="235" w:name="LEN_COST"/>
            <w:r>
              <w:rPr>
                <w:color w:val="000000"/>
                <w:sz w:val="22"/>
                <w:szCs w:val="22"/>
              </w:rPr>
              <w:t>395.77</w:t>
            </w:r>
            <w:bookmarkEnd w:id="235"/>
          </w:p>
        </w:tc>
      </w:tr>
      <w:tr w:rsidR="008374D5" w14:paraId="63A06CAD" w14:textId="77777777" w:rsidTr="00BB1EB2">
        <w:tc>
          <w:tcPr>
            <w:tcW w:w="1876" w:type="pct"/>
            <w:tcBorders>
              <w:top w:val="single" w:sz="4" w:space="0" w:color="B1B1B1"/>
              <w:left w:val="single" w:sz="4" w:space="0" w:color="B1B1B1"/>
              <w:bottom w:val="single" w:sz="4" w:space="0" w:color="B1B1B1"/>
              <w:right w:val="single" w:sz="4" w:space="0" w:color="B1B1B1"/>
            </w:tcBorders>
            <w:vAlign w:val="center"/>
          </w:tcPr>
          <w:p w14:paraId="050B4323" w14:textId="77777777" w:rsidR="008374D5" w:rsidRDefault="008374D5" w:rsidP="00CD3651">
            <w:pPr>
              <w:spacing w:line="200" w:lineRule="atLeast"/>
              <w:rPr>
                <w:color w:val="000000"/>
                <w:sz w:val="22"/>
                <w:szCs w:val="22"/>
              </w:rPr>
            </w:pPr>
            <w:r>
              <w:rPr>
                <w:rStyle w:val="Strong"/>
                <w:color w:val="000000"/>
                <w:sz w:val="22"/>
                <w:szCs w:val="22"/>
              </w:rPr>
              <w:lastRenderedPageBreak/>
              <w:t>Supervision/ICR</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C1B4DC4" w14:textId="77777777" w:rsidR="008374D5" w:rsidRDefault="008374D5" w:rsidP="00BB1EB2">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E830695" w14:textId="77777777" w:rsidR="008374D5" w:rsidRDefault="008374D5" w:rsidP="008374D5">
            <w:pPr>
              <w:tabs>
                <w:tab w:val="decimal" w:pos="1425"/>
              </w:tabs>
              <w:spacing w:line="200" w:lineRule="atLeast"/>
              <w:rPr>
                <w:color w:val="000000"/>
                <w:sz w:val="22"/>
                <w:szCs w:val="22"/>
              </w:rPr>
            </w:pPr>
          </w:p>
        </w:tc>
      </w:tr>
      <w:tr w:rsidR="00772F11" w:rsidRPr="00BB1EB2" w14:paraId="7C5BC786"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1C760DEE"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FY05</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8011835" w14:textId="77777777" w:rsidR="00772F11" w:rsidRPr="00BB1EB2" w:rsidRDefault="00772F11">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D0AA4A9" w14:textId="77777777" w:rsidR="00772F11" w:rsidRPr="00BB1EB2" w:rsidRDefault="00772F11">
            <w:pPr>
              <w:tabs>
                <w:tab w:val="decimal" w:pos="1425"/>
              </w:tabs>
              <w:spacing w:line="200" w:lineRule="atLeast"/>
              <w:rPr>
                <w:color w:val="000000"/>
                <w:sz w:val="22"/>
                <w:szCs w:val="22"/>
              </w:rPr>
            </w:pPr>
            <w:r>
              <w:rPr>
                <w:color w:val="000000"/>
                <w:sz w:val="22"/>
                <w:szCs w:val="22"/>
              </w:rPr>
              <w:t>0.00</w:t>
            </w:r>
          </w:p>
        </w:tc>
      </w:tr>
      <w:tr w:rsidR="00772F11" w:rsidRPr="00BB1EB2" w14:paraId="00CFB377"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6802619A"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FY06</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E674FF3" w14:textId="77777777" w:rsidR="00772F11" w:rsidRPr="00BB1EB2" w:rsidRDefault="00772F11">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C72F28C" w14:textId="77777777" w:rsidR="00772F11" w:rsidRPr="00BB1EB2" w:rsidRDefault="00772F11">
            <w:pPr>
              <w:tabs>
                <w:tab w:val="decimal" w:pos="1425"/>
              </w:tabs>
              <w:spacing w:line="200" w:lineRule="atLeast"/>
              <w:rPr>
                <w:color w:val="000000"/>
                <w:sz w:val="22"/>
                <w:szCs w:val="22"/>
              </w:rPr>
            </w:pPr>
            <w:r>
              <w:rPr>
                <w:color w:val="000000"/>
                <w:sz w:val="22"/>
                <w:szCs w:val="22"/>
              </w:rPr>
              <w:t>67.28</w:t>
            </w:r>
          </w:p>
        </w:tc>
      </w:tr>
      <w:tr w:rsidR="00772F11" w:rsidRPr="00BB1EB2" w14:paraId="77029EB3"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3B247E19"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FY07</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20662D3" w14:textId="77777777" w:rsidR="00772F11" w:rsidRPr="00BB1EB2" w:rsidRDefault="00772F11">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A09DA25" w14:textId="77777777" w:rsidR="00772F11" w:rsidRPr="00BB1EB2" w:rsidRDefault="00772F11">
            <w:pPr>
              <w:tabs>
                <w:tab w:val="decimal" w:pos="1425"/>
              </w:tabs>
              <w:spacing w:line="200" w:lineRule="atLeast"/>
              <w:rPr>
                <w:color w:val="000000"/>
                <w:sz w:val="22"/>
                <w:szCs w:val="22"/>
              </w:rPr>
            </w:pPr>
            <w:r>
              <w:rPr>
                <w:color w:val="000000"/>
                <w:sz w:val="22"/>
                <w:szCs w:val="22"/>
              </w:rPr>
              <w:t>56.33</w:t>
            </w:r>
          </w:p>
        </w:tc>
      </w:tr>
      <w:tr w:rsidR="00772F11" w:rsidRPr="00BB1EB2" w14:paraId="26074043"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3A8F2107" w14:textId="77777777" w:rsidR="00772F11" w:rsidRPr="00BB1EB2" w:rsidRDefault="00772F11">
            <w:pPr>
              <w:spacing w:line="200" w:lineRule="atLeast"/>
              <w:ind w:left="180"/>
              <w:rPr>
                <w:rStyle w:val="Strong"/>
                <w:b w:val="0"/>
                <w:color w:val="000000"/>
                <w:sz w:val="22"/>
                <w:szCs w:val="22"/>
              </w:rPr>
            </w:pPr>
            <w:r>
              <w:rPr>
                <w:rStyle w:val="Strong"/>
                <w:b w:val="0"/>
                <w:color w:val="000000"/>
                <w:sz w:val="22"/>
                <w:szCs w:val="22"/>
              </w:rPr>
              <w:t xml:space="preserve"> </w:t>
            </w:r>
            <w:bookmarkStart w:id="236" w:name="TIMECOST_SUP_COL_1"/>
            <w:r>
              <w:rPr>
                <w:rStyle w:val="Strong"/>
                <w:b w:val="0"/>
                <w:color w:val="000000"/>
                <w:sz w:val="22"/>
                <w:szCs w:val="22"/>
              </w:rPr>
              <w:t>FY08</w:t>
            </w:r>
            <w:bookmarkEnd w:id="236"/>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FF2E7E1" w14:textId="77777777" w:rsidR="00772F11" w:rsidRPr="00BB1EB2" w:rsidRDefault="00772F11">
            <w:pPr>
              <w:tabs>
                <w:tab w:val="decimal" w:pos="1431"/>
              </w:tabs>
              <w:spacing w:line="200" w:lineRule="atLeast"/>
              <w:rPr>
                <w:color w:val="000000"/>
                <w:sz w:val="22"/>
                <w:szCs w:val="22"/>
              </w:rPr>
            </w:pPr>
            <w:bookmarkStart w:id="237" w:name="TIMECOST_SUP_COL_2"/>
            <w:bookmarkEnd w:id="237"/>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4B67084" w14:textId="77777777" w:rsidR="00772F11" w:rsidRPr="00BB1EB2" w:rsidRDefault="00772F11">
            <w:pPr>
              <w:tabs>
                <w:tab w:val="decimal" w:pos="1425"/>
              </w:tabs>
              <w:spacing w:line="200" w:lineRule="atLeast"/>
              <w:rPr>
                <w:color w:val="000000"/>
                <w:sz w:val="22"/>
                <w:szCs w:val="22"/>
              </w:rPr>
            </w:pPr>
            <w:bookmarkStart w:id="238" w:name="TIMECOST_SUP_COL_3"/>
            <w:r>
              <w:rPr>
                <w:color w:val="000000"/>
                <w:sz w:val="22"/>
                <w:szCs w:val="22"/>
              </w:rPr>
              <w:t>79.36</w:t>
            </w:r>
            <w:bookmarkEnd w:id="238"/>
          </w:p>
        </w:tc>
      </w:tr>
      <w:tr w:rsidR="00C26F0B" w:rsidRPr="00BB1EB2" w14:paraId="50B146E4"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55689E9E" w14:textId="3BF98374" w:rsidR="00C26F0B" w:rsidRDefault="00C26F0B">
            <w:pPr>
              <w:spacing w:line="200" w:lineRule="atLeast"/>
              <w:ind w:left="180"/>
              <w:rPr>
                <w:rStyle w:val="Strong"/>
                <w:b w:val="0"/>
                <w:color w:val="000000"/>
                <w:sz w:val="22"/>
                <w:szCs w:val="22"/>
              </w:rPr>
            </w:pPr>
            <w:r>
              <w:rPr>
                <w:rStyle w:val="Strong"/>
                <w:b w:val="0"/>
                <w:color w:val="000000"/>
                <w:sz w:val="22"/>
                <w:szCs w:val="22"/>
              </w:rPr>
              <w:t>FY09</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99A09F0"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57BFD4E" w14:textId="2365F26E" w:rsidR="00C26F0B" w:rsidRDefault="00C26F0B">
            <w:pPr>
              <w:tabs>
                <w:tab w:val="decimal" w:pos="1425"/>
              </w:tabs>
              <w:spacing w:line="200" w:lineRule="atLeast"/>
              <w:rPr>
                <w:color w:val="000000"/>
                <w:sz w:val="22"/>
                <w:szCs w:val="22"/>
              </w:rPr>
            </w:pPr>
            <w:r>
              <w:rPr>
                <w:color w:val="000000"/>
                <w:sz w:val="22"/>
                <w:szCs w:val="22"/>
              </w:rPr>
              <w:t>40.76</w:t>
            </w:r>
          </w:p>
        </w:tc>
      </w:tr>
      <w:tr w:rsidR="00C26F0B" w:rsidRPr="00BB1EB2" w14:paraId="2E0D550E"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3C528272" w14:textId="6E34BED2" w:rsidR="00C26F0B" w:rsidRDefault="00C26F0B">
            <w:pPr>
              <w:spacing w:line="200" w:lineRule="atLeast"/>
              <w:ind w:left="180"/>
              <w:rPr>
                <w:rStyle w:val="Strong"/>
                <w:b w:val="0"/>
                <w:color w:val="000000"/>
                <w:sz w:val="22"/>
                <w:szCs w:val="22"/>
              </w:rPr>
            </w:pPr>
            <w:r>
              <w:rPr>
                <w:rStyle w:val="Strong"/>
                <w:b w:val="0"/>
                <w:color w:val="000000"/>
                <w:sz w:val="22"/>
                <w:szCs w:val="22"/>
              </w:rPr>
              <w:t>FY10</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463317F"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C6EB472" w14:textId="191220DB" w:rsidR="00C26F0B" w:rsidRDefault="00C26F0B">
            <w:pPr>
              <w:tabs>
                <w:tab w:val="decimal" w:pos="1425"/>
              </w:tabs>
              <w:spacing w:line="200" w:lineRule="atLeast"/>
              <w:rPr>
                <w:color w:val="000000"/>
                <w:sz w:val="22"/>
                <w:szCs w:val="22"/>
              </w:rPr>
            </w:pPr>
            <w:r>
              <w:rPr>
                <w:color w:val="000000"/>
                <w:sz w:val="22"/>
                <w:szCs w:val="22"/>
              </w:rPr>
              <w:t>83.63</w:t>
            </w:r>
          </w:p>
        </w:tc>
      </w:tr>
      <w:tr w:rsidR="00C26F0B" w:rsidRPr="00BB1EB2" w14:paraId="2C59BFD7"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0E6E258E" w14:textId="78897BA4" w:rsidR="00C26F0B" w:rsidRDefault="00C26F0B">
            <w:pPr>
              <w:spacing w:line="200" w:lineRule="atLeast"/>
              <w:ind w:left="180"/>
              <w:rPr>
                <w:rStyle w:val="Strong"/>
                <w:b w:val="0"/>
                <w:color w:val="000000"/>
                <w:sz w:val="22"/>
                <w:szCs w:val="22"/>
              </w:rPr>
            </w:pPr>
            <w:r>
              <w:rPr>
                <w:rStyle w:val="Strong"/>
                <w:b w:val="0"/>
                <w:color w:val="000000"/>
                <w:sz w:val="22"/>
                <w:szCs w:val="22"/>
              </w:rPr>
              <w:t>FY11</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2A381B8"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5B42E1C" w14:textId="6783428E" w:rsidR="00C26F0B" w:rsidRDefault="00C26F0B">
            <w:pPr>
              <w:tabs>
                <w:tab w:val="decimal" w:pos="1425"/>
              </w:tabs>
              <w:spacing w:line="200" w:lineRule="atLeast"/>
              <w:rPr>
                <w:color w:val="000000"/>
                <w:sz w:val="22"/>
                <w:szCs w:val="22"/>
              </w:rPr>
            </w:pPr>
            <w:r>
              <w:rPr>
                <w:color w:val="000000"/>
                <w:sz w:val="22"/>
                <w:szCs w:val="22"/>
              </w:rPr>
              <w:t>66.84</w:t>
            </w:r>
          </w:p>
        </w:tc>
      </w:tr>
      <w:tr w:rsidR="00C26F0B" w:rsidRPr="00BB1EB2" w14:paraId="046B2BE5"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69DC1D9D" w14:textId="4D593E6F" w:rsidR="00C26F0B" w:rsidRDefault="00C26F0B">
            <w:pPr>
              <w:spacing w:line="200" w:lineRule="atLeast"/>
              <w:ind w:left="180"/>
              <w:rPr>
                <w:rStyle w:val="Strong"/>
                <w:b w:val="0"/>
                <w:color w:val="000000"/>
                <w:sz w:val="22"/>
                <w:szCs w:val="22"/>
              </w:rPr>
            </w:pPr>
            <w:r>
              <w:rPr>
                <w:rStyle w:val="Strong"/>
                <w:b w:val="0"/>
                <w:color w:val="000000"/>
                <w:sz w:val="22"/>
                <w:szCs w:val="22"/>
              </w:rPr>
              <w:t>FY12</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C690C0B"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4FFCD14" w14:textId="319D28FD" w:rsidR="00C26F0B" w:rsidRDefault="00C26F0B">
            <w:pPr>
              <w:tabs>
                <w:tab w:val="decimal" w:pos="1425"/>
              </w:tabs>
              <w:spacing w:line="200" w:lineRule="atLeast"/>
              <w:rPr>
                <w:color w:val="000000"/>
                <w:sz w:val="22"/>
                <w:szCs w:val="22"/>
              </w:rPr>
            </w:pPr>
            <w:r>
              <w:rPr>
                <w:color w:val="000000"/>
                <w:sz w:val="22"/>
                <w:szCs w:val="22"/>
              </w:rPr>
              <w:t>59.98</w:t>
            </w:r>
          </w:p>
        </w:tc>
      </w:tr>
      <w:tr w:rsidR="00C26F0B" w:rsidRPr="00BB1EB2" w14:paraId="0FF94BF0"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6F96FBEE" w14:textId="73BD0BE7" w:rsidR="00C26F0B" w:rsidRDefault="00C26F0B">
            <w:pPr>
              <w:spacing w:line="200" w:lineRule="atLeast"/>
              <w:ind w:left="180"/>
              <w:rPr>
                <w:rStyle w:val="Strong"/>
                <w:b w:val="0"/>
                <w:color w:val="000000"/>
                <w:sz w:val="22"/>
                <w:szCs w:val="22"/>
              </w:rPr>
            </w:pPr>
            <w:r>
              <w:rPr>
                <w:rStyle w:val="Strong"/>
                <w:b w:val="0"/>
                <w:color w:val="000000"/>
                <w:sz w:val="22"/>
                <w:szCs w:val="22"/>
              </w:rPr>
              <w:t>FY13</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E4BD253"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DD06D2F" w14:textId="753A3EDC" w:rsidR="00C26F0B" w:rsidRDefault="00C26F0B">
            <w:pPr>
              <w:tabs>
                <w:tab w:val="decimal" w:pos="1425"/>
              </w:tabs>
              <w:spacing w:line="200" w:lineRule="atLeast"/>
              <w:rPr>
                <w:color w:val="000000"/>
                <w:sz w:val="22"/>
                <w:szCs w:val="22"/>
              </w:rPr>
            </w:pPr>
            <w:r>
              <w:rPr>
                <w:color w:val="000000"/>
                <w:sz w:val="22"/>
                <w:szCs w:val="22"/>
              </w:rPr>
              <w:t>83.01</w:t>
            </w:r>
          </w:p>
        </w:tc>
      </w:tr>
      <w:tr w:rsidR="00C26F0B" w:rsidRPr="00BB1EB2" w14:paraId="67F334C7"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2FB078FE" w14:textId="367E861E" w:rsidR="00C26F0B" w:rsidRDefault="00C26F0B">
            <w:pPr>
              <w:spacing w:line="200" w:lineRule="atLeast"/>
              <w:ind w:left="180"/>
              <w:rPr>
                <w:rStyle w:val="Strong"/>
                <w:b w:val="0"/>
                <w:color w:val="000000"/>
                <w:sz w:val="22"/>
                <w:szCs w:val="22"/>
              </w:rPr>
            </w:pPr>
            <w:r>
              <w:rPr>
                <w:rStyle w:val="Strong"/>
                <w:b w:val="0"/>
                <w:color w:val="000000"/>
                <w:sz w:val="22"/>
                <w:szCs w:val="22"/>
              </w:rPr>
              <w:t>FY14</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01E79CC"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C335290" w14:textId="568A6CAA" w:rsidR="00C26F0B" w:rsidRDefault="00C26F0B">
            <w:pPr>
              <w:tabs>
                <w:tab w:val="decimal" w:pos="1425"/>
              </w:tabs>
              <w:spacing w:line="200" w:lineRule="atLeast"/>
              <w:rPr>
                <w:color w:val="000000"/>
                <w:sz w:val="22"/>
                <w:szCs w:val="22"/>
              </w:rPr>
            </w:pPr>
            <w:r>
              <w:rPr>
                <w:color w:val="000000"/>
                <w:sz w:val="22"/>
                <w:szCs w:val="22"/>
              </w:rPr>
              <w:t>74.72</w:t>
            </w:r>
          </w:p>
        </w:tc>
      </w:tr>
      <w:tr w:rsidR="00C26F0B" w:rsidRPr="00BB1EB2" w14:paraId="7AB86C38"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291309CA" w14:textId="2EEC07A3" w:rsidR="00C26F0B" w:rsidRDefault="00C26F0B">
            <w:pPr>
              <w:spacing w:line="200" w:lineRule="atLeast"/>
              <w:ind w:left="180"/>
              <w:rPr>
                <w:rStyle w:val="Strong"/>
                <w:b w:val="0"/>
                <w:color w:val="000000"/>
                <w:sz w:val="22"/>
                <w:szCs w:val="22"/>
              </w:rPr>
            </w:pPr>
            <w:r>
              <w:rPr>
                <w:rStyle w:val="Strong"/>
                <w:b w:val="0"/>
                <w:color w:val="000000"/>
                <w:sz w:val="22"/>
                <w:szCs w:val="22"/>
              </w:rPr>
              <w:t>FY15</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A6B65DE"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52FED88" w14:textId="1777A195" w:rsidR="00C26F0B" w:rsidRDefault="00C26F0B">
            <w:pPr>
              <w:tabs>
                <w:tab w:val="decimal" w:pos="1425"/>
              </w:tabs>
              <w:spacing w:line="200" w:lineRule="atLeast"/>
              <w:rPr>
                <w:color w:val="000000"/>
                <w:sz w:val="22"/>
                <w:szCs w:val="22"/>
              </w:rPr>
            </w:pPr>
            <w:r>
              <w:rPr>
                <w:color w:val="000000"/>
                <w:sz w:val="22"/>
                <w:szCs w:val="22"/>
              </w:rPr>
              <w:t>87.36</w:t>
            </w:r>
          </w:p>
        </w:tc>
      </w:tr>
      <w:tr w:rsidR="00C26F0B" w:rsidRPr="00BB1EB2" w14:paraId="591AD2CD" w14:textId="77777777">
        <w:tc>
          <w:tcPr>
            <w:tcW w:w="1876" w:type="pct"/>
            <w:tcBorders>
              <w:top w:val="single" w:sz="4" w:space="0" w:color="B1B1B1"/>
              <w:left w:val="single" w:sz="4" w:space="0" w:color="B1B1B1"/>
              <w:bottom w:val="single" w:sz="4" w:space="0" w:color="B1B1B1"/>
              <w:right w:val="single" w:sz="4" w:space="0" w:color="B1B1B1"/>
            </w:tcBorders>
            <w:vAlign w:val="center"/>
          </w:tcPr>
          <w:p w14:paraId="5C81611A" w14:textId="2FEDD0C8" w:rsidR="00C26F0B" w:rsidRDefault="00C26F0B">
            <w:pPr>
              <w:spacing w:line="200" w:lineRule="atLeast"/>
              <w:ind w:left="180"/>
              <w:rPr>
                <w:rStyle w:val="Strong"/>
                <w:b w:val="0"/>
                <w:color w:val="000000"/>
                <w:sz w:val="22"/>
                <w:szCs w:val="22"/>
              </w:rPr>
            </w:pPr>
            <w:r>
              <w:rPr>
                <w:rStyle w:val="Strong"/>
                <w:b w:val="0"/>
                <w:color w:val="000000"/>
                <w:sz w:val="22"/>
                <w:szCs w:val="22"/>
              </w:rPr>
              <w:t>FY16</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A770366" w14:textId="77777777" w:rsidR="00C26F0B" w:rsidRPr="00BB1EB2" w:rsidRDefault="00C26F0B">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2CA61E7" w14:textId="637E9337" w:rsidR="00C26F0B" w:rsidRDefault="00C26F0B">
            <w:pPr>
              <w:tabs>
                <w:tab w:val="decimal" w:pos="1425"/>
              </w:tabs>
              <w:spacing w:line="200" w:lineRule="atLeast"/>
              <w:rPr>
                <w:color w:val="000000"/>
                <w:sz w:val="22"/>
                <w:szCs w:val="22"/>
              </w:rPr>
            </w:pPr>
            <w:r>
              <w:rPr>
                <w:color w:val="000000"/>
                <w:sz w:val="22"/>
                <w:szCs w:val="22"/>
              </w:rPr>
              <w:t>107.63</w:t>
            </w:r>
          </w:p>
        </w:tc>
      </w:tr>
    </w:tbl>
    <w:p w14:paraId="7F3908AD" w14:textId="77777777" w:rsidR="004E51FF" w:rsidRPr="004E51FF" w:rsidRDefault="004E51FF" w:rsidP="001C00E2">
      <w:pPr>
        <w:pBdr>
          <w:left w:val="single" w:sz="4" w:space="4" w:color="B1B1B1"/>
          <w:right w:val="single" w:sz="4" w:space="4" w:color="B1B1B1"/>
        </w:pBdr>
        <w:tabs>
          <w:tab w:val="decimal" w:pos="3249"/>
          <w:tab w:val="left" w:pos="5949"/>
        </w:tabs>
        <w:ind w:left="99" w:right="108"/>
        <w:rPr>
          <w:color w:val="000000"/>
          <w:sz w:val="2"/>
          <w:szCs w:val="2"/>
        </w:rPr>
      </w:pPr>
      <w:bookmarkStart w:id="239" w:name="TIMECOST_SUP"/>
      <w:bookmarkEnd w:id="239"/>
    </w:p>
    <w:tbl>
      <w:tblPr>
        <w:tblW w:w="5000" w:type="pct"/>
        <w:tblBorders>
          <w:left w:val="single" w:sz="4" w:space="0" w:color="B1B1B1"/>
          <w:bottom w:val="single" w:sz="4" w:space="0" w:color="B1B1B1"/>
          <w:right w:val="single" w:sz="4" w:space="0" w:color="B1B1B1"/>
          <w:insideH w:val="single" w:sz="4" w:space="0" w:color="B1B1B1"/>
          <w:insideV w:val="single" w:sz="4" w:space="0" w:color="B1B1B1"/>
        </w:tblBorders>
        <w:tblCellMar>
          <w:top w:w="10" w:type="dxa"/>
          <w:left w:w="10" w:type="dxa"/>
          <w:bottom w:w="10" w:type="dxa"/>
          <w:right w:w="10" w:type="dxa"/>
        </w:tblCellMar>
        <w:tblLook w:val="0000" w:firstRow="0" w:lastRow="0" w:firstColumn="0" w:lastColumn="0" w:noHBand="0" w:noVBand="0"/>
      </w:tblPr>
      <w:tblGrid>
        <w:gridCol w:w="3508"/>
        <w:gridCol w:w="2915"/>
        <w:gridCol w:w="2927"/>
      </w:tblGrid>
      <w:tr w:rsidR="008374D5" w14:paraId="55FB03B9" w14:textId="77777777" w:rsidTr="001C00E2">
        <w:tc>
          <w:tcPr>
            <w:tcW w:w="1876" w:type="pct"/>
            <w:vAlign w:val="center"/>
          </w:tcPr>
          <w:p w14:paraId="4A0ED9D8" w14:textId="77777777" w:rsidR="008374D5" w:rsidRDefault="008374D5" w:rsidP="00CD3651">
            <w:pPr>
              <w:spacing w:line="200" w:lineRule="atLeast"/>
              <w:jc w:val="right"/>
              <w:rPr>
                <w:color w:val="000000"/>
                <w:sz w:val="22"/>
                <w:szCs w:val="22"/>
              </w:rPr>
            </w:pPr>
            <w:r>
              <w:rPr>
                <w:rStyle w:val="Strong"/>
                <w:color w:val="000000"/>
                <w:sz w:val="22"/>
                <w:szCs w:val="22"/>
              </w:rPr>
              <w:t>Total:</w:t>
            </w:r>
          </w:p>
        </w:tc>
        <w:tc>
          <w:tcPr>
            <w:tcW w:w="1559" w:type="pct"/>
            <w:vAlign w:val="center"/>
          </w:tcPr>
          <w:p w14:paraId="36C81D32" w14:textId="77777777" w:rsidR="008374D5" w:rsidRDefault="008374D5" w:rsidP="00BB1EB2">
            <w:pPr>
              <w:tabs>
                <w:tab w:val="decimal" w:pos="1431"/>
              </w:tabs>
              <w:spacing w:line="200" w:lineRule="atLeast"/>
              <w:rPr>
                <w:color w:val="000000"/>
                <w:sz w:val="22"/>
                <w:szCs w:val="22"/>
              </w:rPr>
            </w:pPr>
            <w:bookmarkStart w:id="240" w:name="SUP_WEEKS"/>
            <w:bookmarkEnd w:id="240"/>
          </w:p>
        </w:tc>
        <w:tc>
          <w:tcPr>
            <w:tcW w:w="1565" w:type="pct"/>
            <w:vAlign w:val="center"/>
          </w:tcPr>
          <w:p w14:paraId="3614C5F4" w14:textId="3221022B" w:rsidR="008374D5" w:rsidRDefault="00C26F0B" w:rsidP="008374D5">
            <w:pPr>
              <w:tabs>
                <w:tab w:val="decimal" w:pos="1425"/>
              </w:tabs>
              <w:spacing w:line="200" w:lineRule="atLeast"/>
              <w:rPr>
                <w:color w:val="000000"/>
                <w:sz w:val="22"/>
                <w:szCs w:val="22"/>
              </w:rPr>
            </w:pPr>
            <w:r>
              <w:rPr>
                <w:color w:val="000000"/>
                <w:sz w:val="22"/>
                <w:szCs w:val="22"/>
              </w:rPr>
              <w:t>806.90</w:t>
            </w:r>
          </w:p>
        </w:tc>
      </w:tr>
    </w:tbl>
    <w:p w14:paraId="19CAA122" w14:textId="77777777" w:rsidR="00E07BAC" w:rsidRDefault="006B724A" w:rsidP="00E07BAC">
      <w:pPr>
        <w:pStyle w:val="Heading2"/>
      </w:pPr>
      <w:r>
        <w:t xml:space="preserve"> </w:t>
      </w:r>
      <w:r>
        <w:br w:type="page"/>
      </w:r>
      <w:bookmarkStart w:id="241" w:name="_IL20"/>
    </w:p>
    <w:p w14:paraId="0DB7B34F" w14:textId="273EF0FE" w:rsidR="00C67D43" w:rsidRDefault="000411CD" w:rsidP="005A4EF0">
      <w:pPr>
        <w:pStyle w:val="Heading2"/>
        <w:jc w:val="center"/>
      </w:pPr>
      <w:bookmarkStart w:id="242" w:name="_Toc158019381"/>
      <w:bookmarkStart w:id="243" w:name="_Toc456784556"/>
      <w:bookmarkStart w:id="244" w:name="_Ref456788842"/>
      <w:bookmarkEnd w:id="241"/>
      <w:r w:rsidRPr="00E07BAC">
        <w:lastRenderedPageBreak/>
        <w:t xml:space="preserve">Annex 5. </w:t>
      </w:r>
      <w:bookmarkEnd w:id="242"/>
      <w:r w:rsidR="00940899">
        <w:t xml:space="preserve">Impact evaluation </w:t>
      </w:r>
      <w:r w:rsidR="00AC4DA4">
        <w:t>Summary</w:t>
      </w:r>
      <w:bookmarkEnd w:id="243"/>
      <w:bookmarkEnd w:id="244"/>
    </w:p>
    <w:p w14:paraId="2CB0D5C6" w14:textId="77777777" w:rsidR="00AC4DA4" w:rsidRDefault="00AC4DA4" w:rsidP="00AC4DA4">
      <w:bookmarkStart w:id="245" w:name="ANN8"/>
      <w:bookmarkEnd w:id="245"/>
    </w:p>
    <w:p w14:paraId="1705D35D" w14:textId="40871FE5" w:rsidR="00AC4DA4" w:rsidRDefault="00AC4DA4" w:rsidP="00ED5DA4">
      <w:pPr>
        <w:rPr>
          <w:b/>
          <w:u w:val="single"/>
        </w:rPr>
      </w:pPr>
      <w:r w:rsidRPr="00ED5DA4">
        <w:rPr>
          <w:b/>
          <w:u w:val="single"/>
        </w:rPr>
        <w:t>Summary of impact evaluation report by Center for Social Excellence</w:t>
      </w:r>
    </w:p>
    <w:p w14:paraId="1ADF5C6D" w14:textId="77777777" w:rsidR="00ED5DA4" w:rsidRPr="00ED5DA4" w:rsidRDefault="00ED5DA4" w:rsidP="00ED5DA4">
      <w:pPr>
        <w:rPr>
          <w:b/>
          <w:u w:val="single"/>
        </w:rPr>
      </w:pPr>
    </w:p>
    <w:p w14:paraId="39940CDE" w14:textId="6731F9B6" w:rsidR="00AC4DA4" w:rsidRPr="003E67BE" w:rsidRDefault="00AC4DA4" w:rsidP="005A4EF0">
      <w:pPr>
        <w:numPr>
          <w:ilvl w:val="0"/>
          <w:numId w:val="18"/>
        </w:numPr>
        <w:autoSpaceDE w:val="0"/>
        <w:autoSpaceDN w:val="0"/>
        <w:adjustRightInd w:val="0"/>
        <w:spacing w:after="240"/>
        <w:ind w:left="0" w:firstLine="0"/>
      </w:pPr>
      <w:r w:rsidRPr="003E67BE">
        <w:rPr>
          <w:b/>
        </w:rPr>
        <w:t>Objective of the evaluation:</w:t>
      </w:r>
      <w:r w:rsidRPr="003E67BE">
        <w:t xml:space="preserve"> in</w:t>
      </w:r>
      <w:r w:rsidRPr="003E67BE">
        <w:rPr>
          <w:b/>
        </w:rPr>
        <w:t xml:space="preserve"> </w:t>
      </w:r>
      <w:r w:rsidRPr="003E67BE">
        <w:t xml:space="preserve">2014, an Impact Evaluation was carried out by an independent evaluator (Center for Social Work Excellence) to assess the causal impacts of the IBLI Project on herders’ livelihoods and their risk management conditions. </w:t>
      </w:r>
    </w:p>
    <w:p w14:paraId="4A6513F6" w14:textId="58671AD3" w:rsidR="00AC4DA4" w:rsidRPr="003E67BE" w:rsidRDefault="00AC4DA4" w:rsidP="005A4EF0">
      <w:pPr>
        <w:numPr>
          <w:ilvl w:val="0"/>
          <w:numId w:val="18"/>
        </w:numPr>
        <w:autoSpaceDE w:val="0"/>
        <w:autoSpaceDN w:val="0"/>
        <w:adjustRightInd w:val="0"/>
        <w:spacing w:after="240"/>
        <w:ind w:left="0" w:firstLine="0"/>
      </w:pPr>
      <w:r w:rsidRPr="003E67BE">
        <w:rPr>
          <w:b/>
        </w:rPr>
        <w:t>Sample and data collected</w:t>
      </w:r>
      <w:r w:rsidR="00ED5DA4" w:rsidRPr="003E67BE">
        <w:rPr>
          <w:b/>
        </w:rPr>
        <w:t xml:space="preserve">. </w:t>
      </w:r>
      <w:r w:rsidRPr="003E67BE">
        <w:t xml:space="preserve">The study took place in 17 aimags and 51 soums (3 soums per aimag). To obtain a representative sample, 599 insured herder households were randomly selected from the list of herders who bought insurance at least once using stratified random sampling. For comparison purposes, a set of 599 herder households who lived in the same soum and had the same herd size and distance from the soum center, but never purchased insurance, were selected as a comparison group using the Propensity Score Matching Method.  A total of 50 households that left the study were replaced in 2015. </w:t>
      </w:r>
    </w:p>
    <w:p w14:paraId="1141397C" w14:textId="57487D63" w:rsidR="00AC4DA4" w:rsidRPr="003E67BE" w:rsidRDefault="00AC4DA4" w:rsidP="005A4EF0">
      <w:pPr>
        <w:numPr>
          <w:ilvl w:val="0"/>
          <w:numId w:val="18"/>
        </w:numPr>
        <w:autoSpaceDE w:val="0"/>
        <w:autoSpaceDN w:val="0"/>
        <w:adjustRightInd w:val="0"/>
        <w:spacing w:after="240"/>
        <w:ind w:left="0" w:firstLine="0"/>
      </w:pPr>
      <w:r w:rsidRPr="003E67BE">
        <w:t xml:space="preserve">Data collection took place in the fall of 2014 and the fall of 2015. In addition, information on the herder households in the years before and after the dzud of 2010 was also collected. In addition to household surveys, in 2014 and 2015 focus group discussions were held with a group of insured herders, and a group of non-insured herders, in each of the 51 soums visited. Parallel to that, more detailed interviews in each soum involving herders who are new to insurance, those who have been enrolled for multiple years, who have been on and off from insurance and those who have never enrolled in insurance were conducted. </w:t>
      </w:r>
    </w:p>
    <w:p w14:paraId="00DC1BBD" w14:textId="50634834" w:rsidR="00AC4DA4" w:rsidRPr="003E67BE" w:rsidRDefault="00AC4DA4" w:rsidP="005A4EF0">
      <w:pPr>
        <w:numPr>
          <w:ilvl w:val="0"/>
          <w:numId w:val="18"/>
        </w:numPr>
        <w:autoSpaceDE w:val="0"/>
        <w:autoSpaceDN w:val="0"/>
        <w:adjustRightInd w:val="0"/>
        <w:spacing w:after="240"/>
        <w:ind w:left="0" w:firstLine="0"/>
      </w:pPr>
      <w:r w:rsidRPr="003E67BE">
        <w:rPr>
          <w:b/>
        </w:rPr>
        <w:t>Methodology</w:t>
      </w:r>
      <w:r w:rsidR="00ED5DA4" w:rsidRPr="003E67BE">
        <w:rPr>
          <w:b/>
        </w:rPr>
        <w:t xml:space="preserve">. </w:t>
      </w:r>
      <w:r w:rsidRPr="003E67BE">
        <w:t>The impact evaluation strategy consisted in a combination of Matching and Difference-in-Difference. The matching method, through propensity score matching, did the following: (i) first, insured and non-insured herder households were sampled from the list  of participating households from the project administrative data and livestock census data, respectively; (ii) second, in-depth data was collected on the sampled households, including information on demographics, her size, characteristics of the household head, etc.; and (iii) third, pairs of insured and non-insured herder households that have similar characteristics (demographics, herd size, etc.) were create</w:t>
      </w:r>
      <w:r w:rsidR="00D9212C">
        <w:t>d</w:t>
      </w:r>
      <w:r w:rsidRPr="003E67BE">
        <w:t xml:space="preserve">. </w:t>
      </w:r>
    </w:p>
    <w:p w14:paraId="28D01819" w14:textId="4125017C" w:rsidR="00AC4DA4" w:rsidRPr="003E67BE" w:rsidRDefault="00AC4DA4" w:rsidP="005A4EF0">
      <w:pPr>
        <w:numPr>
          <w:ilvl w:val="0"/>
          <w:numId w:val="18"/>
        </w:numPr>
        <w:autoSpaceDE w:val="0"/>
        <w:autoSpaceDN w:val="0"/>
        <w:adjustRightInd w:val="0"/>
        <w:spacing w:after="240"/>
        <w:ind w:left="0" w:firstLine="0"/>
      </w:pPr>
      <w:r w:rsidRPr="003E67BE">
        <w:t>The difference-in-difference method was used by calculating the average differences between the two groups, insured and uninsured. Logistic regression and multiple regression analyses were also used to measure the differences</w:t>
      </w:r>
    </w:p>
    <w:p w14:paraId="523951BF" w14:textId="77777777" w:rsidR="00AC4DA4" w:rsidRPr="003E67BE" w:rsidRDefault="00AC4DA4" w:rsidP="005A4EF0">
      <w:pPr>
        <w:numPr>
          <w:ilvl w:val="0"/>
          <w:numId w:val="18"/>
        </w:numPr>
        <w:autoSpaceDE w:val="0"/>
        <w:autoSpaceDN w:val="0"/>
        <w:adjustRightInd w:val="0"/>
        <w:spacing w:after="240"/>
        <w:ind w:left="0" w:firstLine="0"/>
      </w:pPr>
      <w:r w:rsidRPr="003E67BE">
        <w:rPr>
          <w:b/>
        </w:rPr>
        <w:t>Results</w:t>
      </w:r>
      <w:r w:rsidRPr="003E67BE">
        <w:t>: The evaluation confirms that the IBLI program has been successful in meetings its goals.</w:t>
      </w:r>
    </w:p>
    <w:p w14:paraId="7C01DDFB" w14:textId="550688AA"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Herd size</w:t>
      </w:r>
      <w:r w:rsidRPr="003E67BE">
        <w:rPr>
          <w:rFonts w:ascii="Times New Roman" w:hAnsi="Times New Roman" w:cs="Times New Roman"/>
          <w:sz w:val="24"/>
          <w:szCs w:val="24"/>
        </w:rPr>
        <w:t xml:space="preserve">.  Converting the total livestock of herders to a sheep unit, herd size increased by 24% for insured herders, and by 19% for non-insured herders over the study period.  This implies a five percentage point increase in herd sizes because of insurance. </w:t>
      </w:r>
    </w:p>
    <w:p w14:paraId="6EADDEF7" w14:textId="7F686065"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Specie mix of livestock.</w:t>
      </w:r>
      <w:r w:rsidRPr="003E67BE">
        <w:rPr>
          <w:rFonts w:ascii="Times New Roman" w:hAnsi="Times New Roman" w:cs="Times New Roman"/>
          <w:sz w:val="24"/>
          <w:szCs w:val="24"/>
        </w:rPr>
        <w:t xml:space="preserve"> Goats and sheep are hardier than cattle and horses, and therefore are expected to comprise the largest share of livestock assets in the presence of shocks.  Therefore, insuring against these shocks is expected to result in a livestock mix that has lower proportion of goats and sheep.   The impact study found that the number of horses and </w:t>
      </w:r>
      <w:r w:rsidRPr="003E67BE">
        <w:rPr>
          <w:rFonts w:ascii="Times New Roman" w:hAnsi="Times New Roman" w:cs="Times New Roman"/>
          <w:sz w:val="24"/>
          <w:szCs w:val="24"/>
        </w:rPr>
        <w:lastRenderedPageBreak/>
        <w:t>cattle (which are higher quality animals) increased at a higher rate for insured herders. However, the growth rate of sheep herd was smaller among insured herders. There was no significant differen</w:t>
      </w:r>
      <w:r w:rsidR="005F6DFB">
        <w:rPr>
          <w:rFonts w:ascii="Times New Roman" w:hAnsi="Times New Roman" w:cs="Times New Roman"/>
          <w:sz w:val="24"/>
          <w:szCs w:val="24"/>
        </w:rPr>
        <w:t>ce</w:t>
      </w:r>
      <w:r w:rsidRPr="003E67BE">
        <w:rPr>
          <w:rFonts w:ascii="Times New Roman" w:hAnsi="Times New Roman" w:cs="Times New Roman"/>
          <w:sz w:val="24"/>
          <w:szCs w:val="24"/>
        </w:rPr>
        <w:t xml:space="preserve"> in the growth rate of camels or goats.</w:t>
      </w:r>
    </w:p>
    <w:p w14:paraId="1F4FA271" w14:textId="76B5C39C"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Insured species. </w:t>
      </w:r>
      <w:r w:rsidRPr="003E67BE">
        <w:rPr>
          <w:rFonts w:ascii="Times New Roman" w:hAnsi="Times New Roman" w:cs="Times New Roman"/>
          <w:sz w:val="24"/>
          <w:szCs w:val="24"/>
        </w:rPr>
        <w:t xml:space="preserve">Most commonly insured animals are cattle and horses as these have the poorest survival in bad weather. </w:t>
      </w:r>
    </w:p>
    <w:p w14:paraId="4D179481" w14:textId="77777777" w:rsidR="00AC4DA4" w:rsidRPr="003E67BE" w:rsidRDefault="00AC4DA4" w:rsidP="00AC4DA4">
      <w:pPr>
        <w:pStyle w:val="ListParagraph"/>
        <w:numPr>
          <w:ilvl w:val="0"/>
          <w:numId w:val="11"/>
        </w:numPr>
        <w:rPr>
          <w:rFonts w:ascii="Times New Roman" w:hAnsi="Times New Roman" w:cs="Times New Roman"/>
          <w:b/>
          <w:sz w:val="24"/>
          <w:szCs w:val="24"/>
        </w:rPr>
      </w:pPr>
      <w:r w:rsidRPr="003E67BE">
        <w:rPr>
          <w:rFonts w:ascii="Times New Roman" w:hAnsi="Times New Roman" w:cs="Times New Roman"/>
          <w:b/>
          <w:sz w:val="24"/>
          <w:szCs w:val="24"/>
        </w:rPr>
        <w:t>Quality of the herd</w:t>
      </w:r>
      <w:r w:rsidRPr="003E67BE">
        <w:rPr>
          <w:rFonts w:ascii="Times New Roman" w:hAnsi="Times New Roman" w:cs="Times New Roman"/>
          <w:sz w:val="24"/>
          <w:szCs w:val="24"/>
        </w:rPr>
        <w:t xml:space="preserve">.  Insured households were 1.57 times more likely to purchase high productivity breeds of livestock. In addition, the number of herder households who have taken measures to improve the quality of their livestock in the last 5 years after the dzud of 2010 was 6% higher in insured households than in uninsured households. </w:t>
      </w:r>
    </w:p>
    <w:p w14:paraId="1CA8EF55" w14:textId="632822AE"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Household revenue from herding. </w:t>
      </w:r>
      <w:r w:rsidRPr="003E67BE">
        <w:rPr>
          <w:rFonts w:ascii="Times New Roman" w:hAnsi="Times New Roman" w:cs="Times New Roman"/>
          <w:sz w:val="24"/>
          <w:szCs w:val="24"/>
        </w:rPr>
        <w:t xml:space="preserve">Insured herder households earned more income from the sale of live cattle, mutton and camel wool than </w:t>
      </w:r>
      <w:r w:rsidR="005F6DFB">
        <w:rPr>
          <w:rFonts w:ascii="Times New Roman" w:hAnsi="Times New Roman" w:cs="Times New Roman"/>
          <w:sz w:val="24"/>
          <w:szCs w:val="24"/>
        </w:rPr>
        <w:t>uninsured herder households had. T</w:t>
      </w:r>
      <w:r w:rsidRPr="003E67BE">
        <w:rPr>
          <w:rFonts w:ascii="Times New Roman" w:hAnsi="Times New Roman" w:cs="Times New Roman"/>
          <w:sz w:val="24"/>
          <w:szCs w:val="24"/>
        </w:rPr>
        <w:t xml:space="preserve">he income from selling live animals has increased less than for uninsured herder households. </w:t>
      </w:r>
    </w:p>
    <w:p w14:paraId="17F25AE3" w14:textId="150E1F9B"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Access to </w:t>
      </w:r>
      <w:r w:rsidR="005F6DFB">
        <w:rPr>
          <w:rFonts w:ascii="Times New Roman" w:hAnsi="Times New Roman" w:cs="Times New Roman"/>
          <w:b/>
          <w:sz w:val="24"/>
          <w:szCs w:val="24"/>
        </w:rPr>
        <w:t>loans</w:t>
      </w:r>
      <w:r w:rsidRPr="003E67BE">
        <w:rPr>
          <w:rFonts w:ascii="Times New Roman" w:hAnsi="Times New Roman" w:cs="Times New Roman"/>
          <w:sz w:val="24"/>
          <w:szCs w:val="24"/>
        </w:rPr>
        <w:t>.  Around 80% of the insured households have access to bank loans compared to 72% of the non-insured households. Most herder households take out herde</w:t>
      </w:r>
      <w:r w:rsidR="005F6DFB">
        <w:rPr>
          <w:rFonts w:ascii="Times New Roman" w:hAnsi="Times New Roman" w:cs="Times New Roman"/>
          <w:sz w:val="24"/>
          <w:szCs w:val="24"/>
        </w:rPr>
        <w:t xml:space="preserve">r loan which is a consumption </w:t>
      </w:r>
      <w:r w:rsidRPr="003E67BE">
        <w:rPr>
          <w:rFonts w:ascii="Times New Roman" w:hAnsi="Times New Roman" w:cs="Times New Roman"/>
          <w:sz w:val="24"/>
          <w:szCs w:val="24"/>
        </w:rPr>
        <w:t xml:space="preserve">loan for herders.  </w:t>
      </w:r>
    </w:p>
    <w:p w14:paraId="4795631F" w14:textId="77777777"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Household wealth. </w:t>
      </w:r>
      <w:r w:rsidRPr="003E67BE">
        <w:rPr>
          <w:rFonts w:ascii="Times New Roman" w:hAnsi="Times New Roman" w:cs="Times New Roman"/>
          <w:sz w:val="24"/>
          <w:szCs w:val="24"/>
        </w:rPr>
        <w:t>The findings are consistent with the hypothesis that</w:t>
      </w:r>
      <w:r w:rsidRPr="00D9212C">
        <w:rPr>
          <w:rFonts w:ascii="Times New Roman" w:hAnsi="Times New Roman" w:cs="Times New Roman"/>
          <w:sz w:val="24"/>
          <w:szCs w:val="24"/>
        </w:rPr>
        <w:t xml:space="preserve"> ha</w:t>
      </w:r>
      <w:r w:rsidRPr="003E67BE">
        <w:rPr>
          <w:rFonts w:ascii="Times New Roman" w:hAnsi="Times New Roman" w:cs="Times New Roman"/>
          <w:sz w:val="24"/>
          <w:szCs w:val="24"/>
        </w:rPr>
        <w:t xml:space="preserve">ving insurance frees up capital for herders to invest in asset accumulation.  Insured households were more likely to purchase five of the eighteen types of assets than uninsured herders. Insured herders were 1.62 times more likely to purchase a water pump for a well, 1.27 times more likely to purchase a satellite dish, 1.30 times more likely to purchase a refrigerator, and 1.42 times more likely to purchase a home or an apartment.  The types of assets purchased by the herders suggest a mix of additional investments (a water pump and a house) and a higher standard of living (satellite dish and refrigerator). </w:t>
      </w:r>
    </w:p>
    <w:p w14:paraId="49087FFE" w14:textId="77777777" w:rsidR="00AC4DA4" w:rsidRPr="003E67BE" w:rsidRDefault="00AC4DA4" w:rsidP="00AC4DA4">
      <w:pPr>
        <w:pStyle w:val="ListParagraph"/>
        <w:numPr>
          <w:ilvl w:val="0"/>
          <w:numId w:val="11"/>
        </w:numPr>
        <w:rPr>
          <w:rFonts w:ascii="Times New Roman" w:hAnsi="Times New Roman" w:cs="Times New Roman"/>
          <w:b/>
          <w:sz w:val="24"/>
          <w:szCs w:val="24"/>
        </w:rPr>
      </w:pPr>
      <w:r w:rsidRPr="003E67BE">
        <w:rPr>
          <w:rFonts w:ascii="Times New Roman" w:hAnsi="Times New Roman" w:cs="Times New Roman"/>
          <w:b/>
          <w:sz w:val="24"/>
          <w:szCs w:val="24"/>
        </w:rPr>
        <w:t xml:space="preserve">Bank accounts and savings.  </w:t>
      </w:r>
      <w:r w:rsidRPr="003E67BE">
        <w:rPr>
          <w:rFonts w:ascii="Times New Roman" w:hAnsi="Times New Roman" w:cs="Times New Roman"/>
          <w:sz w:val="24"/>
          <w:szCs w:val="24"/>
        </w:rPr>
        <w:t xml:space="preserve">Around 97.4% of the herder households have at least one bank account. However, insured households have higher ownership rates of savings accounts (60% versus 50%), debit accounts (93% versus 91%), and loan accounts (38% versus 32%).  </w:t>
      </w:r>
    </w:p>
    <w:p w14:paraId="6623040B" w14:textId="54C8F8F7"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Access to loans and financial services. </w:t>
      </w:r>
      <w:r w:rsidRPr="003E67BE">
        <w:rPr>
          <w:rFonts w:ascii="Times New Roman" w:hAnsi="Times New Roman" w:cs="Times New Roman"/>
          <w:sz w:val="24"/>
          <w:szCs w:val="24"/>
        </w:rPr>
        <w:t xml:space="preserve">Access to loans services was improved as the opportunity for insured herder households to get a loan using their livestock as collateral increased. Insured households had 6% more access to bank loans, 6% more use of livestock as collateral, and 6% more likely to have taken a loan over the past five years. </w:t>
      </w:r>
    </w:p>
    <w:p w14:paraId="685F12DA" w14:textId="77777777"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Knowledge of IBLI.  </w:t>
      </w:r>
      <w:r w:rsidRPr="003E67BE">
        <w:rPr>
          <w:rFonts w:ascii="Times New Roman" w:hAnsi="Times New Roman" w:cs="Times New Roman"/>
          <w:sz w:val="24"/>
          <w:szCs w:val="24"/>
        </w:rPr>
        <w:t xml:space="preserve">The focus group discussions revealed that the majority of herders knew about IBLI, from news stories and advertising on TV and radio and in the press, as well as from hearing information directly from the agent. </w:t>
      </w:r>
    </w:p>
    <w:p w14:paraId="226334E0" w14:textId="4DF068C0" w:rsidR="00AC4DA4" w:rsidRPr="003E67BE" w:rsidRDefault="00AC4DA4" w:rsidP="00AC4DA4">
      <w:pPr>
        <w:pStyle w:val="ListParagraph"/>
        <w:numPr>
          <w:ilvl w:val="0"/>
          <w:numId w:val="11"/>
        </w:numPr>
        <w:rPr>
          <w:rFonts w:ascii="Times New Roman" w:hAnsi="Times New Roman" w:cs="Times New Roman"/>
          <w:sz w:val="24"/>
          <w:szCs w:val="24"/>
        </w:rPr>
      </w:pPr>
      <w:r w:rsidRPr="003E67BE">
        <w:rPr>
          <w:rFonts w:ascii="Times New Roman" w:hAnsi="Times New Roman" w:cs="Times New Roman"/>
          <w:b/>
          <w:sz w:val="24"/>
          <w:szCs w:val="24"/>
        </w:rPr>
        <w:t xml:space="preserve">Access to cash to pay for the insurance premium. </w:t>
      </w:r>
      <w:r w:rsidRPr="003E67BE">
        <w:rPr>
          <w:rFonts w:ascii="Times New Roman" w:hAnsi="Times New Roman" w:cs="Times New Roman"/>
          <w:sz w:val="24"/>
          <w:szCs w:val="24"/>
        </w:rPr>
        <w:t>The timing of the premium payment was an issue.</w:t>
      </w:r>
      <w:r w:rsidRPr="003E67BE">
        <w:rPr>
          <w:rFonts w:ascii="Times New Roman" w:hAnsi="Times New Roman" w:cs="Times New Roman"/>
          <w:b/>
          <w:sz w:val="24"/>
          <w:szCs w:val="24"/>
        </w:rPr>
        <w:t xml:space="preserve">  </w:t>
      </w:r>
      <w:r w:rsidRPr="003E67BE">
        <w:rPr>
          <w:rFonts w:ascii="Times New Roman" w:hAnsi="Times New Roman" w:cs="Times New Roman"/>
          <w:sz w:val="24"/>
          <w:szCs w:val="24"/>
        </w:rPr>
        <w:t>Because of the seasonal nature of livestock production and sales, herders face difficulties in accessing cash to pay for insurance—they only have cash at the time of cashmere sales in early summer, and this cash is usually saved for the Nadaam holiday, and at the time of meat and hide payments when animals are slaughtered at the start of win</w:t>
      </w:r>
      <w:r w:rsidR="005F6DFB">
        <w:rPr>
          <w:rFonts w:ascii="Times New Roman" w:hAnsi="Times New Roman" w:cs="Times New Roman"/>
          <w:sz w:val="24"/>
          <w:szCs w:val="24"/>
        </w:rPr>
        <w:t>t</w:t>
      </w:r>
      <w:r w:rsidRPr="003E67BE">
        <w:rPr>
          <w:rFonts w:ascii="Times New Roman" w:hAnsi="Times New Roman" w:cs="Times New Roman"/>
          <w:sz w:val="24"/>
          <w:szCs w:val="24"/>
        </w:rPr>
        <w:t>er. Herders who were interviewed as part of the impact study revealed that they would prefer to be able to pay for the premium in kind - as is traditional for many herder transactions. Note that to overcome this liquidity problem IBLIP worked with the banks to introduce a special bank loan product to pay for the premium.</w:t>
      </w:r>
    </w:p>
    <w:p w14:paraId="52F03CA2" w14:textId="77777777" w:rsidR="00AC4DA4" w:rsidRPr="003E67BE" w:rsidRDefault="00AC4DA4" w:rsidP="00564821">
      <w:pPr>
        <w:numPr>
          <w:ilvl w:val="0"/>
          <w:numId w:val="18"/>
        </w:numPr>
        <w:autoSpaceDE w:val="0"/>
        <w:autoSpaceDN w:val="0"/>
        <w:adjustRightInd w:val="0"/>
        <w:spacing w:after="240"/>
        <w:ind w:left="0" w:firstLine="0"/>
        <w:jc w:val="both"/>
      </w:pPr>
      <w:r w:rsidRPr="003E67BE">
        <w:lastRenderedPageBreak/>
        <w:t xml:space="preserve">However, since this study does not have a true baseline, it is difficult to attribute the findings to the project. In fact, baseline data was collected from the winter 2009/2010, and was collected via recall. </w:t>
      </w:r>
    </w:p>
    <w:p w14:paraId="6552E2B9" w14:textId="77777777" w:rsidR="00AC4DA4" w:rsidRPr="003E67BE" w:rsidRDefault="00AC4DA4" w:rsidP="00AC4DA4">
      <w:pPr>
        <w:rPr>
          <w:b/>
        </w:rPr>
      </w:pPr>
    </w:p>
    <w:p w14:paraId="37D0C52C" w14:textId="66EE8475" w:rsidR="00AC4DA4" w:rsidRPr="00973E47" w:rsidRDefault="00AC4DA4" w:rsidP="00973E47">
      <w:pPr>
        <w:rPr>
          <w:b/>
          <w:u w:val="single"/>
        </w:rPr>
      </w:pPr>
      <w:r w:rsidRPr="003E67BE">
        <w:rPr>
          <w:b/>
          <w:u w:val="single"/>
        </w:rPr>
        <w:t>Summary of impact evaluation report by German Institute For Economic Research</w:t>
      </w:r>
      <w:r w:rsidR="00973E47">
        <w:rPr>
          <w:b/>
          <w:u w:val="single"/>
        </w:rPr>
        <w:t xml:space="preserve"> </w:t>
      </w:r>
      <w:r w:rsidR="00973E47" w:rsidRPr="00973E47">
        <w:t>(Bertram-Hümmer, Veronika and Krähnert, Kati, Does Index Insurance Help Households Recover from Disaster? Evidence from IBLI Mongolia (October 2015). DIW Berlin Discussion Paper No. 1515)</w:t>
      </w:r>
    </w:p>
    <w:p w14:paraId="44F37817" w14:textId="77777777" w:rsidR="00AC4DA4" w:rsidRPr="003E67BE" w:rsidRDefault="00AC4DA4" w:rsidP="00564821">
      <w:pPr>
        <w:numPr>
          <w:ilvl w:val="0"/>
          <w:numId w:val="18"/>
        </w:numPr>
        <w:autoSpaceDE w:val="0"/>
        <w:autoSpaceDN w:val="0"/>
        <w:adjustRightInd w:val="0"/>
        <w:spacing w:after="240"/>
        <w:ind w:left="0" w:firstLine="0"/>
        <w:jc w:val="both"/>
      </w:pPr>
      <w:r w:rsidRPr="003E67BE">
        <w:rPr>
          <w:b/>
        </w:rPr>
        <w:t xml:space="preserve">Objective. </w:t>
      </w:r>
      <w:r w:rsidRPr="003E67BE">
        <w:t xml:space="preserve">This study investigates the impact of indemnity payments from IBLI on the asset recovery of households after the 2009/10 dzud.  </w:t>
      </w:r>
    </w:p>
    <w:p w14:paraId="45204E50" w14:textId="5D65876B" w:rsidR="00AC4DA4" w:rsidRPr="003E67BE" w:rsidRDefault="00AC4DA4" w:rsidP="00564821">
      <w:pPr>
        <w:numPr>
          <w:ilvl w:val="0"/>
          <w:numId w:val="18"/>
        </w:numPr>
        <w:autoSpaceDE w:val="0"/>
        <w:autoSpaceDN w:val="0"/>
        <w:adjustRightInd w:val="0"/>
        <w:spacing w:after="240"/>
        <w:ind w:left="0" w:firstLine="0"/>
        <w:jc w:val="both"/>
      </w:pPr>
      <w:r w:rsidRPr="003E67BE">
        <w:rPr>
          <w:b/>
        </w:rPr>
        <w:t>Sample and data collected</w:t>
      </w:r>
      <w:r w:rsidR="00672C5A" w:rsidRPr="003E67BE">
        <w:rPr>
          <w:b/>
        </w:rPr>
        <w:t xml:space="preserve">. </w:t>
      </w:r>
      <w:r w:rsidRPr="003E67BE">
        <w:t>Data for this study comes from three waves of household panel survey—the Coping with Shocks in Mongolia Household Panel Survey in collaboration with the National Statistical Office of Mongolia—which took place between June 2012 and May 2013, between June 2013 and May 2014, and between June 2014 and May 2015. The household survey was implemented in western Mongolia (three neighboring aimags of Uvs, Zavkhanm and Govi-Aaltai).</w:t>
      </w:r>
    </w:p>
    <w:p w14:paraId="73236026" w14:textId="323B9613" w:rsidR="00AC4DA4" w:rsidRPr="003E67BE" w:rsidRDefault="00AC4DA4" w:rsidP="00564821">
      <w:pPr>
        <w:numPr>
          <w:ilvl w:val="0"/>
          <w:numId w:val="18"/>
        </w:numPr>
        <w:autoSpaceDE w:val="0"/>
        <w:autoSpaceDN w:val="0"/>
        <w:adjustRightInd w:val="0"/>
        <w:spacing w:after="240"/>
        <w:ind w:left="0" w:firstLine="0"/>
        <w:jc w:val="both"/>
      </w:pPr>
      <w:r w:rsidRPr="003E67BE">
        <w:t>The sample comprises 59 insured households and 583 control households living in 49 out of 61 soums of these three aimags. The survey questionnaire collected data on demographics, household consumption expenditure, income, assets, subjective well-being, livestock holdings, and strategies in herding as well as infrastructure and environmental conditions in the soum. One module of the questionnaire focuses specifically on households ‘exposure to the 2009/10 dzud and post-dzud coping strategies</w:t>
      </w:r>
      <w:r w:rsidR="005F6DFB">
        <w:t xml:space="preserve"> that were</w:t>
      </w:r>
      <w:r w:rsidRPr="003E67BE">
        <w:t xml:space="preserve"> applied.  </w:t>
      </w:r>
    </w:p>
    <w:p w14:paraId="5C4EC405" w14:textId="767E233A" w:rsidR="00AC4DA4" w:rsidRPr="003E67BE" w:rsidRDefault="00AC4DA4" w:rsidP="00564821">
      <w:pPr>
        <w:numPr>
          <w:ilvl w:val="0"/>
          <w:numId w:val="18"/>
        </w:numPr>
        <w:autoSpaceDE w:val="0"/>
        <w:autoSpaceDN w:val="0"/>
        <w:adjustRightInd w:val="0"/>
        <w:spacing w:after="240"/>
        <w:ind w:left="0" w:firstLine="0"/>
        <w:jc w:val="both"/>
      </w:pPr>
      <w:r w:rsidRPr="003E67BE">
        <w:rPr>
          <w:b/>
        </w:rPr>
        <w:t>Methodology</w:t>
      </w:r>
      <w:r w:rsidR="00672C5A" w:rsidRPr="003E67BE">
        <w:rPr>
          <w:b/>
        </w:rPr>
        <w:t xml:space="preserve">. </w:t>
      </w:r>
      <w:r w:rsidRPr="003E67BE">
        <w:t xml:space="preserve">The study uses the bias-corrected matching estimator to account for selection into purchasing IBLI.  By the time of the 2009/10 dzud, IBLI was still at its pilot stage and available in one of the three survey aimags. To estimate the impact of IBLI payments, the authors matched insured households living in the aimag where IBLI was available in 2009 with noninsured households living in the two other aimags where IBLI was not yet offered. </w:t>
      </w:r>
    </w:p>
    <w:p w14:paraId="724C62A6" w14:textId="0030420A" w:rsidR="00AC4DA4" w:rsidRPr="003E67BE" w:rsidRDefault="00AC4DA4" w:rsidP="00564821">
      <w:pPr>
        <w:numPr>
          <w:ilvl w:val="0"/>
          <w:numId w:val="18"/>
        </w:numPr>
        <w:autoSpaceDE w:val="0"/>
        <w:autoSpaceDN w:val="0"/>
        <w:adjustRightInd w:val="0"/>
        <w:spacing w:after="240"/>
        <w:ind w:left="0" w:firstLine="0"/>
        <w:jc w:val="both"/>
      </w:pPr>
      <w:r w:rsidRPr="003E67BE">
        <w:t xml:space="preserve"> </w:t>
      </w:r>
      <w:r w:rsidRPr="003E67BE">
        <w:rPr>
          <w:b/>
        </w:rPr>
        <w:t>Results</w:t>
      </w:r>
      <w:r w:rsidR="00672C5A" w:rsidRPr="003E67BE">
        <w:rPr>
          <w:b/>
        </w:rPr>
        <w:t xml:space="preserve">. </w:t>
      </w:r>
      <w:r w:rsidRPr="003E67BE">
        <w:t xml:space="preserve">The results indicate that IBLI payment helped herders affected by the dzud recover their herd size faster than uninsured herders. In addition, the results suggest that indemnity payments allow herders to avoid selling and slaughtering their animals since they use the cash received from IBLI for household consumption. Moreover, IBLI appears to enhance herders’ access to loans. </w:t>
      </w:r>
    </w:p>
    <w:p w14:paraId="77716D51" w14:textId="687AB568" w:rsidR="00AC4DA4" w:rsidRPr="003E67BE" w:rsidRDefault="00AC4DA4" w:rsidP="00AC4DA4">
      <w:pPr>
        <w:pStyle w:val="ListParagraph"/>
        <w:numPr>
          <w:ilvl w:val="0"/>
          <w:numId w:val="12"/>
        </w:numPr>
        <w:rPr>
          <w:rFonts w:ascii="Times New Roman" w:hAnsi="Times New Roman" w:cs="Times New Roman"/>
          <w:sz w:val="24"/>
          <w:szCs w:val="24"/>
        </w:rPr>
      </w:pPr>
      <w:r w:rsidRPr="003E67BE">
        <w:rPr>
          <w:rFonts w:ascii="Times New Roman" w:hAnsi="Times New Roman" w:cs="Times New Roman"/>
          <w:b/>
          <w:sz w:val="24"/>
          <w:szCs w:val="24"/>
        </w:rPr>
        <w:t>Shock recovery</w:t>
      </w:r>
      <w:r w:rsidRPr="003E67BE">
        <w:rPr>
          <w:rFonts w:ascii="Times New Roman" w:hAnsi="Times New Roman" w:cs="Times New Roman"/>
          <w:sz w:val="24"/>
          <w:szCs w:val="24"/>
        </w:rPr>
        <w:t>. Overall, IBLI payments helped insured herders recover their herd size faster than uninsured herders. Herders who purchased IBLI in 2009 and received indemnity payment in fall 2010 had a higher herd size in 2011, 2012, and 2013 compare</w:t>
      </w:r>
      <w:r w:rsidR="00AB49B2">
        <w:rPr>
          <w:rFonts w:ascii="Times New Roman" w:hAnsi="Times New Roman" w:cs="Times New Roman"/>
          <w:sz w:val="24"/>
          <w:szCs w:val="24"/>
        </w:rPr>
        <w:t>d</w:t>
      </w:r>
      <w:r w:rsidRPr="003E67BE">
        <w:rPr>
          <w:rFonts w:ascii="Times New Roman" w:hAnsi="Times New Roman" w:cs="Times New Roman"/>
          <w:sz w:val="24"/>
          <w:szCs w:val="24"/>
        </w:rPr>
        <w:t xml:space="preserve"> to herders who did not purchase the IBLI.</w:t>
      </w:r>
    </w:p>
    <w:p w14:paraId="557BB5BC" w14:textId="2FF20FD7" w:rsidR="00AC4DA4" w:rsidRPr="003E67BE" w:rsidRDefault="00AC4DA4" w:rsidP="00AC4DA4">
      <w:pPr>
        <w:pStyle w:val="ListParagraph"/>
        <w:numPr>
          <w:ilvl w:val="0"/>
          <w:numId w:val="12"/>
        </w:numPr>
        <w:rPr>
          <w:rFonts w:ascii="Times New Roman" w:hAnsi="Times New Roman" w:cs="Times New Roman"/>
          <w:sz w:val="24"/>
          <w:szCs w:val="24"/>
        </w:rPr>
      </w:pPr>
      <w:r w:rsidRPr="003E67BE">
        <w:rPr>
          <w:rFonts w:ascii="Times New Roman" w:hAnsi="Times New Roman" w:cs="Times New Roman"/>
          <w:sz w:val="24"/>
          <w:szCs w:val="24"/>
        </w:rPr>
        <w:t>The magnitude of the impact is relatively large, but it tends to attenuate in the years following the dzud. In 2011, insured herders owned on average 15 to 16 percent more livestock tha</w:t>
      </w:r>
      <w:r w:rsidR="00AB49B2">
        <w:rPr>
          <w:rFonts w:ascii="Times New Roman" w:hAnsi="Times New Roman" w:cs="Times New Roman"/>
          <w:sz w:val="24"/>
          <w:szCs w:val="24"/>
        </w:rPr>
        <w:t>n</w:t>
      </w:r>
      <w:r w:rsidRPr="003E67BE">
        <w:rPr>
          <w:rFonts w:ascii="Times New Roman" w:hAnsi="Times New Roman" w:cs="Times New Roman"/>
          <w:sz w:val="24"/>
          <w:szCs w:val="24"/>
        </w:rPr>
        <w:t xml:space="preserve"> uninsured households; in 201</w:t>
      </w:r>
      <w:r w:rsidR="00611ACC">
        <w:rPr>
          <w:rFonts w:ascii="Times New Roman" w:hAnsi="Times New Roman" w:cs="Times New Roman"/>
          <w:sz w:val="24"/>
          <w:szCs w:val="24"/>
        </w:rPr>
        <w:t>2</w:t>
      </w:r>
      <w:r w:rsidRPr="003E67BE">
        <w:rPr>
          <w:rFonts w:ascii="Times New Roman" w:hAnsi="Times New Roman" w:cs="Times New Roman"/>
          <w:sz w:val="24"/>
          <w:szCs w:val="24"/>
        </w:rPr>
        <w:t xml:space="preserve"> they owned between 22 percent and 27 percent more livestock; and in 2013, they own about 17 percent more. </w:t>
      </w:r>
    </w:p>
    <w:p w14:paraId="05F7CA23" w14:textId="77777777" w:rsidR="00AC4DA4" w:rsidRPr="003E67BE" w:rsidRDefault="00AC4DA4" w:rsidP="00AC4DA4">
      <w:pPr>
        <w:pStyle w:val="ListParagraph"/>
        <w:numPr>
          <w:ilvl w:val="0"/>
          <w:numId w:val="12"/>
        </w:numPr>
        <w:rPr>
          <w:rFonts w:ascii="Times New Roman" w:hAnsi="Times New Roman" w:cs="Times New Roman"/>
          <w:b/>
          <w:sz w:val="24"/>
          <w:szCs w:val="24"/>
        </w:rPr>
      </w:pPr>
      <w:r w:rsidRPr="003E67BE">
        <w:rPr>
          <w:rFonts w:ascii="Times New Roman" w:hAnsi="Times New Roman" w:cs="Times New Roman"/>
          <w:b/>
          <w:sz w:val="24"/>
          <w:szCs w:val="24"/>
        </w:rPr>
        <w:lastRenderedPageBreak/>
        <w:t xml:space="preserve">Satisfaction with insurance. </w:t>
      </w:r>
      <w:r w:rsidRPr="003E67BE">
        <w:rPr>
          <w:rFonts w:ascii="Times New Roman" w:hAnsi="Times New Roman" w:cs="Times New Roman"/>
          <w:sz w:val="24"/>
          <w:szCs w:val="24"/>
        </w:rPr>
        <w:t xml:space="preserve">About 75 percent of households insured in 2009 were satisfied with the indemnity they received, and the majority of those who benefited from the insurance payment continued to purchase insurance again in 2012, 2013, and 2014. </w:t>
      </w:r>
    </w:p>
    <w:p w14:paraId="0E125638" w14:textId="3407BC8B" w:rsidR="00AC4DA4" w:rsidRPr="00AB49B2" w:rsidRDefault="00AC4DA4" w:rsidP="00AC4DA4">
      <w:pPr>
        <w:pStyle w:val="ListParagraph"/>
        <w:numPr>
          <w:ilvl w:val="0"/>
          <w:numId w:val="12"/>
        </w:numPr>
        <w:rPr>
          <w:rFonts w:ascii="Times New Roman" w:hAnsi="Times New Roman" w:cs="Times New Roman"/>
          <w:b/>
          <w:sz w:val="24"/>
          <w:szCs w:val="24"/>
        </w:rPr>
      </w:pPr>
      <w:r w:rsidRPr="003E67BE">
        <w:rPr>
          <w:rFonts w:ascii="Times New Roman" w:hAnsi="Times New Roman" w:cs="Times New Roman"/>
          <w:b/>
          <w:sz w:val="24"/>
          <w:szCs w:val="24"/>
        </w:rPr>
        <w:t xml:space="preserve">Usages of the indemnity payments. </w:t>
      </w:r>
      <w:r w:rsidRPr="003E67BE">
        <w:rPr>
          <w:rFonts w:ascii="Times New Roman" w:hAnsi="Times New Roman" w:cs="Times New Roman"/>
          <w:sz w:val="24"/>
          <w:szCs w:val="24"/>
        </w:rPr>
        <w:t>About 73% of the insured households used the indemnity payment received in 2010 to buy food and other household necessities. 14 percent of households used the indemnity payment to cover education and health expenses. Only 22 percent of households reported using the indemnity payment in livestock activities, such as buying livestock fodder and improving shelter. None of the insured households reported using the indemnity payment to restock the herd.  Also, 15% of insured herders used the indemnity to pay back a loan.</w:t>
      </w:r>
    </w:p>
    <w:p w14:paraId="27D8DFF6" w14:textId="77777777" w:rsidR="00AB49B2" w:rsidRPr="00AB49B2" w:rsidRDefault="00AB49B2" w:rsidP="00AB49B2">
      <w:pPr>
        <w:pStyle w:val="ListParagraph"/>
        <w:ind w:left="360"/>
        <w:rPr>
          <w:rFonts w:ascii="Times New Roman" w:hAnsi="Times New Roman" w:cs="Times New Roman"/>
          <w:b/>
          <w:sz w:val="24"/>
          <w:szCs w:val="24"/>
        </w:rPr>
      </w:pPr>
    </w:p>
    <w:p w14:paraId="0389D554" w14:textId="7AE69966" w:rsidR="00AB49B2" w:rsidRPr="003E67BE" w:rsidRDefault="00AB49B2" w:rsidP="00AC4DA4">
      <w:pPr>
        <w:pStyle w:val="ListParagraph"/>
        <w:numPr>
          <w:ilvl w:val="0"/>
          <w:numId w:val="12"/>
        </w:numPr>
        <w:rPr>
          <w:rFonts w:ascii="Times New Roman" w:hAnsi="Times New Roman" w:cs="Times New Roman"/>
          <w:b/>
          <w:sz w:val="24"/>
          <w:szCs w:val="24"/>
        </w:rPr>
      </w:pPr>
      <w:r w:rsidRPr="00AB49B2">
        <w:rPr>
          <w:rFonts w:ascii="Times New Roman" w:hAnsi="Times New Roman" w:cs="Times New Roman"/>
          <w:sz w:val="24"/>
          <w:szCs w:val="24"/>
        </w:rPr>
        <w:t>The sample size of this study is very low, therefore, the results should be interpreted with caution</w:t>
      </w:r>
      <w:r>
        <w:rPr>
          <w:rFonts w:ascii="Times New Roman" w:hAnsi="Times New Roman" w:cs="Times New Roman"/>
          <w:b/>
          <w:sz w:val="24"/>
          <w:szCs w:val="24"/>
        </w:rPr>
        <w:t xml:space="preserve">. </w:t>
      </w:r>
    </w:p>
    <w:p w14:paraId="708249FA" w14:textId="77777777" w:rsidR="00AC4DA4" w:rsidRPr="003E67BE" w:rsidRDefault="00AC4DA4" w:rsidP="00AC4DA4">
      <w:pPr>
        <w:rPr>
          <w:b/>
        </w:rPr>
      </w:pPr>
    </w:p>
    <w:p w14:paraId="48B0F61B" w14:textId="77777777" w:rsidR="00601B66" w:rsidRDefault="00601B66" w:rsidP="00AC4DA4">
      <w:pPr>
        <w:pStyle w:val="ListParagraph"/>
        <w:ind w:left="360"/>
        <w:rPr>
          <w:rFonts w:ascii="Times New Roman" w:hAnsi="Times New Roman" w:cs="Times New Roman"/>
          <w:b/>
          <w:sz w:val="24"/>
          <w:szCs w:val="24"/>
          <w:u w:val="single"/>
        </w:rPr>
        <w:sectPr w:rsidR="00601B66" w:rsidSect="00732373">
          <w:headerReference w:type="default" r:id="rId20"/>
          <w:footerReference w:type="default" r:id="rId21"/>
          <w:type w:val="oddPage"/>
          <w:pgSz w:w="12240" w:h="15840"/>
          <w:pgMar w:top="1440" w:right="1440" w:bottom="1440" w:left="1440" w:header="720" w:footer="720" w:gutter="0"/>
          <w:pgNumType w:start="1"/>
          <w:cols w:space="720"/>
          <w:docGrid w:linePitch="360"/>
        </w:sectPr>
      </w:pPr>
    </w:p>
    <w:p w14:paraId="3119381B" w14:textId="23065861" w:rsidR="00E03DE1" w:rsidRDefault="00601B66" w:rsidP="00601B66">
      <w:r w:rsidRPr="00601B66">
        <w:rPr>
          <w:noProof/>
          <w:lang w:eastAsia="en-US"/>
        </w:rPr>
        <w:lastRenderedPageBreak/>
        <w:drawing>
          <wp:inline distT="0" distB="0" distL="0" distR="0" wp14:anchorId="49506568" wp14:editId="2A19D6C1">
            <wp:extent cx="8229600" cy="6105564"/>
            <wp:effectExtent l="0" t="0" r="0" b="9525"/>
            <wp:docPr id="10" name="Picture 10" descr="C:\Users\wb330304\AppData\Local\Microsoft\Windows\Temporary Internet Files\Content.Outlook\9IYO8FG4\MNG4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330304\AppData\Local\Microsoft\Windows\Temporary Internet Files\Content.Outlook\9IYO8FG4\MNG425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6105564"/>
                    </a:xfrm>
                    <a:prstGeom prst="rect">
                      <a:avLst/>
                    </a:prstGeom>
                    <a:noFill/>
                    <a:ln>
                      <a:noFill/>
                    </a:ln>
                  </pic:spPr>
                </pic:pic>
              </a:graphicData>
            </a:graphic>
          </wp:inline>
        </w:drawing>
      </w:r>
      <w:bookmarkStart w:id="246" w:name="_GoBack"/>
      <w:bookmarkEnd w:id="246"/>
    </w:p>
    <w:sectPr w:rsidR="00E03DE1" w:rsidSect="00601B66">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457BE" w14:textId="77777777" w:rsidR="00D13D0D" w:rsidRDefault="00D13D0D">
      <w:pPr>
        <w:spacing w:before="100" w:beforeAutospacing="1" w:after="100" w:afterAutospacing="1"/>
      </w:pPr>
      <w:r>
        <w:separator/>
      </w:r>
    </w:p>
  </w:endnote>
  <w:endnote w:type="continuationSeparator" w:id="0">
    <w:p w14:paraId="2F7BD50F" w14:textId="77777777" w:rsidR="00D13D0D" w:rsidRDefault="00D13D0D">
      <w:pPr>
        <w:spacing w:before="100" w:beforeAutospacing="1" w:after="100" w:afterAutospacing="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296645"/>
      <w:docPartObj>
        <w:docPartGallery w:val="Page Numbers (Bottom of Page)"/>
        <w:docPartUnique/>
      </w:docPartObj>
    </w:sdtPr>
    <w:sdtEndPr>
      <w:rPr>
        <w:noProof/>
      </w:rPr>
    </w:sdtEndPr>
    <w:sdtContent>
      <w:p w14:paraId="516C6CAD" w14:textId="491BD8FC" w:rsidR="00D13D0D" w:rsidRDefault="00D13D0D">
        <w:pPr>
          <w:pStyle w:val="Footer"/>
          <w:jc w:val="center"/>
        </w:pPr>
        <w:r>
          <w:fldChar w:fldCharType="begin"/>
        </w:r>
        <w:r>
          <w:instrText xml:space="preserve"> PAGE   \* MERGEFORMAT </w:instrText>
        </w:r>
        <w:r>
          <w:fldChar w:fldCharType="separate"/>
        </w:r>
        <w:r w:rsidR="00601B66">
          <w:rPr>
            <w:noProof/>
          </w:rPr>
          <w:t>xi</w:t>
        </w:r>
        <w:r>
          <w:rPr>
            <w:noProof/>
          </w:rPr>
          <w:fldChar w:fldCharType="end"/>
        </w:r>
      </w:p>
    </w:sdtContent>
  </w:sdt>
  <w:p w14:paraId="453099FE" w14:textId="797CDF68" w:rsidR="00D13D0D" w:rsidRDefault="00D13D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F74D8" w14:textId="54619729" w:rsidR="00D13D0D" w:rsidRDefault="00D13D0D" w:rsidP="00DB08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1B66">
      <w:rPr>
        <w:rStyle w:val="PageNumber"/>
        <w:noProof/>
      </w:rPr>
      <w:t>62</w:t>
    </w:r>
    <w:r>
      <w:rPr>
        <w:rStyle w:val="PageNumber"/>
      </w:rPr>
      <w:fldChar w:fldCharType="end"/>
    </w:r>
  </w:p>
  <w:p w14:paraId="022255DE" w14:textId="77777777" w:rsidR="00D13D0D" w:rsidRDefault="00D13D0D">
    <w:pPr>
      <w:pStyle w:val="Footer"/>
      <w:ind w:right="360"/>
    </w:pPr>
    <w: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0335D" w14:textId="77777777" w:rsidR="00D13D0D" w:rsidRDefault="00D13D0D">
      <w:pPr>
        <w:spacing w:before="100" w:beforeAutospacing="1" w:after="100" w:afterAutospacing="1"/>
      </w:pPr>
      <w:r>
        <w:separator/>
      </w:r>
    </w:p>
  </w:footnote>
  <w:footnote w:type="continuationSeparator" w:id="0">
    <w:p w14:paraId="1A22C307" w14:textId="77777777" w:rsidR="00D13D0D" w:rsidRDefault="00D13D0D">
      <w:pPr>
        <w:spacing w:before="100" w:beforeAutospacing="1" w:after="100" w:afterAutospacing="1"/>
      </w:pPr>
      <w:r>
        <w:continuationSeparator/>
      </w:r>
    </w:p>
  </w:footnote>
  <w:footnote w:id="1">
    <w:p w14:paraId="06136B49" w14:textId="77777777" w:rsidR="00D13D0D" w:rsidRPr="00F92093" w:rsidRDefault="00D13D0D" w:rsidP="00BA6B2E">
      <w:pPr>
        <w:pStyle w:val="FootnoteText"/>
        <w:contextualSpacing/>
        <w:rPr>
          <w:sz w:val="18"/>
          <w:szCs w:val="18"/>
        </w:rPr>
      </w:pPr>
      <w:r w:rsidRPr="00F92093">
        <w:rPr>
          <w:rStyle w:val="FootnoteReference"/>
          <w:sz w:val="18"/>
          <w:szCs w:val="18"/>
        </w:rPr>
        <w:footnoteRef/>
      </w:r>
      <w:r w:rsidRPr="00F92093">
        <w:rPr>
          <w:sz w:val="18"/>
          <w:szCs w:val="18"/>
        </w:rPr>
        <w:t xml:space="preserve"> Groppo and Schindler (2014) </w:t>
      </w:r>
    </w:p>
  </w:footnote>
  <w:footnote w:id="2">
    <w:p w14:paraId="55EE9117" w14:textId="5AB45B21" w:rsidR="00D13D0D" w:rsidRPr="00F92093" w:rsidRDefault="00D13D0D">
      <w:pPr>
        <w:pStyle w:val="FootnoteText"/>
        <w:rPr>
          <w:sz w:val="18"/>
          <w:szCs w:val="18"/>
        </w:rPr>
      </w:pPr>
      <w:r w:rsidRPr="00F92093">
        <w:rPr>
          <w:rStyle w:val="FootnoteReference"/>
          <w:sz w:val="18"/>
          <w:szCs w:val="18"/>
        </w:rPr>
        <w:footnoteRef/>
      </w:r>
      <w:r w:rsidRPr="00F92093">
        <w:rPr>
          <w:sz w:val="18"/>
          <w:szCs w:val="18"/>
        </w:rPr>
        <w:t xml:space="preserve"> </w:t>
      </w:r>
      <w:r w:rsidRPr="00F92093">
        <w:rPr>
          <w:sz w:val="18"/>
          <w:szCs w:val="18"/>
          <w:lang w:eastAsia="en-US"/>
        </w:rPr>
        <w:t xml:space="preserve">Note that the PDO as stated in the </w:t>
      </w:r>
      <w:r w:rsidRPr="00F92093">
        <w:rPr>
          <w:bCs/>
          <w:sz w:val="18"/>
          <w:szCs w:val="18"/>
          <w:lang w:eastAsia="en-US"/>
        </w:rPr>
        <w:t>PAD</w:t>
      </w:r>
      <w:r w:rsidRPr="00F92093">
        <w:rPr>
          <w:b/>
          <w:bCs/>
          <w:sz w:val="18"/>
          <w:szCs w:val="18"/>
          <w:lang w:eastAsia="en-US"/>
        </w:rPr>
        <w:t xml:space="preserve"> </w:t>
      </w:r>
      <w:r w:rsidRPr="00F92093">
        <w:rPr>
          <w:sz w:val="18"/>
          <w:szCs w:val="18"/>
          <w:lang w:eastAsia="en-US"/>
        </w:rPr>
        <w:t>uses slightly different wording.</w:t>
      </w:r>
    </w:p>
  </w:footnote>
  <w:footnote w:id="3">
    <w:p w14:paraId="03993A5C" w14:textId="77777777" w:rsidR="00D13D0D" w:rsidRDefault="00D13D0D" w:rsidP="00F92093">
      <w:pPr>
        <w:pStyle w:val="FootnoteText"/>
        <w:contextualSpacing/>
      </w:pPr>
      <w:r>
        <w:rPr>
          <w:rStyle w:val="FootnoteReference"/>
        </w:rPr>
        <w:footnoteRef/>
      </w:r>
      <w:r>
        <w:t xml:space="preserve"> </w:t>
      </w:r>
      <w:r w:rsidRPr="00033D27">
        <w:rPr>
          <w:sz w:val="14"/>
        </w:rPr>
        <w:t xml:space="preserve">The Golden Plough award is a prestigious award for innovative project designs.   </w:t>
      </w:r>
    </w:p>
  </w:footnote>
  <w:footnote w:id="4">
    <w:p w14:paraId="28609F29" w14:textId="77777777" w:rsidR="00D13D0D" w:rsidRPr="005714BA" w:rsidRDefault="00D13D0D" w:rsidP="00F92093">
      <w:pPr>
        <w:pStyle w:val="FootnoteText"/>
        <w:rPr>
          <w:sz w:val="18"/>
          <w:szCs w:val="18"/>
        </w:rPr>
      </w:pPr>
      <w:r w:rsidRPr="005714BA">
        <w:rPr>
          <w:rStyle w:val="FootnoteReference"/>
          <w:sz w:val="18"/>
          <w:szCs w:val="18"/>
        </w:rPr>
        <w:footnoteRef/>
      </w:r>
      <w:r w:rsidRPr="005714BA">
        <w:rPr>
          <w:sz w:val="18"/>
          <w:szCs w:val="18"/>
        </w:rPr>
        <w:t xml:space="preserve"> These herders are particularly vulnerable </w:t>
      </w:r>
      <w:r>
        <w:rPr>
          <w:sz w:val="18"/>
          <w:szCs w:val="18"/>
        </w:rPr>
        <w:t xml:space="preserve">as </w:t>
      </w:r>
      <w:r w:rsidRPr="005714BA">
        <w:rPr>
          <w:sz w:val="18"/>
          <w:szCs w:val="18"/>
        </w:rPr>
        <w:t xml:space="preserve">they </w:t>
      </w:r>
      <w:r>
        <w:rPr>
          <w:sz w:val="18"/>
          <w:szCs w:val="18"/>
        </w:rPr>
        <w:t xml:space="preserve">are often chosen because they </w:t>
      </w:r>
      <w:r w:rsidRPr="005714BA">
        <w:rPr>
          <w:sz w:val="18"/>
          <w:szCs w:val="18"/>
        </w:rPr>
        <w:t>do not own livestock</w:t>
      </w:r>
      <w:r>
        <w:rPr>
          <w:sz w:val="18"/>
          <w:szCs w:val="18"/>
        </w:rPr>
        <w:t xml:space="preserve"> but still bear responsibility in case of losses</w:t>
      </w:r>
      <w:r w:rsidRPr="005714BA">
        <w:rPr>
          <w:sz w:val="18"/>
          <w:szCs w:val="18"/>
        </w:rPr>
        <w:t xml:space="preserve"> and have limited assets to buffer them against shocks. Expanding insurance to them was a key step in helping the most vulnerable manage risk</w:t>
      </w:r>
      <w:r>
        <w:rPr>
          <w:sz w:val="18"/>
          <w:szCs w:val="18"/>
        </w:rPr>
        <w:t>s.</w:t>
      </w:r>
    </w:p>
  </w:footnote>
  <w:footnote w:id="5">
    <w:p w14:paraId="61620FA6" w14:textId="77777777" w:rsidR="000D47D0" w:rsidRPr="00653F0C" w:rsidRDefault="000D47D0" w:rsidP="000D47D0">
      <w:pPr>
        <w:pStyle w:val="FootnoteText"/>
        <w:rPr>
          <w:i/>
          <w:sz w:val="18"/>
          <w:szCs w:val="18"/>
        </w:rPr>
      </w:pPr>
      <w:r w:rsidRPr="00653F0C">
        <w:rPr>
          <w:rStyle w:val="FootnoteReference"/>
          <w:sz w:val="18"/>
          <w:szCs w:val="18"/>
        </w:rPr>
        <w:footnoteRef/>
      </w:r>
      <w:r w:rsidRPr="00653F0C">
        <w:rPr>
          <w:sz w:val="18"/>
          <w:szCs w:val="18"/>
        </w:rPr>
        <w:t xml:space="preserve"> </w:t>
      </w:r>
      <w:r w:rsidRPr="00653F0C">
        <w:rPr>
          <w:i/>
          <w:sz w:val="18"/>
          <w:szCs w:val="18"/>
        </w:rPr>
        <w:t>Note – for the % of total herders, the denominator is taken as the total number of herders in target Aimags.  Thus, in 2010 with the scaling up of the project to an additional 6 Aimags, the denominator increased significantly as it includes the herders in the additional Aimags, and so the % drops.  Since 2013, it should be noted that the number of herders insured has been declining, representing the challenges of selling IBLI to herders.  Raising awareness and the long distances agents have to travel were highlighted as a key reason for decreasing sales, which became more challenging when the product expanded nationally.  Ensuring these challenges will be address will be critical for the sustainability of the product going forward (more under Lessons Learnt below).</w:t>
      </w:r>
    </w:p>
    <w:p w14:paraId="0CD002B3" w14:textId="7456B01A" w:rsidR="000D47D0" w:rsidRDefault="000D47D0">
      <w:pPr>
        <w:pStyle w:val="FootnoteText"/>
      </w:pPr>
    </w:p>
  </w:footnote>
  <w:footnote w:id="6">
    <w:p w14:paraId="191FA08E" w14:textId="77777777" w:rsidR="00D13D0D" w:rsidRPr="002C3BCD" w:rsidRDefault="00D13D0D" w:rsidP="00AC3926">
      <w:pPr>
        <w:pStyle w:val="FootnoteText"/>
        <w:rPr>
          <w:sz w:val="18"/>
          <w:szCs w:val="18"/>
        </w:rPr>
      </w:pPr>
      <w:r w:rsidRPr="002C3BCD">
        <w:rPr>
          <w:rStyle w:val="FootnoteReference"/>
          <w:sz w:val="18"/>
          <w:szCs w:val="18"/>
        </w:rPr>
        <w:footnoteRef/>
      </w:r>
      <w:r w:rsidRPr="002C3BCD">
        <w:rPr>
          <w:sz w:val="18"/>
          <w:szCs w:val="18"/>
        </w:rPr>
        <w:t xml:space="preserve"> For example, as described in the semi-annual IBLI progress report of 2012: 5,000 out of the 80,000 copies of the “</w:t>
      </w:r>
      <w:r w:rsidRPr="002C3BCD">
        <w:rPr>
          <w:i/>
          <w:sz w:val="18"/>
          <w:szCs w:val="18"/>
        </w:rPr>
        <w:t>Livestock Insurance Advisory Leaflet”</w:t>
      </w:r>
      <w:r w:rsidRPr="002C3BCD">
        <w:rPr>
          <w:sz w:val="18"/>
          <w:szCs w:val="18"/>
        </w:rPr>
        <w:t xml:space="preserve"> distributed nationwide have been printed in Kazakh language and distributed to Bayan-Ulgii aimag</w:t>
      </w:r>
    </w:p>
  </w:footnote>
  <w:footnote w:id="7">
    <w:p w14:paraId="6D99C952" w14:textId="7CFD6136" w:rsidR="00D13D0D" w:rsidRPr="002A1A68" w:rsidRDefault="00D13D0D">
      <w:pPr>
        <w:pStyle w:val="FootnoteText"/>
        <w:contextualSpacing/>
        <w:rPr>
          <w:sz w:val="18"/>
        </w:rPr>
      </w:pPr>
      <w:r>
        <w:rPr>
          <w:rStyle w:val="FootnoteReference"/>
        </w:rPr>
        <w:footnoteRef/>
      </w:r>
      <w:r>
        <w:t xml:space="preserve"> </w:t>
      </w:r>
      <w:r w:rsidRPr="002A1A68">
        <w:rPr>
          <w:sz w:val="18"/>
        </w:rPr>
        <w:t xml:space="preserve">This graph presents regression-adjusted means adapted from the regression results presented in Table 5 of DWI IE report. </w:t>
      </w:r>
    </w:p>
  </w:footnote>
  <w:footnote w:id="8">
    <w:p w14:paraId="13DF8D9B" w14:textId="77777777" w:rsidR="00D13D0D" w:rsidRDefault="00D13D0D" w:rsidP="001B155B">
      <w:pPr>
        <w:pStyle w:val="FootnoteText"/>
        <w:contextualSpacing/>
      </w:pPr>
      <w:r w:rsidRPr="002A1A68">
        <w:rPr>
          <w:rStyle w:val="FootnoteReference"/>
          <w:sz w:val="18"/>
        </w:rPr>
        <w:footnoteRef/>
      </w:r>
      <w:r w:rsidRPr="002A1A68">
        <w:rPr>
          <w:sz w:val="18"/>
        </w:rPr>
        <w:t xml:space="preserve"> See “The Economics of Early Response and Resilience: Lessons from Kenya” by DFID</w:t>
      </w:r>
    </w:p>
  </w:footnote>
  <w:footnote w:id="9">
    <w:p w14:paraId="0248333A" w14:textId="77777777" w:rsidR="00D13D0D" w:rsidRDefault="00D13D0D" w:rsidP="001B155B">
      <w:pPr>
        <w:pStyle w:val="FootnoteText"/>
      </w:pPr>
      <w:r>
        <w:rPr>
          <w:rStyle w:val="FootnoteReference"/>
        </w:rPr>
        <w:footnoteRef/>
      </w:r>
      <w:r w:rsidRPr="00016D48">
        <w:t xml:space="preserve">  </w:t>
      </w:r>
      <w:r w:rsidRPr="00FB7DD2">
        <w:rPr>
          <w:sz w:val="20"/>
        </w:rPr>
        <w:t>At this point, an additional financing was carried to scale up the program at a national level and with that the target was increased from 10% to 15%. Given the complexity of expanding a program to such a wide scale, the project lagged slightly behind this target, with nearly reaching it in 2013</w:t>
      </w:r>
    </w:p>
  </w:footnote>
  <w:footnote w:id="10">
    <w:p w14:paraId="5D901D4F" w14:textId="77777777" w:rsidR="00D13D0D" w:rsidRPr="00AD6727" w:rsidRDefault="00D13D0D" w:rsidP="00AD6727">
      <w:pPr>
        <w:pStyle w:val="FootnoteText"/>
        <w:contextualSpacing/>
        <w:rPr>
          <w:sz w:val="20"/>
        </w:rPr>
      </w:pPr>
      <w:r w:rsidRPr="00AD6727">
        <w:rPr>
          <w:rStyle w:val="FootnoteReference"/>
          <w:sz w:val="20"/>
        </w:rPr>
        <w:footnoteRef/>
      </w:r>
      <w:r w:rsidRPr="00AD6727">
        <w:rPr>
          <w:sz w:val="20"/>
        </w:rPr>
        <w:t xml:space="preserve"> See for example Binswanger-Mkhize (2012); Carter et al. (2014); Miranda and Farrin (2012)</w:t>
      </w:r>
    </w:p>
  </w:footnote>
  <w:footnote w:id="11">
    <w:p w14:paraId="47E98C7D" w14:textId="6078AD76" w:rsidR="00D13D0D" w:rsidRPr="002C3BCD" w:rsidRDefault="00D13D0D" w:rsidP="00AD6727">
      <w:pPr>
        <w:pStyle w:val="FootnoteText"/>
        <w:contextualSpacing/>
        <w:rPr>
          <w:sz w:val="18"/>
          <w:szCs w:val="18"/>
        </w:rPr>
      </w:pPr>
      <w:r w:rsidRPr="002C3BCD">
        <w:rPr>
          <w:rStyle w:val="FootnoteReference"/>
          <w:sz w:val="18"/>
          <w:szCs w:val="18"/>
        </w:rPr>
        <w:footnoteRef/>
      </w:r>
      <w:r w:rsidRPr="002C3BCD">
        <w:rPr>
          <w:sz w:val="18"/>
          <w:szCs w:val="18"/>
        </w:rPr>
        <w:t xml:space="preserve"> as the ICR team noted during its visit to a sample of insured and non-insured herders</w:t>
      </w:r>
    </w:p>
  </w:footnote>
  <w:footnote w:id="12">
    <w:p w14:paraId="56971263" w14:textId="23C24EAF" w:rsidR="00D13D0D" w:rsidRPr="002C3BCD" w:rsidRDefault="00D13D0D">
      <w:pPr>
        <w:pStyle w:val="FootnoteText"/>
        <w:rPr>
          <w:sz w:val="18"/>
          <w:szCs w:val="18"/>
        </w:rPr>
      </w:pPr>
      <w:r w:rsidRPr="002C3BCD">
        <w:rPr>
          <w:rStyle w:val="FootnoteReference"/>
          <w:sz w:val="18"/>
          <w:szCs w:val="18"/>
        </w:rPr>
        <w:footnoteRef/>
      </w:r>
      <w:r w:rsidRPr="002C3BCD">
        <w:rPr>
          <w:sz w:val="18"/>
          <w:szCs w:val="18"/>
        </w:rPr>
        <w:t xml:space="preserve"> By insuring against covariate shocks that simultaneously hit a group of smallholders, which is also the main reason behind defaulting on loans, index insurance de-risks rural lending. In addition, for asset-poor smallholders, index insurance can substitute the collateral requirement as the insurance payouts compensates the bank in case of an inability of the smallholder to pay back the loan.</w:t>
      </w:r>
    </w:p>
  </w:footnote>
  <w:footnote w:id="13">
    <w:p w14:paraId="1442CA21" w14:textId="77777777" w:rsidR="00D13D0D" w:rsidRPr="005714BA" w:rsidRDefault="00D13D0D" w:rsidP="00D163C7">
      <w:pPr>
        <w:pStyle w:val="FootnoteText"/>
        <w:rPr>
          <w:sz w:val="18"/>
          <w:szCs w:val="18"/>
        </w:rPr>
      </w:pPr>
      <w:r w:rsidRPr="005714BA">
        <w:rPr>
          <w:rStyle w:val="FootnoteReference"/>
          <w:sz w:val="18"/>
          <w:szCs w:val="18"/>
        </w:rPr>
        <w:footnoteRef/>
      </w:r>
      <w:r w:rsidRPr="005714BA">
        <w:rPr>
          <w:sz w:val="18"/>
          <w:szCs w:val="18"/>
        </w:rPr>
        <w:t xml:space="preserve"> These herders are particularly vulnerable </w:t>
      </w:r>
      <w:r>
        <w:rPr>
          <w:sz w:val="18"/>
          <w:szCs w:val="18"/>
        </w:rPr>
        <w:t xml:space="preserve">as </w:t>
      </w:r>
      <w:r w:rsidRPr="005714BA">
        <w:rPr>
          <w:sz w:val="18"/>
          <w:szCs w:val="18"/>
        </w:rPr>
        <w:t xml:space="preserve">they </w:t>
      </w:r>
      <w:r>
        <w:rPr>
          <w:sz w:val="18"/>
          <w:szCs w:val="18"/>
        </w:rPr>
        <w:t xml:space="preserve">are often chosen because they </w:t>
      </w:r>
      <w:r w:rsidRPr="005714BA">
        <w:rPr>
          <w:sz w:val="18"/>
          <w:szCs w:val="18"/>
        </w:rPr>
        <w:t>do not own livestock</w:t>
      </w:r>
      <w:r>
        <w:rPr>
          <w:sz w:val="18"/>
          <w:szCs w:val="18"/>
        </w:rPr>
        <w:t xml:space="preserve"> but still bear responsibility in case of losses</w:t>
      </w:r>
      <w:r w:rsidRPr="005714BA">
        <w:rPr>
          <w:sz w:val="18"/>
          <w:szCs w:val="18"/>
        </w:rPr>
        <w:t xml:space="preserve"> and have limited assets to buffer them against shocks. Expanding insurance to them was a key step in helping the most vulnerable manage risk</w:t>
      </w:r>
      <w:r>
        <w:rPr>
          <w:sz w:val="18"/>
          <w:szCs w:val="18"/>
        </w:rPr>
        <w:t>s.</w:t>
      </w:r>
    </w:p>
  </w:footnote>
  <w:footnote w:id="14">
    <w:p w14:paraId="61511579" w14:textId="77777777" w:rsidR="00D13D0D" w:rsidRDefault="00D13D0D" w:rsidP="00D163C7">
      <w:pPr>
        <w:pStyle w:val="FootnoteText"/>
      </w:pPr>
      <w:r>
        <w:rPr>
          <w:rStyle w:val="FootnoteReference"/>
        </w:rPr>
        <w:footnoteRef/>
      </w:r>
      <w:r>
        <w:t xml:space="preserve"> </w:t>
      </w:r>
      <w:r w:rsidRPr="00104CB8">
        <w:rPr>
          <w:sz w:val="22"/>
        </w:rPr>
        <w:t>In the original three aimags, face to face education was stopped, and awareness of the product instead depended on herder to herder communication, and promotional materials. For new aimags, the proposed approach is less intensive than in the original three aimags, though does include a face to face education program for the first year when the product is first being introduced with a continued focus on training of trainers as well as herders.</w:t>
      </w:r>
    </w:p>
  </w:footnote>
  <w:footnote w:id="15">
    <w:p w14:paraId="401E651F" w14:textId="77777777" w:rsidR="00D13D0D" w:rsidRDefault="00D13D0D" w:rsidP="004B664D">
      <w:pPr>
        <w:pStyle w:val="FootnoteText"/>
      </w:pPr>
      <w:r>
        <w:rPr>
          <w:rStyle w:val="FootnoteReference"/>
        </w:rPr>
        <w:footnoteRef/>
      </w:r>
      <w:r>
        <w:t xml:space="preserve"> </w:t>
      </w:r>
      <w:r w:rsidRPr="002F3836">
        <w:rPr>
          <w:sz w:val="16"/>
          <w:szCs w:val="16"/>
        </w:rPr>
        <w:t>The magnitude of the treatment effect is relatively large: In 2011, treated households own on average 15 to 16 percent more livestock than control households; in 2012, they own between 22 percent and 27 percent more livestock; and in 2013, they own about 17 percent more livestock. It can be seen that the positive effect of the indemnity payments appears to attenuate three years after the shock</w:t>
      </w:r>
      <w:r>
        <w:rPr>
          <w:sz w:val="16"/>
          <w:szCs w:val="16"/>
        </w:rPr>
        <w:t>.</w:t>
      </w:r>
    </w:p>
  </w:footnote>
  <w:footnote w:id="16">
    <w:p w14:paraId="2BF38FC9" w14:textId="168AA8BA" w:rsidR="00D13D0D" w:rsidRDefault="00D13D0D" w:rsidP="004B664D">
      <w:pPr>
        <w:pStyle w:val="FootnoteText"/>
      </w:pPr>
      <w:r>
        <w:rPr>
          <w:rStyle w:val="FootnoteReference"/>
        </w:rPr>
        <w:footnoteRef/>
      </w:r>
      <w:r>
        <w:t xml:space="preserve"> </w:t>
      </w:r>
      <w:r w:rsidRPr="00357775">
        <w:rPr>
          <w:sz w:val="16"/>
          <w:szCs w:val="16"/>
        </w:rPr>
        <w:t>See the</w:t>
      </w:r>
      <w:r>
        <w:rPr>
          <w:sz w:val="16"/>
          <w:szCs w:val="16"/>
        </w:rPr>
        <w:t xml:space="preserve"> following</w:t>
      </w:r>
      <w:r w:rsidRPr="00357775">
        <w:rPr>
          <w:sz w:val="16"/>
          <w:szCs w:val="16"/>
        </w:rPr>
        <w:t xml:space="preserve"> working paper</w:t>
      </w:r>
      <w:r>
        <w:rPr>
          <w:sz w:val="16"/>
          <w:szCs w:val="16"/>
        </w:rPr>
        <w:t xml:space="preserve"> for more details:</w:t>
      </w:r>
      <w:r>
        <w:t xml:space="preserve"> </w:t>
      </w:r>
      <w:r w:rsidRPr="00C657D3">
        <w:rPr>
          <w:sz w:val="16"/>
          <w:szCs w:val="16"/>
        </w:rPr>
        <w:t>Financial and Economic Analysis Working Paper, Mongolia Index-Based Livestock Insurance Project (IBLI), January 10, 2005, on file with World Bank and FAO Investment Centre. Also see Annex 9, World Bank Project</w:t>
      </w:r>
      <w:r>
        <w:rPr>
          <w:sz w:val="16"/>
          <w:szCs w:val="16"/>
        </w:rPr>
        <w:t xml:space="preserve"> </w:t>
      </w:r>
      <w:r w:rsidRPr="00C657D3">
        <w:rPr>
          <w:sz w:val="16"/>
          <w:szCs w:val="16"/>
        </w:rPr>
        <w:t xml:space="preserve">  Appraisal Document, May 2, 2005, Report No. 32220-Mn.</w:t>
      </w:r>
    </w:p>
  </w:footnote>
  <w:footnote w:id="17">
    <w:p w14:paraId="39DFCC9D" w14:textId="77777777" w:rsidR="00D13D0D" w:rsidRDefault="00D13D0D" w:rsidP="004B664D">
      <w:pPr>
        <w:pStyle w:val="FootnoteText"/>
      </w:pPr>
      <w:r>
        <w:rPr>
          <w:rStyle w:val="FootnoteReference"/>
        </w:rPr>
        <w:footnoteRef/>
      </w:r>
      <w:r>
        <w:t xml:space="preserve"> </w:t>
      </w:r>
      <w:r w:rsidRPr="00E211E7">
        <w:rPr>
          <w:sz w:val="16"/>
          <w:szCs w:val="16"/>
        </w:rPr>
        <w:t xml:space="preserve">Financial and Economic Analysis Working Paper, Mongolia Index-Based Livestock Insurance Project (IBLI),  </w:t>
      </w:r>
      <w:r>
        <w:rPr>
          <w:sz w:val="16"/>
          <w:szCs w:val="16"/>
        </w:rPr>
        <w:t>2009</w:t>
      </w:r>
      <w:r w:rsidRPr="00E211E7">
        <w:rPr>
          <w:sz w:val="16"/>
          <w:szCs w:val="16"/>
        </w:rPr>
        <w:t>, on file with World Bank and FAO Investment Centre.</w:t>
      </w:r>
      <w:r>
        <w:rPr>
          <w:sz w:val="16"/>
          <w:szCs w:val="16"/>
        </w:rPr>
        <w:t xml:space="preserve"> </w:t>
      </w:r>
      <w:r w:rsidRPr="00E211E7">
        <w:rPr>
          <w:sz w:val="16"/>
          <w:szCs w:val="16"/>
        </w:rPr>
        <w:t>J.</w:t>
      </w:r>
      <w:r w:rsidRPr="003F7897">
        <w:rPr>
          <w:sz w:val="16"/>
          <w:szCs w:val="16"/>
        </w:rPr>
        <w:t xml:space="preserve">G. Nagy, TCIE, FAO Investment Centre. </w:t>
      </w:r>
    </w:p>
  </w:footnote>
  <w:footnote w:id="18">
    <w:p w14:paraId="59B97E85" w14:textId="4517E954" w:rsidR="00D13D0D" w:rsidRPr="00980DF2" w:rsidRDefault="00D13D0D" w:rsidP="004B664D">
      <w:pPr>
        <w:pStyle w:val="FootnoteText"/>
        <w:rPr>
          <w:sz w:val="16"/>
          <w:szCs w:val="16"/>
        </w:rPr>
      </w:pPr>
      <w:r>
        <w:rPr>
          <w:rStyle w:val="FootnoteReference"/>
        </w:rPr>
        <w:footnoteRef/>
      </w:r>
      <w:r>
        <w:t xml:space="preserve"> </w:t>
      </w:r>
      <w:r w:rsidRPr="007F07ED">
        <w:rPr>
          <w:sz w:val="16"/>
          <w:szCs w:val="16"/>
        </w:rPr>
        <w:t>Selection of aimags</w:t>
      </w:r>
      <w:r>
        <w:t xml:space="preserve">.  </w:t>
      </w:r>
      <w:r>
        <w:rPr>
          <w:sz w:val="16"/>
          <w:szCs w:val="16"/>
        </w:rPr>
        <w:t>A choice was made to simulate the model for one the original aimags (two s</w:t>
      </w:r>
      <w:r w:rsidRPr="00980DF2">
        <w:rPr>
          <w:sz w:val="16"/>
          <w:szCs w:val="16"/>
        </w:rPr>
        <w:t xml:space="preserve">ums – high and low risk), as well as one of the </w:t>
      </w:r>
      <w:r>
        <w:rPr>
          <w:sz w:val="16"/>
          <w:szCs w:val="16"/>
        </w:rPr>
        <w:t>a</w:t>
      </w:r>
      <w:r w:rsidRPr="00980DF2">
        <w:rPr>
          <w:sz w:val="16"/>
          <w:szCs w:val="16"/>
        </w:rPr>
        <w:t xml:space="preserve">Aimags included as part of the scaling-up of IBLI in 2010 to national level. Of the three original Aimags included in the project (Uvs, Bayankhongor and Khentii), the largest variation between low and high risk Soums was found in Bayankhongor with an average growth in herd sizes for 2003-2015 across all Soums of 243%. However, Bumbugur </w:t>
      </w:r>
      <w:r w:rsidRPr="00980DF2">
        <w:rPr>
          <w:i/>
          <w:sz w:val="16"/>
          <w:szCs w:val="16"/>
        </w:rPr>
        <w:t>sum</w:t>
      </w:r>
      <w:r w:rsidRPr="00980DF2">
        <w:rPr>
          <w:sz w:val="16"/>
          <w:szCs w:val="16"/>
        </w:rPr>
        <w:t xml:space="preserve"> registered 596% growth and Jargalant only 80%. Bayankhongor was therefore selected from the original </w:t>
      </w:r>
      <w:r>
        <w:rPr>
          <w:sz w:val="16"/>
          <w:szCs w:val="16"/>
        </w:rPr>
        <w:t>a</w:t>
      </w:r>
      <w:r w:rsidRPr="00980DF2">
        <w:rPr>
          <w:sz w:val="16"/>
          <w:szCs w:val="16"/>
        </w:rPr>
        <w:t>imags.</w:t>
      </w:r>
      <w:r>
        <w:rPr>
          <w:sz w:val="16"/>
          <w:szCs w:val="16"/>
        </w:rPr>
        <w:t xml:space="preserve"> </w:t>
      </w:r>
      <w:r w:rsidRPr="00980DF2">
        <w:rPr>
          <w:sz w:val="16"/>
          <w:szCs w:val="16"/>
        </w:rPr>
        <w:t>For the new Aimag, the earliest incorporated into the expansion in 2010 was Tuv with an average growth of 202%. The lowest and highest risk Soums respectively over this period (2003-2015) were Zammar (343%) and Batsumber (28%). These Soums within Tuv Aimag were accordingly selected.</w:t>
      </w:r>
    </w:p>
    <w:p w14:paraId="3C37AC34" w14:textId="77777777" w:rsidR="00D13D0D" w:rsidRDefault="00D13D0D" w:rsidP="004B664D">
      <w:pPr>
        <w:pStyle w:val="FootnoteText"/>
      </w:pPr>
    </w:p>
  </w:footnote>
  <w:footnote w:id="19">
    <w:p w14:paraId="3ED61258" w14:textId="77777777" w:rsidR="00D13D0D" w:rsidRDefault="00D13D0D" w:rsidP="004B664D">
      <w:pPr>
        <w:pStyle w:val="FootnoteText"/>
        <w:jc w:val="both"/>
      </w:pPr>
      <w:r>
        <w:rPr>
          <w:rStyle w:val="FootnoteReference"/>
        </w:rPr>
        <w:footnoteRef/>
      </w:r>
      <w:r>
        <w:t xml:space="preserve"> </w:t>
      </w:r>
      <w:r w:rsidRPr="008043BE">
        <w:rPr>
          <w:sz w:val="16"/>
          <w:szCs w:val="16"/>
        </w:rPr>
        <w:t xml:space="preserve">At appraisal, 80% of all herds in Mongolia were less than or equal to 200 animals and the model is representative of a large number of herders who have between 150 to 225 animals. It was estimated that the herd size required to sustain a family at a reasonable level of income is 200 or more animals. Although herd sizes in Mongolia have changed since the appraisal and the additional financing, we maintained this assumption for the purpose of comparability with the initial model.  </w:t>
      </w:r>
    </w:p>
  </w:footnote>
  <w:footnote w:id="20">
    <w:p w14:paraId="358A9070" w14:textId="77777777" w:rsidR="00D13D0D" w:rsidRDefault="00D13D0D" w:rsidP="005A4EF0">
      <w:pPr>
        <w:pStyle w:val="FootnoteText"/>
        <w:spacing w:before="0" w:beforeAutospacing="0" w:after="0" w:afterAutospacing="0"/>
      </w:pPr>
      <w:r>
        <w:rPr>
          <w:rStyle w:val="FootnoteReference"/>
        </w:rPr>
        <w:footnoteRef/>
      </w:r>
      <w:r>
        <w:t xml:space="preserve"> </w:t>
      </w:r>
      <w:r w:rsidRPr="00C279C9">
        <w:rPr>
          <w:sz w:val="16"/>
          <w:szCs w:val="16"/>
        </w:rPr>
        <w:t>We assumed that the national annual species growth rate remained the same since the additional financing</w:t>
      </w:r>
      <w:r>
        <w:rPr>
          <w:sz w:val="16"/>
          <w:szCs w:val="16"/>
        </w:rPr>
        <w:t>.</w:t>
      </w:r>
    </w:p>
  </w:footnote>
  <w:footnote w:id="21">
    <w:p w14:paraId="1FD3E3B1" w14:textId="77777777" w:rsidR="00D13D0D" w:rsidRDefault="00D13D0D" w:rsidP="005A4EF0">
      <w:pPr>
        <w:pStyle w:val="FootnoteText"/>
        <w:spacing w:before="0" w:beforeAutospacing="0" w:after="0" w:afterAutospacing="0"/>
      </w:pPr>
      <w:r>
        <w:rPr>
          <w:rStyle w:val="FootnoteReference"/>
        </w:rPr>
        <w:footnoteRef/>
      </w:r>
      <w:r>
        <w:t xml:space="preserve"> </w:t>
      </w:r>
      <w:r w:rsidRPr="003F7520">
        <w:rPr>
          <w:sz w:val="16"/>
          <w:szCs w:val="16"/>
        </w:rPr>
        <w:t>F</w:t>
      </w:r>
      <w:r>
        <w:rPr>
          <w:sz w:val="16"/>
          <w:szCs w:val="16"/>
        </w:rPr>
        <w:t xml:space="preserve">ield visits in 2016 revealed that the aid that herders receive in case of a </w:t>
      </w:r>
      <w:r w:rsidRPr="003F7520">
        <w:rPr>
          <w:i/>
          <w:sz w:val="16"/>
          <w:szCs w:val="16"/>
        </w:rPr>
        <w:t>dzud</w:t>
      </w:r>
      <w:r>
        <w:rPr>
          <w:sz w:val="16"/>
          <w:szCs w:val="16"/>
        </w:rPr>
        <w:t xml:space="preserve"> is ad-hoc (mostly hay and fodder), and is unlikely to disincentivize them from taking up insurance. </w:t>
      </w:r>
    </w:p>
  </w:footnote>
  <w:footnote w:id="22">
    <w:p w14:paraId="1ED2D053" w14:textId="77777777" w:rsidR="00D13D0D" w:rsidRDefault="00D13D0D" w:rsidP="005A4EF0">
      <w:pPr>
        <w:pStyle w:val="FootnoteText"/>
        <w:spacing w:before="0" w:beforeAutospacing="0" w:after="0" w:afterAutospacing="0"/>
      </w:pPr>
      <w:r>
        <w:rPr>
          <w:rStyle w:val="FootnoteReference"/>
        </w:rPr>
        <w:footnoteRef/>
      </w:r>
      <w:r>
        <w:t xml:space="preserve"> </w:t>
      </w:r>
      <w:r w:rsidRPr="000E4934">
        <w:rPr>
          <w:sz w:val="16"/>
          <w:szCs w:val="16"/>
        </w:rPr>
        <w:t xml:space="preserve">Since data on </w:t>
      </w:r>
      <w:r w:rsidRPr="000E4934">
        <w:rPr>
          <w:i/>
          <w:sz w:val="16"/>
          <w:szCs w:val="16"/>
        </w:rPr>
        <w:t xml:space="preserve">sum </w:t>
      </w:r>
      <w:r w:rsidRPr="000E4934">
        <w:rPr>
          <w:sz w:val="16"/>
          <w:szCs w:val="16"/>
        </w:rPr>
        <w:t xml:space="preserve">level loaded premium was not available, it is assumed that the loaded premium at the sum level is the same as the loaded premium at the aimag level, which is </w:t>
      </w:r>
      <w:r>
        <w:rPr>
          <w:sz w:val="16"/>
          <w:szCs w:val="16"/>
        </w:rPr>
        <w:t xml:space="preserve">in </w:t>
      </w:r>
      <w:r w:rsidRPr="000E4934">
        <w:rPr>
          <w:sz w:val="16"/>
          <w:szCs w:val="16"/>
        </w:rPr>
        <w:t>turn calculated by dividing the total insurance premium</w:t>
      </w:r>
      <w:r>
        <w:rPr>
          <w:sz w:val="16"/>
          <w:szCs w:val="16"/>
        </w:rPr>
        <w:t xml:space="preserve"> collected from the aimag by the total value of livestock insured. </w:t>
      </w:r>
    </w:p>
  </w:footnote>
  <w:footnote w:id="23">
    <w:p w14:paraId="188EBD85" w14:textId="77777777" w:rsidR="00D13D0D" w:rsidRDefault="00D13D0D" w:rsidP="005A4EF0">
      <w:pPr>
        <w:pStyle w:val="FootnoteText"/>
        <w:spacing w:before="0" w:beforeAutospacing="0"/>
      </w:pPr>
      <w:r>
        <w:rPr>
          <w:rStyle w:val="FootnoteReference"/>
        </w:rPr>
        <w:footnoteRef/>
      </w:r>
      <w:r>
        <w:t xml:space="preserve"> </w:t>
      </w:r>
      <w:r w:rsidRPr="005A3B28">
        <w:rPr>
          <w:sz w:val="16"/>
          <w:szCs w:val="16"/>
        </w:rPr>
        <w:t>Field visits and findings of the impact evaluation revealed that</w:t>
      </w:r>
      <w:r>
        <w:t xml:space="preserve"> </w:t>
      </w:r>
      <w:r w:rsidRPr="005A3B28">
        <w:rPr>
          <w:sz w:val="16"/>
          <w:szCs w:val="16"/>
        </w:rPr>
        <w:t>herders used the insured payouts to restock</w:t>
      </w:r>
      <w:r>
        <w:rPr>
          <w:sz w:val="16"/>
          <w:szCs w:val="16"/>
        </w:rPr>
        <w:t xml:space="preserve"> and that they were concerned about not having a herd size above the carrying capacity of their grazing area.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56516" w14:textId="77777777" w:rsidR="00D13D0D" w:rsidRDefault="00D13D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0618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412AE"/>
    <w:multiLevelType w:val="hybridMultilevel"/>
    <w:tmpl w:val="C284C3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65A12"/>
    <w:multiLevelType w:val="hybridMultilevel"/>
    <w:tmpl w:val="5DBA25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28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8B5F10"/>
    <w:multiLevelType w:val="multilevel"/>
    <w:tmpl w:val="51BE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B7AF1"/>
    <w:multiLevelType w:val="hybridMultilevel"/>
    <w:tmpl w:val="19448B38"/>
    <w:lvl w:ilvl="0" w:tplc="51AC9066">
      <w:start w:val="1"/>
      <w:numFmt w:val="lowerLetter"/>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6" w15:restartNumberingAfterBreak="0">
    <w:nsid w:val="1E9732D1"/>
    <w:multiLevelType w:val="multilevel"/>
    <w:tmpl w:val="8D848D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126036"/>
    <w:multiLevelType w:val="hybridMultilevel"/>
    <w:tmpl w:val="6F8AA546"/>
    <w:lvl w:ilvl="0" w:tplc="D1C290E6">
      <w:start w:val="1"/>
      <w:numFmt w:val="lowerLetter"/>
      <w:lvlText w:val="%1)"/>
      <w:lvlJc w:val="left"/>
      <w:pPr>
        <w:ind w:left="36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605150"/>
    <w:multiLevelType w:val="hybridMultilevel"/>
    <w:tmpl w:val="3A24C2A4"/>
    <w:lvl w:ilvl="0" w:tplc="A0C41218">
      <w:start w:val="1"/>
      <w:numFmt w:val="decimal"/>
      <w:lvlText w:val="%1."/>
      <w:lvlJc w:val="left"/>
      <w:pPr>
        <w:tabs>
          <w:tab w:val="num" w:pos="360"/>
        </w:tabs>
        <w:ind w:left="360" w:hanging="360"/>
      </w:pPr>
      <w:rPr>
        <w:b w:val="0"/>
        <w:i w:val="0"/>
      </w:rPr>
    </w:lvl>
    <w:lvl w:ilvl="1" w:tplc="04090001">
      <w:start w:val="1"/>
      <w:numFmt w:val="bullet"/>
      <w:lvlText w:val=""/>
      <w:lvlJc w:val="left"/>
      <w:pPr>
        <w:tabs>
          <w:tab w:val="num" w:pos="1080"/>
        </w:tabs>
        <w:ind w:left="1080" w:hanging="360"/>
      </w:pPr>
      <w:rPr>
        <w:rFonts w:ascii="Symbol" w:hAnsi="Symbol" w:hint="default"/>
      </w:rPr>
    </w:lvl>
    <w:lvl w:ilvl="2" w:tplc="A6A0EDAC">
      <w:start w:val="1"/>
      <w:numFmt w:val="decimal"/>
      <w:lvlText w:val="%3."/>
      <w:lvlJc w:val="left"/>
      <w:pPr>
        <w:tabs>
          <w:tab w:val="num" w:pos="1800"/>
        </w:tabs>
        <w:ind w:left="1800" w:hanging="360"/>
      </w:pPr>
      <w:rPr>
        <w:b/>
      </w:r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 w15:restartNumberingAfterBreak="0">
    <w:nsid w:val="35D746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0406C1"/>
    <w:multiLevelType w:val="multilevel"/>
    <w:tmpl w:val="73BEA520"/>
    <w:lvl w:ilvl="0">
      <w:start w:val="1"/>
      <w:numFmt w:val="decimal"/>
      <w:lvlText w:val="%1."/>
      <w:lvlJc w:val="left"/>
      <w:pPr>
        <w:tabs>
          <w:tab w:val="num" w:pos="720"/>
        </w:tabs>
        <w:ind w:left="720" w:hanging="720"/>
      </w:pPr>
    </w:lvl>
    <w:lvl w:ilvl="1">
      <w:start w:val="1"/>
      <w:numFmt w:val="decimal"/>
      <w:pStyle w:val="MainParanoChap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96522E8"/>
    <w:multiLevelType w:val="hybridMultilevel"/>
    <w:tmpl w:val="CE2E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41C319E1"/>
    <w:multiLevelType w:val="hybridMultilevel"/>
    <w:tmpl w:val="38382B20"/>
    <w:lvl w:ilvl="0" w:tplc="58F6413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4F5E09"/>
    <w:multiLevelType w:val="multilevel"/>
    <w:tmpl w:val="7D1AE66C"/>
    <w:lvl w:ilvl="0">
      <w:start w:val="1"/>
      <w:numFmt w:val="decimal"/>
      <w:lvlText w:val="%1."/>
      <w:lvlJc w:val="left"/>
      <w:pPr>
        <w:ind w:left="360" w:hanging="360"/>
      </w:pPr>
      <w:rPr>
        <w:rFonts w:ascii="Times New Roman" w:hAnsi="Times New Roman" w:cs="Times New Roman" w:hint="default"/>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528D9"/>
    <w:multiLevelType w:val="hybridMultilevel"/>
    <w:tmpl w:val="E534C15E"/>
    <w:lvl w:ilvl="0" w:tplc="C29087BE">
      <w:start w:val="1"/>
      <w:numFmt w:val="decimal"/>
      <w:lvlText w:val="%1."/>
      <w:lvlJc w:val="left"/>
      <w:pPr>
        <w:ind w:left="360" w:hanging="360"/>
      </w:pPr>
      <w:rPr>
        <w:b w:val="0"/>
        <w:i w:val="0"/>
      </w:rPr>
    </w:lvl>
    <w:lvl w:ilvl="1" w:tplc="9F305F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BC1CD3"/>
    <w:multiLevelType w:val="hybridMultilevel"/>
    <w:tmpl w:val="E52092F4"/>
    <w:lvl w:ilvl="0" w:tplc="040C000F">
      <w:start w:val="1"/>
      <w:numFmt w:val="decimal"/>
      <w:lvlText w:val="%1."/>
      <w:lvlJc w:val="left"/>
      <w:pPr>
        <w:ind w:left="0" w:hanging="360"/>
      </w:pPr>
    </w:lvl>
    <w:lvl w:ilvl="1" w:tplc="040C0019">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16" w15:restartNumberingAfterBreak="0">
    <w:nsid w:val="4C552A77"/>
    <w:multiLevelType w:val="hybridMultilevel"/>
    <w:tmpl w:val="3182BAB6"/>
    <w:lvl w:ilvl="0" w:tplc="D1C290E6">
      <w:start w:val="1"/>
      <w:numFmt w:val="lowerLetter"/>
      <w:lvlText w:val="%1)"/>
      <w:lvlJc w:val="left"/>
      <w:pPr>
        <w:ind w:left="600" w:hanging="360"/>
      </w:pPr>
      <w:rPr>
        <w:rFonts w:hint="default"/>
        <w:b/>
        <w:sz w:val="24"/>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7" w15:restartNumberingAfterBreak="0">
    <w:nsid w:val="4CDB3A1E"/>
    <w:multiLevelType w:val="hybridMultilevel"/>
    <w:tmpl w:val="38382B20"/>
    <w:lvl w:ilvl="0" w:tplc="58F6413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FB103F7"/>
    <w:multiLevelType w:val="hybridMultilevel"/>
    <w:tmpl w:val="C7D4A746"/>
    <w:lvl w:ilvl="0" w:tplc="9856BC56">
      <w:start w:val="1"/>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643BBA"/>
    <w:multiLevelType w:val="hybridMultilevel"/>
    <w:tmpl w:val="5C7C604C"/>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76E5D05"/>
    <w:multiLevelType w:val="hybridMultilevel"/>
    <w:tmpl w:val="D96A588A"/>
    <w:lvl w:ilvl="0" w:tplc="0409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895076D"/>
    <w:multiLevelType w:val="hybridMultilevel"/>
    <w:tmpl w:val="0E9E23D4"/>
    <w:lvl w:ilvl="0" w:tplc="F97E21AA">
      <w:start w:val="1"/>
      <w:numFmt w:val="decimal"/>
      <w:lvlText w:val="%1."/>
      <w:lvlJc w:val="left"/>
      <w:pPr>
        <w:tabs>
          <w:tab w:val="num" w:pos="360"/>
        </w:tabs>
        <w:ind w:left="36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AD47038">
      <w:start w:val="4"/>
      <w:numFmt w:val="upperLetter"/>
      <w:lvlText w:val="%4."/>
      <w:lvlJc w:val="left"/>
      <w:pPr>
        <w:tabs>
          <w:tab w:val="num" w:pos="900"/>
        </w:tabs>
        <w:ind w:left="900" w:hanging="360"/>
      </w:pPr>
      <w:rPr>
        <w:rFonts w:ascii="Times New Roman" w:hAnsi="Times New Roman" w:cs="Times New Roman" w:hint="default"/>
        <w:b/>
      </w:rPr>
    </w:lvl>
    <w:lvl w:ilvl="4" w:tplc="041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6E5F07"/>
    <w:multiLevelType w:val="multilevel"/>
    <w:tmpl w:val="C8061CA6"/>
    <w:lvl w:ilvl="0">
      <w:start w:val="1"/>
      <w:numFmt w:val="bullet"/>
      <w:lvlText w:val=""/>
      <w:lvlJc w:val="left"/>
      <w:pPr>
        <w:tabs>
          <w:tab w:val="num" w:pos="720"/>
        </w:tabs>
        <w:ind w:left="720" w:hanging="360"/>
      </w:pPr>
      <w:rPr>
        <w:rFonts w:ascii="Symbol" w:hAnsi="Symbol" w:hint="default"/>
        <w:sz w:val="20"/>
      </w:rPr>
    </w:lvl>
    <w:lvl w:ilvl="1" w:tentative="1">
      <w:start w:val="1"/>
      <w:numFmt w:val="bullet"/>
      <w:pStyle w:val="PDSHeading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7A0780"/>
    <w:multiLevelType w:val="hybridMultilevel"/>
    <w:tmpl w:val="35764AF6"/>
    <w:lvl w:ilvl="0" w:tplc="04090001">
      <w:start w:val="1"/>
      <w:numFmt w:val="bullet"/>
      <w:lvlText w:val=""/>
      <w:lvlJc w:val="left"/>
      <w:pPr>
        <w:tabs>
          <w:tab w:val="num" w:pos="1080"/>
        </w:tabs>
        <w:ind w:left="1080" w:hanging="360"/>
      </w:pPr>
      <w:rPr>
        <w:rFonts w:ascii="Symbol" w:hAnsi="Symbol" w:hint="default"/>
      </w:rPr>
    </w:lvl>
    <w:lvl w:ilvl="1" w:tplc="52E2250E">
      <w:start w:val="1"/>
      <w:numFmt w:val="decimal"/>
      <w:lvlText w:val="%2."/>
      <w:lvlJc w:val="left"/>
      <w:pPr>
        <w:tabs>
          <w:tab w:val="num" w:pos="1800"/>
        </w:tabs>
        <w:ind w:left="1800" w:hanging="360"/>
      </w:pPr>
      <w:rPr>
        <w:rFonts w:hint="default"/>
        <w:b/>
        <w:i w:val="0"/>
      </w:rPr>
    </w:lvl>
    <w:lvl w:ilvl="2" w:tplc="F66C2416">
      <w:start w:val="46"/>
      <w:numFmt w:val="decimal"/>
      <w:lvlText w:val="%3"/>
      <w:lvlJc w:val="left"/>
      <w:pPr>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CAC0B2E"/>
    <w:multiLevelType w:val="multilevel"/>
    <w:tmpl w:val="A64097C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1467C4E"/>
    <w:multiLevelType w:val="hybridMultilevel"/>
    <w:tmpl w:val="08E239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F31D1D"/>
    <w:multiLevelType w:val="multilevel"/>
    <w:tmpl w:val="4C58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92C45"/>
    <w:multiLevelType w:val="hybridMultilevel"/>
    <w:tmpl w:val="1A5C7CEA"/>
    <w:lvl w:ilvl="0" w:tplc="9856BC56">
      <w:start w:val="1"/>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65005"/>
    <w:multiLevelType w:val="hybridMultilevel"/>
    <w:tmpl w:val="AB2A0952"/>
    <w:lvl w:ilvl="0" w:tplc="FAC268B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C26D77"/>
    <w:multiLevelType w:val="hybridMultilevel"/>
    <w:tmpl w:val="0598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9D5F45"/>
    <w:multiLevelType w:val="multilevel"/>
    <w:tmpl w:val="E7984690"/>
    <w:lvl w:ilvl="0">
      <w:start w:val="1"/>
      <w:numFmt w:val="decimal"/>
      <w:lvlText w:val="%1."/>
      <w:lvlJc w:val="left"/>
      <w:pPr>
        <w:ind w:left="360" w:hanging="360"/>
      </w:pPr>
      <w:rPr>
        <w:b w:val="0"/>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270FE0"/>
    <w:multiLevelType w:val="hybridMultilevel"/>
    <w:tmpl w:val="AD74B216"/>
    <w:lvl w:ilvl="0" w:tplc="57DABC12">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B4249E"/>
    <w:multiLevelType w:val="hybridMultilevel"/>
    <w:tmpl w:val="21341EDA"/>
    <w:lvl w:ilvl="0" w:tplc="FC40DDDE">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6"/>
  </w:num>
  <w:num w:numId="4">
    <w:abstractNumId w:val="0"/>
  </w:num>
  <w:num w:numId="5">
    <w:abstractNumId w:val="10"/>
  </w:num>
  <w:num w:numId="6">
    <w:abstractNumId w:val="29"/>
  </w:num>
  <w:num w:numId="7">
    <w:abstractNumId w:val="17"/>
  </w:num>
  <w:num w:numId="8">
    <w:abstractNumId w:val="12"/>
  </w:num>
  <w:num w:numId="9">
    <w:abstractNumId w:val="11"/>
  </w:num>
  <w:num w:numId="10">
    <w:abstractNumId w:val="20"/>
  </w:num>
  <w:num w:numId="11">
    <w:abstractNumId w:val="18"/>
  </w:num>
  <w:num w:numId="12">
    <w:abstractNumId w:val="27"/>
  </w:num>
  <w:num w:numId="13">
    <w:abstractNumId w:val="9"/>
  </w:num>
  <w:num w:numId="14">
    <w:abstractNumId w:val="3"/>
  </w:num>
  <w:num w:numId="15">
    <w:abstractNumId w:val="31"/>
  </w:num>
  <w:num w:numId="16">
    <w:abstractNumId w:val="5"/>
  </w:num>
  <w:num w:numId="17">
    <w:abstractNumId w:val="19"/>
  </w:num>
  <w:num w:numId="18">
    <w:abstractNumId w:val="30"/>
  </w:num>
  <w:num w:numId="19">
    <w:abstractNumId w:val="2"/>
  </w:num>
  <w:num w:numId="20">
    <w:abstractNumId w:val="0"/>
  </w:num>
  <w:num w:numId="21">
    <w:abstractNumId w:val="4"/>
  </w:num>
  <w:num w:numId="22">
    <w:abstractNumId w:val="26"/>
  </w:num>
  <w:num w:numId="23">
    <w:abstractNumId w:val="32"/>
  </w:num>
  <w:num w:numId="24">
    <w:abstractNumId w:val="28"/>
  </w:num>
  <w:num w:numId="25">
    <w:abstractNumId w:val="16"/>
  </w:num>
  <w:num w:numId="26">
    <w:abstractNumId w:val="7"/>
  </w:num>
  <w:num w:numId="27">
    <w:abstractNumId w:val="21"/>
  </w:num>
  <w:num w:numId="28">
    <w:abstractNumId w:val="8"/>
  </w:num>
  <w:num w:numId="29">
    <w:abstractNumId w:val="23"/>
  </w:num>
  <w:num w:numId="30">
    <w:abstractNumId w:val="14"/>
  </w:num>
  <w:num w:numId="31">
    <w:abstractNumId w:val="1"/>
  </w:num>
  <w:num w:numId="32">
    <w:abstractNumId w:val="15"/>
  </w:num>
  <w:num w:numId="33">
    <w:abstractNumId w:val="25"/>
  </w:num>
  <w:num w:numId="3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A8D"/>
    <w:rsid w:val="0000237C"/>
    <w:rsid w:val="000036EE"/>
    <w:rsid w:val="00003B4A"/>
    <w:rsid w:val="00005D65"/>
    <w:rsid w:val="000066BA"/>
    <w:rsid w:val="0001048C"/>
    <w:rsid w:val="00012CBB"/>
    <w:rsid w:val="00014817"/>
    <w:rsid w:val="00014FBF"/>
    <w:rsid w:val="00015C72"/>
    <w:rsid w:val="00015D7A"/>
    <w:rsid w:val="00017A57"/>
    <w:rsid w:val="00020057"/>
    <w:rsid w:val="00020BFD"/>
    <w:rsid w:val="00023288"/>
    <w:rsid w:val="00024ADE"/>
    <w:rsid w:val="00027141"/>
    <w:rsid w:val="00027AAB"/>
    <w:rsid w:val="00030459"/>
    <w:rsid w:val="00030EAB"/>
    <w:rsid w:val="000322BF"/>
    <w:rsid w:val="00033D27"/>
    <w:rsid w:val="00033DD3"/>
    <w:rsid w:val="00034A15"/>
    <w:rsid w:val="00035CF3"/>
    <w:rsid w:val="0004031E"/>
    <w:rsid w:val="00040D98"/>
    <w:rsid w:val="000411CD"/>
    <w:rsid w:val="00044688"/>
    <w:rsid w:val="00045140"/>
    <w:rsid w:val="00046E73"/>
    <w:rsid w:val="000501ED"/>
    <w:rsid w:val="000506D6"/>
    <w:rsid w:val="00054BB9"/>
    <w:rsid w:val="0005755C"/>
    <w:rsid w:val="00057CC8"/>
    <w:rsid w:val="00060105"/>
    <w:rsid w:val="00060547"/>
    <w:rsid w:val="00061156"/>
    <w:rsid w:val="00061211"/>
    <w:rsid w:val="00063D19"/>
    <w:rsid w:val="0006683B"/>
    <w:rsid w:val="000702F2"/>
    <w:rsid w:val="00071567"/>
    <w:rsid w:val="000723F4"/>
    <w:rsid w:val="0007458C"/>
    <w:rsid w:val="00075E7A"/>
    <w:rsid w:val="00077CC5"/>
    <w:rsid w:val="00080D08"/>
    <w:rsid w:val="0008309B"/>
    <w:rsid w:val="000833CB"/>
    <w:rsid w:val="000843CE"/>
    <w:rsid w:val="00084A8E"/>
    <w:rsid w:val="00084CF7"/>
    <w:rsid w:val="00085220"/>
    <w:rsid w:val="00086DE5"/>
    <w:rsid w:val="00087842"/>
    <w:rsid w:val="00091985"/>
    <w:rsid w:val="00094BC7"/>
    <w:rsid w:val="00095AA4"/>
    <w:rsid w:val="0009644B"/>
    <w:rsid w:val="00096480"/>
    <w:rsid w:val="000A3D53"/>
    <w:rsid w:val="000B14B3"/>
    <w:rsid w:val="000B1FF0"/>
    <w:rsid w:val="000B206B"/>
    <w:rsid w:val="000B30CA"/>
    <w:rsid w:val="000B3110"/>
    <w:rsid w:val="000B319A"/>
    <w:rsid w:val="000B47D8"/>
    <w:rsid w:val="000B51A7"/>
    <w:rsid w:val="000B6896"/>
    <w:rsid w:val="000C07B8"/>
    <w:rsid w:val="000C095B"/>
    <w:rsid w:val="000C2FBC"/>
    <w:rsid w:val="000C3CFC"/>
    <w:rsid w:val="000C4DBA"/>
    <w:rsid w:val="000C4F48"/>
    <w:rsid w:val="000C58BD"/>
    <w:rsid w:val="000D0AB1"/>
    <w:rsid w:val="000D0AFA"/>
    <w:rsid w:val="000D201B"/>
    <w:rsid w:val="000D248B"/>
    <w:rsid w:val="000D2FD8"/>
    <w:rsid w:val="000D4614"/>
    <w:rsid w:val="000D47D0"/>
    <w:rsid w:val="000D719B"/>
    <w:rsid w:val="000D78DE"/>
    <w:rsid w:val="000D7C76"/>
    <w:rsid w:val="000E0C51"/>
    <w:rsid w:val="000E4859"/>
    <w:rsid w:val="000F22CA"/>
    <w:rsid w:val="000F30A8"/>
    <w:rsid w:val="000F359F"/>
    <w:rsid w:val="000F4B38"/>
    <w:rsid w:val="000F538C"/>
    <w:rsid w:val="000F54A6"/>
    <w:rsid w:val="000F5FB8"/>
    <w:rsid w:val="000F7D8C"/>
    <w:rsid w:val="001022E0"/>
    <w:rsid w:val="0010453E"/>
    <w:rsid w:val="00104BF1"/>
    <w:rsid w:val="00107269"/>
    <w:rsid w:val="00107F0B"/>
    <w:rsid w:val="0011054E"/>
    <w:rsid w:val="00110976"/>
    <w:rsid w:val="00111369"/>
    <w:rsid w:val="00112EAD"/>
    <w:rsid w:val="001133C8"/>
    <w:rsid w:val="00114ADE"/>
    <w:rsid w:val="00115444"/>
    <w:rsid w:val="00115CBC"/>
    <w:rsid w:val="00115D05"/>
    <w:rsid w:val="001160A9"/>
    <w:rsid w:val="001160F8"/>
    <w:rsid w:val="001173AA"/>
    <w:rsid w:val="00117B03"/>
    <w:rsid w:val="00117D49"/>
    <w:rsid w:val="00122D1F"/>
    <w:rsid w:val="0013231B"/>
    <w:rsid w:val="00132343"/>
    <w:rsid w:val="00132CBC"/>
    <w:rsid w:val="0013361C"/>
    <w:rsid w:val="00133870"/>
    <w:rsid w:val="00133E4F"/>
    <w:rsid w:val="0013486E"/>
    <w:rsid w:val="00134A05"/>
    <w:rsid w:val="00134E4F"/>
    <w:rsid w:val="00134F47"/>
    <w:rsid w:val="0013507C"/>
    <w:rsid w:val="00137759"/>
    <w:rsid w:val="001377B0"/>
    <w:rsid w:val="00142050"/>
    <w:rsid w:val="00142E89"/>
    <w:rsid w:val="00142EF9"/>
    <w:rsid w:val="00144816"/>
    <w:rsid w:val="00146A80"/>
    <w:rsid w:val="00146E16"/>
    <w:rsid w:val="00147DE5"/>
    <w:rsid w:val="00150D01"/>
    <w:rsid w:val="0015468C"/>
    <w:rsid w:val="00157297"/>
    <w:rsid w:val="0015755C"/>
    <w:rsid w:val="001579A0"/>
    <w:rsid w:val="00157A1C"/>
    <w:rsid w:val="0016022F"/>
    <w:rsid w:val="00160A2B"/>
    <w:rsid w:val="00163180"/>
    <w:rsid w:val="00164D68"/>
    <w:rsid w:val="0016502A"/>
    <w:rsid w:val="00165728"/>
    <w:rsid w:val="0016585D"/>
    <w:rsid w:val="00165D29"/>
    <w:rsid w:val="001662C3"/>
    <w:rsid w:val="001678DD"/>
    <w:rsid w:val="001701B6"/>
    <w:rsid w:val="00170364"/>
    <w:rsid w:val="0017036C"/>
    <w:rsid w:val="00170512"/>
    <w:rsid w:val="00172952"/>
    <w:rsid w:val="00172A2E"/>
    <w:rsid w:val="001740C4"/>
    <w:rsid w:val="001768C8"/>
    <w:rsid w:val="001776B8"/>
    <w:rsid w:val="00180587"/>
    <w:rsid w:val="00180C32"/>
    <w:rsid w:val="001815E7"/>
    <w:rsid w:val="00182662"/>
    <w:rsid w:val="001833D0"/>
    <w:rsid w:val="00183DBF"/>
    <w:rsid w:val="001842CE"/>
    <w:rsid w:val="00184F6C"/>
    <w:rsid w:val="00185B39"/>
    <w:rsid w:val="001914CE"/>
    <w:rsid w:val="00192929"/>
    <w:rsid w:val="00194DCF"/>
    <w:rsid w:val="00196454"/>
    <w:rsid w:val="00196B30"/>
    <w:rsid w:val="0019728C"/>
    <w:rsid w:val="001A36AD"/>
    <w:rsid w:val="001A6ABB"/>
    <w:rsid w:val="001B00D9"/>
    <w:rsid w:val="001B067B"/>
    <w:rsid w:val="001B0E72"/>
    <w:rsid w:val="001B155B"/>
    <w:rsid w:val="001B1C65"/>
    <w:rsid w:val="001B1C67"/>
    <w:rsid w:val="001B2823"/>
    <w:rsid w:val="001B3715"/>
    <w:rsid w:val="001B5FC8"/>
    <w:rsid w:val="001B7D8B"/>
    <w:rsid w:val="001C00E2"/>
    <w:rsid w:val="001C01B1"/>
    <w:rsid w:val="001C0F10"/>
    <w:rsid w:val="001C30B4"/>
    <w:rsid w:val="001C3B6C"/>
    <w:rsid w:val="001C5DA2"/>
    <w:rsid w:val="001C620F"/>
    <w:rsid w:val="001C6C6B"/>
    <w:rsid w:val="001C6D16"/>
    <w:rsid w:val="001C770D"/>
    <w:rsid w:val="001C788E"/>
    <w:rsid w:val="001D1112"/>
    <w:rsid w:val="001E0E8C"/>
    <w:rsid w:val="001E1D70"/>
    <w:rsid w:val="001E39B3"/>
    <w:rsid w:val="001E4732"/>
    <w:rsid w:val="001E60BF"/>
    <w:rsid w:val="001E6D19"/>
    <w:rsid w:val="001F268D"/>
    <w:rsid w:val="001F3ACF"/>
    <w:rsid w:val="001F3C8D"/>
    <w:rsid w:val="001F3FDF"/>
    <w:rsid w:val="001F4A16"/>
    <w:rsid w:val="001F5589"/>
    <w:rsid w:val="001F6FCA"/>
    <w:rsid w:val="002009AE"/>
    <w:rsid w:val="002017A3"/>
    <w:rsid w:val="002018F1"/>
    <w:rsid w:val="00204514"/>
    <w:rsid w:val="002057BD"/>
    <w:rsid w:val="002060DF"/>
    <w:rsid w:val="00207303"/>
    <w:rsid w:val="00207A96"/>
    <w:rsid w:val="00207B7E"/>
    <w:rsid w:val="00207D77"/>
    <w:rsid w:val="00210D35"/>
    <w:rsid w:val="00211450"/>
    <w:rsid w:val="00212858"/>
    <w:rsid w:val="00212A2B"/>
    <w:rsid w:val="00212C1E"/>
    <w:rsid w:val="002143EB"/>
    <w:rsid w:val="0021494D"/>
    <w:rsid w:val="002173D9"/>
    <w:rsid w:val="0021779F"/>
    <w:rsid w:val="00220187"/>
    <w:rsid w:val="0022039D"/>
    <w:rsid w:val="002248E0"/>
    <w:rsid w:val="0022535F"/>
    <w:rsid w:val="00226B0C"/>
    <w:rsid w:val="00227B52"/>
    <w:rsid w:val="002378F8"/>
    <w:rsid w:val="00240581"/>
    <w:rsid w:val="00240CED"/>
    <w:rsid w:val="00240E93"/>
    <w:rsid w:val="002420B3"/>
    <w:rsid w:val="00242150"/>
    <w:rsid w:val="00243A4A"/>
    <w:rsid w:val="00246456"/>
    <w:rsid w:val="00251126"/>
    <w:rsid w:val="00251A36"/>
    <w:rsid w:val="002521A1"/>
    <w:rsid w:val="00252BED"/>
    <w:rsid w:val="00253780"/>
    <w:rsid w:val="002538A7"/>
    <w:rsid w:val="00254477"/>
    <w:rsid w:val="00254A7C"/>
    <w:rsid w:val="00254A9D"/>
    <w:rsid w:val="00257CDC"/>
    <w:rsid w:val="00266C81"/>
    <w:rsid w:val="002709D7"/>
    <w:rsid w:val="00271255"/>
    <w:rsid w:val="00271656"/>
    <w:rsid w:val="00272466"/>
    <w:rsid w:val="00272584"/>
    <w:rsid w:val="00272A83"/>
    <w:rsid w:val="002733CD"/>
    <w:rsid w:val="00273C6A"/>
    <w:rsid w:val="00275277"/>
    <w:rsid w:val="00275CD0"/>
    <w:rsid w:val="0027742E"/>
    <w:rsid w:val="00277594"/>
    <w:rsid w:val="00277DA5"/>
    <w:rsid w:val="00280ACB"/>
    <w:rsid w:val="00281AF6"/>
    <w:rsid w:val="00281CF4"/>
    <w:rsid w:val="002833D6"/>
    <w:rsid w:val="002835B3"/>
    <w:rsid w:val="002848F0"/>
    <w:rsid w:val="00284CAC"/>
    <w:rsid w:val="00287519"/>
    <w:rsid w:val="002875B1"/>
    <w:rsid w:val="00287DB6"/>
    <w:rsid w:val="00290C02"/>
    <w:rsid w:val="00291396"/>
    <w:rsid w:val="00292D7F"/>
    <w:rsid w:val="0029358E"/>
    <w:rsid w:val="00293D9C"/>
    <w:rsid w:val="00297C60"/>
    <w:rsid w:val="002A12B8"/>
    <w:rsid w:val="002A1655"/>
    <w:rsid w:val="002A1A68"/>
    <w:rsid w:val="002A2751"/>
    <w:rsid w:val="002A2CFB"/>
    <w:rsid w:val="002A642A"/>
    <w:rsid w:val="002B056E"/>
    <w:rsid w:val="002B0613"/>
    <w:rsid w:val="002B0CBB"/>
    <w:rsid w:val="002B262D"/>
    <w:rsid w:val="002B2D95"/>
    <w:rsid w:val="002B492B"/>
    <w:rsid w:val="002B553F"/>
    <w:rsid w:val="002B5630"/>
    <w:rsid w:val="002B70D8"/>
    <w:rsid w:val="002B7ACF"/>
    <w:rsid w:val="002C11DD"/>
    <w:rsid w:val="002C212B"/>
    <w:rsid w:val="002C3628"/>
    <w:rsid w:val="002C3BCD"/>
    <w:rsid w:val="002C403C"/>
    <w:rsid w:val="002C5D80"/>
    <w:rsid w:val="002C65F9"/>
    <w:rsid w:val="002C6703"/>
    <w:rsid w:val="002C697C"/>
    <w:rsid w:val="002C70DD"/>
    <w:rsid w:val="002D01FA"/>
    <w:rsid w:val="002D2E29"/>
    <w:rsid w:val="002D2F6D"/>
    <w:rsid w:val="002D307C"/>
    <w:rsid w:val="002D32EA"/>
    <w:rsid w:val="002D37A8"/>
    <w:rsid w:val="002D3AF4"/>
    <w:rsid w:val="002D49D5"/>
    <w:rsid w:val="002D58E2"/>
    <w:rsid w:val="002D640A"/>
    <w:rsid w:val="002D676E"/>
    <w:rsid w:val="002D6D2C"/>
    <w:rsid w:val="002D6EE9"/>
    <w:rsid w:val="002E0E19"/>
    <w:rsid w:val="002E2C7A"/>
    <w:rsid w:val="002E4457"/>
    <w:rsid w:val="002E4679"/>
    <w:rsid w:val="002E6342"/>
    <w:rsid w:val="002F0400"/>
    <w:rsid w:val="002F4A9D"/>
    <w:rsid w:val="002F5422"/>
    <w:rsid w:val="002F5691"/>
    <w:rsid w:val="002F6198"/>
    <w:rsid w:val="002F6609"/>
    <w:rsid w:val="002F7735"/>
    <w:rsid w:val="002F7C38"/>
    <w:rsid w:val="00301D56"/>
    <w:rsid w:val="003072AF"/>
    <w:rsid w:val="00307D80"/>
    <w:rsid w:val="00310854"/>
    <w:rsid w:val="00311634"/>
    <w:rsid w:val="00313A8F"/>
    <w:rsid w:val="00313CC6"/>
    <w:rsid w:val="003166F6"/>
    <w:rsid w:val="0032108D"/>
    <w:rsid w:val="00321F05"/>
    <w:rsid w:val="00323D68"/>
    <w:rsid w:val="00324B26"/>
    <w:rsid w:val="00324BC2"/>
    <w:rsid w:val="00331B07"/>
    <w:rsid w:val="00331B34"/>
    <w:rsid w:val="00332371"/>
    <w:rsid w:val="00332469"/>
    <w:rsid w:val="00332C9C"/>
    <w:rsid w:val="003351DD"/>
    <w:rsid w:val="00335961"/>
    <w:rsid w:val="00335C4D"/>
    <w:rsid w:val="00336913"/>
    <w:rsid w:val="0034010D"/>
    <w:rsid w:val="00340C30"/>
    <w:rsid w:val="00341B5D"/>
    <w:rsid w:val="00341FC5"/>
    <w:rsid w:val="0034269B"/>
    <w:rsid w:val="00347237"/>
    <w:rsid w:val="003474E0"/>
    <w:rsid w:val="00350ACC"/>
    <w:rsid w:val="00351B56"/>
    <w:rsid w:val="00352D8D"/>
    <w:rsid w:val="00353F28"/>
    <w:rsid w:val="00355278"/>
    <w:rsid w:val="00356978"/>
    <w:rsid w:val="003605F3"/>
    <w:rsid w:val="00363006"/>
    <w:rsid w:val="003633BD"/>
    <w:rsid w:val="003634E2"/>
    <w:rsid w:val="00363C16"/>
    <w:rsid w:val="00367A15"/>
    <w:rsid w:val="00371624"/>
    <w:rsid w:val="003722A6"/>
    <w:rsid w:val="00375F47"/>
    <w:rsid w:val="00376B71"/>
    <w:rsid w:val="003773F6"/>
    <w:rsid w:val="0038029D"/>
    <w:rsid w:val="003804EE"/>
    <w:rsid w:val="00384A18"/>
    <w:rsid w:val="00385180"/>
    <w:rsid w:val="00386BDB"/>
    <w:rsid w:val="00387E19"/>
    <w:rsid w:val="00395A96"/>
    <w:rsid w:val="003A0623"/>
    <w:rsid w:val="003A0C0E"/>
    <w:rsid w:val="003A0D0D"/>
    <w:rsid w:val="003A1141"/>
    <w:rsid w:val="003A1937"/>
    <w:rsid w:val="003A1DCE"/>
    <w:rsid w:val="003A289C"/>
    <w:rsid w:val="003A3501"/>
    <w:rsid w:val="003A3B91"/>
    <w:rsid w:val="003A4CDD"/>
    <w:rsid w:val="003A74E2"/>
    <w:rsid w:val="003A782C"/>
    <w:rsid w:val="003A7F75"/>
    <w:rsid w:val="003B06E4"/>
    <w:rsid w:val="003B0DCD"/>
    <w:rsid w:val="003B2055"/>
    <w:rsid w:val="003B31E7"/>
    <w:rsid w:val="003B4712"/>
    <w:rsid w:val="003B583B"/>
    <w:rsid w:val="003B5A5A"/>
    <w:rsid w:val="003B6354"/>
    <w:rsid w:val="003B6448"/>
    <w:rsid w:val="003B667D"/>
    <w:rsid w:val="003B7A94"/>
    <w:rsid w:val="003B7C32"/>
    <w:rsid w:val="003C0788"/>
    <w:rsid w:val="003C1620"/>
    <w:rsid w:val="003C1F5C"/>
    <w:rsid w:val="003C471E"/>
    <w:rsid w:val="003C5AC1"/>
    <w:rsid w:val="003C5FA9"/>
    <w:rsid w:val="003C6786"/>
    <w:rsid w:val="003C6A03"/>
    <w:rsid w:val="003C7068"/>
    <w:rsid w:val="003C732A"/>
    <w:rsid w:val="003D419C"/>
    <w:rsid w:val="003D65CD"/>
    <w:rsid w:val="003E3748"/>
    <w:rsid w:val="003E3CD6"/>
    <w:rsid w:val="003E67BE"/>
    <w:rsid w:val="003F17CA"/>
    <w:rsid w:val="003F21E1"/>
    <w:rsid w:val="003F2F85"/>
    <w:rsid w:val="003F56E4"/>
    <w:rsid w:val="003F602F"/>
    <w:rsid w:val="003F74FC"/>
    <w:rsid w:val="003F7FEB"/>
    <w:rsid w:val="0040016B"/>
    <w:rsid w:val="00404E4D"/>
    <w:rsid w:val="00414D0C"/>
    <w:rsid w:val="00414E74"/>
    <w:rsid w:val="00415E0B"/>
    <w:rsid w:val="00416A88"/>
    <w:rsid w:val="00416E4F"/>
    <w:rsid w:val="004170FA"/>
    <w:rsid w:val="00417458"/>
    <w:rsid w:val="004212E9"/>
    <w:rsid w:val="004220E8"/>
    <w:rsid w:val="0042243A"/>
    <w:rsid w:val="00422D31"/>
    <w:rsid w:val="00423441"/>
    <w:rsid w:val="00424789"/>
    <w:rsid w:val="0042526F"/>
    <w:rsid w:val="004258C8"/>
    <w:rsid w:val="00430353"/>
    <w:rsid w:val="0043093E"/>
    <w:rsid w:val="004326EE"/>
    <w:rsid w:val="00433FE1"/>
    <w:rsid w:val="004347A3"/>
    <w:rsid w:val="00434BAD"/>
    <w:rsid w:val="004352B6"/>
    <w:rsid w:val="0043629A"/>
    <w:rsid w:val="0044155C"/>
    <w:rsid w:val="004454C4"/>
    <w:rsid w:val="004457BD"/>
    <w:rsid w:val="004460A0"/>
    <w:rsid w:val="004467F2"/>
    <w:rsid w:val="00446A85"/>
    <w:rsid w:val="004501DC"/>
    <w:rsid w:val="00451EDC"/>
    <w:rsid w:val="00452D6F"/>
    <w:rsid w:val="004533A7"/>
    <w:rsid w:val="0045420D"/>
    <w:rsid w:val="00455118"/>
    <w:rsid w:val="0045555F"/>
    <w:rsid w:val="004606EF"/>
    <w:rsid w:val="00461351"/>
    <w:rsid w:val="00461608"/>
    <w:rsid w:val="00463746"/>
    <w:rsid w:val="00463CDE"/>
    <w:rsid w:val="00464612"/>
    <w:rsid w:val="00464E10"/>
    <w:rsid w:val="00465664"/>
    <w:rsid w:val="004663DE"/>
    <w:rsid w:val="00466DB5"/>
    <w:rsid w:val="00467E21"/>
    <w:rsid w:val="00470EBD"/>
    <w:rsid w:val="0047130A"/>
    <w:rsid w:val="00471EA4"/>
    <w:rsid w:val="004722EC"/>
    <w:rsid w:val="00473BE2"/>
    <w:rsid w:val="0047420B"/>
    <w:rsid w:val="00474369"/>
    <w:rsid w:val="00474620"/>
    <w:rsid w:val="00474E07"/>
    <w:rsid w:val="00476E3B"/>
    <w:rsid w:val="004773CD"/>
    <w:rsid w:val="00480981"/>
    <w:rsid w:val="00481873"/>
    <w:rsid w:val="00481FE9"/>
    <w:rsid w:val="0048545C"/>
    <w:rsid w:val="00486F19"/>
    <w:rsid w:val="00492CBF"/>
    <w:rsid w:val="00494C07"/>
    <w:rsid w:val="0049537D"/>
    <w:rsid w:val="004A0065"/>
    <w:rsid w:val="004A0A19"/>
    <w:rsid w:val="004A0ABF"/>
    <w:rsid w:val="004A1302"/>
    <w:rsid w:val="004A2AEC"/>
    <w:rsid w:val="004A2C28"/>
    <w:rsid w:val="004A383F"/>
    <w:rsid w:val="004A41BB"/>
    <w:rsid w:val="004A676E"/>
    <w:rsid w:val="004A76F4"/>
    <w:rsid w:val="004B077D"/>
    <w:rsid w:val="004B170F"/>
    <w:rsid w:val="004B1E0B"/>
    <w:rsid w:val="004B31A3"/>
    <w:rsid w:val="004B39F2"/>
    <w:rsid w:val="004B3BC8"/>
    <w:rsid w:val="004B664D"/>
    <w:rsid w:val="004B73FE"/>
    <w:rsid w:val="004C055F"/>
    <w:rsid w:val="004C07F8"/>
    <w:rsid w:val="004C0DFF"/>
    <w:rsid w:val="004C463B"/>
    <w:rsid w:val="004C54D5"/>
    <w:rsid w:val="004D35CF"/>
    <w:rsid w:val="004D468A"/>
    <w:rsid w:val="004D4995"/>
    <w:rsid w:val="004D5214"/>
    <w:rsid w:val="004D773F"/>
    <w:rsid w:val="004E108F"/>
    <w:rsid w:val="004E51FF"/>
    <w:rsid w:val="004E5736"/>
    <w:rsid w:val="004E68D4"/>
    <w:rsid w:val="004E709C"/>
    <w:rsid w:val="004E77C5"/>
    <w:rsid w:val="004F15A1"/>
    <w:rsid w:val="004F2FF4"/>
    <w:rsid w:val="004F31FC"/>
    <w:rsid w:val="004F35DF"/>
    <w:rsid w:val="004F3BC3"/>
    <w:rsid w:val="004F4E34"/>
    <w:rsid w:val="004F5673"/>
    <w:rsid w:val="004F57C6"/>
    <w:rsid w:val="004F5BD9"/>
    <w:rsid w:val="004F74A6"/>
    <w:rsid w:val="00500214"/>
    <w:rsid w:val="005010A2"/>
    <w:rsid w:val="005033FF"/>
    <w:rsid w:val="00503FA4"/>
    <w:rsid w:val="00504EDF"/>
    <w:rsid w:val="005051E6"/>
    <w:rsid w:val="005060CC"/>
    <w:rsid w:val="005122DF"/>
    <w:rsid w:val="00512868"/>
    <w:rsid w:val="005129AE"/>
    <w:rsid w:val="00512DC2"/>
    <w:rsid w:val="00512FA3"/>
    <w:rsid w:val="0051488F"/>
    <w:rsid w:val="00514F91"/>
    <w:rsid w:val="0051664D"/>
    <w:rsid w:val="00521767"/>
    <w:rsid w:val="00521CBA"/>
    <w:rsid w:val="005229B9"/>
    <w:rsid w:val="00523C4D"/>
    <w:rsid w:val="00524756"/>
    <w:rsid w:val="005269B2"/>
    <w:rsid w:val="005276D0"/>
    <w:rsid w:val="005278FD"/>
    <w:rsid w:val="00527940"/>
    <w:rsid w:val="00530C00"/>
    <w:rsid w:val="00533D55"/>
    <w:rsid w:val="00534677"/>
    <w:rsid w:val="0053470D"/>
    <w:rsid w:val="00536DC3"/>
    <w:rsid w:val="0053753C"/>
    <w:rsid w:val="0054095F"/>
    <w:rsid w:val="00544728"/>
    <w:rsid w:val="00544E95"/>
    <w:rsid w:val="005453EB"/>
    <w:rsid w:val="0054596F"/>
    <w:rsid w:val="00547996"/>
    <w:rsid w:val="0055258A"/>
    <w:rsid w:val="00556FFE"/>
    <w:rsid w:val="00557F81"/>
    <w:rsid w:val="0056273A"/>
    <w:rsid w:val="005629C1"/>
    <w:rsid w:val="0056433F"/>
    <w:rsid w:val="00564821"/>
    <w:rsid w:val="0056503A"/>
    <w:rsid w:val="00565615"/>
    <w:rsid w:val="005658B5"/>
    <w:rsid w:val="00566365"/>
    <w:rsid w:val="0057118B"/>
    <w:rsid w:val="00571D4B"/>
    <w:rsid w:val="00572603"/>
    <w:rsid w:val="005731DB"/>
    <w:rsid w:val="00573B18"/>
    <w:rsid w:val="00574200"/>
    <w:rsid w:val="00576FEF"/>
    <w:rsid w:val="00580359"/>
    <w:rsid w:val="00580B61"/>
    <w:rsid w:val="005811E7"/>
    <w:rsid w:val="00584674"/>
    <w:rsid w:val="00585664"/>
    <w:rsid w:val="005861FB"/>
    <w:rsid w:val="0058722B"/>
    <w:rsid w:val="00590178"/>
    <w:rsid w:val="00590E37"/>
    <w:rsid w:val="00594018"/>
    <w:rsid w:val="005955F3"/>
    <w:rsid w:val="00596125"/>
    <w:rsid w:val="005978F9"/>
    <w:rsid w:val="00597C2F"/>
    <w:rsid w:val="005A26C2"/>
    <w:rsid w:val="005A299B"/>
    <w:rsid w:val="005A4EF0"/>
    <w:rsid w:val="005A63A2"/>
    <w:rsid w:val="005A7B56"/>
    <w:rsid w:val="005B0F6D"/>
    <w:rsid w:val="005B10CF"/>
    <w:rsid w:val="005B111B"/>
    <w:rsid w:val="005B2EB2"/>
    <w:rsid w:val="005B2F53"/>
    <w:rsid w:val="005B3145"/>
    <w:rsid w:val="005B3B97"/>
    <w:rsid w:val="005B4517"/>
    <w:rsid w:val="005B499A"/>
    <w:rsid w:val="005B49CF"/>
    <w:rsid w:val="005B4B32"/>
    <w:rsid w:val="005B59CF"/>
    <w:rsid w:val="005B6FBC"/>
    <w:rsid w:val="005C0016"/>
    <w:rsid w:val="005C03AF"/>
    <w:rsid w:val="005C1323"/>
    <w:rsid w:val="005C27AE"/>
    <w:rsid w:val="005C36DC"/>
    <w:rsid w:val="005C388B"/>
    <w:rsid w:val="005C3D09"/>
    <w:rsid w:val="005C5B3D"/>
    <w:rsid w:val="005C6141"/>
    <w:rsid w:val="005C7AE8"/>
    <w:rsid w:val="005D0848"/>
    <w:rsid w:val="005D085C"/>
    <w:rsid w:val="005D0D11"/>
    <w:rsid w:val="005D14DB"/>
    <w:rsid w:val="005D182D"/>
    <w:rsid w:val="005D2596"/>
    <w:rsid w:val="005D2E11"/>
    <w:rsid w:val="005D3671"/>
    <w:rsid w:val="005D39DA"/>
    <w:rsid w:val="005D43D1"/>
    <w:rsid w:val="005D487E"/>
    <w:rsid w:val="005D5234"/>
    <w:rsid w:val="005D5319"/>
    <w:rsid w:val="005D56E3"/>
    <w:rsid w:val="005D5773"/>
    <w:rsid w:val="005D5922"/>
    <w:rsid w:val="005D6386"/>
    <w:rsid w:val="005E157B"/>
    <w:rsid w:val="005E247A"/>
    <w:rsid w:val="005E3677"/>
    <w:rsid w:val="005E5A4C"/>
    <w:rsid w:val="005E5AE3"/>
    <w:rsid w:val="005F07CF"/>
    <w:rsid w:val="005F33D8"/>
    <w:rsid w:val="005F3E75"/>
    <w:rsid w:val="005F50C6"/>
    <w:rsid w:val="005F5550"/>
    <w:rsid w:val="005F58A4"/>
    <w:rsid w:val="005F6DFB"/>
    <w:rsid w:val="005F7097"/>
    <w:rsid w:val="00601B66"/>
    <w:rsid w:val="00601D64"/>
    <w:rsid w:val="00602861"/>
    <w:rsid w:val="006039FE"/>
    <w:rsid w:val="00607B6E"/>
    <w:rsid w:val="006104F3"/>
    <w:rsid w:val="00610841"/>
    <w:rsid w:val="0061156D"/>
    <w:rsid w:val="00611ACC"/>
    <w:rsid w:val="00611C4D"/>
    <w:rsid w:val="00614133"/>
    <w:rsid w:val="00615C0C"/>
    <w:rsid w:val="0061610C"/>
    <w:rsid w:val="00617909"/>
    <w:rsid w:val="00617935"/>
    <w:rsid w:val="0062106B"/>
    <w:rsid w:val="0062139A"/>
    <w:rsid w:val="00621672"/>
    <w:rsid w:val="006221C1"/>
    <w:rsid w:val="006232E3"/>
    <w:rsid w:val="00624421"/>
    <w:rsid w:val="00624C41"/>
    <w:rsid w:val="00624EEA"/>
    <w:rsid w:val="00626466"/>
    <w:rsid w:val="00626C58"/>
    <w:rsid w:val="00627A8F"/>
    <w:rsid w:val="00632F7F"/>
    <w:rsid w:val="0063318C"/>
    <w:rsid w:val="00633C7A"/>
    <w:rsid w:val="00634EB4"/>
    <w:rsid w:val="00635042"/>
    <w:rsid w:val="0063527D"/>
    <w:rsid w:val="0063528B"/>
    <w:rsid w:val="00636055"/>
    <w:rsid w:val="006371A9"/>
    <w:rsid w:val="006410C8"/>
    <w:rsid w:val="006414AF"/>
    <w:rsid w:val="006414D8"/>
    <w:rsid w:val="00642ECE"/>
    <w:rsid w:val="00643533"/>
    <w:rsid w:val="0064492F"/>
    <w:rsid w:val="00646063"/>
    <w:rsid w:val="00647090"/>
    <w:rsid w:val="00647DA3"/>
    <w:rsid w:val="00650A28"/>
    <w:rsid w:val="00651151"/>
    <w:rsid w:val="00651B34"/>
    <w:rsid w:val="00652F4F"/>
    <w:rsid w:val="00653F0C"/>
    <w:rsid w:val="00654B5D"/>
    <w:rsid w:val="00655458"/>
    <w:rsid w:val="00655ABA"/>
    <w:rsid w:val="00656A78"/>
    <w:rsid w:val="00656FB2"/>
    <w:rsid w:val="00657F4E"/>
    <w:rsid w:val="006648AC"/>
    <w:rsid w:val="00665B96"/>
    <w:rsid w:val="00665EEA"/>
    <w:rsid w:val="00666736"/>
    <w:rsid w:val="00666E2F"/>
    <w:rsid w:val="006717E7"/>
    <w:rsid w:val="00672430"/>
    <w:rsid w:val="006724A8"/>
    <w:rsid w:val="00672C5A"/>
    <w:rsid w:val="00673518"/>
    <w:rsid w:val="006737C2"/>
    <w:rsid w:val="00674420"/>
    <w:rsid w:val="0067480E"/>
    <w:rsid w:val="00674B57"/>
    <w:rsid w:val="00676C24"/>
    <w:rsid w:val="00676DB2"/>
    <w:rsid w:val="0068237C"/>
    <w:rsid w:val="00682BE3"/>
    <w:rsid w:val="006845B4"/>
    <w:rsid w:val="00685F54"/>
    <w:rsid w:val="0068669B"/>
    <w:rsid w:val="006868B9"/>
    <w:rsid w:val="006917B3"/>
    <w:rsid w:val="006919AA"/>
    <w:rsid w:val="00692F20"/>
    <w:rsid w:val="0069380C"/>
    <w:rsid w:val="00694469"/>
    <w:rsid w:val="00694F3B"/>
    <w:rsid w:val="006959E5"/>
    <w:rsid w:val="00695C05"/>
    <w:rsid w:val="00697CF3"/>
    <w:rsid w:val="006A48AC"/>
    <w:rsid w:val="006B019E"/>
    <w:rsid w:val="006B1B8B"/>
    <w:rsid w:val="006B1C01"/>
    <w:rsid w:val="006B343A"/>
    <w:rsid w:val="006B4378"/>
    <w:rsid w:val="006B4C5A"/>
    <w:rsid w:val="006B6135"/>
    <w:rsid w:val="006B665C"/>
    <w:rsid w:val="006B66A9"/>
    <w:rsid w:val="006B6B64"/>
    <w:rsid w:val="006B6D20"/>
    <w:rsid w:val="006B724A"/>
    <w:rsid w:val="006C2009"/>
    <w:rsid w:val="006C284F"/>
    <w:rsid w:val="006C543C"/>
    <w:rsid w:val="006C6376"/>
    <w:rsid w:val="006D1B7A"/>
    <w:rsid w:val="006D28B9"/>
    <w:rsid w:val="006D32D7"/>
    <w:rsid w:val="006D36F0"/>
    <w:rsid w:val="006D4882"/>
    <w:rsid w:val="006D5D6D"/>
    <w:rsid w:val="006D6ED3"/>
    <w:rsid w:val="006E0A9F"/>
    <w:rsid w:val="006E22B3"/>
    <w:rsid w:val="006E42C0"/>
    <w:rsid w:val="006E43A8"/>
    <w:rsid w:val="006E4740"/>
    <w:rsid w:val="006E5054"/>
    <w:rsid w:val="006E5369"/>
    <w:rsid w:val="006F05AE"/>
    <w:rsid w:val="006F16D4"/>
    <w:rsid w:val="006F40F6"/>
    <w:rsid w:val="006F42A2"/>
    <w:rsid w:val="006F7C83"/>
    <w:rsid w:val="007005B0"/>
    <w:rsid w:val="0070436C"/>
    <w:rsid w:val="00711809"/>
    <w:rsid w:val="007118D7"/>
    <w:rsid w:val="007147B1"/>
    <w:rsid w:val="007173E0"/>
    <w:rsid w:val="00717EAC"/>
    <w:rsid w:val="00717EF6"/>
    <w:rsid w:val="00720D01"/>
    <w:rsid w:val="00723819"/>
    <w:rsid w:val="00724DC7"/>
    <w:rsid w:val="007251C2"/>
    <w:rsid w:val="00725CBF"/>
    <w:rsid w:val="007268EE"/>
    <w:rsid w:val="007274FC"/>
    <w:rsid w:val="0072795A"/>
    <w:rsid w:val="007302D8"/>
    <w:rsid w:val="00730D62"/>
    <w:rsid w:val="00731066"/>
    <w:rsid w:val="00732373"/>
    <w:rsid w:val="00732A33"/>
    <w:rsid w:val="00733AB6"/>
    <w:rsid w:val="00733F01"/>
    <w:rsid w:val="007340FF"/>
    <w:rsid w:val="00734C3C"/>
    <w:rsid w:val="00735893"/>
    <w:rsid w:val="00736159"/>
    <w:rsid w:val="00736E7D"/>
    <w:rsid w:val="00737861"/>
    <w:rsid w:val="00740043"/>
    <w:rsid w:val="0074336B"/>
    <w:rsid w:val="007437D1"/>
    <w:rsid w:val="00743A3D"/>
    <w:rsid w:val="00743F69"/>
    <w:rsid w:val="00744C13"/>
    <w:rsid w:val="00744EB2"/>
    <w:rsid w:val="007452B7"/>
    <w:rsid w:val="0074580B"/>
    <w:rsid w:val="00745AEE"/>
    <w:rsid w:val="00750196"/>
    <w:rsid w:val="007507D1"/>
    <w:rsid w:val="0075094D"/>
    <w:rsid w:val="0075201D"/>
    <w:rsid w:val="0075358F"/>
    <w:rsid w:val="007537CE"/>
    <w:rsid w:val="00755BB8"/>
    <w:rsid w:val="007602BE"/>
    <w:rsid w:val="00764FB5"/>
    <w:rsid w:val="00766749"/>
    <w:rsid w:val="00770EBE"/>
    <w:rsid w:val="007711A1"/>
    <w:rsid w:val="00772F11"/>
    <w:rsid w:val="0077349E"/>
    <w:rsid w:val="00773BFA"/>
    <w:rsid w:val="00775151"/>
    <w:rsid w:val="007752AC"/>
    <w:rsid w:val="00775640"/>
    <w:rsid w:val="00775C64"/>
    <w:rsid w:val="00781B41"/>
    <w:rsid w:val="00782A3C"/>
    <w:rsid w:val="007853A0"/>
    <w:rsid w:val="007867E8"/>
    <w:rsid w:val="00786B83"/>
    <w:rsid w:val="00791459"/>
    <w:rsid w:val="00791A34"/>
    <w:rsid w:val="00793727"/>
    <w:rsid w:val="00793A70"/>
    <w:rsid w:val="00794298"/>
    <w:rsid w:val="00796636"/>
    <w:rsid w:val="0079781B"/>
    <w:rsid w:val="007A077F"/>
    <w:rsid w:val="007A15A0"/>
    <w:rsid w:val="007A1CBF"/>
    <w:rsid w:val="007A2BD5"/>
    <w:rsid w:val="007A4166"/>
    <w:rsid w:val="007A416C"/>
    <w:rsid w:val="007A5800"/>
    <w:rsid w:val="007A79FA"/>
    <w:rsid w:val="007B2169"/>
    <w:rsid w:val="007B2FDD"/>
    <w:rsid w:val="007B456C"/>
    <w:rsid w:val="007B67EC"/>
    <w:rsid w:val="007C0875"/>
    <w:rsid w:val="007C0E3B"/>
    <w:rsid w:val="007C1CB2"/>
    <w:rsid w:val="007C1FF4"/>
    <w:rsid w:val="007C370D"/>
    <w:rsid w:val="007C48AA"/>
    <w:rsid w:val="007C491D"/>
    <w:rsid w:val="007D2EDE"/>
    <w:rsid w:val="007D5EDE"/>
    <w:rsid w:val="007D6725"/>
    <w:rsid w:val="007D67F2"/>
    <w:rsid w:val="007D6C0B"/>
    <w:rsid w:val="007E08A1"/>
    <w:rsid w:val="007E0EFD"/>
    <w:rsid w:val="007E1A46"/>
    <w:rsid w:val="007E3EC9"/>
    <w:rsid w:val="007E5E04"/>
    <w:rsid w:val="007E779F"/>
    <w:rsid w:val="007F2720"/>
    <w:rsid w:val="007F2C6B"/>
    <w:rsid w:val="007F5D5D"/>
    <w:rsid w:val="007F7484"/>
    <w:rsid w:val="007F7711"/>
    <w:rsid w:val="007F7E13"/>
    <w:rsid w:val="00802300"/>
    <w:rsid w:val="008037DE"/>
    <w:rsid w:val="00804E79"/>
    <w:rsid w:val="00806126"/>
    <w:rsid w:val="00806299"/>
    <w:rsid w:val="00806606"/>
    <w:rsid w:val="008071F2"/>
    <w:rsid w:val="00807790"/>
    <w:rsid w:val="00810750"/>
    <w:rsid w:val="00810A5F"/>
    <w:rsid w:val="00812B36"/>
    <w:rsid w:val="008132FE"/>
    <w:rsid w:val="008146FD"/>
    <w:rsid w:val="0082044C"/>
    <w:rsid w:val="00822D05"/>
    <w:rsid w:val="008242A9"/>
    <w:rsid w:val="00826840"/>
    <w:rsid w:val="00826998"/>
    <w:rsid w:val="00827A71"/>
    <w:rsid w:val="00830E5F"/>
    <w:rsid w:val="0083135A"/>
    <w:rsid w:val="00832816"/>
    <w:rsid w:val="00834FA3"/>
    <w:rsid w:val="008369AB"/>
    <w:rsid w:val="008374D5"/>
    <w:rsid w:val="008405C4"/>
    <w:rsid w:val="00840719"/>
    <w:rsid w:val="008424D7"/>
    <w:rsid w:val="00842765"/>
    <w:rsid w:val="00843AB8"/>
    <w:rsid w:val="00843DFE"/>
    <w:rsid w:val="00844143"/>
    <w:rsid w:val="008441B1"/>
    <w:rsid w:val="008457C2"/>
    <w:rsid w:val="00850FC5"/>
    <w:rsid w:val="008523B6"/>
    <w:rsid w:val="008523E1"/>
    <w:rsid w:val="00854A0C"/>
    <w:rsid w:val="00854BCC"/>
    <w:rsid w:val="008550A7"/>
    <w:rsid w:val="008559DD"/>
    <w:rsid w:val="0085717E"/>
    <w:rsid w:val="00864421"/>
    <w:rsid w:val="00864B7F"/>
    <w:rsid w:val="00867006"/>
    <w:rsid w:val="00867181"/>
    <w:rsid w:val="00871E57"/>
    <w:rsid w:val="00872829"/>
    <w:rsid w:val="00876DDF"/>
    <w:rsid w:val="00881580"/>
    <w:rsid w:val="00881F2D"/>
    <w:rsid w:val="008826F0"/>
    <w:rsid w:val="00884E65"/>
    <w:rsid w:val="00887BEE"/>
    <w:rsid w:val="00891EEC"/>
    <w:rsid w:val="00892D64"/>
    <w:rsid w:val="0089395D"/>
    <w:rsid w:val="008941EC"/>
    <w:rsid w:val="00896711"/>
    <w:rsid w:val="00896AB6"/>
    <w:rsid w:val="00896FC0"/>
    <w:rsid w:val="008973EA"/>
    <w:rsid w:val="00897909"/>
    <w:rsid w:val="008A0EF7"/>
    <w:rsid w:val="008A10DF"/>
    <w:rsid w:val="008A2131"/>
    <w:rsid w:val="008A3F84"/>
    <w:rsid w:val="008A775A"/>
    <w:rsid w:val="008B0EDD"/>
    <w:rsid w:val="008B39EB"/>
    <w:rsid w:val="008B3D0A"/>
    <w:rsid w:val="008B55BD"/>
    <w:rsid w:val="008B62F1"/>
    <w:rsid w:val="008B7D74"/>
    <w:rsid w:val="008B7F75"/>
    <w:rsid w:val="008B7FC7"/>
    <w:rsid w:val="008C0AA4"/>
    <w:rsid w:val="008C4DEC"/>
    <w:rsid w:val="008C762C"/>
    <w:rsid w:val="008D2736"/>
    <w:rsid w:val="008D3475"/>
    <w:rsid w:val="008D541C"/>
    <w:rsid w:val="008D54ED"/>
    <w:rsid w:val="008D55B3"/>
    <w:rsid w:val="008D70DC"/>
    <w:rsid w:val="008E06F2"/>
    <w:rsid w:val="008E0B0E"/>
    <w:rsid w:val="008E2106"/>
    <w:rsid w:val="008E3748"/>
    <w:rsid w:val="008E3CDD"/>
    <w:rsid w:val="008E442E"/>
    <w:rsid w:val="008E6146"/>
    <w:rsid w:val="008E63B7"/>
    <w:rsid w:val="008E76E3"/>
    <w:rsid w:val="008E7F06"/>
    <w:rsid w:val="008F15FC"/>
    <w:rsid w:val="008F1F6E"/>
    <w:rsid w:val="008F55AB"/>
    <w:rsid w:val="008F5CE0"/>
    <w:rsid w:val="008F6EFB"/>
    <w:rsid w:val="008F7023"/>
    <w:rsid w:val="008F7D47"/>
    <w:rsid w:val="00900AEA"/>
    <w:rsid w:val="00900F21"/>
    <w:rsid w:val="009012CA"/>
    <w:rsid w:val="009018A6"/>
    <w:rsid w:val="009042AD"/>
    <w:rsid w:val="009052BB"/>
    <w:rsid w:val="0090610D"/>
    <w:rsid w:val="00906380"/>
    <w:rsid w:val="009067C4"/>
    <w:rsid w:val="00911EB5"/>
    <w:rsid w:val="009129AF"/>
    <w:rsid w:val="00915072"/>
    <w:rsid w:val="00916052"/>
    <w:rsid w:val="00917011"/>
    <w:rsid w:val="00917104"/>
    <w:rsid w:val="00917863"/>
    <w:rsid w:val="009178A0"/>
    <w:rsid w:val="00917DAC"/>
    <w:rsid w:val="009212D8"/>
    <w:rsid w:val="0092168E"/>
    <w:rsid w:val="009221E1"/>
    <w:rsid w:val="00925304"/>
    <w:rsid w:val="009263A4"/>
    <w:rsid w:val="009274DB"/>
    <w:rsid w:val="0093184C"/>
    <w:rsid w:val="00931962"/>
    <w:rsid w:val="00931F2B"/>
    <w:rsid w:val="0093787A"/>
    <w:rsid w:val="0094069D"/>
    <w:rsid w:val="00940899"/>
    <w:rsid w:val="00940A3C"/>
    <w:rsid w:val="009429B4"/>
    <w:rsid w:val="00944665"/>
    <w:rsid w:val="00947086"/>
    <w:rsid w:val="00947438"/>
    <w:rsid w:val="0094795C"/>
    <w:rsid w:val="00951891"/>
    <w:rsid w:val="00951DE7"/>
    <w:rsid w:val="00952CE6"/>
    <w:rsid w:val="00953801"/>
    <w:rsid w:val="00956DA1"/>
    <w:rsid w:val="00956E9B"/>
    <w:rsid w:val="00957570"/>
    <w:rsid w:val="00961A1C"/>
    <w:rsid w:val="0096388B"/>
    <w:rsid w:val="009647EE"/>
    <w:rsid w:val="00967234"/>
    <w:rsid w:val="00970803"/>
    <w:rsid w:val="0097123F"/>
    <w:rsid w:val="009733F8"/>
    <w:rsid w:val="00973E47"/>
    <w:rsid w:val="00975C92"/>
    <w:rsid w:val="009767E0"/>
    <w:rsid w:val="00981115"/>
    <w:rsid w:val="0098136E"/>
    <w:rsid w:val="00981893"/>
    <w:rsid w:val="00981E5C"/>
    <w:rsid w:val="009827B4"/>
    <w:rsid w:val="00982860"/>
    <w:rsid w:val="009829D0"/>
    <w:rsid w:val="009831E5"/>
    <w:rsid w:val="00983BFE"/>
    <w:rsid w:val="0098451C"/>
    <w:rsid w:val="009860A4"/>
    <w:rsid w:val="009869C8"/>
    <w:rsid w:val="009869DA"/>
    <w:rsid w:val="00987BB4"/>
    <w:rsid w:val="00987FFD"/>
    <w:rsid w:val="00991115"/>
    <w:rsid w:val="0099235F"/>
    <w:rsid w:val="0099280F"/>
    <w:rsid w:val="00992F4B"/>
    <w:rsid w:val="00993577"/>
    <w:rsid w:val="009950FE"/>
    <w:rsid w:val="00995532"/>
    <w:rsid w:val="009964B8"/>
    <w:rsid w:val="009A19D1"/>
    <w:rsid w:val="009A34A1"/>
    <w:rsid w:val="009A3D34"/>
    <w:rsid w:val="009A4949"/>
    <w:rsid w:val="009A4C98"/>
    <w:rsid w:val="009A6C5E"/>
    <w:rsid w:val="009A6EBA"/>
    <w:rsid w:val="009B1282"/>
    <w:rsid w:val="009B2149"/>
    <w:rsid w:val="009B31C8"/>
    <w:rsid w:val="009B6C10"/>
    <w:rsid w:val="009C1434"/>
    <w:rsid w:val="009C2395"/>
    <w:rsid w:val="009C35CF"/>
    <w:rsid w:val="009C4A90"/>
    <w:rsid w:val="009C685E"/>
    <w:rsid w:val="009C6959"/>
    <w:rsid w:val="009C6B38"/>
    <w:rsid w:val="009D02C2"/>
    <w:rsid w:val="009D2DDC"/>
    <w:rsid w:val="009D2E36"/>
    <w:rsid w:val="009D2F15"/>
    <w:rsid w:val="009D5963"/>
    <w:rsid w:val="009D620A"/>
    <w:rsid w:val="009D7807"/>
    <w:rsid w:val="009D799F"/>
    <w:rsid w:val="009E0239"/>
    <w:rsid w:val="009E0D59"/>
    <w:rsid w:val="009E0EE3"/>
    <w:rsid w:val="009E5883"/>
    <w:rsid w:val="009E717C"/>
    <w:rsid w:val="009F0BC2"/>
    <w:rsid w:val="009F0F12"/>
    <w:rsid w:val="009F3F0E"/>
    <w:rsid w:val="009F3F95"/>
    <w:rsid w:val="009F6456"/>
    <w:rsid w:val="00A015E2"/>
    <w:rsid w:val="00A01D8B"/>
    <w:rsid w:val="00A0471D"/>
    <w:rsid w:val="00A0752E"/>
    <w:rsid w:val="00A0761D"/>
    <w:rsid w:val="00A10346"/>
    <w:rsid w:val="00A1186C"/>
    <w:rsid w:val="00A119CF"/>
    <w:rsid w:val="00A21673"/>
    <w:rsid w:val="00A23611"/>
    <w:rsid w:val="00A242E9"/>
    <w:rsid w:val="00A263B5"/>
    <w:rsid w:val="00A263C8"/>
    <w:rsid w:val="00A303EC"/>
    <w:rsid w:val="00A31484"/>
    <w:rsid w:val="00A353D7"/>
    <w:rsid w:val="00A36668"/>
    <w:rsid w:val="00A37E6E"/>
    <w:rsid w:val="00A42718"/>
    <w:rsid w:val="00A43F50"/>
    <w:rsid w:val="00A475D3"/>
    <w:rsid w:val="00A479BD"/>
    <w:rsid w:val="00A5079F"/>
    <w:rsid w:val="00A5153D"/>
    <w:rsid w:val="00A5419F"/>
    <w:rsid w:val="00A55AB2"/>
    <w:rsid w:val="00A56A64"/>
    <w:rsid w:val="00A574CF"/>
    <w:rsid w:val="00A57B78"/>
    <w:rsid w:val="00A57D89"/>
    <w:rsid w:val="00A60B78"/>
    <w:rsid w:val="00A6147A"/>
    <w:rsid w:val="00A61F47"/>
    <w:rsid w:val="00A63CF6"/>
    <w:rsid w:val="00A6671D"/>
    <w:rsid w:val="00A676D2"/>
    <w:rsid w:val="00A741DF"/>
    <w:rsid w:val="00A76564"/>
    <w:rsid w:val="00A77159"/>
    <w:rsid w:val="00A77672"/>
    <w:rsid w:val="00A804B1"/>
    <w:rsid w:val="00A813B3"/>
    <w:rsid w:val="00A8234F"/>
    <w:rsid w:val="00A82792"/>
    <w:rsid w:val="00A82C64"/>
    <w:rsid w:val="00A83465"/>
    <w:rsid w:val="00A84312"/>
    <w:rsid w:val="00A846A8"/>
    <w:rsid w:val="00A852C0"/>
    <w:rsid w:val="00A86E8D"/>
    <w:rsid w:val="00A90B10"/>
    <w:rsid w:val="00A91D78"/>
    <w:rsid w:val="00A926D5"/>
    <w:rsid w:val="00A9281A"/>
    <w:rsid w:val="00A9429D"/>
    <w:rsid w:val="00A94B82"/>
    <w:rsid w:val="00A9573C"/>
    <w:rsid w:val="00A9637C"/>
    <w:rsid w:val="00A971B2"/>
    <w:rsid w:val="00AA0890"/>
    <w:rsid w:val="00AA32FA"/>
    <w:rsid w:val="00AA711B"/>
    <w:rsid w:val="00AB05D8"/>
    <w:rsid w:val="00AB1C57"/>
    <w:rsid w:val="00AB49B2"/>
    <w:rsid w:val="00AB4A78"/>
    <w:rsid w:val="00AB4F98"/>
    <w:rsid w:val="00AB4FBC"/>
    <w:rsid w:val="00AB6ED3"/>
    <w:rsid w:val="00AC037F"/>
    <w:rsid w:val="00AC0901"/>
    <w:rsid w:val="00AC13C5"/>
    <w:rsid w:val="00AC2A80"/>
    <w:rsid w:val="00AC3926"/>
    <w:rsid w:val="00AC4735"/>
    <w:rsid w:val="00AC4DA4"/>
    <w:rsid w:val="00AC6A34"/>
    <w:rsid w:val="00AC7BDF"/>
    <w:rsid w:val="00AD0742"/>
    <w:rsid w:val="00AD2099"/>
    <w:rsid w:val="00AD2B73"/>
    <w:rsid w:val="00AD6727"/>
    <w:rsid w:val="00AD75F9"/>
    <w:rsid w:val="00AD7B01"/>
    <w:rsid w:val="00AE1510"/>
    <w:rsid w:val="00AE3405"/>
    <w:rsid w:val="00AE37B4"/>
    <w:rsid w:val="00AE45DF"/>
    <w:rsid w:val="00AE68B1"/>
    <w:rsid w:val="00AF0AC5"/>
    <w:rsid w:val="00AF2430"/>
    <w:rsid w:val="00AF462C"/>
    <w:rsid w:val="00AF48BB"/>
    <w:rsid w:val="00B0278E"/>
    <w:rsid w:val="00B02A3D"/>
    <w:rsid w:val="00B03125"/>
    <w:rsid w:val="00B04D17"/>
    <w:rsid w:val="00B04DA4"/>
    <w:rsid w:val="00B053D3"/>
    <w:rsid w:val="00B06813"/>
    <w:rsid w:val="00B0789C"/>
    <w:rsid w:val="00B07BC3"/>
    <w:rsid w:val="00B1051D"/>
    <w:rsid w:val="00B10CC8"/>
    <w:rsid w:val="00B10D01"/>
    <w:rsid w:val="00B1237A"/>
    <w:rsid w:val="00B1396A"/>
    <w:rsid w:val="00B13C5A"/>
    <w:rsid w:val="00B14351"/>
    <w:rsid w:val="00B148AB"/>
    <w:rsid w:val="00B14B82"/>
    <w:rsid w:val="00B16211"/>
    <w:rsid w:val="00B17610"/>
    <w:rsid w:val="00B25433"/>
    <w:rsid w:val="00B2548A"/>
    <w:rsid w:val="00B25EC3"/>
    <w:rsid w:val="00B269FB"/>
    <w:rsid w:val="00B26B5F"/>
    <w:rsid w:val="00B30BE8"/>
    <w:rsid w:val="00B31B8E"/>
    <w:rsid w:val="00B31CB2"/>
    <w:rsid w:val="00B3282D"/>
    <w:rsid w:val="00B3373B"/>
    <w:rsid w:val="00B34758"/>
    <w:rsid w:val="00B34B55"/>
    <w:rsid w:val="00B36C92"/>
    <w:rsid w:val="00B404E4"/>
    <w:rsid w:val="00B41206"/>
    <w:rsid w:val="00B41407"/>
    <w:rsid w:val="00B4164A"/>
    <w:rsid w:val="00B416DE"/>
    <w:rsid w:val="00B41959"/>
    <w:rsid w:val="00B42E03"/>
    <w:rsid w:val="00B43CF4"/>
    <w:rsid w:val="00B43F65"/>
    <w:rsid w:val="00B45153"/>
    <w:rsid w:val="00B45B75"/>
    <w:rsid w:val="00B46EC8"/>
    <w:rsid w:val="00B476A3"/>
    <w:rsid w:val="00B476CB"/>
    <w:rsid w:val="00B50B23"/>
    <w:rsid w:val="00B55A6E"/>
    <w:rsid w:val="00B5666E"/>
    <w:rsid w:val="00B600A0"/>
    <w:rsid w:val="00B62AF6"/>
    <w:rsid w:val="00B655E8"/>
    <w:rsid w:val="00B66705"/>
    <w:rsid w:val="00B67645"/>
    <w:rsid w:val="00B70124"/>
    <w:rsid w:val="00B7045F"/>
    <w:rsid w:val="00B73738"/>
    <w:rsid w:val="00B743D4"/>
    <w:rsid w:val="00B759A3"/>
    <w:rsid w:val="00B772F4"/>
    <w:rsid w:val="00B77750"/>
    <w:rsid w:val="00B77CB0"/>
    <w:rsid w:val="00B80007"/>
    <w:rsid w:val="00B81ECA"/>
    <w:rsid w:val="00B8387D"/>
    <w:rsid w:val="00B8396B"/>
    <w:rsid w:val="00B83DF4"/>
    <w:rsid w:val="00B855B1"/>
    <w:rsid w:val="00B85D1E"/>
    <w:rsid w:val="00B8649E"/>
    <w:rsid w:val="00B90C4E"/>
    <w:rsid w:val="00B958BB"/>
    <w:rsid w:val="00B96828"/>
    <w:rsid w:val="00B9799B"/>
    <w:rsid w:val="00BA0BAA"/>
    <w:rsid w:val="00BA1CAE"/>
    <w:rsid w:val="00BA262E"/>
    <w:rsid w:val="00BA3912"/>
    <w:rsid w:val="00BA45AA"/>
    <w:rsid w:val="00BA4C0D"/>
    <w:rsid w:val="00BA5E11"/>
    <w:rsid w:val="00BA6B2E"/>
    <w:rsid w:val="00BA7F5E"/>
    <w:rsid w:val="00BB1158"/>
    <w:rsid w:val="00BB1EB2"/>
    <w:rsid w:val="00BB2E4A"/>
    <w:rsid w:val="00BB33C3"/>
    <w:rsid w:val="00BB38F7"/>
    <w:rsid w:val="00BB47AD"/>
    <w:rsid w:val="00BB5E3B"/>
    <w:rsid w:val="00BB67ED"/>
    <w:rsid w:val="00BC1917"/>
    <w:rsid w:val="00BC25F6"/>
    <w:rsid w:val="00BC3063"/>
    <w:rsid w:val="00BC3726"/>
    <w:rsid w:val="00BC449F"/>
    <w:rsid w:val="00BC7D8B"/>
    <w:rsid w:val="00BD0FB6"/>
    <w:rsid w:val="00BD21CA"/>
    <w:rsid w:val="00BD440C"/>
    <w:rsid w:val="00BD55AC"/>
    <w:rsid w:val="00BD5ECB"/>
    <w:rsid w:val="00BD6DE4"/>
    <w:rsid w:val="00BE018C"/>
    <w:rsid w:val="00BE061D"/>
    <w:rsid w:val="00BE18B7"/>
    <w:rsid w:val="00BE19E7"/>
    <w:rsid w:val="00BE4133"/>
    <w:rsid w:val="00BE60CD"/>
    <w:rsid w:val="00BE7436"/>
    <w:rsid w:val="00BE783E"/>
    <w:rsid w:val="00BE7936"/>
    <w:rsid w:val="00BF0F2B"/>
    <w:rsid w:val="00BF24E4"/>
    <w:rsid w:val="00BF3058"/>
    <w:rsid w:val="00BF6598"/>
    <w:rsid w:val="00BF6CA5"/>
    <w:rsid w:val="00BF7427"/>
    <w:rsid w:val="00BF7655"/>
    <w:rsid w:val="00C0278C"/>
    <w:rsid w:val="00C02BE4"/>
    <w:rsid w:val="00C02FB2"/>
    <w:rsid w:val="00C03BB5"/>
    <w:rsid w:val="00C04416"/>
    <w:rsid w:val="00C0607D"/>
    <w:rsid w:val="00C070A6"/>
    <w:rsid w:val="00C070C6"/>
    <w:rsid w:val="00C07DFC"/>
    <w:rsid w:val="00C10BD2"/>
    <w:rsid w:val="00C11816"/>
    <w:rsid w:val="00C13C39"/>
    <w:rsid w:val="00C1456E"/>
    <w:rsid w:val="00C16C33"/>
    <w:rsid w:val="00C16EE1"/>
    <w:rsid w:val="00C1736C"/>
    <w:rsid w:val="00C17CC4"/>
    <w:rsid w:val="00C201DB"/>
    <w:rsid w:val="00C20415"/>
    <w:rsid w:val="00C20864"/>
    <w:rsid w:val="00C20ADF"/>
    <w:rsid w:val="00C227F7"/>
    <w:rsid w:val="00C2319A"/>
    <w:rsid w:val="00C24815"/>
    <w:rsid w:val="00C24C12"/>
    <w:rsid w:val="00C25584"/>
    <w:rsid w:val="00C26F0B"/>
    <w:rsid w:val="00C27B27"/>
    <w:rsid w:val="00C27C3C"/>
    <w:rsid w:val="00C27CC9"/>
    <w:rsid w:val="00C30DB4"/>
    <w:rsid w:val="00C3264D"/>
    <w:rsid w:val="00C32CF0"/>
    <w:rsid w:val="00C33B3C"/>
    <w:rsid w:val="00C354B1"/>
    <w:rsid w:val="00C3550F"/>
    <w:rsid w:val="00C36BFE"/>
    <w:rsid w:val="00C3743D"/>
    <w:rsid w:val="00C37B85"/>
    <w:rsid w:val="00C43578"/>
    <w:rsid w:val="00C43B04"/>
    <w:rsid w:val="00C43B6D"/>
    <w:rsid w:val="00C45042"/>
    <w:rsid w:val="00C457E7"/>
    <w:rsid w:val="00C51027"/>
    <w:rsid w:val="00C547C9"/>
    <w:rsid w:val="00C55FC7"/>
    <w:rsid w:val="00C57432"/>
    <w:rsid w:val="00C619DE"/>
    <w:rsid w:val="00C61DCF"/>
    <w:rsid w:val="00C62284"/>
    <w:rsid w:val="00C62EE3"/>
    <w:rsid w:val="00C6468E"/>
    <w:rsid w:val="00C648EF"/>
    <w:rsid w:val="00C659FA"/>
    <w:rsid w:val="00C6642E"/>
    <w:rsid w:val="00C665EF"/>
    <w:rsid w:val="00C67732"/>
    <w:rsid w:val="00C67D43"/>
    <w:rsid w:val="00C70179"/>
    <w:rsid w:val="00C711CE"/>
    <w:rsid w:val="00C72BAE"/>
    <w:rsid w:val="00C73A55"/>
    <w:rsid w:val="00C73D58"/>
    <w:rsid w:val="00C74470"/>
    <w:rsid w:val="00C77B74"/>
    <w:rsid w:val="00C77C9C"/>
    <w:rsid w:val="00C805C0"/>
    <w:rsid w:val="00C815CC"/>
    <w:rsid w:val="00C82623"/>
    <w:rsid w:val="00C84A56"/>
    <w:rsid w:val="00C84C59"/>
    <w:rsid w:val="00C84F85"/>
    <w:rsid w:val="00C864E0"/>
    <w:rsid w:val="00C86C24"/>
    <w:rsid w:val="00C86D72"/>
    <w:rsid w:val="00C86DED"/>
    <w:rsid w:val="00C878DC"/>
    <w:rsid w:val="00C9032F"/>
    <w:rsid w:val="00C909DB"/>
    <w:rsid w:val="00C91179"/>
    <w:rsid w:val="00C92EFB"/>
    <w:rsid w:val="00C9363E"/>
    <w:rsid w:val="00C95F84"/>
    <w:rsid w:val="00C96BB4"/>
    <w:rsid w:val="00CA20FF"/>
    <w:rsid w:val="00CA3F57"/>
    <w:rsid w:val="00CA72F9"/>
    <w:rsid w:val="00CB120B"/>
    <w:rsid w:val="00CB18B4"/>
    <w:rsid w:val="00CB1FEE"/>
    <w:rsid w:val="00CB292B"/>
    <w:rsid w:val="00CB3496"/>
    <w:rsid w:val="00CB43A4"/>
    <w:rsid w:val="00CB4850"/>
    <w:rsid w:val="00CB54F2"/>
    <w:rsid w:val="00CB63F9"/>
    <w:rsid w:val="00CC0BF6"/>
    <w:rsid w:val="00CC0DF8"/>
    <w:rsid w:val="00CC2020"/>
    <w:rsid w:val="00CC2468"/>
    <w:rsid w:val="00CC384B"/>
    <w:rsid w:val="00CC5EC9"/>
    <w:rsid w:val="00CC6B2A"/>
    <w:rsid w:val="00CC76C3"/>
    <w:rsid w:val="00CD01B7"/>
    <w:rsid w:val="00CD0AC0"/>
    <w:rsid w:val="00CD0EFB"/>
    <w:rsid w:val="00CD2EA9"/>
    <w:rsid w:val="00CD32EB"/>
    <w:rsid w:val="00CD3463"/>
    <w:rsid w:val="00CD3647"/>
    <w:rsid w:val="00CD3651"/>
    <w:rsid w:val="00CD4805"/>
    <w:rsid w:val="00CD4CF9"/>
    <w:rsid w:val="00CD6D66"/>
    <w:rsid w:val="00CE0F1F"/>
    <w:rsid w:val="00CE13C0"/>
    <w:rsid w:val="00CE145B"/>
    <w:rsid w:val="00CE2510"/>
    <w:rsid w:val="00CE31AB"/>
    <w:rsid w:val="00CE7B78"/>
    <w:rsid w:val="00CE7CE3"/>
    <w:rsid w:val="00CF11C8"/>
    <w:rsid w:val="00CF15CE"/>
    <w:rsid w:val="00CF6ECB"/>
    <w:rsid w:val="00D0233C"/>
    <w:rsid w:val="00D028FC"/>
    <w:rsid w:val="00D02999"/>
    <w:rsid w:val="00D029A5"/>
    <w:rsid w:val="00D05C65"/>
    <w:rsid w:val="00D101EC"/>
    <w:rsid w:val="00D107F9"/>
    <w:rsid w:val="00D13313"/>
    <w:rsid w:val="00D1365C"/>
    <w:rsid w:val="00D13D0D"/>
    <w:rsid w:val="00D14395"/>
    <w:rsid w:val="00D15BB0"/>
    <w:rsid w:val="00D160F3"/>
    <w:rsid w:val="00D16332"/>
    <w:rsid w:val="00D163C7"/>
    <w:rsid w:val="00D164B9"/>
    <w:rsid w:val="00D17636"/>
    <w:rsid w:val="00D17946"/>
    <w:rsid w:val="00D215DB"/>
    <w:rsid w:val="00D21D01"/>
    <w:rsid w:val="00D22B4B"/>
    <w:rsid w:val="00D23531"/>
    <w:rsid w:val="00D23ABF"/>
    <w:rsid w:val="00D26F6D"/>
    <w:rsid w:val="00D276C1"/>
    <w:rsid w:val="00D309D2"/>
    <w:rsid w:val="00D3331E"/>
    <w:rsid w:val="00D364EB"/>
    <w:rsid w:val="00D378DC"/>
    <w:rsid w:val="00D37929"/>
    <w:rsid w:val="00D37D26"/>
    <w:rsid w:val="00D412EA"/>
    <w:rsid w:val="00D41562"/>
    <w:rsid w:val="00D41E60"/>
    <w:rsid w:val="00D43126"/>
    <w:rsid w:val="00D45AF6"/>
    <w:rsid w:val="00D4640E"/>
    <w:rsid w:val="00D478EC"/>
    <w:rsid w:val="00D47EA7"/>
    <w:rsid w:val="00D51717"/>
    <w:rsid w:val="00D54981"/>
    <w:rsid w:val="00D552FE"/>
    <w:rsid w:val="00D60DB7"/>
    <w:rsid w:val="00D61A27"/>
    <w:rsid w:val="00D6352B"/>
    <w:rsid w:val="00D64344"/>
    <w:rsid w:val="00D656B1"/>
    <w:rsid w:val="00D65B76"/>
    <w:rsid w:val="00D7342A"/>
    <w:rsid w:val="00D75F7C"/>
    <w:rsid w:val="00D7712E"/>
    <w:rsid w:val="00D81A99"/>
    <w:rsid w:val="00D827C1"/>
    <w:rsid w:val="00D839AC"/>
    <w:rsid w:val="00D842CE"/>
    <w:rsid w:val="00D874E1"/>
    <w:rsid w:val="00D879E4"/>
    <w:rsid w:val="00D90860"/>
    <w:rsid w:val="00D91C24"/>
    <w:rsid w:val="00D91D46"/>
    <w:rsid w:val="00D9212C"/>
    <w:rsid w:val="00D9377E"/>
    <w:rsid w:val="00D93B20"/>
    <w:rsid w:val="00D941BF"/>
    <w:rsid w:val="00D94D64"/>
    <w:rsid w:val="00D953C6"/>
    <w:rsid w:val="00D953DA"/>
    <w:rsid w:val="00D9588D"/>
    <w:rsid w:val="00D959B2"/>
    <w:rsid w:val="00D95E8A"/>
    <w:rsid w:val="00D96D53"/>
    <w:rsid w:val="00D97D12"/>
    <w:rsid w:val="00DA1848"/>
    <w:rsid w:val="00DA1E4E"/>
    <w:rsid w:val="00DA249D"/>
    <w:rsid w:val="00DA2D01"/>
    <w:rsid w:val="00DA31CC"/>
    <w:rsid w:val="00DA41E3"/>
    <w:rsid w:val="00DA596B"/>
    <w:rsid w:val="00DA62BF"/>
    <w:rsid w:val="00DB088C"/>
    <w:rsid w:val="00DB17B1"/>
    <w:rsid w:val="00DB18A0"/>
    <w:rsid w:val="00DB2079"/>
    <w:rsid w:val="00DB71B7"/>
    <w:rsid w:val="00DB739C"/>
    <w:rsid w:val="00DC55B1"/>
    <w:rsid w:val="00DC68E7"/>
    <w:rsid w:val="00DC7A8D"/>
    <w:rsid w:val="00DD1A4E"/>
    <w:rsid w:val="00DD1E0F"/>
    <w:rsid w:val="00DD26BF"/>
    <w:rsid w:val="00DD5E0E"/>
    <w:rsid w:val="00DD67CC"/>
    <w:rsid w:val="00DD7627"/>
    <w:rsid w:val="00DD7B47"/>
    <w:rsid w:val="00DE0963"/>
    <w:rsid w:val="00DE21AD"/>
    <w:rsid w:val="00DE35D0"/>
    <w:rsid w:val="00DE4FA5"/>
    <w:rsid w:val="00DE5F21"/>
    <w:rsid w:val="00DF0138"/>
    <w:rsid w:val="00DF145D"/>
    <w:rsid w:val="00DF21B1"/>
    <w:rsid w:val="00DF2326"/>
    <w:rsid w:val="00DF2EE0"/>
    <w:rsid w:val="00DF5CE9"/>
    <w:rsid w:val="00DF704D"/>
    <w:rsid w:val="00E01A7B"/>
    <w:rsid w:val="00E01ABA"/>
    <w:rsid w:val="00E01B51"/>
    <w:rsid w:val="00E03DE1"/>
    <w:rsid w:val="00E04528"/>
    <w:rsid w:val="00E04689"/>
    <w:rsid w:val="00E054AF"/>
    <w:rsid w:val="00E056E7"/>
    <w:rsid w:val="00E07440"/>
    <w:rsid w:val="00E07BAC"/>
    <w:rsid w:val="00E1484C"/>
    <w:rsid w:val="00E14BE2"/>
    <w:rsid w:val="00E155B3"/>
    <w:rsid w:val="00E16299"/>
    <w:rsid w:val="00E17E2D"/>
    <w:rsid w:val="00E20858"/>
    <w:rsid w:val="00E22682"/>
    <w:rsid w:val="00E235A8"/>
    <w:rsid w:val="00E239C1"/>
    <w:rsid w:val="00E24267"/>
    <w:rsid w:val="00E24CA5"/>
    <w:rsid w:val="00E25819"/>
    <w:rsid w:val="00E2684D"/>
    <w:rsid w:val="00E30AE3"/>
    <w:rsid w:val="00E33742"/>
    <w:rsid w:val="00E361F3"/>
    <w:rsid w:val="00E409CA"/>
    <w:rsid w:val="00E415D4"/>
    <w:rsid w:val="00E417BF"/>
    <w:rsid w:val="00E433AA"/>
    <w:rsid w:val="00E43510"/>
    <w:rsid w:val="00E438FA"/>
    <w:rsid w:val="00E43CA3"/>
    <w:rsid w:val="00E446E2"/>
    <w:rsid w:val="00E44915"/>
    <w:rsid w:val="00E46234"/>
    <w:rsid w:val="00E46901"/>
    <w:rsid w:val="00E4743B"/>
    <w:rsid w:val="00E51387"/>
    <w:rsid w:val="00E53092"/>
    <w:rsid w:val="00E5480B"/>
    <w:rsid w:val="00E55A13"/>
    <w:rsid w:val="00E56FEF"/>
    <w:rsid w:val="00E611BC"/>
    <w:rsid w:val="00E61A86"/>
    <w:rsid w:val="00E61CF1"/>
    <w:rsid w:val="00E639AD"/>
    <w:rsid w:val="00E64696"/>
    <w:rsid w:val="00E66661"/>
    <w:rsid w:val="00E67C7B"/>
    <w:rsid w:val="00E70330"/>
    <w:rsid w:val="00E718AB"/>
    <w:rsid w:val="00E73512"/>
    <w:rsid w:val="00E73864"/>
    <w:rsid w:val="00E7533E"/>
    <w:rsid w:val="00E754E1"/>
    <w:rsid w:val="00E75A5D"/>
    <w:rsid w:val="00E76676"/>
    <w:rsid w:val="00E777EE"/>
    <w:rsid w:val="00E80A3F"/>
    <w:rsid w:val="00E80DFE"/>
    <w:rsid w:val="00E8270E"/>
    <w:rsid w:val="00E82804"/>
    <w:rsid w:val="00E85EDD"/>
    <w:rsid w:val="00E862C9"/>
    <w:rsid w:val="00E90134"/>
    <w:rsid w:val="00E90CA4"/>
    <w:rsid w:val="00E91ACF"/>
    <w:rsid w:val="00E92910"/>
    <w:rsid w:val="00E94ADB"/>
    <w:rsid w:val="00E954FE"/>
    <w:rsid w:val="00EA023A"/>
    <w:rsid w:val="00EA05A7"/>
    <w:rsid w:val="00EA25C1"/>
    <w:rsid w:val="00EA305D"/>
    <w:rsid w:val="00EA5EA4"/>
    <w:rsid w:val="00EB1753"/>
    <w:rsid w:val="00EB5F40"/>
    <w:rsid w:val="00EB69C7"/>
    <w:rsid w:val="00EB77D2"/>
    <w:rsid w:val="00EB7CE9"/>
    <w:rsid w:val="00EC0CEE"/>
    <w:rsid w:val="00EC2D37"/>
    <w:rsid w:val="00EC472C"/>
    <w:rsid w:val="00EC5A55"/>
    <w:rsid w:val="00EC5A87"/>
    <w:rsid w:val="00EC5DE2"/>
    <w:rsid w:val="00ED0D04"/>
    <w:rsid w:val="00ED18F3"/>
    <w:rsid w:val="00ED1FF5"/>
    <w:rsid w:val="00ED2110"/>
    <w:rsid w:val="00ED2905"/>
    <w:rsid w:val="00ED3822"/>
    <w:rsid w:val="00ED5DA4"/>
    <w:rsid w:val="00ED6D70"/>
    <w:rsid w:val="00ED7ED6"/>
    <w:rsid w:val="00EE1089"/>
    <w:rsid w:val="00EE178F"/>
    <w:rsid w:val="00EE1902"/>
    <w:rsid w:val="00EE3E66"/>
    <w:rsid w:val="00EE6365"/>
    <w:rsid w:val="00EE70CD"/>
    <w:rsid w:val="00EF0D7B"/>
    <w:rsid w:val="00EF2BFC"/>
    <w:rsid w:val="00EF34D0"/>
    <w:rsid w:val="00EF3C92"/>
    <w:rsid w:val="00EF4F42"/>
    <w:rsid w:val="00EF548D"/>
    <w:rsid w:val="00EF6174"/>
    <w:rsid w:val="00EF622F"/>
    <w:rsid w:val="00EF7EDB"/>
    <w:rsid w:val="00F009BA"/>
    <w:rsid w:val="00F00FED"/>
    <w:rsid w:val="00F013A8"/>
    <w:rsid w:val="00F01988"/>
    <w:rsid w:val="00F04891"/>
    <w:rsid w:val="00F05AF2"/>
    <w:rsid w:val="00F104E6"/>
    <w:rsid w:val="00F109DA"/>
    <w:rsid w:val="00F11C51"/>
    <w:rsid w:val="00F12C00"/>
    <w:rsid w:val="00F12CDD"/>
    <w:rsid w:val="00F13E95"/>
    <w:rsid w:val="00F144D9"/>
    <w:rsid w:val="00F14D9C"/>
    <w:rsid w:val="00F1711E"/>
    <w:rsid w:val="00F2006A"/>
    <w:rsid w:val="00F20D66"/>
    <w:rsid w:val="00F23820"/>
    <w:rsid w:val="00F23F8B"/>
    <w:rsid w:val="00F2564A"/>
    <w:rsid w:val="00F25C13"/>
    <w:rsid w:val="00F2698D"/>
    <w:rsid w:val="00F26EDE"/>
    <w:rsid w:val="00F26F4D"/>
    <w:rsid w:val="00F27600"/>
    <w:rsid w:val="00F276CD"/>
    <w:rsid w:val="00F2786A"/>
    <w:rsid w:val="00F27AD0"/>
    <w:rsid w:val="00F31B91"/>
    <w:rsid w:val="00F3570F"/>
    <w:rsid w:val="00F36202"/>
    <w:rsid w:val="00F36FF6"/>
    <w:rsid w:val="00F3767E"/>
    <w:rsid w:val="00F41265"/>
    <w:rsid w:val="00F41DFE"/>
    <w:rsid w:val="00F42172"/>
    <w:rsid w:val="00F44D14"/>
    <w:rsid w:val="00F47A44"/>
    <w:rsid w:val="00F47AAD"/>
    <w:rsid w:val="00F47B35"/>
    <w:rsid w:val="00F521D4"/>
    <w:rsid w:val="00F52F04"/>
    <w:rsid w:val="00F54E77"/>
    <w:rsid w:val="00F55A36"/>
    <w:rsid w:val="00F55A55"/>
    <w:rsid w:val="00F57795"/>
    <w:rsid w:val="00F61A5A"/>
    <w:rsid w:val="00F643AC"/>
    <w:rsid w:val="00F64AA1"/>
    <w:rsid w:val="00F64D48"/>
    <w:rsid w:val="00F67B4A"/>
    <w:rsid w:val="00F70BBB"/>
    <w:rsid w:val="00F726CD"/>
    <w:rsid w:val="00F745CE"/>
    <w:rsid w:val="00F75A82"/>
    <w:rsid w:val="00F75C49"/>
    <w:rsid w:val="00F761D5"/>
    <w:rsid w:val="00F76847"/>
    <w:rsid w:val="00F771EB"/>
    <w:rsid w:val="00F80BBA"/>
    <w:rsid w:val="00F901FE"/>
    <w:rsid w:val="00F905FF"/>
    <w:rsid w:val="00F92093"/>
    <w:rsid w:val="00F93649"/>
    <w:rsid w:val="00F96911"/>
    <w:rsid w:val="00F97937"/>
    <w:rsid w:val="00FA3745"/>
    <w:rsid w:val="00FA46CE"/>
    <w:rsid w:val="00FA5A8B"/>
    <w:rsid w:val="00FA5AD5"/>
    <w:rsid w:val="00FA75FB"/>
    <w:rsid w:val="00FB02C9"/>
    <w:rsid w:val="00FB05E4"/>
    <w:rsid w:val="00FB06E5"/>
    <w:rsid w:val="00FB0E60"/>
    <w:rsid w:val="00FB10F4"/>
    <w:rsid w:val="00FB130F"/>
    <w:rsid w:val="00FB2808"/>
    <w:rsid w:val="00FB5725"/>
    <w:rsid w:val="00FB5F95"/>
    <w:rsid w:val="00FB791A"/>
    <w:rsid w:val="00FB7BDD"/>
    <w:rsid w:val="00FB7DD2"/>
    <w:rsid w:val="00FC1077"/>
    <w:rsid w:val="00FC252C"/>
    <w:rsid w:val="00FC29B8"/>
    <w:rsid w:val="00FC45F4"/>
    <w:rsid w:val="00FC4E67"/>
    <w:rsid w:val="00FC597D"/>
    <w:rsid w:val="00FC5ED3"/>
    <w:rsid w:val="00FC6D39"/>
    <w:rsid w:val="00FC6E86"/>
    <w:rsid w:val="00FC6F4C"/>
    <w:rsid w:val="00FC7EE9"/>
    <w:rsid w:val="00FD270A"/>
    <w:rsid w:val="00FD2995"/>
    <w:rsid w:val="00FD2B1D"/>
    <w:rsid w:val="00FD37CB"/>
    <w:rsid w:val="00FD506F"/>
    <w:rsid w:val="00FD57D1"/>
    <w:rsid w:val="00FD78F3"/>
    <w:rsid w:val="00FE0869"/>
    <w:rsid w:val="00FE13E4"/>
    <w:rsid w:val="00FE2C0F"/>
    <w:rsid w:val="00FE5664"/>
    <w:rsid w:val="00FE5EC0"/>
    <w:rsid w:val="00FE60C3"/>
    <w:rsid w:val="00FE60E2"/>
    <w:rsid w:val="00FE65F6"/>
    <w:rsid w:val="00FF0DAD"/>
    <w:rsid w:val="00FF1F8F"/>
    <w:rsid w:val="00FF3AA9"/>
    <w:rsid w:val="00FF67D9"/>
    <w:rsid w:val="00FF6818"/>
    <w:rsid w:val="00FF6D34"/>
    <w:rsid w:val="00FF7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4F92C3"/>
  <w15:docId w15:val="{C8630508-00E2-4A7F-929B-D49365F6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1">
    <w:name w:val="heading 1"/>
    <w:basedOn w:val="Normal"/>
    <w:qFormat/>
    <w:pPr>
      <w:spacing w:before="100" w:beforeAutospacing="1"/>
      <w:textAlignment w:val="top"/>
      <w:outlineLvl w:val="0"/>
    </w:pPr>
    <w:rPr>
      <w:b/>
      <w:bCs/>
      <w:color w:val="000000"/>
      <w:kern w:val="36"/>
      <w:sz w:val="31"/>
      <w:szCs w:val="31"/>
    </w:rPr>
  </w:style>
  <w:style w:type="paragraph" w:styleId="Heading2">
    <w:name w:val="heading 2"/>
    <w:basedOn w:val="Normal"/>
    <w:qFormat/>
    <w:pPr>
      <w:spacing w:before="100" w:beforeAutospacing="1"/>
      <w:textAlignment w:val="top"/>
      <w:outlineLvl w:val="1"/>
    </w:pPr>
    <w:rPr>
      <w:b/>
      <w:bCs/>
      <w:color w:val="000000"/>
      <w:sz w:val="25"/>
      <w:szCs w:val="25"/>
    </w:rPr>
  </w:style>
  <w:style w:type="paragraph" w:styleId="Heading3">
    <w:name w:val="heading 3"/>
    <w:basedOn w:val="Normal"/>
    <w:qFormat/>
    <w:pPr>
      <w:spacing w:before="100" w:beforeAutospacing="1"/>
      <w:textAlignment w:val="top"/>
      <w:outlineLvl w:val="2"/>
    </w:pPr>
    <w:rPr>
      <w:b/>
      <w:bCs/>
      <w:color w:val="000000"/>
      <w:sz w:val="22"/>
      <w:szCs w:val="22"/>
    </w:rPr>
  </w:style>
  <w:style w:type="paragraph" w:styleId="Heading4">
    <w:name w:val="heading 4"/>
    <w:basedOn w:val="Normal"/>
    <w:qFormat/>
    <w:pPr>
      <w:spacing w:before="100" w:beforeAutospacing="1"/>
      <w:textAlignment w:val="top"/>
      <w:outlineLvl w:val="3"/>
    </w:pPr>
    <w:rPr>
      <w:b/>
      <w:bCs/>
      <w:color w:val="00000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strike w:val="0"/>
      <w:dstrike w:val="0"/>
      <w:color w:val="0000FF"/>
      <w:u w:val="none"/>
      <w:effect w:val="none"/>
    </w:rPr>
  </w:style>
  <w:style w:type="character" w:styleId="FollowedHyperlink">
    <w:name w:val="FollowedHyperlink"/>
    <w:basedOn w:val="DefaultParagraphFont"/>
    <w:rPr>
      <w:strike w:val="0"/>
      <w:dstrike w:val="0"/>
      <w:color w:val="0000FF"/>
      <w:u w:val="none"/>
      <w:effect w:val="none"/>
    </w:rPr>
  </w:style>
  <w:style w:type="paragraph" w:customStyle="1" w:styleId="table100per">
    <w:name w:val="table100per"/>
    <w:basedOn w:val="Normal"/>
    <w:pPr>
      <w:spacing w:before="100" w:beforeAutospacing="1" w:after="100" w:afterAutospacing="1"/>
    </w:pPr>
  </w:style>
  <w:style w:type="paragraph" w:customStyle="1" w:styleId="tablegridbrdrcolorblackaw">
    <w:name w:val="tablegridbrdrcolorblack_aw"/>
    <w:basedOn w:val="Normal"/>
    <w:pPr>
      <w:pBdr>
        <w:top w:val="single" w:sz="4" w:space="1" w:color="B1B1B1"/>
        <w:left w:val="single" w:sz="4" w:space="1" w:color="B1B1B1"/>
        <w:bottom w:val="single" w:sz="4" w:space="1" w:color="B1B1B1"/>
        <w:right w:val="single" w:sz="4" w:space="1" w:color="B1B1B1"/>
      </w:pBdr>
      <w:spacing w:before="100" w:beforeAutospacing="1" w:after="100" w:afterAutospacing="1"/>
    </w:pPr>
  </w:style>
  <w:style w:type="paragraph" w:customStyle="1" w:styleId="tablenogridbrdrcolorblackaw">
    <w:name w:val="tablenogridbrdrcolorblack_aw"/>
    <w:basedOn w:val="Normal"/>
    <w:pPr>
      <w:spacing w:before="100" w:beforeAutospacing="1" w:after="100" w:afterAutospacing="1"/>
    </w:pPr>
  </w:style>
  <w:style w:type="paragraph" w:customStyle="1" w:styleId="tablebrdrcolorblackaw">
    <w:name w:val="tablebrdrcolorblack_aw"/>
    <w:basedOn w:val="Normal"/>
    <w:pPr>
      <w:pBdr>
        <w:top w:val="single" w:sz="4" w:space="1" w:color="000000"/>
        <w:left w:val="single" w:sz="4" w:space="1" w:color="000000"/>
        <w:bottom w:val="single" w:sz="4" w:space="1" w:color="000000"/>
        <w:right w:val="single" w:sz="4" w:space="1" w:color="000000"/>
      </w:pBdr>
      <w:spacing w:before="100" w:beforeAutospacing="1" w:after="100" w:afterAutospacing="1"/>
    </w:pPr>
  </w:style>
  <w:style w:type="paragraph" w:customStyle="1" w:styleId="tablebrdrblacktopsidesaw">
    <w:name w:val="tablebrdrblacktopsides_aw"/>
    <w:basedOn w:val="Normal"/>
    <w:pPr>
      <w:pBdr>
        <w:top w:val="single" w:sz="4" w:space="1" w:color="000000"/>
        <w:left w:val="single" w:sz="4" w:space="1" w:color="000000"/>
        <w:right w:val="single" w:sz="4" w:space="1" w:color="000000"/>
      </w:pBdr>
      <w:spacing w:before="100" w:beforeAutospacing="1" w:after="100" w:afterAutospacing="1"/>
    </w:pPr>
  </w:style>
  <w:style w:type="paragraph" w:customStyle="1" w:styleId="tablebrdrblacktopaw">
    <w:name w:val="tablebrdrblacktop_aw"/>
    <w:basedOn w:val="Normal"/>
    <w:pPr>
      <w:pBdr>
        <w:top w:val="single" w:sz="4" w:space="3" w:color="000000"/>
      </w:pBdr>
      <w:spacing w:before="100" w:beforeAutospacing="1" w:after="100" w:afterAutospacing="1"/>
    </w:pPr>
  </w:style>
  <w:style w:type="paragraph" w:customStyle="1" w:styleId="tablebrdrblackbottomaw">
    <w:name w:val="tablebrdrblackbottom_aw"/>
    <w:basedOn w:val="Normal"/>
    <w:pPr>
      <w:pBdr>
        <w:bottom w:val="single" w:sz="4" w:space="1" w:color="000000"/>
      </w:pBdr>
      <w:spacing w:before="100" w:beforeAutospacing="1" w:after="100" w:afterAutospacing="1"/>
    </w:pPr>
  </w:style>
  <w:style w:type="paragraph" w:customStyle="1" w:styleId="tablebrdrblackbottomsidesaw">
    <w:name w:val="tablebrdrblackbottomsides_aw"/>
    <w:basedOn w:val="Normal"/>
    <w:pPr>
      <w:pBdr>
        <w:left w:val="single" w:sz="4" w:space="1" w:color="000000"/>
        <w:bottom w:val="single" w:sz="4" w:space="1" w:color="000000"/>
        <w:right w:val="single" w:sz="4" w:space="1" w:color="000000"/>
      </w:pBdr>
      <w:spacing w:before="100" w:beforeAutospacing="1" w:after="100" w:afterAutospacing="1"/>
    </w:pPr>
  </w:style>
  <w:style w:type="paragraph" w:customStyle="1" w:styleId="tablebrdrblackbottomrightaw">
    <w:name w:val="tablebrdrblackbottomright_aw"/>
    <w:basedOn w:val="Normal"/>
    <w:pPr>
      <w:pBdr>
        <w:bottom w:val="single" w:sz="4" w:space="1" w:color="000000"/>
        <w:right w:val="single" w:sz="4" w:space="1" w:color="000000"/>
      </w:pBdr>
      <w:spacing w:before="100" w:beforeAutospacing="1" w:after="100" w:afterAutospacing="1"/>
    </w:pPr>
  </w:style>
  <w:style w:type="paragraph" w:customStyle="1" w:styleId="contenttimes90per">
    <w:name w:val="contenttimes90per"/>
    <w:basedOn w:val="Normal"/>
    <w:pPr>
      <w:spacing w:before="100" w:beforeAutospacing="1" w:after="100" w:afterAutospacing="1"/>
      <w:textAlignment w:val="top"/>
    </w:pPr>
    <w:rPr>
      <w:color w:val="000000"/>
      <w:sz w:val="22"/>
      <w:szCs w:val="22"/>
    </w:rPr>
  </w:style>
  <w:style w:type="paragraph" w:customStyle="1" w:styleId="aligncenter">
    <w:name w:val="aligncenter"/>
    <w:basedOn w:val="Normal"/>
    <w:pPr>
      <w:spacing w:before="100" w:beforeAutospacing="1" w:after="100" w:afterAutospacing="1"/>
      <w:jc w:val="center"/>
      <w:textAlignment w:val="top"/>
    </w:pPr>
  </w:style>
  <w:style w:type="paragraph" w:customStyle="1" w:styleId="contenttimesxsmall">
    <w:name w:val="contenttimesxsmall"/>
    <w:basedOn w:val="Normal"/>
    <w:pPr>
      <w:spacing w:before="100" w:beforeAutospacing="1" w:after="100" w:afterAutospacing="1" w:line="180" w:lineRule="atLeast"/>
      <w:textAlignment w:val="top"/>
    </w:pPr>
    <w:rPr>
      <w:color w:val="000000"/>
      <w:sz w:val="20"/>
      <w:szCs w:val="20"/>
    </w:rPr>
  </w:style>
  <w:style w:type="paragraph" w:customStyle="1" w:styleId="contenttimesmedium">
    <w:name w:val="contenttimesmedium"/>
    <w:basedOn w:val="Normal"/>
    <w:pPr>
      <w:spacing w:before="100" w:beforeAutospacing="1" w:after="100" w:afterAutospacing="1"/>
      <w:textAlignment w:val="center"/>
    </w:pPr>
    <w:rPr>
      <w:color w:val="000000"/>
      <w:sz w:val="27"/>
      <w:szCs w:val="27"/>
    </w:rPr>
  </w:style>
  <w:style w:type="paragraph" w:customStyle="1" w:styleId="contentverdanaxsmall">
    <w:name w:val="contentverdanaxsmall"/>
    <w:basedOn w:val="Normal"/>
    <w:pPr>
      <w:spacing w:before="100" w:beforeAutospacing="1" w:after="100" w:afterAutospacing="1" w:line="180" w:lineRule="atLeast"/>
      <w:textAlignment w:val="top"/>
    </w:pPr>
    <w:rPr>
      <w:color w:val="000000"/>
      <w:sz w:val="20"/>
      <w:szCs w:val="20"/>
    </w:rPr>
  </w:style>
  <w:style w:type="paragraph" w:customStyle="1" w:styleId="contentverdanaxxsmall">
    <w:name w:val="contentverdanaxxsmall"/>
    <w:basedOn w:val="Normal"/>
    <w:pPr>
      <w:spacing w:before="100" w:beforeAutospacing="1" w:after="100" w:afterAutospacing="1" w:line="180" w:lineRule="atLeast"/>
      <w:textAlignment w:val="top"/>
    </w:pPr>
    <w:rPr>
      <w:color w:val="000000"/>
      <w:sz w:val="15"/>
      <w:szCs w:val="15"/>
    </w:rPr>
  </w:style>
  <w:style w:type="paragraph" w:customStyle="1" w:styleId="contenttreb90per">
    <w:name w:val="contenttreb90per"/>
    <w:basedOn w:val="Normal"/>
    <w:pPr>
      <w:spacing w:before="100" w:beforeAutospacing="1" w:after="100" w:afterAutospacing="1" w:line="160" w:lineRule="atLeast"/>
    </w:pPr>
    <w:rPr>
      <w:color w:val="000000"/>
      <w:sz w:val="22"/>
      <w:szCs w:val="22"/>
    </w:rPr>
  </w:style>
  <w:style w:type="paragraph" w:customStyle="1" w:styleId="contenttreb70per">
    <w:name w:val="contenttreb70per"/>
    <w:basedOn w:val="Normal"/>
    <w:pPr>
      <w:spacing w:before="100" w:beforeAutospacing="1" w:after="100" w:afterAutospacing="1" w:line="200" w:lineRule="atLeast"/>
    </w:pPr>
    <w:rPr>
      <w:color w:val="000000"/>
      <w:sz w:val="22"/>
      <w:szCs w:val="22"/>
    </w:rPr>
  </w:style>
  <w:style w:type="paragraph" w:customStyle="1" w:styleId="contenttreb70peri">
    <w:name w:val="contenttreb70peri"/>
    <w:basedOn w:val="Normal"/>
    <w:pPr>
      <w:spacing w:before="100" w:beforeAutospacing="1" w:after="100" w:afterAutospacing="1" w:line="250" w:lineRule="atLeast"/>
    </w:pPr>
    <w:rPr>
      <w:i/>
      <w:iCs/>
      <w:color w:val="444444"/>
      <w:sz w:val="17"/>
      <w:szCs w:val="17"/>
    </w:rPr>
  </w:style>
  <w:style w:type="paragraph" w:customStyle="1" w:styleId="contentverdana75per">
    <w:name w:val="contentverdana75per"/>
    <w:basedOn w:val="Normal"/>
    <w:pPr>
      <w:spacing w:before="100" w:beforeAutospacing="1" w:after="100" w:afterAutospacing="1" w:line="180" w:lineRule="atLeast"/>
    </w:pPr>
    <w:rPr>
      <w:color w:val="000000"/>
      <w:sz w:val="18"/>
      <w:szCs w:val="18"/>
    </w:rPr>
  </w:style>
  <w:style w:type="paragraph" w:customStyle="1" w:styleId="unnamed1">
    <w:name w:val="unnamed1"/>
    <w:basedOn w:val="Normal"/>
    <w:pPr>
      <w:spacing w:before="100" w:beforeAutospacing="1" w:after="100" w:afterAutospacing="1"/>
    </w:pPr>
    <w:rPr>
      <w:sz w:val="11"/>
      <w:szCs w:val="11"/>
    </w:rPr>
  </w:style>
  <w:style w:type="paragraph" w:customStyle="1" w:styleId="unnamed2">
    <w:name w:val="unnamed2"/>
    <w:basedOn w:val="Normal"/>
    <w:pPr>
      <w:spacing w:before="100" w:beforeAutospacing="1" w:after="100" w:afterAutospacing="1"/>
    </w:pPr>
    <w:rPr>
      <w:sz w:val="17"/>
      <w:szCs w:val="17"/>
    </w:rPr>
  </w:style>
  <w:style w:type="paragraph" w:customStyle="1" w:styleId="contentverdana70per">
    <w:name w:val="contentverdana70per"/>
    <w:basedOn w:val="Normal"/>
    <w:pPr>
      <w:spacing w:before="100" w:beforeAutospacing="1" w:after="100" w:afterAutospacing="1"/>
      <w:textAlignment w:val="top"/>
    </w:pPr>
    <w:rPr>
      <w:color w:val="000000"/>
      <w:sz w:val="17"/>
      <w:szCs w:val="17"/>
    </w:rPr>
  </w:style>
  <w:style w:type="paragraph" w:customStyle="1" w:styleId="bg-greycolorlevel1">
    <w:name w:val="bg-greycolorlevel1"/>
    <w:basedOn w:val="Normal"/>
    <w:pPr>
      <w:shd w:val="clear" w:color="auto" w:fill="E2E2E2"/>
      <w:spacing w:before="100" w:beforeAutospacing="1" w:after="100" w:afterAutospacing="1"/>
    </w:pPr>
  </w:style>
  <w:style w:type="paragraph" w:customStyle="1" w:styleId="bg-greycolorlevel2">
    <w:name w:val="bg-greycolorlevel2"/>
    <w:basedOn w:val="Normal"/>
    <w:pPr>
      <w:shd w:val="clear" w:color="auto" w:fill="F1F1F1"/>
      <w:spacing w:before="100" w:beforeAutospacing="1" w:after="100" w:afterAutospacing="1"/>
    </w:pPr>
  </w:style>
  <w:style w:type="paragraph" w:customStyle="1" w:styleId="bg-greycolorlevel3">
    <w:name w:val="bg-greycolorlevel3"/>
    <w:basedOn w:val="Normal"/>
    <w:pPr>
      <w:shd w:val="clear" w:color="auto" w:fill="F8F8F8"/>
      <w:spacing w:before="100" w:beforeAutospacing="1" w:after="100" w:afterAutospacing="1"/>
    </w:pPr>
  </w:style>
  <w:style w:type="paragraph" w:customStyle="1" w:styleId="tableheaderlevel1">
    <w:name w:val="tableheaderlevel1"/>
    <w:basedOn w:val="Normal"/>
    <w:pPr>
      <w:shd w:val="clear" w:color="auto" w:fill="CDCCCC"/>
      <w:spacing w:before="100" w:beforeAutospacing="1" w:after="100" w:afterAutospacing="1"/>
    </w:pPr>
    <w:rPr>
      <w:color w:val="000000"/>
    </w:rPr>
  </w:style>
  <w:style w:type="paragraph" w:customStyle="1" w:styleId="contentverdana70perbold">
    <w:name w:val="contentverdana70perbold"/>
    <w:basedOn w:val="Normal"/>
    <w:pPr>
      <w:spacing w:before="100" w:beforeAutospacing="1" w:after="100" w:afterAutospacing="1"/>
      <w:textAlignment w:val="top"/>
    </w:pPr>
    <w:rPr>
      <w:b/>
      <w:bCs/>
      <w:color w:val="333333"/>
      <w:sz w:val="17"/>
      <w:szCs w:val="17"/>
    </w:rPr>
  </w:style>
  <w:style w:type="paragraph" w:customStyle="1" w:styleId="contentverdana100per">
    <w:name w:val="contentverdana100per"/>
    <w:basedOn w:val="Normal"/>
    <w:pPr>
      <w:spacing w:before="100" w:beforeAutospacing="1" w:after="100" w:afterAutospacing="1"/>
      <w:textAlignment w:val="top"/>
    </w:pPr>
    <w:rPr>
      <w:color w:val="000000"/>
    </w:rPr>
  </w:style>
  <w:style w:type="paragraph" w:customStyle="1" w:styleId="tableheaderlevel3">
    <w:name w:val="tableheaderlevel3"/>
    <w:basedOn w:val="Normal"/>
    <w:pPr>
      <w:shd w:val="clear" w:color="auto" w:fill="F1F1F1"/>
      <w:spacing w:before="100" w:beforeAutospacing="1" w:after="100" w:afterAutospacing="1"/>
    </w:pPr>
    <w:rPr>
      <w:b/>
      <w:bCs/>
      <w:color w:val="606060"/>
      <w:sz w:val="22"/>
      <w:szCs w:val="22"/>
    </w:rPr>
  </w:style>
  <w:style w:type="paragraph" w:customStyle="1" w:styleId="tableheaderlevel2">
    <w:name w:val="tableheaderlevel2"/>
    <w:basedOn w:val="Normal"/>
    <w:pPr>
      <w:shd w:val="clear" w:color="auto" w:fill="E2E2E2"/>
      <w:spacing w:before="100" w:beforeAutospacing="1" w:after="100" w:afterAutospacing="1"/>
    </w:pPr>
    <w:rPr>
      <w:color w:val="000000"/>
    </w:rPr>
  </w:style>
  <w:style w:type="paragraph" w:customStyle="1" w:styleId="contentverdanasuper">
    <w:name w:val="contentverdanasuper"/>
    <w:basedOn w:val="Normal"/>
    <w:pPr>
      <w:spacing w:before="100" w:beforeAutospacing="1" w:after="100" w:afterAutospacing="1"/>
    </w:pPr>
    <w:rPr>
      <w:color w:val="000000"/>
      <w:sz w:val="14"/>
      <w:szCs w:val="14"/>
      <w:vertAlign w:val="superscript"/>
    </w:rPr>
  </w:style>
  <w:style w:type="paragraph" w:customStyle="1" w:styleId="contentverdanah1super">
    <w:name w:val="contentverdanah1super"/>
    <w:basedOn w:val="Normal"/>
    <w:pPr>
      <w:spacing w:before="100" w:beforeAutospacing="1" w:after="100" w:afterAutospacing="1"/>
    </w:pPr>
    <w:rPr>
      <w:color w:val="000000"/>
      <w:sz w:val="12"/>
      <w:szCs w:val="12"/>
      <w:vertAlign w:val="superscript"/>
    </w:rPr>
  </w:style>
  <w:style w:type="paragraph" w:customStyle="1" w:styleId="tablebrdrcolorgreyaw">
    <w:name w:val="tablebrdrcolorgrey_aw"/>
    <w:basedOn w:val="Normal"/>
    <w:pPr>
      <w:pBdr>
        <w:top w:val="single" w:sz="4" w:space="2" w:color="B1B1B1"/>
        <w:left w:val="single" w:sz="4" w:space="2" w:color="B1B1B1"/>
        <w:bottom w:val="single" w:sz="4" w:space="2" w:color="B1B1B1"/>
        <w:right w:val="single" w:sz="4" w:space="2" w:color="B1B1B1"/>
      </w:pBdr>
      <w:spacing w:before="100" w:beforeAutospacing="1" w:after="100" w:afterAutospacing="1"/>
    </w:p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NormalWeb">
    <w:name w:val="Normal (Web)"/>
    <w:basedOn w:val="Normal"/>
    <w:pPr>
      <w:spacing w:before="100" w:beforeAutospacing="1" w:after="100" w:afterAutospacing="1"/>
    </w:pPr>
  </w:style>
  <w:style w:type="character" w:styleId="Strong">
    <w:name w:val="Strong"/>
    <w:basedOn w:val="DefaultParagraphFont"/>
    <w:qFormat/>
    <w:rPr>
      <w:b/>
      <w:bCs/>
    </w:rPr>
  </w:style>
  <w:style w:type="character" w:customStyle="1" w:styleId="contenttreb70per1">
    <w:name w:val="contenttreb70per1"/>
    <w:basedOn w:val="DefaultParagraphFont"/>
    <w:rPr>
      <w:rFonts w:ascii="Times New Roman" w:hAnsi="Times New Roman" w:cs="Times New Roman" w:hint="default"/>
      <w:strike w:val="0"/>
      <w:dstrike w:val="0"/>
      <w:color w:val="000000"/>
      <w:sz w:val="22"/>
      <w:szCs w:val="22"/>
      <w:u w:val="none"/>
      <w:effect w:val="none"/>
    </w:rPr>
  </w:style>
  <w:style w:type="character" w:styleId="Emphasis">
    <w:name w:val="Emphasis"/>
    <w:basedOn w:val="DefaultParagraphFont"/>
    <w:qFormat/>
    <w:rPr>
      <w:i/>
      <w:iCs/>
    </w:rPr>
  </w:style>
  <w:style w:type="paragraph" w:customStyle="1" w:styleId="outline">
    <w:name w:val="outline"/>
    <w:basedOn w:val="Normal"/>
    <w:pPr>
      <w:spacing w:before="100" w:beforeAutospacing="1" w:after="100" w:afterAutospacing="1"/>
    </w:pPr>
  </w:style>
  <w:style w:type="character" w:customStyle="1" w:styleId="tableheaderlevel21">
    <w:name w:val="tableheaderlevel21"/>
    <w:basedOn w:val="DefaultParagraphFont"/>
  </w:style>
  <w:style w:type="paragraph" w:customStyle="1" w:styleId="chapternumber">
    <w:name w:val="chapternumber"/>
    <w:basedOn w:val="Normal"/>
    <w:pPr>
      <w:spacing w:before="100" w:beforeAutospacing="1" w:after="100" w:afterAutospacing="1"/>
    </w:pPr>
  </w:style>
  <w:style w:type="paragraph" w:styleId="FootnoteText">
    <w:name w:val="footnote text"/>
    <w:basedOn w:val="Normal"/>
    <w:link w:val="FootnoteTextChar"/>
    <w:uiPriority w:val="99"/>
    <w:pPr>
      <w:spacing w:before="100" w:beforeAutospacing="1" w:after="100" w:afterAutospacing="1"/>
    </w:pPr>
  </w:style>
  <w:style w:type="character" w:customStyle="1" w:styleId="tableheaderlevel22">
    <w:name w:val="tableheaderlevel22"/>
    <w:basedOn w:val="DefaultParagraphFont"/>
    <w:rPr>
      <w:rFonts w:ascii="Times New Roman" w:hAnsi="Times New Roman" w:cs="Times New Roman" w:hint="default"/>
      <w:color w:val="000000"/>
      <w:shd w:val="clear" w:color="auto" w:fill="E2E2E2"/>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rsid w:val="00DB088C"/>
    <w:pPr>
      <w:tabs>
        <w:tab w:val="center" w:pos="4320"/>
        <w:tab w:val="right" w:pos="8640"/>
      </w:tabs>
    </w:pPr>
  </w:style>
  <w:style w:type="paragraph" w:styleId="TOC2">
    <w:name w:val="toc 2"/>
    <w:basedOn w:val="Normal"/>
    <w:next w:val="Normal"/>
    <w:autoRedefine/>
    <w:uiPriority w:val="39"/>
    <w:rsid w:val="00E7533E"/>
    <w:pPr>
      <w:tabs>
        <w:tab w:val="right" w:leader="dot" w:pos="8630"/>
      </w:tabs>
      <w:ind w:left="245"/>
    </w:pPr>
  </w:style>
  <w:style w:type="table" w:styleId="TableGrid">
    <w:name w:val="Table Grid"/>
    <w:basedOn w:val="TableNormal"/>
    <w:uiPriority w:val="39"/>
    <w:rsid w:val="00E0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1">
    <w:name w:val="tx1"/>
    <w:basedOn w:val="DefaultParagraphFont"/>
    <w:rsid w:val="0049537D"/>
    <w:rPr>
      <w:b/>
      <w:bCs/>
    </w:rPr>
  </w:style>
  <w:style w:type="paragraph" w:styleId="HTMLPreformatted">
    <w:name w:val="HTML Preformatted"/>
    <w:basedOn w:val="Normal"/>
    <w:rsid w:val="00012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customStyle="1" w:styleId="MainParanoChapter">
    <w:name w:val="Main Para no Chapter #"/>
    <w:basedOn w:val="Normal"/>
    <w:rsid w:val="007A1CBF"/>
    <w:pPr>
      <w:numPr>
        <w:ilvl w:val="1"/>
        <w:numId w:val="5"/>
      </w:numPr>
      <w:spacing w:after="240"/>
      <w:outlineLvl w:val="1"/>
    </w:pPr>
    <w:rPr>
      <w:rFonts w:eastAsia="Times New Roman"/>
      <w:lang w:eastAsia="en-US"/>
    </w:rPr>
  </w:style>
  <w:style w:type="paragraph" w:customStyle="1" w:styleId="PDSHeading2">
    <w:name w:val="PDS Heading 2"/>
    <w:next w:val="Normal"/>
    <w:rsid w:val="007A1CBF"/>
    <w:pPr>
      <w:keepNext/>
      <w:numPr>
        <w:ilvl w:val="1"/>
        <w:numId w:val="1"/>
      </w:numPr>
    </w:pPr>
    <w:rPr>
      <w:rFonts w:eastAsia="Times New Roman"/>
      <w:b/>
      <w:sz w:val="24"/>
    </w:rPr>
  </w:style>
  <w:style w:type="paragraph" w:styleId="ListParagraph">
    <w:name w:val="List Paragraph"/>
    <w:basedOn w:val="Normal"/>
    <w:uiPriority w:val="34"/>
    <w:qFormat/>
    <w:rsid w:val="007A1CBF"/>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rsid w:val="00F761D5"/>
    <w:rPr>
      <w:rFonts w:eastAsia="Times New Roman"/>
      <w:sz w:val="16"/>
      <w:lang w:eastAsia="en-US"/>
    </w:rPr>
  </w:style>
  <w:style w:type="character" w:customStyle="1" w:styleId="BodyTextChar">
    <w:name w:val="Body Text Char"/>
    <w:basedOn w:val="DefaultParagraphFont"/>
    <w:link w:val="BodyText"/>
    <w:rsid w:val="00F761D5"/>
    <w:rPr>
      <w:rFonts w:eastAsia="Times New Roman"/>
      <w:sz w:val="16"/>
      <w:szCs w:val="24"/>
    </w:rPr>
  </w:style>
  <w:style w:type="paragraph" w:styleId="ListBullet">
    <w:name w:val="List Bullet"/>
    <w:basedOn w:val="Normal"/>
    <w:unhideWhenUsed/>
    <w:rsid w:val="00D17946"/>
    <w:pPr>
      <w:numPr>
        <w:numId w:val="4"/>
      </w:numPr>
      <w:contextualSpacing/>
    </w:pPr>
  </w:style>
  <w:style w:type="character" w:styleId="CommentReference">
    <w:name w:val="annotation reference"/>
    <w:basedOn w:val="DefaultParagraphFont"/>
    <w:semiHidden/>
    <w:unhideWhenUsed/>
    <w:rsid w:val="00E5480B"/>
    <w:rPr>
      <w:sz w:val="16"/>
      <w:szCs w:val="16"/>
    </w:rPr>
  </w:style>
  <w:style w:type="paragraph" w:styleId="CommentText">
    <w:name w:val="annotation text"/>
    <w:basedOn w:val="Normal"/>
    <w:link w:val="CommentTextChar"/>
    <w:unhideWhenUsed/>
    <w:rsid w:val="00E5480B"/>
    <w:rPr>
      <w:sz w:val="20"/>
      <w:szCs w:val="20"/>
    </w:rPr>
  </w:style>
  <w:style w:type="character" w:customStyle="1" w:styleId="CommentTextChar">
    <w:name w:val="Comment Text Char"/>
    <w:basedOn w:val="DefaultParagraphFont"/>
    <w:link w:val="CommentText"/>
    <w:rsid w:val="00E5480B"/>
    <w:rPr>
      <w:lang w:eastAsia="ja-JP"/>
    </w:rPr>
  </w:style>
  <w:style w:type="paragraph" w:styleId="CommentSubject">
    <w:name w:val="annotation subject"/>
    <w:basedOn w:val="CommentText"/>
    <w:next w:val="CommentText"/>
    <w:link w:val="CommentSubjectChar"/>
    <w:semiHidden/>
    <w:unhideWhenUsed/>
    <w:rsid w:val="00E5480B"/>
    <w:rPr>
      <w:b/>
      <w:bCs/>
    </w:rPr>
  </w:style>
  <w:style w:type="character" w:customStyle="1" w:styleId="CommentSubjectChar">
    <w:name w:val="Comment Subject Char"/>
    <w:basedOn w:val="CommentTextChar"/>
    <w:link w:val="CommentSubject"/>
    <w:semiHidden/>
    <w:rsid w:val="00E5480B"/>
    <w:rPr>
      <w:b/>
      <w:bCs/>
      <w:lang w:eastAsia="ja-JP"/>
    </w:rPr>
  </w:style>
  <w:style w:type="paragraph" w:styleId="BalloonText">
    <w:name w:val="Balloon Text"/>
    <w:basedOn w:val="Normal"/>
    <w:link w:val="BalloonTextChar"/>
    <w:semiHidden/>
    <w:unhideWhenUsed/>
    <w:rsid w:val="00E5480B"/>
    <w:rPr>
      <w:rFonts w:ascii="Segoe UI" w:hAnsi="Segoe UI" w:cs="Segoe UI"/>
      <w:sz w:val="18"/>
      <w:szCs w:val="18"/>
    </w:rPr>
  </w:style>
  <w:style w:type="character" w:customStyle="1" w:styleId="BalloonTextChar">
    <w:name w:val="Balloon Text Char"/>
    <w:basedOn w:val="DefaultParagraphFont"/>
    <w:link w:val="BalloonText"/>
    <w:semiHidden/>
    <w:rsid w:val="00E5480B"/>
    <w:rPr>
      <w:rFonts w:ascii="Segoe UI" w:hAnsi="Segoe UI" w:cs="Segoe UI"/>
      <w:sz w:val="18"/>
      <w:szCs w:val="18"/>
      <w:lang w:eastAsia="ja-JP"/>
    </w:rPr>
  </w:style>
  <w:style w:type="paragraph" w:styleId="Caption">
    <w:name w:val="caption"/>
    <w:basedOn w:val="Normal"/>
    <w:next w:val="Normal"/>
    <w:link w:val="CaptionChar"/>
    <w:unhideWhenUsed/>
    <w:qFormat/>
    <w:rsid w:val="00EE178F"/>
    <w:pPr>
      <w:spacing w:after="200"/>
    </w:pPr>
    <w:rPr>
      <w:i/>
      <w:iCs/>
      <w:color w:val="1F497D" w:themeColor="text2"/>
      <w:sz w:val="18"/>
      <w:szCs w:val="18"/>
    </w:rPr>
  </w:style>
  <w:style w:type="character" w:customStyle="1" w:styleId="FootnoteTextChar">
    <w:name w:val="Footnote Text Char"/>
    <w:basedOn w:val="DefaultParagraphFont"/>
    <w:link w:val="FootnoteText"/>
    <w:uiPriority w:val="99"/>
    <w:rsid w:val="00044688"/>
    <w:rPr>
      <w:sz w:val="24"/>
      <w:szCs w:val="24"/>
      <w:lang w:eastAsia="ja-JP"/>
    </w:rPr>
  </w:style>
  <w:style w:type="character" w:styleId="FootnoteReference">
    <w:name w:val="footnote reference"/>
    <w:basedOn w:val="DefaultParagraphFont"/>
    <w:semiHidden/>
    <w:unhideWhenUsed/>
    <w:rsid w:val="00044688"/>
    <w:rPr>
      <w:vertAlign w:val="superscript"/>
    </w:rPr>
  </w:style>
  <w:style w:type="character" w:customStyle="1" w:styleId="CaptionChar">
    <w:name w:val="Caption Char"/>
    <w:basedOn w:val="DefaultParagraphFont"/>
    <w:link w:val="Caption"/>
    <w:rsid w:val="008242A9"/>
    <w:rPr>
      <w:i/>
      <w:iCs/>
      <w:color w:val="1F497D" w:themeColor="text2"/>
      <w:sz w:val="18"/>
      <w:szCs w:val="18"/>
      <w:lang w:eastAsia="ja-JP"/>
    </w:rPr>
  </w:style>
  <w:style w:type="paragraph" w:styleId="Revision">
    <w:name w:val="Revision"/>
    <w:hidden/>
    <w:uiPriority w:val="99"/>
    <w:semiHidden/>
    <w:rsid w:val="00EE1089"/>
    <w:rPr>
      <w:sz w:val="24"/>
      <w:szCs w:val="24"/>
      <w:lang w:eastAsia="ja-JP"/>
    </w:rPr>
  </w:style>
  <w:style w:type="paragraph" w:styleId="TOCHeading">
    <w:name w:val="TOC Heading"/>
    <w:basedOn w:val="Heading1"/>
    <w:next w:val="Normal"/>
    <w:uiPriority w:val="39"/>
    <w:unhideWhenUsed/>
    <w:qFormat/>
    <w:rsid w:val="006F16D4"/>
    <w:pPr>
      <w:keepNext/>
      <w:keepLines/>
      <w:spacing w:before="240" w:beforeAutospacing="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3">
    <w:name w:val="toc 3"/>
    <w:basedOn w:val="Normal"/>
    <w:next w:val="Normal"/>
    <w:autoRedefine/>
    <w:uiPriority w:val="39"/>
    <w:unhideWhenUsed/>
    <w:rsid w:val="006F16D4"/>
    <w:pPr>
      <w:spacing w:after="100"/>
      <w:ind w:left="480"/>
    </w:pPr>
  </w:style>
  <w:style w:type="character" w:customStyle="1" w:styleId="FooterChar">
    <w:name w:val="Footer Char"/>
    <w:basedOn w:val="DefaultParagraphFont"/>
    <w:link w:val="Footer"/>
    <w:uiPriority w:val="99"/>
    <w:rsid w:val="0019728C"/>
    <w:rPr>
      <w:sz w:val="24"/>
      <w:szCs w:val="24"/>
      <w:lang w:eastAsia="ja-JP"/>
    </w:rPr>
  </w:style>
  <w:style w:type="paragraph" w:styleId="TableofFigures">
    <w:name w:val="table of figures"/>
    <w:basedOn w:val="Normal"/>
    <w:next w:val="Normal"/>
    <w:uiPriority w:val="99"/>
    <w:unhideWhenUsed/>
    <w:rsid w:val="007E779F"/>
  </w:style>
  <w:style w:type="numbering" w:customStyle="1" w:styleId="NoList1">
    <w:name w:val="No List1"/>
    <w:next w:val="NoList"/>
    <w:uiPriority w:val="99"/>
    <w:semiHidden/>
    <w:unhideWhenUsed/>
    <w:rsid w:val="004B664D"/>
  </w:style>
  <w:style w:type="paragraph" w:customStyle="1" w:styleId="ICRTOC">
    <w:name w:val="ICR TOC"/>
    <w:next w:val="Normal"/>
    <w:rsid w:val="00F96911"/>
    <w:pPr>
      <w:keepNext/>
    </w:pPr>
    <w:rPr>
      <w:rFonts w:eastAsia="Times New Roman"/>
      <w:b/>
      <w:bCs/>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18616">
      <w:bodyDiv w:val="1"/>
      <w:marLeft w:val="0"/>
      <w:marRight w:val="0"/>
      <w:marTop w:val="0"/>
      <w:marBottom w:val="0"/>
      <w:divBdr>
        <w:top w:val="none" w:sz="0" w:space="0" w:color="auto"/>
        <w:left w:val="none" w:sz="0" w:space="0" w:color="auto"/>
        <w:bottom w:val="none" w:sz="0" w:space="0" w:color="auto"/>
        <w:right w:val="none" w:sz="0" w:space="0" w:color="auto"/>
      </w:divBdr>
    </w:div>
    <w:div w:id="92098265">
      <w:bodyDiv w:val="1"/>
      <w:marLeft w:val="0"/>
      <w:marRight w:val="0"/>
      <w:marTop w:val="0"/>
      <w:marBottom w:val="0"/>
      <w:divBdr>
        <w:top w:val="none" w:sz="0" w:space="0" w:color="auto"/>
        <w:left w:val="none" w:sz="0" w:space="0" w:color="auto"/>
        <w:bottom w:val="none" w:sz="0" w:space="0" w:color="auto"/>
        <w:right w:val="none" w:sz="0" w:space="0" w:color="auto"/>
      </w:divBdr>
    </w:div>
    <w:div w:id="442307019">
      <w:bodyDiv w:val="1"/>
      <w:marLeft w:val="0"/>
      <w:marRight w:val="0"/>
      <w:marTop w:val="0"/>
      <w:marBottom w:val="0"/>
      <w:divBdr>
        <w:top w:val="none" w:sz="0" w:space="0" w:color="auto"/>
        <w:left w:val="none" w:sz="0" w:space="0" w:color="auto"/>
        <w:bottom w:val="none" w:sz="0" w:space="0" w:color="auto"/>
        <w:right w:val="none" w:sz="0" w:space="0" w:color="auto"/>
      </w:divBdr>
    </w:div>
    <w:div w:id="456682821">
      <w:bodyDiv w:val="1"/>
      <w:marLeft w:val="0"/>
      <w:marRight w:val="0"/>
      <w:marTop w:val="0"/>
      <w:marBottom w:val="0"/>
      <w:divBdr>
        <w:top w:val="none" w:sz="0" w:space="0" w:color="auto"/>
        <w:left w:val="none" w:sz="0" w:space="0" w:color="auto"/>
        <w:bottom w:val="none" w:sz="0" w:space="0" w:color="auto"/>
        <w:right w:val="none" w:sz="0" w:space="0" w:color="auto"/>
      </w:divBdr>
    </w:div>
    <w:div w:id="521089792">
      <w:bodyDiv w:val="1"/>
      <w:marLeft w:val="0"/>
      <w:marRight w:val="0"/>
      <w:marTop w:val="0"/>
      <w:marBottom w:val="0"/>
      <w:divBdr>
        <w:top w:val="none" w:sz="0" w:space="0" w:color="auto"/>
        <w:left w:val="none" w:sz="0" w:space="0" w:color="auto"/>
        <w:bottom w:val="none" w:sz="0" w:space="0" w:color="auto"/>
        <w:right w:val="none" w:sz="0" w:space="0" w:color="auto"/>
      </w:divBdr>
    </w:div>
    <w:div w:id="694501665">
      <w:marLeft w:val="0"/>
      <w:marRight w:val="0"/>
      <w:marTop w:val="0"/>
      <w:marBottom w:val="0"/>
      <w:divBdr>
        <w:top w:val="none" w:sz="0" w:space="0" w:color="auto"/>
        <w:left w:val="none" w:sz="0" w:space="0" w:color="auto"/>
        <w:bottom w:val="none" w:sz="0" w:space="0" w:color="auto"/>
        <w:right w:val="none" w:sz="0" w:space="0" w:color="auto"/>
      </w:divBdr>
    </w:div>
    <w:div w:id="738553075">
      <w:marLeft w:val="0"/>
      <w:marRight w:val="0"/>
      <w:marTop w:val="0"/>
      <w:marBottom w:val="0"/>
      <w:divBdr>
        <w:top w:val="none" w:sz="0" w:space="0" w:color="auto"/>
        <w:left w:val="none" w:sz="0" w:space="0" w:color="auto"/>
        <w:bottom w:val="none" w:sz="0" w:space="0" w:color="auto"/>
        <w:right w:val="none" w:sz="0" w:space="0" w:color="auto"/>
      </w:divBdr>
      <w:divsChild>
        <w:div w:id="1525092435">
          <w:marLeft w:val="0"/>
          <w:marRight w:val="0"/>
          <w:marTop w:val="0"/>
          <w:marBottom w:val="0"/>
          <w:divBdr>
            <w:top w:val="none" w:sz="0" w:space="0" w:color="auto"/>
            <w:left w:val="none" w:sz="0" w:space="0" w:color="auto"/>
            <w:bottom w:val="none" w:sz="0" w:space="0" w:color="auto"/>
            <w:right w:val="none" w:sz="0" w:space="0" w:color="auto"/>
          </w:divBdr>
        </w:div>
      </w:divsChild>
    </w:div>
    <w:div w:id="822895657">
      <w:marLeft w:val="0"/>
      <w:marRight w:val="0"/>
      <w:marTop w:val="0"/>
      <w:marBottom w:val="0"/>
      <w:divBdr>
        <w:top w:val="none" w:sz="0" w:space="0" w:color="auto"/>
        <w:left w:val="none" w:sz="0" w:space="0" w:color="auto"/>
        <w:bottom w:val="none" w:sz="0" w:space="0" w:color="auto"/>
        <w:right w:val="none" w:sz="0" w:space="0" w:color="auto"/>
      </w:divBdr>
    </w:div>
    <w:div w:id="915286551">
      <w:bodyDiv w:val="1"/>
      <w:marLeft w:val="0"/>
      <w:marRight w:val="0"/>
      <w:marTop w:val="0"/>
      <w:marBottom w:val="0"/>
      <w:divBdr>
        <w:top w:val="none" w:sz="0" w:space="0" w:color="auto"/>
        <w:left w:val="none" w:sz="0" w:space="0" w:color="auto"/>
        <w:bottom w:val="none" w:sz="0" w:space="0" w:color="auto"/>
        <w:right w:val="none" w:sz="0" w:space="0" w:color="auto"/>
      </w:divBdr>
    </w:div>
    <w:div w:id="996230213">
      <w:bodyDiv w:val="1"/>
      <w:marLeft w:val="0"/>
      <w:marRight w:val="0"/>
      <w:marTop w:val="0"/>
      <w:marBottom w:val="0"/>
      <w:divBdr>
        <w:top w:val="none" w:sz="0" w:space="0" w:color="auto"/>
        <w:left w:val="none" w:sz="0" w:space="0" w:color="auto"/>
        <w:bottom w:val="none" w:sz="0" w:space="0" w:color="auto"/>
        <w:right w:val="none" w:sz="0" w:space="0" w:color="auto"/>
      </w:divBdr>
    </w:div>
    <w:div w:id="1110976344">
      <w:bodyDiv w:val="1"/>
      <w:marLeft w:val="0"/>
      <w:marRight w:val="0"/>
      <w:marTop w:val="0"/>
      <w:marBottom w:val="0"/>
      <w:divBdr>
        <w:top w:val="none" w:sz="0" w:space="0" w:color="auto"/>
        <w:left w:val="none" w:sz="0" w:space="0" w:color="auto"/>
        <w:bottom w:val="none" w:sz="0" w:space="0" w:color="auto"/>
        <w:right w:val="none" w:sz="0" w:space="0" w:color="auto"/>
      </w:divBdr>
    </w:div>
    <w:div w:id="1183713594">
      <w:bodyDiv w:val="1"/>
      <w:marLeft w:val="0"/>
      <w:marRight w:val="0"/>
      <w:marTop w:val="0"/>
      <w:marBottom w:val="0"/>
      <w:divBdr>
        <w:top w:val="none" w:sz="0" w:space="0" w:color="auto"/>
        <w:left w:val="none" w:sz="0" w:space="0" w:color="auto"/>
        <w:bottom w:val="none" w:sz="0" w:space="0" w:color="auto"/>
        <w:right w:val="none" w:sz="0" w:space="0" w:color="auto"/>
      </w:divBdr>
    </w:div>
    <w:div w:id="118767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227278">
      <w:bodyDiv w:val="1"/>
      <w:marLeft w:val="0"/>
      <w:marRight w:val="360"/>
      <w:marTop w:val="0"/>
      <w:marBottom w:val="0"/>
      <w:divBdr>
        <w:top w:val="none" w:sz="0" w:space="0" w:color="auto"/>
        <w:left w:val="none" w:sz="0" w:space="0" w:color="auto"/>
        <w:bottom w:val="none" w:sz="0" w:space="0" w:color="auto"/>
        <w:right w:val="none" w:sz="0" w:space="0" w:color="auto"/>
      </w:divBdr>
      <w:divsChild>
        <w:div w:id="736636366">
          <w:marLeft w:val="240"/>
          <w:marRight w:val="240"/>
          <w:marTop w:val="0"/>
          <w:marBottom w:val="0"/>
          <w:divBdr>
            <w:top w:val="none" w:sz="0" w:space="0" w:color="auto"/>
            <w:left w:val="none" w:sz="0" w:space="0" w:color="auto"/>
            <w:bottom w:val="none" w:sz="0" w:space="0" w:color="auto"/>
            <w:right w:val="none" w:sz="0" w:space="0" w:color="auto"/>
          </w:divBdr>
          <w:divsChild>
            <w:div w:id="17633035">
              <w:marLeft w:val="0"/>
              <w:marRight w:val="0"/>
              <w:marTop w:val="0"/>
              <w:marBottom w:val="0"/>
              <w:divBdr>
                <w:top w:val="none" w:sz="0" w:space="0" w:color="auto"/>
                <w:left w:val="none" w:sz="0" w:space="0" w:color="auto"/>
                <w:bottom w:val="none" w:sz="0" w:space="0" w:color="auto"/>
                <w:right w:val="none" w:sz="0" w:space="0" w:color="auto"/>
              </w:divBdr>
              <w:divsChild>
                <w:div w:id="1907106405">
                  <w:marLeft w:val="240"/>
                  <w:marRight w:val="240"/>
                  <w:marTop w:val="0"/>
                  <w:marBottom w:val="0"/>
                  <w:divBdr>
                    <w:top w:val="none" w:sz="0" w:space="0" w:color="auto"/>
                    <w:left w:val="none" w:sz="0" w:space="0" w:color="auto"/>
                    <w:bottom w:val="none" w:sz="0" w:space="0" w:color="auto"/>
                    <w:right w:val="none" w:sz="0" w:space="0" w:color="auto"/>
                  </w:divBdr>
                  <w:divsChild>
                    <w:div w:id="1815175578">
                      <w:marLeft w:val="0"/>
                      <w:marRight w:val="0"/>
                      <w:marTop w:val="0"/>
                      <w:marBottom w:val="0"/>
                      <w:divBdr>
                        <w:top w:val="none" w:sz="0" w:space="0" w:color="auto"/>
                        <w:left w:val="none" w:sz="0" w:space="0" w:color="auto"/>
                        <w:bottom w:val="none" w:sz="0" w:space="0" w:color="auto"/>
                        <w:right w:val="none" w:sz="0" w:space="0" w:color="auto"/>
                      </w:divBdr>
                      <w:divsChild>
                        <w:div w:id="2023511209">
                          <w:marLeft w:val="240"/>
                          <w:marRight w:val="240"/>
                          <w:marTop w:val="0"/>
                          <w:marBottom w:val="0"/>
                          <w:divBdr>
                            <w:top w:val="none" w:sz="0" w:space="0" w:color="auto"/>
                            <w:left w:val="none" w:sz="0" w:space="0" w:color="auto"/>
                            <w:bottom w:val="none" w:sz="0" w:space="0" w:color="auto"/>
                            <w:right w:val="none" w:sz="0" w:space="0" w:color="auto"/>
                          </w:divBdr>
                          <w:divsChild>
                            <w:div w:id="1010448364">
                              <w:marLeft w:val="0"/>
                              <w:marRight w:val="0"/>
                              <w:marTop w:val="0"/>
                              <w:marBottom w:val="0"/>
                              <w:divBdr>
                                <w:top w:val="none" w:sz="0" w:space="0" w:color="auto"/>
                                <w:left w:val="none" w:sz="0" w:space="0" w:color="auto"/>
                                <w:bottom w:val="none" w:sz="0" w:space="0" w:color="auto"/>
                                <w:right w:val="none" w:sz="0" w:space="0" w:color="auto"/>
                              </w:divBdr>
                              <w:divsChild>
                                <w:div w:id="1932080140">
                                  <w:marLeft w:val="240"/>
                                  <w:marRight w:val="240"/>
                                  <w:marTop w:val="0"/>
                                  <w:marBottom w:val="0"/>
                                  <w:divBdr>
                                    <w:top w:val="none" w:sz="0" w:space="0" w:color="auto"/>
                                    <w:left w:val="none" w:sz="0" w:space="0" w:color="auto"/>
                                    <w:bottom w:val="none" w:sz="0" w:space="0" w:color="auto"/>
                                    <w:right w:val="none" w:sz="0" w:space="0" w:color="auto"/>
                                  </w:divBdr>
                                  <w:divsChild>
                                    <w:div w:id="1181044314">
                                      <w:marLeft w:val="0"/>
                                      <w:marRight w:val="0"/>
                                      <w:marTop w:val="0"/>
                                      <w:marBottom w:val="0"/>
                                      <w:divBdr>
                                        <w:top w:val="none" w:sz="0" w:space="0" w:color="auto"/>
                                        <w:left w:val="none" w:sz="0" w:space="0" w:color="auto"/>
                                        <w:bottom w:val="none" w:sz="0" w:space="0" w:color="auto"/>
                                        <w:right w:val="none" w:sz="0" w:space="0" w:color="auto"/>
                                      </w:divBdr>
                                      <w:divsChild>
                                        <w:div w:id="1852790632">
                                          <w:marLeft w:val="240"/>
                                          <w:marRight w:val="240"/>
                                          <w:marTop w:val="0"/>
                                          <w:marBottom w:val="0"/>
                                          <w:divBdr>
                                            <w:top w:val="none" w:sz="0" w:space="0" w:color="auto"/>
                                            <w:left w:val="none" w:sz="0" w:space="0" w:color="auto"/>
                                            <w:bottom w:val="none" w:sz="0" w:space="0" w:color="auto"/>
                                            <w:right w:val="none" w:sz="0" w:space="0" w:color="auto"/>
                                          </w:divBdr>
                                          <w:divsChild>
                                            <w:div w:id="1777675730">
                                              <w:marLeft w:val="0"/>
                                              <w:marRight w:val="0"/>
                                              <w:marTop w:val="0"/>
                                              <w:marBottom w:val="0"/>
                                              <w:divBdr>
                                                <w:top w:val="none" w:sz="0" w:space="0" w:color="auto"/>
                                                <w:left w:val="none" w:sz="0" w:space="0" w:color="auto"/>
                                                <w:bottom w:val="none" w:sz="0" w:space="0" w:color="auto"/>
                                                <w:right w:val="none" w:sz="0" w:space="0" w:color="auto"/>
                                              </w:divBdr>
                                              <w:divsChild>
                                                <w:div w:id="15818625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528356">
      <w:bodyDiv w:val="1"/>
      <w:marLeft w:val="0"/>
      <w:marRight w:val="0"/>
      <w:marTop w:val="0"/>
      <w:marBottom w:val="0"/>
      <w:divBdr>
        <w:top w:val="none" w:sz="0" w:space="0" w:color="auto"/>
        <w:left w:val="none" w:sz="0" w:space="0" w:color="auto"/>
        <w:bottom w:val="none" w:sz="0" w:space="0" w:color="auto"/>
        <w:right w:val="none" w:sz="0" w:space="0" w:color="auto"/>
      </w:divBdr>
    </w:div>
    <w:div w:id="1819179179">
      <w:bodyDiv w:val="1"/>
      <w:marLeft w:val="0"/>
      <w:marRight w:val="0"/>
      <w:marTop w:val="0"/>
      <w:marBottom w:val="0"/>
      <w:divBdr>
        <w:top w:val="none" w:sz="0" w:space="0" w:color="auto"/>
        <w:left w:val="none" w:sz="0" w:space="0" w:color="auto"/>
        <w:bottom w:val="none" w:sz="0" w:space="0" w:color="auto"/>
        <w:right w:val="none" w:sz="0" w:space="0" w:color="auto"/>
      </w:divBdr>
    </w:div>
    <w:div w:id="19409885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BT_ICR_MAIN_DOC\P088816302134ICR%20-%20Sample%20Main%20WORD%20file%20for%20IL%20%20Jan%202007.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b478841\Box%20Sync\ICR%20Mongolia%20--non%20partage\drafts\Impact%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wb478841\Box%20Sync\ICR%20Mongolia%20--non%20partage\EFA\Last%20email%20from%20Aidan\Herd%20Model_applied%20to%20bumbugur_07_22%20.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b478841\Box%20Sync\ICR%20Mongolia%20--non%20partage\EFA\Last%20email%20from%20Aidan\Herd%20Model_applied%20to%20bumbugur_07_22%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440921\Box%20Sync\AIDP\2016%20Mongolia\2016_01%20ICR\Capital%20Calcs\Capital%20Calcs%20for%20Ag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Insurance Premiums</c:v>
                </c:pt>
              </c:strCache>
            </c:strRef>
          </c:tx>
          <c:spPr>
            <a:solidFill>
              <a:schemeClr val="accent1"/>
            </a:solidFill>
            <a:ln>
              <a:noFill/>
            </a:ln>
            <a:effectLst/>
          </c:spPr>
          <c:invertIfNegative val="0"/>
          <c:cat>
            <c:numRef>
              <c:f>Sheet1!$C$3:$L$3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Sheet1!$C$4:$L$4</c:f>
              <c:numCache>
                <c:formatCode>#,##0</c:formatCode>
                <c:ptCount val="10"/>
                <c:pt idx="0">
                  <c:v>108</c:v>
                </c:pt>
                <c:pt idx="1">
                  <c:v>163</c:v>
                </c:pt>
                <c:pt idx="2">
                  <c:v>176</c:v>
                </c:pt>
                <c:pt idx="3">
                  <c:v>282</c:v>
                </c:pt>
                <c:pt idx="4">
                  <c:v>623</c:v>
                </c:pt>
                <c:pt idx="5">
                  <c:v>847</c:v>
                </c:pt>
                <c:pt idx="6">
                  <c:v>1497</c:v>
                </c:pt>
                <c:pt idx="7">
                  <c:v>1799</c:v>
                </c:pt>
                <c:pt idx="8">
                  <c:v>1374</c:v>
                </c:pt>
                <c:pt idx="9">
                  <c:v>1318</c:v>
                </c:pt>
              </c:numCache>
            </c:numRef>
          </c:val>
        </c:ser>
        <c:ser>
          <c:idx val="1"/>
          <c:order val="1"/>
          <c:tx>
            <c:strRef>
              <c:f>Sheet1!$B$7</c:f>
              <c:strCache>
                <c:ptCount val="1"/>
                <c:pt idx="0">
                  <c:v>Indemnity Payments</c:v>
                </c:pt>
              </c:strCache>
            </c:strRef>
          </c:tx>
          <c:spPr>
            <a:solidFill>
              <a:schemeClr val="accent2"/>
            </a:solidFill>
            <a:ln>
              <a:noFill/>
            </a:ln>
            <a:effectLst/>
          </c:spPr>
          <c:invertIfNegative val="0"/>
          <c:cat>
            <c:numRef>
              <c:f>Sheet1!$C$3:$L$3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Sheet1!$C$5:$L$5</c:f>
              <c:numCache>
                <c:formatCode>General</c:formatCode>
                <c:ptCount val="10"/>
              </c:numCache>
            </c:numRef>
          </c:val>
        </c:ser>
        <c:dLbls>
          <c:showLegendKey val="0"/>
          <c:showVal val="0"/>
          <c:showCatName val="0"/>
          <c:showSerName val="0"/>
          <c:showPercent val="0"/>
          <c:showBubbleSize val="0"/>
        </c:dLbls>
        <c:gapWidth val="150"/>
        <c:axId val="4816600"/>
        <c:axId val="4816992"/>
      </c:barChart>
      <c:lineChart>
        <c:grouping val="standard"/>
        <c:varyColors val="0"/>
        <c:ser>
          <c:idx val="2"/>
          <c:order val="2"/>
          <c:tx>
            <c:strRef>
              <c:f>Sheet1!$B$6</c:f>
              <c:strCache>
                <c:ptCount val="1"/>
                <c:pt idx="0">
                  <c:v>Loss ratio</c:v>
                </c:pt>
              </c:strCache>
            </c:strRef>
          </c:tx>
          <c:spPr>
            <a:ln w="28575" cap="rnd">
              <a:solidFill>
                <a:schemeClr val="accent3"/>
              </a:solidFill>
              <a:round/>
            </a:ln>
            <a:effectLst/>
          </c:spPr>
          <c:marker>
            <c:symbol val="none"/>
          </c:marker>
          <c:cat>
            <c:numRef>
              <c:f>Sheet1!$C$3:$L$3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Sheet1!$C$6:$L$6</c:f>
              <c:numCache>
                <c:formatCode>0%</c:formatCode>
                <c:ptCount val="10"/>
                <c:pt idx="0">
                  <c:v>1.0185185185185186E-2</c:v>
                </c:pt>
                <c:pt idx="1">
                  <c:v>2.3251533742331287</c:v>
                </c:pt>
                <c:pt idx="2">
                  <c:v>2.2159090909090908</c:v>
                </c:pt>
                <c:pt idx="3">
                  <c:v>6.5921985815602833</c:v>
                </c:pt>
                <c:pt idx="4">
                  <c:v>0.17335473515248795</c:v>
                </c:pt>
                <c:pt idx="5">
                  <c:v>0.13223140495867769</c:v>
                </c:pt>
                <c:pt idx="6">
                  <c:v>0.18637274549098196</c:v>
                </c:pt>
                <c:pt idx="7">
                  <c:v>2.2790439132851583E-2</c:v>
                </c:pt>
                <c:pt idx="8">
                  <c:v>4.5851528384279479E-2</c:v>
                </c:pt>
              </c:numCache>
            </c:numRef>
          </c:val>
          <c:smooth val="0"/>
        </c:ser>
        <c:dLbls>
          <c:showLegendKey val="0"/>
          <c:showVal val="0"/>
          <c:showCatName val="0"/>
          <c:showSerName val="0"/>
          <c:showPercent val="0"/>
          <c:showBubbleSize val="0"/>
        </c:dLbls>
        <c:marker val="1"/>
        <c:smooth val="0"/>
        <c:axId val="4817776"/>
        <c:axId val="4817384"/>
      </c:lineChart>
      <c:catAx>
        <c:axId val="4816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6992"/>
        <c:crosses val="autoZero"/>
        <c:auto val="1"/>
        <c:lblAlgn val="ctr"/>
        <c:lblOffset val="100"/>
        <c:noMultiLvlLbl val="0"/>
      </c:catAx>
      <c:valAx>
        <c:axId val="481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Insurance Premiums</a:t>
                </a:r>
              </a:p>
              <a:p>
                <a:pPr>
                  <a:defRPr/>
                </a:pPr>
                <a:r>
                  <a:rPr lang="en-US"/>
                  <a:t>Tugriks</a:t>
                </a:r>
                <a:r>
                  <a:rPr lang="en-US" baseline="0"/>
                  <a:t> - Millions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6600"/>
        <c:crosses val="autoZero"/>
        <c:crossBetween val="between"/>
      </c:valAx>
      <c:valAx>
        <c:axId val="48173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Ratio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7776"/>
        <c:crosses val="max"/>
        <c:crossBetween val="between"/>
      </c:valAx>
      <c:catAx>
        <c:axId val="4817776"/>
        <c:scaling>
          <c:orientation val="minMax"/>
        </c:scaling>
        <c:delete val="1"/>
        <c:axPos val="b"/>
        <c:numFmt formatCode="General" sourceLinked="1"/>
        <c:majorTickMark val="out"/>
        <c:minorTickMark val="none"/>
        <c:tickLblPos val="nextTo"/>
        <c:crossAx val="4817384"/>
        <c:crosses val="autoZero"/>
        <c:auto val="1"/>
        <c:lblAlgn val="ctr"/>
        <c:lblOffset val="100"/>
        <c:noMultiLvlLbl val="0"/>
      </c:cat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32229493748238"/>
          <c:y val="7.2590852541862094E-2"/>
          <c:w val="0.79792628055960302"/>
          <c:h val="0.72493273473298681"/>
        </c:manualLayout>
      </c:layout>
      <c:barChart>
        <c:barDir val="col"/>
        <c:grouping val="clustered"/>
        <c:varyColors val="0"/>
        <c:ser>
          <c:idx val="1"/>
          <c:order val="0"/>
          <c:tx>
            <c:strRef>
              <c:f>Sheet1!$C$10</c:f>
              <c:strCache>
                <c:ptCount val="1"/>
                <c:pt idx="0">
                  <c:v>Purchased insurance in 2009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Sheet1!$E$9:$H$9</c:f>
              <c:numCache>
                <c:formatCode>General</c:formatCode>
                <c:ptCount val="4"/>
                <c:pt idx="0">
                  <c:v>2011</c:v>
                </c:pt>
                <c:pt idx="1">
                  <c:v>2012</c:v>
                </c:pt>
                <c:pt idx="2">
                  <c:v>2013</c:v>
                </c:pt>
                <c:pt idx="3">
                  <c:v>2014</c:v>
                </c:pt>
              </c:numCache>
            </c:numRef>
          </c:cat>
          <c:val>
            <c:numRef>
              <c:f>Sheet1!$E$10:$H$10</c:f>
              <c:numCache>
                <c:formatCode>0</c:formatCode>
                <c:ptCount val="4"/>
                <c:pt idx="0">
                  <c:v>137.01804297566184</c:v>
                </c:pt>
                <c:pt idx="1">
                  <c:v>142.15492815945882</c:v>
                </c:pt>
                <c:pt idx="2">
                  <c:v>161.73606371399478</c:v>
                </c:pt>
                <c:pt idx="3">
                  <c:v>179.2270886980919</c:v>
                </c:pt>
              </c:numCache>
            </c:numRef>
          </c:val>
        </c:ser>
        <c:ser>
          <c:idx val="2"/>
          <c:order val="1"/>
          <c:tx>
            <c:strRef>
              <c:f>Sheet1!$C$11</c:f>
              <c:strCache>
                <c:ptCount val="1"/>
                <c:pt idx="0">
                  <c:v>Did not purchase insurance in 2009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Sheet1!$E$9:$H$9</c:f>
              <c:numCache>
                <c:formatCode>General</c:formatCode>
                <c:ptCount val="4"/>
                <c:pt idx="0">
                  <c:v>2011</c:v>
                </c:pt>
                <c:pt idx="1">
                  <c:v>2012</c:v>
                </c:pt>
                <c:pt idx="2">
                  <c:v>2013</c:v>
                </c:pt>
                <c:pt idx="3">
                  <c:v>2014</c:v>
                </c:pt>
              </c:numCache>
            </c:numRef>
          </c:cat>
          <c:val>
            <c:numRef>
              <c:f>Sheet1!$E$11:$H$11</c:f>
              <c:numCache>
                <c:formatCode>0</c:formatCode>
                <c:ptCount val="4"/>
                <c:pt idx="0">
                  <c:v>115.23805128314704</c:v>
                </c:pt>
                <c:pt idx="1">
                  <c:v>114.54869311801677</c:v>
                </c:pt>
                <c:pt idx="2">
                  <c:v>139.91008971798857</c:v>
                </c:pt>
                <c:pt idx="3">
                  <c:v>161.90342249150126</c:v>
                </c:pt>
              </c:numCache>
            </c:numRef>
          </c:val>
        </c:ser>
        <c:dLbls>
          <c:dLblPos val="outEnd"/>
          <c:showLegendKey val="0"/>
          <c:showVal val="1"/>
          <c:showCatName val="0"/>
          <c:showSerName val="0"/>
          <c:showPercent val="0"/>
          <c:showBubbleSize val="0"/>
        </c:dLbls>
        <c:gapWidth val="219"/>
        <c:axId val="4818560"/>
        <c:axId val="4818952"/>
      </c:barChart>
      <c:catAx>
        <c:axId val="48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8952"/>
        <c:crosses val="autoZero"/>
        <c:auto val="1"/>
        <c:lblAlgn val="ctr"/>
        <c:lblOffset val="100"/>
        <c:noMultiLvlLbl val="0"/>
      </c:catAx>
      <c:valAx>
        <c:axId val="4818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Number of livestock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GRAPHS!$M$7:$M$8</c:f>
              <c:strCache>
                <c:ptCount val="2"/>
                <c:pt idx="0">
                  <c:v>Without</c:v>
                </c:pt>
                <c:pt idx="1">
                  <c:v>Project</c:v>
                </c:pt>
              </c:strCache>
            </c:strRef>
          </c:tx>
          <c:spPr>
            <a:ln w="28575" cap="rnd">
              <a:solidFill>
                <a:schemeClr val="accent1"/>
              </a:solidFill>
              <a:round/>
            </a:ln>
            <a:effectLst/>
          </c:spPr>
          <c:marker>
            <c:symbol val="none"/>
          </c:marker>
          <c:cat>
            <c:numRef>
              <c:f>GRAPHS!$A$10:$A$20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GRAPHS!$E$10:$E$20</c:f>
              <c:numCache>
                <c:formatCode>0</c:formatCode>
                <c:ptCount val="11"/>
                <c:pt idx="0">
                  <c:v>18972.668267965393</c:v>
                </c:pt>
                <c:pt idx="1">
                  <c:v>17717.459842803783</c:v>
                </c:pt>
                <c:pt idx="2">
                  <c:v>20134.864545002914</c:v>
                </c:pt>
                <c:pt idx="3">
                  <c:v>26562.687731143145</c:v>
                </c:pt>
                <c:pt idx="4">
                  <c:v>35755.261019800033</c:v>
                </c:pt>
                <c:pt idx="5">
                  <c:v>46257.960855099911</c:v>
                </c:pt>
                <c:pt idx="6">
                  <c:v>33439.876606726655</c:v>
                </c:pt>
                <c:pt idx="7">
                  <c:v>26450.954593243794</c:v>
                </c:pt>
                <c:pt idx="8">
                  <c:v>25271.192767073306</c:v>
                </c:pt>
                <c:pt idx="9">
                  <c:v>22141.32543058971</c:v>
                </c:pt>
                <c:pt idx="10">
                  <c:v>20922.991813537148</c:v>
                </c:pt>
              </c:numCache>
            </c:numRef>
          </c:val>
          <c:smooth val="0"/>
        </c:ser>
        <c:ser>
          <c:idx val="1"/>
          <c:order val="1"/>
          <c:tx>
            <c:strRef>
              <c:f>GRAPHS!$F$7:$F$8</c:f>
              <c:strCache>
                <c:ptCount val="2"/>
                <c:pt idx="0">
                  <c:v>With</c:v>
                </c:pt>
                <c:pt idx="1">
                  <c:v>Project</c:v>
                </c:pt>
              </c:strCache>
            </c:strRef>
          </c:tx>
          <c:spPr>
            <a:ln w="28575" cap="rnd">
              <a:solidFill>
                <a:schemeClr val="accent2"/>
              </a:solidFill>
              <a:round/>
            </a:ln>
            <a:effectLst/>
          </c:spPr>
          <c:marker>
            <c:symbol val="none"/>
          </c:marker>
          <c:cat>
            <c:numRef>
              <c:f>GRAPHS!$A$10:$A$20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GRAPHS!$F$10:$F$20</c:f>
              <c:numCache>
                <c:formatCode>0</c:formatCode>
                <c:ptCount val="11"/>
                <c:pt idx="0">
                  <c:v>18661.578853373438</c:v>
                </c:pt>
                <c:pt idx="1">
                  <c:v>18672.197560647684</c:v>
                </c:pt>
                <c:pt idx="2">
                  <c:v>21586.70358494671</c:v>
                </c:pt>
                <c:pt idx="3">
                  <c:v>27466.592435228613</c:v>
                </c:pt>
                <c:pt idx="4">
                  <c:v>36161.480812332105</c:v>
                </c:pt>
                <c:pt idx="5">
                  <c:v>49466.538540047331</c:v>
                </c:pt>
                <c:pt idx="6">
                  <c:v>35629.437297863587</c:v>
                </c:pt>
                <c:pt idx="7">
                  <c:v>27536.15998797883</c:v>
                </c:pt>
                <c:pt idx="8">
                  <c:v>28237.720855162617</c:v>
                </c:pt>
                <c:pt idx="9">
                  <c:v>24628.422521823228</c:v>
                </c:pt>
                <c:pt idx="10">
                  <c:v>23406.633928594314</c:v>
                </c:pt>
              </c:numCache>
            </c:numRef>
          </c:val>
          <c:smooth val="0"/>
        </c:ser>
        <c:dLbls>
          <c:showLegendKey val="0"/>
          <c:showVal val="0"/>
          <c:showCatName val="0"/>
          <c:showSerName val="0"/>
          <c:showPercent val="0"/>
          <c:showBubbleSize val="0"/>
        </c:dLbls>
        <c:marker val="1"/>
        <c:smooth val="0"/>
        <c:axId val="277775856"/>
        <c:axId val="277776248"/>
      </c:lineChart>
      <c:lineChart>
        <c:grouping val="standard"/>
        <c:varyColors val="0"/>
        <c:ser>
          <c:idx val="2"/>
          <c:order val="2"/>
          <c:tx>
            <c:strRef>
              <c:f>GRAPHS!$H$29</c:f>
              <c:strCache>
                <c:ptCount val="1"/>
                <c:pt idx="0">
                  <c:v>Average mortality rate</c:v>
                </c:pt>
              </c:strCache>
            </c:strRef>
          </c:tx>
          <c:spPr>
            <a:ln w="28575" cap="rnd">
              <a:solidFill>
                <a:schemeClr val="accent3"/>
              </a:solidFill>
              <a:round/>
            </a:ln>
            <a:effectLst/>
          </c:spPr>
          <c:marker>
            <c:symbol val="none"/>
          </c:marker>
          <c:cat>
            <c:numRef>
              <c:f>GRAPHS!$A$30:$A$40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GRAPHS!$H$30:$H$40</c:f>
              <c:numCache>
                <c:formatCode>0.0%</c:formatCode>
                <c:ptCount val="11"/>
                <c:pt idx="0">
                  <c:v>8.5860997514998448E-3</c:v>
                </c:pt>
                <c:pt idx="1">
                  <c:v>1.547041108735776E-2</c:v>
                </c:pt>
                <c:pt idx="2">
                  <c:v>2.2488077518426092E-2</c:v>
                </c:pt>
                <c:pt idx="3">
                  <c:v>1.8430851981011208E-2</c:v>
                </c:pt>
                <c:pt idx="4">
                  <c:v>0.1754610836376552</c:v>
                </c:pt>
                <c:pt idx="5">
                  <c:v>0.30520327289161109</c:v>
                </c:pt>
                <c:pt idx="6">
                  <c:v>2.235800874520532E-2</c:v>
                </c:pt>
                <c:pt idx="7">
                  <c:v>8.1142543658966643E-2</c:v>
                </c:pt>
                <c:pt idx="8">
                  <c:v>8.1142543658966643E-2</c:v>
                </c:pt>
                <c:pt idx="9">
                  <c:v>8.1142543658966643E-2</c:v>
                </c:pt>
                <c:pt idx="10">
                  <c:v>8.1142543658966643E-2</c:v>
                </c:pt>
              </c:numCache>
            </c:numRef>
          </c:val>
          <c:smooth val="0"/>
        </c:ser>
        <c:dLbls>
          <c:showLegendKey val="0"/>
          <c:showVal val="0"/>
          <c:showCatName val="0"/>
          <c:showSerName val="0"/>
          <c:showPercent val="0"/>
          <c:showBubbleSize val="0"/>
        </c:dLbls>
        <c:marker val="1"/>
        <c:smooth val="0"/>
        <c:axId val="277777032"/>
        <c:axId val="277776640"/>
      </c:lineChart>
      <c:catAx>
        <c:axId val="27777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76248"/>
        <c:crosses val="autoZero"/>
        <c:auto val="1"/>
        <c:lblAlgn val="ctr"/>
        <c:lblOffset val="100"/>
        <c:noMultiLvlLbl val="0"/>
      </c:catAx>
      <c:valAx>
        <c:axId val="277776248"/>
        <c:scaling>
          <c:orientation val="minMax"/>
          <c:max val="50000"/>
          <c:min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Net revenue ( 1000 Tg, 2015 constant price</a:t>
                </a:r>
                <a:r>
                  <a:rPr lang="fr-FR" baseline="0"/>
                  <a:t>)</a:t>
                </a:r>
                <a:endParaRPr lang="fr-F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75856"/>
        <c:crosses val="autoZero"/>
        <c:crossBetween val="between"/>
      </c:valAx>
      <c:valAx>
        <c:axId val="2777766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Average mortality rate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77032"/>
        <c:crosses val="max"/>
        <c:crossBetween val="between"/>
      </c:valAx>
      <c:catAx>
        <c:axId val="277777032"/>
        <c:scaling>
          <c:orientation val="minMax"/>
        </c:scaling>
        <c:delete val="1"/>
        <c:axPos val="b"/>
        <c:numFmt formatCode="General" sourceLinked="1"/>
        <c:majorTickMark val="out"/>
        <c:minorTickMark val="none"/>
        <c:tickLblPos val="nextTo"/>
        <c:crossAx val="2777766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GRAPHS!$M$7:$M$8</c:f>
              <c:strCache>
                <c:ptCount val="2"/>
                <c:pt idx="0">
                  <c:v>Without</c:v>
                </c:pt>
                <c:pt idx="1">
                  <c:v>Project</c:v>
                </c:pt>
              </c:strCache>
            </c:strRef>
          </c:tx>
          <c:spPr>
            <a:solidFill>
              <a:schemeClr val="accent1"/>
            </a:solidFill>
            <a:ln>
              <a:noFill/>
            </a:ln>
            <a:effectLst/>
          </c:spPr>
          <c:invertIfNegative val="0"/>
          <c:cat>
            <c:numRef>
              <c:f>GRAPHS!$A$10:$A$20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GRAPHS!$M$10:$M$20</c:f>
              <c:numCache>
                <c:formatCode>0</c:formatCode>
                <c:ptCount val="11"/>
                <c:pt idx="0">
                  <c:v>383.70903769913923</c:v>
                </c:pt>
                <c:pt idx="1">
                  <c:v>397.17321768780869</c:v>
                </c:pt>
                <c:pt idx="2">
                  <c:v>412.92673705552147</c:v>
                </c:pt>
                <c:pt idx="3">
                  <c:v>430.4394867055139</c:v>
                </c:pt>
                <c:pt idx="4">
                  <c:v>424.40798011795277</c:v>
                </c:pt>
                <c:pt idx="5">
                  <c:v>354.70877566126444</c:v>
                </c:pt>
                <c:pt idx="6">
                  <c:v>382.14109548043808</c:v>
                </c:pt>
                <c:pt idx="7">
                  <c:v>389.88030900225027</c:v>
                </c:pt>
                <c:pt idx="8">
                  <c:v>398.96078303582448</c:v>
                </c:pt>
                <c:pt idx="9">
                  <c:v>409.66865218349852</c:v>
                </c:pt>
                <c:pt idx="10">
                  <c:v>422.35405293410736</c:v>
                </c:pt>
              </c:numCache>
            </c:numRef>
          </c:val>
        </c:ser>
        <c:ser>
          <c:idx val="1"/>
          <c:order val="1"/>
          <c:tx>
            <c:strRef>
              <c:f>GRAPHS!$N$7:$N$8</c:f>
              <c:strCache>
                <c:ptCount val="2"/>
                <c:pt idx="0">
                  <c:v>With</c:v>
                </c:pt>
                <c:pt idx="1">
                  <c:v>Project</c:v>
                </c:pt>
              </c:strCache>
            </c:strRef>
          </c:tx>
          <c:spPr>
            <a:solidFill>
              <a:schemeClr val="accent2"/>
            </a:solidFill>
            <a:ln>
              <a:noFill/>
            </a:ln>
            <a:effectLst/>
          </c:spPr>
          <c:invertIfNegative val="0"/>
          <c:cat>
            <c:numRef>
              <c:f>GRAPHS!$A$10:$A$20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GRAPHS!$N$10:$N$20</c:f>
              <c:numCache>
                <c:formatCode>0</c:formatCode>
                <c:ptCount val="11"/>
                <c:pt idx="0">
                  <c:v>386.98644811263568</c:v>
                </c:pt>
                <c:pt idx="1">
                  <c:v>413.10219102916244</c:v>
                </c:pt>
                <c:pt idx="2">
                  <c:v>419.7368853173499</c:v>
                </c:pt>
                <c:pt idx="3">
                  <c:v>426.12055873183385</c:v>
                </c:pt>
                <c:pt idx="4">
                  <c:v>423.74966122183628</c:v>
                </c:pt>
                <c:pt idx="5">
                  <c:v>380.76590991661959</c:v>
                </c:pt>
                <c:pt idx="6">
                  <c:v>397.31325194790412</c:v>
                </c:pt>
                <c:pt idx="7">
                  <c:v>411.46763061269297</c:v>
                </c:pt>
                <c:pt idx="8">
                  <c:v>419.57453676774128</c:v>
                </c:pt>
                <c:pt idx="9">
                  <c:v>429.46768523336755</c:v>
                </c:pt>
                <c:pt idx="10">
                  <c:v>441.5333272651792</c:v>
                </c:pt>
              </c:numCache>
            </c:numRef>
          </c:val>
        </c:ser>
        <c:dLbls>
          <c:showLegendKey val="0"/>
          <c:showVal val="0"/>
          <c:showCatName val="0"/>
          <c:showSerName val="0"/>
          <c:showPercent val="0"/>
          <c:showBubbleSize val="0"/>
        </c:dLbls>
        <c:gapWidth val="219"/>
        <c:overlap val="-27"/>
        <c:axId val="277777816"/>
        <c:axId val="277778208"/>
      </c:barChart>
      <c:lineChart>
        <c:grouping val="standard"/>
        <c:varyColors val="0"/>
        <c:ser>
          <c:idx val="2"/>
          <c:order val="2"/>
          <c:tx>
            <c:strRef>
              <c:f>GRAPHS!$H$29</c:f>
              <c:strCache>
                <c:ptCount val="1"/>
                <c:pt idx="0">
                  <c:v>Average mortality rate</c:v>
                </c:pt>
              </c:strCache>
            </c:strRef>
          </c:tx>
          <c:spPr>
            <a:ln w="28575" cap="rnd">
              <a:solidFill>
                <a:schemeClr val="accent3"/>
              </a:solidFill>
              <a:round/>
            </a:ln>
            <a:effectLst/>
          </c:spPr>
          <c:marker>
            <c:symbol val="none"/>
          </c:marker>
          <c:cat>
            <c:numRef>
              <c:f>GRAPHS!$A$30:$A$40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GRAPHS!$H$30:$H$40</c:f>
              <c:numCache>
                <c:formatCode>0.0%</c:formatCode>
                <c:ptCount val="11"/>
                <c:pt idx="0">
                  <c:v>8.5860997514998448E-3</c:v>
                </c:pt>
                <c:pt idx="1">
                  <c:v>1.547041108735776E-2</c:v>
                </c:pt>
                <c:pt idx="2">
                  <c:v>2.2488077518426092E-2</c:v>
                </c:pt>
                <c:pt idx="3">
                  <c:v>1.8430851981011208E-2</c:v>
                </c:pt>
                <c:pt idx="4">
                  <c:v>0.1754610836376552</c:v>
                </c:pt>
                <c:pt idx="5">
                  <c:v>0.30520327289161109</c:v>
                </c:pt>
                <c:pt idx="6">
                  <c:v>2.235800874520532E-2</c:v>
                </c:pt>
                <c:pt idx="7">
                  <c:v>8.1142543658966643E-2</c:v>
                </c:pt>
                <c:pt idx="8">
                  <c:v>8.1142543658966643E-2</c:v>
                </c:pt>
                <c:pt idx="9">
                  <c:v>8.1142543658966643E-2</c:v>
                </c:pt>
                <c:pt idx="10">
                  <c:v>8.1142543658966643E-2</c:v>
                </c:pt>
              </c:numCache>
            </c:numRef>
          </c:val>
          <c:smooth val="0"/>
        </c:ser>
        <c:dLbls>
          <c:showLegendKey val="0"/>
          <c:showVal val="0"/>
          <c:showCatName val="0"/>
          <c:showSerName val="0"/>
          <c:showPercent val="0"/>
          <c:showBubbleSize val="0"/>
        </c:dLbls>
        <c:marker val="1"/>
        <c:smooth val="0"/>
        <c:axId val="277778992"/>
        <c:axId val="277778600"/>
      </c:lineChart>
      <c:catAx>
        <c:axId val="27777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78208"/>
        <c:crosses val="autoZero"/>
        <c:auto val="1"/>
        <c:lblAlgn val="ctr"/>
        <c:lblOffset val="100"/>
        <c:noMultiLvlLbl val="0"/>
      </c:catAx>
      <c:valAx>
        <c:axId val="277778208"/>
        <c:scaling>
          <c:orientation val="minMax"/>
          <c:max val="450"/>
          <c:min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Livestocj numbers (Sheep</a:t>
                </a:r>
                <a:r>
                  <a:rPr lang="fr-FR" baseline="0"/>
                  <a:t> Units)</a:t>
                </a:r>
                <a:endParaRPr lang="fr-F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77816"/>
        <c:crosses val="autoZero"/>
        <c:crossBetween val="between"/>
      </c:valAx>
      <c:valAx>
        <c:axId val="2777786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Average mortality rate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78992"/>
        <c:crosses val="max"/>
        <c:crossBetween val="between"/>
      </c:valAx>
      <c:catAx>
        <c:axId val="277778992"/>
        <c:scaling>
          <c:orientation val="minMax"/>
        </c:scaling>
        <c:delete val="1"/>
        <c:axPos val="b"/>
        <c:numFmt formatCode="General" sourceLinked="1"/>
        <c:majorTickMark val="out"/>
        <c:minorTickMark val="none"/>
        <c:tickLblPos val="nextTo"/>
        <c:crossAx val="2777786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Capital and Reserves over a five year projection</a:t>
            </a:r>
          </a:p>
        </c:rich>
      </c:tx>
      <c:layout/>
      <c:overlay val="1"/>
    </c:title>
    <c:autoTitleDeleted val="0"/>
    <c:plotArea>
      <c:layout>
        <c:manualLayout>
          <c:layoutTarget val="inner"/>
          <c:xMode val="edge"/>
          <c:yMode val="edge"/>
          <c:x val="0.26382407407407404"/>
          <c:y val="0.1468340889207031"/>
          <c:w val="0.69603000000000004"/>
          <c:h val="0.73198321800684008"/>
        </c:manualLayout>
      </c:layout>
      <c:areaChart>
        <c:grouping val="standard"/>
        <c:varyColors val="0"/>
        <c:ser>
          <c:idx val="20"/>
          <c:order val="0"/>
          <c:tx>
            <c:strRef>
              <c:f>Chts_FanCharts!$Z$32</c:f>
              <c:strCache>
                <c:ptCount val="1"/>
                <c:pt idx="0">
                  <c:v>99th</c:v>
                </c:pt>
              </c:strCache>
            </c:strRef>
          </c:tx>
          <c:spPr>
            <a:solidFill>
              <a:srgbClr val="FFE6E6"/>
            </a:solidFill>
          </c:spPr>
          <c:cat>
            <c:numRef>
              <c:f>Chts_FanCharts!$D$33:$D$38</c:f>
              <c:numCache>
                <c:formatCode>General</c:formatCode>
                <c:ptCount val="6"/>
                <c:pt idx="0">
                  <c:v>0</c:v>
                </c:pt>
                <c:pt idx="1">
                  <c:v>1</c:v>
                </c:pt>
                <c:pt idx="2">
                  <c:v>2</c:v>
                </c:pt>
                <c:pt idx="3">
                  <c:v>3</c:v>
                </c:pt>
                <c:pt idx="4">
                  <c:v>4</c:v>
                </c:pt>
                <c:pt idx="5">
                  <c:v>5</c:v>
                </c:pt>
              </c:numCache>
            </c:numRef>
          </c:cat>
          <c:val>
            <c:numRef>
              <c:f>Chts_FanCharts!$Z$33:$Z$38</c:f>
              <c:numCache>
                <c:formatCode>_-* #,##0_-;\-* #,##0_-;_-* "-"??_-;_-@_-</c:formatCode>
                <c:ptCount val="6"/>
                <c:pt idx="0">
                  <c:v>20000000000</c:v>
                </c:pt>
                <c:pt idx="1">
                  <c:v>21667787468.81242</c:v>
                </c:pt>
                <c:pt idx="2">
                  <c:v>23547938171.009136</c:v>
                </c:pt>
                <c:pt idx="3">
                  <c:v>25630124423.628613</c:v>
                </c:pt>
                <c:pt idx="4">
                  <c:v>27997422236.438343</c:v>
                </c:pt>
                <c:pt idx="5">
                  <c:v>30645610757.304745</c:v>
                </c:pt>
              </c:numCache>
            </c:numRef>
          </c:val>
        </c:ser>
        <c:ser>
          <c:idx val="19"/>
          <c:order val="1"/>
          <c:tx>
            <c:strRef>
              <c:f>Chts_FanCharts!$Y$32</c:f>
              <c:strCache>
                <c:ptCount val="1"/>
                <c:pt idx="0">
                  <c:v>95th</c:v>
                </c:pt>
              </c:strCache>
            </c:strRef>
          </c:tx>
          <c:spPr>
            <a:solidFill>
              <a:srgbClr val="FFD7D7"/>
            </a:solidFill>
          </c:spPr>
          <c:cat>
            <c:numRef>
              <c:f>Chts_FanCharts!$D$33:$D$38</c:f>
              <c:numCache>
                <c:formatCode>General</c:formatCode>
                <c:ptCount val="6"/>
                <c:pt idx="0">
                  <c:v>0</c:v>
                </c:pt>
                <c:pt idx="1">
                  <c:v>1</c:v>
                </c:pt>
                <c:pt idx="2">
                  <c:v>2</c:v>
                </c:pt>
                <c:pt idx="3">
                  <c:v>3</c:v>
                </c:pt>
                <c:pt idx="4">
                  <c:v>4</c:v>
                </c:pt>
                <c:pt idx="5">
                  <c:v>5</c:v>
                </c:pt>
              </c:numCache>
            </c:numRef>
          </c:cat>
          <c:val>
            <c:numRef>
              <c:f>Chts_FanCharts!$Y$33:$Y$38</c:f>
              <c:numCache>
                <c:formatCode>_-* #,##0_-;\-* #,##0_-;_-* "-"??_-;_-@_-</c:formatCode>
                <c:ptCount val="6"/>
                <c:pt idx="0">
                  <c:v>20000000000</c:v>
                </c:pt>
                <c:pt idx="1">
                  <c:v>21659709899.63607</c:v>
                </c:pt>
                <c:pt idx="2">
                  <c:v>23506762875.530861</c:v>
                </c:pt>
                <c:pt idx="3">
                  <c:v>25544262372.978737</c:v>
                </c:pt>
                <c:pt idx="4">
                  <c:v>27841811277.96909</c:v>
                </c:pt>
                <c:pt idx="5">
                  <c:v>30408916668.558701</c:v>
                </c:pt>
              </c:numCache>
            </c:numRef>
          </c:val>
        </c:ser>
        <c:ser>
          <c:idx val="18"/>
          <c:order val="2"/>
          <c:tx>
            <c:strRef>
              <c:f>Chts_FanCharts!$X$32</c:f>
              <c:strCache>
                <c:ptCount val="1"/>
                <c:pt idx="0">
                  <c:v>90th percentile</c:v>
                </c:pt>
              </c:strCache>
            </c:strRef>
          </c:tx>
          <c:spPr>
            <a:solidFill>
              <a:srgbClr val="FFC8C8"/>
            </a:solidFill>
          </c:spPr>
          <c:cat>
            <c:numRef>
              <c:f>Chts_FanCharts!$D$33:$D$38</c:f>
              <c:numCache>
                <c:formatCode>General</c:formatCode>
                <c:ptCount val="6"/>
                <c:pt idx="0">
                  <c:v>0</c:v>
                </c:pt>
                <c:pt idx="1">
                  <c:v>1</c:v>
                </c:pt>
                <c:pt idx="2">
                  <c:v>2</c:v>
                </c:pt>
                <c:pt idx="3">
                  <c:v>3</c:v>
                </c:pt>
                <c:pt idx="4">
                  <c:v>4</c:v>
                </c:pt>
                <c:pt idx="5">
                  <c:v>5</c:v>
                </c:pt>
              </c:numCache>
            </c:numRef>
          </c:cat>
          <c:val>
            <c:numRef>
              <c:f>Chts_FanCharts!$X$33:$X$38</c:f>
              <c:numCache>
                <c:formatCode>_-* #,##0_-;\-* #,##0_-;_-* "-"??_-;_-@_-</c:formatCode>
                <c:ptCount val="6"/>
                <c:pt idx="0">
                  <c:v>20000000000</c:v>
                </c:pt>
                <c:pt idx="1">
                  <c:v>21648757350.165493</c:v>
                </c:pt>
                <c:pt idx="2">
                  <c:v>23466291149.080395</c:v>
                </c:pt>
                <c:pt idx="3">
                  <c:v>25449484362.714745</c:v>
                </c:pt>
                <c:pt idx="4">
                  <c:v>27683501389.764305</c:v>
                </c:pt>
                <c:pt idx="5">
                  <c:v>30187773510.817562</c:v>
                </c:pt>
              </c:numCache>
            </c:numRef>
          </c:val>
        </c:ser>
        <c:ser>
          <c:idx val="17"/>
          <c:order val="3"/>
          <c:tx>
            <c:strRef>
              <c:f>Chts_FanCharts!$W$32</c:f>
              <c:strCache>
                <c:ptCount val="1"/>
                <c:pt idx="0">
                  <c:v>85th</c:v>
                </c:pt>
              </c:strCache>
            </c:strRef>
          </c:tx>
          <c:spPr>
            <a:solidFill>
              <a:srgbClr val="FFB9B9"/>
            </a:solidFill>
          </c:spPr>
          <c:cat>
            <c:numRef>
              <c:f>Chts_FanCharts!$D$33:$D$38</c:f>
              <c:numCache>
                <c:formatCode>General</c:formatCode>
                <c:ptCount val="6"/>
                <c:pt idx="0">
                  <c:v>0</c:v>
                </c:pt>
                <c:pt idx="1">
                  <c:v>1</c:v>
                </c:pt>
                <c:pt idx="2">
                  <c:v>2</c:v>
                </c:pt>
                <c:pt idx="3">
                  <c:v>3</c:v>
                </c:pt>
                <c:pt idx="4">
                  <c:v>4</c:v>
                </c:pt>
                <c:pt idx="5">
                  <c:v>5</c:v>
                </c:pt>
              </c:numCache>
            </c:numRef>
          </c:cat>
          <c:val>
            <c:numRef>
              <c:f>Chts_FanCharts!$W$33:$W$38</c:f>
              <c:numCache>
                <c:formatCode>_-* #,##0_-;\-* #,##0_-;_-* "-"??_-;_-@_-</c:formatCode>
                <c:ptCount val="6"/>
                <c:pt idx="0">
                  <c:v>20000000000</c:v>
                </c:pt>
                <c:pt idx="1">
                  <c:v>21636800910.718456</c:v>
                </c:pt>
                <c:pt idx="2">
                  <c:v>23418748134.745956</c:v>
                </c:pt>
                <c:pt idx="3">
                  <c:v>25359429226.65089</c:v>
                </c:pt>
                <c:pt idx="4">
                  <c:v>27537488631.045147</c:v>
                </c:pt>
                <c:pt idx="5">
                  <c:v>29977561569.176838</c:v>
                </c:pt>
              </c:numCache>
            </c:numRef>
          </c:val>
        </c:ser>
        <c:ser>
          <c:idx val="16"/>
          <c:order val="4"/>
          <c:tx>
            <c:strRef>
              <c:f>Chts_FanCharts!$V$32</c:f>
              <c:strCache>
                <c:ptCount val="1"/>
                <c:pt idx="0">
                  <c:v>80th percentile</c:v>
                </c:pt>
              </c:strCache>
            </c:strRef>
          </c:tx>
          <c:spPr>
            <a:solidFill>
              <a:srgbClr val="FFA0A0"/>
            </a:solidFill>
          </c:spPr>
          <c:cat>
            <c:numRef>
              <c:f>Chts_FanCharts!$D$33:$D$38</c:f>
              <c:numCache>
                <c:formatCode>General</c:formatCode>
                <c:ptCount val="6"/>
                <c:pt idx="0">
                  <c:v>0</c:v>
                </c:pt>
                <c:pt idx="1">
                  <c:v>1</c:v>
                </c:pt>
                <c:pt idx="2">
                  <c:v>2</c:v>
                </c:pt>
                <c:pt idx="3">
                  <c:v>3</c:v>
                </c:pt>
                <c:pt idx="4">
                  <c:v>4</c:v>
                </c:pt>
                <c:pt idx="5">
                  <c:v>5</c:v>
                </c:pt>
              </c:numCache>
            </c:numRef>
          </c:cat>
          <c:val>
            <c:numRef>
              <c:f>Chts_FanCharts!$V$33:$V$38</c:f>
              <c:numCache>
                <c:formatCode>_-* #,##0_-;\-* #,##0_-;_-* "-"??_-;_-@_-</c:formatCode>
                <c:ptCount val="6"/>
                <c:pt idx="0">
                  <c:v>20000000000</c:v>
                </c:pt>
                <c:pt idx="1">
                  <c:v>21622897751.063572</c:v>
                </c:pt>
                <c:pt idx="2">
                  <c:v>23369651378.625103</c:v>
                </c:pt>
                <c:pt idx="3">
                  <c:v>25265764976.710842</c:v>
                </c:pt>
                <c:pt idx="4">
                  <c:v>27389276733.772865</c:v>
                </c:pt>
                <c:pt idx="5">
                  <c:v>29739541546.595444</c:v>
                </c:pt>
              </c:numCache>
            </c:numRef>
          </c:val>
        </c:ser>
        <c:ser>
          <c:idx val="15"/>
          <c:order val="5"/>
          <c:tx>
            <c:strRef>
              <c:f>Chts_FanCharts!$U$32</c:f>
              <c:strCache>
                <c:ptCount val="1"/>
                <c:pt idx="0">
                  <c:v>75th</c:v>
                </c:pt>
              </c:strCache>
            </c:strRef>
          </c:tx>
          <c:spPr>
            <a:solidFill>
              <a:srgbClr val="FF9191"/>
            </a:solidFill>
          </c:spPr>
          <c:cat>
            <c:numRef>
              <c:f>Chts_FanCharts!$D$33:$D$38</c:f>
              <c:numCache>
                <c:formatCode>General</c:formatCode>
                <c:ptCount val="6"/>
                <c:pt idx="0">
                  <c:v>0</c:v>
                </c:pt>
                <c:pt idx="1">
                  <c:v>1</c:v>
                </c:pt>
                <c:pt idx="2">
                  <c:v>2</c:v>
                </c:pt>
                <c:pt idx="3">
                  <c:v>3</c:v>
                </c:pt>
                <c:pt idx="4">
                  <c:v>4</c:v>
                </c:pt>
                <c:pt idx="5">
                  <c:v>5</c:v>
                </c:pt>
              </c:numCache>
            </c:numRef>
          </c:cat>
          <c:val>
            <c:numRef>
              <c:f>Chts_FanCharts!$U$33:$U$38</c:f>
              <c:numCache>
                <c:formatCode>_-* #,##0_-;\-* #,##0_-;_-* "-"??_-;_-@_-</c:formatCode>
                <c:ptCount val="6"/>
                <c:pt idx="0">
                  <c:v>20000000000</c:v>
                </c:pt>
                <c:pt idx="1">
                  <c:v>21607326769.285717</c:v>
                </c:pt>
                <c:pt idx="2">
                  <c:v>23312817148.329956</c:v>
                </c:pt>
                <c:pt idx="3">
                  <c:v>25161035038.173405</c:v>
                </c:pt>
                <c:pt idx="4">
                  <c:v>27225128005.682777</c:v>
                </c:pt>
                <c:pt idx="5">
                  <c:v>29489786583.690346</c:v>
                </c:pt>
              </c:numCache>
            </c:numRef>
          </c:val>
        </c:ser>
        <c:ser>
          <c:idx val="14"/>
          <c:order val="6"/>
          <c:tx>
            <c:strRef>
              <c:f>Chts_FanCharts!$T$32</c:f>
              <c:strCache>
                <c:ptCount val="1"/>
                <c:pt idx="0">
                  <c:v>70th</c:v>
                </c:pt>
              </c:strCache>
            </c:strRef>
          </c:tx>
          <c:spPr>
            <a:solidFill>
              <a:srgbClr val="FF8282"/>
            </a:solidFill>
          </c:spPr>
          <c:cat>
            <c:numRef>
              <c:f>Chts_FanCharts!$D$33:$D$38</c:f>
              <c:numCache>
                <c:formatCode>General</c:formatCode>
                <c:ptCount val="6"/>
                <c:pt idx="0">
                  <c:v>0</c:v>
                </c:pt>
                <c:pt idx="1">
                  <c:v>1</c:v>
                </c:pt>
                <c:pt idx="2">
                  <c:v>2</c:v>
                </c:pt>
                <c:pt idx="3">
                  <c:v>3</c:v>
                </c:pt>
                <c:pt idx="4">
                  <c:v>4</c:v>
                </c:pt>
                <c:pt idx="5">
                  <c:v>5</c:v>
                </c:pt>
              </c:numCache>
            </c:numRef>
          </c:cat>
          <c:val>
            <c:numRef>
              <c:f>Chts_FanCharts!$T$33:$T$38</c:f>
              <c:numCache>
                <c:formatCode>_-* #,##0_-;\-* #,##0_-;_-* "-"??_-;_-@_-</c:formatCode>
                <c:ptCount val="6"/>
                <c:pt idx="0">
                  <c:v>20000000000</c:v>
                </c:pt>
                <c:pt idx="1">
                  <c:v>21588790017.277206</c:v>
                </c:pt>
                <c:pt idx="2">
                  <c:v>23249288153.282379</c:v>
                </c:pt>
                <c:pt idx="3">
                  <c:v>25050520619.050671</c:v>
                </c:pt>
                <c:pt idx="4">
                  <c:v>27034035738.488682</c:v>
                </c:pt>
                <c:pt idx="5">
                  <c:v>29275636450.494541</c:v>
                </c:pt>
              </c:numCache>
            </c:numRef>
          </c:val>
        </c:ser>
        <c:ser>
          <c:idx val="13"/>
          <c:order val="7"/>
          <c:tx>
            <c:strRef>
              <c:f>Chts_FanCharts!$S$32</c:f>
              <c:strCache>
                <c:ptCount val="1"/>
                <c:pt idx="0">
                  <c:v>65th</c:v>
                </c:pt>
              </c:strCache>
            </c:strRef>
          </c:tx>
          <c:spPr>
            <a:solidFill>
              <a:srgbClr val="FF7373"/>
            </a:solidFill>
          </c:spPr>
          <c:cat>
            <c:numRef>
              <c:f>Chts_FanCharts!$D$33:$D$38</c:f>
              <c:numCache>
                <c:formatCode>General</c:formatCode>
                <c:ptCount val="6"/>
                <c:pt idx="0">
                  <c:v>0</c:v>
                </c:pt>
                <c:pt idx="1">
                  <c:v>1</c:v>
                </c:pt>
                <c:pt idx="2">
                  <c:v>2</c:v>
                </c:pt>
                <c:pt idx="3">
                  <c:v>3</c:v>
                </c:pt>
                <c:pt idx="4">
                  <c:v>4</c:v>
                </c:pt>
                <c:pt idx="5">
                  <c:v>5</c:v>
                </c:pt>
              </c:numCache>
            </c:numRef>
          </c:cat>
          <c:val>
            <c:numRef>
              <c:f>Chts_FanCharts!$S$33:$S$38</c:f>
              <c:numCache>
                <c:formatCode>_-* #,##0_-;\-* #,##0_-;_-* "-"??_-;_-@_-</c:formatCode>
                <c:ptCount val="6"/>
                <c:pt idx="0">
                  <c:v>20000000000</c:v>
                </c:pt>
                <c:pt idx="1">
                  <c:v>21566177901.480808</c:v>
                </c:pt>
                <c:pt idx="2">
                  <c:v>23180011588.247501</c:v>
                </c:pt>
                <c:pt idx="3">
                  <c:v>24920127361.148842</c:v>
                </c:pt>
                <c:pt idx="4">
                  <c:v>26864949922.806309</c:v>
                </c:pt>
                <c:pt idx="5">
                  <c:v>29070121739.323105</c:v>
                </c:pt>
              </c:numCache>
            </c:numRef>
          </c:val>
        </c:ser>
        <c:ser>
          <c:idx val="12"/>
          <c:order val="8"/>
          <c:tx>
            <c:strRef>
              <c:f>Chts_FanCharts!$R$32</c:f>
              <c:strCache>
                <c:ptCount val="1"/>
                <c:pt idx="0">
                  <c:v>60th percentile</c:v>
                </c:pt>
              </c:strCache>
            </c:strRef>
          </c:tx>
          <c:spPr>
            <a:solidFill>
              <a:srgbClr val="FF6464"/>
            </a:solidFill>
          </c:spPr>
          <c:cat>
            <c:numRef>
              <c:f>Chts_FanCharts!$D$33:$D$38</c:f>
              <c:numCache>
                <c:formatCode>General</c:formatCode>
                <c:ptCount val="6"/>
                <c:pt idx="0">
                  <c:v>0</c:v>
                </c:pt>
                <c:pt idx="1">
                  <c:v>1</c:v>
                </c:pt>
                <c:pt idx="2">
                  <c:v>2</c:v>
                </c:pt>
                <c:pt idx="3">
                  <c:v>3</c:v>
                </c:pt>
                <c:pt idx="4">
                  <c:v>4</c:v>
                </c:pt>
                <c:pt idx="5">
                  <c:v>5</c:v>
                </c:pt>
              </c:numCache>
            </c:numRef>
          </c:cat>
          <c:val>
            <c:numRef>
              <c:f>Chts_FanCharts!$R$33:$R$38</c:f>
              <c:numCache>
                <c:formatCode>_-* #,##0_-;\-* #,##0_-;_-* "-"??_-;_-@_-</c:formatCode>
                <c:ptCount val="6"/>
                <c:pt idx="0">
                  <c:v>20000000000</c:v>
                </c:pt>
                <c:pt idx="1">
                  <c:v>21537653403.96875</c:v>
                </c:pt>
                <c:pt idx="2">
                  <c:v>23102557439.172562</c:v>
                </c:pt>
                <c:pt idx="3">
                  <c:v>24767200183.735077</c:v>
                </c:pt>
                <c:pt idx="4">
                  <c:v>26705006036.571098</c:v>
                </c:pt>
                <c:pt idx="5">
                  <c:v>28872834942.819046</c:v>
                </c:pt>
              </c:numCache>
            </c:numRef>
          </c:val>
        </c:ser>
        <c:ser>
          <c:idx val="11"/>
          <c:order val="9"/>
          <c:tx>
            <c:strRef>
              <c:f>Chts_FanCharts!$Q$32</c:f>
              <c:strCache>
                <c:ptCount val="1"/>
                <c:pt idx="0">
                  <c:v>55th</c:v>
                </c:pt>
              </c:strCache>
            </c:strRef>
          </c:tx>
          <c:spPr>
            <a:solidFill>
              <a:srgbClr val="FF3232"/>
            </a:solidFill>
          </c:spPr>
          <c:cat>
            <c:numRef>
              <c:f>Chts_FanCharts!$D$33:$D$38</c:f>
              <c:numCache>
                <c:formatCode>General</c:formatCode>
                <c:ptCount val="6"/>
                <c:pt idx="0">
                  <c:v>0</c:v>
                </c:pt>
                <c:pt idx="1">
                  <c:v>1</c:v>
                </c:pt>
                <c:pt idx="2">
                  <c:v>2</c:v>
                </c:pt>
                <c:pt idx="3">
                  <c:v>3</c:v>
                </c:pt>
                <c:pt idx="4">
                  <c:v>4</c:v>
                </c:pt>
                <c:pt idx="5">
                  <c:v>5</c:v>
                </c:pt>
              </c:numCache>
            </c:numRef>
          </c:cat>
          <c:val>
            <c:numRef>
              <c:f>Chts_FanCharts!$Q$33:$Q$38</c:f>
              <c:numCache>
                <c:formatCode>_-* #,##0_-;\-* #,##0_-;_-* "-"??_-;_-@_-</c:formatCode>
                <c:ptCount val="6"/>
                <c:pt idx="0">
                  <c:v>20000000000</c:v>
                </c:pt>
                <c:pt idx="1">
                  <c:v>21503753202.130051</c:v>
                </c:pt>
                <c:pt idx="2">
                  <c:v>23012303775.034931</c:v>
                </c:pt>
                <c:pt idx="3">
                  <c:v>24626751991.118698</c:v>
                </c:pt>
                <c:pt idx="4">
                  <c:v>26547746985.163063</c:v>
                </c:pt>
                <c:pt idx="5">
                  <c:v>28660907116.84058</c:v>
                </c:pt>
              </c:numCache>
            </c:numRef>
          </c:val>
        </c:ser>
        <c:ser>
          <c:idx val="10"/>
          <c:order val="10"/>
          <c:tx>
            <c:strRef>
              <c:f>Chts_FanCharts!$P$32</c:f>
              <c:strCache>
                <c:ptCount val="1"/>
                <c:pt idx="0">
                  <c:v>50th percentile</c:v>
                </c:pt>
              </c:strCache>
            </c:strRef>
          </c:tx>
          <c:spPr>
            <a:solidFill>
              <a:srgbClr val="FF3232"/>
            </a:solidFill>
          </c:spPr>
          <c:cat>
            <c:numRef>
              <c:f>Chts_FanCharts!$D$33:$D$38</c:f>
              <c:numCache>
                <c:formatCode>General</c:formatCode>
                <c:ptCount val="6"/>
                <c:pt idx="0">
                  <c:v>0</c:v>
                </c:pt>
                <c:pt idx="1">
                  <c:v>1</c:v>
                </c:pt>
                <c:pt idx="2">
                  <c:v>2</c:v>
                </c:pt>
                <c:pt idx="3">
                  <c:v>3</c:v>
                </c:pt>
                <c:pt idx="4">
                  <c:v>4</c:v>
                </c:pt>
                <c:pt idx="5">
                  <c:v>5</c:v>
                </c:pt>
              </c:numCache>
            </c:numRef>
          </c:cat>
          <c:val>
            <c:numRef>
              <c:f>Chts_FanCharts!$P$33:$P$38</c:f>
              <c:numCache>
                <c:formatCode>_-* #,##0_-;\-* #,##0_-;_-* "-"??_-;_-@_-</c:formatCode>
                <c:ptCount val="6"/>
                <c:pt idx="0">
                  <c:v>20000000000</c:v>
                </c:pt>
                <c:pt idx="1">
                  <c:v>21464256679.858128</c:v>
                </c:pt>
                <c:pt idx="2">
                  <c:v>22907048038.661728</c:v>
                </c:pt>
                <c:pt idx="3">
                  <c:v>24498384705.429092</c:v>
                </c:pt>
                <c:pt idx="4">
                  <c:v>26379664665.647522</c:v>
                </c:pt>
                <c:pt idx="5">
                  <c:v>28419931770.714157</c:v>
                </c:pt>
              </c:numCache>
            </c:numRef>
          </c:val>
        </c:ser>
        <c:ser>
          <c:idx val="9"/>
          <c:order val="11"/>
          <c:tx>
            <c:strRef>
              <c:f>Chts_FanCharts!$O$32</c:f>
              <c:strCache>
                <c:ptCount val="1"/>
                <c:pt idx="0">
                  <c:v>45th</c:v>
                </c:pt>
              </c:strCache>
            </c:strRef>
          </c:tx>
          <c:spPr>
            <a:solidFill>
              <a:srgbClr val="FF6464"/>
            </a:solidFill>
          </c:spPr>
          <c:cat>
            <c:numRef>
              <c:f>Chts_FanCharts!$D$33:$D$38</c:f>
              <c:numCache>
                <c:formatCode>General</c:formatCode>
                <c:ptCount val="6"/>
                <c:pt idx="0">
                  <c:v>0</c:v>
                </c:pt>
                <c:pt idx="1">
                  <c:v>1</c:v>
                </c:pt>
                <c:pt idx="2">
                  <c:v>2</c:v>
                </c:pt>
                <c:pt idx="3">
                  <c:v>3</c:v>
                </c:pt>
                <c:pt idx="4">
                  <c:v>4</c:v>
                </c:pt>
                <c:pt idx="5">
                  <c:v>5</c:v>
                </c:pt>
              </c:numCache>
            </c:numRef>
          </c:cat>
          <c:val>
            <c:numRef>
              <c:f>Chts_FanCharts!$O$33:$O$38</c:f>
              <c:numCache>
                <c:formatCode>_-* #,##0_-;\-* #,##0_-;_-* "-"??_-;_-@_-</c:formatCode>
                <c:ptCount val="6"/>
                <c:pt idx="0">
                  <c:v>20000000000</c:v>
                </c:pt>
                <c:pt idx="1">
                  <c:v>21414696925.141407</c:v>
                </c:pt>
                <c:pt idx="2">
                  <c:v>22775688246.859249</c:v>
                </c:pt>
                <c:pt idx="3">
                  <c:v>24386399091.732273</c:v>
                </c:pt>
                <c:pt idx="4">
                  <c:v>26196071759.892586</c:v>
                </c:pt>
                <c:pt idx="5">
                  <c:v>28176207208.205288</c:v>
                </c:pt>
              </c:numCache>
            </c:numRef>
          </c:val>
        </c:ser>
        <c:ser>
          <c:idx val="8"/>
          <c:order val="12"/>
          <c:tx>
            <c:strRef>
              <c:f>Chts_FanCharts!$N$32</c:f>
              <c:strCache>
                <c:ptCount val="1"/>
                <c:pt idx="0">
                  <c:v>40th percentile</c:v>
                </c:pt>
              </c:strCache>
            </c:strRef>
          </c:tx>
          <c:spPr>
            <a:solidFill>
              <a:srgbClr val="FF7373"/>
            </a:solidFill>
          </c:spPr>
          <c:cat>
            <c:numRef>
              <c:f>Chts_FanCharts!$D$33:$D$38</c:f>
              <c:numCache>
                <c:formatCode>General</c:formatCode>
                <c:ptCount val="6"/>
                <c:pt idx="0">
                  <c:v>0</c:v>
                </c:pt>
                <c:pt idx="1">
                  <c:v>1</c:v>
                </c:pt>
                <c:pt idx="2">
                  <c:v>2</c:v>
                </c:pt>
                <c:pt idx="3">
                  <c:v>3</c:v>
                </c:pt>
                <c:pt idx="4">
                  <c:v>4</c:v>
                </c:pt>
                <c:pt idx="5">
                  <c:v>5</c:v>
                </c:pt>
              </c:numCache>
            </c:numRef>
          </c:cat>
          <c:val>
            <c:numRef>
              <c:f>Chts_FanCharts!$N$33:$N$38</c:f>
              <c:numCache>
                <c:formatCode>_-* #,##0_-;\-* #,##0_-;_-* "-"??_-;_-@_-</c:formatCode>
                <c:ptCount val="6"/>
                <c:pt idx="0">
                  <c:v>20000000000</c:v>
                </c:pt>
                <c:pt idx="1">
                  <c:v>21351473076.244831</c:v>
                </c:pt>
                <c:pt idx="2">
                  <c:v>22636113767.633675</c:v>
                </c:pt>
                <c:pt idx="3">
                  <c:v>24262139519.635715</c:v>
                </c:pt>
                <c:pt idx="4">
                  <c:v>25992471655.387936</c:v>
                </c:pt>
                <c:pt idx="5">
                  <c:v>27899706975.258839</c:v>
                </c:pt>
              </c:numCache>
            </c:numRef>
          </c:val>
        </c:ser>
        <c:ser>
          <c:idx val="7"/>
          <c:order val="13"/>
          <c:tx>
            <c:strRef>
              <c:f>Chts_FanCharts!$M$32</c:f>
              <c:strCache>
                <c:ptCount val="1"/>
                <c:pt idx="0">
                  <c:v>35th</c:v>
                </c:pt>
              </c:strCache>
            </c:strRef>
          </c:tx>
          <c:spPr>
            <a:solidFill>
              <a:srgbClr val="FF8282"/>
            </a:solidFill>
          </c:spPr>
          <c:cat>
            <c:numRef>
              <c:f>Chts_FanCharts!$D$33:$D$38</c:f>
              <c:numCache>
                <c:formatCode>General</c:formatCode>
                <c:ptCount val="6"/>
                <c:pt idx="0">
                  <c:v>0</c:v>
                </c:pt>
                <c:pt idx="1">
                  <c:v>1</c:v>
                </c:pt>
                <c:pt idx="2">
                  <c:v>2</c:v>
                </c:pt>
                <c:pt idx="3">
                  <c:v>3</c:v>
                </c:pt>
                <c:pt idx="4">
                  <c:v>4</c:v>
                </c:pt>
                <c:pt idx="5">
                  <c:v>5</c:v>
                </c:pt>
              </c:numCache>
            </c:numRef>
          </c:cat>
          <c:val>
            <c:numRef>
              <c:f>Chts_FanCharts!$M$33:$M$38</c:f>
              <c:numCache>
                <c:formatCode>_-* #,##0_-;\-* #,##0_-;_-* "-"??_-;_-@_-</c:formatCode>
                <c:ptCount val="6"/>
                <c:pt idx="0">
                  <c:v>20000000000</c:v>
                </c:pt>
                <c:pt idx="1">
                  <c:v>21276088098.142139</c:v>
                </c:pt>
                <c:pt idx="2">
                  <c:v>22548776259.975002</c:v>
                </c:pt>
                <c:pt idx="3">
                  <c:v>24110071129.726257</c:v>
                </c:pt>
                <c:pt idx="4">
                  <c:v>25753659114.713684</c:v>
                </c:pt>
                <c:pt idx="5">
                  <c:v>27605377828.022312</c:v>
                </c:pt>
              </c:numCache>
            </c:numRef>
          </c:val>
        </c:ser>
        <c:ser>
          <c:idx val="6"/>
          <c:order val="14"/>
          <c:tx>
            <c:strRef>
              <c:f>Chts_FanCharts!$L$32</c:f>
              <c:strCache>
                <c:ptCount val="1"/>
                <c:pt idx="0">
                  <c:v>30th</c:v>
                </c:pt>
              </c:strCache>
            </c:strRef>
          </c:tx>
          <c:spPr>
            <a:solidFill>
              <a:srgbClr val="FF9191"/>
            </a:solidFill>
          </c:spPr>
          <c:cat>
            <c:numRef>
              <c:f>Chts_FanCharts!$D$33:$D$38</c:f>
              <c:numCache>
                <c:formatCode>General</c:formatCode>
                <c:ptCount val="6"/>
                <c:pt idx="0">
                  <c:v>0</c:v>
                </c:pt>
                <c:pt idx="1">
                  <c:v>1</c:v>
                </c:pt>
                <c:pt idx="2">
                  <c:v>2</c:v>
                </c:pt>
                <c:pt idx="3">
                  <c:v>3</c:v>
                </c:pt>
                <c:pt idx="4">
                  <c:v>4</c:v>
                </c:pt>
                <c:pt idx="5">
                  <c:v>5</c:v>
                </c:pt>
              </c:numCache>
            </c:numRef>
          </c:cat>
          <c:val>
            <c:numRef>
              <c:f>Chts_FanCharts!$L$33:$L$38</c:f>
              <c:numCache>
                <c:formatCode>_-* #,##0_-;\-* #,##0_-;_-* "-"??_-;_-@_-</c:formatCode>
                <c:ptCount val="6"/>
                <c:pt idx="0">
                  <c:v>20000000000</c:v>
                </c:pt>
                <c:pt idx="1">
                  <c:v>21162540287.869686</c:v>
                </c:pt>
                <c:pt idx="2">
                  <c:v>22477488226.435402</c:v>
                </c:pt>
                <c:pt idx="3">
                  <c:v>23919286733.40958</c:v>
                </c:pt>
                <c:pt idx="4">
                  <c:v>25499189458.084557</c:v>
                </c:pt>
                <c:pt idx="5">
                  <c:v>27227760767.707695</c:v>
                </c:pt>
              </c:numCache>
            </c:numRef>
          </c:val>
        </c:ser>
        <c:ser>
          <c:idx val="5"/>
          <c:order val="15"/>
          <c:tx>
            <c:strRef>
              <c:f>Chts_FanCharts!$K$32</c:f>
              <c:strCache>
                <c:ptCount val="1"/>
                <c:pt idx="0">
                  <c:v>25th</c:v>
                </c:pt>
              </c:strCache>
            </c:strRef>
          </c:tx>
          <c:spPr>
            <a:solidFill>
              <a:srgbClr val="FFA0A0"/>
            </a:solidFill>
          </c:spPr>
          <c:cat>
            <c:numRef>
              <c:f>Chts_FanCharts!$D$33:$D$38</c:f>
              <c:numCache>
                <c:formatCode>General</c:formatCode>
                <c:ptCount val="6"/>
                <c:pt idx="0">
                  <c:v>0</c:v>
                </c:pt>
                <c:pt idx="1">
                  <c:v>1</c:v>
                </c:pt>
                <c:pt idx="2">
                  <c:v>2</c:v>
                </c:pt>
                <c:pt idx="3">
                  <c:v>3</c:v>
                </c:pt>
                <c:pt idx="4">
                  <c:v>4</c:v>
                </c:pt>
                <c:pt idx="5">
                  <c:v>5</c:v>
                </c:pt>
              </c:numCache>
            </c:numRef>
          </c:cat>
          <c:val>
            <c:numRef>
              <c:f>Chts_FanCharts!$K$33:$K$38</c:f>
              <c:numCache>
                <c:formatCode>_-* #,##0_-;\-* #,##0_-;_-* "-"??_-;_-@_-</c:formatCode>
                <c:ptCount val="6"/>
                <c:pt idx="0">
                  <c:v>20000000000</c:v>
                </c:pt>
                <c:pt idx="1">
                  <c:v>21017407488.632263</c:v>
                </c:pt>
                <c:pt idx="2">
                  <c:v>22370948700.683395</c:v>
                </c:pt>
                <c:pt idx="3">
                  <c:v>23664245442.383247</c:v>
                </c:pt>
                <c:pt idx="4">
                  <c:v>25183674691.437057</c:v>
                </c:pt>
                <c:pt idx="5">
                  <c:v>26749708189.744705</c:v>
                </c:pt>
              </c:numCache>
            </c:numRef>
          </c:val>
        </c:ser>
        <c:ser>
          <c:idx val="4"/>
          <c:order val="16"/>
          <c:tx>
            <c:strRef>
              <c:f>Chts_FanCharts!$J$32</c:f>
              <c:strCache>
                <c:ptCount val="1"/>
                <c:pt idx="0">
                  <c:v>20th percentile</c:v>
                </c:pt>
              </c:strCache>
            </c:strRef>
          </c:tx>
          <c:spPr>
            <a:solidFill>
              <a:srgbClr val="FFB9B9"/>
            </a:solidFill>
          </c:spPr>
          <c:cat>
            <c:numRef>
              <c:f>Chts_FanCharts!$D$33:$D$38</c:f>
              <c:numCache>
                <c:formatCode>General</c:formatCode>
                <c:ptCount val="6"/>
                <c:pt idx="0">
                  <c:v>0</c:v>
                </c:pt>
                <c:pt idx="1">
                  <c:v>1</c:v>
                </c:pt>
                <c:pt idx="2">
                  <c:v>2</c:v>
                </c:pt>
                <c:pt idx="3">
                  <c:v>3</c:v>
                </c:pt>
                <c:pt idx="4">
                  <c:v>4</c:v>
                </c:pt>
                <c:pt idx="5">
                  <c:v>5</c:v>
                </c:pt>
              </c:numCache>
            </c:numRef>
          </c:cat>
          <c:val>
            <c:numRef>
              <c:f>Chts_FanCharts!$J$33:$J$38</c:f>
              <c:numCache>
                <c:formatCode>_-* #,##0_-;\-* #,##0_-;_-* "-"??_-;_-@_-</c:formatCode>
                <c:ptCount val="6"/>
                <c:pt idx="0">
                  <c:v>20000000000</c:v>
                </c:pt>
                <c:pt idx="1">
                  <c:v>20797808666.881302</c:v>
                </c:pt>
                <c:pt idx="2">
                  <c:v>22204812240.377277</c:v>
                </c:pt>
                <c:pt idx="3">
                  <c:v>23421794850.266987</c:v>
                </c:pt>
                <c:pt idx="4">
                  <c:v>24726434934.049564</c:v>
                </c:pt>
                <c:pt idx="5">
                  <c:v>26080366986.056805</c:v>
                </c:pt>
              </c:numCache>
            </c:numRef>
          </c:val>
        </c:ser>
        <c:ser>
          <c:idx val="3"/>
          <c:order val="17"/>
          <c:tx>
            <c:strRef>
              <c:f>Chts_FanCharts!$I$32</c:f>
              <c:strCache>
                <c:ptCount val="1"/>
                <c:pt idx="0">
                  <c:v>15th</c:v>
                </c:pt>
              </c:strCache>
            </c:strRef>
          </c:tx>
          <c:spPr>
            <a:solidFill>
              <a:srgbClr val="FFC8C8"/>
            </a:solidFill>
          </c:spPr>
          <c:cat>
            <c:numRef>
              <c:f>Chts_FanCharts!$D$33:$D$38</c:f>
              <c:numCache>
                <c:formatCode>General</c:formatCode>
                <c:ptCount val="6"/>
                <c:pt idx="0">
                  <c:v>0</c:v>
                </c:pt>
                <c:pt idx="1">
                  <c:v>1</c:v>
                </c:pt>
                <c:pt idx="2">
                  <c:v>2</c:v>
                </c:pt>
                <c:pt idx="3">
                  <c:v>3</c:v>
                </c:pt>
                <c:pt idx="4">
                  <c:v>4</c:v>
                </c:pt>
                <c:pt idx="5">
                  <c:v>5</c:v>
                </c:pt>
              </c:numCache>
            </c:numRef>
          </c:cat>
          <c:val>
            <c:numRef>
              <c:f>Chts_FanCharts!$I$33:$I$38</c:f>
              <c:numCache>
                <c:formatCode>_-* #,##0_-;\-* #,##0_-;_-* "-"??_-;_-@_-</c:formatCode>
                <c:ptCount val="6"/>
                <c:pt idx="0">
                  <c:v>20000000000</c:v>
                </c:pt>
                <c:pt idx="1">
                  <c:v>20797808666.881302</c:v>
                </c:pt>
                <c:pt idx="2">
                  <c:v>21919519597.350765</c:v>
                </c:pt>
                <c:pt idx="3">
                  <c:v>22984180990.281555</c:v>
                </c:pt>
                <c:pt idx="4">
                  <c:v>23992370811.430946</c:v>
                </c:pt>
                <c:pt idx="5">
                  <c:v>24767224784.954544</c:v>
                </c:pt>
              </c:numCache>
            </c:numRef>
          </c:val>
        </c:ser>
        <c:ser>
          <c:idx val="2"/>
          <c:order val="18"/>
          <c:tx>
            <c:strRef>
              <c:f>Chts_FanCharts!$H$32</c:f>
              <c:strCache>
                <c:ptCount val="1"/>
                <c:pt idx="0">
                  <c:v>10th percentile</c:v>
                </c:pt>
              </c:strCache>
            </c:strRef>
          </c:tx>
          <c:spPr>
            <a:solidFill>
              <a:srgbClr val="FFD7D7"/>
            </a:solidFill>
          </c:spPr>
          <c:cat>
            <c:numRef>
              <c:f>Chts_FanCharts!$D$33:$D$38</c:f>
              <c:numCache>
                <c:formatCode>General</c:formatCode>
                <c:ptCount val="6"/>
                <c:pt idx="0">
                  <c:v>0</c:v>
                </c:pt>
                <c:pt idx="1">
                  <c:v>1</c:v>
                </c:pt>
                <c:pt idx="2">
                  <c:v>2</c:v>
                </c:pt>
                <c:pt idx="3">
                  <c:v>3</c:v>
                </c:pt>
                <c:pt idx="4">
                  <c:v>4</c:v>
                </c:pt>
                <c:pt idx="5">
                  <c:v>5</c:v>
                </c:pt>
              </c:numCache>
            </c:numRef>
          </c:cat>
          <c:val>
            <c:numRef>
              <c:f>Chts_FanCharts!$H$33:$H$38</c:f>
              <c:numCache>
                <c:formatCode>_-* #,##0_-;\-* #,##0_-;_-* "-"??_-;_-@_-</c:formatCode>
                <c:ptCount val="6"/>
                <c:pt idx="0">
                  <c:v>20000000000</c:v>
                </c:pt>
                <c:pt idx="1">
                  <c:v>20797808666.881302</c:v>
                </c:pt>
                <c:pt idx="2">
                  <c:v>21665603440.904827</c:v>
                </c:pt>
                <c:pt idx="3">
                  <c:v>21855537584.201645</c:v>
                </c:pt>
                <c:pt idx="4">
                  <c:v>21987388762.158352</c:v>
                </c:pt>
                <c:pt idx="5">
                  <c:v>21909432321.552444</c:v>
                </c:pt>
              </c:numCache>
            </c:numRef>
          </c:val>
        </c:ser>
        <c:ser>
          <c:idx val="1"/>
          <c:order val="19"/>
          <c:tx>
            <c:strRef>
              <c:f>Chts_FanCharts!$G$32</c:f>
              <c:strCache>
                <c:ptCount val="1"/>
                <c:pt idx="0">
                  <c:v>5th</c:v>
                </c:pt>
              </c:strCache>
            </c:strRef>
          </c:tx>
          <c:spPr>
            <a:solidFill>
              <a:srgbClr val="FFE6E6"/>
            </a:solidFill>
          </c:spPr>
          <c:cat>
            <c:numRef>
              <c:f>Chts_FanCharts!$D$33:$D$38</c:f>
              <c:numCache>
                <c:formatCode>General</c:formatCode>
                <c:ptCount val="6"/>
                <c:pt idx="0">
                  <c:v>0</c:v>
                </c:pt>
                <c:pt idx="1">
                  <c:v>1</c:v>
                </c:pt>
                <c:pt idx="2">
                  <c:v>2</c:v>
                </c:pt>
                <c:pt idx="3">
                  <c:v>3</c:v>
                </c:pt>
                <c:pt idx="4">
                  <c:v>4</c:v>
                </c:pt>
                <c:pt idx="5">
                  <c:v>5</c:v>
                </c:pt>
              </c:numCache>
            </c:numRef>
          </c:cat>
          <c:val>
            <c:numRef>
              <c:f>Chts_FanCharts!$G$33:$G$38</c:f>
              <c:numCache>
                <c:formatCode>_-* #,##0_-;\-* #,##0_-;_-* "-"??_-;_-@_-</c:formatCode>
                <c:ptCount val="6"/>
                <c:pt idx="0">
                  <c:v>20000000000</c:v>
                </c:pt>
                <c:pt idx="1">
                  <c:v>20303941339.520821</c:v>
                </c:pt>
                <c:pt idx="2">
                  <c:v>18914312365.571678</c:v>
                </c:pt>
                <c:pt idx="3">
                  <c:v>17521770542.190311</c:v>
                </c:pt>
                <c:pt idx="4">
                  <c:v>16491290113.13023</c:v>
                </c:pt>
                <c:pt idx="5">
                  <c:v>14129478040.905138</c:v>
                </c:pt>
              </c:numCache>
            </c:numRef>
          </c:val>
        </c:ser>
        <c:dLbls>
          <c:showLegendKey val="0"/>
          <c:showVal val="0"/>
          <c:showCatName val="0"/>
          <c:showSerName val="0"/>
          <c:showPercent val="0"/>
          <c:showBubbleSize val="0"/>
        </c:dLbls>
        <c:axId val="276211328"/>
        <c:axId val="276210936"/>
      </c:areaChart>
      <c:areaChart>
        <c:grouping val="standard"/>
        <c:varyColors val="0"/>
        <c:ser>
          <c:idx val="0"/>
          <c:order val="20"/>
          <c:tx>
            <c:strRef>
              <c:f>Chts_FanCharts!$F$32</c:f>
              <c:strCache>
                <c:ptCount val="1"/>
                <c:pt idx="0">
                  <c:v>1st percentile</c:v>
                </c:pt>
              </c:strCache>
            </c:strRef>
          </c:tx>
          <c:spPr>
            <a:solidFill>
              <a:sysClr val="window" lastClr="FFFFFF"/>
            </a:solidFill>
          </c:spPr>
          <c:val>
            <c:numRef>
              <c:f>Chts_FanCharts!$F$33:$F$38</c:f>
              <c:numCache>
                <c:formatCode>_-* #,##0_-;\-* #,##0_-;_-* "-"??_-;_-@_-</c:formatCode>
                <c:ptCount val="6"/>
                <c:pt idx="0">
                  <c:v>20000000000</c:v>
                </c:pt>
                <c:pt idx="1">
                  <c:v>11877865861.905104</c:v>
                </c:pt>
                <c:pt idx="2">
                  <c:v>3754068411.7372093</c:v>
                </c:pt>
                <c:pt idx="3">
                  <c:v>-2411670879.0659065</c:v>
                </c:pt>
                <c:pt idx="4">
                  <c:v>-8399906352.4625835</c:v>
                </c:pt>
                <c:pt idx="5">
                  <c:v>-16770778572.504618</c:v>
                </c:pt>
              </c:numCache>
            </c:numRef>
          </c:val>
        </c:ser>
        <c:dLbls>
          <c:showLegendKey val="0"/>
          <c:showVal val="0"/>
          <c:showCatName val="0"/>
          <c:showSerName val="0"/>
          <c:showPercent val="0"/>
          <c:showBubbleSize val="0"/>
        </c:dLbls>
        <c:axId val="276210544"/>
        <c:axId val="276210152"/>
      </c:areaChart>
      <c:catAx>
        <c:axId val="276211328"/>
        <c:scaling>
          <c:orientation val="minMax"/>
        </c:scaling>
        <c:delete val="0"/>
        <c:axPos val="b"/>
        <c:title>
          <c:tx>
            <c:rich>
              <a:bodyPr/>
              <a:lstStyle/>
              <a:p>
                <a:pPr>
                  <a:defRPr sz="1400"/>
                </a:pPr>
                <a:r>
                  <a:rPr lang="en-GB" sz="1400"/>
                  <a:t>Year</a:t>
                </a:r>
              </a:p>
            </c:rich>
          </c:tx>
          <c:layout>
            <c:manualLayout>
              <c:xMode val="edge"/>
              <c:yMode val="edge"/>
              <c:x val="0.10731888888888889"/>
              <c:y val="0.90071900103396163"/>
            </c:manualLayout>
          </c:layout>
          <c:overlay val="0"/>
        </c:title>
        <c:numFmt formatCode="General" sourceLinked="1"/>
        <c:majorTickMark val="out"/>
        <c:minorTickMark val="none"/>
        <c:tickLblPos val="nextTo"/>
        <c:txPr>
          <a:bodyPr/>
          <a:lstStyle/>
          <a:p>
            <a:pPr>
              <a:defRPr sz="1100"/>
            </a:pPr>
            <a:endParaRPr lang="en-US"/>
          </a:p>
        </c:txPr>
        <c:crossAx val="276210936"/>
        <c:crossesAt val="0"/>
        <c:auto val="1"/>
        <c:lblAlgn val="ctr"/>
        <c:lblOffset val="100"/>
        <c:noMultiLvlLbl val="0"/>
      </c:catAx>
      <c:valAx>
        <c:axId val="276210936"/>
        <c:scaling>
          <c:orientation val="minMax"/>
          <c:max val="50000000000"/>
          <c:min val="0"/>
        </c:scaling>
        <c:delete val="0"/>
        <c:axPos val="l"/>
        <c:title>
          <c:tx>
            <c:rich>
              <a:bodyPr rot="-5400000" vert="horz"/>
              <a:lstStyle/>
              <a:p>
                <a:pPr>
                  <a:defRPr sz="1400"/>
                </a:pPr>
                <a:r>
                  <a:rPr lang="en-GB" sz="1400"/>
                  <a:t>Capital and Reserves (Tugriks billions</a:t>
                </a:r>
                <a:r>
                  <a:rPr lang="en-GB" sz="1400" baseline="0"/>
                  <a:t>)</a:t>
                </a:r>
                <a:endParaRPr lang="en-GB" sz="1400"/>
              </a:p>
            </c:rich>
          </c:tx>
          <c:layout>
            <c:manualLayout>
              <c:xMode val="edge"/>
              <c:yMode val="edge"/>
              <c:x val="4.4439259259259255E-2"/>
              <c:y val="0.1421148148148148"/>
            </c:manualLayout>
          </c:layout>
          <c:overlay val="0"/>
        </c:title>
        <c:numFmt formatCode="_(* #,##0_);_(* \(#,##0\);_(* &quot;-&quot;_);_(@_)" sourceLinked="0"/>
        <c:majorTickMark val="out"/>
        <c:minorTickMark val="none"/>
        <c:tickLblPos val="nextTo"/>
        <c:txPr>
          <a:bodyPr/>
          <a:lstStyle/>
          <a:p>
            <a:pPr>
              <a:defRPr sz="1100"/>
            </a:pPr>
            <a:endParaRPr lang="en-US"/>
          </a:p>
        </c:txPr>
        <c:crossAx val="276211328"/>
        <c:crosses val="autoZero"/>
        <c:crossBetween val="midCat"/>
        <c:dispUnits>
          <c:builtInUnit val="billions"/>
        </c:dispUnits>
      </c:valAx>
      <c:valAx>
        <c:axId val="276210152"/>
        <c:scaling>
          <c:orientation val="minMax"/>
          <c:max val="50000000000"/>
          <c:min val="0"/>
        </c:scaling>
        <c:delete val="0"/>
        <c:axPos val="r"/>
        <c:numFmt formatCode="_-* #,##0_-;\-* #,##0_-;_-* &quot;-&quot;??_-;_-@_-" sourceLinked="1"/>
        <c:majorTickMark val="out"/>
        <c:minorTickMark val="none"/>
        <c:tickLblPos val="none"/>
        <c:crossAx val="276210544"/>
        <c:crosses val="max"/>
        <c:crossBetween val="midCat"/>
      </c:valAx>
      <c:catAx>
        <c:axId val="276210544"/>
        <c:scaling>
          <c:orientation val="minMax"/>
        </c:scaling>
        <c:delete val="1"/>
        <c:axPos val="b"/>
        <c:majorTickMark val="out"/>
        <c:minorTickMark val="none"/>
        <c:tickLblPos val="none"/>
        <c:crossAx val="276210152"/>
        <c:crossesAt val="0"/>
        <c:auto val="1"/>
        <c:lblAlgn val="ctr"/>
        <c:lblOffset val="100"/>
        <c:noMultiLvlLbl val="0"/>
      </c:catAx>
    </c:plotArea>
    <c:plotVisOnly val="1"/>
    <c:dispBlanksAs val="gap"/>
    <c:showDLblsOverMax val="0"/>
  </c:chart>
  <c:txPr>
    <a:bodyPr/>
    <a:lstStyle/>
    <a:p>
      <a:pPr>
        <a:defRPr sz="10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ECENTER-17-354</_dlc_DocId>
    <_dlc_DocIdUrl xmlns="abd7fad0-8e9a-4f24-82a0-e4a690a7a66d">
      <Url>https://ispan.worldbank.org/sites/BOS/_layouts/15/DocIdRedir.aspx?ID=ECENTER-17-354</Url>
      <Description>ECENTER-17-354</Description>
    </_dlc_DocIdUrl>
    <DocumentDate xmlns="1e565efc-c76f-4e3a-ad62-733aa42cc28d">2016-10-17T04:00:00+00:00</DocumentDate>
    <unid xmlns="1e565efc-c76f-4e3a-ad62-733aa42cc28d" xsi:nil="true"/>
    <Volume_x0020_Title xmlns="1e565efc-c76f-4e3a-ad62-733aa42cc28d">MN-Index-Based Livestock Insurance - ICR</Volume_x0020_Title>
    <Disclosure_x0020_Type xmlns="1e565efc-c76f-4e3a-ad62-733aa42cc28d" xsi:nil="true"/>
    <Unit_x0020_Owning_x0020_or_x0020_Responsible xmlns="1e565efc-c76f-4e3a-ad62-733aa42cc28d">GFM02</Unit_x0020_Owning_x0020_or_x0020_Responsible>
    <RObjectID xmlns="1e565efc-c76f-4e3a-ad62-733aa42cc28d">090224b084652036</RObjectID>
    <Document_x0020_Type xmlns="1e565efc-c76f-4e3a-ad62-733aa42cc28d">Board Report</Document_x0020_Type>
    <Bank_x0020_Group_x0020_Institution xmlns="1e565efc-c76f-4e3a-ad62-733aa42cc28d">IDA</Bank_x0020_Group_x0020_Institution>
    <Project_x0020_ID xmlns="1e565efc-c76f-4e3a-ad62-733aa42cc28d">P088816</Project_x0020_ID>
    <Report_x0020_Number xmlns="1e565efc-c76f-4e3a-ad62-733aa42cc28d">ICR00002949</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5c8249e0-7891-e611-948a-005056953af8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Country_x0020_Region xmlns="1e565efc-c76f-4e3a-ad62-733aa42cc28d">Mongolia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Language xmlns="1e565efc-c76f-4e3a-ad62-733aa42cc28d">English</Language>
    <Board_x0020_Meeting_x0020_Date xmlns="1e565efc-c76f-4e3a-ad62-733aa42cc28d" xsi:nil="true"/>
    <Archive xmlns="1e565efc-c76f-4e3a-ad62-733aa42cc28d">true</Archive>
    <ArchivedDate xmlns="1e565efc-c76f-4e3a-ad62-733aa42cc28d">2016-10-20T13:41:36+00:00</ArchivedDate>
    <PublicClassificationDecidedby xmlns="1e565efc-c76f-4e3a-ad62-733aa42cc28d">Stephane Forman</PublicClassificationDecidedby>
    <Information_x0020_Classification xmlns="1e565efc-c76f-4e3a-ad62-733aa42cc28d">Public</Information_x0020_Classification>
    <AccessToInfoComments xmlns="1e565efc-c76f-4e3a-ad62-733aa42cc28d">1. Personal;2. Executive Director’s Communications;9.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1" ma:contentTypeDescription="Create a new document." ma:contentTypeScope="" ma:versionID="75b4cdd1f18822cafd7605444111725a">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49c729e895b4e939852acae82af35e65"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71AD43-BB8F-4D70-9CAA-432EA3D6C6BF}"/>
</file>

<file path=customXml/itemProps2.xml><?xml version="1.0" encoding="utf-8"?>
<ds:datastoreItem xmlns:ds="http://schemas.openxmlformats.org/officeDocument/2006/customXml" ds:itemID="{3F12554B-E5FB-4D83-BDC6-52E3E9A9AE75}"/>
</file>

<file path=customXml/itemProps3.xml><?xml version="1.0" encoding="utf-8"?>
<ds:datastoreItem xmlns:ds="http://schemas.openxmlformats.org/officeDocument/2006/customXml" ds:itemID="{B707D012-E566-4FA8-B5EE-619E1A0F93CE}"/>
</file>

<file path=customXml/itemProps4.xml><?xml version="1.0" encoding="utf-8"?>
<ds:datastoreItem xmlns:ds="http://schemas.openxmlformats.org/officeDocument/2006/customXml" ds:itemID="{4504510B-12A5-4A11-B7A8-152DE2338248}"/>
</file>

<file path=customXml/itemProps5.xml><?xml version="1.0" encoding="utf-8"?>
<ds:datastoreItem xmlns:ds="http://schemas.openxmlformats.org/officeDocument/2006/customXml" ds:itemID="{7393D46F-DB02-4EAD-9CB9-A7B0DC0AB8CA}"/>
</file>

<file path=docProps/app.xml><?xml version="1.0" encoding="utf-8"?>
<Properties xmlns="http://schemas.openxmlformats.org/officeDocument/2006/extended-properties" xmlns:vt="http://schemas.openxmlformats.org/officeDocument/2006/docPropsVTypes">
  <Template>P088816302134ICR - Sample Main WORD file for IL  Jan 2007.dot</Template>
  <TotalTime>9</TotalTime>
  <Pages>76</Pages>
  <Words>29382</Words>
  <Characters>163245</Characters>
  <Application>Microsoft Office Word</Application>
  <DocSecurity>0</DocSecurity>
  <Lines>1360</Lines>
  <Paragraphs>384</Paragraphs>
  <ScaleCrop>false</ScaleCrop>
  <HeadingPairs>
    <vt:vector size="2" baseType="variant">
      <vt:variant>
        <vt:lpstr>Title</vt:lpstr>
      </vt:variant>
      <vt:variant>
        <vt:i4>1</vt:i4>
      </vt:variant>
    </vt:vector>
  </HeadingPairs>
  <TitlesOfParts>
    <vt:vector size="1" baseType="lpstr">
      <vt:lpstr>ICR IL</vt:lpstr>
    </vt:vector>
  </TitlesOfParts>
  <Company>The World Bank Group</Company>
  <LinksUpToDate>false</LinksUpToDate>
  <CharactersWithSpaces>192243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MN-Index-Based Livestock Insurance - ICR</dc:title>
  <dc:creator>SYSTEM</dc:creator>
  <cp:lastModifiedBy>Stephane Forman</cp:lastModifiedBy>
  <cp:revision>4</cp:revision>
  <cp:lastPrinted>2016-08-29T19:04:00Z</cp:lastPrinted>
  <dcterms:created xsi:type="dcterms:W3CDTF">2016-10-12T14:51:00Z</dcterms:created>
  <dcterms:modified xsi:type="dcterms:W3CDTF">2016-10-13T18:05:00Z</dcterms:modified>
  <cp:category>Main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Code">
    <vt:lpwstr>BT_ICR_MAIN_DOC</vt:lpwstr>
  </property>
  <property fmtid="{D5CDD505-2E9C-101B-9397-08002B2CF9AE}" pid="3" name="ContentTypeId">
    <vt:lpwstr>0x0101008B7ED80168BFC54D8B2E9A470A96603D</vt:lpwstr>
  </property>
  <property fmtid="{D5CDD505-2E9C-101B-9397-08002B2CF9AE}" pid="4" name="_dlc_DocIdItemGuid">
    <vt:lpwstr>8c34012e-a09e-46b6-8769-89cbb4d70427</vt:lpwstr>
  </property>
</Properties>
</file>