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FFF8" w14:textId="77777777" w:rsidR="002E448C" w:rsidRDefault="002E448C" w:rsidP="007B17BF">
      <w:pPr>
        <w:pStyle w:val="Default"/>
        <w:jc w:val="center"/>
        <w:rPr>
          <w:b/>
          <w:bCs/>
          <w:sz w:val="20"/>
          <w:szCs w:val="20"/>
          <w:lang w:bidi="ar-EG"/>
        </w:rPr>
        <w:sectPr w:rsidR="002E44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6F919240" w14:textId="77777777" w:rsidR="004027CE" w:rsidRPr="00076F73" w:rsidRDefault="4F88A954" w:rsidP="4F88A954">
      <w:pPr>
        <w:pStyle w:val="Default"/>
        <w:jc w:val="center"/>
        <w:rPr>
          <w:sz w:val="20"/>
          <w:szCs w:val="20"/>
        </w:rPr>
      </w:pPr>
      <w:r w:rsidRPr="00076F73">
        <w:rPr>
          <w:b/>
          <w:bCs/>
          <w:sz w:val="20"/>
          <w:szCs w:val="20"/>
        </w:rPr>
        <w:t>وثيقة صادرة عن</w:t>
      </w:r>
    </w:p>
    <w:p w14:paraId="3EA49431" w14:textId="77777777" w:rsidR="004027CE" w:rsidRPr="00076F73" w:rsidRDefault="4F88A954" w:rsidP="4F88A954">
      <w:pPr>
        <w:pStyle w:val="Default"/>
        <w:jc w:val="center"/>
        <w:rPr>
          <w:sz w:val="20"/>
          <w:szCs w:val="20"/>
        </w:rPr>
      </w:pPr>
      <w:r w:rsidRPr="00076F73">
        <w:rPr>
          <w:b/>
          <w:bCs/>
          <w:sz w:val="20"/>
          <w:szCs w:val="20"/>
        </w:rPr>
        <w:t>البنك الدولي</w:t>
      </w:r>
    </w:p>
    <w:p w14:paraId="4AD5E7DA" w14:textId="77777777" w:rsidR="00291A95" w:rsidRPr="00076F73" w:rsidRDefault="00291A95" w:rsidP="007B17BF">
      <w:pPr>
        <w:pStyle w:val="Default"/>
        <w:jc w:val="center"/>
        <w:rPr>
          <w:b/>
          <w:bCs/>
          <w:sz w:val="23"/>
          <w:szCs w:val="23"/>
        </w:rPr>
        <w:sectPr w:rsidR="00291A95" w:rsidRPr="00076F73">
          <w:type w:val="continuous"/>
          <w:pgSz w:w="12240" w:h="15840"/>
          <w:pgMar w:top="1440" w:right="1440" w:bottom="1440" w:left="1440" w:header="720" w:footer="720" w:gutter="0"/>
          <w:cols w:space="720"/>
          <w:titlePg/>
          <w:docGrid w:linePitch="360"/>
        </w:sectPr>
      </w:pPr>
    </w:p>
    <w:p w14:paraId="0B2C7E0D" w14:textId="77777777" w:rsidR="004027CE" w:rsidRPr="00076F73" w:rsidRDefault="004027CE" w:rsidP="007B17BF">
      <w:pPr>
        <w:pStyle w:val="Default"/>
        <w:jc w:val="center"/>
        <w:rPr>
          <w:b/>
          <w:bCs/>
          <w:sz w:val="23"/>
          <w:szCs w:val="23"/>
        </w:rPr>
      </w:pPr>
    </w:p>
    <w:p w14:paraId="44EC62C2" w14:textId="77777777" w:rsidR="004027CE" w:rsidRPr="00076F73" w:rsidRDefault="004027CE" w:rsidP="007B17BF">
      <w:pPr>
        <w:pStyle w:val="Default"/>
        <w:jc w:val="right"/>
        <w:rPr>
          <w:b/>
          <w:bCs/>
          <w:sz w:val="23"/>
          <w:szCs w:val="23"/>
        </w:rPr>
      </w:pPr>
    </w:p>
    <w:p w14:paraId="3B95827F" w14:textId="77777777" w:rsidR="004027CE" w:rsidRPr="00076F73" w:rsidRDefault="004027CE" w:rsidP="007B17BF">
      <w:pPr>
        <w:pStyle w:val="Default"/>
        <w:jc w:val="right"/>
        <w:rPr>
          <w:b/>
          <w:bCs/>
          <w:sz w:val="23"/>
          <w:szCs w:val="23"/>
        </w:rPr>
      </w:pPr>
    </w:p>
    <w:p w14:paraId="71BC09B1" w14:textId="77777777" w:rsidR="004027CE" w:rsidRPr="00076F73" w:rsidRDefault="4F88A954" w:rsidP="4F88A954">
      <w:pPr>
        <w:pStyle w:val="Default"/>
        <w:ind w:left="6480"/>
        <w:rPr>
          <w:b/>
          <w:bCs/>
          <w:i/>
          <w:iCs/>
          <w:sz w:val="23"/>
          <w:szCs w:val="23"/>
        </w:rPr>
      </w:pPr>
      <w:r w:rsidRPr="00076F73">
        <w:t>تقرير رقم:</w:t>
      </w:r>
      <w:r w:rsidRPr="00076F73">
        <w:rPr>
          <w:i/>
          <w:iCs/>
          <w:sz w:val="23"/>
          <w:szCs w:val="23"/>
        </w:rPr>
        <w:t xml:space="preserve"> </w:t>
      </w:r>
      <w:bookmarkStart w:id="0" w:name="_GoBack"/>
      <w:r w:rsidRPr="00076F73">
        <w:rPr>
          <w:b/>
          <w:bCs/>
          <w:sz w:val="23"/>
          <w:szCs w:val="23"/>
        </w:rPr>
        <w:t>115201</w:t>
      </w:r>
      <w:bookmarkEnd w:id="0"/>
      <w:r w:rsidRPr="00076F73">
        <w:rPr>
          <w:i/>
          <w:iCs/>
          <w:sz w:val="23"/>
          <w:szCs w:val="23"/>
        </w:rPr>
        <w:t>-</w:t>
      </w:r>
      <w:r w:rsidRPr="00076F73">
        <w:rPr>
          <w:b/>
          <w:sz w:val="23"/>
          <w:rtl w:val="0"/>
        </w:rPr>
        <w:t>GZ</w:t>
      </w:r>
    </w:p>
    <w:p w14:paraId="55CCB70C" w14:textId="77777777" w:rsidR="004027CE" w:rsidRPr="00076F73" w:rsidRDefault="004027CE" w:rsidP="007B17BF">
      <w:pPr>
        <w:pStyle w:val="Default"/>
        <w:jc w:val="right"/>
        <w:rPr>
          <w:bCs/>
          <w:i/>
          <w:sz w:val="23"/>
          <w:szCs w:val="23"/>
        </w:rPr>
      </w:pPr>
    </w:p>
    <w:p w14:paraId="299728FE" w14:textId="77777777" w:rsidR="004027CE" w:rsidRPr="00076F73" w:rsidRDefault="004027CE" w:rsidP="007B17BF">
      <w:pPr>
        <w:pStyle w:val="Default"/>
        <w:jc w:val="right"/>
        <w:rPr>
          <w:sz w:val="23"/>
          <w:szCs w:val="23"/>
        </w:rPr>
      </w:pPr>
    </w:p>
    <w:p w14:paraId="270C65C0" w14:textId="77777777" w:rsidR="004027CE" w:rsidRPr="00076F73" w:rsidRDefault="004027CE" w:rsidP="007B17BF">
      <w:pPr>
        <w:pStyle w:val="Default"/>
        <w:jc w:val="center"/>
        <w:rPr>
          <w:b/>
          <w:bCs/>
          <w:sz w:val="23"/>
          <w:szCs w:val="23"/>
        </w:rPr>
      </w:pPr>
    </w:p>
    <w:p w14:paraId="21A8498C" w14:textId="77777777" w:rsidR="004027CE" w:rsidRPr="00076F73" w:rsidRDefault="004027CE" w:rsidP="007B17BF">
      <w:pPr>
        <w:pStyle w:val="Default"/>
        <w:jc w:val="center"/>
        <w:rPr>
          <w:b/>
          <w:bCs/>
          <w:sz w:val="23"/>
          <w:szCs w:val="23"/>
        </w:rPr>
      </w:pPr>
    </w:p>
    <w:p w14:paraId="501A4EAF" w14:textId="77777777" w:rsidR="004027CE" w:rsidRPr="00076F73" w:rsidRDefault="4F88A954" w:rsidP="4F88A954">
      <w:pPr>
        <w:pStyle w:val="Default"/>
        <w:jc w:val="center"/>
        <w:rPr>
          <w:sz w:val="23"/>
          <w:szCs w:val="23"/>
        </w:rPr>
      </w:pPr>
      <w:r w:rsidRPr="00076F73">
        <w:rPr>
          <w:b/>
          <w:bCs/>
          <w:sz w:val="23"/>
          <w:szCs w:val="23"/>
        </w:rPr>
        <w:t>البنك الدولي للإنشاء والتعمير</w:t>
      </w:r>
    </w:p>
    <w:p w14:paraId="1C496CB6" w14:textId="77777777" w:rsidR="004027CE" w:rsidRPr="00076F73" w:rsidRDefault="004027CE" w:rsidP="007B17BF">
      <w:pPr>
        <w:pStyle w:val="Default"/>
        <w:jc w:val="center"/>
        <w:rPr>
          <w:b/>
          <w:bCs/>
          <w:iCs/>
          <w:sz w:val="23"/>
          <w:szCs w:val="23"/>
        </w:rPr>
      </w:pPr>
    </w:p>
    <w:p w14:paraId="47DC537D" w14:textId="77777777" w:rsidR="004027CE" w:rsidRDefault="4F88A954" w:rsidP="4F88A954">
      <w:pPr>
        <w:pStyle w:val="Default"/>
        <w:jc w:val="center"/>
        <w:rPr>
          <w:sz w:val="23"/>
          <w:szCs w:val="23"/>
        </w:rPr>
      </w:pPr>
      <w:r w:rsidRPr="00076F73">
        <w:rPr>
          <w:b/>
          <w:bCs/>
          <w:sz w:val="23"/>
          <w:szCs w:val="23"/>
        </w:rPr>
        <w:t>المؤسسة الدولية للتنمية</w:t>
      </w:r>
    </w:p>
    <w:p w14:paraId="6A7BC64A" w14:textId="77777777" w:rsidR="004027CE" w:rsidRDefault="004027CE" w:rsidP="007B17BF">
      <w:pPr>
        <w:pStyle w:val="Default"/>
        <w:jc w:val="center"/>
        <w:rPr>
          <w:b/>
          <w:bCs/>
          <w:iCs/>
          <w:sz w:val="23"/>
          <w:szCs w:val="23"/>
        </w:rPr>
      </w:pPr>
    </w:p>
    <w:p w14:paraId="2972E398" w14:textId="77777777" w:rsidR="004027CE" w:rsidRDefault="4F88A954" w:rsidP="4F88A954">
      <w:pPr>
        <w:pStyle w:val="Default"/>
        <w:jc w:val="center"/>
        <w:rPr>
          <w:sz w:val="23"/>
          <w:szCs w:val="23"/>
        </w:rPr>
      </w:pPr>
      <w:r>
        <w:rPr>
          <w:b/>
          <w:bCs/>
          <w:sz w:val="23"/>
          <w:szCs w:val="23"/>
        </w:rPr>
        <w:t>مؤسسة التمويل الدولية</w:t>
      </w:r>
    </w:p>
    <w:p w14:paraId="37920879" w14:textId="77777777" w:rsidR="004027CE" w:rsidRDefault="004027CE" w:rsidP="007B17BF">
      <w:pPr>
        <w:pStyle w:val="Default"/>
        <w:jc w:val="center"/>
        <w:rPr>
          <w:b/>
          <w:bCs/>
          <w:iCs/>
          <w:sz w:val="23"/>
          <w:szCs w:val="23"/>
        </w:rPr>
      </w:pPr>
    </w:p>
    <w:p w14:paraId="785BE405" w14:textId="77777777" w:rsidR="004027CE" w:rsidRDefault="4F88A954" w:rsidP="4F88A954">
      <w:pPr>
        <w:pStyle w:val="Default"/>
        <w:jc w:val="center"/>
        <w:rPr>
          <w:sz w:val="23"/>
          <w:szCs w:val="23"/>
        </w:rPr>
      </w:pPr>
      <w:r>
        <w:rPr>
          <w:b/>
          <w:bCs/>
          <w:sz w:val="23"/>
          <w:szCs w:val="23"/>
        </w:rPr>
        <w:t>الوكالة الدولية لضمان الاستثمار</w:t>
      </w:r>
    </w:p>
    <w:p w14:paraId="78477A64" w14:textId="77777777" w:rsidR="004027CE" w:rsidRDefault="004027CE" w:rsidP="007B17BF">
      <w:pPr>
        <w:pStyle w:val="Default"/>
        <w:jc w:val="center"/>
        <w:rPr>
          <w:b/>
          <w:bCs/>
          <w:sz w:val="23"/>
          <w:szCs w:val="23"/>
        </w:rPr>
      </w:pPr>
    </w:p>
    <w:p w14:paraId="692F41CA" w14:textId="77777777" w:rsidR="004027CE" w:rsidRDefault="004027CE" w:rsidP="007B17BF">
      <w:pPr>
        <w:pStyle w:val="Default"/>
        <w:jc w:val="center"/>
        <w:rPr>
          <w:b/>
          <w:bCs/>
          <w:sz w:val="23"/>
          <w:szCs w:val="23"/>
        </w:rPr>
      </w:pPr>
    </w:p>
    <w:p w14:paraId="54FBDF23" w14:textId="77777777" w:rsidR="004027CE" w:rsidRDefault="004027CE" w:rsidP="00AA61E0">
      <w:pPr>
        <w:pStyle w:val="Default"/>
        <w:rPr>
          <w:b/>
          <w:bCs/>
          <w:sz w:val="23"/>
          <w:szCs w:val="23"/>
        </w:rPr>
      </w:pPr>
    </w:p>
    <w:p w14:paraId="5DAC2C1D" w14:textId="77777777" w:rsidR="004027CE" w:rsidRDefault="004027CE" w:rsidP="007B17BF">
      <w:pPr>
        <w:pStyle w:val="Default"/>
        <w:jc w:val="center"/>
        <w:rPr>
          <w:b/>
          <w:bCs/>
          <w:sz w:val="23"/>
          <w:szCs w:val="23"/>
        </w:rPr>
      </w:pPr>
    </w:p>
    <w:p w14:paraId="31252BAE" w14:textId="77777777" w:rsidR="0040377A" w:rsidRDefault="4F88A954" w:rsidP="4F88A954">
      <w:pPr>
        <w:pStyle w:val="Default"/>
        <w:jc w:val="center"/>
        <w:rPr>
          <w:b/>
          <w:bCs/>
          <w:sz w:val="23"/>
          <w:szCs w:val="23"/>
        </w:rPr>
      </w:pPr>
      <w:r>
        <w:rPr>
          <w:b/>
          <w:bCs/>
          <w:sz w:val="23"/>
          <w:szCs w:val="23"/>
        </w:rPr>
        <w:t>إستراتيجية المساعدة</w:t>
      </w:r>
    </w:p>
    <w:p w14:paraId="7A096F33" w14:textId="77777777" w:rsidR="004027CE" w:rsidRDefault="4F88A954" w:rsidP="4F88A954">
      <w:pPr>
        <w:pStyle w:val="Default"/>
        <w:jc w:val="center"/>
        <w:rPr>
          <w:b/>
          <w:bCs/>
          <w:sz w:val="23"/>
          <w:szCs w:val="23"/>
        </w:rPr>
      </w:pPr>
      <w:r>
        <w:rPr>
          <w:b/>
          <w:bCs/>
          <w:sz w:val="23"/>
          <w:szCs w:val="23"/>
        </w:rPr>
        <w:t xml:space="preserve"> </w:t>
      </w:r>
    </w:p>
    <w:p w14:paraId="56FBF22F" w14:textId="77777777" w:rsidR="004027CE" w:rsidRDefault="00076F73" w:rsidP="4F88A954">
      <w:pPr>
        <w:pStyle w:val="Default"/>
        <w:jc w:val="center"/>
        <w:rPr>
          <w:b/>
          <w:bCs/>
          <w:sz w:val="23"/>
          <w:szCs w:val="23"/>
        </w:rPr>
      </w:pPr>
      <w:r>
        <w:rPr>
          <w:rFonts w:hint="cs"/>
          <w:b/>
          <w:bCs/>
          <w:sz w:val="23"/>
          <w:szCs w:val="23"/>
        </w:rPr>
        <w:t>ل</w:t>
      </w:r>
      <w:r w:rsidR="4F88A954">
        <w:rPr>
          <w:b/>
          <w:bCs/>
          <w:sz w:val="23"/>
          <w:szCs w:val="23"/>
        </w:rPr>
        <w:t xml:space="preserve">لسنوات المالية 2018 - 2021 </w:t>
      </w:r>
    </w:p>
    <w:p w14:paraId="1A86DC41" w14:textId="77777777" w:rsidR="0040377A" w:rsidRDefault="0040377A" w:rsidP="4F88A954">
      <w:pPr>
        <w:pStyle w:val="Default"/>
        <w:jc w:val="center"/>
        <w:rPr>
          <w:b/>
          <w:bCs/>
          <w:sz w:val="23"/>
          <w:szCs w:val="23"/>
        </w:rPr>
      </w:pPr>
    </w:p>
    <w:p w14:paraId="42BC61A9" w14:textId="77777777" w:rsidR="0040377A" w:rsidRDefault="0040377A" w:rsidP="4F88A954">
      <w:pPr>
        <w:pStyle w:val="Default"/>
        <w:jc w:val="center"/>
        <w:rPr>
          <w:b/>
          <w:bCs/>
          <w:sz w:val="23"/>
          <w:szCs w:val="23"/>
        </w:rPr>
      </w:pPr>
    </w:p>
    <w:p w14:paraId="4FFB6523" w14:textId="77777777" w:rsidR="004027CE" w:rsidRPr="000A60F5" w:rsidRDefault="00076F73" w:rsidP="4F88A954">
      <w:pPr>
        <w:pStyle w:val="Default"/>
        <w:jc w:val="center"/>
        <w:rPr>
          <w:b/>
          <w:bCs/>
          <w:sz w:val="23"/>
          <w:szCs w:val="23"/>
        </w:rPr>
      </w:pPr>
      <w:r>
        <w:rPr>
          <w:rFonts w:hint="cs"/>
          <w:b/>
          <w:bCs/>
          <w:sz w:val="23"/>
          <w:szCs w:val="23"/>
        </w:rPr>
        <w:t>ل</w:t>
      </w:r>
      <w:r w:rsidR="4F88A954">
        <w:rPr>
          <w:b/>
          <w:bCs/>
          <w:sz w:val="23"/>
          <w:szCs w:val="23"/>
        </w:rPr>
        <w:t xml:space="preserve">لضفة الغربية وقطاع غزة </w:t>
      </w:r>
    </w:p>
    <w:p w14:paraId="7A63DA42" w14:textId="77777777" w:rsidR="004027CE" w:rsidRDefault="004027CE" w:rsidP="007B17BF">
      <w:pPr>
        <w:pStyle w:val="Default"/>
        <w:jc w:val="center"/>
        <w:rPr>
          <w:b/>
          <w:bCs/>
          <w:sz w:val="23"/>
          <w:szCs w:val="23"/>
        </w:rPr>
      </w:pPr>
    </w:p>
    <w:p w14:paraId="63B9216B" w14:textId="77777777" w:rsidR="004027CE" w:rsidRDefault="004027CE" w:rsidP="007B17BF">
      <w:pPr>
        <w:pStyle w:val="Default"/>
        <w:jc w:val="center"/>
        <w:rPr>
          <w:b/>
          <w:bCs/>
          <w:sz w:val="23"/>
          <w:szCs w:val="23"/>
        </w:rPr>
      </w:pPr>
    </w:p>
    <w:p w14:paraId="5043E10F" w14:textId="77777777" w:rsidR="004027CE" w:rsidRDefault="004027CE" w:rsidP="00BA7B70">
      <w:pPr>
        <w:pStyle w:val="Default"/>
        <w:rPr>
          <w:b/>
          <w:bCs/>
          <w:sz w:val="23"/>
          <w:szCs w:val="23"/>
        </w:rPr>
      </w:pPr>
    </w:p>
    <w:p w14:paraId="571DD876" w14:textId="77777777" w:rsidR="004027CE" w:rsidRDefault="004027CE" w:rsidP="007B17BF">
      <w:pPr>
        <w:pStyle w:val="Default"/>
        <w:jc w:val="center"/>
        <w:rPr>
          <w:b/>
          <w:bCs/>
          <w:sz w:val="23"/>
          <w:szCs w:val="23"/>
        </w:rPr>
      </w:pPr>
    </w:p>
    <w:p w14:paraId="2F0602CE" w14:textId="77777777" w:rsidR="004027CE" w:rsidRPr="00C14C0E" w:rsidRDefault="007D2323" w:rsidP="4F88A954">
      <w:pPr>
        <w:pStyle w:val="Default"/>
        <w:jc w:val="center"/>
        <w:rPr>
          <w:b/>
          <w:bCs/>
          <w:color w:val="auto"/>
          <w:sz w:val="23"/>
          <w:szCs w:val="23"/>
        </w:rPr>
      </w:pPr>
      <w:r>
        <w:rPr>
          <w:b/>
          <w:bCs/>
          <w:color w:val="auto"/>
          <w:sz w:val="23"/>
          <w:szCs w:val="23"/>
        </w:rPr>
        <w:t>6 نوفمبر/تشرين الثاني 2017</w:t>
      </w:r>
    </w:p>
    <w:p w14:paraId="14A66DCF" w14:textId="77777777" w:rsidR="004027CE" w:rsidRDefault="004027CE" w:rsidP="007B17BF">
      <w:pPr>
        <w:pStyle w:val="Default"/>
        <w:rPr>
          <w:b/>
          <w:bCs/>
          <w:sz w:val="23"/>
          <w:szCs w:val="23"/>
        </w:rPr>
      </w:pPr>
    </w:p>
    <w:p w14:paraId="4FCF50ED" w14:textId="77777777" w:rsidR="004027CE" w:rsidRDefault="004027CE" w:rsidP="007B17BF">
      <w:pPr>
        <w:pStyle w:val="Default"/>
        <w:rPr>
          <w:b/>
          <w:bCs/>
          <w:sz w:val="23"/>
          <w:szCs w:val="23"/>
        </w:rPr>
      </w:pPr>
    </w:p>
    <w:p w14:paraId="5F606CD0" w14:textId="77777777" w:rsidR="00356975" w:rsidRDefault="4F88A954" w:rsidP="4F88A954">
      <w:pPr>
        <w:pStyle w:val="Default"/>
        <w:rPr>
          <w:sz w:val="23"/>
          <w:szCs w:val="23"/>
        </w:rPr>
      </w:pPr>
      <w:r>
        <w:rPr>
          <w:sz w:val="23"/>
          <w:szCs w:val="23"/>
        </w:rPr>
        <w:t>وحدة الإدارة القطرية للضفة الغربية وقطاع غزة</w:t>
      </w:r>
    </w:p>
    <w:p w14:paraId="113B43CD" w14:textId="77777777" w:rsidR="004027CE" w:rsidRDefault="4F88A954" w:rsidP="4F88A954">
      <w:pPr>
        <w:pStyle w:val="Default"/>
        <w:rPr>
          <w:sz w:val="23"/>
          <w:szCs w:val="23"/>
        </w:rPr>
      </w:pPr>
      <w:r>
        <w:rPr>
          <w:sz w:val="23"/>
          <w:szCs w:val="23"/>
        </w:rPr>
        <w:t>منطقة الشرق الأوسط وشمال أفريقيا</w:t>
      </w:r>
    </w:p>
    <w:p w14:paraId="29A4D9F4" w14:textId="77777777" w:rsidR="00F064CF" w:rsidRDefault="00356975" w:rsidP="4F88A954">
      <w:pPr>
        <w:pStyle w:val="Default"/>
        <w:rPr>
          <w:sz w:val="23"/>
          <w:szCs w:val="23"/>
        </w:rPr>
      </w:pPr>
      <w:r>
        <w:rPr>
          <w:sz w:val="23"/>
          <w:szCs w:val="23"/>
        </w:rPr>
        <w:t>البنك الدولي</w:t>
      </w:r>
    </w:p>
    <w:p w14:paraId="344A2E3F" w14:textId="77777777" w:rsidR="004027CE" w:rsidRDefault="004027CE" w:rsidP="007B17BF">
      <w:pPr>
        <w:pStyle w:val="Default"/>
        <w:rPr>
          <w:b/>
          <w:bCs/>
          <w:sz w:val="23"/>
          <w:szCs w:val="23"/>
        </w:rPr>
      </w:pPr>
    </w:p>
    <w:p w14:paraId="1CDD011A" w14:textId="77777777" w:rsidR="004027CE" w:rsidRPr="00875F13" w:rsidRDefault="4F88A954" w:rsidP="00A169BA">
      <w:pPr>
        <w:pStyle w:val="Default"/>
        <w:rPr>
          <w:sz w:val="23"/>
          <w:szCs w:val="23"/>
        </w:rPr>
      </w:pPr>
      <w:r>
        <w:rPr>
          <w:sz w:val="23"/>
          <w:szCs w:val="23"/>
        </w:rPr>
        <w:t xml:space="preserve">وحدة </w:t>
      </w:r>
      <w:r w:rsidR="00A169BA">
        <w:rPr>
          <w:sz w:val="23"/>
          <w:szCs w:val="23"/>
        </w:rPr>
        <w:t>ال</w:t>
      </w:r>
      <w:r w:rsidR="00A169BA">
        <w:rPr>
          <w:rFonts w:hint="cs"/>
          <w:sz w:val="23"/>
          <w:szCs w:val="23"/>
        </w:rPr>
        <w:t>إ</w:t>
      </w:r>
      <w:r w:rsidR="00A169BA">
        <w:rPr>
          <w:sz w:val="23"/>
          <w:szCs w:val="23"/>
        </w:rPr>
        <w:t xml:space="preserve">ستراتيجيات </w:t>
      </w:r>
      <w:r>
        <w:rPr>
          <w:sz w:val="23"/>
          <w:szCs w:val="23"/>
        </w:rPr>
        <w:t>الخاصة بمنطقة الشرق الأوسط وشمال أفريقيا</w:t>
      </w:r>
    </w:p>
    <w:p w14:paraId="65801098" w14:textId="77777777" w:rsidR="004027CE" w:rsidRDefault="4F88A954" w:rsidP="4F88A954">
      <w:pPr>
        <w:pStyle w:val="Default"/>
        <w:rPr>
          <w:sz w:val="23"/>
          <w:szCs w:val="23"/>
        </w:rPr>
      </w:pPr>
      <w:r>
        <w:rPr>
          <w:sz w:val="23"/>
          <w:szCs w:val="23"/>
        </w:rPr>
        <w:t>مؤسسة التمويل الدولية</w:t>
      </w:r>
    </w:p>
    <w:p w14:paraId="7D09825D" w14:textId="77777777" w:rsidR="004027CE" w:rsidRDefault="004027CE" w:rsidP="007B17BF">
      <w:pPr>
        <w:pStyle w:val="Default"/>
        <w:jc w:val="center"/>
        <w:rPr>
          <w:b/>
          <w:bCs/>
          <w:sz w:val="23"/>
          <w:szCs w:val="23"/>
        </w:rPr>
      </w:pPr>
    </w:p>
    <w:p w14:paraId="70DB203E" w14:textId="77777777" w:rsidR="004027CE" w:rsidRPr="00875F13" w:rsidRDefault="4F88A954" w:rsidP="4F88A954">
      <w:pPr>
        <w:pStyle w:val="Default"/>
        <w:rPr>
          <w:color w:val="auto"/>
          <w:sz w:val="23"/>
          <w:szCs w:val="23"/>
        </w:rPr>
      </w:pPr>
      <w:r>
        <w:rPr>
          <w:color w:val="auto"/>
          <w:sz w:val="23"/>
          <w:szCs w:val="23"/>
        </w:rPr>
        <w:t>عمليات</w:t>
      </w:r>
      <w:r w:rsidR="00022F13">
        <w:rPr>
          <w:color w:val="auto"/>
          <w:sz w:val="23"/>
          <w:szCs w:val="23"/>
        </w:rPr>
        <w:t xml:space="preserve"> </w:t>
      </w:r>
      <w:r>
        <w:rPr>
          <w:color w:val="auto"/>
          <w:sz w:val="23"/>
          <w:szCs w:val="23"/>
        </w:rPr>
        <w:t>الوكالة الدولية لضمان الاستثمار</w:t>
      </w:r>
    </w:p>
    <w:p w14:paraId="2170F179" w14:textId="77777777" w:rsidR="004027CE" w:rsidRDefault="4F88A954" w:rsidP="00824EBD">
      <w:pPr>
        <w:pStyle w:val="Default"/>
        <w:rPr>
          <w:sz w:val="23"/>
          <w:szCs w:val="23"/>
        </w:rPr>
      </w:pPr>
      <w:r>
        <w:rPr>
          <w:sz w:val="23"/>
          <w:szCs w:val="23"/>
        </w:rPr>
        <w:t>الوكالة الدولية لضمان الاستثمار</w:t>
      </w:r>
    </w:p>
    <w:p w14:paraId="04EC67AF" w14:textId="77777777" w:rsidR="00080625" w:rsidRDefault="00080625" w:rsidP="00824EBD">
      <w:pPr>
        <w:pStyle w:val="Default"/>
      </w:pPr>
    </w:p>
    <w:p w14:paraId="7C5244F1" w14:textId="77777777" w:rsidR="004027CE" w:rsidRPr="00166140" w:rsidRDefault="4F88A954" w:rsidP="4F88A954">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3"/>
          <w:szCs w:val="23"/>
        </w:rPr>
      </w:pPr>
      <w:r>
        <w:rPr>
          <w:rFonts w:ascii="Arial" w:hAnsi="Arial"/>
          <w:sz w:val="23"/>
          <w:szCs w:val="23"/>
        </w:rPr>
        <w:t>يقتصر توزيع هذه الوثيقة على الجهات والأفراد المرسلة إليهم ويجوز لهم استخدامها لأداء واجباتهم الرسمية فحسب. ولا يجوز بخلاف ذلك الكشف عن مضمونها بدون تخويلٍ من مجموعة البنك الدولي.</w:t>
      </w:r>
    </w:p>
    <w:p w14:paraId="552E2EFA" w14:textId="77777777" w:rsidR="005D136D" w:rsidRDefault="005D136D" w:rsidP="4F88A954">
      <w:pPr>
        <w:jc w:val="center"/>
        <w:rPr>
          <w:rFonts w:ascii="Times New Roman" w:eastAsia="Calibri" w:hAnsi="Times New Roman" w:cs="Times New Roman"/>
        </w:rPr>
        <w:sectPr w:rsidR="005D136D">
          <w:footerReference w:type="default" r:id="rId17"/>
          <w:type w:val="continuous"/>
          <w:pgSz w:w="12240" w:h="15840"/>
          <w:pgMar w:top="1440" w:right="1440" w:bottom="1440" w:left="1440" w:header="720" w:footer="720" w:gutter="0"/>
          <w:cols w:space="720"/>
          <w:docGrid w:linePitch="360"/>
        </w:sectPr>
      </w:pPr>
    </w:p>
    <w:p w14:paraId="4D2ED99F" w14:textId="77777777" w:rsidR="005D136D" w:rsidRDefault="005D136D" w:rsidP="4F88A954">
      <w:pPr>
        <w:jc w:val="center"/>
        <w:rPr>
          <w:rFonts w:ascii="Times New Roman" w:eastAsia="Calibri" w:hAnsi="Times New Roman" w:cs="Times New Roman"/>
        </w:rPr>
        <w:sectPr w:rsidR="005D136D">
          <w:footerReference w:type="default" r:id="rId18"/>
          <w:type w:val="continuous"/>
          <w:pgSz w:w="12240" w:h="15840"/>
          <w:pgMar w:top="1440" w:right="1440" w:bottom="1440" w:left="1440" w:header="720" w:footer="720" w:gutter="0"/>
          <w:cols w:space="720"/>
          <w:docGrid w:linePitch="360"/>
        </w:sectPr>
      </w:pPr>
    </w:p>
    <w:p w14:paraId="195F799D" w14:textId="77777777" w:rsidR="003C28A3" w:rsidRDefault="003C28A3" w:rsidP="005E43A1">
      <w:pPr>
        <w:sectPr w:rsidR="003C28A3" w:rsidSect="003C28A3">
          <w:type w:val="continuous"/>
          <w:pgSz w:w="12240" w:h="15840"/>
          <w:pgMar w:top="1440" w:right="1440" w:bottom="1440" w:left="1440" w:header="720" w:footer="720" w:gutter="0"/>
          <w:pgNumType w:fmt="lowerRoman"/>
          <w:cols w:space="720"/>
          <w:docGrid w:linePitch="360"/>
        </w:sectPr>
      </w:pPr>
    </w:p>
    <w:p w14:paraId="7EC92F22" w14:textId="77777777" w:rsidR="005E43A1" w:rsidRPr="00221A30" w:rsidRDefault="005E43A1" w:rsidP="005E43A1">
      <w:pPr>
        <w:spacing w:after="0"/>
        <w:jc w:val="center"/>
        <w:rPr>
          <w:rFonts w:ascii="Arial" w:eastAsia="Arial" w:hAnsi="Arial" w:cs="Arial"/>
        </w:rPr>
      </w:pPr>
      <w:r>
        <w:rPr>
          <w:rFonts w:ascii="Arial" w:hAnsi="Arial"/>
        </w:rPr>
        <w:lastRenderedPageBreak/>
        <w:t>أسعار العملة والقيمة المعادلة لها (في 6 نوفمبر/تشرين الثاني 2017)</w:t>
      </w:r>
    </w:p>
    <w:p w14:paraId="072226EA" w14:textId="77777777" w:rsidR="005E43A1" w:rsidRPr="00221A30" w:rsidRDefault="005E43A1" w:rsidP="005E43A1">
      <w:pPr>
        <w:spacing w:after="0" w:line="240" w:lineRule="auto"/>
        <w:jc w:val="center"/>
        <w:rPr>
          <w:rFonts w:ascii="Arial" w:eastAsia="Arial" w:hAnsi="Arial" w:cs="Arial"/>
        </w:rPr>
      </w:pPr>
      <w:r>
        <w:rPr>
          <w:rFonts w:ascii="Arial" w:hAnsi="Arial"/>
        </w:rPr>
        <w:t xml:space="preserve">وحدة العملة = شيكل إسرائيلي جديد </w:t>
      </w:r>
    </w:p>
    <w:p w14:paraId="443B805A" w14:textId="77777777" w:rsidR="005E43A1" w:rsidRPr="00221A30" w:rsidRDefault="005E43A1" w:rsidP="005E43A1">
      <w:pPr>
        <w:spacing w:after="0" w:line="240" w:lineRule="auto"/>
        <w:jc w:val="center"/>
        <w:rPr>
          <w:rFonts w:ascii="Arial" w:eastAsia="Arial" w:hAnsi="Arial" w:cs="Arial"/>
        </w:rPr>
      </w:pPr>
      <w:r>
        <w:rPr>
          <w:rFonts w:ascii="Arial" w:hAnsi="Arial"/>
        </w:rPr>
        <w:t>دولار أمريكي واحد = 3.51 شيكل إسرائيلي جديد</w:t>
      </w:r>
    </w:p>
    <w:p w14:paraId="39B7D004" w14:textId="77777777" w:rsidR="005E43A1" w:rsidRDefault="005E43A1" w:rsidP="005E43A1">
      <w:pPr>
        <w:spacing w:after="60" w:line="240" w:lineRule="auto"/>
        <w:jc w:val="center"/>
        <w:rPr>
          <w:rFonts w:ascii="Times New Roman" w:eastAsia="Calibri" w:hAnsi="Times New Roman" w:cs="Times New Roman"/>
          <w:b/>
          <w:bCs/>
          <w:caps/>
        </w:rPr>
      </w:pPr>
    </w:p>
    <w:p w14:paraId="5BB402B1" w14:textId="77777777" w:rsidR="005E43A1" w:rsidRDefault="005E43A1" w:rsidP="005E43A1">
      <w:pPr>
        <w:spacing w:after="60" w:line="240" w:lineRule="auto"/>
        <w:jc w:val="center"/>
        <w:rPr>
          <w:rFonts w:ascii="Arial" w:eastAsia="Arial" w:hAnsi="Arial" w:cs="Arial"/>
          <w:b/>
          <w:bCs/>
          <w:caps/>
        </w:rPr>
      </w:pPr>
      <w:r>
        <w:rPr>
          <w:rFonts w:ascii="Arial" w:hAnsi="Arial"/>
          <w:b/>
          <w:bCs/>
          <w:caps/>
        </w:rPr>
        <w:t>الاختصارات والأسماء المختصرة</w:t>
      </w:r>
    </w:p>
    <w:p w14:paraId="23D826F4" w14:textId="77777777" w:rsidR="0038055D" w:rsidRPr="00166140" w:rsidRDefault="002A6EF3" w:rsidP="005E43A1">
      <w:pPr>
        <w:spacing w:after="60" w:line="240" w:lineRule="auto"/>
        <w:rPr>
          <w:rFonts w:ascii="Times New Roman" w:eastAsia="Calibri" w:hAnsi="Times New Roman" w:cs="Times New Roman"/>
          <w:b/>
          <w:bCs/>
          <w:caps/>
          <w:sz w:val="23"/>
          <w:szCs w:val="23"/>
        </w:rPr>
      </w:pPr>
      <w:r>
        <w:rPr>
          <w:rFonts w:ascii="Times New Roman" w:eastAsia="Calibri" w:hAnsi="Times New Roman" w:cs="Times New Roman" w:hint="cs"/>
          <w:b/>
          <w:bCs/>
          <w:caps/>
          <w:sz w:val="23"/>
          <w:szCs w:val="23"/>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3699"/>
        <w:gridCol w:w="1045"/>
        <w:gridCol w:w="3611"/>
      </w:tblGrid>
      <w:tr w:rsidR="005E43A1" w:rsidRPr="005E43A1" w14:paraId="04654957" w14:textId="77777777" w:rsidTr="00542F06">
        <w:tc>
          <w:tcPr>
            <w:tcW w:w="1009" w:type="dxa"/>
          </w:tcPr>
          <w:p w14:paraId="365B32A3"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ASA</w:t>
            </w:r>
          </w:p>
        </w:tc>
        <w:tc>
          <w:tcPr>
            <w:tcW w:w="3805" w:type="dxa"/>
          </w:tcPr>
          <w:p w14:paraId="63B26271"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الخدمات التحليلية والاستشارية</w:t>
            </w:r>
          </w:p>
        </w:tc>
        <w:tc>
          <w:tcPr>
            <w:tcW w:w="1048" w:type="dxa"/>
          </w:tcPr>
          <w:p w14:paraId="4D7770FA" w14:textId="77777777" w:rsidR="005E43A1" w:rsidRPr="005E43A1" w:rsidRDefault="005E43A1" w:rsidP="00542F06">
            <w:pPr>
              <w:rPr>
                <w:sz w:val="20"/>
                <w:szCs w:val="20"/>
              </w:rPr>
            </w:pPr>
            <w:r w:rsidRPr="005E43A1">
              <w:rPr>
                <w:sz w:val="20"/>
                <w:szCs w:val="20"/>
                <w:rtl w:val="0"/>
              </w:rPr>
              <w:t>NPA</w:t>
            </w:r>
          </w:p>
        </w:tc>
        <w:tc>
          <w:tcPr>
            <w:tcW w:w="3714" w:type="dxa"/>
          </w:tcPr>
          <w:p w14:paraId="7A35FE2F" w14:textId="77777777" w:rsidR="005E43A1" w:rsidRPr="005E43A1" w:rsidRDefault="005E43A1" w:rsidP="00542F06">
            <w:pPr>
              <w:rPr>
                <w:sz w:val="20"/>
                <w:szCs w:val="20"/>
              </w:rPr>
            </w:pPr>
            <w:r w:rsidRPr="005E43A1">
              <w:rPr>
                <w:rFonts w:cs="Arial"/>
                <w:sz w:val="20"/>
                <w:szCs w:val="20"/>
              </w:rPr>
              <w:t>أجندة السياسات الوطنية الفلسطينية</w:t>
            </w:r>
          </w:p>
        </w:tc>
      </w:tr>
      <w:tr w:rsidR="005E43A1" w:rsidRPr="005E43A1" w14:paraId="28665AF8" w14:textId="77777777" w:rsidTr="00542F06">
        <w:tc>
          <w:tcPr>
            <w:tcW w:w="1009" w:type="dxa"/>
          </w:tcPr>
          <w:p w14:paraId="3CBB3040"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AFD</w:t>
            </w:r>
          </w:p>
        </w:tc>
        <w:tc>
          <w:tcPr>
            <w:tcW w:w="3805" w:type="dxa"/>
          </w:tcPr>
          <w:p w14:paraId="7436D014"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الوكالة الفرنسية للتنمية</w:t>
            </w:r>
          </w:p>
        </w:tc>
        <w:tc>
          <w:tcPr>
            <w:tcW w:w="1048" w:type="dxa"/>
          </w:tcPr>
          <w:p w14:paraId="75D97E62" w14:textId="77777777" w:rsidR="005E43A1" w:rsidRPr="005E43A1" w:rsidRDefault="005E43A1" w:rsidP="00542F06">
            <w:pPr>
              <w:rPr>
                <w:sz w:val="20"/>
                <w:szCs w:val="20"/>
              </w:rPr>
            </w:pPr>
            <w:r w:rsidRPr="005E43A1">
              <w:rPr>
                <w:sz w:val="20"/>
                <w:szCs w:val="20"/>
                <w:rtl w:val="0"/>
              </w:rPr>
              <w:t>PA</w:t>
            </w:r>
          </w:p>
        </w:tc>
        <w:tc>
          <w:tcPr>
            <w:tcW w:w="3714" w:type="dxa"/>
          </w:tcPr>
          <w:p w14:paraId="33D25DD4" w14:textId="77777777" w:rsidR="005E43A1" w:rsidRPr="005E43A1" w:rsidRDefault="005E43A1" w:rsidP="00542F06">
            <w:pPr>
              <w:rPr>
                <w:sz w:val="20"/>
                <w:szCs w:val="20"/>
              </w:rPr>
            </w:pPr>
            <w:r w:rsidRPr="005E43A1">
              <w:rPr>
                <w:rFonts w:cs="Arial"/>
                <w:sz w:val="20"/>
                <w:szCs w:val="20"/>
              </w:rPr>
              <w:t>السلطة الفلسطينية</w:t>
            </w:r>
          </w:p>
        </w:tc>
      </w:tr>
      <w:tr w:rsidR="005E43A1" w:rsidRPr="005E43A1" w14:paraId="73DA64BB" w14:textId="77777777" w:rsidTr="00542F06">
        <w:tc>
          <w:tcPr>
            <w:tcW w:w="1009" w:type="dxa"/>
          </w:tcPr>
          <w:p w14:paraId="79BCA479"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AHLC</w:t>
            </w:r>
          </w:p>
        </w:tc>
        <w:tc>
          <w:tcPr>
            <w:tcW w:w="3805" w:type="dxa"/>
          </w:tcPr>
          <w:p w14:paraId="54FEA1A1"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لجنة الاتصال الخاصة</w:t>
            </w:r>
          </w:p>
        </w:tc>
        <w:tc>
          <w:tcPr>
            <w:tcW w:w="1048" w:type="dxa"/>
          </w:tcPr>
          <w:p w14:paraId="478B7814" w14:textId="77777777" w:rsidR="005E43A1" w:rsidRPr="005E43A1" w:rsidRDefault="005E43A1" w:rsidP="00542F06">
            <w:pPr>
              <w:rPr>
                <w:sz w:val="20"/>
                <w:szCs w:val="20"/>
              </w:rPr>
            </w:pPr>
            <w:r w:rsidRPr="005E43A1">
              <w:rPr>
                <w:sz w:val="20"/>
                <w:szCs w:val="20"/>
                <w:rtl w:val="0"/>
              </w:rPr>
              <w:t>PEFA</w:t>
            </w:r>
          </w:p>
        </w:tc>
        <w:tc>
          <w:tcPr>
            <w:tcW w:w="3714" w:type="dxa"/>
          </w:tcPr>
          <w:p w14:paraId="4C8A61E5" w14:textId="77777777" w:rsidR="005E43A1" w:rsidRPr="005E43A1" w:rsidRDefault="005E43A1" w:rsidP="00542F06">
            <w:pPr>
              <w:rPr>
                <w:sz w:val="20"/>
                <w:szCs w:val="20"/>
              </w:rPr>
            </w:pPr>
            <w:r w:rsidRPr="005E43A1">
              <w:rPr>
                <w:rFonts w:cs="Arial"/>
                <w:sz w:val="20"/>
                <w:szCs w:val="20"/>
              </w:rPr>
              <w:t>الإنفاق العام والمساءلة المالية</w:t>
            </w:r>
          </w:p>
        </w:tc>
      </w:tr>
      <w:tr w:rsidR="005E43A1" w:rsidRPr="005E43A1" w14:paraId="556944EF" w14:textId="77777777" w:rsidTr="00542F06">
        <w:tc>
          <w:tcPr>
            <w:tcW w:w="1009" w:type="dxa"/>
          </w:tcPr>
          <w:p w14:paraId="1C575245"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AML</w:t>
            </w:r>
          </w:p>
        </w:tc>
        <w:tc>
          <w:tcPr>
            <w:tcW w:w="3805" w:type="dxa"/>
          </w:tcPr>
          <w:p w14:paraId="5CFBF01D"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مكافحة غسل الأموال</w:t>
            </w:r>
          </w:p>
        </w:tc>
        <w:tc>
          <w:tcPr>
            <w:tcW w:w="1048" w:type="dxa"/>
          </w:tcPr>
          <w:p w14:paraId="48377A93" w14:textId="77777777" w:rsidR="005E43A1" w:rsidRPr="005E43A1" w:rsidRDefault="005E43A1" w:rsidP="00542F06">
            <w:pPr>
              <w:rPr>
                <w:sz w:val="20"/>
                <w:szCs w:val="20"/>
              </w:rPr>
            </w:pPr>
            <w:r w:rsidRPr="005E43A1">
              <w:rPr>
                <w:sz w:val="20"/>
                <w:szCs w:val="20"/>
                <w:rtl w:val="0"/>
              </w:rPr>
              <w:t>PENRA</w:t>
            </w:r>
          </w:p>
        </w:tc>
        <w:tc>
          <w:tcPr>
            <w:tcW w:w="3714" w:type="dxa"/>
          </w:tcPr>
          <w:p w14:paraId="136644C7" w14:textId="77777777" w:rsidR="005E43A1" w:rsidRPr="005E43A1" w:rsidRDefault="005E43A1" w:rsidP="00542F06">
            <w:pPr>
              <w:rPr>
                <w:sz w:val="20"/>
                <w:szCs w:val="20"/>
              </w:rPr>
            </w:pPr>
            <w:r w:rsidRPr="005E43A1">
              <w:rPr>
                <w:rFonts w:cs="Arial"/>
                <w:sz w:val="20"/>
                <w:szCs w:val="20"/>
              </w:rPr>
              <w:t>سلطة الطاقة والموارد الطبيعية الفلسطينية</w:t>
            </w:r>
          </w:p>
        </w:tc>
      </w:tr>
      <w:tr w:rsidR="005E43A1" w:rsidRPr="005E43A1" w14:paraId="229E0D72" w14:textId="77777777" w:rsidTr="00542F06">
        <w:tc>
          <w:tcPr>
            <w:tcW w:w="1009" w:type="dxa"/>
          </w:tcPr>
          <w:p w14:paraId="428658F8"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CAFEF</w:t>
            </w:r>
          </w:p>
        </w:tc>
        <w:tc>
          <w:tcPr>
            <w:tcW w:w="3805" w:type="dxa"/>
          </w:tcPr>
          <w:p w14:paraId="370FFB42"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صندوق البلدان الهشة والمتأثرة بالصراعات</w:t>
            </w:r>
          </w:p>
        </w:tc>
        <w:tc>
          <w:tcPr>
            <w:tcW w:w="1048" w:type="dxa"/>
          </w:tcPr>
          <w:p w14:paraId="7B26F2A8" w14:textId="77777777" w:rsidR="005E43A1" w:rsidRPr="005E43A1" w:rsidRDefault="005E43A1" w:rsidP="00542F06">
            <w:pPr>
              <w:rPr>
                <w:sz w:val="20"/>
                <w:szCs w:val="20"/>
              </w:rPr>
            </w:pPr>
            <w:r w:rsidRPr="005E43A1">
              <w:rPr>
                <w:sz w:val="20"/>
                <w:szCs w:val="20"/>
                <w:rtl w:val="0"/>
              </w:rPr>
              <w:t>PERC</w:t>
            </w:r>
          </w:p>
        </w:tc>
        <w:tc>
          <w:tcPr>
            <w:tcW w:w="3714" w:type="dxa"/>
          </w:tcPr>
          <w:p w14:paraId="20381583" w14:textId="77777777" w:rsidR="005E43A1" w:rsidRPr="005E43A1" w:rsidRDefault="005E43A1" w:rsidP="00542F06">
            <w:pPr>
              <w:rPr>
                <w:sz w:val="20"/>
                <w:szCs w:val="20"/>
              </w:rPr>
            </w:pPr>
            <w:r w:rsidRPr="005E43A1">
              <w:rPr>
                <w:rFonts w:cs="Arial"/>
                <w:sz w:val="20"/>
                <w:szCs w:val="20"/>
              </w:rPr>
              <w:t>مجلس تنظيم قطاع الكهرباء الفلسطيني</w:t>
            </w:r>
          </w:p>
        </w:tc>
      </w:tr>
      <w:tr w:rsidR="005E43A1" w:rsidRPr="005E43A1" w14:paraId="377CC98E" w14:textId="77777777" w:rsidTr="00542F06">
        <w:tc>
          <w:tcPr>
            <w:tcW w:w="1009" w:type="dxa"/>
          </w:tcPr>
          <w:p w14:paraId="24769380"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CB</w:t>
            </w:r>
          </w:p>
        </w:tc>
        <w:tc>
          <w:tcPr>
            <w:tcW w:w="3805" w:type="dxa"/>
          </w:tcPr>
          <w:p w14:paraId="74055B1B"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موازنة المواطن</w:t>
            </w:r>
          </w:p>
        </w:tc>
        <w:tc>
          <w:tcPr>
            <w:tcW w:w="1048" w:type="dxa"/>
          </w:tcPr>
          <w:p w14:paraId="0C851133" w14:textId="77777777" w:rsidR="005E43A1" w:rsidRPr="005E43A1" w:rsidRDefault="005E43A1" w:rsidP="00542F06">
            <w:pPr>
              <w:rPr>
                <w:sz w:val="20"/>
                <w:szCs w:val="20"/>
              </w:rPr>
            </w:pPr>
            <w:r w:rsidRPr="005E43A1">
              <w:rPr>
                <w:sz w:val="20"/>
                <w:szCs w:val="20"/>
                <w:rtl w:val="0"/>
              </w:rPr>
              <w:t>PETL</w:t>
            </w:r>
          </w:p>
        </w:tc>
        <w:tc>
          <w:tcPr>
            <w:tcW w:w="3714" w:type="dxa"/>
          </w:tcPr>
          <w:p w14:paraId="67F184B4" w14:textId="77777777" w:rsidR="005E43A1" w:rsidRPr="005E43A1" w:rsidRDefault="005E43A1" w:rsidP="00542F06">
            <w:pPr>
              <w:rPr>
                <w:sz w:val="20"/>
                <w:szCs w:val="20"/>
              </w:rPr>
            </w:pPr>
            <w:r w:rsidRPr="005E43A1">
              <w:rPr>
                <w:rFonts w:cs="Arial"/>
                <w:sz w:val="20"/>
                <w:szCs w:val="20"/>
              </w:rPr>
              <w:t>شركة النقل الوطنية للكهرباء</w:t>
            </w:r>
          </w:p>
        </w:tc>
      </w:tr>
      <w:tr w:rsidR="005E43A1" w:rsidRPr="005E43A1" w14:paraId="07ABD4BB" w14:textId="77777777" w:rsidTr="00542F06">
        <w:tc>
          <w:tcPr>
            <w:tcW w:w="1009" w:type="dxa"/>
          </w:tcPr>
          <w:p w14:paraId="494D1019"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CCSA</w:t>
            </w:r>
          </w:p>
        </w:tc>
        <w:tc>
          <w:tcPr>
            <w:tcW w:w="3805" w:type="dxa"/>
          </w:tcPr>
          <w:p w14:paraId="2C6F5BCF"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مجالات الحلول المشتركة</w:t>
            </w:r>
          </w:p>
        </w:tc>
        <w:tc>
          <w:tcPr>
            <w:tcW w:w="1048" w:type="dxa"/>
          </w:tcPr>
          <w:p w14:paraId="4721EE0A" w14:textId="77777777" w:rsidR="005E43A1" w:rsidRPr="005E43A1" w:rsidRDefault="005E43A1" w:rsidP="00542F06">
            <w:pPr>
              <w:rPr>
                <w:sz w:val="20"/>
                <w:szCs w:val="20"/>
              </w:rPr>
            </w:pPr>
            <w:r w:rsidRPr="005E43A1">
              <w:rPr>
                <w:sz w:val="20"/>
                <w:szCs w:val="20"/>
                <w:rtl w:val="0"/>
              </w:rPr>
              <w:t>PFM</w:t>
            </w:r>
          </w:p>
        </w:tc>
        <w:tc>
          <w:tcPr>
            <w:tcW w:w="3714" w:type="dxa"/>
          </w:tcPr>
          <w:p w14:paraId="7BB5C74D" w14:textId="77777777" w:rsidR="005E43A1" w:rsidRPr="005E43A1" w:rsidRDefault="005E43A1" w:rsidP="00542F06">
            <w:pPr>
              <w:rPr>
                <w:sz w:val="20"/>
                <w:szCs w:val="20"/>
              </w:rPr>
            </w:pPr>
            <w:r w:rsidRPr="005E43A1">
              <w:rPr>
                <w:rFonts w:cs="Arial"/>
                <w:sz w:val="20"/>
                <w:szCs w:val="20"/>
              </w:rPr>
              <w:t>إدارة شؤون المالية العامة</w:t>
            </w:r>
          </w:p>
        </w:tc>
      </w:tr>
      <w:tr w:rsidR="005E43A1" w:rsidRPr="005E43A1" w14:paraId="4DCEA198" w14:textId="77777777" w:rsidTr="00542F06">
        <w:tc>
          <w:tcPr>
            <w:tcW w:w="1009" w:type="dxa"/>
          </w:tcPr>
          <w:p w14:paraId="660CB1DE"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CFT</w:t>
            </w:r>
          </w:p>
        </w:tc>
        <w:tc>
          <w:tcPr>
            <w:tcW w:w="3805" w:type="dxa"/>
          </w:tcPr>
          <w:p w14:paraId="10108ABC"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مكافحة تمويل الإرهاب</w:t>
            </w:r>
          </w:p>
        </w:tc>
        <w:tc>
          <w:tcPr>
            <w:tcW w:w="1048" w:type="dxa"/>
          </w:tcPr>
          <w:p w14:paraId="65A71627" w14:textId="77777777" w:rsidR="005E43A1" w:rsidRPr="005E43A1" w:rsidRDefault="005E43A1" w:rsidP="00542F06">
            <w:pPr>
              <w:rPr>
                <w:sz w:val="20"/>
                <w:szCs w:val="20"/>
              </w:rPr>
            </w:pPr>
            <w:r w:rsidRPr="005E43A1">
              <w:rPr>
                <w:sz w:val="20"/>
                <w:szCs w:val="20"/>
                <w:rtl w:val="0"/>
              </w:rPr>
              <w:t>PIDTF</w:t>
            </w:r>
          </w:p>
        </w:tc>
        <w:tc>
          <w:tcPr>
            <w:tcW w:w="3714" w:type="dxa"/>
          </w:tcPr>
          <w:p w14:paraId="5609B76D" w14:textId="77777777" w:rsidR="005E43A1" w:rsidRPr="005E43A1" w:rsidRDefault="005E43A1" w:rsidP="00542F06">
            <w:pPr>
              <w:rPr>
                <w:sz w:val="20"/>
                <w:szCs w:val="20"/>
              </w:rPr>
            </w:pPr>
            <w:r w:rsidRPr="005E43A1">
              <w:rPr>
                <w:rFonts w:cs="Arial"/>
                <w:sz w:val="20"/>
                <w:szCs w:val="20"/>
              </w:rPr>
              <w:t>الصندوق الاستئماني لتنمية البنية التحتية في فلسطين</w:t>
            </w:r>
          </w:p>
        </w:tc>
      </w:tr>
      <w:tr w:rsidR="005E43A1" w:rsidRPr="005E43A1" w14:paraId="13D727BC" w14:textId="77777777" w:rsidTr="00542F06">
        <w:tc>
          <w:tcPr>
            <w:tcW w:w="1009" w:type="dxa"/>
          </w:tcPr>
          <w:p w14:paraId="0B1A2BA0"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CMWU</w:t>
            </w:r>
          </w:p>
        </w:tc>
        <w:tc>
          <w:tcPr>
            <w:tcW w:w="3805" w:type="dxa"/>
          </w:tcPr>
          <w:p w14:paraId="06083FB8"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مصلحة مياه بلديات الساحل</w:t>
            </w:r>
          </w:p>
        </w:tc>
        <w:tc>
          <w:tcPr>
            <w:tcW w:w="1048" w:type="dxa"/>
          </w:tcPr>
          <w:p w14:paraId="058117DD" w14:textId="77777777" w:rsidR="005E43A1" w:rsidRPr="005E43A1" w:rsidRDefault="005E43A1" w:rsidP="00542F06">
            <w:pPr>
              <w:rPr>
                <w:sz w:val="20"/>
                <w:szCs w:val="20"/>
              </w:rPr>
            </w:pPr>
            <w:r w:rsidRPr="005E43A1">
              <w:rPr>
                <w:sz w:val="20"/>
                <w:szCs w:val="20"/>
                <w:rtl w:val="0"/>
              </w:rPr>
              <w:t>PLA</w:t>
            </w:r>
          </w:p>
        </w:tc>
        <w:tc>
          <w:tcPr>
            <w:tcW w:w="3714" w:type="dxa"/>
          </w:tcPr>
          <w:p w14:paraId="447D3E98" w14:textId="77777777" w:rsidR="005E43A1" w:rsidRPr="005E43A1" w:rsidRDefault="005E43A1" w:rsidP="00542F06">
            <w:pPr>
              <w:rPr>
                <w:sz w:val="20"/>
                <w:szCs w:val="20"/>
              </w:rPr>
            </w:pPr>
            <w:r w:rsidRPr="005E43A1">
              <w:rPr>
                <w:rFonts w:cs="Arial"/>
                <w:sz w:val="20"/>
                <w:szCs w:val="20"/>
              </w:rPr>
              <w:t>سلطة الأراضي الفلسطينية</w:t>
            </w:r>
          </w:p>
        </w:tc>
      </w:tr>
      <w:tr w:rsidR="005E43A1" w:rsidRPr="005E43A1" w14:paraId="23047C0D" w14:textId="77777777" w:rsidTr="00542F06">
        <w:tc>
          <w:tcPr>
            <w:tcW w:w="1009" w:type="dxa"/>
          </w:tcPr>
          <w:p w14:paraId="401C1AF5"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COGAT</w:t>
            </w:r>
          </w:p>
        </w:tc>
        <w:tc>
          <w:tcPr>
            <w:tcW w:w="3805" w:type="dxa"/>
          </w:tcPr>
          <w:p w14:paraId="114303AC"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منسق أعمال الحكومة في المناطق</w:t>
            </w:r>
          </w:p>
        </w:tc>
        <w:tc>
          <w:tcPr>
            <w:tcW w:w="1048" w:type="dxa"/>
          </w:tcPr>
          <w:p w14:paraId="52F088B8" w14:textId="77777777" w:rsidR="005E43A1" w:rsidRPr="005E43A1" w:rsidRDefault="005E43A1" w:rsidP="00542F06">
            <w:pPr>
              <w:rPr>
                <w:sz w:val="20"/>
                <w:szCs w:val="20"/>
              </w:rPr>
            </w:pPr>
            <w:r w:rsidRPr="005E43A1">
              <w:rPr>
                <w:sz w:val="20"/>
                <w:szCs w:val="20"/>
                <w:rtl w:val="0"/>
              </w:rPr>
              <w:t>PMA</w:t>
            </w:r>
          </w:p>
        </w:tc>
        <w:tc>
          <w:tcPr>
            <w:tcW w:w="3714" w:type="dxa"/>
          </w:tcPr>
          <w:p w14:paraId="70B9CD43" w14:textId="77777777" w:rsidR="005E43A1" w:rsidRPr="005E43A1" w:rsidRDefault="005E43A1" w:rsidP="00542F06">
            <w:pPr>
              <w:rPr>
                <w:sz w:val="20"/>
                <w:szCs w:val="20"/>
              </w:rPr>
            </w:pPr>
            <w:r w:rsidRPr="005E43A1">
              <w:rPr>
                <w:rFonts w:cs="Arial"/>
                <w:sz w:val="20"/>
                <w:szCs w:val="20"/>
              </w:rPr>
              <w:t>سلطة النقد الفلسطينية</w:t>
            </w:r>
          </w:p>
        </w:tc>
      </w:tr>
      <w:tr w:rsidR="005E43A1" w:rsidRPr="005E43A1" w14:paraId="67DC3910" w14:textId="77777777" w:rsidTr="00542F06">
        <w:tc>
          <w:tcPr>
            <w:tcW w:w="1009" w:type="dxa"/>
          </w:tcPr>
          <w:p w14:paraId="7E17CA2C"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DfID</w:t>
            </w:r>
          </w:p>
        </w:tc>
        <w:tc>
          <w:tcPr>
            <w:tcW w:w="3805" w:type="dxa"/>
          </w:tcPr>
          <w:p w14:paraId="71B3F6D0"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وزارة التنمية الدولية</w:t>
            </w:r>
            <w:r w:rsidRPr="005E43A1">
              <w:rPr>
                <w:rFonts w:ascii="Times New Roman" w:eastAsia="Calibri" w:hAnsi="Times New Roman" w:cs="Times New Roman" w:hint="cs"/>
                <w:caps/>
                <w:sz w:val="20"/>
                <w:szCs w:val="20"/>
              </w:rPr>
              <w:t xml:space="preserve"> </w:t>
            </w:r>
            <w:r w:rsidRPr="005E43A1">
              <w:rPr>
                <w:rFonts w:ascii="Times New Roman" w:eastAsia="Calibri" w:hAnsi="Times New Roman" w:cs="Times New Roman"/>
                <w:caps/>
                <w:sz w:val="20"/>
                <w:szCs w:val="20"/>
              </w:rPr>
              <w:t>البريطانية</w:t>
            </w:r>
          </w:p>
        </w:tc>
        <w:tc>
          <w:tcPr>
            <w:tcW w:w="1048" w:type="dxa"/>
          </w:tcPr>
          <w:p w14:paraId="20107B15" w14:textId="77777777" w:rsidR="005E43A1" w:rsidRPr="005E43A1" w:rsidRDefault="005E43A1" w:rsidP="00542F06">
            <w:pPr>
              <w:rPr>
                <w:sz w:val="20"/>
                <w:szCs w:val="20"/>
              </w:rPr>
            </w:pPr>
            <w:r w:rsidRPr="005E43A1">
              <w:rPr>
                <w:sz w:val="20"/>
                <w:szCs w:val="20"/>
                <w:rtl w:val="0"/>
              </w:rPr>
              <w:t>PPIAF</w:t>
            </w:r>
          </w:p>
        </w:tc>
        <w:tc>
          <w:tcPr>
            <w:tcW w:w="3714" w:type="dxa"/>
          </w:tcPr>
          <w:p w14:paraId="334E8F4D" w14:textId="77777777" w:rsidR="005E43A1" w:rsidRPr="005E43A1" w:rsidRDefault="005E43A1" w:rsidP="00542F06">
            <w:pPr>
              <w:rPr>
                <w:sz w:val="20"/>
                <w:szCs w:val="20"/>
              </w:rPr>
            </w:pPr>
            <w:r w:rsidRPr="005E43A1">
              <w:rPr>
                <w:rFonts w:cs="Arial"/>
                <w:sz w:val="20"/>
                <w:szCs w:val="20"/>
              </w:rPr>
              <w:t>البرنامج الاستشاري للشراكة بين القطاعين العام والخاص في مجال البنية التحتية</w:t>
            </w:r>
          </w:p>
        </w:tc>
      </w:tr>
      <w:tr w:rsidR="005E43A1" w:rsidRPr="005E43A1" w14:paraId="5EE351B5" w14:textId="77777777" w:rsidTr="00542F06">
        <w:tc>
          <w:tcPr>
            <w:tcW w:w="1009" w:type="dxa"/>
          </w:tcPr>
          <w:p w14:paraId="06860E95"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DIB</w:t>
            </w:r>
          </w:p>
        </w:tc>
        <w:tc>
          <w:tcPr>
            <w:tcW w:w="3805" w:type="dxa"/>
          </w:tcPr>
          <w:p w14:paraId="5FEA0F97"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سندات التأثير الإنمائي</w:t>
            </w:r>
          </w:p>
        </w:tc>
        <w:tc>
          <w:tcPr>
            <w:tcW w:w="1048" w:type="dxa"/>
          </w:tcPr>
          <w:p w14:paraId="31650D2A" w14:textId="77777777" w:rsidR="005E43A1" w:rsidRPr="005E43A1" w:rsidRDefault="005E43A1" w:rsidP="00542F06">
            <w:pPr>
              <w:rPr>
                <w:sz w:val="20"/>
                <w:szCs w:val="20"/>
              </w:rPr>
            </w:pPr>
            <w:r w:rsidRPr="005E43A1">
              <w:rPr>
                <w:sz w:val="20"/>
                <w:szCs w:val="20"/>
                <w:rtl w:val="0"/>
              </w:rPr>
              <w:t>PPP</w:t>
            </w:r>
          </w:p>
        </w:tc>
        <w:tc>
          <w:tcPr>
            <w:tcW w:w="3714" w:type="dxa"/>
          </w:tcPr>
          <w:p w14:paraId="0CB6E106" w14:textId="77777777" w:rsidR="005E43A1" w:rsidRPr="005E43A1" w:rsidRDefault="005E43A1" w:rsidP="00542F06">
            <w:pPr>
              <w:rPr>
                <w:sz w:val="20"/>
                <w:szCs w:val="20"/>
              </w:rPr>
            </w:pPr>
            <w:r w:rsidRPr="005E43A1">
              <w:rPr>
                <w:rFonts w:cs="Arial"/>
                <w:sz w:val="20"/>
                <w:szCs w:val="20"/>
              </w:rPr>
              <w:t>الشراكة بين القطاعين العام والخاص</w:t>
            </w:r>
          </w:p>
        </w:tc>
      </w:tr>
      <w:tr w:rsidR="005E43A1" w:rsidRPr="005E43A1" w14:paraId="0D494EB7" w14:textId="77777777" w:rsidTr="00542F06">
        <w:tc>
          <w:tcPr>
            <w:tcW w:w="1009" w:type="dxa"/>
          </w:tcPr>
          <w:p w14:paraId="51C2853D"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DISCO</w:t>
            </w:r>
          </w:p>
        </w:tc>
        <w:tc>
          <w:tcPr>
            <w:tcW w:w="3805" w:type="dxa"/>
          </w:tcPr>
          <w:p w14:paraId="2E7E51FF"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شركات التوزيع</w:t>
            </w:r>
          </w:p>
        </w:tc>
        <w:tc>
          <w:tcPr>
            <w:tcW w:w="1048" w:type="dxa"/>
          </w:tcPr>
          <w:p w14:paraId="3F1C7F80" w14:textId="77777777" w:rsidR="005E43A1" w:rsidRPr="005E43A1" w:rsidRDefault="005E43A1" w:rsidP="00542F06">
            <w:pPr>
              <w:rPr>
                <w:sz w:val="20"/>
                <w:szCs w:val="20"/>
              </w:rPr>
            </w:pPr>
            <w:r w:rsidRPr="005E43A1">
              <w:rPr>
                <w:sz w:val="20"/>
                <w:szCs w:val="20"/>
                <w:rtl w:val="0"/>
              </w:rPr>
              <w:t>PRDP TF</w:t>
            </w:r>
          </w:p>
        </w:tc>
        <w:tc>
          <w:tcPr>
            <w:tcW w:w="3714" w:type="dxa"/>
          </w:tcPr>
          <w:p w14:paraId="43541F80" w14:textId="77777777" w:rsidR="005E43A1" w:rsidRPr="005E43A1" w:rsidRDefault="005E43A1" w:rsidP="00542F06">
            <w:pPr>
              <w:rPr>
                <w:sz w:val="20"/>
                <w:szCs w:val="20"/>
              </w:rPr>
            </w:pPr>
            <w:r w:rsidRPr="005E43A1">
              <w:rPr>
                <w:rFonts w:cs="Arial"/>
                <w:sz w:val="20"/>
                <w:szCs w:val="20"/>
              </w:rPr>
              <w:t>الصندوق الاستئماني للإصلاح والتنمية في فلسطين</w:t>
            </w:r>
          </w:p>
        </w:tc>
      </w:tr>
      <w:tr w:rsidR="005E43A1" w:rsidRPr="005E43A1" w14:paraId="03A65B57" w14:textId="77777777" w:rsidTr="00542F06">
        <w:tc>
          <w:tcPr>
            <w:tcW w:w="1009" w:type="dxa"/>
          </w:tcPr>
          <w:p w14:paraId="505D7475"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DPG</w:t>
            </w:r>
          </w:p>
        </w:tc>
        <w:tc>
          <w:tcPr>
            <w:tcW w:w="3805" w:type="dxa"/>
          </w:tcPr>
          <w:p w14:paraId="2C498C44"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منحة لأغراض سياسات التنمية</w:t>
            </w:r>
          </w:p>
        </w:tc>
        <w:tc>
          <w:tcPr>
            <w:tcW w:w="1048" w:type="dxa"/>
          </w:tcPr>
          <w:p w14:paraId="1C96C56D" w14:textId="77777777" w:rsidR="005E43A1" w:rsidRPr="005E43A1" w:rsidRDefault="005E43A1" w:rsidP="00542F06">
            <w:pPr>
              <w:rPr>
                <w:sz w:val="20"/>
                <w:szCs w:val="20"/>
              </w:rPr>
            </w:pPr>
            <w:r w:rsidRPr="005E43A1">
              <w:rPr>
                <w:sz w:val="20"/>
                <w:szCs w:val="20"/>
                <w:rtl w:val="0"/>
              </w:rPr>
              <w:t>PSEF</w:t>
            </w:r>
          </w:p>
        </w:tc>
        <w:tc>
          <w:tcPr>
            <w:tcW w:w="3714" w:type="dxa"/>
          </w:tcPr>
          <w:p w14:paraId="5F20AD54" w14:textId="77777777" w:rsidR="005E43A1" w:rsidRPr="005E43A1" w:rsidRDefault="005E43A1" w:rsidP="00542F06">
            <w:pPr>
              <w:rPr>
                <w:sz w:val="20"/>
                <w:szCs w:val="20"/>
              </w:rPr>
            </w:pPr>
            <w:r w:rsidRPr="005E43A1">
              <w:rPr>
                <w:rFonts w:cs="Arial"/>
                <w:sz w:val="20"/>
                <w:szCs w:val="20"/>
              </w:rPr>
              <w:t>صندوق تعزيز القطاع الخاص</w:t>
            </w:r>
          </w:p>
        </w:tc>
      </w:tr>
      <w:tr w:rsidR="005E43A1" w:rsidRPr="005E43A1" w14:paraId="32E56BCC" w14:textId="77777777" w:rsidTr="00542F06">
        <w:tc>
          <w:tcPr>
            <w:tcW w:w="1009" w:type="dxa"/>
          </w:tcPr>
          <w:p w14:paraId="200ADAB2"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EC</w:t>
            </w:r>
          </w:p>
        </w:tc>
        <w:tc>
          <w:tcPr>
            <w:tcW w:w="3805" w:type="dxa"/>
          </w:tcPr>
          <w:p w14:paraId="5B749A15"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المفوضية الأوروبية</w:t>
            </w:r>
          </w:p>
        </w:tc>
        <w:tc>
          <w:tcPr>
            <w:tcW w:w="1048" w:type="dxa"/>
          </w:tcPr>
          <w:p w14:paraId="2347F30B" w14:textId="77777777" w:rsidR="005E43A1" w:rsidRPr="005E43A1" w:rsidRDefault="005E43A1" w:rsidP="00542F06">
            <w:pPr>
              <w:rPr>
                <w:sz w:val="20"/>
                <w:szCs w:val="20"/>
              </w:rPr>
            </w:pPr>
            <w:r w:rsidRPr="005E43A1">
              <w:rPr>
                <w:sz w:val="20"/>
                <w:szCs w:val="20"/>
                <w:rtl w:val="0"/>
              </w:rPr>
              <w:t>SAACB</w:t>
            </w:r>
          </w:p>
        </w:tc>
        <w:tc>
          <w:tcPr>
            <w:tcW w:w="3714" w:type="dxa"/>
          </w:tcPr>
          <w:p w14:paraId="1A43B78D" w14:textId="77777777" w:rsidR="005E43A1" w:rsidRPr="005E43A1" w:rsidRDefault="005E43A1" w:rsidP="00542F06">
            <w:pPr>
              <w:rPr>
                <w:sz w:val="20"/>
                <w:szCs w:val="20"/>
              </w:rPr>
            </w:pPr>
            <w:r w:rsidRPr="005E43A1">
              <w:rPr>
                <w:rFonts w:cs="Arial"/>
                <w:sz w:val="20"/>
                <w:szCs w:val="20"/>
              </w:rPr>
              <w:t>ديوان الرقابة المالية والإدارية</w:t>
            </w:r>
          </w:p>
        </w:tc>
      </w:tr>
      <w:tr w:rsidR="005E43A1" w:rsidRPr="005E43A1" w14:paraId="0EA433A3" w14:textId="77777777" w:rsidTr="00542F06">
        <w:tc>
          <w:tcPr>
            <w:tcW w:w="1009" w:type="dxa"/>
          </w:tcPr>
          <w:p w14:paraId="26654734"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EU</w:t>
            </w:r>
          </w:p>
        </w:tc>
        <w:tc>
          <w:tcPr>
            <w:tcW w:w="3805" w:type="dxa"/>
          </w:tcPr>
          <w:p w14:paraId="1669646B"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الاتحاد الأوروبي</w:t>
            </w:r>
          </w:p>
        </w:tc>
        <w:tc>
          <w:tcPr>
            <w:tcW w:w="1048" w:type="dxa"/>
          </w:tcPr>
          <w:p w14:paraId="643E1E22" w14:textId="77777777" w:rsidR="005E43A1" w:rsidRPr="005E43A1" w:rsidRDefault="005E43A1" w:rsidP="00542F06">
            <w:pPr>
              <w:rPr>
                <w:sz w:val="20"/>
                <w:szCs w:val="20"/>
              </w:rPr>
            </w:pPr>
            <w:r w:rsidRPr="005E43A1">
              <w:rPr>
                <w:sz w:val="20"/>
                <w:szCs w:val="20"/>
                <w:rtl w:val="0"/>
              </w:rPr>
              <w:t>SME</w:t>
            </w:r>
          </w:p>
        </w:tc>
        <w:tc>
          <w:tcPr>
            <w:tcW w:w="3714" w:type="dxa"/>
          </w:tcPr>
          <w:p w14:paraId="3E16E035" w14:textId="77777777" w:rsidR="005E43A1" w:rsidRPr="005E43A1" w:rsidRDefault="005E43A1" w:rsidP="00542F06">
            <w:pPr>
              <w:rPr>
                <w:sz w:val="20"/>
                <w:szCs w:val="20"/>
              </w:rPr>
            </w:pPr>
            <w:r w:rsidRPr="005E43A1">
              <w:rPr>
                <w:rFonts w:cs="Arial"/>
                <w:sz w:val="20"/>
                <w:szCs w:val="20"/>
              </w:rPr>
              <w:t>المشروعات الصغيرة والمتوسطة</w:t>
            </w:r>
          </w:p>
        </w:tc>
      </w:tr>
      <w:tr w:rsidR="005E43A1" w:rsidRPr="005E43A1" w14:paraId="1AD745A3" w14:textId="77777777" w:rsidTr="00542F06">
        <w:tc>
          <w:tcPr>
            <w:tcW w:w="1009" w:type="dxa"/>
          </w:tcPr>
          <w:p w14:paraId="4C5DBAA6"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ESPIP</w:t>
            </w:r>
          </w:p>
        </w:tc>
        <w:tc>
          <w:tcPr>
            <w:tcW w:w="3805" w:type="dxa"/>
          </w:tcPr>
          <w:p w14:paraId="42CE4241"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مشروع تحسين أداء قطاع الكهرباء</w:t>
            </w:r>
          </w:p>
        </w:tc>
        <w:tc>
          <w:tcPr>
            <w:tcW w:w="1048" w:type="dxa"/>
          </w:tcPr>
          <w:p w14:paraId="7DD08A2E" w14:textId="77777777" w:rsidR="005E43A1" w:rsidRPr="005E43A1" w:rsidRDefault="005E43A1" w:rsidP="00542F06">
            <w:pPr>
              <w:rPr>
                <w:sz w:val="20"/>
                <w:szCs w:val="20"/>
              </w:rPr>
            </w:pPr>
            <w:r w:rsidRPr="005E43A1">
              <w:rPr>
                <w:sz w:val="20"/>
                <w:szCs w:val="20"/>
                <w:rtl w:val="0"/>
              </w:rPr>
              <w:t>STEM</w:t>
            </w:r>
          </w:p>
        </w:tc>
        <w:tc>
          <w:tcPr>
            <w:tcW w:w="3714" w:type="dxa"/>
          </w:tcPr>
          <w:p w14:paraId="44520D5B" w14:textId="77777777" w:rsidR="005E43A1" w:rsidRPr="005E43A1" w:rsidRDefault="005E43A1" w:rsidP="00542F06">
            <w:pPr>
              <w:rPr>
                <w:sz w:val="20"/>
                <w:szCs w:val="20"/>
              </w:rPr>
            </w:pPr>
            <w:r w:rsidRPr="005E43A1">
              <w:rPr>
                <w:rFonts w:cs="Arial"/>
                <w:sz w:val="20"/>
                <w:szCs w:val="20"/>
              </w:rPr>
              <w:t xml:space="preserve">العلوم والتكنولوجيا والهندسة والرياضيات </w:t>
            </w:r>
          </w:p>
        </w:tc>
      </w:tr>
      <w:tr w:rsidR="005E43A1" w:rsidRPr="005E43A1" w14:paraId="2E6A6508" w14:textId="77777777" w:rsidTr="00542F06">
        <w:tc>
          <w:tcPr>
            <w:tcW w:w="1009" w:type="dxa"/>
          </w:tcPr>
          <w:p w14:paraId="4F972F11"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F4J</w:t>
            </w:r>
          </w:p>
        </w:tc>
        <w:tc>
          <w:tcPr>
            <w:tcW w:w="3805" w:type="dxa"/>
          </w:tcPr>
          <w:p w14:paraId="75F5897F"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التمويل لإيجاد فرص عمل (مشروع)</w:t>
            </w:r>
          </w:p>
        </w:tc>
        <w:tc>
          <w:tcPr>
            <w:tcW w:w="1048" w:type="dxa"/>
          </w:tcPr>
          <w:p w14:paraId="67A8C3AC" w14:textId="77777777" w:rsidR="005E43A1" w:rsidRPr="005E43A1" w:rsidRDefault="005E43A1" w:rsidP="00542F06">
            <w:pPr>
              <w:rPr>
                <w:sz w:val="20"/>
                <w:szCs w:val="20"/>
              </w:rPr>
            </w:pPr>
            <w:r w:rsidRPr="005E43A1">
              <w:rPr>
                <w:sz w:val="20"/>
                <w:szCs w:val="20"/>
                <w:rtl w:val="0"/>
              </w:rPr>
              <w:t>TA</w:t>
            </w:r>
          </w:p>
        </w:tc>
        <w:tc>
          <w:tcPr>
            <w:tcW w:w="3714" w:type="dxa"/>
          </w:tcPr>
          <w:p w14:paraId="5067851C" w14:textId="77777777" w:rsidR="005E43A1" w:rsidRPr="005E43A1" w:rsidRDefault="005E43A1" w:rsidP="00542F06">
            <w:pPr>
              <w:rPr>
                <w:sz w:val="20"/>
                <w:szCs w:val="20"/>
              </w:rPr>
            </w:pPr>
            <w:r w:rsidRPr="005E43A1">
              <w:rPr>
                <w:rFonts w:cs="Arial"/>
                <w:sz w:val="20"/>
                <w:szCs w:val="20"/>
              </w:rPr>
              <w:t>المساعدة الفنية</w:t>
            </w:r>
          </w:p>
        </w:tc>
      </w:tr>
      <w:tr w:rsidR="005E43A1" w:rsidRPr="005E43A1" w14:paraId="2FEA3BC6" w14:textId="77777777" w:rsidTr="00542F06">
        <w:tc>
          <w:tcPr>
            <w:tcW w:w="1009" w:type="dxa"/>
          </w:tcPr>
          <w:p w14:paraId="42B29FED"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FCV</w:t>
            </w:r>
          </w:p>
        </w:tc>
        <w:tc>
          <w:tcPr>
            <w:tcW w:w="3805" w:type="dxa"/>
          </w:tcPr>
          <w:p w14:paraId="59AE0D87"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الهشاشة والصراع والعنف</w:t>
            </w:r>
          </w:p>
        </w:tc>
        <w:tc>
          <w:tcPr>
            <w:tcW w:w="1048" w:type="dxa"/>
          </w:tcPr>
          <w:p w14:paraId="0549EA5C" w14:textId="77777777" w:rsidR="005E43A1" w:rsidRPr="005E43A1" w:rsidRDefault="005E43A1" w:rsidP="00542F06">
            <w:pPr>
              <w:rPr>
                <w:sz w:val="20"/>
                <w:szCs w:val="20"/>
              </w:rPr>
            </w:pPr>
            <w:r w:rsidRPr="005E43A1">
              <w:rPr>
                <w:sz w:val="20"/>
                <w:szCs w:val="20"/>
                <w:rtl w:val="0"/>
              </w:rPr>
              <w:t>TFGWB</w:t>
            </w:r>
          </w:p>
        </w:tc>
        <w:tc>
          <w:tcPr>
            <w:tcW w:w="3714" w:type="dxa"/>
          </w:tcPr>
          <w:p w14:paraId="7FB077A0" w14:textId="77777777" w:rsidR="005E43A1" w:rsidRPr="005E43A1" w:rsidRDefault="005E43A1" w:rsidP="00542F06">
            <w:pPr>
              <w:rPr>
                <w:sz w:val="20"/>
                <w:szCs w:val="20"/>
              </w:rPr>
            </w:pPr>
            <w:r w:rsidRPr="005E43A1">
              <w:rPr>
                <w:rFonts w:cs="Arial"/>
                <w:sz w:val="20"/>
                <w:szCs w:val="20"/>
              </w:rPr>
              <w:t>الصندوق الاستئماني الخاص بالضفة الغربية وقطاع غزة</w:t>
            </w:r>
          </w:p>
        </w:tc>
      </w:tr>
      <w:tr w:rsidR="005E43A1" w:rsidRPr="005E43A1" w14:paraId="246C5518" w14:textId="77777777" w:rsidTr="00542F06">
        <w:tc>
          <w:tcPr>
            <w:tcW w:w="1009" w:type="dxa"/>
          </w:tcPr>
          <w:p w14:paraId="4803DE24"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GDP</w:t>
            </w:r>
          </w:p>
        </w:tc>
        <w:tc>
          <w:tcPr>
            <w:tcW w:w="3805" w:type="dxa"/>
          </w:tcPr>
          <w:p w14:paraId="576DE24B"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إجمالي الناتج المحلي</w:t>
            </w:r>
          </w:p>
        </w:tc>
        <w:tc>
          <w:tcPr>
            <w:tcW w:w="1048" w:type="dxa"/>
          </w:tcPr>
          <w:p w14:paraId="2D8F4192" w14:textId="77777777" w:rsidR="005E43A1" w:rsidRPr="005E43A1" w:rsidRDefault="005E43A1" w:rsidP="00542F06">
            <w:pPr>
              <w:rPr>
                <w:sz w:val="20"/>
                <w:szCs w:val="20"/>
              </w:rPr>
            </w:pPr>
            <w:r w:rsidRPr="005E43A1">
              <w:rPr>
                <w:sz w:val="20"/>
                <w:szCs w:val="20"/>
                <w:rtl w:val="0"/>
              </w:rPr>
              <w:t>UN</w:t>
            </w:r>
          </w:p>
        </w:tc>
        <w:tc>
          <w:tcPr>
            <w:tcW w:w="3714" w:type="dxa"/>
          </w:tcPr>
          <w:p w14:paraId="6BD34E36" w14:textId="77777777" w:rsidR="005E43A1" w:rsidRPr="005E43A1" w:rsidRDefault="005E43A1" w:rsidP="00542F06">
            <w:pPr>
              <w:rPr>
                <w:sz w:val="20"/>
                <w:szCs w:val="20"/>
              </w:rPr>
            </w:pPr>
            <w:r w:rsidRPr="005E43A1">
              <w:rPr>
                <w:rFonts w:cs="Arial"/>
                <w:sz w:val="20"/>
                <w:szCs w:val="20"/>
              </w:rPr>
              <w:t>الأمم المتحدة</w:t>
            </w:r>
          </w:p>
        </w:tc>
      </w:tr>
      <w:tr w:rsidR="005E43A1" w:rsidRPr="005E43A1" w14:paraId="5FEE70A9" w14:textId="77777777" w:rsidTr="00542F06">
        <w:tc>
          <w:tcPr>
            <w:tcW w:w="1009" w:type="dxa"/>
          </w:tcPr>
          <w:p w14:paraId="6B094DB6"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GIE</w:t>
            </w:r>
          </w:p>
        </w:tc>
        <w:tc>
          <w:tcPr>
            <w:tcW w:w="3805" w:type="dxa"/>
          </w:tcPr>
          <w:p w14:paraId="5EF730B5"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المناطق الصناعية بقطاع غزة</w:t>
            </w:r>
          </w:p>
        </w:tc>
        <w:tc>
          <w:tcPr>
            <w:tcW w:w="1048" w:type="dxa"/>
          </w:tcPr>
          <w:p w14:paraId="4C1477AE" w14:textId="77777777" w:rsidR="005E43A1" w:rsidRPr="005E43A1" w:rsidRDefault="005E43A1" w:rsidP="00542F06">
            <w:pPr>
              <w:rPr>
                <w:sz w:val="20"/>
                <w:szCs w:val="20"/>
              </w:rPr>
            </w:pPr>
            <w:r w:rsidRPr="005E43A1">
              <w:rPr>
                <w:sz w:val="20"/>
                <w:szCs w:val="20"/>
                <w:rtl w:val="0"/>
              </w:rPr>
              <w:t>UNWRA</w:t>
            </w:r>
          </w:p>
        </w:tc>
        <w:tc>
          <w:tcPr>
            <w:tcW w:w="3714" w:type="dxa"/>
          </w:tcPr>
          <w:p w14:paraId="48402594" w14:textId="77777777" w:rsidR="005E43A1" w:rsidRPr="005E43A1" w:rsidRDefault="005E43A1" w:rsidP="00542F06">
            <w:pPr>
              <w:rPr>
                <w:sz w:val="20"/>
                <w:szCs w:val="20"/>
              </w:rPr>
            </w:pPr>
            <w:r w:rsidRPr="005E43A1">
              <w:rPr>
                <w:rFonts w:cs="Arial"/>
                <w:sz w:val="20"/>
                <w:szCs w:val="20"/>
              </w:rPr>
              <w:t>وكالة الأمم المتحدة لإغاثة وتشغيل اللاجئين الفلسطينيين في الشرق الأدنى (أونروا)</w:t>
            </w:r>
          </w:p>
        </w:tc>
      </w:tr>
      <w:tr w:rsidR="005E43A1" w:rsidRPr="005E43A1" w14:paraId="27B5BC6B" w14:textId="77777777" w:rsidTr="00542F06">
        <w:tc>
          <w:tcPr>
            <w:tcW w:w="1009" w:type="dxa"/>
          </w:tcPr>
          <w:p w14:paraId="5964F1B0"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GoI</w:t>
            </w:r>
          </w:p>
        </w:tc>
        <w:tc>
          <w:tcPr>
            <w:tcW w:w="3805" w:type="dxa"/>
          </w:tcPr>
          <w:p w14:paraId="1098D52A"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حكومة إسرائيل</w:t>
            </w:r>
          </w:p>
        </w:tc>
        <w:tc>
          <w:tcPr>
            <w:tcW w:w="1048" w:type="dxa"/>
          </w:tcPr>
          <w:p w14:paraId="52367922" w14:textId="77777777" w:rsidR="005E43A1" w:rsidRPr="005E43A1" w:rsidRDefault="005E43A1" w:rsidP="00542F06">
            <w:pPr>
              <w:rPr>
                <w:sz w:val="20"/>
                <w:szCs w:val="20"/>
              </w:rPr>
            </w:pPr>
            <w:r w:rsidRPr="005E43A1">
              <w:rPr>
                <w:sz w:val="20"/>
                <w:szCs w:val="20"/>
                <w:rtl w:val="0"/>
              </w:rPr>
              <w:t>USAID</w:t>
            </w:r>
          </w:p>
        </w:tc>
        <w:tc>
          <w:tcPr>
            <w:tcW w:w="3714" w:type="dxa"/>
          </w:tcPr>
          <w:p w14:paraId="0ED1F521" w14:textId="77777777" w:rsidR="005E43A1" w:rsidRPr="005E43A1" w:rsidRDefault="005E43A1" w:rsidP="00542F06">
            <w:pPr>
              <w:rPr>
                <w:sz w:val="20"/>
                <w:szCs w:val="20"/>
              </w:rPr>
            </w:pPr>
            <w:r w:rsidRPr="005E43A1">
              <w:rPr>
                <w:rFonts w:cs="Arial"/>
                <w:sz w:val="20"/>
                <w:szCs w:val="20"/>
              </w:rPr>
              <w:t>الوكالة الأمريكية للتنمية الدولية</w:t>
            </w:r>
          </w:p>
        </w:tc>
      </w:tr>
      <w:tr w:rsidR="005E43A1" w:rsidRPr="005E43A1" w14:paraId="4325810F" w14:textId="77777777" w:rsidTr="00542F06">
        <w:tc>
          <w:tcPr>
            <w:tcW w:w="1009" w:type="dxa"/>
          </w:tcPr>
          <w:p w14:paraId="020A2F04"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GTFP</w:t>
            </w:r>
          </w:p>
        </w:tc>
        <w:tc>
          <w:tcPr>
            <w:tcW w:w="3805" w:type="dxa"/>
          </w:tcPr>
          <w:p w14:paraId="5BBA4D45"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برنامج تمويل التجارة العالمية</w:t>
            </w:r>
          </w:p>
        </w:tc>
        <w:tc>
          <w:tcPr>
            <w:tcW w:w="1048" w:type="dxa"/>
          </w:tcPr>
          <w:p w14:paraId="15333F57" w14:textId="77777777" w:rsidR="005E43A1" w:rsidRPr="005E43A1" w:rsidRDefault="005E43A1" w:rsidP="00542F06">
            <w:pPr>
              <w:rPr>
                <w:sz w:val="20"/>
                <w:szCs w:val="20"/>
              </w:rPr>
            </w:pPr>
            <w:r w:rsidRPr="005E43A1">
              <w:rPr>
                <w:sz w:val="20"/>
                <w:szCs w:val="20"/>
                <w:rtl w:val="0"/>
              </w:rPr>
              <w:t>VAT</w:t>
            </w:r>
          </w:p>
        </w:tc>
        <w:tc>
          <w:tcPr>
            <w:tcW w:w="3714" w:type="dxa"/>
          </w:tcPr>
          <w:p w14:paraId="6A11ACF7" w14:textId="77777777" w:rsidR="005E43A1" w:rsidRPr="005E43A1" w:rsidRDefault="005E43A1" w:rsidP="00542F06">
            <w:pPr>
              <w:rPr>
                <w:sz w:val="20"/>
                <w:szCs w:val="20"/>
              </w:rPr>
            </w:pPr>
            <w:r w:rsidRPr="005E43A1">
              <w:rPr>
                <w:rFonts w:cs="Arial"/>
                <w:sz w:val="20"/>
                <w:szCs w:val="20"/>
              </w:rPr>
              <w:t>ضريبة القيمة المضافة</w:t>
            </w:r>
          </w:p>
        </w:tc>
      </w:tr>
      <w:tr w:rsidR="005E43A1" w:rsidRPr="005E43A1" w14:paraId="7276D4DC" w14:textId="77777777" w:rsidTr="00542F06">
        <w:tc>
          <w:tcPr>
            <w:tcW w:w="1009" w:type="dxa"/>
          </w:tcPr>
          <w:p w14:paraId="10D4E38F"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HR</w:t>
            </w:r>
          </w:p>
        </w:tc>
        <w:tc>
          <w:tcPr>
            <w:tcW w:w="3805" w:type="dxa"/>
          </w:tcPr>
          <w:p w14:paraId="522AA6E3"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الموارد البشرية</w:t>
            </w:r>
          </w:p>
        </w:tc>
        <w:tc>
          <w:tcPr>
            <w:tcW w:w="1048" w:type="dxa"/>
          </w:tcPr>
          <w:p w14:paraId="4951264F" w14:textId="77777777" w:rsidR="005E43A1" w:rsidRPr="005E43A1" w:rsidRDefault="005E43A1" w:rsidP="00542F06">
            <w:pPr>
              <w:rPr>
                <w:sz w:val="20"/>
                <w:szCs w:val="20"/>
              </w:rPr>
            </w:pPr>
            <w:r w:rsidRPr="005E43A1">
              <w:rPr>
                <w:sz w:val="20"/>
                <w:szCs w:val="20"/>
                <w:rtl w:val="0"/>
              </w:rPr>
              <w:t>WBG</w:t>
            </w:r>
          </w:p>
        </w:tc>
        <w:tc>
          <w:tcPr>
            <w:tcW w:w="3714" w:type="dxa"/>
          </w:tcPr>
          <w:p w14:paraId="4937885B" w14:textId="77777777" w:rsidR="005E43A1" w:rsidRPr="005E43A1" w:rsidRDefault="005E43A1" w:rsidP="00542F06">
            <w:pPr>
              <w:rPr>
                <w:sz w:val="20"/>
                <w:szCs w:val="20"/>
              </w:rPr>
            </w:pPr>
            <w:r w:rsidRPr="005E43A1">
              <w:rPr>
                <w:rFonts w:cs="Arial"/>
                <w:sz w:val="20"/>
                <w:szCs w:val="20"/>
              </w:rPr>
              <w:t>مجموعة البنك الدولي</w:t>
            </w:r>
          </w:p>
        </w:tc>
      </w:tr>
      <w:tr w:rsidR="005E43A1" w:rsidRPr="005E43A1" w14:paraId="1A5ED7F5" w14:textId="77777777" w:rsidTr="00542F06">
        <w:tc>
          <w:tcPr>
            <w:tcW w:w="1009" w:type="dxa"/>
          </w:tcPr>
          <w:p w14:paraId="53D0F8E7"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IBRD</w:t>
            </w:r>
          </w:p>
        </w:tc>
        <w:tc>
          <w:tcPr>
            <w:tcW w:w="3805" w:type="dxa"/>
          </w:tcPr>
          <w:p w14:paraId="12E98EDC"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البنك الدولي للإنشاء والتعمير</w:t>
            </w:r>
          </w:p>
        </w:tc>
        <w:tc>
          <w:tcPr>
            <w:tcW w:w="1048" w:type="dxa"/>
          </w:tcPr>
          <w:p w14:paraId="251A58B4" w14:textId="77777777" w:rsidR="005E43A1" w:rsidRPr="005E43A1" w:rsidRDefault="005E43A1" w:rsidP="00542F06">
            <w:pPr>
              <w:rPr>
                <w:sz w:val="20"/>
                <w:szCs w:val="20"/>
              </w:rPr>
            </w:pPr>
            <w:r w:rsidRPr="005E43A1">
              <w:rPr>
                <w:sz w:val="20"/>
                <w:szCs w:val="20"/>
                <w:rtl w:val="0"/>
              </w:rPr>
              <w:t>WDR</w:t>
            </w:r>
          </w:p>
        </w:tc>
        <w:tc>
          <w:tcPr>
            <w:tcW w:w="3714" w:type="dxa"/>
          </w:tcPr>
          <w:p w14:paraId="7EC9AF81" w14:textId="77777777" w:rsidR="005E43A1" w:rsidRPr="005E43A1" w:rsidRDefault="005E43A1" w:rsidP="00542F06">
            <w:pPr>
              <w:rPr>
                <w:sz w:val="20"/>
                <w:szCs w:val="20"/>
              </w:rPr>
            </w:pPr>
            <w:r w:rsidRPr="005E43A1">
              <w:rPr>
                <w:rFonts w:cs="Arial"/>
                <w:sz w:val="20"/>
                <w:szCs w:val="20"/>
              </w:rPr>
              <w:t>تقرير عن التنمية في العالم</w:t>
            </w:r>
          </w:p>
        </w:tc>
      </w:tr>
      <w:tr w:rsidR="005E43A1" w:rsidRPr="005E43A1" w14:paraId="3853F7BB" w14:textId="77777777" w:rsidTr="00542F06">
        <w:tc>
          <w:tcPr>
            <w:tcW w:w="1009" w:type="dxa"/>
          </w:tcPr>
          <w:p w14:paraId="438FA1A7"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ICT</w:t>
            </w:r>
          </w:p>
        </w:tc>
        <w:tc>
          <w:tcPr>
            <w:tcW w:w="3805" w:type="dxa"/>
          </w:tcPr>
          <w:p w14:paraId="783960BA"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تكنولوجيا المعلومات والاتصال</w:t>
            </w:r>
          </w:p>
        </w:tc>
        <w:tc>
          <w:tcPr>
            <w:tcW w:w="1048" w:type="dxa"/>
          </w:tcPr>
          <w:p w14:paraId="4C40B056" w14:textId="77777777" w:rsidR="005E43A1" w:rsidRPr="005E43A1" w:rsidRDefault="005E43A1" w:rsidP="00542F06">
            <w:pPr>
              <w:rPr>
                <w:sz w:val="20"/>
                <w:szCs w:val="20"/>
              </w:rPr>
            </w:pPr>
            <w:r w:rsidRPr="005E43A1">
              <w:rPr>
                <w:sz w:val="20"/>
                <w:szCs w:val="20"/>
                <w:rtl w:val="0"/>
              </w:rPr>
              <w:t>WHO</w:t>
            </w:r>
          </w:p>
        </w:tc>
        <w:tc>
          <w:tcPr>
            <w:tcW w:w="3714" w:type="dxa"/>
          </w:tcPr>
          <w:p w14:paraId="68B9BB51" w14:textId="77777777" w:rsidR="005E43A1" w:rsidRPr="005E43A1" w:rsidRDefault="005E43A1" w:rsidP="00542F06">
            <w:pPr>
              <w:rPr>
                <w:sz w:val="20"/>
                <w:szCs w:val="20"/>
              </w:rPr>
            </w:pPr>
            <w:r w:rsidRPr="005E43A1">
              <w:rPr>
                <w:rFonts w:cs="Arial"/>
                <w:sz w:val="20"/>
                <w:szCs w:val="20"/>
              </w:rPr>
              <w:t>منظمة الصحة العالمية</w:t>
            </w:r>
          </w:p>
        </w:tc>
      </w:tr>
      <w:tr w:rsidR="005E43A1" w:rsidRPr="005E43A1" w14:paraId="43E59CA5" w14:textId="77777777" w:rsidTr="00542F06">
        <w:trPr>
          <w:trHeight w:val="107"/>
        </w:trPr>
        <w:tc>
          <w:tcPr>
            <w:tcW w:w="1009" w:type="dxa"/>
          </w:tcPr>
          <w:p w14:paraId="08538A98"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IDA</w:t>
            </w:r>
          </w:p>
        </w:tc>
        <w:tc>
          <w:tcPr>
            <w:tcW w:w="3805" w:type="dxa"/>
          </w:tcPr>
          <w:p w14:paraId="07F88B8A"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المؤسسة الدولية للتنمية</w:t>
            </w:r>
          </w:p>
        </w:tc>
        <w:tc>
          <w:tcPr>
            <w:tcW w:w="1048" w:type="dxa"/>
          </w:tcPr>
          <w:p w14:paraId="650DE7F3" w14:textId="77777777" w:rsidR="005E43A1" w:rsidRPr="005E43A1" w:rsidRDefault="005E43A1" w:rsidP="00542F06">
            <w:pPr>
              <w:rPr>
                <w:sz w:val="20"/>
                <w:szCs w:val="20"/>
              </w:rPr>
            </w:pPr>
          </w:p>
        </w:tc>
        <w:tc>
          <w:tcPr>
            <w:tcW w:w="3714" w:type="dxa"/>
          </w:tcPr>
          <w:p w14:paraId="618845AB" w14:textId="77777777" w:rsidR="005E43A1" w:rsidRPr="005E43A1" w:rsidRDefault="005E43A1" w:rsidP="00542F06">
            <w:pPr>
              <w:rPr>
                <w:sz w:val="20"/>
                <w:szCs w:val="20"/>
              </w:rPr>
            </w:pPr>
          </w:p>
        </w:tc>
      </w:tr>
      <w:tr w:rsidR="005E43A1" w:rsidRPr="005E43A1" w14:paraId="7263F0AA" w14:textId="77777777" w:rsidTr="00542F06">
        <w:tc>
          <w:tcPr>
            <w:tcW w:w="1009" w:type="dxa"/>
          </w:tcPr>
          <w:p w14:paraId="5AB73284"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IFC</w:t>
            </w:r>
          </w:p>
        </w:tc>
        <w:tc>
          <w:tcPr>
            <w:tcW w:w="3805" w:type="dxa"/>
          </w:tcPr>
          <w:p w14:paraId="4119E438"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مؤسسة التمويل الدولية</w:t>
            </w:r>
          </w:p>
        </w:tc>
        <w:tc>
          <w:tcPr>
            <w:tcW w:w="1048" w:type="dxa"/>
          </w:tcPr>
          <w:p w14:paraId="19551243" w14:textId="77777777" w:rsidR="005E43A1" w:rsidRPr="005E43A1" w:rsidRDefault="005E43A1" w:rsidP="00542F06">
            <w:pPr>
              <w:rPr>
                <w:sz w:val="20"/>
                <w:szCs w:val="20"/>
              </w:rPr>
            </w:pPr>
          </w:p>
        </w:tc>
        <w:tc>
          <w:tcPr>
            <w:tcW w:w="3714" w:type="dxa"/>
          </w:tcPr>
          <w:p w14:paraId="6FAA469D" w14:textId="77777777" w:rsidR="005E43A1" w:rsidRPr="005E43A1" w:rsidRDefault="005E43A1" w:rsidP="00542F06">
            <w:pPr>
              <w:rPr>
                <w:sz w:val="20"/>
                <w:szCs w:val="20"/>
              </w:rPr>
            </w:pPr>
          </w:p>
        </w:tc>
      </w:tr>
      <w:tr w:rsidR="005E43A1" w:rsidRPr="005E43A1" w14:paraId="16EB4205" w14:textId="77777777" w:rsidTr="00542F06">
        <w:tc>
          <w:tcPr>
            <w:tcW w:w="1009" w:type="dxa"/>
          </w:tcPr>
          <w:p w14:paraId="7F149EDE"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IMF</w:t>
            </w:r>
          </w:p>
        </w:tc>
        <w:tc>
          <w:tcPr>
            <w:tcW w:w="3805" w:type="dxa"/>
          </w:tcPr>
          <w:p w14:paraId="551FA741"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صندوق النقد الدولي</w:t>
            </w:r>
          </w:p>
        </w:tc>
        <w:tc>
          <w:tcPr>
            <w:tcW w:w="1048" w:type="dxa"/>
          </w:tcPr>
          <w:p w14:paraId="3A604526" w14:textId="77777777" w:rsidR="005E43A1" w:rsidRPr="005E43A1" w:rsidRDefault="005E43A1" w:rsidP="00542F06">
            <w:pPr>
              <w:rPr>
                <w:sz w:val="20"/>
                <w:szCs w:val="20"/>
              </w:rPr>
            </w:pPr>
          </w:p>
        </w:tc>
        <w:tc>
          <w:tcPr>
            <w:tcW w:w="3714" w:type="dxa"/>
          </w:tcPr>
          <w:p w14:paraId="1A49A929" w14:textId="77777777" w:rsidR="005E43A1" w:rsidRPr="005E43A1" w:rsidRDefault="005E43A1" w:rsidP="00542F06">
            <w:pPr>
              <w:rPr>
                <w:sz w:val="20"/>
                <w:szCs w:val="20"/>
              </w:rPr>
            </w:pPr>
          </w:p>
        </w:tc>
      </w:tr>
      <w:tr w:rsidR="005E43A1" w:rsidRPr="005E43A1" w14:paraId="348BBE27" w14:textId="77777777" w:rsidTr="00542F06">
        <w:tc>
          <w:tcPr>
            <w:tcW w:w="1009" w:type="dxa"/>
          </w:tcPr>
          <w:p w14:paraId="5A506F2A"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IPP</w:t>
            </w:r>
          </w:p>
        </w:tc>
        <w:tc>
          <w:tcPr>
            <w:tcW w:w="3805" w:type="dxa"/>
          </w:tcPr>
          <w:p w14:paraId="5AC584AF"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شركة إنتاج كهرباء مستقلة</w:t>
            </w:r>
          </w:p>
        </w:tc>
        <w:tc>
          <w:tcPr>
            <w:tcW w:w="1048" w:type="dxa"/>
          </w:tcPr>
          <w:p w14:paraId="66801306" w14:textId="77777777" w:rsidR="005E43A1" w:rsidRPr="005E43A1" w:rsidRDefault="005E43A1" w:rsidP="00542F06">
            <w:pPr>
              <w:rPr>
                <w:sz w:val="20"/>
                <w:szCs w:val="20"/>
              </w:rPr>
            </w:pPr>
          </w:p>
        </w:tc>
        <w:tc>
          <w:tcPr>
            <w:tcW w:w="3714" w:type="dxa"/>
          </w:tcPr>
          <w:p w14:paraId="5A66CB22" w14:textId="77777777" w:rsidR="005E43A1" w:rsidRPr="005E43A1" w:rsidRDefault="005E43A1" w:rsidP="00542F06">
            <w:pPr>
              <w:rPr>
                <w:sz w:val="20"/>
                <w:szCs w:val="20"/>
              </w:rPr>
            </w:pPr>
          </w:p>
        </w:tc>
      </w:tr>
      <w:tr w:rsidR="005E43A1" w:rsidRPr="005E43A1" w14:paraId="42C505F7" w14:textId="77777777" w:rsidTr="00542F06">
        <w:tc>
          <w:tcPr>
            <w:tcW w:w="1009" w:type="dxa"/>
          </w:tcPr>
          <w:p w14:paraId="700AC019"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LGPA</w:t>
            </w:r>
          </w:p>
        </w:tc>
        <w:tc>
          <w:tcPr>
            <w:tcW w:w="3805" w:type="dxa"/>
          </w:tcPr>
          <w:p w14:paraId="6778686E"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تقييم أداء أجهزة الحكم المحلي</w:t>
            </w:r>
          </w:p>
        </w:tc>
        <w:tc>
          <w:tcPr>
            <w:tcW w:w="1048" w:type="dxa"/>
          </w:tcPr>
          <w:p w14:paraId="114B2CCA" w14:textId="77777777" w:rsidR="005E43A1" w:rsidRPr="005E43A1" w:rsidRDefault="005E43A1" w:rsidP="00542F06">
            <w:pPr>
              <w:rPr>
                <w:sz w:val="20"/>
                <w:szCs w:val="20"/>
              </w:rPr>
            </w:pPr>
          </w:p>
        </w:tc>
        <w:tc>
          <w:tcPr>
            <w:tcW w:w="3714" w:type="dxa"/>
          </w:tcPr>
          <w:p w14:paraId="0C01F948" w14:textId="77777777" w:rsidR="005E43A1" w:rsidRPr="005E43A1" w:rsidRDefault="005E43A1" w:rsidP="00542F06">
            <w:pPr>
              <w:rPr>
                <w:sz w:val="20"/>
                <w:szCs w:val="20"/>
              </w:rPr>
            </w:pPr>
          </w:p>
        </w:tc>
      </w:tr>
      <w:tr w:rsidR="005E43A1" w:rsidRPr="005E43A1" w14:paraId="5310BA95" w14:textId="77777777" w:rsidTr="00542F06">
        <w:tc>
          <w:tcPr>
            <w:tcW w:w="1009" w:type="dxa"/>
          </w:tcPr>
          <w:p w14:paraId="1B82A129"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MDLF</w:t>
            </w:r>
          </w:p>
        </w:tc>
        <w:tc>
          <w:tcPr>
            <w:tcW w:w="3805" w:type="dxa"/>
          </w:tcPr>
          <w:p w14:paraId="7D6D5FDB"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صندوق تطوير وإقراض البلديات</w:t>
            </w:r>
          </w:p>
        </w:tc>
        <w:tc>
          <w:tcPr>
            <w:tcW w:w="1048" w:type="dxa"/>
          </w:tcPr>
          <w:p w14:paraId="68035D13" w14:textId="77777777" w:rsidR="005E43A1" w:rsidRPr="005E43A1" w:rsidRDefault="005E43A1" w:rsidP="00542F06">
            <w:pPr>
              <w:rPr>
                <w:sz w:val="20"/>
                <w:szCs w:val="20"/>
              </w:rPr>
            </w:pPr>
          </w:p>
        </w:tc>
        <w:tc>
          <w:tcPr>
            <w:tcW w:w="3714" w:type="dxa"/>
          </w:tcPr>
          <w:p w14:paraId="6416A04E" w14:textId="77777777" w:rsidR="005E43A1" w:rsidRPr="005E43A1" w:rsidRDefault="005E43A1" w:rsidP="00542F06">
            <w:pPr>
              <w:rPr>
                <w:sz w:val="20"/>
                <w:szCs w:val="20"/>
              </w:rPr>
            </w:pPr>
          </w:p>
        </w:tc>
      </w:tr>
      <w:tr w:rsidR="005E43A1" w:rsidRPr="005E43A1" w14:paraId="07D3C92E" w14:textId="77777777" w:rsidTr="00542F06">
        <w:tc>
          <w:tcPr>
            <w:tcW w:w="1009" w:type="dxa"/>
          </w:tcPr>
          <w:p w14:paraId="43D2D5B2"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MNA</w:t>
            </w:r>
          </w:p>
        </w:tc>
        <w:tc>
          <w:tcPr>
            <w:tcW w:w="3805" w:type="dxa"/>
          </w:tcPr>
          <w:p w14:paraId="0A5CF944"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منطقة الشرق الأوسط وشمال أفريقيا</w:t>
            </w:r>
          </w:p>
        </w:tc>
        <w:tc>
          <w:tcPr>
            <w:tcW w:w="1048" w:type="dxa"/>
          </w:tcPr>
          <w:p w14:paraId="2BD352E3" w14:textId="77777777" w:rsidR="005E43A1" w:rsidRPr="005E43A1" w:rsidRDefault="005E43A1" w:rsidP="00542F06">
            <w:pPr>
              <w:rPr>
                <w:sz w:val="20"/>
                <w:szCs w:val="20"/>
              </w:rPr>
            </w:pPr>
          </w:p>
        </w:tc>
        <w:tc>
          <w:tcPr>
            <w:tcW w:w="3714" w:type="dxa"/>
          </w:tcPr>
          <w:p w14:paraId="651F963F" w14:textId="77777777" w:rsidR="005E43A1" w:rsidRPr="005E43A1" w:rsidRDefault="005E43A1" w:rsidP="00542F06">
            <w:pPr>
              <w:rPr>
                <w:sz w:val="20"/>
                <w:szCs w:val="20"/>
              </w:rPr>
            </w:pPr>
          </w:p>
        </w:tc>
      </w:tr>
      <w:tr w:rsidR="005E43A1" w:rsidRPr="005E43A1" w14:paraId="7EA6F2A3" w14:textId="77777777" w:rsidTr="00542F06">
        <w:tc>
          <w:tcPr>
            <w:tcW w:w="1009" w:type="dxa"/>
          </w:tcPr>
          <w:p w14:paraId="62D99877"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MIGA</w:t>
            </w:r>
          </w:p>
        </w:tc>
        <w:tc>
          <w:tcPr>
            <w:tcW w:w="3805" w:type="dxa"/>
          </w:tcPr>
          <w:p w14:paraId="50BAF442"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الوكالة الدولية لضمان الاستثمار</w:t>
            </w:r>
          </w:p>
        </w:tc>
        <w:tc>
          <w:tcPr>
            <w:tcW w:w="1048" w:type="dxa"/>
          </w:tcPr>
          <w:p w14:paraId="2F395873" w14:textId="77777777" w:rsidR="005E43A1" w:rsidRPr="005E43A1" w:rsidRDefault="005E43A1" w:rsidP="00542F06">
            <w:pPr>
              <w:rPr>
                <w:sz w:val="20"/>
                <w:szCs w:val="20"/>
              </w:rPr>
            </w:pPr>
          </w:p>
        </w:tc>
        <w:tc>
          <w:tcPr>
            <w:tcW w:w="3714" w:type="dxa"/>
          </w:tcPr>
          <w:p w14:paraId="460310C3" w14:textId="77777777" w:rsidR="005E43A1" w:rsidRPr="005E43A1" w:rsidRDefault="005E43A1" w:rsidP="00542F06">
            <w:pPr>
              <w:rPr>
                <w:sz w:val="20"/>
                <w:szCs w:val="20"/>
              </w:rPr>
            </w:pPr>
          </w:p>
        </w:tc>
      </w:tr>
      <w:tr w:rsidR="005E43A1" w:rsidRPr="005E43A1" w14:paraId="2CF99371" w14:textId="77777777" w:rsidTr="00542F06">
        <w:tc>
          <w:tcPr>
            <w:tcW w:w="1009" w:type="dxa"/>
          </w:tcPr>
          <w:p w14:paraId="65B74356"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MOFA</w:t>
            </w:r>
          </w:p>
        </w:tc>
        <w:tc>
          <w:tcPr>
            <w:tcW w:w="3805" w:type="dxa"/>
          </w:tcPr>
          <w:p w14:paraId="429F1847"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وزارة الخارجية</w:t>
            </w:r>
          </w:p>
        </w:tc>
        <w:tc>
          <w:tcPr>
            <w:tcW w:w="1048" w:type="dxa"/>
          </w:tcPr>
          <w:p w14:paraId="6C73340E" w14:textId="77777777" w:rsidR="005E43A1" w:rsidRPr="005E43A1" w:rsidRDefault="005E43A1" w:rsidP="00542F06">
            <w:pPr>
              <w:rPr>
                <w:sz w:val="20"/>
                <w:szCs w:val="20"/>
              </w:rPr>
            </w:pPr>
          </w:p>
        </w:tc>
        <w:tc>
          <w:tcPr>
            <w:tcW w:w="3714" w:type="dxa"/>
          </w:tcPr>
          <w:p w14:paraId="1AA0FC3E" w14:textId="77777777" w:rsidR="005E43A1" w:rsidRPr="005E43A1" w:rsidRDefault="005E43A1" w:rsidP="00542F06">
            <w:pPr>
              <w:rPr>
                <w:sz w:val="20"/>
                <w:szCs w:val="20"/>
              </w:rPr>
            </w:pPr>
          </w:p>
        </w:tc>
      </w:tr>
      <w:tr w:rsidR="005E43A1" w:rsidRPr="005E43A1" w14:paraId="1E540F1C" w14:textId="77777777" w:rsidTr="00542F06">
        <w:tc>
          <w:tcPr>
            <w:tcW w:w="1009" w:type="dxa"/>
          </w:tcPr>
          <w:p w14:paraId="7D9A2360"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MOH</w:t>
            </w:r>
          </w:p>
        </w:tc>
        <w:tc>
          <w:tcPr>
            <w:tcW w:w="3805" w:type="dxa"/>
          </w:tcPr>
          <w:p w14:paraId="1D4C051A"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وزارة الصحة</w:t>
            </w:r>
          </w:p>
        </w:tc>
        <w:tc>
          <w:tcPr>
            <w:tcW w:w="1048" w:type="dxa"/>
          </w:tcPr>
          <w:p w14:paraId="086C673A" w14:textId="77777777" w:rsidR="005E43A1" w:rsidRPr="005E43A1" w:rsidRDefault="005E43A1" w:rsidP="00542F06">
            <w:pPr>
              <w:rPr>
                <w:sz w:val="20"/>
                <w:szCs w:val="20"/>
              </w:rPr>
            </w:pPr>
          </w:p>
        </w:tc>
        <w:tc>
          <w:tcPr>
            <w:tcW w:w="3714" w:type="dxa"/>
          </w:tcPr>
          <w:p w14:paraId="41C0D910" w14:textId="77777777" w:rsidR="005E43A1" w:rsidRPr="005E43A1" w:rsidRDefault="005E43A1" w:rsidP="00542F06">
            <w:pPr>
              <w:rPr>
                <w:sz w:val="20"/>
                <w:szCs w:val="20"/>
              </w:rPr>
            </w:pPr>
          </w:p>
        </w:tc>
      </w:tr>
      <w:tr w:rsidR="005E43A1" w:rsidRPr="005E43A1" w14:paraId="33506089" w14:textId="77777777" w:rsidTr="00542F06">
        <w:tc>
          <w:tcPr>
            <w:tcW w:w="1009" w:type="dxa"/>
          </w:tcPr>
          <w:p w14:paraId="19D465EA"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lastRenderedPageBreak/>
              <w:t>MOU</w:t>
            </w:r>
          </w:p>
        </w:tc>
        <w:tc>
          <w:tcPr>
            <w:tcW w:w="3805" w:type="dxa"/>
          </w:tcPr>
          <w:p w14:paraId="04567317"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مذكّرة تفاهم</w:t>
            </w:r>
          </w:p>
        </w:tc>
        <w:tc>
          <w:tcPr>
            <w:tcW w:w="1048" w:type="dxa"/>
          </w:tcPr>
          <w:p w14:paraId="0389EBDC" w14:textId="77777777" w:rsidR="005E43A1" w:rsidRPr="005E43A1" w:rsidRDefault="005E43A1" w:rsidP="00542F06">
            <w:pPr>
              <w:rPr>
                <w:sz w:val="20"/>
                <w:szCs w:val="20"/>
              </w:rPr>
            </w:pPr>
          </w:p>
        </w:tc>
        <w:tc>
          <w:tcPr>
            <w:tcW w:w="3714" w:type="dxa"/>
          </w:tcPr>
          <w:p w14:paraId="5D2A1ABB" w14:textId="77777777" w:rsidR="005E43A1" w:rsidRPr="005E43A1" w:rsidRDefault="005E43A1" w:rsidP="00542F06">
            <w:pPr>
              <w:rPr>
                <w:sz w:val="20"/>
                <w:szCs w:val="20"/>
              </w:rPr>
            </w:pPr>
          </w:p>
        </w:tc>
      </w:tr>
      <w:tr w:rsidR="005E43A1" w:rsidRPr="005E43A1" w14:paraId="6C0A8DE0" w14:textId="77777777" w:rsidTr="00542F06">
        <w:tc>
          <w:tcPr>
            <w:tcW w:w="1009" w:type="dxa"/>
          </w:tcPr>
          <w:p w14:paraId="2D943120"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MSME</w:t>
            </w:r>
          </w:p>
        </w:tc>
        <w:tc>
          <w:tcPr>
            <w:tcW w:w="3805" w:type="dxa"/>
          </w:tcPr>
          <w:p w14:paraId="292D6BCC"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منشآت الأعمال الصغرى والصغيرة والمتوسطة</w:t>
            </w:r>
          </w:p>
        </w:tc>
        <w:tc>
          <w:tcPr>
            <w:tcW w:w="1048" w:type="dxa"/>
          </w:tcPr>
          <w:p w14:paraId="4E8D3C69" w14:textId="77777777" w:rsidR="005E43A1" w:rsidRPr="005E43A1" w:rsidRDefault="005E43A1" w:rsidP="00542F06">
            <w:pPr>
              <w:rPr>
                <w:sz w:val="20"/>
                <w:szCs w:val="20"/>
              </w:rPr>
            </w:pPr>
          </w:p>
        </w:tc>
        <w:tc>
          <w:tcPr>
            <w:tcW w:w="3714" w:type="dxa"/>
          </w:tcPr>
          <w:p w14:paraId="1B53770A" w14:textId="77777777" w:rsidR="005E43A1" w:rsidRPr="005E43A1" w:rsidRDefault="005E43A1" w:rsidP="00542F06">
            <w:pPr>
              <w:rPr>
                <w:sz w:val="20"/>
                <w:szCs w:val="20"/>
              </w:rPr>
            </w:pPr>
          </w:p>
        </w:tc>
      </w:tr>
      <w:tr w:rsidR="005E43A1" w:rsidRPr="005E43A1" w14:paraId="5D264F8D" w14:textId="77777777" w:rsidTr="00542F06">
        <w:tc>
          <w:tcPr>
            <w:tcW w:w="1009" w:type="dxa"/>
          </w:tcPr>
          <w:p w14:paraId="6BF1C302"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tl w:val="0"/>
              </w:rPr>
              <w:t>NGEST</w:t>
            </w:r>
          </w:p>
        </w:tc>
        <w:tc>
          <w:tcPr>
            <w:tcW w:w="3805" w:type="dxa"/>
          </w:tcPr>
          <w:p w14:paraId="34D30EA6"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Times New Roman" w:eastAsia="Calibri" w:hAnsi="Times New Roman" w:cs="Times New Roman"/>
                <w:caps/>
                <w:sz w:val="20"/>
                <w:szCs w:val="20"/>
              </w:rPr>
              <w:t>المشروع الطارئ لمعالجة مياه الصرف الصحي في شمال قطاع غزة</w:t>
            </w:r>
          </w:p>
        </w:tc>
        <w:tc>
          <w:tcPr>
            <w:tcW w:w="1048" w:type="dxa"/>
          </w:tcPr>
          <w:p w14:paraId="1FE5D7F0" w14:textId="77777777" w:rsidR="005E43A1" w:rsidRPr="005E43A1" w:rsidRDefault="005E43A1" w:rsidP="00542F06">
            <w:pPr>
              <w:rPr>
                <w:sz w:val="20"/>
                <w:szCs w:val="20"/>
              </w:rPr>
            </w:pPr>
          </w:p>
        </w:tc>
        <w:tc>
          <w:tcPr>
            <w:tcW w:w="3714" w:type="dxa"/>
          </w:tcPr>
          <w:p w14:paraId="4F99DFAA" w14:textId="77777777" w:rsidR="005E43A1" w:rsidRPr="005E43A1" w:rsidRDefault="005E43A1" w:rsidP="00542F06">
            <w:pPr>
              <w:rPr>
                <w:sz w:val="20"/>
                <w:szCs w:val="20"/>
              </w:rPr>
            </w:pPr>
          </w:p>
        </w:tc>
      </w:tr>
      <w:tr w:rsidR="005E43A1" w:rsidRPr="005E43A1" w14:paraId="60E3EB84" w14:textId="77777777" w:rsidTr="00542F06">
        <w:tc>
          <w:tcPr>
            <w:tcW w:w="1009" w:type="dxa"/>
          </w:tcPr>
          <w:p w14:paraId="21C6C96A" w14:textId="77777777" w:rsidR="005E43A1" w:rsidRPr="005E43A1" w:rsidRDefault="005E43A1" w:rsidP="00542F06">
            <w:pPr>
              <w:spacing w:after="60"/>
              <w:rPr>
                <w:rFonts w:ascii="Times New Roman" w:eastAsia="Calibri" w:hAnsi="Times New Roman" w:cs="Times New Roman"/>
                <w:b/>
                <w:bCs/>
                <w:caps/>
                <w:sz w:val="20"/>
                <w:szCs w:val="20"/>
              </w:rPr>
            </w:pPr>
            <w:r w:rsidRPr="005E43A1">
              <w:rPr>
                <w:rFonts w:ascii="Times New Roman" w:eastAsia="Calibri" w:hAnsi="Times New Roman" w:cs="Times New Roman"/>
                <w:caps/>
                <w:sz w:val="20"/>
                <w:szCs w:val="20"/>
                <w:rtl w:val="0"/>
              </w:rPr>
              <w:t>NGO</w:t>
            </w:r>
          </w:p>
        </w:tc>
        <w:tc>
          <w:tcPr>
            <w:tcW w:w="3805" w:type="dxa"/>
          </w:tcPr>
          <w:p w14:paraId="62299E47" w14:textId="77777777" w:rsidR="005E43A1" w:rsidRPr="005E43A1" w:rsidRDefault="005E43A1" w:rsidP="00542F06">
            <w:pPr>
              <w:spacing w:after="60"/>
              <w:rPr>
                <w:rFonts w:ascii="Times New Roman" w:eastAsia="Calibri" w:hAnsi="Times New Roman" w:cs="Times New Roman"/>
                <w:caps/>
                <w:sz w:val="20"/>
                <w:szCs w:val="20"/>
                <w:rtl w:val="0"/>
              </w:rPr>
            </w:pPr>
            <w:r w:rsidRPr="005E43A1">
              <w:rPr>
                <w:rFonts w:ascii="Arial" w:hAnsi="Arial"/>
                <w:sz w:val="20"/>
                <w:szCs w:val="20"/>
              </w:rPr>
              <w:t>منظمة غير حكومية (جمعية أهلية)</w:t>
            </w:r>
          </w:p>
        </w:tc>
        <w:tc>
          <w:tcPr>
            <w:tcW w:w="1048" w:type="dxa"/>
          </w:tcPr>
          <w:p w14:paraId="71AA0187" w14:textId="77777777" w:rsidR="005E43A1" w:rsidRPr="005E43A1" w:rsidRDefault="005E43A1" w:rsidP="00542F06">
            <w:pPr>
              <w:rPr>
                <w:sz w:val="20"/>
                <w:szCs w:val="20"/>
              </w:rPr>
            </w:pPr>
          </w:p>
        </w:tc>
        <w:tc>
          <w:tcPr>
            <w:tcW w:w="3714" w:type="dxa"/>
          </w:tcPr>
          <w:p w14:paraId="22097BED" w14:textId="77777777" w:rsidR="005E43A1" w:rsidRPr="005E43A1" w:rsidRDefault="005E43A1" w:rsidP="00542F06">
            <w:pPr>
              <w:rPr>
                <w:sz w:val="20"/>
                <w:szCs w:val="20"/>
              </w:rPr>
            </w:pPr>
          </w:p>
        </w:tc>
      </w:tr>
    </w:tbl>
    <w:p w14:paraId="22CF1E8A"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7ED36A12"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0F9941DB"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05803838"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22F95EAA"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53B15A93"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55ECA9CB"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733ABC44" w14:textId="77777777" w:rsidR="00795E56" w:rsidRDefault="00795E56" w:rsidP="007B17BF">
      <w:pPr>
        <w:spacing w:after="60" w:line="240" w:lineRule="auto"/>
        <w:jc w:val="center"/>
        <w:rPr>
          <w:rFonts w:ascii="Times New Roman" w:eastAsia="Calibri" w:hAnsi="Times New Roman" w:cs="Times New Roman"/>
          <w:b/>
          <w:bCs/>
          <w:caps/>
          <w:sz w:val="23"/>
          <w:szCs w:val="23"/>
        </w:rPr>
      </w:pPr>
    </w:p>
    <w:p w14:paraId="2F556FA5" w14:textId="77777777" w:rsidR="00795E56" w:rsidRDefault="00795E56" w:rsidP="007B17BF">
      <w:pPr>
        <w:spacing w:after="60" w:line="240" w:lineRule="auto"/>
        <w:jc w:val="center"/>
        <w:rPr>
          <w:rFonts w:ascii="Times New Roman" w:eastAsia="Calibri" w:hAnsi="Times New Roman" w:cs="Times New Roman"/>
          <w:b/>
          <w:bCs/>
          <w:caps/>
          <w:sz w:val="23"/>
          <w:szCs w:val="23"/>
        </w:rPr>
      </w:pPr>
    </w:p>
    <w:p w14:paraId="7BA8D8FE" w14:textId="77777777" w:rsidR="00795E56" w:rsidRPr="00166140" w:rsidRDefault="00795E56" w:rsidP="007B17BF">
      <w:pPr>
        <w:spacing w:after="60" w:line="240" w:lineRule="auto"/>
        <w:jc w:val="center"/>
        <w:rPr>
          <w:rFonts w:ascii="Times New Roman" w:eastAsia="Calibri" w:hAnsi="Times New Roman" w:cs="Times New Roman"/>
          <w:b/>
          <w:bCs/>
          <w:caps/>
          <w:sz w:val="23"/>
          <w:szCs w:val="23"/>
        </w:rPr>
      </w:pPr>
    </w:p>
    <w:p w14:paraId="17997020"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746F4C2C" w14:textId="77777777" w:rsidR="0038055D" w:rsidRPr="00166140" w:rsidRDefault="0038055D" w:rsidP="007B17BF">
      <w:pPr>
        <w:spacing w:after="60" w:line="240" w:lineRule="auto"/>
        <w:jc w:val="center"/>
        <w:rPr>
          <w:rFonts w:ascii="Times New Roman" w:eastAsia="Calibri" w:hAnsi="Times New Roman" w:cs="Times New Roman"/>
          <w:b/>
          <w:bCs/>
          <w:caps/>
          <w:sz w:val="23"/>
          <w:szCs w:val="23"/>
        </w:rPr>
      </w:pPr>
    </w:p>
    <w:p w14:paraId="6CCA17F0" w14:textId="77777777" w:rsidR="00476643" w:rsidRPr="00166140" w:rsidRDefault="00476643" w:rsidP="007B17BF">
      <w:pPr>
        <w:spacing w:after="60" w:line="240" w:lineRule="auto"/>
        <w:jc w:val="center"/>
        <w:rPr>
          <w:rFonts w:ascii="Times New Roman" w:eastAsia="Calibri" w:hAnsi="Times New Roman" w:cs="Times New Roman"/>
          <w:b/>
          <w:bCs/>
          <w:caps/>
          <w:sz w:val="23"/>
          <w:szCs w:val="23"/>
        </w:rPr>
      </w:pPr>
    </w:p>
    <w:tbl>
      <w:tblPr>
        <w:tblStyle w:val="TableGrid"/>
        <w:bidiVisual/>
        <w:tblW w:w="0" w:type="auto"/>
        <w:tblBorders>
          <w:insideH w:val="none" w:sz="0" w:space="0" w:color="auto"/>
          <w:insideV w:val="none" w:sz="0" w:space="0" w:color="auto"/>
        </w:tblBorders>
        <w:tblLook w:val="04A0" w:firstRow="1" w:lastRow="0" w:firstColumn="1" w:lastColumn="0" w:noHBand="0" w:noVBand="1"/>
      </w:tblPr>
      <w:tblGrid>
        <w:gridCol w:w="2020"/>
        <w:gridCol w:w="2518"/>
        <w:gridCol w:w="2567"/>
        <w:gridCol w:w="2245"/>
      </w:tblGrid>
      <w:tr w:rsidR="004027CE" w:rsidRPr="00076F73" w14:paraId="2D7713A9" w14:textId="77777777" w:rsidTr="00824EBD">
        <w:tc>
          <w:tcPr>
            <w:tcW w:w="2020" w:type="dxa"/>
          </w:tcPr>
          <w:p w14:paraId="20053804" w14:textId="77777777" w:rsidR="004027CE" w:rsidRPr="00076F73" w:rsidRDefault="004027CE" w:rsidP="007B17BF">
            <w:pPr>
              <w:rPr>
                <w:rFonts w:ascii="Times New Roman" w:hAnsi="Times New Roman" w:cs="Times New Roman"/>
                <w:sz w:val="18"/>
                <w:szCs w:val="18"/>
              </w:rPr>
            </w:pPr>
          </w:p>
        </w:tc>
        <w:tc>
          <w:tcPr>
            <w:tcW w:w="2518" w:type="dxa"/>
          </w:tcPr>
          <w:p w14:paraId="0342C59A" w14:textId="77777777" w:rsidR="004027CE" w:rsidRPr="00076F73" w:rsidRDefault="4F88A954" w:rsidP="4F88A954">
            <w:pPr>
              <w:jc w:val="center"/>
              <w:rPr>
                <w:rFonts w:ascii="Arial" w:hAnsi="Arial" w:cs="Arial"/>
                <w:b/>
                <w:bCs/>
                <w:sz w:val="18"/>
                <w:szCs w:val="18"/>
              </w:rPr>
            </w:pPr>
            <w:r w:rsidRPr="00076F73">
              <w:rPr>
                <w:rFonts w:ascii="Arial" w:hAnsi="Arial"/>
                <w:b/>
                <w:bCs/>
                <w:sz w:val="18"/>
                <w:szCs w:val="18"/>
              </w:rPr>
              <w:t>البنك الدولي للإنشاء والتعمير والمؤسسة الدولية للتنمية</w:t>
            </w:r>
          </w:p>
        </w:tc>
        <w:tc>
          <w:tcPr>
            <w:tcW w:w="2567" w:type="dxa"/>
          </w:tcPr>
          <w:p w14:paraId="33A357BF" w14:textId="77777777" w:rsidR="004027CE" w:rsidRPr="00076F73" w:rsidRDefault="00022F13" w:rsidP="4F88A954">
            <w:pPr>
              <w:jc w:val="center"/>
              <w:rPr>
                <w:rFonts w:ascii="Arial" w:hAnsi="Arial" w:cs="Arial"/>
                <w:bCs/>
                <w:sz w:val="18"/>
                <w:szCs w:val="18"/>
              </w:rPr>
            </w:pPr>
            <w:r w:rsidRPr="00076F73">
              <w:rPr>
                <w:rFonts w:ascii="Arial" w:hAnsi="Arial" w:hint="cs"/>
                <w:bCs/>
                <w:sz w:val="18"/>
                <w:szCs w:val="18"/>
              </w:rPr>
              <w:t>مؤسسة التمويل الدولية</w:t>
            </w:r>
          </w:p>
        </w:tc>
        <w:tc>
          <w:tcPr>
            <w:tcW w:w="2245" w:type="dxa"/>
          </w:tcPr>
          <w:p w14:paraId="1C6A1A13" w14:textId="77777777" w:rsidR="004027CE" w:rsidRPr="00076F73" w:rsidRDefault="00022F13" w:rsidP="4F88A954">
            <w:pPr>
              <w:jc w:val="center"/>
              <w:rPr>
                <w:rFonts w:ascii="Arial" w:hAnsi="Arial" w:cs="Arial"/>
                <w:bCs/>
                <w:sz w:val="18"/>
                <w:szCs w:val="18"/>
              </w:rPr>
            </w:pPr>
            <w:r w:rsidRPr="00076F73">
              <w:rPr>
                <w:rFonts w:ascii="Arial" w:hAnsi="Arial" w:hint="cs"/>
                <w:bCs/>
                <w:sz w:val="18"/>
                <w:szCs w:val="18"/>
              </w:rPr>
              <w:t>الوكالة الدولية لضمان الاستثمار</w:t>
            </w:r>
          </w:p>
        </w:tc>
      </w:tr>
      <w:tr w:rsidR="004027CE" w:rsidRPr="00076F73" w14:paraId="2FB4EA3C" w14:textId="77777777" w:rsidTr="00824EBD">
        <w:tc>
          <w:tcPr>
            <w:tcW w:w="2020" w:type="dxa"/>
          </w:tcPr>
          <w:p w14:paraId="4C39FC2E" w14:textId="77777777" w:rsidR="004027CE" w:rsidRPr="00076F73" w:rsidRDefault="4F88A954" w:rsidP="4F88A954">
            <w:pPr>
              <w:rPr>
                <w:rFonts w:ascii="Arial" w:hAnsi="Arial" w:cs="Arial"/>
                <w:sz w:val="18"/>
                <w:szCs w:val="18"/>
              </w:rPr>
            </w:pPr>
            <w:r w:rsidRPr="00076F73">
              <w:rPr>
                <w:rFonts w:ascii="Arial" w:hAnsi="Arial"/>
                <w:sz w:val="18"/>
                <w:szCs w:val="18"/>
              </w:rPr>
              <w:t>نائب الرئيس</w:t>
            </w:r>
          </w:p>
        </w:tc>
        <w:tc>
          <w:tcPr>
            <w:tcW w:w="2518" w:type="dxa"/>
          </w:tcPr>
          <w:p w14:paraId="678C5CFB" w14:textId="77777777" w:rsidR="004027CE" w:rsidRPr="00076F73" w:rsidRDefault="4F88A954" w:rsidP="4F88A954">
            <w:pPr>
              <w:jc w:val="center"/>
              <w:rPr>
                <w:rFonts w:ascii="Arial" w:hAnsi="Arial" w:cs="Arial"/>
                <w:sz w:val="18"/>
                <w:szCs w:val="18"/>
              </w:rPr>
            </w:pPr>
            <w:r w:rsidRPr="00076F73">
              <w:rPr>
                <w:rFonts w:ascii="Arial" w:hAnsi="Arial"/>
                <w:sz w:val="18"/>
                <w:szCs w:val="18"/>
              </w:rPr>
              <w:t>حافظ غانم</w:t>
            </w:r>
          </w:p>
        </w:tc>
        <w:tc>
          <w:tcPr>
            <w:tcW w:w="2567" w:type="dxa"/>
          </w:tcPr>
          <w:p w14:paraId="0ED7F515" w14:textId="77777777" w:rsidR="004027CE" w:rsidRPr="00076F73" w:rsidRDefault="00F041F5" w:rsidP="4F88A954">
            <w:pPr>
              <w:jc w:val="center"/>
              <w:rPr>
                <w:rFonts w:ascii="Arial" w:hAnsi="Arial" w:cs="Arial"/>
                <w:sz w:val="18"/>
                <w:szCs w:val="18"/>
              </w:rPr>
            </w:pPr>
            <w:r w:rsidRPr="00076F73">
              <w:rPr>
                <w:rFonts w:ascii="Arial" w:hAnsi="Arial"/>
                <w:sz w:val="18"/>
                <w:szCs w:val="18"/>
              </w:rPr>
              <w:t>ستيفاني فون فرايديبيرغ</w:t>
            </w:r>
          </w:p>
        </w:tc>
        <w:tc>
          <w:tcPr>
            <w:tcW w:w="2245" w:type="dxa"/>
          </w:tcPr>
          <w:p w14:paraId="0DE1EFB0" w14:textId="77777777" w:rsidR="004027CE" w:rsidRPr="00076F73" w:rsidRDefault="4F88A954" w:rsidP="4F88A954">
            <w:pPr>
              <w:jc w:val="center"/>
              <w:rPr>
                <w:rFonts w:ascii="Arial" w:hAnsi="Arial" w:cs="Arial"/>
                <w:sz w:val="18"/>
                <w:szCs w:val="18"/>
              </w:rPr>
            </w:pPr>
            <w:r w:rsidRPr="00076F73">
              <w:rPr>
                <w:rFonts w:ascii="Arial" w:hAnsi="Arial"/>
                <w:sz w:val="18"/>
                <w:szCs w:val="18"/>
              </w:rPr>
              <w:t>كايكو هوندا</w:t>
            </w:r>
          </w:p>
        </w:tc>
      </w:tr>
      <w:tr w:rsidR="004027CE" w:rsidRPr="00076F73" w14:paraId="5376715D" w14:textId="77777777" w:rsidTr="00824EBD">
        <w:tc>
          <w:tcPr>
            <w:tcW w:w="2020" w:type="dxa"/>
          </w:tcPr>
          <w:p w14:paraId="4A8ADB95" w14:textId="77777777" w:rsidR="004027CE" w:rsidRPr="00076F73" w:rsidRDefault="0087205C" w:rsidP="4F88A954">
            <w:pPr>
              <w:rPr>
                <w:rFonts w:ascii="Arial" w:hAnsi="Arial" w:cs="Arial"/>
                <w:sz w:val="18"/>
                <w:szCs w:val="18"/>
              </w:rPr>
            </w:pPr>
            <w:r>
              <w:rPr>
                <w:rFonts w:ascii="Arial" w:hAnsi="Arial" w:hint="cs"/>
                <w:sz w:val="18"/>
                <w:szCs w:val="18"/>
              </w:rPr>
              <w:t xml:space="preserve">المدير والممثل المقيم </w:t>
            </w:r>
          </w:p>
        </w:tc>
        <w:tc>
          <w:tcPr>
            <w:tcW w:w="2518" w:type="dxa"/>
          </w:tcPr>
          <w:p w14:paraId="4C16D086" w14:textId="77777777" w:rsidR="004027CE" w:rsidRPr="00076F73" w:rsidRDefault="4F88A954" w:rsidP="4F88A954">
            <w:pPr>
              <w:jc w:val="center"/>
              <w:rPr>
                <w:rFonts w:ascii="Arial" w:hAnsi="Arial" w:cs="Arial"/>
                <w:sz w:val="18"/>
                <w:szCs w:val="18"/>
              </w:rPr>
            </w:pPr>
            <w:r w:rsidRPr="00076F73">
              <w:rPr>
                <w:rFonts w:ascii="Arial" w:hAnsi="Arial"/>
                <w:sz w:val="18"/>
                <w:szCs w:val="18"/>
              </w:rPr>
              <w:t>مارينا ويس</w:t>
            </w:r>
          </w:p>
        </w:tc>
        <w:tc>
          <w:tcPr>
            <w:tcW w:w="2567" w:type="dxa"/>
          </w:tcPr>
          <w:p w14:paraId="224A8604" w14:textId="77777777" w:rsidR="004027CE" w:rsidRPr="00076F73" w:rsidRDefault="4F88A954" w:rsidP="4F88A954">
            <w:pPr>
              <w:jc w:val="center"/>
              <w:rPr>
                <w:rFonts w:ascii="Arial" w:hAnsi="Arial" w:cs="Arial"/>
                <w:sz w:val="18"/>
                <w:szCs w:val="18"/>
              </w:rPr>
            </w:pPr>
            <w:r w:rsidRPr="00076F73">
              <w:rPr>
                <w:rFonts w:ascii="Arial" w:hAnsi="Arial"/>
                <w:sz w:val="18"/>
                <w:szCs w:val="18"/>
              </w:rPr>
              <w:t>مؤيد مخلوف</w:t>
            </w:r>
          </w:p>
        </w:tc>
        <w:tc>
          <w:tcPr>
            <w:tcW w:w="2245" w:type="dxa"/>
          </w:tcPr>
          <w:p w14:paraId="2003F90F" w14:textId="77777777" w:rsidR="004027CE" w:rsidRPr="00076F73" w:rsidRDefault="4F88A954" w:rsidP="4F88A954">
            <w:pPr>
              <w:jc w:val="center"/>
              <w:rPr>
                <w:rFonts w:ascii="Arial" w:hAnsi="Arial" w:cs="Arial"/>
                <w:sz w:val="18"/>
                <w:szCs w:val="18"/>
              </w:rPr>
            </w:pPr>
            <w:r w:rsidRPr="00076F73">
              <w:rPr>
                <w:rFonts w:ascii="Arial" w:hAnsi="Arial"/>
                <w:sz w:val="18"/>
                <w:szCs w:val="18"/>
              </w:rPr>
              <w:t>ميرلي بارودي</w:t>
            </w:r>
          </w:p>
        </w:tc>
      </w:tr>
      <w:tr w:rsidR="004027CE" w:rsidRPr="00076F73" w14:paraId="0C299DED" w14:textId="77777777" w:rsidTr="00824EBD">
        <w:tc>
          <w:tcPr>
            <w:tcW w:w="2020" w:type="dxa"/>
          </w:tcPr>
          <w:p w14:paraId="01E7F07B" w14:textId="77777777" w:rsidR="004027CE" w:rsidRPr="00076F73" w:rsidRDefault="4F88A954" w:rsidP="4F88A954">
            <w:pPr>
              <w:rPr>
                <w:rFonts w:ascii="Arial" w:hAnsi="Arial" w:cs="Arial"/>
                <w:sz w:val="18"/>
                <w:szCs w:val="18"/>
              </w:rPr>
            </w:pPr>
            <w:r w:rsidRPr="00076F73">
              <w:rPr>
                <w:rFonts w:ascii="Arial" w:hAnsi="Arial"/>
                <w:sz w:val="18"/>
                <w:szCs w:val="18"/>
              </w:rPr>
              <w:t>رئيس فريق العمل</w:t>
            </w:r>
          </w:p>
        </w:tc>
        <w:tc>
          <w:tcPr>
            <w:tcW w:w="2518" w:type="dxa"/>
          </w:tcPr>
          <w:p w14:paraId="3A013D2E" w14:textId="77777777" w:rsidR="004027CE" w:rsidRPr="00076F73" w:rsidRDefault="4F88A954" w:rsidP="4F88A954">
            <w:pPr>
              <w:jc w:val="center"/>
              <w:rPr>
                <w:rFonts w:ascii="Arial" w:hAnsi="Arial" w:cs="Arial"/>
                <w:sz w:val="18"/>
                <w:szCs w:val="18"/>
              </w:rPr>
            </w:pPr>
            <w:r w:rsidRPr="00076F73">
              <w:rPr>
                <w:rFonts w:ascii="Arial" w:hAnsi="Arial"/>
                <w:sz w:val="18"/>
                <w:szCs w:val="18"/>
              </w:rPr>
              <w:t>رانجانا موخيرجي</w:t>
            </w:r>
          </w:p>
        </w:tc>
        <w:tc>
          <w:tcPr>
            <w:tcW w:w="2567" w:type="dxa"/>
          </w:tcPr>
          <w:p w14:paraId="5C94E4C7" w14:textId="77777777" w:rsidR="004027CE" w:rsidRPr="00076F73" w:rsidRDefault="4F88A954" w:rsidP="4F88A954">
            <w:pPr>
              <w:jc w:val="center"/>
              <w:rPr>
                <w:rFonts w:ascii="Arial" w:hAnsi="Arial" w:cs="Arial"/>
                <w:sz w:val="18"/>
                <w:szCs w:val="18"/>
              </w:rPr>
            </w:pPr>
            <w:r w:rsidRPr="00076F73">
              <w:rPr>
                <w:rFonts w:ascii="Arial" w:hAnsi="Arial"/>
                <w:sz w:val="18"/>
                <w:szCs w:val="18"/>
              </w:rPr>
              <w:t>يوسف حبيش</w:t>
            </w:r>
          </w:p>
        </w:tc>
        <w:tc>
          <w:tcPr>
            <w:tcW w:w="2245" w:type="dxa"/>
          </w:tcPr>
          <w:p w14:paraId="571999AE" w14:textId="77777777" w:rsidR="004027CE" w:rsidRPr="00076F73" w:rsidRDefault="00155C1F" w:rsidP="4F88A954">
            <w:pPr>
              <w:jc w:val="center"/>
              <w:rPr>
                <w:rFonts w:ascii="Arial" w:hAnsi="Arial" w:cs="Arial"/>
                <w:sz w:val="18"/>
                <w:szCs w:val="18"/>
              </w:rPr>
            </w:pPr>
            <w:r w:rsidRPr="00076F73">
              <w:rPr>
                <w:rFonts w:ascii="Arial" w:hAnsi="Arial"/>
                <w:sz w:val="18"/>
                <w:szCs w:val="18"/>
              </w:rPr>
              <w:t>بيرسيفوني إكونومو/ليالي عابدين</w:t>
            </w:r>
          </w:p>
        </w:tc>
      </w:tr>
    </w:tbl>
    <w:p w14:paraId="339C4E49" w14:textId="77777777" w:rsidR="004027CE" w:rsidRPr="00166140" w:rsidRDefault="004027CE" w:rsidP="007B17BF">
      <w:pPr>
        <w:spacing w:line="240" w:lineRule="auto"/>
        <w:jc w:val="center"/>
        <w:rPr>
          <w:rFonts w:ascii="Times New Roman" w:hAnsi="Times New Roman" w:cs="Times New Roman"/>
          <w:b/>
          <w:sz w:val="23"/>
          <w:szCs w:val="23"/>
        </w:rPr>
      </w:pPr>
    </w:p>
    <w:p w14:paraId="0E742169" w14:textId="77777777" w:rsidR="00272AB7" w:rsidRDefault="00272AB7" w:rsidP="007B17BF">
      <w:pPr>
        <w:spacing w:line="240" w:lineRule="auto"/>
        <w:rPr>
          <w:b/>
          <w:sz w:val="23"/>
          <w:szCs w:val="23"/>
        </w:rPr>
      </w:pPr>
    </w:p>
    <w:p w14:paraId="18327949" w14:textId="77777777" w:rsidR="00022F13" w:rsidRDefault="00022F13" w:rsidP="007B17BF">
      <w:pPr>
        <w:spacing w:line="240" w:lineRule="auto"/>
        <w:rPr>
          <w:b/>
          <w:sz w:val="23"/>
          <w:szCs w:val="23"/>
        </w:rPr>
      </w:pPr>
    </w:p>
    <w:p w14:paraId="6363AB93" w14:textId="77777777" w:rsidR="00022F13" w:rsidRDefault="00022F13" w:rsidP="007B17BF">
      <w:pPr>
        <w:spacing w:line="240" w:lineRule="auto"/>
        <w:rPr>
          <w:b/>
          <w:sz w:val="23"/>
          <w:szCs w:val="23"/>
        </w:rPr>
      </w:pPr>
    </w:p>
    <w:p w14:paraId="01BA203D" w14:textId="77777777" w:rsidR="003C28A3" w:rsidRDefault="003C28A3">
      <w:pPr>
        <w:bidi w:val="0"/>
        <w:rPr>
          <w:b/>
          <w:sz w:val="23"/>
          <w:szCs w:val="23"/>
        </w:rPr>
      </w:pPr>
      <w:r>
        <w:rPr>
          <w:b/>
          <w:sz w:val="23"/>
          <w:szCs w:val="23"/>
        </w:rPr>
        <w:br w:type="page"/>
      </w:r>
    </w:p>
    <w:p w14:paraId="5C7384F9" w14:textId="77777777" w:rsidR="00022F13" w:rsidRDefault="00022F13" w:rsidP="007B17BF">
      <w:pPr>
        <w:spacing w:line="240" w:lineRule="auto"/>
        <w:rPr>
          <w:b/>
          <w:sz w:val="23"/>
          <w:szCs w:val="23"/>
        </w:rPr>
      </w:pPr>
    </w:p>
    <w:p w14:paraId="56C122DE" w14:textId="77777777" w:rsidR="00022F13" w:rsidRPr="00166140" w:rsidRDefault="00022F13" w:rsidP="007B17BF">
      <w:pPr>
        <w:spacing w:line="240" w:lineRule="auto"/>
        <w:rPr>
          <w:b/>
          <w:sz w:val="23"/>
          <w:szCs w:val="23"/>
        </w:rPr>
      </w:pPr>
    </w:p>
    <w:sdt>
      <w:sdtPr>
        <w:rPr>
          <w:rFonts w:asciiTheme="minorHAnsi" w:hAnsiTheme="minorHAnsi"/>
        </w:rPr>
        <w:id w:val="1224027897"/>
        <w:docPartObj>
          <w:docPartGallery w:val="Table of Contents"/>
          <w:docPartUnique/>
        </w:docPartObj>
      </w:sdtPr>
      <w:sdtEndPr>
        <w:rPr>
          <w:rFonts w:ascii="Times New Roman" w:hAnsi="Times New Roman" w:cs="Times New Roman"/>
          <w:b/>
          <w:bCs/>
          <w:noProof/>
          <w:sz w:val="24"/>
          <w:szCs w:val="24"/>
        </w:rPr>
      </w:sdtEndPr>
      <w:sdtContent>
        <w:p w14:paraId="4A638A65" w14:textId="77777777" w:rsidR="000F3CCB" w:rsidRDefault="4F88A954" w:rsidP="4F88A954">
          <w:pPr>
            <w:pStyle w:val="TOC1"/>
            <w:jc w:val="center"/>
            <w:rPr>
              <w:rFonts w:cs="Arial"/>
              <w:b/>
              <w:bCs/>
            </w:rPr>
          </w:pPr>
          <w:r>
            <w:rPr>
              <w:b/>
              <w:bCs/>
            </w:rPr>
            <w:t>المحتويات</w:t>
          </w:r>
        </w:p>
        <w:p w14:paraId="67C1262C" w14:textId="77777777" w:rsidR="00A57C82" w:rsidRPr="00824EBD" w:rsidRDefault="00A57C82" w:rsidP="00824EBD"/>
        <w:p w14:paraId="77E24BE2" w14:textId="77777777" w:rsidR="000F3CCB" w:rsidRPr="006348E8" w:rsidRDefault="000F3CCB" w:rsidP="00B16FCA">
          <w:pPr>
            <w:pStyle w:val="TOC1"/>
            <w:rPr>
              <w:rFonts w:cs="Times New Roman"/>
              <w:b/>
            </w:rPr>
          </w:pPr>
        </w:p>
        <w:p w14:paraId="3F861E81" w14:textId="77777777" w:rsidR="00006596" w:rsidRDefault="00350F3E" w:rsidP="00006596">
          <w:pPr>
            <w:pStyle w:val="TOC2"/>
            <w:jc w:val="both"/>
            <w:rPr>
              <w:rFonts w:eastAsiaTheme="minorEastAsia"/>
              <w:noProof/>
              <w:rtl w:val="0"/>
              <w:lang w:eastAsia="en-US"/>
            </w:rPr>
          </w:pPr>
          <w:r w:rsidRPr="00DB48C3">
            <w:rPr>
              <w:b/>
              <w:sz w:val="24"/>
              <w:szCs w:val="24"/>
            </w:rPr>
            <w:fldChar w:fldCharType="begin"/>
          </w:r>
          <w:r w:rsidR="006348E8" w:rsidRPr="00DB48C3">
            <w:rPr>
              <w:b/>
              <w:sz w:val="24"/>
              <w:szCs w:val="24"/>
            </w:rPr>
            <w:instrText xml:space="preserve"> TOC \o "1-3" \h \z \u </w:instrText>
          </w:r>
          <w:r w:rsidRPr="00DB48C3">
            <w:rPr>
              <w:b/>
              <w:sz w:val="24"/>
              <w:szCs w:val="24"/>
            </w:rPr>
            <w:fldChar w:fldCharType="separate"/>
          </w:r>
          <w:hyperlink w:anchor="_Toc500240967" w:history="1">
            <w:r w:rsidR="00006596" w:rsidRPr="009E030F">
              <w:rPr>
                <w:rStyle w:val="Hyperlink"/>
                <w:noProof/>
              </w:rPr>
              <w:t>ألف. مقدمة</w:t>
            </w:r>
            <w:r w:rsidR="00006596">
              <w:rPr>
                <w:noProof/>
                <w:webHidden/>
              </w:rPr>
              <w:tab/>
            </w:r>
            <w:r>
              <w:rPr>
                <w:noProof/>
                <w:webHidden/>
              </w:rPr>
              <w:fldChar w:fldCharType="begin"/>
            </w:r>
            <w:r w:rsidR="00006596">
              <w:rPr>
                <w:noProof/>
                <w:webHidden/>
              </w:rPr>
              <w:instrText xml:space="preserve"> PAGEREF _Toc500240967 \h </w:instrText>
            </w:r>
            <w:r>
              <w:rPr>
                <w:noProof/>
                <w:webHidden/>
              </w:rPr>
            </w:r>
            <w:r>
              <w:rPr>
                <w:noProof/>
                <w:webHidden/>
              </w:rPr>
              <w:fldChar w:fldCharType="separate"/>
            </w:r>
            <w:r w:rsidR="00006596">
              <w:rPr>
                <w:noProof/>
                <w:webHidden/>
                <w:rtl w:val="0"/>
              </w:rPr>
              <w:t>1</w:t>
            </w:r>
            <w:r>
              <w:rPr>
                <w:noProof/>
                <w:webHidden/>
              </w:rPr>
              <w:fldChar w:fldCharType="end"/>
            </w:r>
          </w:hyperlink>
        </w:p>
        <w:p w14:paraId="174D0904" w14:textId="77777777" w:rsidR="00006596" w:rsidRDefault="00054D28" w:rsidP="00006596">
          <w:pPr>
            <w:pStyle w:val="TOC2"/>
            <w:jc w:val="both"/>
            <w:rPr>
              <w:rFonts w:eastAsiaTheme="minorEastAsia"/>
              <w:noProof/>
              <w:rtl w:val="0"/>
              <w:lang w:eastAsia="en-US"/>
            </w:rPr>
          </w:pPr>
          <w:hyperlink w:anchor="_Toc500240968" w:history="1">
            <w:r w:rsidR="00006596" w:rsidRPr="009E030F">
              <w:rPr>
                <w:rStyle w:val="Hyperlink"/>
                <w:noProof/>
              </w:rPr>
              <w:t>باء. السياق السياسي</w:t>
            </w:r>
            <w:r w:rsidR="00006596">
              <w:rPr>
                <w:noProof/>
                <w:webHidden/>
              </w:rPr>
              <w:tab/>
            </w:r>
            <w:r w:rsidR="00350F3E">
              <w:rPr>
                <w:noProof/>
                <w:webHidden/>
              </w:rPr>
              <w:fldChar w:fldCharType="begin"/>
            </w:r>
            <w:r w:rsidR="00006596">
              <w:rPr>
                <w:noProof/>
                <w:webHidden/>
              </w:rPr>
              <w:instrText xml:space="preserve"> PAGEREF _Toc500240968 \h </w:instrText>
            </w:r>
            <w:r w:rsidR="00350F3E">
              <w:rPr>
                <w:noProof/>
                <w:webHidden/>
              </w:rPr>
            </w:r>
            <w:r w:rsidR="00350F3E">
              <w:rPr>
                <w:noProof/>
                <w:webHidden/>
              </w:rPr>
              <w:fldChar w:fldCharType="separate"/>
            </w:r>
            <w:r w:rsidR="00006596">
              <w:rPr>
                <w:noProof/>
                <w:webHidden/>
                <w:rtl w:val="0"/>
              </w:rPr>
              <w:t>2</w:t>
            </w:r>
            <w:r w:rsidR="00350F3E">
              <w:rPr>
                <w:noProof/>
                <w:webHidden/>
              </w:rPr>
              <w:fldChar w:fldCharType="end"/>
            </w:r>
          </w:hyperlink>
        </w:p>
        <w:p w14:paraId="015FA33E" w14:textId="77777777" w:rsidR="00006596" w:rsidRDefault="00054D28" w:rsidP="00006596">
          <w:pPr>
            <w:pStyle w:val="TOC2"/>
            <w:jc w:val="both"/>
            <w:rPr>
              <w:rFonts w:eastAsiaTheme="minorEastAsia"/>
              <w:noProof/>
              <w:rtl w:val="0"/>
              <w:lang w:eastAsia="en-US"/>
            </w:rPr>
          </w:pPr>
          <w:hyperlink w:anchor="_Toc500240969" w:history="1">
            <w:r w:rsidR="00006596" w:rsidRPr="009E030F">
              <w:rPr>
                <w:rStyle w:val="Hyperlink"/>
                <w:noProof/>
              </w:rPr>
              <w:t>جيم. السياق الاقتصادي</w:t>
            </w:r>
            <w:r w:rsidR="00006596">
              <w:rPr>
                <w:noProof/>
                <w:webHidden/>
              </w:rPr>
              <w:tab/>
            </w:r>
            <w:r w:rsidR="00350F3E">
              <w:rPr>
                <w:noProof/>
                <w:webHidden/>
              </w:rPr>
              <w:fldChar w:fldCharType="begin"/>
            </w:r>
            <w:r w:rsidR="00006596">
              <w:rPr>
                <w:noProof/>
                <w:webHidden/>
              </w:rPr>
              <w:instrText xml:space="preserve"> PAGEREF _Toc500240969 \h </w:instrText>
            </w:r>
            <w:r w:rsidR="00350F3E">
              <w:rPr>
                <w:noProof/>
                <w:webHidden/>
              </w:rPr>
            </w:r>
            <w:r w:rsidR="00350F3E">
              <w:rPr>
                <w:noProof/>
                <w:webHidden/>
              </w:rPr>
              <w:fldChar w:fldCharType="separate"/>
            </w:r>
            <w:r w:rsidR="00006596">
              <w:rPr>
                <w:noProof/>
                <w:webHidden/>
                <w:rtl w:val="0"/>
              </w:rPr>
              <w:t>3</w:t>
            </w:r>
            <w:r w:rsidR="00350F3E">
              <w:rPr>
                <w:noProof/>
                <w:webHidden/>
              </w:rPr>
              <w:fldChar w:fldCharType="end"/>
            </w:r>
          </w:hyperlink>
        </w:p>
        <w:p w14:paraId="4D062B42" w14:textId="77777777" w:rsidR="00006596" w:rsidRDefault="00054D28" w:rsidP="00006596">
          <w:pPr>
            <w:pStyle w:val="TOC2"/>
            <w:jc w:val="both"/>
            <w:rPr>
              <w:rFonts w:eastAsiaTheme="minorEastAsia"/>
              <w:noProof/>
              <w:rtl w:val="0"/>
              <w:lang w:eastAsia="en-US"/>
            </w:rPr>
          </w:pPr>
          <w:hyperlink w:anchor="_Toc500240970" w:history="1">
            <w:r w:rsidR="00006596" w:rsidRPr="009E030F">
              <w:rPr>
                <w:rStyle w:val="Hyperlink"/>
                <w:noProof/>
              </w:rPr>
              <w:t>دال. التحديات التي تواجه النمو الذي يقوده القطاع الخاص واستراتيجية إيجاد فرص العمل</w:t>
            </w:r>
            <w:r w:rsidR="00006596">
              <w:rPr>
                <w:noProof/>
                <w:webHidden/>
              </w:rPr>
              <w:tab/>
            </w:r>
            <w:r w:rsidR="00350F3E">
              <w:rPr>
                <w:noProof/>
                <w:webHidden/>
              </w:rPr>
              <w:fldChar w:fldCharType="begin"/>
            </w:r>
            <w:r w:rsidR="00006596">
              <w:rPr>
                <w:noProof/>
                <w:webHidden/>
              </w:rPr>
              <w:instrText xml:space="preserve"> PAGEREF _Toc500240970 \h </w:instrText>
            </w:r>
            <w:r w:rsidR="00350F3E">
              <w:rPr>
                <w:noProof/>
                <w:webHidden/>
              </w:rPr>
            </w:r>
            <w:r w:rsidR="00350F3E">
              <w:rPr>
                <w:noProof/>
                <w:webHidden/>
              </w:rPr>
              <w:fldChar w:fldCharType="separate"/>
            </w:r>
            <w:r w:rsidR="00006596">
              <w:rPr>
                <w:noProof/>
                <w:webHidden/>
                <w:rtl w:val="0"/>
              </w:rPr>
              <w:t>5</w:t>
            </w:r>
            <w:r w:rsidR="00350F3E">
              <w:rPr>
                <w:noProof/>
                <w:webHidden/>
              </w:rPr>
              <w:fldChar w:fldCharType="end"/>
            </w:r>
          </w:hyperlink>
        </w:p>
        <w:p w14:paraId="00B6637D" w14:textId="77777777" w:rsidR="00006596" w:rsidRDefault="00054D28" w:rsidP="00006596">
          <w:pPr>
            <w:pStyle w:val="TOC2"/>
            <w:jc w:val="both"/>
            <w:rPr>
              <w:rFonts w:eastAsiaTheme="minorEastAsia"/>
              <w:noProof/>
              <w:rtl w:val="0"/>
              <w:lang w:eastAsia="en-US"/>
            </w:rPr>
          </w:pPr>
          <w:hyperlink w:anchor="_Toc500240971" w:history="1">
            <w:r w:rsidR="00006596" w:rsidRPr="009E030F">
              <w:rPr>
                <w:rStyle w:val="Hyperlink"/>
                <w:noProof/>
              </w:rPr>
              <w:t>هاء. خبرات تنفيذ استراتيجية المساعدة السابقة</w:t>
            </w:r>
            <w:r w:rsidR="00006596">
              <w:rPr>
                <w:noProof/>
                <w:webHidden/>
              </w:rPr>
              <w:tab/>
            </w:r>
            <w:r w:rsidR="00350F3E">
              <w:rPr>
                <w:noProof/>
                <w:webHidden/>
              </w:rPr>
              <w:fldChar w:fldCharType="begin"/>
            </w:r>
            <w:r w:rsidR="00006596">
              <w:rPr>
                <w:noProof/>
                <w:webHidden/>
              </w:rPr>
              <w:instrText xml:space="preserve"> PAGEREF _Toc500240971 \h </w:instrText>
            </w:r>
            <w:r w:rsidR="00350F3E">
              <w:rPr>
                <w:noProof/>
                <w:webHidden/>
              </w:rPr>
            </w:r>
            <w:r w:rsidR="00350F3E">
              <w:rPr>
                <w:noProof/>
                <w:webHidden/>
              </w:rPr>
              <w:fldChar w:fldCharType="separate"/>
            </w:r>
            <w:r w:rsidR="00006596">
              <w:rPr>
                <w:noProof/>
                <w:webHidden/>
                <w:rtl w:val="0"/>
              </w:rPr>
              <w:t>7</w:t>
            </w:r>
            <w:r w:rsidR="00350F3E">
              <w:rPr>
                <w:noProof/>
                <w:webHidden/>
              </w:rPr>
              <w:fldChar w:fldCharType="end"/>
            </w:r>
          </w:hyperlink>
        </w:p>
        <w:p w14:paraId="70136F8D" w14:textId="77777777" w:rsidR="00006596" w:rsidRDefault="00054D28" w:rsidP="00006596">
          <w:pPr>
            <w:pStyle w:val="TOC2"/>
            <w:jc w:val="both"/>
            <w:rPr>
              <w:rFonts w:eastAsiaTheme="minorEastAsia"/>
              <w:noProof/>
              <w:rtl w:val="0"/>
              <w:lang w:eastAsia="en-US"/>
            </w:rPr>
          </w:pPr>
          <w:hyperlink w:anchor="_Toc500240972" w:history="1">
            <w:r w:rsidR="00006596" w:rsidRPr="009E030F">
              <w:rPr>
                <w:rStyle w:val="Hyperlink"/>
                <w:noProof/>
              </w:rPr>
              <w:t>واو. البرامج المقترحة</w:t>
            </w:r>
            <w:r w:rsidR="00006596">
              <w:rPr>
                <w:noProof/>
                <w:webHidden/>
              </w:rPr>
              <w:tab/>
            </w:r>
            <w:r w:rsidR="00350F3E">
              <w:rPr>
                <w:noProof/>
                <w:webHidden/>
              </w:rPr>
              <w:fldChar w:fldCharType="begin"/>
            </w:r>
            <w:r w:rsidR="00006596">
              <w:rPr>
                <w:noProof/>
                <w:webHidden/>
              </w:rPr>
              <w:instrText xml:space="preserve"> PAGEREF _Toc500240972 \h </w:instrText>
            </w:r>
            <w:r w:rsidR="00350F3E">
              <w:rPr>
                <w:noProof/>
                <w:webHidden/>
              </w:rPr>
            </w:r>
            <w:r w:rsidR="00350F3E">
              <w:rPr>
                <w:noProof/>
                <w:webHidden/>
              </w:rPr>
              <w:fldChar w:fldCharType="separate"/>
            </w:r>
            <w:r w:rsidR="00006596">
              <w:rPr>
                <w:noProof/>
                <w:webHidden/>
                <w:rtl w:val="0"/>
              </w:rPr>
              <w:t>10</w:t>
            </w:r>
            <w:r w:rsidR="00350F3E">
              <w:rPr>
                <w:noProof/>
                <w:webHidden/>
              </w:rPr>
              <w:fldChar w:fldCharType="end"/>
            </w:r>
          </w:hyperlink>
        </w:p>
        <w:p w14:paraId="34AB5675" w14:textId="77777777" w:rsidR="00006596" w:rsidRDefault="00054D28" w:rsidP="00006596">
          <w:pPr>
            <w:pStyle w:val="TOC2"/>
            <w:jc w:val="both"/>
            <w:rPr>
              <w:rFonts w:eastAsiaTheme="minorEastAsia"/>
              <w:noProof/>
              <w:rtl w:val="0"/>
              <w:lang w:eastAsia="en-US"/>
            </w:rPr>
          </w:pPr>
          <w:hyperlink w:anchor="_Toc500240973" w:history="1">
            <w:r w:rsidR="00006596" w:rsidRPr="009E030F">
              <w:rPr>
                <w:rStyle w:val="Hyperlink"/>
                <w:noProof/>
              </w:rPr>
              <w:t>زاي. الاتصال والتواصل</w:t>
            </w:r>
            <w:r w:rsidR="00006596">
              <w:rPr>
                <w:noProof/>
                <w:webHidden/>
              </w:rPr>
              <w:tab/>
            </w:r>
            <w:r w:rsidR="00350F3E">
              <w:rPr>
                <w:noProof/>
                <w:webHidden/>
              </w:rPr>
              <w:fldChar w:fldCharType="begin"/>
            </w:r>
            <w:r w:rsidR="00006596">
              <w:rPr>
                <w:noProof/>
                <w:webHidden/>
              </w:rPr>
              <w:instrText xml:space="preserve"> PAGEREF _Toc500240973 \h </w:instrText>
            </w:r>
            <w:r w:rsidR="00350F3E">
              <w:rPr>
                <w:noProof/>
                <w:webHidden/>
              </w:rPr>
            </w:r>
            <w:r w:rsidR="00350F3E">
              <w:rPr>
                <w:noProof/>
                <w:webHidden/>
              </w:rPr>
              <w:fldChar w:fldCharType="separate"/>
            </w:r>
            <w:r w:rsidR="00006596">
              <w:rPr>
                <w:noProof/>
                <w:webHidden/>
                <w:rtl w:val="0"/>
              </w:rPr>
              <w:t>23</w:t>
            </w:r>
            <w:r w:rsidR="00350F3E">
              <w:rPr>
                <w:noProof/>
                <w:webHidden/>
              </w:rPr>
              <w:fldChar w:fldCharType="end"/>
            </w:r>
          </w:hyperlink>
        </w:p>
        <w:p w14:paraId="2C208A9E" w14:textId="77777777" w:rsidR="00006596" w:rsidRDefault="00054D28" w:rsidP="00006596">
          <w:pPr>
            <w:pStyle w:val="TOC2"/>
            <w:jc w:val="both"/>
            <w:rPr>
              <w:rFonts w:eastAsiaTheme="minorEastAsia"/>
              <w:noProof/>
              <w:rtl w:val="0"/>
              <w:lang w:eastAsia="en-US"/>
            </w:rPr>
          </w:pPr>
          <w:hyperlink w:anchor="_Toc500240974" w:history="1">
            <w:r w:rsidR="00006596" w:rsidRPr="009E030F">
              <w:rPr>
                <w:rStyle w:val="Hyperlink"/>
                <w:noProof/>
              </w:rPr>
              <w:t>حاء. المخاطر وإجراءات تخفيفها</w:t>
            </w:r>
            <w:r w:rsidR="00006596">
              <w:rPr>
                <w:noProof/>
                <w:webHidden/>
              </w:rPr>
              <w:tab/>
            </w:r>
            <w:r w:rsidR="00350F3E">
              <w:rPr>
                <w:noProof/>
                <w:webHidden/>
              </w:rPr>
              <w:fldChar w:fldCharType="begin"/>
            </w:r>
            <w:r w:rsidR="00006596">
              <w:rPr>
                <w:noProof/>
                <w:webHidden/>
              </w:rPr>
              <w:instrText xml:space="preserve"> PAGEREF _Toc500240974 \h </w:instrText>
            </w:r>
            <w:r w:rsidR="00350F3E">
              <w:rPr>
                <w:noProof/>
                <w:webHidden/>
              </w:rPr>
            </w:r>
            <w:r w:rsidR="00350F3E">
              <w:rPr>
                <w:noProof/>
                <w:webHidden/>
              </w:rPr>
              <w:fldChar w:fldCharType="separate"/>
            </w:r>
            <w:r w:rsidR="00006596">
              <w:rPr>
                <w:noProof/>
                <w:webHidden/>
                <w:rtl w:val="0"/>
              </w:rPr>
              <w:t>23</w:t>
            </w:r>
            <w:r w:rsidR="00350F3E">
              <w:rPr>
                <w:noProof/>
                <w:webHidden/>
              </w:rPr>
              <w:fldChar w:fldCharType="end"/>
            </w:r>
          </w:hyperlink>
        </w:p>
        <w:p w14:paraId="77728724" w14:textId="77777777" w:rsidR="00006596" w:rsidRDefault="00054D28" w:rsidP="00006596">
          <w:pPr>
            <w:pStyle w:val="TOC2"/>
            <w:jc w:val="both"/>
            <w:rPr>
              <w:rFonts w:eastAsiaTheme="minorEastAsia"/>
              <w:noProof/>
              <w:rtl w:val="0"/>
              <w:lang w:eastAsia="en-US"/>
            </w:rPr>
          </w:pPr>
          <w:hyperlink w:anchor="_Toc500240975" w:history="1">
            <w:r w:rsidR="00006596" w:rsidRPr="009E030F">
              <w:rPr>
                <w:rStyle w:val="Hyperlink"/>
                <w:noProof/>
              </w:rPr>
              <w:t>الملحق 1 إطار رصد النتائج</w:t>
            </w:r>
            <w:r w:rsidR="00006596">
              <w:rPr>
                <w:noProof/>
                <w:webHidden/>
              </w:rPr>
              <w:tab/>
            </w:r>
            <w:r w:rsidR="00350F3E">
              <w:rPr>
                <w:noProof/>
                <w:webHidden/>
              </w:rPr>
              <w:fldChar w:fldCharType="begin"/>
            </w:r>
            <w:r w:rsidR="00006596">
              <w:rPr>
                <w:noProof/>
                <w:webHidden/>
              </w:rPr>
              <w:instrText xml:space="preserve"> PAGEREF _Toc500240975 \h </w:instrText>
            </w:r>
            <w:r w:rsidR="00350F3E">
              <w:rPr>
                <w:noProof/>
                <w:webHidden/>
              </w:rPr>
            </w:r>
            <w:r w:rsidR="00350F3E">
              <w:rPr>
                <w:noProof/>
                <w:webHidden/>
              </w:rPr>
              <w:fldChar w:fldCharType="separate"/>
            </w:r>
            <w:r w:rsidR="00006596">
              <w:rPr>
                <w:noProof/>
                <w:webHidden/>
                <w:rtl w:val="0"/>
              </w:rPr>
              <w:t>26</w:t>
            </w:r>
            <w:r w:rsidR="00350F3E">
              <w:rPr>
                <w:noProof/>
                <w:webHidden/>
              </w:rPr>
              <w:fldChar w:fldCharType="end"/>
            </w:r>
          </w:hyperlink>
        </w:p>
        <w:p w14:paraId="7FB775AC" w14:textId="77777777" w:rsidR="00006596" w:rsidRDefault="00054D28" w:rsidP="00006596">
          <w:pPr>
            <w:pStyle w:val="TOC1"/>
            <w:jc w:val="both"/>
            <w:rPr>
              <w:rFonts w:asciiTheme="minorHAnsi" w:eastAsiaTheme="minorEastAsia" w:hAnsiTheme="minorHAnsi"/>
              <w:noProof/>
              <w:rtl w:val="0"/>
              <w:lang w:eastAsia="en-US"/>
            </w:rPr>
          </w:pPr>
          <w:hyperlink w:anchor="_Toc500240976" w:history="1">
            <w:r w:rsidR="00006596" w:rsidRPr="009E030F">
              <w:rPr>
                <w:rStyle w:val="Hyperlink"/>
                <w:rFonts w:ascii="Arial" w:hAnsi="Arial"/>
                <w:noProof/>
              </w:rPr>
              <w:t>الملحق 2: أموال المانحين المكملة لمنح البنك الدولي</w:t>
            </w:r>
            <w:r w:rsidR="00006596">
              <w:rPr>
                <w:noProof/>
                <w:webHidden/>
              </w:rPr>
              <w:tab/>
            </w:r>
            <w:r w:rsidR="00350F3E">
              <w:rPr>
                <w:noProof/>
                <w:webHidden/>
              </w:rPr>
              <w:fldChar w:fldCharType="begin"/>
            </w:r>
            <w:r w:rsidR="00006596">
              <w:rPr>
                <w:noProof/>
                <w:webHidden/>
              </w:rPr>
              <w:instrText xml:space="preserve"> PAGEREF _Toc500240976 \h </w:instrText>
            </w:r>
            <w:r w:rsidR="00350F3E">
              <w:rPr>
                <w:noProof/>
                <w:webHidden/>
              </w:rPr>
            </w:r>
            <w:r w:rsidR="00350F3E">
              <w:rPr>
                <w:noProof/>
                <w:webHidden/>
              </w:rPr>
              <w:fldChar w:fldCharType="separate"/>
            </w:r>
            <w:r w:rsidR="00006596">
              <w:rPr>
                <w:noProof/>
                <w:webHidden/>
                <w:rtl w:val="0"/>
              </w:rPr>
              <w:t>30</w:t>
            </w:r>
            <w:r w:rsidR="00350F3E">
              <w:rPr>
                <w:noProof/>
                <w:webHidden/>
              </w:rPr>
              <w:fldChar w:fldCharType="end"/>
            </w:r>
          </w:hyperlink>
        </w:p>
        <w:p w14:paraId="3C2A4298" w14:textId="77777777" w:rsidR="00006596" w:rsidRDefault="00054D28" w:rsidP="00006596">
          <w:pPr>
            <w:pStyle w:val="TOC1"/>
            <w:jc w:val="both"/>
            <w:rPr>
              <w:rFonts w:asciiTheme="minorHAnsi" w:eastAsiaTheme="minorEastAsia" w:hAnsiTheme="minorHAnsi"/>
              <w:noProof/>
              <w:rtl w:val="0"/>
              <w:lang w:eastAsia="en-US"/>
            </w:rPr>
          </w:pPr>
          <w:hyperlink w:anchor="_Toc500240977" w:history="1">
            <w:r w:rsidR="00006596" w:rsidRPr="009E030F">
              <w:rPr>
                <w:rStyle w:val="Hyperlink"/>
                <w:rFonts w:ascii="Arial" w:hAnsi="Arial"/>
                <w:noProof/>
              </w:rPr>
              <w:t>الملحق 3. مؤشرات مختارة* لأداء وإدارة حافظة مشروعات البنك</w:t>
            </w:r>
            <w:r w:rsidR="00006596">
              <w:rPr>
                <w:noProof/>
                <w:webHidden/>
              </w:rPr>
              <w:tab/>
            </w:r>
            <w:r w:rsidR="00350F3E">
              <w:rPr>
                <w:noProof/>
                <w:webHidden/>
              </w:rPr>
              <w:fldChar w:fldCharType="begin"/>
            </w:r>
            <w:r w:rsidR="00006596">
              <w:rPr>
                <w:noProof/>
                <w:webHidden/>
              </w:rPr>
              <w:instrText xml:space="preserve"> PAGEREF _Toc500240977 \h </w:instrText>
            </w:r>
            <w:r w:rsidR="00350F3E">
              <w:rPr>
                <w:noProof/>
                <w:webHidden/>
              </w:rPr>
            </w:r>
            <w:r w:rsidR="00350F3E">
              <w:rPr>
                <w:noProof/>
                <w:webHidden/>
              </w:rPr>
              <w:fldChar w:fldCharType="separate"/>
            </w:r>
            <w:r w:rsidR="00006596">
              <w:rPr>
                <w:noProof/>
                <w:webHidden/>
                <w:rtl w:val="0"/>
              </w:rPr>
              <w:t>33</w:t>
            </w:r>
            <w:r w:rsidR="00350F3E">
              <w:rPr>
                <w:noProof/>
                <w:webHidden/>
              </w:rPr>
              <w:fldChar w:fldCharType="end"/>
            </w:r>
          </w:hyperlink>
        </w:p>
        <w:p w14:paraId="3C49857B" w14:textId="77777777" w:rsidR="00006596" w:rsidRDefault="00054D28" w:rsidP="00006596">
          <w:pPr>
            <w:pStyle w:val="TOC1"/>
            <w:jc w:val="both"/>
            <w:rPr>
              <w:rFonts w:asciiTheme="minorHAnsi" w:eastAsiaTheme="minorEastAsia" w:hAnsiTheme="minorHAnsi"/>
              <w:noProof/>
              <w:rtl w:val="0"/>
              <w:lang w:eastAsia="en-US"/>
            </w:rPr>
          </w:pPr>
          <w:hyperlink w:anchor="_Toc500240978" w:history="1">
            <w:r w:rsidR="00006596" w:rsidRPr="009E030F">
              <w:rPr>
                <w:rStyle w:val="Hyperlink"/>
                <w:rFonts w:ascii="Arial" w:hAnsi="Arial"/>
                <w:noProof/>
              </w:rPr>
              <w:t>الملحق 4. حافظة عمليات البنك *</w:t>
            </w:r>
            <w:r w:rsidR="00006596">
              <w:rPr>
                <w:noProof/>
                <w:webHidden/>
              </w:rPr>
              <w:tab/>
            </w:r>
            <w:r w:rsidR="00350F3E">
              <w:rPr>
                <w:noProof/>
                <w:webHidden/>
              </w:rPr>
              <w:fldChar w:fldCharType="begin"/>
            </w:r>
            <w:r w:rsidR="00006596">
              <w:rPr>
                <w:noProof/>
                <w:webHidden/>
              </w:rPr>
              <w:instrText xml:space="preserve"> PAGEREF _Toc500240978 \h </w:instrText>
            </w:r>
            <w:r w:rsidR="00350F3E">
              <w:rPr>
                <w:noProof/>
                <w:webHidden/>
              </w:rPr>
            </w:r>
            <w:r w:rsidR="00350F3E">
              <w:rPr>
                <w:noProof/>
                <w:webHidden/>
              </w:rPr>
              <w:fldChar w:fldCharType="separate"/>
            </w:r>
            <w:r w:rsidR="00006596">
              <w:rPr>
                <w:noProof/>
                <w:webHidden/>
                <w:rtl w:val="0"/>
              </w:rPr>
              <w:t>34</w:t>
            </w:r>
            <w:r w:rsidR="00350F3E">
              <w:rPr>
                <w:noProof/>
                <w:webHidden/>
              </w:rPr>
              <w:fldChar w:fldCharType="end"/>
            </w:r>
          </w:hyperlink>
        </w:p>
        <w:p w14:paraId="6B92855D" w14:textId="77777777" w:rsidR="00006596" w:rsidRDefault="00054D28" w:rsidP="00006596">
          <w:pPr>
            <w:pStyle w:val="TOC1"/>
            <w:jc w:val="both"/>
            <w:rPr>
              <w:rFonts w:asciiTheme="minorHAnsi" w:eastAsiaTheme="minorEastAsia" w:hAnsiTheme="minorHAnsi"/>
              <w:noProof/>
              <w:rtl w:val="0"/>
              <w:lang w:eastAsia="en-US"/>
            </w:rPr>
          </w:pPr>
          <w:hyperlink w:anchor="_Toc500240979" w:history="1">
            <w:r w:rsidR="00006596" w:rsidRPr="009E030F">
              <w:rPr>
                <w:rStyle w:val="Hyperlink"/>
                <w:rFonts w:ascii="Arial" w:hAnsi="Arial"/>
                <w:noProof/>
              </w:rPr>
              <w:t>الملحق 5. حاظة استثمارات مؤسسة التمويل الدولية القائمة التي تم الارتباط بها وصرفها</w:t>
            </w:r>
            <w:r w:rsidR="00006596">
              <w:rPr>
                <w:noProof/>
                <w:webHidden/>
              </w:rPr>
              <w:tab/>
            </w:r>
            <w:r w:rsidR="00350F3E">
              <w:rPr>
                <w:noProof/>
                <w:webHidden/>
              </w:rPr>
              <w:fldChar w:fldCharType="begin"/>
            </w:r>
            <w:r w:rsidR="00006596">
              <w:rPr>
                <w:noProof/>
                <w:webHidden/>
              </w:rPr>
              <w:instrText xml:space="preserve"> PAGEREF _Toc500240979 \h </w:instrText>
            </w:r>
            <w:r w:rsidR="00350F3E">
              <w:rPr>
                <w:noProof/>
                <w:webHidden/>
              </w:rPr>
            </w:r>
            <w:r w:rsidR="00350F3E">
              <w:rPr>
                <w:noProof/>
                <w:webHidden/>
              </w:rPr>
              <w:fldChar w:fldCharType="separate"/>
            </w:r>
            <w:r w:rsidR="00006596">
              <w:rPr>
                <w:noProof/>
                <w:webHidden/>
                <w:rtl w:val="0"/>
              </w:rPr>
              <w:t>35</w:t>
            </w:r>
            <w:r w:rsidR="00350F3E">
              <w:rPr>
                <w:noProof/>
                <w:webHidden/>
              </w:rPr>
              <w:fldChar w:fldCharType="end"/>
            </w:r>
          </w:hyperlink>
        </w:p>
        <w:p w14:paraId="6F133E23" w14:textId="77777777" w:rsidR="00006596" w:rsidRDefault="00054D28" w:rsidP="00006596">
          <w:pPr>
            <w:pStyle w:val="TOC1"/>
            <w:jc w:val="both"/>
            <w:rPr>
              <w:rFonts w:asciiTheme="minorHAnsi" w:eastAsiaTheme="minorEastAsia" w:hAnsiTheme="minorHAnsi"/>
              <w:noProof/>
              <w:rtl w:val="0"/>
              <w:lang w:eastAsia="en-US"/>
            </w:rPr>
          </w:pPr>
          <w:hyperlink w:anchor="_Toc500240980" w:history="1">
            <w:r w:rsidR="00006596" w:rsidRPr="009E030F">
              <w:rPr>
                <w:rStyle w:val="Hyperlink"/>
                <w:rFonts w:ascii="Arial" w:hAnsi="Arial"/>
                <w:noProof/>
              </w:rPr>
              <w:t>الملحق 6. الضمانات القائمة المقدمة من الوكالة الدولية لضمان المخاطر في الضفة الغربية وقطاع غزة</w:t>
            </w:r>
            <w:r w:rsidR="00006596">
              <w:rPr>
                <w:noProof/>
                <w:webHidden/>
              </w:rPr>
              <w:tab/>
            </w:r>
            <w:r w:rsidR="00350F3E">
              <w:rPr>
                <w:noProof/>
                <w:webHidden/>
              </w:rPr>
              <w:fldChar w:fldCharType="begin"/>
            </w:r>
            <w:r w:rsidR="00006596">
              <w:rPr>
                <w:noProof/>
                <w:webHidden/>
              </w:rPr>
              <w:instrText xml:space="preserve"> PAGEREF _Toc500240980 \h </w:instrText>
            </w:r>
            <w:r w:rsidR="00350F3E">
              <w:rPr>
                <w:noProof/>
                <w:webHidden/>
              </w:rPr>
            </w:r>
            <w:r w:rsidR="00350F3E">
              <w:rPr>
                <w:noProof/>
                <w:webHidden/>
              </w:rPr>
              <w:fldChar w:fldCharType="separate"/>
            </w:r>
            <w:r w:rsidR="00006596">
              <w:rPr>
                <w:noProof/>
                <w:webHidden/>
                <w:rtl w:val="0"/>
              </w:rPr>
              <w:t>37</w:t>
            </w:r>
            <w:r w:rsidR="00350F3E">
              <w:rPr>
                <w:noProof/>
                <w:webHidden/>
              </w:rPr>
              <w:fldChar w:fldCharType="end"/>
            </w:r>
          </w:hyperlink>
        </w:p>
        <w:p w14:paraId="5043C092" w14:textId="77777777" w:rsidR="00304D00" w:rsidRPr="00304D00" w:rsidRDefault="00350F3E" w:rsidP="00304D00">
          <w:pPr>
            <w:pStyle w:val="TOC2"/>
            <w:rPr>
              <w:rFonts w:eastAsiaTheme="minorEastAsia"/>
              <w:noProof/>
            </w:rPr>
          </w:pPr>
          <w:r w:rsidRPr="00DB48C3">
            <w:rPr>
              <w:rFonts w:ascii="Times New Roman" w:hAnsi="Times New Roman" w:cs="Times New Roman"/>
              <w:b/>
              <w:sz w:val="24"/>
              <w:szCs w:val="24"/>
            </w:rPr>
            <w:fldChar w:fldCharType="end"/>
          </w:r>
        </w:p>
      </w:sdtContent>
    </w:sdt>
    <w:p w14:paraId="523F849E" w14:textId="77777777" w:rsidR="00291A95" w:rsidRDefault="00291A95" w:rsidP="00764826">
      <w:pPr>
        <w:spacing w:after="0" w:line="240" w:lineRule="auto"/>
        <w:rPr>
          <w:b/>
        </w:rPr>
      </w:pPr>
    </w:p>
    <w:p w14:paraId="69CF8A98" w14:textId="77777777" w:rsidR="00625729" w:rsidRDefault="00625729" w:rsidP="00DB4034">
      <w:pPr>
        <w:rPr>
          <w:b/>
        </w:rPr>
      </w:pPr>
    </w:p>
    <w:p w14:paraId="5A04EA52" w14:textId="77777777" w:rsidR="00DB4034" w:rsidRDefault="00DB4034" w:rsidP="009313A1">
      <w:pPr>
        <w:ind w:left="270"/>
        <w:rPr>
          <w:b/>
        </w:rPr>
        <w:sectPr w:rsidR="00DB4034">
          <w:type w:val="continuous"/>
          <w:pgSz w:w="12240" w:h="15840"/>
          <w:pgMar w:top="1440" w:right="1440" w:bottom="1440" w:left="1440" w:header="720" w:footer="720" w:gutter="0"/>
          <w:pgNumType w:fmt="lowerRoman"/>
          <w:cols w:space="720"/>
          <w:docGrid w:linePitch="360"/>
        </w:sectPr>
      </w:pPr>
    </w:p>
    <w:p w14:paraId="099E245C" w14:textId="77777777" w:rsidR="009346D2" w:rsidRPr="00022F13" w:rsidRDefault="00022F13" w:rsidP="00022F13">
      <w:pPr>
        <w:pStyle w:val="Heading2"/>
        <w:ind w:left="360"/>
        <w:rPr>
          <w:b w:val="0"/>
          <w:bCs/>
          <w:szCs w:val="24"/>
        </w:rPr>
      </w:pPr>
      <w:bookmarkStart w:id="1" w:name="_Toc498096408"/>
      <w:bookmarkStart w:id="2" w:name="_Toc500240967"/>
      <w:r w:rsidRPr="00022F13">
        <w:rPr>
          <w:rFonts w:hint="cs"/>
          <w:b w:val="0"/>
          <w:bCs/>
        </w:rPr>
        <w:lastRenderedPageBreak/>
        <w:t xml:space="preserve">ألف. </w:t>
      </w:r>
      <w:r w:rsidR="4F88A954" w:rsidRPr="00022F13">
        <w:rPr>
          <w:b w:val="0"/>
          <w:bCs/>
        </w:rPr>
        <w:t>مقدمة</w:t>
      </w:r>
      <w:bookmarkEnd w:id="1"/>
      <w:bookmarkEnd w:id="2"/>
    </w:p>
    <w:p w14:paraId="12E5855D" w14:textId="77777777" w:rsidR="004B63E7" w:rsidRPr="00F953C0" w:rsidRDefault="004B63E7" w:rsidP="00F953C0">
      <w:pPr>
        <w:autoSpaceDE w:val="0"/>
        <w:autoSpaceDN w:val="0"/>
        <w:spacing w:after="0" w:line="240" w:lineRule="auto"/>
        <w:jc w:val="center"/>
        <w:rPr>
          <w:rFonts w:cs="Times New Roman"/>
          <w:b/>
          <w:bCs/>
          <w:i/>
          <w:iCs/>
          <w:sz w:val="10"/>
          <w:szCs w:val="10"/>
        </w:rPr>
      </w:pPr>
    </w:p>
    <w:p w14:paraId="0A39ED25" w14:textId="77777777" w:rsidR="009820A5" w:rsidRDefault="4F88A954" w:rsidP="00E7633B">
      <w:pPr>
        <w:pStyle w:val="PlainText"/>
        <w:numPr>
          <w:ilvl w:val="0"/>
          <w:numId w:val="6"/>
        </w:numPr>
        <w:jc w:val="both"/>
      </w:pPr>
      <w:r>
        <w:rPr>
          <w:rFonts w:cs="Times New Roman"/>
          <w:b/>
          <w:bCs/>
        </w:rPr>
        <w:t xml:space="preserve">توضح هذه الوثيقة </w:t>
      </w:r>
      <w:r w:rsidR="00E7633B">
        <w:rPr>
          <w:rFonts w:cs="Times New Roman" w:hint="cs"/>
          <w:b/>
          <w:bCs/>
        </w:rPr>
        <w:t>إ</w:t>
      </w:r>
      <w:r w:rsidR="00E7633B">
        <w:rPr>
          <w:rFonts w:cs="Times New Roman"/>
          <w:b/>
          <w:bCs/>
        </w:rPr>
        <w:t xml:space="preserve">ستراتيجية </w:t>
      </w:r>
      <w:r>
        <w:rPr>
          <w:rFonts w:cs="Times New Roman"/>
          <w:b/>
          <w:bCs/>
        </w:rPr>
        <w:t xml:space="preserve">مساعدة مجموعة البنك الدولي للضفة الغربية وقطاع غزة </w:t>
      </w:r>
      <w:r w:rsidR="00E7633B">
        <w:rPr>
          <w:rFonts w:cs="Times New Roman" w:hint="cs"/>
          <w:b/>
          <w:bCs/>
        </w:rPr>
        <w:t>خلال</w:t>
      </w:r>
      <w:r w:rsidR="00E7633B">
        <w:rPr>
          <w:rFonts w:cs="Times New Roman"/>
          <w:b/>
          <w:bCs/>
        </w:rPr>
        <w:t xml:space="preserve"> </w:t>
      </w:r>
      <w:r>
        <w:rPr>
          <w:rFonts w:cs="Times New Roman"/>
          <w:b/>
          <w:bCs/>
        </w:rPr>
        <w:t xml:space="preserve">السنوات المالية </w:t>
      </w:r>
      <w:r>
        <w:rPr>
          <w:b/>
          <w:bCs/>
        </w:rPr>
        <w:t>2018 - 2021</w:t>
      </w:r>
      <w:r>
        <w:rPr>
          <w:rFonts w:cs="Times New Roman"/>
          <w:b/>
          <w:bCs/>
        </w:rPr>
        <w:t>، وشارك في إعدادها البنك الدولي والمؤسسة الدولية للتنمية والوكالة الدولية لضمان الاستثمار</w:t>
      </w:r>
      <w:r>
        <w:rPr>
          <w:b/>
          <w:bCs/>
        </w:rPr>
        <w:t>.</w:t>
      </w:r>
      <w:r w:rsidR="00022F13">
        <w:rPr>
          <w:rFonts w:cs="Times New Roman"/>
          <w:b/>
          <w:bCs/>
        </w:rPr>
        <w:t xml:space="preserve"> </w:t>
      </w:r>
      <w:r>
        <w:rPr>
          <w:rFonts w:cs="Times New Roman"/>
        </w:rPr>
        <w:t xml:space="preserve">وتشير هذه الوثيقة إلى الخبرات والتجارب الخاصة بتنفيذ هذا البرنامج أثناء فترة </w:t>
      </w:r>
      <w:r w:rsidR="00E7633B">
        <w:rPr>
          <w:rFonts w:cs="Times New Roman" w:hint="cs"/>
        </w:rPr>
        <w:t>إ</w:t>
      </w:r>
      <w:r w:rsidR="00E7633B">
        <w:rPr>
          <w:rFonts w:cs="Times New Roman"/>
        </w:rPr>
        <w:t xml:space="preserve">ستراتيجية </w:t>
      </w:r>
      <w:r>
        <w:rPr>
          <w:rFonts w:cs="Times New Roman"/>
        </w:rPr>
        <w:t xml:space="preserve">المساعدة السابقة للسنة المالية </w:t>
      </w:r>
      <w:r>
        <w:t xml:space="preserve">2015 - 2016 </w:t>
      </w:r>
      <w:r>
        <w:rPr>
          <w:rFonts w:cs="Times New Roman"/>
        </w:rPr>
        <w:t>حتى الآن</w:t>
      </w:r>
      <w:r>
        <w:t>.</w:t>
      </w:r>
      <w:r w:rsidR="00022F13">
        <w:rPr>
          <w:rFonts w:cs="Times New Roman"/>
        </w:rPr>
        <w:t xml:space="preserve"> </w:t>
      </w:r>
      <w:r>
        <w:rPr>
          <w:rFonts w:cs="Times New Roman"/>
        </w:rPr>
        <w:t>وتقترح هذه الوثيقة تغيرًا في بنية التنمية الفلسطينية لتشجيع وحفز المزيد من مساهمات القطاع الخاص بهدف مساندة النمو وخلق فرص العمل لصالح قطاع عريض من السكان</w:t>
      </w:r>
      <w:r>
        <w:t xml:space="preserve">. </w:t>
      </w:r>
    </w:p>
    <w:p w14:paraId="6B4B6C4C" w14:textId="77777777" w:rsidR="009820A5" w:rsidRDefault="009820A5" w:rsidP="00604216">
      <w:pPr>
        <w:pStyle w:val="PlainText"/>
        <w:jc w:val="both"/>
      </w:pPr>
    </w:p>
    <w:p w14:paraId="478680DE" w14:textId="77777777" w:rsidR="00132195" w:rsidRDefault="4F88A954" w:rsidP="00E7633B">
      <w:pPr>
        <w:pStyle w:val="PlainText"/>
        <w:numPr>
          <w:ilvl w:val="0"/>
          <w:numId w:val="6"/>
        </w:numPr>
        <w:jc w:val="both"/>
      </w:pPr>
      <w:r>
        <w:rPr>
          <w:rFonts w:cs="Times New Roman"/>
          <w:b/>
          <w:bCs/>
        </w:rPr>
        <w:t>لن يتحقق النمو الاقتصادي السريع والمستدام في الضفة الغربية وقطاع غزة إلا من خلال اتفاق الوضع النهائي</w:t>
      </w:r>
      <w:r>
        <w:rPr>
          <w:b/>
          <w:bCs/>
        </w:rPr>
        <w:t>.</w:t>
      </w:r>
      <w:r w:rsidR="00022F13">
        <w:rPr>
          <w:rFonts w:cs="Times New Roman"/>
          <w:b/>
          <w:bCs/>
        </w:rPr>
        <w:t xml:space="preserve"> </w:t>
      </w:r>
      <w:r>
        <w:rPr>
          <w:rFonts w:cs="Times New Roman"/>
        </w:rPr>
        <w:t xml:space="preserve">ويواجه الشعب الفلسطيني بيئة سياسية ملبدة بعدم اليقين والضبابية، ويتسم النشاط الاقتصادي في الأراضي الفلسطينية بعدم القدرة على خلق فرص عمل </w:t>
      </w:r>
      <w:r w:rsidR="00076F73">
        <w:rPr>
          <w:rFonts w:cs="Times New Roman" w:hint="cs"/>
        </w:rPr>
        <w:t>وتحقيق دخل</w:t>
      </w:r>
      <w:r w:rsidR="00076F73">
        <w:rPr>
          <w:rFonts w:cs="Times New Roman"/>
        </w:rPr>
        <w:t xml:space="preserve"> </w:t>
      </w:r>
      <w:r w:rsidR="00076F73">
        <w:rPr>
          <w:rFonts w:cs="Times New Roman" w:hint="cs"/>
        </w:rPr>
        <w:t>ي</w:t>
      </w:r>
      <w:r>
        <w:rPr>
          <w:rFonts w:cs="Times New Roman"/>
        </w:rPr>
        <w:t>عمل على تحسين مستوى المعيشة</w:t>
      </w:r>
      <w:r>
        <w:t>.</w:t>
      </w:r>
      <w:r w:rsidR="00022F13">
        <w:rPr>
          <w:rFonts w:cs="Times New Roman"/>
        </w:rPr>
        <w:t xml:space="preserve"> </w:t>
      </w:r>
      <w:r>
        <w:rPr>
          <w:rFonts w:cs="Times New Roman"/>
        </w:rPr>
        <w:t>وتؤدي القيود على حركة التجارة والوصول إلى الموارد إلى تراجع مستمر في القاعدة الإنتاجية للنشاط الاقتصادي، وقد تراجعت نسبة التصنيع الوسيط في النشاط الاقتصادي بمقدار النصف في السنوات الخمس والعشرين الماضية، وفي الوقت نفسه تراجع حجم النشاط الزراعي بمقدار الثلثين</w:t>
      </w:r>
      <w:r>
        <w:t>.</w:t>
      </w:r>
      <w:r w:rsidR="00022F13">
        <w:rPr>
          <w:rFonts w:cs="Times New Roman"/>
        </w:rPr>
        <w:t xml:space="preserve"> </w:t>
      </w:r>
      <w:r>
        <w:rPr>
          <w:rFonts w:cs="Times New Roman"/>
        </w:rPr>
        <w:t xml:space="preserve">وينبغي أن يحتل إيجاد فرص العمل الصدارة في أي خطة تنمية </w:t>
      </w:r>
      <w:r w:rsidR="00E7633B">
        <w:rPr>
          <w:rFonts w:cs="Times New Roman" w:hint="cs"/>
        </w:rPr>
        <w:t>إ</w:t>
      </w:r>
      <w:r w:rsidR="00E7633B">
        <w:rPr>
          <w:rFonts w:cs="Times New Roman"/>
        </w:rPr>
        <w:t>ستراتيجية</w:t>
      </w:r>
      <w:r>
        <w:t>.</w:t>
      </w:r>
      <w:r w:rsidR="00022F13">
        <w:rPr>
          <w:rFonts w:cs="Times New Roman"/>
        </w:rPr>
        <w:t xml:space="preserve"> </w:t>
      </w:r>
      <w:r>
        <w:rPr>
          <w:rFonts w:cs="Times New Roman"/>
        </w:rPr>
        <w:t xml:space="preserve">وتقترب معدلات البطالة في الوقت الحالي من </w:t>
      </w:r>
      <w:r>
        <w:t xml:space="preserve">30% </w:t>
      </w:r>
      <w:r>
        <w:rPr>
          <w:rFonts w:cs="Times New Roman"/>
        </w:rPr>
        <w:t xml:space="preserve">في المتوسط، وهناك مؤشرات تفيد </w:t>
      </w:r>
      <w:r w:rsidR="00E7633B">
        <w:rPr>
          <w:rFonts w:cs="Times New Roman" w:hint="cs"/>
        </w:rPr>
        <w:t>ب</w:t>
      </w:r>
      <w:r>
        <w:rPr>
          <w:rFonts w:cs="Times New Roman"/>
        </w:rPr>
        <w:t>انتشار معدلات الفقر</w:t>
      </w:r>
      <w:r>
        <w:t>.</w:t>
      </w:r>
      <w:r w:rsidR="00022F13">
        <w:rPr>
          <w:rFonts w:cs="Times New Roman"/>
        </w:rPr>
        <w:t xml:space="preserve"> </w:t>
      </w:r>
      <w:r>
        <w:rPr>
          <w:rFonts w:cs="Times New Roman"/>
        </w:rPr>
        <w:t>وتعاني الضفة الغربية و</w:t>
      </w:r>
      <w:r w:rsidR="00E7633B">
        <w:rPr>
          <w:rFonts w:cs="Times New Roman" w:hint="cs"/>
        </w:rPr>
        <w:t xml:space="preserve">قطاع </w:t>
      </w:r>
      <w:r>
        <w:rPr>
          <w:rFonts w:cs="Times New Roman"/>
        </w:rPr>
        <w:t xml:space="preserve">غزة من أعلى معدلات بطالة على مستوى العالم إذ تبلغ نسبة البطاقة بين الشباب </w:t>
      </w:r>
      <w:r>
        <w:t>(</w:t>
      </w:r>
      <w:r>
        <w:rPr>
          <w:rFonts w:cs="Times New Roman"/>
        </w:rPr>
        <w:t xml:space="preserve">في سن </w:t>
      </w:r>
      <w:r>
        <w:t>15 - 29) 39%</w:t>
      </w:r>
      <w:r>
        <w:rPr>
          <w:rFonts w:cs="Times New Roman"/>
        </w:rPr>
        <w:t xml:space="preserve">، وتبلغ النسبة في </w:t>
      </w:r>
      <w:r w:rsidR="00E7633B">
        <w:rPr>
          <w:rFonts w:cs="Times New Roman" w:hint="cs"/>
        </w:rPr>
        <w:t xml:space="preserve">قطاع </w:t>
      </w:r>
      <w:r>
        <w:rPr>
          <w:rFonts w:cs="Times New Roman"/>
        </w:rPr>
        <w:t xml:space="preserve">غزة </w:t>
      </w:r>
      <w:r>
        <w:t>58%.</w:t>
      </w:r>
      <w:r w:rsidR="00022F13">
        <w:rPr>
          <w:rFonts w:cs="Times New Roman"/>
        </w:rPr>
        <w:t xml:space="preserve"> </w:t>
      </w:r>
      <w:r>
        <w:rPr>
          <w:rFonts w:cs="Times New Roman"/>
        </w:rPr>
        <w:t xml:space="preserve">ولم ينتقل إلى سوق العمل بصورة تامة سوى </w:t>
      </w:r>
      <w:r>
        <w:t xml:space="preserve">16% </w:t>
      </w:r>
      <w:r>
        <w:rPr>
          <w:rFonts w:cs="Times New Roman"/>
        </w:rPr>
        <w:t>من الشباب</w:t>
      </w:r>
      <w:r>
        <w:t>.</w:t>
      </w:r>
      <w:r w:rsidR="00022F13">
        <w:rPr>
          <w:rFonts w:cs="Times New Roman"/>
        </w:rPr>
        <w:t xml:space="preserve"> </w:t>
      </w:r>
    </w:p>
    <w:p w14:paraId="0E0A95CD" w14:textId="77777777" w:rsidR="002515DB" w:rsidRDefault="002515DB" w:rsidP="002515DB">
      <w:pPr>
        <w:pStyle w:val="PlainText"/>
        <w:jc w:val="both"/>
      </w:pPr>
    </w:p>
    <w:p w14:paraId="47218215" w14:textId="77777777" w:rsidR="009324D1" w:rsidRPr="001113AD" w:rsidRDefault="4F88A954" w:rsidP="00D70C98">
      <w:pPr>
        <w:pStyle w:val="PlainText"/>
        <w:numPr>
          <w:ilvl w:val="0"/>
          <w:numId w:val="6"/>
        </w:numPr>
        <w:jc w:val="both"/>
      </w:pPr>
      <w:r>
        <w:rPr>
          <w:rFonts w:cs="Times New Roman"/>
          <w:b/>
          <w:bCs/>
        </w:rPr>
        <w:t>ينبغي عمل الكثير لتنشيط تنمية وتطوير القطاع الخاص وتهيئة بيئة لخلق فرص عمل تتسم بالديناميكية وتشمل الجميع قبل التسوية النهائية</w:t>
      </w:r>
      <w:r>
        <w:rPr>
          <w:b/>
          <w:bCs/>
        </w:rPr>
        <w:t>.</w:t>
      </w:r>
      <w:r w:rsidR="00022F13">
        <w:rPr>
          <w:rFonts w:cs="Times New Roman"/>
          <w:b/>
          <w:bCs/>
        </w:rPr>
        <w:t xml:space="preserve"> </w:t>
      </w:r>
      <w:r>
        <w:rPr>
          <w:rFonts w:cs="Times New Roman"/>
        </w:rPr>
        <w:t xml:space="preserve">ويسلط تقرير عن التنمية في العالم </w:t>
      </w:r>
      <w:r>
        <w:t xml:space="preserve">2011 </w:t>
      </w:r>
      <w:r>
        <w:rPr>
          <w:rFonts w:cs="Times New Roman"/>
        </w:rPr>
        <w:t>بعنوان</w:t>
      </w:r>
      <w:r w:rsidR="00022F13">
        <w:rPr>
          <w:rFonts w:cs="Times New Roman"/>
        </w:rPr>
        <w:t xml:space="preserve"> </w:t>
      </w:r>
      <w:r w:rsidRPr="00076F73">
        <w:rPr>
          <w:rFonts w:cs="Times New Roman"/>
          <w:b/>
          <w:bCs/>
          <w:i/>
          <w:iCs/>
        </w:rPr>
        <w:t>الصراع والأمن والتنمية</w:t>
      </w:r>
      <w:r>
        <w:rPr>
          <w:rFonts w:cs="Times New Roman"/>
        </w:rPr>
        <w:t xml:space="preserve"> الضوء على أهمية خلق فرص العمل في منع الرجوع إلى الصراع</w:t>
      </w:r>
      <w:r>
        <w:t>.</w:t>
      </w:r>
      <w:r w:rsidR="00022F13">
        <w:rPr>
          <w:rFonts w:cs="Times New Roman"/>
        </w:rPr>
        <w:t xml:space="preserve"> </w:t>
      </w:r>
      <w:r>
        <w:rPr>
          <w:rFonts w:cs="Times New Roman"/>
        </w:rPr>
        <w:t>ومن الضروري خلق بيئة داعمة للاستثمار في القطاعات الإنتاجية للاقتصاد</w:t>
      </w:r>
      <w:r>
        <w:t xml:space="preserve">. </w:t>
      </w:r>
      <w:r>
        <w:rPr>
          <w:rFonts w:cs="Times New Roman"/>
        </w:rPr>
        <w:t>ويحتاج الاقتصاد الفلسطيني إلى خلق فرص عمل ودخول لتحسين مستويات المعيشة إذ من دون فرص العمل وهذه الدخول هناك مخاطر جمة تتمثل في العودة إلى الصراع</w:t>
      </w:r>
      <w:r>
        <w:t>.</w:t>
      </w:r>
      <w:r w:rsidR="00022F13">
        <w:rPr>
          <w:rFonts w:cs="Times New Roman"/>
        </w:rPr>
        <w:t xml:space="preserve"> </w:t>
      </w:r>
      <w:r>
        <w:rPr>
          <w:rFonts w:cs="Times New Roman"/>
        </w:rPr>
        <w:t xml:space="preserve">وأدت القيود على حركة التجارة والوصول إلى الموارد في الضفة الغربية </w:t>
      </w:r>
      <w:r w:rsidR="00D70C98">
        <w:rPr>
          <w:rFonts w:cs="Times New Roman" w:hint="cs"/>
          <w:lang w:bidi="ar-EG"/>
        </w:rPr>
        <w:t>في ظل حصار دام</w:t>
      </w:r>
      <w:r w:rsidR="00D70C98">
        <w:rPr>
          <w:rFonts w:cs="Times New Roman"/>
        </w:rPr>
        <w:t xml:space="preserve"> </w:t>
      </w:r>
      <w:r>
        <w:t xml:space="preserve">10 </w:t>
      </w:r>
      <w:r>
        <w:rPr>
          <w:rFonts w:cs="Times New Roman"/>
        </w:rPr>
        <w:t>سنوات لغزة إلى تهميش القاعدة الإنتاجية</w:t>
      </w:r>
      <w:r>
        <w:t xml:space="preserve">. </w:t>
      </w:r>
      <w:r>
        <w:rPr>
          <w:rFonts w:cs="Times New Roman"/>
        </w:rPr>
        <w:t>ويؤدي انهيار البنية التحتية الأساسية وانقطاع الخدمات الأساسية</w:t>
      </w:r>
      <w:r w:rsidR="00D70C98">
        <w:rPr>
          <w:rFonts w:cs="Times New Roman" w:hint="cs"/>
        </w:rPr>
        <w:t>،</w:t>
      </w:r>
      <w:r>
        <w:rPr>
          <w:rFonts w:cs="Times New Roman"/>
        </w:rPr>
        <w:t xml:space="preserve"> مثل المياه والكهرباء</w:t>
      </w:r>
      <w:r w:rsidR="00D70C98">
        <w:rPr>
          <w:rFonts w:cs="Times New Roman" w:hint="cs"/>
        </w:rPr>
        <w:t>،</w:t>
      </w:r>
      <w:r>
        <w:rPr>
          <w:rFonts w:cs="Times New Roman"/>
        </w:rPr>
        <w:t xml:space="preserve"> </w:t>
      </w:r>
      <w:r w:rsidR="00D70C98">
        <w:rPr>
          <w:rFonts w:cs="Times New Roman"/>
        </w:rPr>
        <w:t xml:space="preserve">بصورة مستمرة </w:t>
      </w:r>
      <w:r>
        <w:rPr>
          <w:rFonts w:cs="Times New Roman"/>
        </w:rPr>
        <w:t>إلى تقويض قدرة أنشطة الأعمال والشركات على العمل</w:t>
      </w:r>
      <w:r w:rsidR="00D70C98">
        <w:rPr>
          <w:rFonts w:cs="Times New Roman" w:hint="cs"/>
        </w:rPr>
        <w:t>،</w:t>
      </w:r>
      <w:r>
        <w:rPr>
          <w:rFonts w:cs="Times New Roman"/>
        </w:rPr>
        <w:t xml:space="preserve"> وزيادة تكاليف الإنتاج</w:t>
      </w:r>
      <w:r>
        <w:t>.</w:t>
      </w:r>
      <w:r w:rsidR="00022F13">
        <w:rPr>
          <w:rFonts w:cs="Times New Roman"/>
        </w:rPr>
        <w:t xml:space="preserve"> </w:t>
      </w:r>
      <w:r>
        <w:rPr>
          <w:rFonts w:cs="Times New Roman"/>
        </w:rPr>
        <w:t>وباءت بالفشل الذريع محاولات إضفاء الصبغة التجارية على خدمات البنية التحتية</w:t>
      </w:r>
      <w:r>
        <w:t>.</w:t>
      </w:r>
      <w:r w:rsidR="00022F13">
        <w:rPr>
          <w:rFonts w:cs="Times New Roman"/>
        </w:rPr>
        <w:t xml:space="preserve"> </w:t>
      </w:r>
      <w:r>
        <w:rPr>
          <w:rFonts w:cs="Times New Roman"/>
        </w:rPr>
        <w:t>وهناك شعور بعدم الارتياح بين المستثمرين بسبب تراكم المتأخرات وعدم الثقة في قواعد الانضباط المالي في سلسلة القيمة</w:t>
      </w:r>
      <w:r>
        <w:t>.</w:t>
      </w:r>
      <w:r w:rsidR="00022F13">
        <w:rPr>
          <w:rFonts w:cs="Times New Roman"/>
        </w:rPr>
        <w:t xml:space="preserve"> </w:t>
      </w:r>
      <w:r>
        <w:rPr>
          <w:rFonts w:cs="Times New Roman"/>
        </w:rPr>
        <w:t xml:space="preserve">ويعتمد النشاط الاقتصادي على الواردات إذ يزيد حجم الواردات على حجم الصادرات بأكثر من </w:t>
      </w:r>
      <w:r>
        <w:t xml:space="preserve">3 </w:t>
      </w:r>
      <w:r>
        <w:rPr>
          <w:rFonts w:cs="Times New Roman"/>
        </w:rPr>
        <w:t xml:space="preserve">أمثال ويقترب العجز التجاري من </w:t>
      </w:r>
      <w:r>
        <w:t>40% (</w:t>
      </w:r>
      <w:r>
        <w:rPr>
          <w:rFonts w:cs="Times New Roman"/>
        </w:rPr>
        <w:t xml:space="preserve">وهو </w:t>
      </w:r>
      <w:r w:rsidR="00D70C98">
        <w:rPr>
          <w:rFonts w:cs="Times New Roman" w:hint="cs"/>
        </w:rPr>
        <w:t>واحد</w:t>
      </w:r>
      <w:r w:rsidR="00D70C98">
        <w:rPr>
          <w:rFonts w:cs="Times New Roman"/>
        </w:rPr>
        <w:t xml:space="preserve"> </w:t>
      </w:r>
      <w:r>
        <w:rPr>
          <w:rFonts w:cs="Times New Roman"/>
        </w:rPr>
        <w:t>من أعلى المعدلات في العالم</w:t>
      </w:r>
      <w:r>
        <w:t>).</w:t>
      </w:r>
      <w:r w:rsidR="00022F13">
        <w:rPr>
          <w:rFonts w:cs="Times New Roman"/>
        </w:rPr>
        <w:t xml:space="preserve"> </w:t>
      </w:r>
      <w:r>
        <w:rPr>
          <w:rFonts w:cs="Times New Roman"/>
        </w:rPr>
        <w:t>واتسمت معدلات الاستثمار بالتدني حيث ت</w:t>
      </w:r>
      <w:r w:rsidR="00076F73">
        <w:rPr>
          <w:rFonts w:cs="Times New Roman" w:hint="cs"/>
        </w:rPr>
        <w:t>ُ</w:t>
      </w:r>
      <w:r>
        <w:rPr>
          <w:rFonts w:cs="Times New Roman"/>
        </w:rPr>
        <w:t>وجه معظم الاستثمارات إلى أنشطة غير إنتاجية نسبيًا لم تحقق القدر الكافي من فرص العمل</w:t>
      </w:r>
      <w:r>
        <w:t>.</w:t>
      </w:r>
      <w:r w:rsidR="00022F13">
        <w:rPr>
          <w:rFonts w:cs="Times New Roman"/>
        </w:rPr>
        <w:t xml:space="preserve"> </w:t>
      </w:r>
      <w:r>
        <w:rPr>
          <w:rFonts w:cs="Times New Roman"/>
        </w:rPr>
        <w:t xml:space="preserve">وهناك حاجة إلى تغيير حتمي في </w:t>
      </w:r>
      <w:r w:rsidR="00076F73">
        <w:rPr>
          <w:rFonts w:cs="Times New Roman" w:hint="cs"/>
        </w:rPr>
        <w:t xml:space="preserve">هذا </w:t>
      </w:r>
      <w:r>
        <w:rPr>
          <w:rFonts w:cs="Times New Roman"/>
        </w:rPr>
        <w:t>الاتجاه لمنع مزيد من التدهور للآفاق الاقتصادية نظرًا لأن غياب هذا التغيير سيؤدي إلى تأجيج الوضع الاجتماعي القابل للاشتعال بشدة</w:t>
      </w:r>
      <w:r>
        <w:t xml:space="preserve">. </w:t>
      </w:r>
    </w:p>
    <w:p w14:paraId="6B884AB3" w14:textId="77777777" w:rsidR="009324D1" w:rsidRPr="001113AD" w:rsidRDefault="009324D1" w:rsidP="009324D1">
      <w:pPr>
        <w:pStyle w:val="PlainText"/>
        <w:jc w:val="both"/>
        <w:rPr>
          <w:b/>
        </w:rPr>
      </w:pPr>
    </w:p>
    <w:p w14:paraId="66A6A485" w14:textId="77777777" w:rsidR="009324D1" w:rsidRPr="001113AD" w:rsidRDefault="4F88A954" w:rsidP="00D70C98">
      <w:pPr>
        <w:pStyle w:val="PlainText"/>
        <w:numPr>
          <w:ilvl w:val="0"/>
          <w:numId w:val="6"/>
        </w:numPr>
        <w:jc w:val="both"/>
        <w:rPr>
          <w:rFonts w:cs="Arial"/>
          <w:b/>
          <w:bCs/>
        </w:rPr>
      </w:pPr>
      <w:r>
        <w:rPr>
          <w:rFonts w:cs="Times New Roman"/>
          <w:b/>
          <w:bCs/>
        </w:rPr>
        <w:t>بالنسبة لاقتصاد بهذا الحجم، فإن مسار النمو المستدام يعتمد على القطاع الخاص المحلي الذي يستطيع المنافسة في الأسواق الإقليمية والعالمية وبمقدوره زيادة صادراته من السلع والخدمات</w:t>
      </w:r>
      <w:r>
        <w:rPr>
          <w:b/>
          <w:bCs/>
        </w:rPr>
        <w:t>.</w:t>
      </w:r>
      <w:r w:rsidR="00022F13">
        <w:rPr>
          <w:rFonts w:cs="Times New Roman"/>
          <w:b/>
          <w:bCs/>
        </w:rPr>
        <w:t xml:space="preserve"> </w:t>
      </w:r>
      <w:r>
        <w:rPr>
          <w:rFonts w:cs="Times New Roman"/>
        </w:rPr>
        <w:t>ومن الضروري خلق بيئة داعمة للاستثمار في القطاعات الإنتاجية للاقتصاد</w:t>
      </w:r>
      <w:r>
        <w:t xml:space="preserve">. </w:t>
      </w:r>
      <w:r>
        <w:rPr>
          <w:rFonts w:cs="Times New Roman"/>
        </w:rPr>
        <w:t>وقد تُعزِّز زيادة الاستثمار قدرات الاقتصاد، وتكون مبعث إلهام وتشجيع لجهود رواد الأعمال، وتساعد على خلق الوظائف التي تشتد الحاجة إليها، لاسيما للأعداد الكبيرة من النساء والشباب العاطلين</w:t>
      </w:r>
      <w:r>
        <w:t xml:space="preserve">. </w:t>
      </w:r>
      <w:r>
        <w:rPr>
          <w:rFonts w:cs="Times New Roman"/>
        </w:rPr>
        <w:t>وهذا يتطلب توسيع نطاق مساعدات مجموعة البنك الدولي كي يمتد من العمل بصورة رئيسية مع السلطة الفلسطينية إلى العمل مع جميع عناصر النشاط الاقتصادي ــ لا سيما القطاع الخاص ــ ومشاركة جميع مؤسسات وعناصر مجموعة البنك الدولي في القوى التي تعمل على تنمية وتطوير القطاع الخاص</w:t>
      </w:r>
      <w:r>
        <w:t>.</w:t>
      </w:r>
      <w:r w:rsidR="00022F13">
        <w:rPr>
          <w:rFonts w:cs="Times New Roman"/>
        </w:rPr>
        <w:t xml:space="preserve"> </w:t>
      </w:r>
      <w:r>
        <w:rPr>
          <w:rFonts w:cs="Times New Roman"/>
        </w:rPr>
        <w:t>وسيتم تفعيل هذا النطاق الموسع من خلال تعظيم نهج التمويل من أجل التنمية فيما يتعلق بالإجراءات التدخلية لمجموعة البنك الدولي</w:t>
      </w:r>
      <w:r>
        <w:t>.</w:t>
      </w:r>
      <w:r w:rsidR="00022F13">
        <w:rPr>
          <w:rFonts w:cs="Times New Roman"/>
        </w:rPr>
        <w:t xml:space="preserve"> </w:t>
      </w:r>
      <w:r>
        <w:rPr>
          <w:rFonts w:cs="Times New Roman"/>
        </w:rPr>
        <w:t>وسيستغرق الأمر بعض الوقت قبل أن تؤتي هذه الجهود المنافع المرجوة منها بصورة تامة وقبل أن يبدأ القطاع الخاص المعزز في خلق فرص العمل</w:t>
      </w:r>
      <w:r>
        <w:t>.</w:t>
      </w:r>
      <w:r w:rsidR="00022F13">
        <w:rPr>
          <w:rFonts w:cs="Times New Roman"/>
        </w:rPr>
        <w:t xml:space="preserve"> </w:t>
      </w:r>
      <w:r>
        <w:rPr>
          <w:rFonts w:cs="Times New Roman"/>
        </w:rPr>
        <w:t xml:space="preserve">ونظرًا لإشراك مجموعة أوسع نطاقًا من أصحاب المصلحة والأطراف المعنية، ستغطي </w:t>
      </w:r>
      <w:r w:rsidR="00D70C98">
        <w:rPr>
          <w:rFonts w:cs="Times New Roman" w:hint="cs"/>
        </w:rPr>
        <w:t>إ</w:t>
      </w:r>
      <w:r w:rsidR="00D70C98">
        <w:rPr>
          <w:rFonts w:cs="Times New Roman"/>
        </w:rPr>
        <w:t xml:space="preserve">ستراتيجية </w:t>
      </w:r>
      <w:r>
        <w:rPr>
          <w:rFonts w:cs="Times New Roman"/>
        </w:rPr>
        <w:t xml:space="preserve">المساعدة المقترحة </w:t>
      </w:r>
      <w:r>
        <w:t xml:space="preserve">4 </w:t>
      </w:r>
      <w:r>
        <w:rPr>
          <w:rFonts w:cs="Times New Roman"/>
        </w:rPr>
        <w:t>سنوات بدلًا من سنتين</w:t>
      </w:r>
      <w:r>
        <w:t>.</w:t>
      </w:r>
    </w:p>
    <w:p w14:paraId="220266F2" w14:textId="77777777" w:rsidR="00787ECF" w:rsidRPr="001113AD" w:rsidRDefault="00787ECF" w:rsidP="00787ECF">
      <w:pPr>
        <w:pStyle w:val="PlainText"/>
        <w:jc w:val="both"/>
      </w:pPr>
    </w:p>
    <w:p w14:paraId="51342994" w14:textId="77777777" w:rsidR="00882C18" w:rsidRPr="00D26A87" w:rsidRDefault="002C38E0" w:rsidP="00D70C98">
      <w:pPr>
        <w:pStyle w:val="CommentText"/>
        <w:numPr>
          <w:ilvl w:val="0"/>
          <w:numId w:val="6"/>
        </w:numPr>
        <w:spacing w:after="0"/>
        <w:jc w:val="both"/>
        <w:rPr>
          <w:rFonts w:ascii="Arial" w:hAnsi="Arial"/>
          <w:sz w:val="22"/>
          <w:szCs w:val="22"/>
        </w:rPr>
      </w:pPr>
      <w:r>
        <w:rPr>
          <w:rFonts w:ascii="Arial" w:hAnsi="Arial"/>
          <w:b/>
          <w:bCs/>
          <w:sz w:val="22"/>
          <w:szCs w:val="22"/>
        </w:rPr>
        <w:t xml:space="preserve">توضح </w:t>
      </w:r>
      <w:r w:rsidR="00D70C98">
        <w:rPr>
          <w:rFonts w:ascii="Arial" w:hAnsi="Arial" w:hint="cs"/>
          <w:b/>
          <w:bCs/>
          <w:sz w:val="22"/>
          <w:szCs w:val="22"/>
        </w:rPr>
        <w:t>إ</w:t>
      </w:r>
      <w:r w:rsidR="00D70C98">
        <w:rPr>
          <w:rFonts w:ascii="Arial" w:hAnsi="Arial"/>
          <w:b/>
          <w:bCs/>
          <w:sz w:val="22"/>
          <w:szCs w:val="22"/>
        </w:rPr>
        <w:t xml:space="preserve">ستراتيجية </w:t>
      </w:r>
      <w:r>
        <w:rPr>
          <w:rFonts w:ascii="Arial" w:hAnsi="Arial"/>
          <w:b/>
          <w:bCs/>
          <w:sz w:val="22"/>
          <w:szCs w:val="22"/>
        </w:rPr>
        <w:t>المساعدة المقترحة تحولًا في مشاركة البنك في الضفة الغربية و</w:t>
      </w:r>
      <w:r w:rsidR="00D70C98">
        <w:rPr>
          <w:rFonts w:ascii="Arial" w:hAnsi="Arial" w:hint="cs"/>
          <w:b/>
          <w:bCs/>
          <w:sz w:val="22"/>
          <w:szCs w:val="22"/>
        </w:rPr>
        <w:t xml:space="preserve">قطاع </w:t>
      </w:r>
      <w:r>
        <w:rPr>
          <w:rFonts w:ascii="Arial" w:hAnsi="Arial"/>
          <w:b/>
          <w:bCs/>
          <w:sz w:val="22"/>
          <w:szCs w:val="22"/>
        </w:rPr>
        <w:t>غزة مع مزيد من التركيز على حفز بيئة تعمل على تحقيق النمو الديناميكي والشامل للجميع للقطاع الخاص.</w:t>
      </w:r>
      <w:r w:rsidR="00022F13">
        <w:rPr>
          <w:rFonts w:ascii="Arial" w:hAnsi="Arial"/>
          <w:b/>
          <w:bCs/>
          <w:sz w:val="22"/>
          <w:szCs w:val="22"/>
        </w:rPr>
        <w:t xml:space="preserve"> </w:t>
      </w:r>
      <w:r>
        <w:rPr>
          <w:rFonts w:ascii="Arial" w:hAnsi="Arial"/>
          <w:sz w:val="22"/>
          <w:szCs w:val="22"/>
        </w:rPr>
        <w:t>وسيتحقق ذلك من خلال إصلاحات قطاعية ومن خلال تعزيز المؤسسات وبالمساعدة في التخفيف من المخاطر المتبقية التي يواجهها المستثمرون في بيئة تتسم بعدم اليقين والهشاشة.</w:t>
      </w:r>
      <w:r w:rsidR="00022F13">
        <w:rPr>
          <w:rFonts w:ascii="Arial" w:hAnsi="Arial"/>
          <w:sz w:val="22"/>
          <w:szCs w:val="22"/>
        </w:rPr>
        <w:t xml:space="preserve"> </w:t>
      </w:r>
      <w:r>
        <w:rPr>
          <w:rFonts w:ascii="Arial" w:hAnsi="Arial"/>
          <w:sz w:val="22"/>
          <w:szCs w:val="22"/>
        </w:rPr>
        <w:t>ويدور محور تركيز مجموعة البنك الدولي والمجتمع الدولي في إطار المساندة المقدمة للضفة الغربية وقطاع غزة حول تعزيز المؤسسات حتى يتسنى للدولة الفلسطينية المستقبلية تقديم الخدمات لمواطنيها.</w:t>
      </w:r>
      <w:r w:rsidR="00022F13">
        <w:rPr>
          <w:rFonts w:ascii="Arial" w:hAnsi="Arial"/>
          <w:sz w:val="22"/>
          <w:szCs w:val="22"/>
        </w:rPr>
        <w:t xml:space="preserve"> </w:t>
      </w:r>
      <w:r>
        <w:rPr>
          <w:rFonts w:ascii="Arial" w:hAnsi="Arial"/>
          <w:sz w:val="22"/>
          <w:szCs w:val="22"/>
        </w:rPr>
        <w:t xml:space="preserve">وقد ساعدت في بناء القدرات المؤسسية من قاعدة متدنية مع تحسين تقديم الخدمات على المستوى المحلي، لكن ثمة ضرورة </w:t>
      </w:r>
      <w:r w:rsidR="00D70C98">
        <w:rPr>
          <w:rFonts w:ascii="Arial" w:hAnsi="Arial" w:hint="cs"/>
          <w:sz w:val="22"/>
          <w:szCs w:val="22"/>
        </w:rPr>
        <w:t>ل</w:t>
      </w:r>
      <w:r>
        <w:rPr>
          <w:rFonts w:ascii="Arial" w:hAnsi="Arial"/>
          <w:sz w:val="22"/>
          <w:szCs w:val="22"/>
        </w:rPr>
        <w:t xml:space="preserve">تعميق الجهود الرامية إلى بناء بيئة داعمة لتطوير وتنمية القطاع الخاص. </w:t>
      </w:r>
    </w:p>
    <w:p w14:paraId="592C0089" w14:textId="77777777" w:rsidR="00A1397D" w:rsidRPr="001113AD" w:rsidRDefault="00A1397D" w:rsidP="00A1397D">
      <w:pPr>
        <w:pStyle w:val="PlainText"/>
        <w:jc w:val="both"/>
      </w:pPr>
    </w:p>
    <w:p w14:paraId="081D6595" w14:textId="77777777" w:rsidR="00A1397D" w:rsidRDefault="4F88A954" w:rsidP="00D70C98">
      <w:pPr>
        <w:pStyle w:val="PlainText"/>
        <w:numPr>
          <w:ilvl w:val="0"/>
          <w:numId w:val="6"/>
        </w:numPr>
        <w:jc w:val="both"/>
      </w:pPr>
      <w:r>
        <w:rPr>
          <w:rFonts w:cs="Times New Roman"/>
          <w:b/>
          <w:bCs/>
        </w:rPr>
        <w:t xml:space="preserve">يتمثل الهدف الرئيسي </w:t>
      </w:r>
      <w:r w:rsidR="00D70C98">
        <w:rPr>
          <w:rFonts w:cs="Times New Roman"/>
          <w:b/>
          <w:bCs/>
        </w:rPr>
        <w:t>لل</w:t>
      </w:r>
      <w:r w:rsidR="00D70C98">
        <w:rPr>
          <w:rFonts w:cs="Times New Roman" w:hint="cs"/>
          <w:b/>
          <w:bCs/>
        </w:rPr>
        <w:t>إ</w:t>
      </w:r>
      <w:r w:rsidR="00D70C98">
        <w:rPr>
          <w:rFonts w:cs="Times New Roman"/>
          <w:b/>
          <w:bCs/>
        </w:rPr>
        <w:t xml:space="preserve">ستراتيجية </w:t>
      </w:r>
      <w:r>
        <w:rPr>
          <w:rFonts w:cs="Times New Roman"/>
          <w:b/>
          <w:bCs/>
        </w:rPr>
        <w:t>المقترحة في مساندة استثمارات القطاع الخاص وخلق فرص العمل</w:t>
      </w:r>
      <w:r>
        <w:rPr>
          <w:b/>
          <w:bCs/>
        </w:rPr>
        <w:t>.</w:t>
      </w:r>
      <w:r w:rsidR="00022F13">
        <w:rPr>
          <w:rFonts w:cs="Times New Roman"/>
          <w:b/>
          <w:bCs/>
        </w:rPr>
        <w:t xml:space="preserve"> </w:t>
      </w:r>
      <w:r>
        <w:rPr>
          <w:rFonts w:cs="Times New Roman"/>
        </w:rPr>
        <w:t>وباتباع نهج تعظيم التمويل من أجل التنمية، من المتوقع أن تتضمن الإجراءات التدخلية المقترحة ما يلي</w:t>
      </w:r>
      <w:r>
        <w:t xml:space="preserve">: </w:t>
      </w:r>
    </w:p>
    <w:p w14:paraId="6ACEC87D" w14:textId="77777777" w:rsidR="00A1397D" w:rsidRDefault="4F88A954" w:rsidP="00A1397D">
      <w:pPr>
        <w:pStyle w:val="PlainText"/>
        <w:numPr>
          <w:ilvl w:val="0"/>
          <w:numId w:val="9"/>
        </w:numPr>
        <w:jc w:val="both"/>
      </w:pPr>
      <w:r>
        <w:rPr>
          <w:rFonts w:cs="Times New Roman"/>
          <w:b/>
          <w:bCs/>
        </w:rPr>
        <w:t xml:space="preserve">مساندة الإصلاحات الحساسة وبالغة الأهمية </w:t>
      </w:r>
      <w:r>
        <w:rPr>
          <w:rFonts w:cs="Times New Roman"/>
        </w:rPr>
        <w:t xml:space="preserve">التي تعمل على معالجة الاختناقات التي تمنع نشأة مشروعات القطاع الخاص والاستثمارات وخلق فرص العمل </w:t>
      </w:r>
      <w:r>
        <w:t>(</w:t>
      </w:r>
      <w:r>
        <w:rPr>
          <w:rFonts w:cs="Times New Roman"/>
        </w:rPr>
        <w:t>يشمل ذلك بيئة ممارسة أنشطة الأعمال، والمهارات، والتجارة، والتكامل في الأسواق الإقليمية، والبنية التحتية، والقطاع المالي</w:t>
      </w:r>
      <w:r>
        <w:t>)</w:t>
      </w:r>
      <w:r>
        <w:rPr>
          <w:rFonts w:cs="Times New Roman"/>
        </w:rPr>
        <w:t>؛ و</w:t>
      </w:r>
      <w:r w:rsidR="00022F13">
        <w:rPr>
          <w:rFonts w:cs="Times New Roman"/>
        </w:rPr>
        <w:t xml:space="preserve"> </w:t>
      </w:r>
    </w:p>
    <w:p w14:paraId="19EE4891" w14:textId="77777777" w:rsidR="00562B08" w:rsidRDefault="00577B6B" w:rsidP="00A1397D">
      <w:pPr>
        <w:pStyle w:val="PlainText"/>
        <w:numPr>
          <w:ilvl w:val="0"/>
          <w:numId w:val="9"/>
        </w:numPr>
        <w:jc w:val="both"/>
      </w:pPr>
      <w:r>
        <w:rPr>
          <w:rFonts w:cs="Times New Roman"/>
          <w:b/>
          <w:bCs/>
        </w:rPr>
        <w:lastRenderedPageBreak/>
        <w:t>تقديم المساندة لتحقيق المشروعات الخاصة</w:t>
      </w:r>
      <w:r>
        <w:rPr>
          <w:rFonts w:cs="Times New Roman"/>
        </w:rPr>
        <w:t xml:space="preserve">، ويشمل ذلك المساندة المتكاملة من مجموعة البنك الدولي في مشروعات الهيكلة، وتعبئة التمويل من الأطراف الفاعلة من القطاع الخاص، وإتاحة أدوات لمعالجة المخاطر </w:t>
      </w:r>
      <w:r>
        <w:t>(</w:t>
      </w:r>
      <w:r>
        <w:rPr>
          <w:rFonts w:cs="Times New Roman"/>
        </w:rPr>
        <w:t>يشمل ذلك التأمين لتغطية المخاطر السياسية، والتمويل المختلط</w:t>
      </w:r>
      <w:r>
        <w:t xml:space="preserve">) </w:t>
      </w:r>
      <w:r>
        <w:rPr>
          <w:rFonts w:cs="Times New Roman"/>
        </w:rPr>
        <w:t>حتى يمكن أن تصبح هذه العمليات والمعاملات ممكنة</w:t>
      </w:r>
      <w:r>
        <w:t>.</w:t>
      </w:r>
      <w:r w:rsidR="00022F13">
        <w:rPr>
          <w:rFonts w:cs="Times New Roman"/>
        </w:rPr>
        <w:t xml:space="preserve"> </w:t>
      </w:r>
      <w:r>
        <w:rPr>
          <w:rFonts w:cs="Times New Roman"/>
        </w:rPr>
        <w:t>ويمكن تحقيق ذلك من خلال مسارين متوازيين</w:t>
      </w:r>
      <w:r>
        <w:t>:</w:t>
      </w:r>
      <w:r w:rsidR="00022F13">
        <w:rPr>
          <w:rFonts w:cs="Times New Roman"/>
        </w:rPr>
        <w:t xml:space="preserve"> </w:t>
      </w:r>
    </w:p>
    <w:p w14:paraId="65629E8B" w14:textId="77777777" w:rsidR="00452BCB" w:rsidRDefault="00452BCB" w:rsidP="00206B35">
      <w:pPr>
        <w:pStyle w:val="PlainText"/>
        <w:jc w:val="both"/>
      </w:pPr>
    </w:p>
    <w:p w14:paraId="1369195C" w14:textId="77777777" w:rsidR="00562B08" w:rsidRPr="00562B08" w:rsidRDefault="000948E3" w:rsidP="00B359BE">
      <w:pPr>
        <w:pStyle w:val="PlainText"/>
        <w:numPr>
          <w:ilvl w:val="0"/>
          <w:numId w:val="27"/>
        </w:numPr>
        <w:jc w:val="both"/>
      </w:pPr>
      <w:r>
        <w:rPr>
          <w:rFonts w:cs="Times New Roman"/>
          <w:i/>
          <w:iCs/>
        </w:rPr>
        <w:t>المسار الأول</w:t>
      </w:r>
      <w:r>
        <w:rPr>
          <w:i/>
          <w:iCs/>
        </w:rPr>
        <w:t xml:space="preserve">: </w:t>
      </w:r>
      <w:r>
        <w:rPr>
          <w:rFonts w:cs="Times New Roman"/>
        </w:rPr>
        <w:t xml:space="preserve">الاستفادة من الصناديق الاستئمانية التي يديرها البنك الدولي ومؤسسة التمويل الدولية والوكالة الدولية لضمان الاستثمار لمساندة هذه </w:t>
      </w:r>
      <w:r w:rsidR="00B359BE">
        <w:rPr>
          <w:rFonts w:cs="Times New Roman"/>
        </w:rPr>
        <w:t>ال</w:t>
      </w:r>
      <w:r w:rsidR="00B359BE">
        <w:rPr>
          <w:rFonts w:cs="Times New Roman" w:hint="cs"/>
        </w:rPr>
        <w:t>إ</w:t>
      </w:r>
      <w:r w:rsidR="00B359BE">
        <w:rPr>
          <w:rFonts w:cs="Times New Roman"/>
        </w:rPr>
        <w:t xml:space="preserve">ستراتيجية </w:t>
      </w:r>
      <w:r>
        <w:rPr>
          <w:rFonts w:cs="Times New Roman"/>
        </w:rPr>
        <w:t>الجديدة وهذا النهج التكاملي</w:t>
      </w:r>
      <w:r>
        <w:t>.</w:t>
      </w:r>
      <w:r w:rsidR="00022F13">
        <w:rPr>
          <w:rFonts w:cs="Times New Roman"/>
        </w:rPr>
        <w:t xml:space="preserve"> </w:t>
      </w:r>
      <w:r>
        <w:rPr>
          <w:rFonts w:cs="Times New Roman"/>
        </w:rPr>
        <w:t xml:space="preserve">ففي الضفة الغربية وقطاع غزة، تمثلت خبرات وتجارب مؤسسة التمويل الدولية في تحقيق نسب رفع مالي بلغت </w:t>
      </w:r>
      <w:r w:rsidR="00B359BE">
        <w:rPr>
          <w:rFonts w:cs="Times New Roman"/>
          <w:rtl w:val="0"/>
        </w:rPr>
        <w:t>3:1</w:t>
      </w:r>
      <w:r w:rsidR="00B359BE">
        <w:rPr>
          <w:rFonts w:cs="Times New Roman" w:hint="cs"/>
        </w:rPr>
        <w:t xml:space="preserve"> </w:t>
      </w:r>
      <w:r>
        <w:rPr>
          <w:rFonts w:cs="Times New Roman"/>
        </w:rPr>
        <w:t>من خلال صندوقها الاستئماني</w:t>
      </w:r>
      <w:r>
        <w:t>.</w:t>
      </w:r>
      <w:r w:rsidR="00022F13">
        <w:rPr>
          <w:rFonts w:cs="Times New Roman"/>
        </w:rPr>
        <w:t xml:space="preserve"> </w:t>
      </w:r>
    </w:p>
    <w:p w14:paraId="41FE9040" w14:textId="77777777" w:rsidR="00A1397D" w:rsidRDefault="000948E3" w:rsidP="00B359BE">
      <w:pPr>
        <w:pStyle w:val="PlainText"/>
        <w:numPr>
          <w:ilvl w:val="0"/>
          <w:numId w:val="27"/>
        </w:numPr>
        <w:jc w:val="both"/>
      </w:pPr>
      <w:r>
        <w:rPr>
          <w:rFonts w:cs="Times New Roman"/>
          <w:i/>
          <w:iCs/>
        </w:rPr>
        <w:t>المسار الثاني</w:t>
      </w:r>
      <w:r>
        <w:rPr>
          <w:i/>
          <w:iCs/>
        </w:rPr>
        <w:t xml:space="preserve">: </w:t>
      </w:r>
      <w:r>
        <w:rPr>
          <w:rFonts w:cs="Times New Roman"/>
        </w:rPr>
        <w:t xml:space="preserve">إنشاء صندوق لتعزيز القطاع الخاص بعد مناقشة </w:t>
      </w:r>
      <w:r w:rsidR="00B359BE">
        <w:rPr>
          <w:rFonts w:cs="Times New Roman" w:hint="cs"/>
        </w:rPr>
        <w:t>إ</w:t>
      </w:r>
      <w:r w:rsidR="00B359BE">
        <w:rPr>
          <w:rFonts w:cs="Times New Roman"/>
        </w:rPr>
        <w:t xml:space="preserve">ستراتيجية </w:t>
      </w:r>
      <w:r>
        <w:rPr>
          <w:rFonts w:cs="Times New Roman"/>
        </w:rPr>
        <w:t>المساعدة المقترحة للضفة الغربية وقطاع غزة من جانب مجلس المديرين التنفيذيين لمجموعة البنك الدولي</w:t>
      </w:r>
      <w:r>
        <w:t>.</w:t>
      </w:r>
      <w:r w:rsidR="00022F13">
        <w:rPr>
          <w:rFonts w:cs="Times New Roman"/>
        </w:rPr>
        <w:t xml:space="preserve"> </w:t>
      </w:r>
      <w:r>
        <w:rPr>
          <w:rFonts w:cs="Times New Roman"/>
        </w:rPr>
        <w:t xml:space="preserve">وسيقدم البنك الدولي الموارد التمويلية الأولية لصندوق تعزيز القطاع الخاص من الصندوق الاستئماني لغزة والضفة الغربية الذي يديره البنك الدولي </w:t>
      </w:r>
      <w:r>
        <w:t>(</w:t>
      </w:r>
      <w:r>
        <w:rPr>
          <w:rFonts w:cs="Times New Roman"/>
        </w:rPr>
        <w:t xml:space="preserve">مبدئيًا بقيمة </w:t>
      </w:r>
      <w:r>
        <w:t xml:space="preserve">20 </w:t>
      </w:r>
      <w:r>
        <w:rPr>
          <w:rFonts w:cs="Times New Roman"/>
        </w:rPr>
        <w:t>مليون دولار</w:t>
      </w:r>
      <w:r>
        <w:t>)</w:t>
      </w:r>
      <w:r>
        <w:rPr>
          <w:rFonts w:cs="Times New Roman"/>
        </w:rPr>
        <w:t>، كما سيسعى للحصول على مساهمات إضافية من المانحين لهذا الصندوق الجديد</w:t>
      </w:r>
      <w:r>
        <w:t>.</w:t>
      </w:r>
      <w:r w:rsidR="00022F13">
        <w:rPr>
          <w:rFonts w:cs="Times New Roman"/>
        </w:rPr>
        <w:t xml:space="preserve"> </w:t>
      </w:r>
      <w:r>
        <w:rPr>
          <w:rFonts w:cs="Times New Roman"/>
        </w:rPr>
        <w:t>وسيتم التوسع في هذا الصندوق إذا ما صاحب التقدم في عملية السلام زيادة في التمويل المتاح</w:t>
      </w:r>
      <w:r>
        <w:t>.</w:t>
      </w:r>
      <w:r w:rsidR="00022F13">
        <w:rPr>
          <w:rFonts w:cs="Times New Roman"/>
        </w:rPr>
        <w:t xml:space="preserve"> </w:t>
      </w:r>
      <w:r>
        <w:rPr>
          <w:rFonts w:cs="Times New Roman"/>
        </w:rPr>
        <w:t xml:space="preserve">ويتمثل الهدف من وراء ذلك في الوصول إلى نسبة رفع مالي تبلغ </w:t>
      </w:r>
      <w:r w:rsidR="00B359BE">
        <w:rPr>
          <w:rtl w:val="0"/>
        </w:rPr>
        <w:t>5:1</w:t>
      </w:r>
      <w:r w:rsidR="00B359BE">
        <w:rPr>
          <w:rFonts w:cs="Times New Roman" w:hint="cs"/>
        </w:rPr>
        <w:t xml:space="preserve"> </w:t>
      </w:r>
      <w:r>
        <w:rPr>
          <w:rFonts w:cs="Times New Roman"/>
        </w:rPr>
        <w:t>مع اتساع نطاق الصندوق</w:t>
      </w:r>
      <w:r>
        <w:t>.</w:t>
      </w:r>
      <w:r w:rsidR="00022F13">
        <w:rPr>
          <w:rFonts w:cs="Times New Roman"/>
        </w:rPr>
        <w:t xml:space="preserve"> </w:t>
      </w:r>
    </w:p>
    <w:p w14:paraId="5DF0B912" w14:textId="77777777" w:rsidR="002023F3" w:rsidRDefault="002023F3" w:rsidP="006115CD">
      <w:pPr>
        <w:pStyle w:val="PlainText"/>
        <w:jc w:val="both"/>
      </w:pPr>
    </w:p>
    <w:p w14:paraId="76F8CEDD" w14:textId="77777777" w:rsidR="00E82133" w:rsidRDefault="4F88A954" w:rsidP="003E7EB9">
      <w:pPr>
        <w:pStyle w:val="PlainText"/>
        <w:numPr>
          <w:ilvl w:val="0"/>
          <w:numId w:val="6"/>
        </w:numPr>
        <w:jc w:val="both"/>
      </w:pPr>
      <w:r>
        <w:rPr>
          <w:rFonts w:cs="Times New Roman"/>
          <w:b/>
          <w:bCs/>
        </w:rPr>
        <w:t>بخلاف الجهود الرامية إلى مساندة القطاع الخاص، من الأهمية بمكان التركيز بصورة قوية على تحقيق الرفاهية المشتركة و</w:t>
      </w:r>
      <w:r w:rsidR="00B359BE">
        <w:rPr>
          <w:rFonts w:cs="Times New Roman" w:hint="cs"/>
          <w:b/>
          <w:bCs/>
        </w:rPr>
        <w:t xml:space="preserve">على </w:t>
      </w:r>
      <w:r>
        <w:rPr>
          <w:rFonts w:cs="Times New Roman"/>
          <w:b/>
          <w:bCs/>
        </w:rPr>
        <w:t>شريحة الأربعين في المائة الأدنى في ظل هذا الوضع الراهن المتردي</w:t>
      </w:r>
      <w:r w:rsidR="00B359BE">
        <w:rPr>
          <w:rFonts w:cs="Times New Roman" w:hint="cs"/>
          <w:b/>
          <w:bCs/>
        </w:rPr>
        <w:t>،</w:t>
      </w:r>
      <w:r>
        <w:rPr>
          <w:rFonts w:cs="Times New Roman"/>
          <w:b/>
          <w:bCs/>
        </w:rPr>
        <w:t xml:space="preserve"> مع ضرورة تجديد العقد الاجتماعي من خلال تحسين تقديم الخدمات العامة والحماية الاجتماعية</w:t>
      </w:r>
      <w:r>
        <w:rPr>
          <w:b/>
          <w:bCs/>
        </w:rPr>
        <w:t>.</w:t>
      </w:r>
      <w:r w:rsidR="00022F13">
        <w:rPr>
          <w:rFonts w:cs="Times New Roman"/>
        </w:rPr>
        <w:t xml:space="preserve"> </w:t>
      </w:r>
      <w:r>
        <w:rPr>
          <w:rFonts w:cs="Times New Roman"/>
        </w:rPr>
        <w:t>وستكون الأولوية لتعزيز قدرات المؤسسات وخضوعها للمساءلة من أجل بناء ثقة الجماهير، ويتمثل الهدف من وراء ذلك في مساندة إنشاء تحالفات من أجل تجديد عملية الإصلاح مثل مبادرة بناء الوعي بموازنة المواطن التابعة لوزارة التنمية الاجتماعية</w:t>
      </w:r>
      <w:r>
        <w:t xml:space="preserve">. </w:t>
      </w:r>
      <w:r>
        <w:rPr>
          <w:rFonts w:cs="Times New Roman"/>
        </w:rPr>
        <w:t xml:space="preserve">وستغطي المشاركة </w:t>
      </w:r>
      <w:r w:rsidR="00B359BE">
        <w:rPr>
          <w:rFonts w:cs="Times New Roman" w:hint="cs"/>
        </w:rPr>
        <w:t xml:space="preserve">قطاع </w:t>
      </w:r>
      <w:r>
        <w:rPr>
          <w:rFonts w:cs="Times New Roman"/>
        </w:rPr>
        <w:t xml:space="preserve">غزة والضفة الغربية، لكن برنامج غزة </w:t>
      </w:r>
      <w:r>
        <w:t>(</w:t>
      </w:r>
      <w:r>
        <w:rPr>
          <w:rFonts w:cs="Times New Roman"/>
        </w:rPr>
        <w:t>التي تخضع لسيطرة محدودة من جانب السلطة الفلسطينية</w:t>
      </w:r>
      <w:r>
        <w:t xml:space="preserve">) </w:t>
      </w:r>
      <w:r>
        <w:rPr>
          <w:rFonts w:cs="Times New Roman"/>
        </w:rPr>
        <w:t>سيركز بصورة قوية على استهداف وحماية الشرائح المستضعفة، ويشمل ذلك من خلال تقديم الخدمات الأساسية</w:t>
      </w:r>
      <w:r>
        <w:t xml:space="preserve">. </w:t>
      </w:r>
    </w:p>
    <w:p w14:paraId="4224E0A2" w14:textId="77777777" w:rsidR="003E7EB9" w:rsidRDefault="003E7EB9" w:rsidP="003E7EB9">
      <w:pPr>
        <w:pStyle w:val="PlainText"/>
        <w:jc w:val="both"/>
      </w:pPr>
    </w:p>
    <w:p w14:paraId="1BCA7381" w14:textId="77777777" w:rsidR="0034115C" w:rsidRDefault="4F88A954" w:rsidP="0005180A">
      <w:pPr>
        <w:pStyle w:val="PlainText"/>
        <w:numPr>
          <w:ilvl w:val="0"/>
          <w:numId w:val="6"/>
        </w:numPr>
        <w:jc w:val="both"/>
      </w:pPr>
      <w:r>
        <w:rPr>
          <w:rFonts w:cs="Times New Roman"/>
          <w:b/>
          <w:bCs/>
        </w:rPr>
        <w:t xml:space="preserve">عند تنفيذ </w:t>
      </w:r>
      <w:r w:rsidR="0005180A">
        <w:rPr>
          <w:rFonts w:cs="Times New Roman"/>
          <w:b/>
          <w:bCs/>
        </w:rPr>
        <w:t>ال</w:t>
      </w:r>
      <w:r w:rsidR="0005180A">
        <w:rPr>
          <w:rFonts w:cs="Times New Roman" w:hint="cs"/>
          <w:b/>
          <w:bCs/>
        </w:rPr>
        <w:t>إ</w:t>
      </w:r>
      <w:r w:rsidR="0005180A">
        <w:rPr>
          <w:rFonts w:cs="Times New Roman"/>
          <w:b/>
          <w:bCs/>
        </w:rPr>
        <w:t xml:space="preserve">ستراتيجية </w:t>
      </w:r>
      <w:r>
        <w:rPr>
          <w:rFonts w:cs="Times New Roman"/>
          <w:b/>
          <w:bCs/>
        </w:rPr>
        <w:t>المقترحة، ترتفع المخاطر</w:t>
      </w:r>
      <w:r>
        <w:rPr>
          <w:b/>
          <w:bCs/>
        </w:rPr>
        <w:t>.</w:t>
      </w:r>
      <w:r w:rsidR="00022F13">
        <w:rPr>
          <w:rFonts w:cs="Times New Roman"/>
          <w:b/>
          <w:bCs/>
        </w:rPr>
        <w:t xml:space="preserve"> </w:t>
      </w:r>
      <w:r>
        <w:rPr>
          <w:rFonts w:cs="Times New Roman"/>
        </w:rPr>
        <w:t xml:space="preserve">وسيؤدي ما يلي إلى إعاقة تحقيق نتائج </w:t>
      </w:r>
      <w:r w:rsidR="0005180A">
        <w:rPr>
          <w:rFonts w:cs="Times New Roman" w:hint="cs"/>
        </w:rPr>
        <w:t>إ</w:t>
      </w:r>
      <w:r w:rsidR="0005180A">
        <w:rPr>
          <w:rFonts w:cs="Times New Roman"/>
        </w:rPr>
        <w:t xml:space="preserve">ستراتيجية </w:t>
      </w:r>
      <w:r>
        <w:rPr>
          <w:rFonts w:cs="Times New Roman"/>
        </w:rPr>
        <w:t>مجموعة البنك الدولي بصورة مستمرة</w:t>
      </w:r>
      <w:r>
        <w:t xml:space="preserve">: </w:t>
      </w:r>
      <w:r>
        <w:rPr>
          <w:rFonts w:cs="Times New Roman"/>
        </w:rPr>
        <w:t xml:space="preserve">العلاقة المعقدة بين الفلسطينيين والإسرائيليين؛ والانقسام بين </w:t>
      </w:r>
      <w:r w:rsidR="0005180A">
        <w:rPr>
          <w:rFonts w:cs="Times New Roman" w:hint="cs"/>
        </w:rPr>
        <w:t xml:space="preserve">قطاع </w:t>
      </w:r>
      <w:r>
        <w:rPr>
          <w:rFonts w:cs="Times New Roman"/>
        </w:rPr>
        <w:t xml:space="preserve">غزة والضفة الغربية </w:t>
      </w:r>
      <w:r>
        <w:t>(</w:t>
      </w:r>
      <w:r>
        <w:rPr>
          <w:rFonts w:cs="Times New Roman"/>
        </w:rPr>
        <w:t>هناك جهود مصالحة تُبذل في الآونة الأخيرة لرأب هذا الصدع</w:t>
      </w:r>
      <w:r>
        <w:t>)</w:t>
      </w:r>
      <w:r>
        <w:rPr>
          <w:rFonts w:cs="Times New Roman"/>
        </w:rPr>
        <w:t xml:space="preserve">؛ والقيود واسعة النطاق على بيئة أنشطة الأعمال في </w:t>
      </w:r>
      <w:r w:rsidR="0005180A">
        <w:rPr>
          <w:rFonts w:cs="Times New Roman" w:hint="cs"/>
        </w:rPr>
        <w:t xml:space="preserve">قطاع </w:t>
      </w:r>
      <w:r>
        <w:rPr>
          <w:rFonts w:cs="Times New Roman"/>
        </w:rPr>
        <w:t>غزة والضفة الغربية</w:t>
      </w:r>
      <w:r>
        <w:t>.</w:t>
      </w:r>
      <w:r w:rsidR="00022F13">
        <w:rPr>
          <w:rFonts w:cs="Times New Roman"/>
        </w:rPr>
        <w:t xml:space="preserve"> </w:t>
      </w:r>
      <w:r>
        <w:rPr>
          <w:rFonts w:cs="Times New Roman"/>
        </w:rPr>
        <w:t xml:space="preserve">وبخلاف هذه المسائل السياقية، تمثل هذه </w:t>
      </w:r>
      <w:r w:rsidR="0005180A">
        <w:rPr>
          <w:rFonts w:cs="Times New Roman"/>
        </w:rPr>
        <w:t>ال</w:t>
      </w:r>
      <w:r w:rsidR="0005180A">
        <w:rPr>
          <w:rFonts w:cs="Times New Roman" w:hint="cs"/>
        </w:rPr>
        <w:t>إ</w:t>
      </w:r>
      <w:r w:rsidR="0005180A">
        <w:rPr>
          <w:rFonts w:cs="Times New Roman"/>
        </w:rPr>
        <w:t xml:space="preserve">ستراتيجية </w:t>
      </w:r>
      <w:r>
        <w:rPr>
          <w:rFonts w:cs="Times New Roman"/>
        </w:rPr>
        <w:t>في حد ذاتها تحولًا جوهريًا في الاهتمام بالقطاع الخاص وهذا التحول قد يواجه مقاومة من هؤلاء الساعين إلى تحقيق منافع من وجود بيئة مقيدة لأنشطة الأعمال</w:t>
      </w:r>
      <w:r>
        <w:t>.</w:t>
      </w:r>
      <w:r w:rsidR="00022F13">
        <w:rPr>
          <w:rFonts w:cs="Times New Roman"/>
        </w:rPr>
        <w:t xml:space="preserve"> </w:t>
      </w:r>
      <w:r>
        <w:rPr>
          <w:rFonts w:cs="Times New Roman"/>
        </w:rPr>
        <w:t>وعلاوة على ذلك، قد يستغرق الأمر وقتًا كي تتحقق النتائج ــ التي تشمل ما يتعلق بتوفير فرص العمل ــ وذلك نظرًا لتردد المستثمرين في تنفيذ استثمارات جديدة في ظل بيئة سياسية تموج بالسيولة والهشاشة على الرغم من التقدم المحرز على صعيد العديد من السياسات والمؤسسات، وتوفر أدوات لمواجهة المخاطر، والمساندة المباشرة عند إعداد العمليات</w:t>
      </w:r>
      <w:r>
        <w:t>.</w:t>
      </w:r>
      <w:r w:rsidR="00022F13">
        <w:rPr>
          <w:rFonts w:cs="Times New Roman"/>
        </w:rPr>
        <w:t xml:space="preserve"> </w:t>
      </w:r>
      <w:r>
        <w:rPr>
          <w:rFonts w:cs="Times New Roman"/>
        </w:rPr>
        <w:t>وهناك أيضًا مخاطر تتمثل في أن مستثمري القطاع الخاص المستفيدين أشد استفادة من الفرص الجديدة سيستمرون في التركز وبمقدورهم حجب فرص النمو للشركات وأنشطة الأعمال الصغيرة</w:t>
      </w:r>
      <w:r>
        <w:t>.</w:t>
      </w:r>
      <w:r w:rsidR="00022F13">
        <w:rPr>
          <w:rFonts w:cs="Times New Roman"/>
        </w:rPr>
        <w:t xml:space="preserve"> </w:t>
      </w:r>
      <w:r>
        <w:rPr>
          <w:rFonts w:cs="Times New Roman"/>
        </w:rPr>
        <w:t>ومن الممكن أن يؤدي اندلاع العنف مجددًا إلى العصف بالتقدم المحرز</w:t>
      </w:r>
      <w:r>
        <w:t>.</w:t>
      </w:r>
      <w:r w:rsidR="00022F13">
        <w:rPr>
          <w:rFonts w:cs="Times New Roman"/>
        </w:rPr>
        <w:t xml:space="preserve"> </w:t>
      </w:r>
      <w:r>
        <w:rPr>
          <w:rFonts w:cs="Times New Roman"/>
        </w:rPr>
        <w:t>من ناحية أخرى، من الممكن أن يؤدي التقدم بوتيرة سريعة على صعيد المصالحة وعملية السلام إلى تسريع وتيرة تحقيق النتائج فيما يتعلق بإيجاد فرص العمل وتحقيق النمو ــ ومن الممكن أن يصاحب ذلك توسيع نطاق الإجراءات التدخلية المقترحة دعمًا لنشاط القطاع الخاص، ويشمل ذلك صندوق تعزيز القطاع الخاص</w:t>
      </w:r>
      <w:r>
        <w:t>.</w:t>
      </w:r>
      <w:r w:rsidR="00022F13">
        <w:rPr>
          <w:rFonts w:cs="Times New Roman"/>
        </w:rPr>
        <w:t xml:space="preserve"> </w:t>
      </w:r>
    </w:p>
    <w:p w14:paraId="40BDEEBC" w14:textId="77777777" w:rsidR="00A1397D" w:rsidRDefault="00F90372" w:rsidP="0034115C">
      <w:pPr>
        <w:pStyle w:val="PlainText"/>
        <w:jc w:val="both"/>
      </w:pPr>
      <w:r>
        <w:t xml:space="preserve"> </w:t>
      </w:r>
    </w:p>
    <w:p w14:paraId="517C7817" w14:textId="77777777" w:rsidR="00A41B31" w:rsidRPr="00022F13" w:rsidRDefault="00022F13" w:rsidP="00022F13">
      <w:pPr>
        <w:pStyle w:val="Heading2"/>
        <w:spacing w:before="0"/>
        <w:ind w:left="360"/>
        <w:rPr>
          <w:rFonts w:eastAsia="Arial"/>
          <w:b w:val="0"/>
          <w:bCs/>
        </w:rPr>
      </w:pPr>
      <w:bookmarkStart w:id="3" w:name="_Toc498096409"/>
      <w:bookmarkStart w:id="4" w:name="_Toc500240968"/>
      <w:r w:rsidRPr="00022F13">
        <w:rPr>
          <w:rFonts w:hint="cs"/>
          <w:b w:val="0"/>
          <w:bCs/>
        </w:rPr>
        <w:t xml:space="preserve">باء. </w:t>
      </w:r>
      <w:r w:rsidR="4F88A954" w:rsidRPr="00022F13">
        <w:rPr>
          <w:b w:val="0"/>
          <w:bCs/>
        </w:rPr>
        <w:t>السياق السياسي</w:t>
      </w:r>
      <w:bookmarkEnd w:id="3"/>
      <w:bookmarkEnd w:id="4"/>
    </w:p>
    <w:p w14:paraId="2F17E35F" w14:textId="77777777" w:rsidR="00A41B31" w:rsidRDefault="00A41B31" w:rsidP="003B4D10">
      <w:pPr>
        <w:pStyle w:val="PlainText"/>
        <w:jc w:val="both"/>
      </w:pPr>
    </w:p>
    <w:p w14:paraId="427A8542" w14:textId="77777777" w:rsidR="003A0DC0" w:rsidRPr="00C82B23" w:rsidRDefault="4F88A954" w:rsidP="0005180A">
      <w:pPr>
        <w:pStyle w:val="PlainText"/>
        <w:numPr>
          <w:ilvl w:val="0"/>
          <w:numId w:val="6"/>
        </w:numPr>
        <w:jc w:val="both"/>
      </w:pPr>
      <w:r>
        <w:rPr>
          <w:rFonts w:cs="Times New Roman"/>
          <w:b/>
          <w:bCs/>
        </w:rPr>
        <w:t xml:space="preserve">أُنشئت السلطة الفلسطينية في الضفة الغربية وقطاع غزة مباشرة بعد اتفاقيات أوسلو في </w:t>
      </w:r>
      <w:r>
        <w:rPr>
          <w:b/>
          <w:bCs/>
        </w:rPr>
        <w:t>1993.</w:t>
      </w:r>
      <w:r>
        <w:rPr>
          <w:rFonts w:cs="Times New Roman"/>
        </w:rPr>
        <w:t xml:space="preserve"> وتتولى السلطة الفلسطينية المسؤولية المدنية عن معظم السكان الفلسطينيين، غير أن سلطات</w:t>
      </w:r>
      <w:r w:rsidR="0005180A">
        <w:rPr>
          <w:rFonts w:cs="Times New Roman" w:hint="cs"/>
        </w:rPr>
        <w:t>ها</w:t>
      </w:r>
      <w:r>
        <w:rPr>
          <w:rFonts w:cs="Times New Roman"/>
        </w:rPr>
        <w:t xml:space="preserve"> الأمنية </w:t>
      </w:r>
      <w:r w:rsidR="0005180A">
        <w:rPr>
          <w:rFonts w:cs="Times New Roman" w:hint="cs"/>
        </w:rPr>
        <w:t>اقتصرت</w:t>
      </w:r>
      <w:r>
        <w:rPr>
          <w:rFonts w:cs="Times New Roman"/>
        </w:rPr>
        <w:t xml:space="preserve"> على المراكز الحضرية الكبرى</w:t>
      </w:r>
      <w:r>
        <w:t xml:space="preserve">. </w:t>
      </w:r>
      <w:r>
        <w:rPr>
          <w:rFonts w:cs="Times New Roman"/>
        </w:rPr>
        <w:t xml:space="preserve">وتمارس إسرائيل سيطرة تامة على قطاعات كبيرة من الأراضي حول المستوطنات ومحاور الحركة الأساسية، وهو ما يعني أن </w:t>
      </w:r>
      <w:r>
        <w:t xml:space="preserve">61% </w:t>
      </w:r>
      <w:r>
        <w:rPr>
          <w:rFonts w:cs="Times New Roman"/>
        </w:rPr>
        <w:t xml:space="preserve">من الضفة الغربية </w:t>
      </w:r>
      <w:r>
        <w:t>(</w:t>
      </w:r>
      <w:r>
        <w:rPr>
          <w:rFonts w:cs="Times New Roman"/>
        </w:rPr>
        <w:t>ما يسمى المنطقة ج</w:t>
      </w:r>
      <w:r>
        <w:t xml:space="preserve">) </w:t>
      </w:r>
      <w:r>
        <w:rPr>
          <w:rFonts w:cs="Times New Roman"/>
        </w:rPr>
        <w:t>خارج نطاق سيطرة السلطة الفلسطينية</w:t>
      </w:r>
      <w:r>
        <w:t xml:space="preserve">. </w:t>
      </w:r>
      <w:r>
        <w:rPr>
          <w:rFonts w:cs="Times New Roman"/>
        </w:rPr>
        <w:t>وبموجب اتفاقيات أوسلو كان الغرض من هذه الترتيبات أن تكون تدابير مؤقتة ليحل محلها اتفاق الوضع النهائي بحلول عام</w:t>
      </w:r>
      <w:r>
        <w:t xml:space="preserve"> 2000</w:t>
      </w:r>
      <w:r>
        <w:rPr>
          <w:rFonts w:cs="Times New Roman"/>
        </w:rPr>
        <w:t>، لكن هذا الاتفاق لا يزال ساريًا</w:t>
      </w:r>
      <w:r>
        <w:t>.</w:t>
      </w:r>
    </w:p>
    <w:p w14:paraId="71571555" w14:textId="77777777" w:rsidR="003A0DC0" w:rsidRDefault="003A0DC0" w:rsidP="007B17BF">
      <w:pPr>
        <w:spacing w:after="0" w:line="240" w:lineRule="auto"/>
        <w:jc w:val="both"/>
        <w:rPr>
          <w:rFonts w:ascii="Times New Roman" w:hAnsi="Times New Roman" w:cs="Times New Roman"/>
          <w:b/>
        </w:rPr>
      </w:pPr>
    </w:p>
    <w:p w14:paraId="34DA4E59" w14:textId="77777777" w:rsidR="0030738F" w:rsidRPr="00CB0417" w:rsidRDefault="4F88A954" w:rsidP="00A33D3B">
      <w:pPr>
        <w:pStyle w:val="ListParagraph"/>
        <w:numPr>
          <w:ilvl w:val="0"/>
          <w:numId w:val="6"/>
        </w:numPr>
        <w:spacing w:after="0" w:line="240" w:lineRule="auto"/>
        <w:jc w:val="both"/>
        <w:rPr>
          <w:rFonts w:ascii="Arial" w:eastAsia="Arial" w:hAnsi="Arial" w:cs="Arial"/>
          <w:b/>
          <w:bCs/>
        </w:rPr>
      </w:pPr>
      <w:r>
        <w:rPr>
          <w:rFonts w:ascii="Arial" w:hAnsi="Arial"/>
          <w:b/>
          <w:bCs/>
        </w:rPr>
        <w:t>تم الشروع في العديد من عمليات السلام لكن لم تنجح أية عملية منها.</w:t>
      </w:r>
      <w:r>
        <w:rPr>
          <w:rFonts w:ascii="Arial" w:hAnsi="Arial"/>
        </w:rPr>
        <w:t xml:space="preserve"> ولا تزال مباحثات السلام بين السلطة الفلسطينية وحكومة إسرائيل متوقفة منذ مبادرة الولايات المتحدة (مباحثات كيري) التي انتهت دون تحقيق النجاح المنشود في 2014.</w:t>
      </w:r>
      <w:r>
        <w:t xml:space="preserve"> </w:t>
      </w:r>
      <w:r>
        <w:rPr>
          <w:rFonts w:ascii="Arial" w:hAnsi="Arial"/>
        </w:rPr>
        <w:t>وتلاشت المبادرة المص</w:t>
      </w:r>
      <w:r w:rsidR="00A36B0C">
        <w:rPr>
          <w:rFonts w:ascii="Arial" w:hAnsi="Arial"/>
        </w:rPr>
        <w:t>رية التي طُرحت في 2016، ولم ي</w:t>
      </w:r>
      <w:r w:rsidR="00A36B0C">
        <w:rPr>
          <w:rFonts w:ascii="Arial" w:hAnsi="Arial" w:hint="cs"/>
        </w:rPr>
        <w:t>سفر</w:t>
      </w:r>
      <w:r w:rsidR="00A36B0C">
        <w:rPr>
          <w:rFonts w:ascii="Arial" w:hAnsi="Arial"/>
        </w:rPr>
        <w:t xml:space="preserve"> عن قمة باريس التي استضافتها فر</w:t>
      </w:r>
      <w:r w:rsidR="00A36B0C">
        <w:rPr>
          <w:rFonts w:ascii="Arial" w:hAnsi="Arial" w:hint="cs"/>
        </w:rPr>
        <w:t>نس</w:t>
      </w:r>
      <w:r>
        <w:rPr>
          <w:rFonts w:ascii="Arial" w:hAnsi="Arial"/>
        </w:rPr>
        <w:t>ا وعُقدت في يناير/كانون الثاني 2017 أي نجاح.</w:t>
      </w:r>
      <w:r w:rsidR="00022F13">
        <w:rPr>
          <w:rFonts w:ascii="Arial" w:hAnsi="Arial"/>
        </w:rPr>
        <w:t xml:space="preserve"> </w:t>
      </w:r>
      <w:r>
        <w:rPr>
          <w:rFonts w:ascii="Arial" w:hAnsi="Arial"/>
        </w:rPr>
        <w:t>وبعد دخول الإدارة الأمريكية</w:t>
      </w:r>
      <w:r w:rsidR="0005180A">
        <w:rPr>
          <w:rFonts w:ascii="Arial" w:hAnsi="Arial" w:hint="cs"/>
        </w:rPr>
        <w:t xml:space="preserve"> الجديدة</w:t>
      </w:r>
      <w:r>
        <w:rPr>
          <w:rFonts w:ascii="Arial" w:hAnsi="Arial"/>
        </w:rPr>
        <w:t xml:space="preserve"> في 2017، حظيت عملية السلام بأولوية مجددًا.</w:t>
      </w:r>
      <w:r w:rsidR="00022F13">
        <w:rPr>
          <w:rFonts w:ascii="Arial" w:hAnsi="Arial"/>
        </w:rPr>
        <w:t xml:space="preserve"> </w:t>
      </w:r>
      <w:r>
        <w:rPr>
          <w:rFonts w:ascii="Arial" w:hAnsi="Arial"/>
        </w:rPr>
        <w:t xml:space="preserve">وحضر الممثل الخاص للولايات المتحدة للمفاوضات الدولية اجتماعات مايو/أيار وسبتمبر/أيلول 2017 للجنة الاتصال الخاصة ــ التي ضمت السلطة الفلسطينية وحكومة إسرائيل والأمم المتحدة وصندوق النقد الدولي والبنك الدولي </w:t>
      </w:r>
      <w:r w:rsidR="00964C1C">
        <w:rPr>
          <w:rFonts w:ascii="Arial" w:hAnsi="Arial" w:hint="cs"/>
        </w:rPr>
        <w:t>و</w:t>
      </w:r>
      <w:r>
        <w:rPr>
          <w:rFonts w:ascii="Arial" w:hAnsi="Arial"/>
        </w:rPr>
        <w:t xml:space="preserve">مانحين آخرين ــ في بروكسل ونيويورك على التوالي، وتم العمل على بناء قوة دفع من أجل جولة جديدة محتملة من مفاوضات الوضع النهائي. </w:t>
      </w:r>
    </w:p>
    <w:p w14:paraId="35FC7889" w14:textId="77777777" w:rsidR="00CB0417" w:rsidRPr="00CB0417" w:rsidRDefault="00CB0417" w:rsidP="00CB0417">
      <w:pPr>
        <w:pStyle w:val="ListParagraph"/>
        <w:spacing w:after="0" w:line="240" w:lineRule="auto"/>
        <w:ind w:left="0"/>
        <w:jc w:val="both"/>
        <w:rPr>
          <w:rFonts w:ascii="Times New Roman" w:eastAsia="Calibri" w:hAnsi="Times New Roman" w:cs="Times New Roman"/>
          <w:b/>
          <w:bCs/>
        </w:rPr>
      </w:pPr>
    </w:p>
    <w:p w14:paraId="31A8EF32" w14:textId="77777777" w:rsidR="0030738F" w:rsidRPr="00631890" w:rsidRDefault="4F88A954" w:rsidP="00964C1C">
      <w:pPr>
        <w:pStyle w:val="ListParagraph"/>
        <w:numPr>
          <w:ilvl w:val="0"/>
          <w:numId w:val="6"/>
        </w:numPr>
        <w:spacing w:after="0" w:line="240" w:lineRule="auto"/>
        <w:jc w:val="both"/>
        <w:rPr>
          <w:rFonts w:ascii="Arial" w:eastAsia="Arial" w:hAnsi="Arial" w:cs="Arial"/>
          <w:b/>
          <w:bCs/>
        </w:rPr>
      </w:pPr>
      <w:r>
        <w:rPr>
          <w:rFonts w:ascii="Arial" w:hAnsi="Arial"/>
          <w:b/>
          <w:bCs/>
        </w:rPr>
        <w:t>لا يزال نظام الحكم منقسمًا في فلسطين، لكن هناك جهود مصالحة تُبذل في الوقت الراهن.</w:t>
      </w:r>
      <w:r w:rsidR="00022F13">
        <w:rPr>
          <w:rFonts w:ascii="Arial" w:hAnsi="Arial"/>
          <w:b/>
          <w:bCs/>
        </w:rPr>
        <w:t xml:space="preserve"> </w:t>
      </w:r>
      <w:r>
        <w:t>وتمثل حركة فتح</w:t>
      </w:r>
      <w:r w:rsidR="00964C1C">
        <w:rPr>
          <w:rFonts w:hint="cs"/>
        </w:rPr>
        <w:t>،</w:t>
      </w:r>
      <w:r>
        <w:t xml:space="preserve"> وهي الفصيل السياسي الذي يترأسه الرئيس محمود عباس أبو مازن</w:t>
      </w:r>
      <w:r w:rsidR="00964C1C">
        <w:rPr>
          <w:rFonts w:hint="cs"/>
        </w:rPr>
        <w:t>،</w:t>
      </w:r>
      <w:r>
        <w:t xml:space="preserve"> السلطة الفلسطينية القائمة في رام الله، </w:t>
      </w:r>
      <w:r w:rsidR="00964C1C">
        <w:rPr>
          <w:rFonts w:hint="cs"/>
        </w:rPr>
        <w:t>في حين</w:t>
      </w:r>
      <w:r w:rsidR="00964C1C">
        <w:t xml:space="preserve"> </w:t>
      </w:r>
      <w:r>
        <w:t xml:space="preserve">تمثل حماس السلطة الفعلية في </w:t>
      </w:r>
      <w:r w:rsidR="00964C1C">
        <w:rPr>
          <w:rFonts w:hint="cs"/>
        </w:rPr>
        <w:t xml:space="preserve">قطاع </w:t>
      </w:r>
      <w:r>
        <w:t>غزة.</w:t>
      </w:r>
      <w:r w:rsidR="00022F13">
        <w:t xml:space="preserve"> </w:t>
      </w:r>
      <w:r>
        <w:rPr>
          <w:rFonts w:ascii="Arial" w:hAnsi="Arial"/>
        </w:rPr>
        <w:t xml:space="preserve">وقد منع الانقسام السياسي والصراع بين غزة والضفة الغربية منذ 2007 تنسيق السياسات ونجم عن ذلك </w:t>
      </w:r>
      <w:r w:rsidR="00964C1C">
        <w:rPr>
          <w:rFonts w:ascii="Arial" w:hAnsi="Arial"/>
        </w:rPr>
        <w:t>إطار</w:t>
      </w:r>
      <w:r w:rsidR="00964C1C">
        <w:rPr>
          <w:rFonts w:ascii="Arial" w:hAnsi="Arial" w:hint="cs"/>
        </w:rPr>
        <w:t>ا</w:t>
      </w:r>
      <w:r w:rsidR="00964C1C">
        <w:rPr>
          <w:rFonts w:ascii="Arial" w:hAnsi="Arial"/>
        </w:rPr>
        <w:t>ن تنظيمي</w:t>
      </w:r>
      <w:r w:rsidR="00964C1C">
        <w:rPr>
          <w:rFonts w:ascii="Arial" w:hAnsi="Arial" w:hint="cs"/>
        </w:rPr>
        <w:t>ا</w:t>
      </w:r>
      <w:r w:rsidR="00964C1C">
        <w:rPr>
          <w:rFonts w:ascii="Arial" w:hAnsi="Arial"/>
        </w:rPr>
        <w:t>ن متوازي</w:t>
      </w:r>
      <w:r w:rsidR="00964C1C">
        <w:rPr>
          <w:rFonts w:ascii="Arial" w:hAnsi="Arial" w:hint="cs"/>
        </w:rPr>
        <w:t>ا</w:t>
      </w:r>
      <w:r w:rsidR="00964C1C">
        <w:rPr>
          <w:rFonts w:ascii="Arial" w:hAnsi="Arial"/>
        </w:rPr>
        <w:t>ن</w:t>
      </w:r>
      <w:r>
        <w:rPr>
          <w:rFonts w:ascii="Arial" w:hAnsi="Arial"/>
        </w:rPr>
        <w:t xml:space="preserve">، </w:t>
      </w:r>
      <w:r>
        <w:rPr>
          <w:rFonts w:ascii="Arial" w:hAnsi="Arial"/>
        </w:rPr>
        <w:lastRenderedPageBreak/>
        <w:t>وأدى ذلك إلى تفتيت المجال الاقتصادي المحدود بالفعل.</w:t>
      </w:r>
      <w:r w:rsidR="00022F13">
        <w:rPr>
          <w:rFonts w:ascii="Arial" w:hAnsi="Arial"/>
        </w:rPr>
        <w:t xml:space="preserve"> </w:t>
      </w:r>
      <w:r>
        <w:rPr>
          <w:rFonts w:ascii="Arial" w:hAnsi="Arial"/>
        </w:rPr>
        <w:t>وتتسم عملية تقديم الخدمات في قطاع غزة</w:t>
      </w:r>
      <w:r w:rsidR="00022F13">
        <w:rPr>
          <w:rFonts w:ascii="Arial" w:hAnsi="Arial"/>
        </w:rPr>
        <w:t xml:space="preserve"> </w:t>
      </w:r>
      <w:r>
        <w:rPr>
          <w:rFonts w:ascii="Arial" w:hAnsi="Arial"/>
        </w:rPr>
        <w:t xml:space="preserve">بالتعقيد بسبب وجود جهتين مختلفتين لتقديم الخدمات ــ واحدة تدفع لها وتديرها السلطة الفلسطينية في رام الله، والأخرى تدفع لها وتديرها بحكم الواقع السلطة القائمة في غزة. </w:t>
      </w:r>
      <w:r>
        <w:rPr>
          <w:rFonts w:asciiTheme="majorBidi" w:hAnsiTheme="majorBidi" w:cstheme="majorBidi"/>
          <w:color w:val="000000" w:themeColor="text1"/>
        </w:rPr>
        <w:t>وتظهر السلطة الفلسطينية القائمة في رام الله بصورة مستمرة عدم رغبتها في مساندة السلطة الفعلية في غزة بصورة غير مباشرة.</w:t>
      </w:r>
      <w:r w:rsidR="00022F13">
        <w:rPr>
          <w:rFonts w:asciiTheme="majorBidi" w:hAnsiTheme="majorBidi" w:cstheme="majorBidi"/>
          <w:color w:val="000000" w:themeColor="text1"/>
        </w:rPr>
        <w:t xml:space="preserve"> </w:t>
      </w:r>
      <w:r>
        <w:t>وتوسطت الحكومة المصرية في جهود المصالحة التي جرت مؤخرًا بين الفصائل الفلسطينية.</w:t>
      </w:r>
      <w:r w:rsidR="00022F13">
        <w:t xml:space="preserve"> </w:t>
      </w:r>
      <w:r>
        <w:rPr>
          <w:rFonts w:ascii="Arial" w:hAnsi="Arial"/>
        </w:rPr>
        <w:t>وتشير التقارير الإعلامية إلى الجهود القوية لتحقيق المصالحة بين فتح وحماس على نطاق لم تشهده السنوات الأخيرة الماضية.</w:t>
      </w:r>
      <w:r w:rsidR="00022F13">
        <w:rPr>
          <w:rFonts w:ascii="Arial" w:hAnsi="Arial"/>
        </w:rPr>
        <w:t xml:space="preserve"> </w:t>
      </w:r>
      <w:r>
        <w:rPr>
          <w:rFonts w:ascii="Arial" w:hAnsi="Arial"/>
        </w:rPr>
        <w:t xml:space="preserve">وفي 1 نوفمبر/تشرين الثاني 2017، استأنفت السلطة الفلسطينية السيطرة، لأول مرة منذ 10 سنوات، على المعابر الحدودية بين </w:t>
      </w:r>
      <w:r w:rsidR="00964C1C">
        <w:rPr>
          <w:rFonts w:ascii="Arial" w:hAnsi="Arial" w:hint="cs"/>
        </w:rPr>
        <w:t xml:space="preserve">قطاع </w:t>
      </w:r>
      <w:r>
        <w:rPr>
          <w:rFonts w:ascii="Arial" w:hAnsi="Arial"/>
        </w:rPr>
        <w:t>غزة ومصر/إسرائيل.</w:t>
      </w:r>
      <w:r w:rsidR="00022F13">
        <w:rPr>
          <w:rFonts w:ascii="Arial" w:hAnsi="Arial"/>
        </w:rPr>
        <w:t xml:space="preserve"> </w:t>
      </w:r>
      <w:r>
        <w:rPr>
          <w:rFonts w:ascii="Arial" w:hAnsi="Arial"/>
        </w:rPr>
        <w:t xml:space="preserve">وتراقب مجموعة البنك الدولي والمجتمع الدولي الموقف عن كثب. </w:t>
      </w:r>
    </w:p>
    <w:p w14:paraId="38ED1952" w14:textId="77777777" w:rsidR="00631890" w:rsidRPr="00631890" w:rsidRDefault="00631890" w:rsidP="00631890">
      <w:pPr>
        <w:pStyle w:val="ListParagraph"/>
        <w:spacing w:after="0" w:line="240" w:lineRule="auto"/>
        <w:ind w:left="0"/>
        <w:jc w:val="both"/>
        <w:rPr>
          <w:rFonts w:ascii="Times New Roman" w:eastAsia="Calibri" w:hAnsi="Times New Roman" w:cs="Times New Roman"/>
          <w:b/>
        </w:rPr>
      </w:pPr>
    </w:p>
    <w:p w14:paraId="7AF1358E" w14:textId="77777777" w:rsidR="00886B67" w:rsidRDefault="4F88A954" w:rsidP="00964C1C">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b/>
          <w:bCs/>
        </w:rPr>
        <w:t>اتسمت التكاليف البشرية للعزلة السياسية لغزة بأنها باهظة.</w:t>
      </w:r>
      <w:r w:rsidR="00022F13">
        <w:rPr>
          <w:rFonts w:ascii="Arial" w:hAnsi="Arial"/>
          <w:b/>
          <w:bCs/>
        </w:rPr>
        <w:t xml:space="preserve"> </w:t>
      </w:r>
      <w:r>
        <w:rPr>
          <w:rFonts w:ascii="Arial" w:hAnsi="Arial"/>
        </w:rPr>
        <w:t>وأدى العديد من الصراعات والحصار على غزة إلى خلق أزمات إنسانية وتفاقم التحديات الإنمائية.</w:t>
      </w:r>
      <w:r w:rsidR="00022F13">
        <w:rPr>
          <w:rFonts w:ascii="Arial" w:hAnsi="Arial"/>
        </w:rPr>
        <w:t xml:space="preserve"> </w:t>
      </w:r>
      <w:r>
        <w:rPr>
          <w:rFonts w:ascii="Arial" w:hAnsi="Arial"/>
        </w:rPr>
        <w:t>وينحصر سكان غزة البالغ عددهم مليوني نسمة في مساحة تبلغ 160 كم مربع</w:t>
      </w:r>
      <w:r w:rsidR="00964C1C">
        <w:rPr>
          <w:rFonts w:ascii="Arial" w:hAnsi="Arial" w:hint="cs"/>
        </w:rPr>
        <w:t>ًا</w:t>
      </w:r>
      <w:r>
        <w:rPr>
          <w:rFonts w:ascii="Arial" w:hAnsi="Arial"/>
        </w:rPr>
        <w:t>، وليس لديهم القدرة على السفر خارج هذه المساحة من دون تصريح من حكومة إسرائيل أو مصر.</w:t>
      </w:r>
      <w:r w:rsidR="00022F13">
        <w:rPr>
          <w:rFonts w:ascii="Arial" w:hAnsi="Arial"/>
        </w:rPr>
        <w:t xml:space="preserve"> </w:t>
      </w:r>
      <w:r>
        <w:rPr>
          <w:rFonts w:ascii="Arial" w:hAnsi="Arial"/>
        </w:rPr>
        <w:t>وتعتبر معدلات البطالة في غزة من أعلى المعدلات في العالم. وترتفع معدلات الفقر في غزة أيضًا حتى على الرغم من حصول 80% من سكان</w:t>
      </w:r>
      <w:r w:rsidR="00964C1C">
        <w:rPr>
          <w:rFonts w:ascii="Arial" w:hAnsi="Arial" w:hint="cs"/>
        </w:rPr>
        <w:t>ها</w:t>
      </w:r>
      <w:r>
        <w:rPr>
          <w:rFonts w:ascii="Arial" w:hAnsi="Arial"/>
        </w:rPr>
        <w:t xml:space="preserve"> على بعض المعونات.</w:t>
      </w:r>
      <w:r w:rsidR="00022F13">
        <w:rPr>
          <w:rFonts w:ascii="Arial" w:hAnsi="Arial"/>
        </w:rPr>
        <w:t xml:space="preserve"> </w:t>
      </w:r>
      <w:r>
        <w:rPr>
          <w:rFonts w:ascii="Arial" w:hAnsi="Arial"/>
        </w:rPr>
        <w:t>وزاد عدم كفاية إمدادات الكهرباء (أقل من نصف احتياجات غزة) بسبب نقص المحروقات البديلة نتيجة للحصار؛ إضافة إلى ندرة الحطب والغاز، وارتفاع تكاليف الوقود/المحروقات السائلة وعدم توفرها بسهولة لسكان غزة.</w:t>
      </w:r>
      <w:r w:rsidR="00022F13">
        <w:rPr>
          <w:rFonts w:ascii="Arial" w:hAnsi="Arial"/>
        </w:rPr>
        <w:t xml:space="preserve"> </w:t>
      </w:r>
      <w:r>
        <w:rPr>
          <w:rFonts w:ascii="Arial" w:hAnsi="Arial"/>
        </w:rPr>
        <w:t>ويؤدي نقص إمدادات الكهرباء في غزة إلى تقييد شديد لسبل وصول مليوني نسمة إلى الخدمات الطبية الحساسة نظرًا لأن المستشفيات تواجه انقطاع التيار الكهربائي؛ وهذا النقص في إمدادات الكهرباء يؤثر على ضخ وتوزيع مياه الشرب.</w:t>
      </w:r>
      <w:r w:rsidR="00022F13">
        <w:rPr>
          <w:rFonts w:ascii="Arial" w:hAnsi="Arial"/>
        </w:rPr>
        <w:t xml:space="preserve"> </w:t>
      </w:r>
      <w:r>
        <w:rPr>
          <w:rFonts w:ascii="Arial" w:hAnsi="Arial"/>
        </w:rPr>
        <w:t>وهناك سحب مفرط من مستجمعات المياه الجوفية في غزة، وهي المصدر الوحيد للمياه العذبة، بنسبة 200%، وتعاني هذه المستجمعات من تسرب مياه البحر إليها.</w:t>
      </w:r>
      <w:r w:rsidR="00022F13">
        <w:rPr>
          <w:rFonts w:ascii="Arial" w:hAnsi="Arial"/>
        </w:rPr>
        <w:t xml:space="preserve"> </w:t>
      </w:r>
      <w:r>
        <w:rPr>
          <w:rFonts w:ascii="Arial" w:hAnsi="Arial"/>
        </w:rPr>
        <w:t>ونتيجة لذلك، لا تتجاوز نسبة المياه الصالحة للشرب من هذه المستجمعات 5 - 10%.</w:t>
      </w:r>
      <w:r w:rsidR="00022F13">
        <w:rPr>
          <w:rFonts w:ascii="Arial" w:hAnsi="Arial"/>
        </w:rPr>
        <w:t xml:space="preserve"> </w:t>
      </w:r>
      <w:r>
        <w:rPr>
          <w:rFonts w:ascii="Arial" w:hAnsi="Arial"/>
        </w:rPr>
        <w:t>ولا تتم معالجة سوى نسبة ضئيلة من مياه الصرف، ويتم تصريف مياه الصرف غير المعالجة في نهاية المطاف (حوالي 100 مليون لتر يوميًا) في البحر المتوسط وينجم عن ذلك تفشي الأمراض المرتبطة بالمياه.</w:t>
      </w:r>
      <w:r w:rsidR="00022F13">
        <w:rPr>
          <w:rFonts w:ascii="Arial" w:hAnsi="Arial"/>
        </w:rPr>
        <w:t xml:space="preserve"> </w:t>
      </w:r>
      <w:r>
        <w:rPr>
          <w:rFonts w:ascii="Arial" w:hAnsi="Arial"/>
        </w:rPr>
        <w:t xml:space="preserve">ويجبر هذا الوضع سكان غزة على الاعتماد على مولدات الديزل البديلة، ومياه الشرب من شاحنات الصهاريج الخاصة. </w:t>
      </w:r>
    </w:p>
    <w:p w14:paraId="12A06F77" w14:textId="77777777" w:rsidR="00F90372" w:rsidRDefault="00F90372" w:rsidP="00463834">
      <w:pPr>
        <w:pStyle w:val="ListParagraph"/>
        <w:autoSpaceDE w:val="0"/>
        <w:autoSpaceDN w:val="0"/>
        <w:adjustRightInd w:val="0"/>
        <w:spacing w:after="0" w:line="240" w:lineRule="auto"/>
        <w:ind w:left="0"/>
        <w:jc w:val="both"/>
        <w:rPr>
          <w:rFonts w:ascii="Times New Roman" w:hAnsi="Times New Roman" w:cs="Times New Roman"/>
        </w:rPr>
      </w:pPr>
    </w:p>
    <w:p w14:paraId="2FE0EAD8" w14:textId="77777777" w:rsidR="00C873A4" w:rsidRPr="00022F13" w:rsidRDefault="00022F13" w:rsidP="00022F13">
      <w:pPr>
        <w:pStyle w:val="Heading2"/>
        <w:spacing w:before="0"/>
        <w:ind w:left="360"/>
        <w:rPr>
          <w:rFonts w:cs="Arial"/>
          <w:b w:val="0"/>
          <w:bCs/>
        </w:rPr>
      </w:pPr>
      <w:bookmarkStart w:id="5" w:name="_Toc498096410"/>
      <w:bookmarkStart w:id="6" w:name="_Toc500240969"/>
      <w:r w:rsidRPr="00022F13">
        <w:rPr>
          <w:rFonts w:hint="cs"/>
          <w:b w:val="0"/>
          <w:bCs/>
        </w:rPr>
        <w:t xml:space="preserve">جيم. </w:t>
      </w:r>
      <w:r w:rsidR="4F88A954" w:rsidRPr="00022F13">
        <w:rPr>
          <w:b w:val="0"/>
          <w:bCs/>
        </w:rPr>
        <w:t>السياق الاقتصادي</w:t>
      </w:r>
      <w:bookmarkEnd w:id="5"/>
      <w:bookmarkEnd w:id="6"/>
    </w:p>
    <w:p w14:paraId="629E264D" w14:textId="77777777" w:rsidR="00C873A4" w:rsidRPr="003B4D10" w:rsidRDefault="00C873A4" w:rsidP="00463834">
      <w:pPr>
        <w:autoSpaceDE w:val="0"/>
        <w:autoSpaceDN w:val="0"/>
        <w:adjustRightInd w:val="0"/>
        <w:spacing w:after="0" w:line="240" w:lineRule="auto"/>
        <w:jc w:val="both"/>
        <w:rPr>
          <w:rFonts w:ascii="Times New Roman" w:hAnsi="Times New Roman" w:cs="Times New Roman"/>
        </w:rPr>
      </w:pPr>
    </w:p>
    <w:p w14:paraId="68303CE6" w14:textId="77777777" w:rsidR="00E97B3F" w:rsidRPr="00416E14" w:rsidRDefault="4F88A954" w:rsidP="00463834">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b/>
          <w:bCs/>
        </w:rPr>
        <w:t>يعاني الاقتصاد الفلسطيني من تذبذب وعدم استدامة معدلات النمو.</w:t>
      </w:r>
      <w:r w:rsidR="00022F13">
        <w:rPr>
          <w:rFonts w:ascii="Arial" w:hAnsi="Arial"/>
          <w:b/>
          <w:bCs/>
        </w:rPr>
        <w:t xml:space="preserve"> </w:t>
      </w:r>
      <w:r>
        <w:rPr>
          <w:rFonts w:ascii="Arial" w:hAnsi="Arial"/>
        </w:rPr>
        <w:t>و</w:t>
      </w:r>
      <w:r w:rsidR="00A36B0C">
        <w:rPr>
          <w:rFonts w:ascii="Arial" w:hAnsi="Arial" w:hint="cs"/>
        </w:rPr>
        <w:t xml:space="preserve">قد </w:t>
      </w:r>
      <w:r>
        <w:rPr>
          <w:rFonts w:ascii="Arial" w:hAnsi="Arial"/>
        </w:rPr>
        <w:t>تدهور هيكل النشاط الاقتصادي بشدة منذ التسعينيات.</w:t>
      </w:r>
      <w:r w:rsidR="00022F13">
        <w:rPr>
          <w:rFonts w:ascii="Arial" w:hAnsi="Arial"/>
        </w:rPr>
        <w:t xml:space="preserve"> </w:t>
      </w:r>
      <w:r>
        <w:rPr>
          <w:rFonts w:ascii="Arial" w:hAnsi="Arial"/>
        </w:rPr>
        <w:t>على سبيل المثال، شهد قطاع الصناعات التحويلية، وهو بحكم العادة أحد المحركات الرئي</w:t>
      </w:r>
      <w:r w:rsidR="00A36B0C">
        <w:rPr>
          <w:rFonts w:ascii="Arial" w:hAnsi="Arial"/>
        </w:rPr>
        <w:t xml:space="preserve">سية للنمو الذي تقوده الصادرات، </w:t>
      </w:r>
      <w:r w:rsidR="00A36B0C">
        <w:rPr>
          <w:rFonts w:ascii="Arial" w:hAnsi="Arial" w:hint="cs"/>
        </w:rPr>
        <w:t>ر</w:t>
      </w:r>
      <w:r>
        <w:rPr>
          <w:rFonts w:ascii="Arial" w:hAnsi="Arial"/>
        </w:rPr>
        <w:t>كودًا كبيرًا، وتراجع نصيبه في إجمالي الناتج المحلي من 19% في 1994 إلى 11% في 2015.</w:t>
      </w:r>
      <w:r w:rsidR="00022F13">
        <w:rPr>
          <w:rFonts w:ascii="Arial" w:hAnsi="Arial"/>
        </w:rPr>
        <w:t xml:space="preserve"> </w:t>
      </w:r>
      <w:r>
        <w:rPr>
          <w:rFonts w:ascii="Arial" w:hAnsi="Arial"/>
        </w:rPr>
        <w:t>وتراجع نصيب قطاع الزراعة أيضًا من 12% إلى 4% في الفترة نفسها.</w:t>
      </w:r>
      <w:r w:rsidR="00022F13">
        <w:rPr>
          <w:rFonts w:ascii="Arial" w:hAnsi="Arial"/>
        </w:rPr>
        <w:t xml:space="preserve"> </w:t>
      </w:r>
      <w:r>
        <w:rPr>
          <w:rFonts w:ascii="Arial" w:hAnsi="Arial"/>
        </w:rPr>
        <w:t xml:space="preserve">وحدثت معظم معدلات النمو نسبيًا في </w:t>
      </w:r>
      <w:r w:rsidR="00A36B0C" w:rsidRPr="00A36B0C">
        <w:rPr>
          <w:rFonts w:ascii="Arial" w:hAnsi="Arial"/>
        </w:rPr>
        <w:t>خدمات القطاع العام</w:t>
      </w:r>
      <w:r w:rsidRPr="00A36B0C">
        <w:rPr>
          <w:rFonts w:ascii="Arial" w:hAnsi="Arial"/>
        </w:rPr>
        <w:t xml:space="preserve"> على مدى العقدين الماضيين.</w:t>
      </w:r>
      <w:r w:rsidR="00022F13">
        <w:rPr>
          <w:rFonts w:ascii="Arial" w:hAnsi="Arial"/>
        </w:rPr>
        <w:t xml:space="preserve"> </w:t>
      </w:r>
      <w:r>
        <w:rPr>
          <w:rFonts w:ascii="Arial" w:hAnsi="Arial"/>
        </w:rPr>
        <w:t>وتراجعت مستويات الاستثمارات الخاصة التي بلغ متوسطها 15% من إجمالي الناتج المحلي في السنوات الأخيرة الماضية، وتركزت في أنشطة متدنية الإنتاجية أقل تأثرًا بالمخاطر السياسية.</w:t>
      </w:r>
      <w:r w:rsidR="00022F13">
        <w:rPr>
          <w:rFonts w:ascii="Arial" w:hAnsi="Arial"/>
        </w:rPr>
        <w:t xml:space="preserve"> </w:t>
      </w:r>
      <w:r>
        <w:rPr>
          <w:rFonts w:ascii="Arial" w:hAnsi="Arial"/>
        </w:rPr>
        <w:t>وتتركز الصادرات الفلسطينية بصور كبيرة في خدمات ومنتجات متدنية القيمة المضافة، ونصيبها في النشاط الاقتصادي متدن ويقف عند 17 - 18%.</w:t>
      </w:r>
      <w:r w:rsidR="00022F13">
        <w:rPr>
          <w:rFonts w:ascii="Arial" w:hAnsi="Arial"/>
        </w:rPr>
        <w:t xml:space="preserve"> </w:t>
      </w:r>
      <w:r>
        <w:rPr>
          <w:rFonts w:ascii="Arial" w:hAnsi="Arial"/>
        </w:rPr>
        <w:t>وساعدت المبالغ الكبيرة من المساعدات المالية التي قدمها المجتمع الدولي على مدى العقدين الماضيين في التخفيف من أثر هذه القيود على عجلة النمو، لكن المعونات تراجعت بصورة كبيرة في السنوات الأخيرة الماضية (من 32% من إجمالي الناتج المحلي في 2008 إلى حوالي 6% من إجمالي الناتج المحلي في 2016)، ومن غير الممكن أن تستمر بديلًا لنقص التقدم المحرز على صعيد المساهمة من القطاع الخاص لتحقيق النمو، وإيرادات المالية العامة، وإيجاد فرص العمل.</w:t>
      </w:r>
      <w:r w:rsidR="00022F13">
        <w:rPr>
          <w:rFonts w:ascii="Arial" w:hAnsi="Arial"/>
        </w:rPr>
        <w:t xml:space="preserve"> </w:t>
      </w:r>
    </w:p>
    <w:p w14:paraId="1D9D3719" w14:textId="77777777" w:rsidR="00E97B3F" w:rsidRPr="00282972" w:rsidRDefault="00E97B3F" w:rsidP="007B17BF">
      <w:pPr>
        <w:spacing w:after="0" w:line="240" w:lineRule="auto"/>
        <w:ind w:left="360"/>
        <w:contextualSpacing/>
        <w:jc w:val="both"/>
        <w:rPr>
          <w:rFonts w:ascii="Times New Roman" w:hAnsi="Times New Roman" w:cs="Times New Roman"/>
          <w:bCs/>
        </w:rPr>
      </w:pPr>
    </w:p>
    <w:p w14:paraId="33577101" w14:textId="77777777" w:rsidR="00E97B3F" w:rsidRDefault="4F88A954" w:rsidP="4F88A954">
      <w:pPr>
        <w:pStyle w:val="ListParagraph"/>
        <w:numPr>
          <w:ilvl w:val="0"/>
          <w:numId w:val="6"/>
        </w:numPr>
        <w:spacing w:after="240" w:line="240" w:lineRule="auto"/>
        <w:jc w:val="both"/>
        <w:rPr>
          <w:rFonts w:ascii="Arial" w:hAnsi="Arial" w:cs="Arial"/>
        </w:rPr>
      </w:pPr>
      <w:r>
        <w:rPr>
          <w:rFonts w:ascii="Arial" w:hAnsi="Arial"/>
          <w:b/>
          <w:bCs/>
        </w:rPr>
        <w:t>منذ حرب 2014 في غزة، شهدت معدلات النمو الاقتصادي تباطؤً</w:t>
      </w:r>
      <w:r w:rsidR="00467A9C">
        <w:rPr>
          <w:rFonts w:ascii="Arial" w:hAnsi="Arial" w:hint="cs"/>
          <w:b/>
          <w:bCs/>
        </w:rPr>
        <w:t>ا</w:t>
      </w:r>
      <w:r>
        <w:rPr>
          <w:rFonts w:ascii="Arial" w:hAnsi="Arial"/>
          <w:b/>
          <w:bCs/>
        </w:rPr>
        <w:t xml:space="preserve"> بسبب عوامل غير مستدامة.</w:t>
      </w:r>
      <w:r w:rsidR="00022F13">
        <w:rPr>
          <w:rFonts w:ascii="Arial" w:hAnsi="Arial"/>
          <w:b/>
          <w:bCs/>
        </w:rPr>
        <w:t xml:space="preserve"> </w:t>
      </w:r>
      <w:r>
        <w:rPr>
          <w:rFonts w:ascii="Arial" w:hAnsi="Arial"/>
        </w:rPr>
        <w:t>ودفع الأثر الاقتصادي الحاد لهذه الحرب الاقتصاد الفلسطيني إلى هوية الركود في 2014.</w:t>
      </w:r>
      <w:r w:rsidR="00022F13">
        <w:rPr>
          <w:rFonts w:ascii="Arial" w:hAnsi="Arial"/>
        </w:rPr>
        <w:t xml:space="preserve"> </w:t>
      </w:r>
      <w:r>
        <w:rPr>
          <w:rFonts w:ascii="Arial" w:hAnsi="Arial"/>
        </w:rPr>
        <w:t>ومنذ ذلك الحين، شهد النشاط الاقتصادي طفرة إذ بلغ معدل نمو إجمالي الناتج المحلي الحقيقي 3.5% في 2015، وتشير التقديرات إلى بلوغه 4.1% في 2016. لكن أيًا ما كان الأمر، فإن محركات عجلة النمو في الآونة الأخيرة تتسم بعدم الاستدامة.</w:t>
      </w:r>
      <w:r w:rsidR="00022F13">
        <w:rPr>
          <w:rFonts w:ascii="Arial" w:hAnsi="Arial"/>
        </w:rPr>
        <w:t xml:space="preserve"> </w:t>
      </w:r>
      <w:r>
        <w:rPr>
          <w:rFonts w:ascii="Arial" w:hAnsi="Arial"/>
        </w:rPr>
        <w:t>وتبين أحدث أرقام دائرة الإحصاء المركزية الفلسطينية أن معدلات النمو في قطاع غزة بلغت 7.7% في 2016 بسبب طفرة في نشاط الإنشاءات بعد زيادة حجم مواد البناء الداخلة إلى القطاع.</w:t>
      </w:r>
      <w:r w:rsidR="00022F13">
        <w:rPr>
          <w:rFonts w:ascii="Arial" w:hAnsi="Arial"/>
        </w:rPr>
        <w:t xml:space="preserve"> </w:t>
      </w:r>
      <w:r>
        <w:rPr>
          <w:rFonts w:ascii="Arial" w:hAnsi="Arial"/>
        </w:rPr>
        <w:t xml:space="preserve">وفي الضفة الغربية، تشير التقديرات إلى زيادة النشاط الاقتصادي بنسبة 3% ويرجع السبب الرئيسي في ذلك إلى زيادة استهلاك الأسر المعيشية نتيجة القروض المقدمة من البنوك. </w:t>
      </w:r>
    </w:p>
    <w:p w14:paraId="3C9712AC" w14:textId="77777777" w:rsidR="00416E14" w:rsidRPr="00416E14" w:rsidRDefault="00416E14" w:rsidP="00416E14">
      <w:pPr>
        <w:pStyle w:val="ListParagraph"/>
        <w:rPr>
          <w:rFonts w:ascii="Times New Roman" w:hAnsi="Times New Roman" w:cs="Times New Roman"/>
          <w:bCs/>
        </w:rPr>
      </w:pPr>
    </w:p>
    <w:p w14:paraId="0AB42C20" w14:textId="77777777" w:rsidR="00E97B3F" w:rsidRPr="00416E14" w:rsidRDefault="4F88A954" w:rsidP="00467A9C">
      <w:pPr>
        <w:pStyle w:val="ListParagraph"/>
        <w:numPr>
          <w:ilvl w:val="0"/>
          <w:numId w:val="6"/>
        </w:numPr>
        <w:spacing w:after="0" w:line="240" w:lineRule="auto"/>
        <w:jc w:val="both"/>
        <w:rPr>
          <w:rFonts w:ascii="Arial" w:hAnsi="Arial" w:cs="Arial"/>
        </w:rPr>
      </w:pPr>
      <w:r>
        <w:rPr>
          <w:rFonts w:ascii="Arial" w:hAnsi="Arial"/>
          <w:b/>
          <w:bCs/>
        </w:rPr>
        <w:t>زاد عدد العاطلين عن العمل.</w:t>
      </w:r>
      <w:r w:rsidR="00022F13">
        <w:rPr>
          <w:rFonts w:ascii="Arial" w:hAnsi="Arial"/>
          <w:b/>
          <w:bCs/>
        </w:rPr>
        <w:t xml:space="preserve"> </w:t>
      </w:r>
      <w:r>
        <w:rPr>
          <w:rFonts w:ascii="Arial" w:hAnsi="Arial"/>
        </w:rPr>
        <w:t xml:space="preserve">وعلى مدى العقدين الماضيين، زاد عدد الفلسطينيين في قوة العمل بواقع 800 ألف، </w:t>
      </w:r>
      <w:r w:rsidR="00467A9C">
        <w:rPr>
          <w:rFonts w:ascii="Arial" w:hAnsi="Arial" w:hint="cs"/>
        </w:rPr>
        <w:t>في حين</w:t>
      </w:r>
      <w:r w:rsidR="00467A9C">
        <w:rPr>
          <w:rFonts w:ascii="Arial" w:hAnsi="Arial"/>
        </w:rPr>
        <w:t xml:space="preserve"> </w:t>
      </w:r>
      <w:r>
        <w:rPr>
          <w:rFonts w:ascii="Arial" w:hAnsi="Arial"/>
        </w:rPr>
        <w:t>تم إيجاد 500 ألف فرصة عمل إضافية من جانب القطاع الخاص والقطاع العام.</w:t>
      </w:r>
      <w:r w:rsidR="00022F13">
        <w:rPr>
          <w:rFonts w:ascii="Arial" w:hAnsi="Arial"/>
        </w:rPr>
        <w:t xml:space="preserve"> </w:t>
      </w:r>
      <w:r>
        <w:rPr>
          <w:rFonts w:ascii="Arial" w:hAnsi="Arial"/>
        </w:rPr>
        <w:t>ونتيجة لذلك، زاد عدد العاطلين عن العمل، ونجم عن ذلك زيادة هائلة في معدلات البطالة تراوحت ما بين 20 - 31% بعد فترة اتفاقات أوسلو.</w:t>
      </w:r>
      <w:r w:rsidR="00022F13">
        <w:rPr>
          <w:rFonts w:ascii="Arial" w:hAnsi="Arial"/>
        </w:rPr>
        <w:t xml:space="preserve"> </w:t>
      </w:r>
      <w:r>
        <w:rPr>
          <w:rFonts w:ascii="Arial" w:hAnsi="Arial"/>
        </w:rPr>
        <w:t>ويفرض هذا الوضع مخاطر على السلام والاستقرار على المستوى شبه الإقليمي.</w:t>
      </w:r>
      <w:r w:rsidR="00022F13">
        <w:rPr>
          <w:rFonts w:ascii="Arial" w:hAnsi="Arial"/>
        </w:rPr>
        <w:t xml:space="preserve"> </w:t>
      </w:r>
      <w:r>
        <w:rPr>
          <w:rFonts w:ascii="Arial" w:hAnsi="Arial"/>
        </w:rPr>
        <w:t xml:space="preserve">وتبين أحدث البيانات عن الربع الثاني من 2017 أن معدلات البطالة في زيادة في الآونة الأخيرة في كل من </w:t>
      </w:r>
      <w:r w:rsidR="00467A9C">
        <w:rPr>
          <w:rFonts w:ascii="Arial" w:hAnsi="Arial" w:hint="cs"/>
        </w:rPr>
        <w:t xml:space="preserve">قطاع </w:t>
      </w:r>
      <w:r>
        <w:rPr>
          <w:rFonts w:ascii="Arial" w:hAnsi="Arial"/>
        </w:rPr>
        <w:t>غزة والضفة الغربية إذ بلغ متوسطها 29%.</w:t>
      </w:r>
      <w:r w:rsidR="00022F13">
        <w:rPr>
          <w:rFonts w:ascii="Arial" w:hAnsi="Arial"/>
        </w:rPr>
        <w:t xml:space="preserve"> </w:t>
      </w:r>
      <w:r>
        <w:rPr>
          <w:rFonts w:ascii="Arial" w:hAnsi="Arial"/>
        </w:rPr>
        <w:t>وبلغت معدلات البطالة في الضفة الغربية 21% في منتصف يونيو/حزيران 2017 على الرغم من الزيادة في عدد السكان الفلسطينيين العاملين في إسرائيل والمستوطنات.</w:t>
      </w:r>
      <w:r w:rsidR="00022F13">
        <w:rPr>
          <w:rFonts w:ascii="Arial" w:hAnsi="Arial"/>
        </w:rPr>
        <w:t xml:space="preserve"> </w:t>
      </w:r>
      <w:r>
        <w:rPr>
          <w:rFonts w:ascii="Arial" w:hAnsi="Arial"/>
        </w:rPr>
        <w:t xml:space="preserve">وبلغت معدلات البطالة في غزة 44% ويرجع السبب الرئيسي في ذلك إلى تباطؤ وتيرة أنشطة إعادة الإعمار. </w:t>
      </w:r>
    </w:p>
    <w:p w14:paraId="3D0D80B9" w14:textId="77777777" w:rsidR="00E97B3F" w:rsidRPr="00282972" w:rsidRDefault="00E97B3F" w:rsidP="007B17BF">
      <w:pPr>
        <w:spacing w:after="0" w:line="240" w:lineRule="auto"/>
        <w:ind w:left="360"/>
        <w:contextualSpacing/>
        <w:jc w:val="both"/>
        <w:rPr>
          <w:rFonts w:ascii="Times New Roman" w:hAnsi="Times New Roman" w:cs="Times New Roman"/>
          <w:bCs/>
        </w:rPr>
      </w:pPr>
    </w:p>
    <w:p w14:paraId="4A0FFC6B" w14:textId="77777777" w:rsidR="00416E14" w:rsidRPr="00533926" w:rsidRDefault="4F88A954" w:rsidP="006F10E5">
      <w:pPr>
        <w:pStyle w:val="ListParagraph"/>
        <w:numPr>
          <w:ilvl w:val="0"/>
          <w:numId w:val="6"/>
        </w:numPr>
        <w:spacing w:after="240" w:line="240" w:lineRule="auto"/>
        <w:jc w:val="both"/>
        <w:rPr>
          <w:rFonts w:ascii="Arial" w:hAnsi="Arial" w:cs="Arial"/>
          <w:b/>
          <w:bCs/>
        </w:rPr>
      </w:pPr>
      <w:r>
        <w:rPr>
          <w:rFonts w:ascii="Arial" w:hAnsi="Arial"/>
          <w:b/>
          <w:bCs/>
        </w:rPr>
        <w:lastRenderedPageBreak/>
        <w:t>يعاني سوق العمل الفلسطيني من مشكلات هيكلية تتمثل في الاشتمال لا سيما بالنسبة للشباب والنساء.</w:t>
      </w:r>
      <w:r w:rsidR="00022F13">
        <w:rPr>
          <w:rFonts w:ascii="Arial" w:hAnsi="Arial"/>
          <w:b/>
          <w:bCs/>
        </w:rPr>
        <w:t xml:space="preserve"> </w:t>
      </w:r>
      <w:r>
        <w:rPr>
          <w:rFonts w:ascii="Arial" w:hAnsi="Arial"/>
        </w:rPr>
        <w:t xml:space="preserve">ولا يعمل في الوقت الحالي سوى 41% من الشريحة العمرية في سن 15 - 29 سنة في سوق العمل، ما يعكس صورة تشاؤمية لآفاق التوظيف. وعلى الرغم من تدني نسبة المشاركة، فإن معدلات البطالة بين هذه الفئة بلغت 30% في النصف الثاني من 2017 في الضفة الغربية، وتراوحت 62% في </w:t>
      </w:r>
      <w:r w:rsidR="00467A9C">
        <w:rPr>
          <w:rFonts w:ascii="Arial" w:hAnsi="Arial" w:hint="cs"/>
        </w:rPr>
        <w:t xml:space="preserve">قطاع </w:t>
      </w:r>
      <w:r>
        <w:rPr>
          <w:rFonts w:ascii="Arial" w:hAnsi="Arial"/>
        </w:rPr>
        <w:t>غزة.</w:t>
      </w:r>
      <w:r w:rsidR="00022F13">
        <w:rPr>
          <w:rFonts w:ascii="Arial" w:hAnsi="Arial"/>
        </w:rPr>
        <w:t xml:space="preserve"> </w:t>
      </w:r>
      <w:r>
        <w:rPr>
          <w:rFonts w:ascii="Arial" w:hAnsi="Arial"/>
        </w:rPr>
        <w:t>ويرتبط أحد الشواغل في سوق العمل الفلسطيني بالفروق الهائلة في المشاركة في سوق العمل حسب نوع الجنس.</w:t>
      </w:r>
      <w:r w:rsidR="00022F13">
        <w:rPr>
          <w:rFonts w:ascii="Arial" w:hAnsi="Arial"/>
        </w:rPr>
        <w:t xml:space="preserve"> </w:t>
      </w:r>
      <w:r>
        <w:rPr>
          <w:rFonts w:ascii="Arial" w:hAnsi="Arial"/>
        </w:rPr>
        <w:t xml:space="preserve">فقد بلغت مشاركة الذكور 72% في 2017 (نسبة غير بعيدة عن المتوسط في الشريحة الأدنى من بلدان أخرى متوسطة الدخل)، </w:t>
      </w:r>
      <w:r w:rsidR="00467A9C">
        <w:rPr>
          <w:rFonts w:ascii="Arial" w:hAnsi="Arial" w:hint="cs"/>
        </w:rPr>
        <w:t>في حين</w:t>
      </w:r>
      <w:r w:rsidR="00467A9C">
        <w:rPr>
          <w:rFonts w:ascii="Arial" w:hAnsi="Arial"/>
        </w:rPr>
        <w:t xml:space="preserve"> </w:t>
      </w:r>
      <w:r>
        <w:rPr>
          <w:rFonts w:ascii="Arial" w:hAnsi="Arial"/>
        </w:rPr>
        <w:t xml:space="preserve">اتسم تمثيل المرأة بالتدني في سوق العمل الفلسطيني بنسبة مشاركة </w:t>
      </w:r>
      <w:r w:rsidR="00932D71">
        <w:rPr>
          <w:rFonts w:ascii="Arial" w:hAnsi="Arial" w:hint="cs"/>
        </w:rPr>
        <w:t>بلغت</w:t>
      </w:r>
      <w:r>
        <w:rPr>
          <w:rFonts w:ascii="Arial" w:hAnsi="Arial"/>
        </w:rPr>
        <w:t xml:space="preserve"> 19% فقط في الآونة الأخيرة ــ مقارنة بمتوسط يبلغ 39% في البلدان المقارنة.</w:t>
      </w:r>
      <w:r w:rsidR="00022F13">
        <w:rPr>
          <w:rFonts w:ascii="Arial" w:hAnsi="Arial"/>
        </w:rPr>
        <w:t xml:space="preserve"> </w:t>
      </w:r>
      <w:r>
        <w:rPr>
          <w:rFonts w:ascii="Arial" w:hAnsi="Arial"/>
        </w:rPr>
        <w:t>وتشير الأدلة والشواهد المتواترة إلى أن القيود على الحركة والتقاليد الثقافية تقوم بدور أساسي في إبعاد المرأة عن سوق العمل.</w:t>
      </w:r>
      <w:r w:rsidR="00022F13">
        <w:rPr>
          <w:rFonts w:ascii="Arial" w:hAnsi="Arial"/>
        </w:rPr>
        <w:t xml:space="preserve"> </w:t>
      </w:r>
      <w:r>
        <w:rPr>
          <w:rFonts w:ascii="Arial" w:hAnsi="Arial"/>
        </w:rPr>
        <w:t xml:space="preserve">ومن ثم، لا يتاح للمرأة سوى النزر اليسير من الفرص في أماكنهن، </w:t>
      </w:r>
      <w:r w:rsidR="006F10E5">
        <w:rPr>
          <w:rFonts w:ascii="Arial" w:hAnsi="Arial" w:hint="cs"/>
        </w:rPr>
        <w:t>م</w:t>
      </w:r>
      <w:r>
        <w:rPr>
          <w:rFonts w:ascii="Arial" w:hAnsi="Arial"/>
        </w:rPr>
        <w:t xml:space="preserve">ما </w:t>
      </w:r>
      <w:r w:rsidR="006F10E5">
        <w:rPr>
          <w:rFonts w:ascii="Arial" w:hAnsi="Arial"/>
        </w:rPr>
        <w:t>يثنيه</w:t>
      </w:r>
      <w:r w:rsidR="006F10E5">
        <w:rPr>
          <w:rFonts w:ascii="Arial" w:hAnsi="Arial" w:hint="cs"/>
        </w:rPr>
        <w:t>ن</w:t>
      </w:r>
      <w:r w:rsidR="006F10E5">
        <w:rPr>
          <w:rFonts w:ascii="Arial" w:hAnsi="Arial"/>
        </w:rPr>
        <w:t xml:space="preserve"> </w:t>
      </w:r>
      <w:r>
        <w:rPr>
          <w:rFonts w:ascii="Arial" w:hAnsi="Arial"/>
        </w:rPr>
        <w:t>عن المشاركة في سوق العمل.</w:t>
      </w:r>
      <w:r w:rsidR="00022F13">
        <w:rPr>
          <w:rFonts w:ascii="Arial" w:hAnsi="Arial"/>
        </w:rPr>
        <w:t xml:space="preserve"> </w:t>
      </w:r>
      <w:r>
        <w:rPr>
          <w:rFonts w:ascii="Arial" w:hAnsi="Arial"/>
        </w:rPr>
        <w:t xml:space="preserve">وتؤكد البيانات أن التعليم العالي لا يحسن فرص التوظيف للمرأة في الأراضي الفلسطينية، </w:t>
      </w:r>
      <w:r w:rsidR="006F10E5">
        <w:rPr>
          <w:rFonts w:ascii="Arial" w:hAnsi="Arial" w:hint="cs"/>
        </w:rPr>
        <w:t>في حين أنه</w:t>
      </w:r>
      <w:r w:rsidR="006F10E5">
        <w:rPr>
          <w:rFonts w:ascii="Arial" w:hAnsi="Arial"/>
        </w:rPr>
        <w:t xml:space="preserve"> </w:t>
      </w:r>
      <w:r>
        <w:rPr>
          <w:rFonts w:ascii="Arial" w:hAnsi="Arial"/>
        </w:rPr>
        <w:t>يحسنها للرجل.</w:t>
      </w:r>
      <w:r w:rsidR="00022F13">
        <w:rPr>
          <w:rFonts w:ascii="Arial" w:hAnsi="Arial"/>
        </w:rPr>
        <w:t xml:space="preserve"> </w:t>
      </w:r>
      <w:r>
        <w:rPr>
          <w:rFonts w:ascii="Arial" w:hAnsi="Arial"/>
        </w:rPr>
        <w:t xml:space="preserve">وواقع الحال أن 50% من النساء اللاتي يحملن درجة البكالوريوس وشهادات عليا عاطلات عن العمل مقارنة بأقل من 10% من النساء الحاصلات على شهادات أدنى. </w:t>
      </w:r>
    </w:p>
    <w:p w14:paraId="62536C16" w14:textId="77777777" w:rsidR="00533926" w:rsidRPr="00533926" w:rsidRDefault="00533926" w:rsidP="00533926">
      <w:pPr>
        <w:pStyle w:val="ListParagraph"/>
        <w:spacing w:after="240" w:line="240" w:lineRule="auto"/>
        <w:ind w:left="0"/>
        <w:jc w:val="both"/>
        <w:rPr>
          <w:rFonts w:ascii="Times New Roman" w:hAnsi="Times New Roman" w:cs="Times New Roman"/>
          <w:b/>
          <w:bCs/>
        </w:rPr>
      </w:pPr>
    </w:p>
    <w:p w14:paraId="35667251" w14:textId="77777777" w:rsidR="008F585B" w:rsidRDefault="4F88A954" w:rsidP="006F10E5">
      <w:pPr>
        <w:pStyle w:val="ListParagraph"/>
        <w:numPr>
          <w:ilvl w:val="0"/>
          <w:numId w:val="6"/>
        </w:numPr>
        <w:autoSpaceDE w:val="0"/>
        <w:autoSpaceDN w:val="0"/>
        <w:spacing w:line="240" w:lineRule="auto"/>
        <w:jc w:val="both"/>
        <w:rPr>
          <w:rFonts w:ascii="Arial" w:hAnsi="Arial"/>
          <w:color w:val="000000" w:themeColor="text1"/>
        </w:rPr>
      </w:pPr>
      <w:r>
        <w:rPr>
          <w:rFonts w:ascii="Arial" w:hAnsi="Arial"/>
          <w:b/>
          <w:bCs/>
          <w:color w:val="000000" w:themeColor="text1"/>
        </w:rPr>
        <w:t xml:space="preserve">يتسم موقف المالية العامة بالهشاشة، وهناك قيود على تحصيل الإيرادات، وضعف في مكونات الإنفاق، </w:t>
      </w:r>
      <w:r w:rsidR="006F10E5">
        <w:rPr>
          <w:rFonts w:ascii="Arial" w:hAnsi="Arial" w:hint="cs"/>
          <w:b/>
          <w:bCs/>
          <w:color w:val="000000" w:themeColor="text1"/>
        </w:rPr>
        <w:t xml:space="preserve">وهو </w:t>
      </w:r>
      <w:r>
        <w:rPr>
          <w:rFonts w:ascii="Arial" w:hAnsi="Arial"/>
          <w:b/>
          <w:bCs/>
          <w:color w:val="000000" w:themeColor="text1"/>
        </w:rPr>
        <w:t>ما يفضي إلى عجز جوهري وفجوة تمويلية كبرى.</w:t>
      </w:r>
      <w:r w:rsidR="00022F13">
        <w:rPr>
          <w:rFonts w:ascii="Arial" w:hAnsi="Arial"/>
          <w:b/>
          <w:bCs/>
          <w:color w:val="000000" w:themeColor="text1"/>
        </w:rPr>
        <w:t xml:space="preserve"> </w:t>
      </w:r>
      <w:r>
        <w:rPr>
          <w:rFonts w:ascii="Arial" w:hAnsi="Arial"/>
          <w:color w:val="000000" w:themeColor="text1"/>
        </w:rPr>
        <w:t>وهناك ضعف في إمكانية تحقيق إيرادات لدى السلطة الفلسطينية بسبب القيود على الحركة والوصول إلى الخدمات والموارد.</w:t>
      </w:r>
      <w:r w:rsidR="00022F13">
        <w:rPr>
          <w:rFonts w:ascii="Arial" w:hAnsi="Arial"/>
          <w:color w:val="000000" w:themeColor="text1"/>
        </w:rPr>
        <w:t xml:space="preserve"> </w:t>
      </w:r>
      <w:r>
        <w:rPr>
          <w:rFonts w:ascii="Arial" w:hAnsi="Arial"/>
          <w:color w:val="000000" w:themeColor="text1"/>
        </w:rPr>
        <w:t xml:space="preserve">على سبيل المثال، تشير تقديرات البنك الدولي إلى أن عدم قدرة الفلسطينيين على استغلال الفرص الاقتصادية في المنطقة </w:t>
      </w:r>
      <w:r w:rsidR="003C466D" w:rsidRPr="003C466D">
        <w:rPr>
          <w:rFonts w:ascii="Arial" w:hAnsi="Arial" w:hint="cs"/>
          <w:b/>
          <w:bCs/>
          <w:color w:val="000000" w:themeColor="text1"/>
        </w:rPr>
        <w:t>(</w:t>
      </w:r>
      <w:r w:rsidRPr="003C466D">
        <w:rPr>
          <w:rFonts w:ascii="Arial" w:hAnsi="Arial"/>
          <w:b/>
          <w:bCs/>
          <w:color w:val="000000" w:themeColor="text1"/>
        </w:rPr>
        <w:t>ج</w:t>
      </w:r>
      <w:r w:rsidR="003C466D" w:rsidRPr="003C466D">
        <w:rPr>
          <w:rFonts w:ascii="Arial" w:hAnsi="Arial" w:hint="cs"/>
          <w:b/>
          <w:bCs/>
          <w:color w:val="000000" w:themeColor="text1"/>
        </w:rPr>
        <w:t>)</w:t>
      </w:r>
      <w:r>
        <w:rPr>
          <w:rFonts w:ascii="Arial" w:hAnsi="Arial"/>
          <w:color w:val="000000" w:themeColor="text1"/>
        </w:rPr>
        <w:t xml:space="preserve"> يؤدي إلى خفض إجمالي الناتج المحلي المحتمل ليصل إلى 3.5 مليار دولار في السنة، والإيرادات المحتملة لتصل إلى 800 مليون دولار في السنة. ويؤثر أيضًا ضعف </w:t>
      </w:r>
      <w:r w:rsidR="006F10E5">
        <w:rPr>
          <w:rFonts w:ascii="Arial" w:hAnsi="Arial"/>
          <w:color w:val="000000" w:themeColor="text1"/>
        </w:rPr>
        <w:t>ف</w:t>
      </w:r>
      <w:r w:rsidR="006F10E5">
        <w:rPr>
          <w:rFonts w:ascii="Arial" w:hAnsi="Arial" w:hint="cs"/>
          <w:color w:val="000000" w:themeColor="text1"/>
        </w:rPr>
        <w:t>اع</w:t>
      </w:r>
      <w:r w:rsidR="006F10E5">
        <w:rPr>
          <w:rFonts w:ascii="Arial" w:hAnsi="Arial"/>
          <w:color w:val="000000" w:themeColor="text1"/>
        </w:rPr>
        <w:t xml:space="preserve">لية </w:t>
      </w:r>
      <w:r>
        <w:rPr>
          <w:rFonts w:ascii="Arial" w:hAnsi="Arial"/>
          <w:color w:val="000000" w:themeColor="text1"/>
        </w:rPr>
        <w:t xml:space="preserve">النظام الضريبي في </w:t>
      </w:r>
      <w:r w:rsidR="006F10E5">
        <w:rPr>
          <w:rFonts w:ascii="Arial" w:hAnsi="Arial" w:hint="cs"/>
          <w:color w:val="000000" w:themeColor="text1"/>
        </w:rPr>
        <w:t xml:space="preserve">قطاع </w:t>
      </w:r>
      <w:r>
        <w:rPr>
          <w:rFonts w:ascii="Arial" w:hAnsi="Arial"/>
          <w:color w:val="000000" w:themeColor="text1"/>
        </w:rPr>
        <w:t>غزة وضعف إدارة الإيرادات في الضفة الغربية على الإيرادات المحتملة للسلطة الفلسطينية. وعلى جانب الإنفاق، تضخمت فاتورة الأجور بسبب مزيج من مستويات المكافآت والإثابات الأعلى بصورة جوهرية من القطاع الخاص بالنسبة لمعظم الموظفين، والإفراط في التوظيف في قطاعات الأمن والصحة والتعليم.</w:t>
      </w:r>
      <w:r w:rsidR="00022F13">
        <w:rPr>
          <w:rFonts w:ascii="Arial" w:hAnsi="Arial"/>
          <w:color w:val="000000" w:themeColor="text1"/>
        </w:rPr>
        <w:t xml:space="preserve"> </w:t>
      </w:r>
      <w:r>
        <w:rPr>
          <w:rFonts w:ascii="Arial" w:hAnsi="Arial"/>
          <w:color w:val="000000" w:themeColor="text1"/>
        </w:rPr>
        <w:t>ويتسم نظام المعاشات التقاعدية بالسخاء المفرط وعدم الاستدامة.</w:t>
      </w:r>
      <w:r w:rsidR="00022F13">
        <w:rPr>
          <w:rFonts w:ascii="Arial" w:hAnsi="Arial"/>
          <w:color w:val="000000" w:themeColor="text1"/>
        </w:rPr>
        <w:t xml:space="preserve"> </w:t>
      </w:r>
      <w:r>
        <w:rPr>
          <w:rFonts w:ascii="Arial" w:hAnsi="Arial"/>
          <w:color w:val="000000" w:themeColor="text1"/>
        </w:rPr>
        <w:t>وتشير تنبؤات البنك الدولي إلى بلوغ إجمالي العجز ما يزيد على 10% من إجمالي الناتج المحلي في 2017، وهو ما يؤدي (مع تراجع المساندة المقدمة من المانحين) إلى فجوة تمويلية تقدر بنحو 800 مليون دولار تقريبًا.</w:t>
      </w:r>
      <w:r w:rsidR="00022F13">
        <w:rPr>
          <w:rFonts w:ascii="Arial" w:hAnsi="Arial"/>
          <w:color w:val="000000" w:themeColor="text1"/>
        </w:rPr>
        <w:t xml:space="preserve"> </w:t>
      </w:r>
      <w:r>
        <w:rPr>
          <w:rFonts w:ascii="Arial" w:hAnsi="Arial"/>
          <w:color w:val="000000" w:themeColor="text1"/>
        </w:rPr>
        <w:t xml:space="preserve">ويفرض هذا الوضع مخاطر جوهرية على الاقتصاد. </w:t>
      </w:r>
    </w:p>
    <w:p w14:paraId="363C5D9A" w14:textId="77777777" w:rsidR="00416E14" w:rsidRPr="00416E14" w:rsidRDefault="00416E14" w:rsidP="00416E14">
      <w:pPr>
        <w:pStyle w:val="ListParagraph"/>
        <w:autoSpaceDE w:val="0"/>
        <w:autoSpaceDN w:val="0"/>
        <w:spacing w:line="240" w:lineRule="auto"/>
        <w:ind w:left="0"/>
        <w:jc w:val="both"/>
        <w:rPr>
          <w:rFonts w:ascii="Times New Roman" w:hAnsi="Times New Roman"/>
          <w:color w:val="000000"/>
        </w:rPr>
      </w:pPr>
    </w:p>
    <w:p w14:paraId="44DF9E0F" w14:textId="77777777" w:rsidR="0001797C" w:rsidRPr="0038467F" w:rsidRDefault="0087205C" w:rsidP="00AB2362">
      <w:pPr>
        <w:pStyle w:val="ListParagraph"/>
        <w:numPr>
          <w:ilvl w:val="0"/>
          <w:numId w:val="6"/>
        </w:numPr>
        <w:autoSpaceDE w:val="0"/>
        <w:autoSpaceDN w:val="0"/>
        <w:adjustRightInd w:val="0"/>
        <w:spacing w:after="0" w:line="240" w:lineRule="auto"/>
        <w:jc w:val="both"/>
        <w:rPr>
          <w:rFonts w:ascii="Arial" w:hAnsi="Arial" w:cs="Arial"/>
        </w:rPr>
      </w:pPr>
      <w:r>
        <w:rPr>
          <w:b/>
          <w:bCs/>
          <w:noProof/>
          <w:highlight w:val="yellow"/>
          <w:lang w:eastAsia="en-US"/>
        </w:rPr>
        <mc:AlternateContent>
          <mc:Choice Requires="wps">
            <w:drawing>
              <wp:anchor distT="45720" distB="45720" distL="114300" distR="114300" simplePos="0" relativeHeight="251655680" behindDoc="0" locked="0" layoutInCell="1" allowOverlap="1">
                <wp:simplePos x="0" y="0"/>
                <wp:positionH relativeFrom="margin">
                  <wp:posOffset>13970</wp:posOffset>
                </wp:positionH>
                <wp:positionV relativeFrom="paragraph">
                  <wp:posOffset>1211580</wp:posOffset>
                </wp:positionV>
                <wp:extent cx="5924550" cy="42005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00525"/>
                        </a:xfrm>
                        <a:prstGeom prst="rect">
                          <a:avLst/>
                        </a:prstGeom>
                        <a:solidFill>
                          <a:sysClr val="window" lastClr="FFFFFF">
                            <a:lumMod val="85000"/>
                          </a:sysClr>
                        </a:solidFill>
                        <a:ln w="9525">
                          <a:solidFill>
                            <a:srgbClr val="000000"/>
                          </a:solidFill>
                          <a:miter lim="800000"/>
                          <a:headEnd/>
                          <a:tailEnd/>
                        </a:ln>
                      </wps:spPr>
                      <wps:txbx>
                        <w:txbxContent>
                          <w:p w14:paraId="67CDC806" w14:textId="77777777" w:rsidR="00205E55" w:rsidRPr="00451929" w:rsidRDefault="00205E55" w:rsidP="000F18AF">
                            <w:pPr>
                              <w:pStyle w:val="Caption"/>
                              <w:jc w:val="center"/>
                              <w:rPr>
                                <w:rFonts w:ascii="Arial" w:hAnsi="Arial" w:cs="Arial"/>
                                <w:b/>
                                <w:bCs/>
                                <w:i w:val="0"/>
                                <w:noProof/>
                                <w:color w:val="auto"/>
                                <w:sz w:val="20"/>
                                <w:szCs w:val="20"/>
                              </w:rPr>
                            </w:pPr>
                            <w:bookmarkStart w:id="7" w:name="_Toc494980820"/>
                            <w:r>
                              <w:rPr>
                                <w:rFonts w:ascii="Arial" w:hAnsi="Arial"/>
                                <w:b/>
                                <w:bCs/>
                                <w:i w:val="0"/>
                                <w:color w:val="auto"/>
                                <w:sz w:val="20"/>
                                <w:szCs w:val="20"/>
                              </w:rPr>
                              <w:t xml:space="preserve">الإطار </w:t>
                            </w:r>
                            <w:r w:rsidRPr="00451929">
                              <w:rPr>
                                <w:rFonts w:ascii="Times New Roman" w:hAnsi="Times New Roman" w:cs="Times New Roman"/>
                                <w:b/>
                                <w:i w:val="0"/>
                                <w:color w:val="auto"/>
                                <w:sz w:val="20"/>
                                <w:szCs w:val="20"/>
                              </w:rPr>
                              <w:fldChar w:fldCharType="begin"/>
                            </w:r>
                            <w:r w:rsidRPr="00451929">
                              <w:rPr>
                                <w:rFonts w:ascii="Times New Roman" w:hAnsi="Times New Roman" w:cs="Times New Roman"/>
                                <w:b/>
                                <w:i w:val="0"/>
                                <w:color w:val="auto"/>
                                <w:sz w:val="20"/>
                                <w:szCs w:val="20"/>
                              </w:rPr>
                              <w:instrText xml:space="preserve"> SEQ Box \* ARABIC </w:instrText>
                            </w:r>
                            <w:r w:rsidRPr="00451929">
                              <w:rPr>
                                <w:rFonts w:ascii="Times New Roman" w:hAnsi="Times New Roman" w:cs="Times New Roman"/>
                                <w:b/>
                                <w:i w:val="0"/>
                                <w:color w:val="auto"/>
                                <w:sz w:val="20"/>
                                <w:szCs w:val="20"/>
                              </w:rPr>
                              <w:fldChar w:fldCharType="separate"/>
                            </w:r>
                            <w:r>
                              <w:rPr>
                                <w:rFonts w:ascii="Times New Roman" w:hAnsi="Times New Roman" w:cs="Times New Roman"/>
                                <w:b/>
                                <w:i w:val="0"/>
                                <w:noProof/>
                                <w:color w:val="auto"/>
                                <w:sz w:val="20"/>
                                <w:szCs w:val="20"/>
                              </w:rPr>
                              <w:t>1</w:t>
                            </w:r>
                            <w:r w:rsidRPr="00451929">
                              <w:rPr>
                                <w:rFonts w:ascii="Times New Roman" w:hAnsi="Times New Roman" w:cs="Times New Roman"/>
                                <w:b/>
                                <w:i w:val="0"/>
                                <w:color w:val="auto"/>
                                <w:sz w:val="20"/>
                                <w:szCs w:val="20"/>
                              </w:rPr>
                              <w:fldChar w:fldCharType="end"/>
                            </w:r>
                            <w:r>
                              <w:rPr>
                                <w:rFonts w:ascii="Arial" w:hAnsi="Arial"/>
                                <w:b/>
                                <w:bCs/>
                                <w:i w:val="0"/>
                                <w:color w:val="auto"/>
                                <w:sz w:val="20"/>
                                <w:szCs w:val="20"/>
                              </w:rPr>
                              <w:t>: الأولويات التي تم تحديدها في المذكرة التشخيصية الشاملة للبنك الدولي بشأن الضفة الغربية وقطاع غزة</w:t>
                            </w:r>
                            <w:bookmarkEnd w:id="7"/>
                          </w:p>
                          <w:p w14:paraId="5C7F89F6" w14:textId="77777777" w:rsidR="00205E55" w:rsidRPr="00C536E0" w:rsidRDefault="00205E55" w:rsidP="00C536E0">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تحدد هذه المذكرة 3 مجالات أولوية للإجراءات التدخلية لمجموعة البنك الدولي لمساندة السلطة الفلسطينية تتضمن: (1) مناخ أنشطة الأعمال وفرص العمل؛ (2) المؤسسات وتقديم الخدمات؛ (3) التخفيف من تشوهات الاقتصاد الكلي. وهناك مجالات يمكن أن تتخذ فيها السلطة الفلسطينية إجراءات لتعزيز النواتج الاقتصادية لكن من الممكن زيادة الأثر المرجو مع التخفيف من القيود الخارجية. </w:t>
                            </w:r>
                          </w:p>
                          <w:p w14:paraId="23DC7EE8" w14:textId="77777777" w:rsidR="00205E55" w:rsidRPr="00C536E0" w:rsidRDefault="00205E55" w:rsidP="00C536E0">
                            <w:pPr>
                              <w:autoSpaceDE w:val="0"/>
                              <w:autoSpaceDN w:val="0"/>
                              <w:adjustRightInd w:val="0"/>
                              <w:spacing w:after="0" w:line="240" w:lineRule="auto"/>
                              <w:jc w:val="both"/>
                              <w:rPr>
                                <w:rFonts w:ascii="Times New Roman" w:hAnsi="Times New Roman" w:cs="Times New Roman"/>
                                <w:sz w:val="20"/>
                                <w:szCs w:val="20"/>
                              </w:rPr>
                            </w:pPr>
                          </w:p>
                          <w:p w14:paraId="5CFD4A45" w14:textId="77777777" w:rsidR="00205E55" w:rsidRPr="00C536E0" w:rsidRDefault="00205E55" w:rsidP="00C536E0">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وبالنسبة لمناخ أنشطة الأعمال، تواجه الشركات الفلسطينية قيودًا جسيمة تعوق الاستثمار وخلق فرص العمل. وتعاني الاستثمارات الإنتاجية من اختناق بسبب المناخ التنظيمي المشوش والمهترئ الذي يتأثر بسيطرة المصالح المكتسبة. وتبذل السلطة الفلسطينية جهودًا لتحديث الأطر القانونية والتنظيمية المرتبطة بالتشريع الاقتصادي والتجاري، والحد من تكاليف ممارسة أنشطة الأعمال. ومن الأهمية بمكان الاستمرار في إحداث مواءمة بين البيئة القانونية والتنظيمية في </w:t>
                            </w:r>
                            <w:r>
                              <w:rPr>
                                <w:rFonts w:ascii="Arial" w:hAnsi="Arial" w:hint="cs"/>
                                <w:sz w:val="20"/>
                                <w:szCs w:val="20"/>
                              </w:rPr>
                              <w:t xml:space="preserve">قطاع </w:t>
                            </w:r>
                            <w:r>
                              <w:rPr>
                                <w:rFonts w:ascii="Arial" w:hAnsi="Arial"/>
                                <w:sz w:val="20"/>
                                <w:szCs w:val="20"/>
                              </w:rPr>
                              <w:t xml:space="preserve">غزة والبيئة القانونية والتنظيمية في الضفة الغربية. وتشير الشركات إلى أن توفير الأراضي يعد أحد المعوقات الكبرى التي تواجهها. وعلى الرغم من أن هذه المسألة منشأها عدم توفر سبل الوصول إلى المنطقة </w:t>
                            </w:r>
                            <w:r w:rsidRPr="003C466D">
                              <w:rPr>
                                <w:rFonts w:ascii="Arial" w:hAnsi="Arial" w:hint="cs"/>
                                <w:b/>
                                <w:bCs/>
                                <w:sz w:val="20"/>
                                <w:szCs w:val="20"/>
                              </w:rPr>
                              <w:t>(</w:t>
                            </w:r>
                            <w:r w:rsidRPr="003C466D">
                              <w:rPr>
                                <w:rFonts w:ascii="Arial" w:hAnsi="Arial"/>
                                <w:b/>
                                <w:bCs/>
                                <w:sz w:val="20"/>
                                <w:szCs w:val="20"/>
                              </w:rPr>
                              <w:t>ج</w:t>
                            </w:r>
                            <w:r w:rsidRPr="003C466D">
                              <w:rPr>
                                <w:rFonts w:ascii="Arial" w:hAnsi="Arial" w:hint="cs"/>
                                <w:b/>
                                <w:bCs/>
                                <w:sz w:val="20"/>
                                <w:szCs w:val="20"/>
                              </w:rPr>
                              <w:t>)</w:t>
                            </w:r>
                            <w:r>
                              <w:rPr>
                                <w:rFonts w:ascii="Arial" w:hAnsi="Arial"/>
                                <w:sz w:val="20"/>
                                <w:szCs w:val="20"/>
                              </w:rPr>
                              <w:t xml:space="preserve">، فقد تفاقم الوضع بسبب تأخير عملية إصلاح تسجيل الأراضي في المناطق التي تخضع للسيطرة الفلسطينية. </w:t>
                            </w:r>
                          </w:p>
                          <w:p w14:paraId="7C17178C" w14:textId="77777777" w:rsidR="00205E55" w:rsidRPr="00C536E0" w:rsidRDefault="00205E55" w:rsidP="00C536E0">
                            <w:pPr>
                              <w:autoSpaceDE w:val="0"/>
                              <w:autoSpaceDN w:val="0"/>
                              <w:adjustRightInd w:val="0"/>
                              <w:spacing w:after="0" w:line="240" w:lineRule="auto"/>
                              <w:jc w:val="both"/>
                              <w:rPr>
                                <w:rFonts w:ascii="Times New Roman" w:hAnsi="Times New Roman" w:cs="Times New Roman"/>
                                <w:sz w:val="20"/>
                                <w:szCs w:val="20"/>
                              </w:rPr>
                            </w:pPr>
                          </w:p>
                          <w:p w14:paraId="1CEF57F0" w14:textId="77777777" w:rsidR="00205E55" w:rsidRPr="00C536E0" w:rsidRDefault="00205E55" w:rsidP="006F10E5">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وبالنسبة للمؤسسات وتقديم الخدمات، فإن تركيز السلطة الفلسطينية المفهوم على التوظيف في القطاع العام </w:t>
                            </w:r>
                            <w:r>
                              <w:rPr>
                                <w:rFonts w:ascii="Arial" w:hAnsi="Arial" w:hint="cs"/>
                                <w:sz w:val="20"/>
                                <w:szCs w:val="20"/>
                              </w:rPr>
                              <w:t xml:space="preserve">باعتباره </w:t>
                            </w:r>
                            <w:r>
                              <w:rPr>
                                <w:rFonts w:ascii="Arial" w:hAnsi="Arial"/>
                                <w:sz w:val="20"/>
                                <w:szCs w:val="20"/>
                              </w:rPr>
                              <w:t>حائط صد داعم</w:t>
                            </w:r>
                            <w:r>
                              <w:rPr>
                                <w:rFonts w:ascii="Arial" w:hAnsi="Arial" w:hint="cs"/>
                                <w:sz w:val="20"/>
                                <w:szCs w:val="20"/>
                              </w:rPr>
                              <w:t>ًا</w:t>
                            </w:r>
                            <w:r>
                              <w:rPr>
                                <w:rFonts w:ascii="Arial" w:hAnsi="Arial"/>
                                <w:sz w:val="20"/>
                                <w:szCs w:val="20"/>
                              </w:rPr>
                              <w:t xml:space="preserve"> للاقتصاد الضعيف والوفاء بفاتورة الأجور للحفاظ على الاستقرار أدى إلى تقويض القدرة على خلق ثقافة حسن الأداء في القطاع العام. ووقعت الاستثمارات في البنية التحتية وتشغيلها وصيانتها في شرك قصور نظام تحويلات المالية العامة بين الأجهزة الحكومية، وخاصة بين بلديات السلطة الفلسطينية ("مشكلة صافي الإقراض")، وبالتالي كانت النتيجة فقدان هذه القطاعات الحساسة وبالغة الأهمية لأطراف فاعلة تتمتع بالملاءة الائتمانية لجذب الاستثمارات الخاصة. </w:t>
                            </w:r>
                          </w:p>
                          <w:p w14:paraId="250D5241" w14:textId="77777777" w:rsidR="00205E55" w:rsidRPr="00C536E0" w:rsidRDefault="00205E55" w:rsidP="00C536E0">
                            <w:pPr>
                              <w:autoSpaceDE w:val="0"/>
                              <w:autoSpaceDN w:val="0"/>
                              <w:adjustRightInd w:val="0"/>
                              <w:spacing w:after="0" w:line="240" w:lineRule="auto"/>
                              <w:jc w:val="both"/>
                              <w:rPr>
                                <w:rFonts w:ascii="Times New Roman" w:hAnsi="Times New Roman" w:cs="Times New Roman"/>
                                <w:sz w:val="20"/>
                                <w:szCs w:val="20"/>
                              </w:rPr>
                            </w:pPr>
                          </w:p>
                          <w:p w14:paraId="0B1946B5" w14:textId="77777777" w:rsidR="00205E55" w:rsidRPr="00533926" w:rsidRDefault="00205E55" w:rsidP="0032501A">
                            <w:pPr>
                              <w:autoSpaceDE w:val="0"/>
                              <w:autoSpaceDN w:val="0"/>
                              <w:adjustRightInd w:val="0"/>
                              <w:spacing w:after="0" w:line="240" w:lineRule="auto"/>
                              <w:jc w:val="both"/>
                              <w:rPr>
                                <w:rFonts w:ascii="Arial" w:hAnsi="Arial" w:cs="Arial"/>
                                <w:sz w:val="20"/>
                                <w:szCs w:val="20"/>
                              </w:rPr>
                            </w:pPr>
                            <w:r>
                              <w:rPr>
                                <w:rFonts w:ascii="Arial" w:hAnsi="Arial"/>
                                <w:sz w:val="20"/>
                                <w:szCs w:val="20"/>
                              </w:rPr>
                              <w:t>وفي نهاية المطاف، ترتبط تشوهات الاقتصاد الكلي بمكونات الإنفاق لدى السلطة الفلسطينية (أي هيمنة النفقات الجارية/المتكررة)، والعجز الهيكلي، والروابط بين الموقف المالي للنظام المصرفي والأوضاع المالية للسلطة الفلسطينية. وتزاحم فاتورة الأجور المتضخمة (التي ترتبط بصورة وثيقة بنظام المعاشات) مجال الإنفاق الرأسمالي، لا سيما الاستثمارات في ظل وجود عوامل خارجية إيجابية كبرى وتحقيق منافع اجتماعية تتسق مع نهج تعظيم التمويل من أجل التنمية. ويُعر</w:t>
                            </w:r>
                            <w:r>
                              <w:rPr>
                                <w:rFonts w:ascii="Arial" w:hAnsi="Arial" w:hint="cs"/>
                                <w:sz w:val="20"/>
                                <w:szCs w:val="20"/>
                              </w:rPr>
                              <w:t>ّ</w:t>
                            </w:r>
                            <w:r>
                              <w:rPr>
                                <w:rFonts w:ascii="Arial" w:hAnsi="Arial"/>
                                <w:sz w:val="20"/>
                                <w:szCs w:val="20"/>
                              </w:rPr>
                              <w:t xml:space="preserve">ض العجز الهيكلي استقرار السلطة الفلسطينية لأخطار، ويؤدي إلى وجود مخاطر تتمثل في تأخير المدفوعات لمؤسسات القطاع الخاص التي تتعامل مع السلطة الفلسطينية.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95.4pt;width:466.5pt;height:330.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" fillcolor="#d9d9d9">
                <v:textbox>
                  <w:txbxContent>
                    <w:p w14:paraId="67CDC806" w14:textId="77777777" w:rsidR="00205E55" w:rsidRPr="00451929" w:rsidRDefault="00205E55" w:rsidP="000F18AF">
                      <w:pPr>
                        <w:pStyle w:val="Caption"/>
                        <w:jc w:val="center"/>
                        <w:rPr>
                          <w:rFonts w:ascii="Arial" w:hAnsi="Arial" w:cs="Arial"/>
                          <w:b/>
                          <w:bCs/>
                          <w:i w:val="0"/>
                          <w:noProof/>
                          <w:color w:val="auto"/>
                          <w:sz w:val="20"/>
                          <w:szCs w:val="20"/>
                        </w:rPr>
                      </w:pPr>
                      <w:bookmarkStart w:id="8" w:name="_Toc494980820"/>
                      <w:r>
                        <w:rPr>
                          <w:rFonts w:ascii="Arial" w:hAnsi="Arial"/>
                          <w:b/>
                          <w:bCs/>
                          <w:i w:val="0"/>
                          <w:color w:val="auto"/>
                          <w:sz w:val="20"/>
                          <w:szCs w:val="20"/>
                        </w:rPr>
                        <w:t xml:space="preserve">الإطار </w:t>
                      </w:r>
                      <w:r w:rsidRPr="00451929">
                        <w:rPr>
                          <w:rFonts w:ascii="Times New Roman" w:hAnsi="Times New Roman" w:cs="Times New Roman"/>
                          <w:b/>
                          <w:i w:val="0"/>
                          <w:color w:val="auto"/>
                          <w:sz w:val="20"/>
                          <w:szCs w:val="20"/>
                        </w:rPr>
                        <w:fldChar w:fldCharType="begin"/>
                      </w:r>
                      <w:r w:rsidRPr="00451929">
                        <w:rPr>
                          <w:rFonts w:ascii="Times New Roman" w:hAnsi="Times New Roman" w:cs="Times New Roman"/>
                          <w:b/>
                          <w:i w:val="0"/>
                          <w:color w:val="auto"/>
                          <w:sz w:val="20"/>
                          <w:szCs w:val="20"/>
                        </w:rPr>
                        <w:instrText xml:space="preserve"> SEQ Box \* ARABIC </w:instrText>
                      </w:r>
                      <w:r w:rsidRPr="00451929">
                        <w:rPr>
                          <w:rFonts w:ascii="Times New Roman" w:hAnsi="Times New Roman" w:cs="Times New Roman"/>
                          <w:b/>
                          <w:i w:val="0"/>
                          <w:color w:val="auto"/>
                          <w:sz w:val="20"/>
                          <w:szCs w:val="20"/>
                        </w:rPr>
                        <w:fldChar w:fldCharType="separate"/>
                      </w:r>
                      <w:r>
                        <w:rPr>
                          <w:rFonts w:ascii="Times New Roman" w:hAnsi="Times New Roman" w:cs="Times New Roman"/>
                          <w:b/>
                          <w:i w:val="0"/>
                          <w:noProof/>
                          <w:color w:val="auto"/>
                          <w:sz w:val="20"/>
                          <w:szCs w:val="20"/>
                        </w:rPr>
                        <w:t>1</w:t>
                      </w:r>
                      <w:r w:rsidRPr="00451929">
                        <w:rPr>
                          <w:rFonts w:ascii="Times New Roman" w:hAnsi="Times New Roman" w:cs="Times New Roman"/>
                          <w:b/>
                          <w:i w:val="0"/>
                          <w:color w:val="auto"/>
                          <w:sz w:val="20"/>
                          <w:szCs w:val="20"/>
                        </w:rPr>
                        <w:fldChar w:fldCharType="end"/>
                      </w:r>
                      <w:r>
                        <w:rPr>
                          <w:rFonts w:ascii="Arial" w:hAnsi="Arial"/>
                          <w:b/>
                          <w:bCs/>
                          <w:i w:val="0"/>
                          <w:color w:val="auto"/>
                          <w:sz w:val="20"/>
                          <w:szCs w:val="20"/>
                        </w:rPr>
                        <w:t>: الأولويات التي تم تحديدها في المذكرة التشخيصية الشاملة للبنك الدولي بشأن الضفة الغربية وقطاع غزة</w:t>
                      </w:r>
                      <w:bookmarkEnd w:id="8"/>
                    </w:p>
                    <w:p w14:paraId="5C7F89F6" w14:textId="77777777" w:rsidR="00205E55" w:rsidRPr="00C536E0" w:rsidRDefault="00205E55" w:rsidP="00C536E0">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تحدد هذه المذكرة 3 مجالات أولوية للإجراءات التدخلية لمجموعة البنك الدولي لمساندة السلطة الفلسطينية تتضمن: (1) مناخ أنشطة الأعمال وفرص العمل؛ (2) المؤسسات وتقديم الخدمات؛ (3) التخفيف من تشوهات الاقتصاد الكلي. وهناك مجالات يمكن أن تتخذ فيها السلطة الفلسطينية إجراءات لتعزيز النواتج الاقتصادية لكن من الممكن زيادة الأثر المرجو مع التخفيف من القيود الخارجية. </w:t>
                      </w:r>
                    </w:p>
                    <w:p w14:paraId="23DC7EE8" w14:textId="77777777" w:rsidR="00205E55" w:rsidRPr="00C536E0" w:rsidRDefault="00205E55" w:rsidP="00C536E0">
                      <w:pPr>
                        <w:autoSpaceDE w:val="0"/>
                        <w:autoSpaceDN w:val="0"/>
                        <w:adjustRightInd w:val="0"/>
                        <w:spacing w:after="0" w:line="240" w:lineRule="auto"/>
                        <w:jc w:val="both"/>
                        <w:rPr>
                          <w:rFonts w:ascii="Times New Roman" w:hAnsi="Times New Roman" w:cs="Times New Roman"/>
                          <w:sz w:val="20"/>
                          <w:szCs w:val="20"/>
                        </w:rPr>
                      </w:pPr>
                    </w:p>
                    <w:p w14:paraId="5CFD4A45" w14:textId="77777777" w:rsidR="00205E55" w:rsidRPr="00C536E0" w:rsidRDefault="00205E55" w:rsidP="00C536E0">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وبالنسبة لمناخ أنشطة الأعمال، تواجه الشركات الفلسطينية قيودًا جسيمة تعوق الاستثمار وخلق فرص العمل. وتعاني الاستثمارات الإنتاجية من اختناق بسبب المناخ التنظيمي المشوش والمهترئ الذي يتأثر بسيطرة المصالح المكتسبة. وتبذل السلطة الفلسطينية جهودًا لتحديث الأطر القانونية والتنظيمية المرتبطة بالتشريع الاقتصادي والتجاري، والحد من تكاليف ممارسة أنشطة الأعمال. ومن الأهمية بمكان الاستمرار في إحداث مواءمة بين البيئة القانونية والتنظيمية في </w:t>
                      </w:r>
                      <w:r>
                        <w:rPr>
                          <w:rFonts w:ascii="Arial" w:hAnsi="Arial" w:hint="cs"/>
                          <w:sz w:val="20"/>
                          <w:szCs w:val="20"/>
                        </w:rPr>
                        <w:t xml:space="preserve">قطاع </w:t>
                      </w:r>
                      <w:r>
                        <w:rPr>
                          <w:rFonts w:ascii="Arial" w:hAnsi="Arial"/>
                          <w:sz w:val="20"/>
                          <w:szCs w:val="20"/>
                        </w:rPr>
                        <w:t xml:space="preserve">غزة والبيئة القانونية والتنظيمية في الضفة الغربية. وتشير الشركات إلى أن توفير الأراضي يعد أحد المعوقات الكبرى التي تواجهها. وعلى الرغم من أن هذه المسألة منشأها عدم توفر سبل الوصول إلى المنطقة </w:t>
                      </w:r>
                      <w:r w:rsidRPr="003C466D">
                        <w:rPr>
                          <w:rFonts w:ascii="Arial" w:hAnsi="Arial" w:hint="cs"/>
                          <w:b/>
                          <w:bCs/>
                          <w:sz w:val="20"/>
                          <w:szCs w:val="20"/>
                        </w:rPr>
                        <w:t>(</w:t>
                      </w:r>
                      <w:r w:rsidRPr="003C466D">
                        <w:rPr>
                          <w:rFonts w:ascii="Arial" w:hAnsi="Arial"/>
                          <w:b/>
                          <w:bCs/>
                          <w:sz w:val="20"/>
                          <w:szCs w:val="20"/>
                        </w:rPr>
                        <w:t>ج</w:t>
                      </w:r>
                      <w:r w:rsidRPr="003C466D">
                        <w:rPr>
                          <w:rFonts w:ascii="Arial" w:hAnsi="Arial" w:hint="cs"/>
                          <w:b/>
                          <w:bCs/>
                          <w:sz w:val="20"/>
                          <w:szCs w:val="20"/>
                        </w:rPr>
                        <w:t>)</w:t>
                      </w:r>
                      <w:r>
                        <w:rPr>
                          <w:rFonts w:ascii="Arial" w:hAnsi="Arial"/>
                          <w:sz w:val="20"/>
                          <w:szCs w:val="20"/>
                        </w:rPr>
                        <w:t xml:space="preserve">، فقد تفاقم الوضع بسبب تأخير عملية إصلاح تسجيل الأراضي في المناطق التي تخضع للسيطرة الفلسطينية. </w:t>
                      </w:r>
                    </w:p>
                    <w:p w14:paraId="7C17178C" w14:textId="77777777" w:rsidR="00205E55" w:rsidRPr="00C536E0" w:rsidRDefault="00205E55" w:rsidP="00C536E0">
                      <w:pPr>
                        <w:autoSpaceDE w:val="0"/>
                        <w:autoSpaceDN w:val="0"/>
                        <w:adjustRightInd w:val="0"/>
                        <w:spacing w:after="0" w:line="240" w:lineRule="auto"/>
                        <w:jc w:val="both"/>
                        <w:rPr>
                          <w:rFonts w:ascii="Times New Roman" w:hAnsi="Times New Roman" w:cs="Times New Roman"/>
                          <w:sz w:val="20"/>
                          <w:szCs w:val="20"/>
                        </w:rPr>
                      </w:pPr>
                    </w:p>
                    <w:p w14:paraId="1CEF57F0" w14:textId="77777777" w:rsidR="00205E55" w:rsidRPr="00C536E0" w:rsidRDefault="00205E55" w:rsidP="006F10E5">
                      <w:pPr>
                        <w:autoSpaceDE w:val="0"/>
                        <w:autoSpaceDN w:val="0"/>
                        <w:adjustRightInd w:val="0"/>
                        <w:spacing w:after="0" w:line="240" w:lineRule="auto"/>
                        <w:jc w:val="both"/>
                        <w:rPr>
                          <w:rFonts w:ascii="Arial" w:hAnsi="Arial" w:cs="Arial"/>
                          <w:sz w:val="20"/>
                          <w:szCs w:val="20"/>
                        </w:rPr>
                      </w:pPr>
                      <w:r>
                        <w:rPr>
                          <w:rFonts w:ascii="Arial" w:hAnsi="Arial"/>
                          <w:sz w:val="20"/>
                          <w:szCs w:val="20"/>
                        </w:rPr>
                        <w:t xml:space="preserve">وبالنسبة للمؤسسات وتقديم الخدمات، فإن تركيز السلطة الفلسطينية المفهوم على التوظيف في القطاع العام </w:t>
                      </w:r>
                      <w:r>
                        <w:rPr>
                          <w:rFonts w:ascii="Arial" w:hAnsi="Arial" w:hint="cs"/>
                          <w:sz w:val="20"/>
                          <w:szCs w:val="20"/>
                        </w:rPr>
                        <w:t xml:space="preserve">باعتباره </w:t>
                      </w:r>
                      <w:r>
                        <w:rPr>
                          <w:rFonts w:ascii="Arial" w:hAnsi="Arial"/>
                          <w:sz w:val="20"/>
                          <w:szCs w:val="20"/>
                        </w:rPr>
                        <w:t>حائط صد داعم</w:t>
                      </w:r>
                      <w:r>
                        <w:rPr>
                          <w:rFonts w:ascii="Arial" w:hAnsi="Arial" w:hint="cs"/>
                          <w:sz w:val="20"/>
                          <w:szCs w:val="20"/>
                        </w:rPr>
                        <w:t>ًا</w:t>
                      </w:r>
                      <w:r>
                        <w:rPr>
                          <w:rFonts w:ascii="Arial" w:hAnsi="Arial"/>
                          <w:sz w:val="20"/>
                          <w:szCs w:val="20"/>
                        </w:rPr>
                        <w:t xml:space="preserve"> للاقتصاد الضعيف والوفاء بفاتورة الأجور للحفاظ على الاستقرار أدى إلى تقويض القدرة على خلق ثقافة حسن الأداء في القطاع العام. ووقعت الاستثمارات في البنية التحتية وتشغيلها وصيانتها في شرك قصور نظام تحويلات المالية العامة بين الأجهزة الحكومية، وخاصة بين بلديات السلطة الفلسطينية ("مشكلة صافي الإقراض")، وبالتالي كانت النتيجة فقدان هذه القطاعات الحساسة وبالغة الأهمية لأطراف فاعلة تتمتع بالملاءة الائتمانية لجذب الاستثمارات الخاصة. </w:t>
                      </w:r>
                    </w:p>
                    <w:p w14:paraId="250D5241" w14:textId="77777777" w:rsidR="00205E55" w:rsidRPr="00C536E0" w:rsidRDefault="00205E55" w:rsidP="00C536E0">
                      <w:pPr>
                        <w:autoSpaceDE w:val="0"/>
                        <w:autoSpaceDN w:val="0"/>
                        <w:adjustRightInd w:val="0"/>
                        <w:spacing w:after="0" w:line="240" w:lineRule="auto"/>
                        <w:jc w:val="both"/>
                        <w:rPr>
                          <w:rFonts w:ascii="Times New Roman" w:hAnsi="Times New Roman" w:cs="Times New Roman"/>
                          <w:sz w:val="20"/>
                          <w:szCs w:val="20"/>
                        </w:rPr>
                      </w:pPr>
                    </w:p>
                    <w:p w14:paraId="0B1946B5" w14:textId="77777777" w:rsidR="00205E55" w:rsidRPr="00533926" w:rsidRDefault="00205E55" w:rsidP="0032501A">
                      <w:pPr>
                        <w:autoSpaceDE w:val="0"/>
                        <w:autoSpaceDN w:val="0"/>
                        <w:adjustRightInd w:val="0"/>
                        <w:spacing w:after="0" w:line="240" w:lineRule="auto"/>
                        <w:jc w:val="both"/>
                        <w:rPr>
                          <w:rFonts w:ascii="Arial" w:hAnsi="Arial" w:cs="Arial"/>
                          <w:sz w:val="20"/>
                          <w:szCs w:val="20"/>
                        </w:rPr>
                      </w:pPr>
                      <w:r>
                        <w:rPr>
                          <w:rFonts w:ascii="Arial" w:hAnsi="Arial"/>
                          <w:sz w:val="20"/>
                          <w:szCs w:val="20"/>
                        </w:rPr>
                        <w:t>وفي نهاية المطاف، ترتبط تشوهات الاقتصاد الكلي بمكونات الإنفاق لدى السلطة الفلسطينية (أي هيمنة النفقات الجارية/المتكررة)، والعجز الهيكلي، والروابط بين الموقف المالي للنظام المصرفي والأوضاع المالية للسلطة الفلسطينية. وتزاحم فاتورة الأجور المتضخمة (التي ترتبط بصورة وثيقة بنظام المعاشات) مجال الإنفاق الرأسمالي، لا سيما الاستثمارات في ظل وجود عوامل خارجية إيجابية كبرى وتحقيق منافع اجتماعية تتسق مع نهج تعظيم التمويل من أجل التنمية. ويُعر</w:t>
                      </w:r>
                      <w:r>
                        <w:rPr>
                          <w:rFonts w:ascii="Arial" w:hAnsi="Arial" w:hint="cs"/>
                          <w:sz w:val="20"/>
                          <w:szCs w:val="20"/>
                        </w:rPr>
                        <w:t>ّ</w:t>
                      </w:r>
                      <w:r>
                        <w:rPr>
                          <w:rFonts w:ascii="Arial" w:hAnsi="Arial"/>
                          <w:sz w:val="20"/>
                          <w:szCs w:val="20"/>
                        </w:rPr>
                        <w:t xml:space="preserve">ض العجز الهيكلي استقرار السلطة الفلسطينية لأخطار، ويؤدي إلى وجود مخاطر تتمثل في تأخير المدفوعات لمؤسسات القطاع الخاص التي تتعامل مع السلطة الفلسطينية. </w:t>
                      </w:r>
                    </w:p>
                  </w:txbxContent>
                </v:textbox>
                <w10:wrap type="square" anchorx="margin"/>
              </v:shape>
            </w:pict>
          </mc:Fallback>
        </mc:AlternateContent>
      </w:r>
      <w:r w:rsidR="004D0426">
        <w:rPr>
          <w:rFonts w:ascii="Arial" w:hAnsi="Arial"/>
          <w:b/>
          <w:bCs/>
        </w:rPr>
        <w:t xml:space="preserve">حتى مع تحقيق الاقتصاد الفلسطيني تقدم نحو إحراز هدفي البنك الدولي المتمثلين في القضاء على الفقر المدقع وتعزيز </w:t>
      </w:r>
      <w:r w:rsidR="006F10E5">
        <w:rPr>
          <w:rFonts w:ascii="Arial" w:hAnsi="Arial" w:hint="cs"/>
          <w:b/>
          <w:bCs/>
        </w:rPr>
        <w:t>الرخاء</w:t>
      </w:r>
      <w:r w:rsidR="006F10E5">
        <w:rPr>
          <w:rFonts w:ascii="Arial" w:hAnsi="Arial"/>
          <w:b/>
          <w:bCs/>
        </w:rPr>
        <w:t xml:space="preserve"> </w:t>
      </w:r>
      <w:r w:rsidR="004D0426">
        <w:rPr>
          <w:rFonts w:ascii="Arial" w:hAnsi="Arial"/>
          <w:b/>
          <w:bCs/>
        </w:rPr>
        <w:t>المشترك على نحو مستدام، لا تزال تحديات الفقر وعدم المساواة ماثلة.</w:t>
      </w:r>
      <w:r w:rsidR="00022F13">
        <w:rPr>
          <w:rFonts w:ascii="Arial" w:hAnsi="Arial"/>
          <w:b/>
          <w:bCs/>
        </w:rPr>
        <w:t xml:space="preserve"> </w:t>
      </w:r>
      <w:r w:rsidR="004D0426">
        <w:rPr>
          <w:rFonts w:ascii="Arial" w:hAnsi="Arial"/>
        </w:rPr>
        <w:t xml:space="preserve">واتسمت معدلات الفقر بالتذبذب أثناء السنوات </w:t>
      </w:r>
      <w:r w:rsidR="006F10E5">
        <w:rPr>
          <w:rFonts w:ascii="Arial" w:hAnsi="Arial"/>
        </w:rPr>
        <w:t>20</w:t>
      </w:r>
      <w:r w:rsidR="006F10E5">
        <w:rPr>
          <w:rFonts w:ascii="Arial" w:hAnsi="Arial" w:hint="cs"/>
        </w:rPr>
        <w:t>04</w:t>
      </w:r>
      <w:r w:rsidR="006F10E5">
        <w:rPr>
          <w:rFonts w:ascii="Arial" w:hAnsi="Arial"/>
        </w:rPr>
        <w:t xml:space="preserve"> </w:t>
      </w:r>
      <w:r w:rsidR="004D0426">
        <w:rPr>
          <w:rFonts w:ascii="Arial" w:hAnsi="Arial"/>
        </w:rPr>
        <w:t xml:space="preserve">- </w:t>
      </w:r>
      <w:r w:rsidR="006F10E5">
        <w:rPr>
          <w:rFonts w:ascii="Arial" w:hAnsi="Arial"/>
        </w:rPr>
        <w:t>201</w:t>
      </w:r>
      <w:r w:rsidR="006F10E5">
        <w:rPr>
          <w:rFonts w:ascii="Arial" w:hAnsi="Arial" w:hint="cs"/>
        </w:rPr>
        <w:t>1</w:t>
      </w:r>
      <w:r w:rsidR="006F10E5">
        <w:rPr>
          <w:rFonts w:ascii="Arial" w:hAnsi="Arial"/>
        </w:rPr>
        <w:t xml:space="preserve"> </w:t>
      </w:r>
      <w:r w:rsidR="004D0426">
        <w:rPr>
          <w:rFonts w:ascii="Arial" w:hAnsi="Arial"/>
        </w:rPr>
        <w:lastRenderedPageBreak/>
        <w:t>(آخر فترة متاح عنها أرقام)، وكانت تزيد</w:t>
      </w:r>
      <w:r w:rsidR="00022F13">
        <w:rPr>
          <w:rFonts w:ascii="Arial" w:hAnsi="Arial"/>
        </w:rPr>
        <w:t xml:space="preserve"> </w:t>
      </w:r>
      <w:r w:rsidR="004D0426">
        <w:rPr>
          <w:rFonts w:ascii="Arial" w:hAnsi="Arial"/>
        </w:rPr>
        <w:t xml:space="preserve">بصورة حادة أثناء كل فترة من فترات الصراع مع انتعاش </w:t>
      </w:r>
      <w:r w:rsidR="003C466D">
        <w:rPr>
          <w:rFonts w:ascii="Arial" w:hAnsi="Arial" w:hint="cs"/>
        </w:rPr>
        <w:t>بطي</w:t>
      </w:r>
      <w:r w:rsidR="003C466D">
        <w:rPr>
          <w:rFonts w:ascii="Arial" w:hAnsi="Arial" w:hint="eastAsia"/>
        </w:rPr>
        <w:t>ء</w:t>
      </w:r>
      <w:r w:rsidR="004D0426">
        <w:rPr>
          <w:rFonts w:ascii="Arial" w:hAnsi="Arial"/>
        </w:rPr>
        <w:t xml:space="preserve"> بعد ذلك. وبحسب خط الفقر الخاص بالاحتياجات الأساسية، فإن 25.8% من السكان كانوا يعيشون في فقر في 2011 (بحسب أحدث البيانات المتاحة) وترتفع معدلات الفقر في </w:t>
      </w:r>
      <w:r w:rsidR="006F10E5">
        <w:rPr>
          <w:rFonts w:ascii="Arial" w:hAnsi="Arial" w:hint="cs"/>
        </w:rPr>
        <w:t xml:space="preserve">قطاع </w:t>
      </w:r>
      <w:r w:rsidR="004D0426">
        <w:rPr>
          <w:rFonts w:ascii="Arial" w:hAnsi="Arial"/>
        </w:rPr>
        <w:t>غزة وتتسم بمزيد من التذبذب مقارنة بالضفة الغربية.</w:t>
      </w:r>
      <w:r w:rsidR="00022F13">
        <w:rPr>
          <w:rFonts w:ascii="Arial" w:hAnsi="Arial"/>
        </w:rPr>
        <w:t xml:space="preserve"> </w:t>
      </w:r>
      <w:r w:rsidR="004D0426">
        <w:rPr>
          <w:rFonts w:ascii="Arial" w:hAnsi="Arial"/>
        </w:rPr>
        <w:t>ووصول معامل ارتباط جيني إلى 40.3</w:t>
      </w:r>
      <w:r>
        <w:rPr>
          <w:rFonts w:ascii="Arial" w:hAnsi="Arial"/>
        </w:rPr>
        <w:t>%</w:t>
      </w:r>
      <w:r w:rsidR="00022F13">
        <w:rPr>
          <w:rFonts w:ascii="Arial" w:hAnsi="Arial"/>
        </w:rPr>
        <w:t xml:space="preserve"> </w:t>
      </w:r>
      <w:r w:rsidR="004D0426">
        <w:rPr>
          <w:rFonts w:ascii="Arial" w:hAnsi="Arial"/>
        </w:rPr>
        <w:t xml:space="preserve">يدل على الافتقار إلى المساواة في الدخل بدرجة كبيرة في الأراضي الفلسطينية. وبحسب أحدث البيانات المتاحة، زاد دخل شريحة الأربعين في المائة من السكان الفلسطينيين </w:t>
      </w:r>
      <w:r w:rsidR="006F10E5">
        <w:rPr>
          <w:rFonts w:ascii="Arial" w:hAnsi="Arial" w:hint="cs"/>
        </w:rPr>
        <w:t>ب</w:t>
      </w:r>
      <w:r w:rsidR="004D0426">
        <w:rPr>
          <w:rFonts w:ascii="Arial" w:hAnsi="Arial"/>
        </w:rPr>
        <w:t>معدل بقية التوزيع</w:t>
      </w:r>
      <w:r w:rsidR="006F10E5">
        <w:rPr>
          <w:rFonts w:ascii="Arial" w:hAnsi="Arial" w:hint="cs"/>
        </w:rPr>
        <w:t xml:space="preserve"> نفسه</w:t>
      </w:r>
      <w:r w:rsidR="004D0426">
        <w:rPr>
          <w:rFonts w:ascii="Arial" w:hAnsi="Arial"/>
        </w:rPr>
        <w:t xml:space="preserve">. ومن ثم، لم تتقارب مستويات دخل الشرائح الأكثر حرمانًا من تلك الخاصة ببقية السكان، ما ينجم عنه جمود في تحقيق </w:t>
      </w:r>
      <w:r w:rsidR="00AB2362">
        <w:rPr>
          <w:rFonts w:ascii="Arial" w:hAnsi="Arial" w:hint="cs"/>
        </w:rPr>
        <w:t>الرخاء</w:t>
      </w:r>
      <w:r w:rsidR="00AB2362">
        <w:rPr>
          <w:rFonts w:ascii="Arial" w:hAnsi="Arial"/>
        </w:rPr>
        <w:t xml:space="preserve"> </w:t>
      </w:r>
      <w:r w:rsidR="004D0426">
        <w:rPr>
          <w:rFonts w:ascii="Arial" w:hAnsi="Arial"/>
        </w:rPr>
        <w:t>المشترك.</w:t>
      </w:r>
      <w:r w:rsidR="00022F13">
        <w:rPr>
          <w:rFonts w:ascii="Arial" w:hAnsi="Arial"/>
        </w:rPr>
        <w:t xml:space="preserve"> </w:t>
      </w:r>
      <w:r w:rsidR="004D0426">
        <w:rPr>
          <w:rFonts w:ascii="Arial" w:hAnsi="Arial"/>
        </w:rPr>
        <w:t xml:space="preserve">وبناء على الارتباط الشديد بين الفقر ونواتج سوق العمل، ومع معدلات البطالة المتزايدة في السنوات الأخيرة، من المفترض زيادة مستويات الفقر في الأراضي الفلسطينية منذ 2011 لا سيما في </w:t>
      </w:r>
      <w:r w:rsidR="00AB2362">
        <w:rPr>
          <w:rFonts w:ascii="Arial" w:hAnsi="Arial" w:hint="cs"/>
        </w:rPr>
        <w:t xml:space="preserve">قطاع </w:t>
      </w:r>
      <w:r w:rsidR="004D0426">
        <w:rPr>
          <w:rFonts w:ascii="Arial" w:hAnsi="Arial"/>
        </w:rPr>
        <w:t>غزة.</w:t>
      </w:r>
      <w:r w:rsidR="00022F13">
        <w:rPr>
          <w:rFonts w:ascii="Arial" w:hAnsi="Arial"/>
        </w:rPr>
        <w:t xml:space="preserve"> </w:t>
      </w:r>
      <w:r w:rsidR="004D0426">
        <w:rPr>
          <w:rFonts w:ascii="Arial" w:hAnsi="Arial"/>
        </w:rPr>
        <w:t xml:space="preserve">ومن الممكن أن يكون لفرص العمل دور مهم في القضاء على الفقر وتعزيز </w:t>
      </w:r>
      <w:r w:rsidR="00AB2362">
        <w:rPr>
          <w:rFonts w:ascii="Arial" w:hAnsi="Arial" w:hint="cs"/>
        </w:rPr>
        <w:t>الرخاء</w:t>
      </w:r>
      <w:r w:rsidR="00AB2362">
        <w:rPr>
          <w:rFonts w:ascii="Arial" w:hAnsi="Arial"/>
        </w:rPr>
        <w:t xml:space="preserve"> </w:t>
      </w:r>
      <w:r w:rsidR="004D0426">
        <w:rPr>
          <w:rFonts w:ascii="Arial" w:hAnsi="Arial"/>
        </w:rPr>
        <w:t>المشترك في الضفة الغربية و</w:t>
      </w:r>
      <w:r w:rsidR="00AB2362">
        <w:rPr>
          <w:rFonts w:ascii="Arial" w:hAnsi="Arial" w:hint="cs"/>
        </w:rPr>
        <w:t xml:space="preserve">قطاع </w:t>
      </w:r>
      <w:r w:rsidR="004D0426">
        <w:rPr>
          <w:rFonts w:ascii="Arial" w:hAnsi="Arial"/>
        </w:rPr>
        <w:t xml:space="preserve">غزة. </w:t>
      </w:r>
    </w:p>
    <w:p w14:paraId="63BA3EFB" w14:textId="77777777" w:rsidR="00484EE9" w:rsidRDefault="00484EE9" w:rsidP="00B846FA">
      <w:pPr>
        <w:autoSpaceDE w:val="0"/>
        <w:autoSpaceDN w:val="0"/>
        <w:adjustRightInd w:val="0"/>
        <w:spacing w:after="0" w:line="240" w:lineRule="auto"/>
        <w:jc w:val="both"/>
        <w:rPr>
          <w:rFonts w:ascii="Times New Roman" w:hAnsi="Times New Roman" w:cs="Times New Roman"/>
        </w:rPr>
      </w:pPr>
    </w:p>
    <w:p w14:paraId="7B0F09FB" w14:textId="77777777" w:rsidR="004565A8" w:rsidRPr="00795E56" w:rsidRDefault="0087205C" w:rsidP="00604216">
      <w:pPr>
        <w:pStyle w:val="ListParagraph"/>
        <w:numPr>
          <w:ilvl w:val="0"/>
          <w:numId w:val="6"/>
        </w:numPr>
        <w:autoSpaceDE w:val="0"/>
        <w:autoSpaceDN w:val="0"/>
        <w:adjustRightInd w:val="0"/>
        <w:spacing w:after="0" w:line="240" w:lineRule="auto"/>
        <w:jc w:val="both"/>
      </w:pPr>
      <w:r>
        <w:rPr>
          <w:rFonts w:cs="Times New Roman"/>
          <w:b/>
          <w:noProof/>
          <w:lang w:eastAsia="en-US"/>
        </w:rPr>
        <mc:AlternateContent>
          <mc:Choice Requires="wps">
            <w:drawing>
              <wp:anchor distT="45720" distB="45720" distL="114300" distR="114300" simplePos="0" relativeHeight="251684352" behindDoc="0" locked="0" layoutInCell="1" allowOverlap="1">
                <wp:simplePos x="0" y="0"/>
                <wp:positionH relativeFrom="margin">
                  <wp:align>right</wp:align>
                </wp:positionH>
                <wp:positionV relativeFrom="paragraph">
                  <wp:posOffset>2221865</wp:posOffset>
                </wp:positionV>
                <wp:extent cx="5920740" cy="324612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246120"/>
                        </a:xfrm>
                        <a:prstGeom prst="rect">
                          <a:avLst/>
                        </a:prstGeom>
                        <a:solidFill>
                          <a:sysClr val="window" lastClr="FFFFFF">
                            <a:lumMod val="85000"/>
                          </a:sysClr>
                        </a:solidFill>
                        <a:ln w="9525">
                          <a:solidFill>
                            <a:srgbClr val="000000"/>
                          </a:solidFill>
                          <a:miter lim="800000"/>
                          <a:headEnd/>
                          <a:tailEnd/>
                        </a:ln>
                      </wps:spPr>
                      <wps:txbx>
                        <w:txbxContent>
                          <w:p w14:paraId="01ABEFAC" w14:textId="77777777" w:rsidR="00205E55" w:rsidRPr="00D30BA4" w:rsidRDefault="00205E55" w:rsidP="00795E56">
                            <w:pPr>
                              <w:pStyle w:val="Caption"/>
                              <w:jc w:val="center"/>
                              <w:rPr>
                                <w:rFonts w:ascii="Arial" w:hAnsi="Arial" w:cs="Arial"/>
                                <w:b/>
                                <w:i w:val="0"/>
                                <w:noProof/>
                                <w:color w:val="auto"/>
                                <w:sz w:val="20"/>
                                <w:szCs w:val="20"/>
                              </w:rPr>
                            </w:pPr>
                            <w:bookmarkStart w:id="9" w:name="_Toc494980822"/>
                            <w:r>
                              <w:rPr>
                                <w:rFonts w:ascii="Arial" w:hAnsi="Arial"/>
                                <w:b/>
                                <w:bCs/>
                                <w:i w:val="0"/>
                                <w:color w:val="auto"/>
                                <w:sz w:val="20"/>
                                <w:szCs w:val="20"/>
                              </w:rPr>
                              <w:t xml:space="preserve">الإطار 2. الترتيبات الخاصة تمكن من تقديم مساعدات مجموعة البنك الدولي للضفة الغربية وقطاع غزة. </w:t>
                            </w:r>
                            <w:bookmarkEnd w:id="9"/>
                          </w:p>
                          <w:p w14:paraId="3C163F79" w14:textId="77777777" w:rsidR="00205E55" w:rsidRPr="00533926" w:rsidRDefault="00205E55" w:rsidP="00795E56">
                            <w:pPr>
                              <w:spacing w:line="240" w:lineRule="auto"/>
                              <w:jc w:val="both"/>
                              <w:rPr>
                                <w:rFonts w:ascii="Arial" w:hAnsi="Arial" w:cs="Arial"/>
                                <w:sz w:val="20"/>
                                <w:szCs w:val="20"/>
                              </w:rPr>
                            </w:pPr>
                            <w:r>
                              <w:rPr>
                                <w:rFonts w:ascii="Arial" w:hAnsi="Arial"/>
                                <w:sz w:val="20"/>
                                <w:szCs w:val="20"/>
                              </w:rPr>
                              <w:t xml:space="preserve">يُموّل الصندوق الاستئماني لغزة والضفة الغربية الذي يديره البنك الدولي المنح المقدمة للضفة الغربية وقطاع غزة. وتم إنشاء هذا الصندوق في 1993، ويتم تجديد موارده من فائض البنك الدولي للإنشاء والتعمير، وتتطلب كل عملية تحويل موافقة مجلس محافظي البنك الدولي. وقد اعتمد مجلس المحافظين عملية تجديد موارد الصندوق السادسة عشرة في 8 سبتمبر/أيلول 2017. وينص طلب تجديد الموارد على تفاصيل كيفية إنشاء الصندوق الاستئماني لغزة والضفة الغربية وترتيباته الحالية. </w:t>
                            </w:r>
                          </w:p>
                          <w:p w14:paraId="3C8DE252" w14:textId="77777777" w:rsidR="00205E55" w:rsidRPr="00533926" w:rsidRDefault="00205E55" w:rsidP="00795E56">
                            <w:pPr>
                              <w:spacing w:line="240" w:lineRule="auto"/>
                              <w:jc w:val="both"/>
                              <w:rPr>
                                <w:rFonts w:ascii="Arial" w:hAnsi="Arial" w:cs="Arial"/>
                                <w:sz w:val="20"/>
                                <w:szCs w:val="20"/>
                              </w:rPr>
                            </w:pPr>
                            <w:r>
                              <w:rPr>
                                <w:rFonts w:ascii="Arial" w:hAnsi="Arial"/>
                                <w:sz w:val="20"/>
                                <w:szCs w:val="20"/>
                              </w:rPr>
                              <w:t>وبدأت مؤسسة التمويل الدولية في عمليات الاستثمار بعد اتفاقات أوسلو في 1993. وفي 1997، قامت الوكالة الدولية لضمان الاستثمار بإنشاء صندوق ضمان الاستثمار في الضفة الغربية وقطاع غزة الذي يقدم مظلة تأمينية للمستثمرين لتغطية المخاطر السياسية. وحتى تاريخه، ساند هذا الصندوق 9 مشروعات أدت إلى تهيئة عدد كبير من فرص العمل المباشرة وغير المباشرة. وتم تقديم ارتباطات كبيرة بقيمة 26 مليون دولار تمثل القدرة المالية لهذا الصندوق، ولا يمكن إصدار عقود تأمين جديدة بعد ديسمبر/كانون الأول 2017 وذلك بحسب ما ورد في إرشادات الصندوق ما لم يتم تمديده. ونظرًا لأن الضفة الغربية وقطاع غزة من غير الأعضاء في الوكالة الدولية لضمان الاستثمار، لا يمكن للوكالة المشاركة إل</w:t>
                            </w:r>
                            <w:r>
                              <w:rPr>
                                <w:rFonts w:ascii="Arial" w:hAnsi="Arial" w:hint="cs"/>
                                <w:sz w:val="20"/>
                                <w:szCs w:val="20"/>
                              </w:rPr>
                              <w:t>ا</w:t>
                            </w:r>
                            <w:r>
                              <w:rPr>
                                <w:rFonts w:ascii="Arial" w:hAnsi="Arial"/>
                                <w:sz w:val="20"/>
                                <w:szCs w:val="20"/>
                              </w:rPr>
                              <w:t xml:space="preserve"> من خلال صناديق استئمانية ممولة من مانحين. </w:t>
                            </w:r>
                          </w:p>
                          <w:p w14:paraId="2A303AB5" w14:textId="77777777" w:rsidR="00205E55" w:rsidRDefault="00205E55" w:rsidP="00795E56">
                            <w:pPr>
                              <w:pStyle w:val="ListParagraph"/>
                              <w:autoSpaceDE w:val="0"/>
                              <w:autoSpaceDN w:val="0"/>
                              <w:adjustRightInd w:val="0"/>
                              <w:spacing w:after="0" w:line="240" w:lineRule="auto"/>
                              <w:ind w:left="0"/>
                              <w:jc w:val="both"/>
                              <w:rPr>
                                <w:rFonts w:ascii="Arial" w:hAnsi="Arial" w:cs="Arial"/>
                              </w:rPr>
                            </w:pPr>
                            <w:r>
                              <w:rPr>
                                <w:rFonts w:ascii="Arial" w:hAnsi="Arial"/>
                                <w:sz w:val="20"/>
                                <w:szCs w:val="20"/>
                              </w:rPr>
                              <w:t xml:space="preserve">ويقوم البنك الدولي بتعبئة التمويل التكميلي من شركاء التنمية، ويتضمن ذلك من خلال: (1) الصندوق الاستئماني للخطة الفلسطينية للإصلاح والتنمية الذي قدم مساندة موازنة للسلطة الفلسطينية منذ 2008؛ (2) الصندوق الاستئماني متعدد المانحين للشراكة من أجل البنية التحتية الذي تم إنشاؤه في السنة المالية 2013 لتحسين تغطية وجودة واستدامة البنية التحتية من خلال مساعدة فنية ومالية للسلطة الفلسطينية في قطاعات المياه والتنمية الحضرية والطاقة؛ (3) مساهمات حكومة النرويج الموجهة من خلال البنك الدولي دعمًا لأنشطة تنسيق المعونات وعدد من المخرجات الاقتصادية ومخرجات العمل القطاعي في برنامج البنك منذ 2002.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5pt;margin-top:174.95pt;width:466.2pt;height:255.6pt;z-index:251684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" fillcolor="#d9d9d9">
                <v:textbox>
                  <w:txbxContent>
                    <w:p w14:paraId="01ABEFAC" w14:textId="77777777" w:rsidR="00205E55" w:rsidRPr="00D30BA4" w:rsidRDefault="00205E55" w:rsidP="00795E56">
                      <w:pPr>
                        <w:pStyle w:val="Caption"/>
                        <w:jc w:val="center"/>
                        <w:rPr>
                          <w:rFonts w:ascii="Arial" w:hAnsi="Arial" w:cs="Arial"/>
                          <w:b/>
                          <w:i w:val="0"/>
                          <w:noProof/>
                          <w:color w:val="auto"/>
                          <w:sz w:val="20"/>
                          <w:szCs w:val="20"/>
                        </w:rPr>
                      </w:pPr>
                      <w:bookmarkStart w:id="10" w:name="_Toc494980822"/>
                      <w:r>
                        <w:rPr>
                          <w:rFonts w:ascii="Arial" w:hAnsi="Arial"/>
                          <w:b/>
                          <w:bCs/>
                          <w:i w:val="0"/>
                          <w:color w:val="auto"/>
                          <w:sz w:val="20"/>
                          <w:szCs w:val="20"/>
                        </w:rPr>
                        <w:t xml:space="preserve">الإطار 2. الترتيبات الخاصة تمكن من تقديم مساعدات مجموعة البنك الدولي للضفة الغربية وقطاع غزة. </w:t>
                      </w:r>
                      <w:bookmarkEnd w:id="10"/>
                    </w:p>
                    <w:p w14:paraId="3C163F79" w14:textId="77777777" w:rsidR="00205E55" w:rsidRPr="00533926" w:rsidRDefault="00205E55" w:rsidP="00795E56">
                      <w:pPr>
                        <w:spacing w:line="240" w:lineRule="auto"/>
                        <w:jc w:val="both"/>
                        <w:rPr>
                          <w:rFonts w:ascii="Arial" w:hAnsi="Arial" w:cs="Arial"/>
                          <w:sz w:val="20"/>
                          <w:szCs w:val="20"/>
                        </w:rPr>
                      </w:pPr>
                      <w:r>
                        <w:rPr>
                          <w:rFonts w:ascii="Arial" w:hAnsi="Arial"/>
                          <w:sz w:val="20"/>
                          <w:szCs w:val="20"/>
                        </w:rPr>
                        <w:t xml:space="preserve">يُموّل الصندوق الاستئماني لغزة والضفة الغربية الذي يديره البنك الدولي المنح المقدمة للضفة الغربية وقطاع غزة. وتم إنشاء هذا الصندوق في 1993، ويتم تجديد موارده من فائض البنك الدولي للإنشاء والتعمير، وتتطلب كل عملية تحويل موافقة مجلس محافظي البنك الدولي. وقد اعتمد مجلس المحافظين عملية تجديد موارد الصندوق السادسة عشرة في 8 سبتمبر/أيلول 2017. وينص طلب تجديد الموارد على تفاصيل كيفية إنشاء الصندوق الاستئماني لغزة والضفة الغربية وترتيباته الحالية. </w:t>
                      </w:r>
                    </w:p>
                    <w:p w14:paraId="3C8DE252" w14:textId="77777777" w:rsidR="00205E55" w:rsidRPr="00533926" w:rsidRDefault="00205E55" w:rsidP="00795E56">
                      <w:pPr>
                        <w:spacing w:line="240" w:lineRule="auto"/>
                        <w:jc w:val="both"/>
                        <w:rPr>
                          <w:rFonts w:ascii="Arial" w:hAnsi="Arial" w:cs="Arial"/>
                          <w:sz w:val="20"/>
                          <w:szCs w:val="20"/>
                        </w:rPr>
                      </w:pPr>
                      <w:r>
                        <w:rPr>
                          <w:rFonts w:ascii="Arial" w:hAnsi="Arial"/>
                          <w:sz w:val="20"/>
                          <w:szCs w:val="20"/>
                        </w:rPr>
                        <w:t>وبدأت مؤسسة التمويل الدولية في عمليات الاستثمار بعد اتفاقات أوسلو في 1993. وفي 1997، قامت الوكالة الدولية لضمان الاستثمار بإنشاء صندوق ضمان الاستثمار في الضفة الغربية وقطاع غزة الذي يقدم مظلة تأمينية للمستثمرين لتغطية المخاطر السياسية. وحتى تاريخه، ساند هذا الصندوق 9 مشروعات أدت إلى تهيئة عدد كبير من فرص العمل المباشرة وغير المباشرة. وتم تقديم ارتباطات كبيرة بقيمة 26 مليون دولار تمثل القدرة المالية لهذا الصندوق، ولا يمكن إصدار عقود تأمين جديدة بعد ديسمبر/كانون الأول 2017 وذلك بحسب ما ورد في إرشادات الصندوق ما لم يتم تمديده. ونظرًا لأن الضفة الغربية وقطاع غزة من غير الأعضاء في الوكالة الدولية لضمان الاستثمار، لا يمكن للوكالة المشاركة إل</w:t>
                      </w:r>
                      <w:r>
                        <w:rPr>
                          <w:rFonts w:ascii="Arial" w:hAnsi="Arial" w:hint="cs"/>
                          <w:sz w:val="20"/>
                          <w:szCs w:val="20"/>
                        </w:rPr>
                        <w:t>ا</w:t>
                      </w:r>
                      <w:r>
                        <w:rPr>
                          <w:rFonts w:ascii="Arial" w:hAnsi="Arial"/>
                          <w:sz w:val="20"/>
                          <w:szCs w:val="20"/>
                        </w:rPr>
                        <w:t xml:space="preserve"> من خلال صناديق استئمانية ممولة من مانحين. </w:t>
                      </w:r>
                    </w:p>
                    <w:p w14:paraId="2A303AB5" w14:textId="77777777" w:rsidR="00205E55" w:rsidRDefault="00205E55" w:rsidP="00795E56">
                      <w:pPr>
                        <w:pStyle w:val="ListParagraph"/>
                        <w:autoSpaceDE w:val="0"/>
                        <w:autoSpaceDN w:val="0"/>
                        <w:adjustRightInd w:val="0"/>
                        <w:spacing w:after="0" w:line="240" w:lineRule="auto"/>
                        <w:ind w:left="0"/>
                        <w:jc w:val="both"/>
                        <w:rPr>
                          <w:rFonts w:ascii="Arial" w:hAnsi="Arial" w:cs="Arial"/>
                        </w:rPr>
                      </w:pPr>
                      <w:r>
                        <w:rPr>
                          <w:rFonts w:ascii="Arial" w:hAnsi="Arial"/>
                          <w:sz w:val="20"/>
                          <w:szCs w:val="20"/>
                        </w:rPr>
                        <w:t xml:space="preserve">ويقوم البنك الدولي بتعبئة التمويل التكميلي من شركاء التنمية، ويتضمن ذلك من خلال: (1) الصندوق الاستئماني للخطة الفلسطينية للإصلاح والتنمية الذي قدم مساندة موازنة للسلطة الفلسطينية منذ 2008؛ (2) الصندوق الاستئماني متعدد المانحين للشراكة من أجل البنية التحتية الذي تم إنشاؤه في السنة المالية 2013 لتحسين تغطية وجودة واستدامة البنية التحتية من خلال مساعدة فنية ومالية للسلطة الفلسطينية في قطاعات المياه والتنمية الحضرية والطاقة؛ (3) مساهمات حكومة النرويج الموجهة من خلال البنك الدولي دعمًا لأنشطة تنسيق المعونات وعدد من المخرجات الاقتصادية ومخرجات العمل القطاعي في برنامج البنك منذ 2002. </w:t>
                      </w:r>
                    </w:p>
                  </w:txbxContent>
                </v:textbox>
                <w10:wrap type="square" anchorx="margin"/>
              </v:shape>
            </w:pict>
          </mc:Fallback>
        </mc:AlternateContent>
      </w:r>
      <w:r w:rsidR="004D0426">
        <w:rPr>
          <w:rFonts w:ascii="Arial" w:hAnsi="Arial"/>
          <w:b/>
          <w:bCs/>
        </w:rPr>
        <w:t>في ظل جمود عملية السلام، والتحديات الداخلية التي لم تُحسم بعد، لا تزال الآفاق الاقتصادية قريبة الأمد للمناطق الفلسطينية مثيرة للقلق مع معدلات نمو متوقعة لا تكفي لتحسين مستويات المعيشة.</w:t>
      </w:r>
      <w:r w:rsidR="00022F13">
        <w:rPr>
          <w:rFonts w:ascii="Arial" w:hAnsi="Arial"/>
          <w:b/>
          <w:bCs/>
        </w:rPr>
        <w:t xml:space="preserve"> </w:t>
      </w:r>
      <w:r w:rsidR="004D0426">
        <w:rPr>
          <w:rFonts w:ascii="Arial" w:hAnsi="Arial"/>
        </w:rPr>
        <w:t>ووفق سيناريو خط الأساس الذي يفترض أن القيود الإسرائيلية الحالية ستظل قائمة، ولن يوجد أي تحسن في البيئة الاقتصادية والسياسية الداخلية، تشير التوقعات إلى أن معدلات نمو إجمالي الناتج المحلي الحقيقي ستصل إلى 3% في 2017:</w:t>
      </w:r>
      <w:r w:rsidR="00022F13">
        <w:rPr>
          <w:rFonts w:ascii="Arial" w:hAnsi="Arial"/>
        </w:rPr>
        <w:t xml:space="preserve"> </w:t>
      </w:r>
      <w:r w:rsidR="004D0426">
        <w:rPr>
          <w:rFonts w:ascii="Arial" w:hAnsi="Arial"/>
        </w:rPr>
        <w:t>وذلك بواقع 2.7% في الضفة الغربية و4.0% في قطاع غزة. وينبئ المعدل بركود وشيك في نصيب الفرد من الدخل الحقيقي وحدوث زيادة في البطالة. وعلاوة على ذلك، لا تزال هناك مخاطر كبيرة لحدوث هبوط في معدلات النمو. وبالنسبة لقطاع غزة، قد تتعرض عملية إعادة الإعمار لمزيد من النكسات.</w:t>
      </w:r>
      <w:r w:rsidR="00022F13">
        <w:rPr>
          <w:rFonts w:ascii="Arial" w:hAnsi="Arial"/>
        </w:rPr>
        <w:t xml:space="preserve"> </w:t>
      </w:r>
      <w:r w:rsidR="004D0426">
        <w:rPr>
          <w:rFonts w:ascii="Arial" w:hAnsi="Arial"/>
        </w:rPr>
        <w:t>وفي مثل هذا السيناريو، لا يُستبعد احتمال استئناف الصراع المسلح، وإذا حدث ذلك، من المتوقع أن يعود الكساد الاقتصادي. وقد يكون لإجراءات المالية العامة التي تم القيام بها مؤخرًا من جانب السلطة الفلسطينية في غزة لخفض فاتورة رواتبها والنفقات المرتبطة بالكهرباء آثار اجتماعية حادة يمكن أن تفضي إلى اضطرابات.</w:t>
      </w:r>
      <w:r w:rsidR="00022F13">
        <w:rPr>
          <w:rFonts w:ascii="Arial" w:hAnsi="Arial"/>
        </w:rPr>
        <w:t xml:space="preserve"> </w:t>
      </w:r>
      <w:r w:rsidR="004D0426">
        <w:rPr>
          <w:rFonts w:ascii="Arial" w:hAnsi="Arial"/>
        </w:rPr>
        <w:t>وبالنسبة للنواتج في الضفة الغربية قد يكون</w:t>
      </w:r>
      <w:r w:rsidR="003C466D">
        <w:rPr>
          <w:rFonts w:ascii="Arial" w:hAnsi="Arial" w:hint="cs"/>
        </w:rPr>
        <w:t xml:space="preserve"> الوضع</w:t>
      </w:r>
      <w:r w:rsidR="004D0426">
        <w:rPr>
          <w:rFonts w:ascii="Arial" w:hAnsi="Arial"/>
        </w:rPr>
        <w:t xml:space="preserve"> أكثر سوءاً مما هو متوقع إذا ما تجاوز الانخفاض في مساندة الجهات المانحة التوقعات الحالية. ومع التوترات السياسية الحالية، قد تنشأ صدامات مرة أخرى تفضي إلى زيادة المخاطر الأمنية التي يمكن أن تؤثر سلبًا على النشاط الاقتصادي. </w:t>
      </w:r>
    </w:p>
    <w:p w14:paraId="17490035" w14:textId="77777777" w:rsidR="005A2053" w:rsidRPr="005A2053" w:rsidRDefault="005A2053" w:rsidP="0010487D">
      <w:pPr>
        <w:pStyle w:val="ListParagraph"/>
        <w:spacing w:after="0" w:line="240" w:lineRule="auto"/>
        <w:ind w:left="0"/>
        <w:jc w:val="both"/>
        <w:rPr>
          <w:rFonts w:ascii="Times New Roman" w:eastAsiaTheme="minorEastAsia" w:hAnsi="Times New Roman" w:cs="Times New Roman"/>
        </w:rPr>
      </w:pPr>
    </w:p>
    <w:p w14:paraId="6699AB8C" w14:textId="77777777" w:rsidR="005A2053" w:rsidRPr="005316CE" w:rsidRDefault="005316CE" w:rsidP="00AB2362">
      <w:pPr>
        <w:pStyle w:val="Heading2"/>
        <w:spacing w:before="0"/>
        <w:ind w:left="360"/>
        <w:rPr>
          <w:b w:val="0"/>
          <w:bCs/>
        </w:rPr>
      </w:pPr>
      <w:bookmarkStart w:id="11" w:name="_Toc498096411"/>
      <w:bookmarkStart w:id="12" w:name="_Toc500240970"/>
      <w:r w:rsidRPr="005316CE">
        <w:rPr>
          <w:rFonts w:hint="cs"/>
          <w:b w:val="0"/>
          <w:bCs/>
        </w:rPr>
        <w:t xml:space="preserve">دال. </w:t>
      </w:r>
      <w:r w:rsidR="4F88A954" w:rsidRPr="005316CE">
        <w:rPr>
          <w:b w:val="0"/>
          <w:bCs/>
        </w:rPr>
        <w:t xml:space="preserve">التحديات التي تواجه النمو الذي يقوده القطاع الخاص </w:t>
      </w:r>
      <w:r w:rsidR="00AB2362" w:rsidRPr="005316CE">
        <w:rPr>
          <w:b w:val="0"/>
          <w:bCs/>
        </w:rPr>
        <w:t>و</w:t>
      </w:r>
      <w:r w:rsidR="00AB2362">
        <w:rPr>
          <w:rFonts w:hint="cs"/>
          <w:b w:val="0"/>
          <w:bCs/>
        </w:rPr>
        <w:t>إ</w:t>
      </w:r>
      <w:r w:rsidR="00AB2362" w:rsidRPr="005316CE">
        <w:rPr>
          <w:b w:val="0"/>
          <w:bCs/>
        </w:rPr>
        <w:t xml:space="preserve">ستراتيجية </w:t>
      </w:r>
      <w:r w:rsidR="4F88A954" w:rsidRPr="005316CE">
        <w:rPr>
          <w:b w:val="0"/>
          <w:bCs/>
        </w:rPr>
        <w:t>إيجاد فرص العمل</w:t>
      </w:r>
      <w:bookmarkEnd w:id="11"/>
      <w:bookmarkEnd w:id="12"/>
    </w:p>
    <w:p w14:paraId="3056FFD7" w14:textId="77777777" w:rsidR="005A2053" w:rsidRPr="005A2053" w:rsidRDefault="005A2053" w:rsidP="0010487D">
      <w:pPr>
        <w:pStyle w:val="ListParagraph"/>
        <w:spacing w:after="0"/>
        <w:rPr>
          <w:rFonts w:ascii="Times New Roman" w:hAnsi="Times New Roman" w:cs="Times New Roman"/>
          <w:b/>
          <w:bCs/>
        </w:rPr>
      </w:pPr>
    </w:p>
    <w:p w14:paraId="14A196C0" w14:textId="77777777" w:rsidR="000D1EEE" w:rsidRPr="00B3763E" w:rsidRDefault="4F88A954" w:rsidP="00AB2362">
      <w:pPr>
        <w:pStyle w:val="ListParagraph"/>
        <w:numPr>
          <w:ilvl w:val="0"/>
          <w:numId w:val="6"/>
        </w:numPr>
        <w:spacing w:after="0" w:line="240" w:lineRule="auto"/>
        <w:jc w:val="both"/>
        <w:rPr>
          <w:rFonts w:ascii="Arial" w:eastAsiaTheme="minorEastAsia" w:hAnsi="Arial" w:cs="Arial"/>
        </w:rPr>
      </w:pPr>
      <w:r>
        <w:rPr>
          <w:b/>
          <w:bCs/>
        </w:rPr>
        <w:t>اتسمت مستويات الاستثمار الخاص في الاقتصاد الفلسطيني بالتدني بنسبة 15% من إجمالي الناتج المحلي في السنوات الأخيرة الماضية،</w:t>
      </w:r>
      <w:r>
        <w:t xml:space="preserve"> وهي نسبة أقل بكثير من معظم الاقتصادات المتوسطة الدخل.</w:t>
      </w:r>
      <w:r w:rsidR="00022F13">
        <w:t xml:space="preserve"> </w:t>
      </w:r>
      <w:r>
        <w:rPr>
          <w:rFonts w:ascii="Arial" w:hAnsi="Arial"/>
        </w:rPr>
        <w:t>وعلاوة على ذلك، تتركز هذه الاستث</w:t>
      </w:r>
      <w:r w:rsidR="00625EBC">
        <w:rPr>
          <w:rFonts w:ascii="Arial" w:hAnsi="Arial"/>
        </w:rPr>
        <w:t>مارات في القطاع الأقل إنتاجية و</w:t>
      </w:r>
      <w:r w:rsidR="00625EBC">
        <w:rPr>
          <w:rFonts w:ascii="Arial" w:hAnsi="Arial" w:hint="cs"/>
        </w:rPr>
        <w:t>أ</w:t>
      </w:r>
      <w:r>
        <w:rPr>
          <w:rFonts w:ascii="Arial" w:hAnsi="Arial"/>
        </w:rPr>
        <w:t>قل قابلة للتداول التجاري، ويشمل ذلك أنشطة التجارة الداخلية وأعمال الإنشاءات السكنية.</w:t>
      </w:r>
      <w:r w:rsidR="00022F13">
        <w:rPr>
          <w:rFonts w:ascii="Arial" w:hAnsi="Arial"/>
        </w:rPr>
        <w:t xml:space="preserve"> </w:t>
      </w:r>
      <w:r>
        <w:rPr>
          <w:rFonts w:ascii="Arial" w:hAnsi="Arial"/>
        </w:rPr>
        <w:t>ولم تتجاوز تدفقات الاستثمارات الأجنبية إلى الداخل التي ترتبط بصورة طردية مع النمو الإنتاجي 1% من إجمالي الناتج المحلي في المتوسط على مدى السنوات العشر الماضية.</w:t>
      </w:r>
      <w:r w:rsidR="00022F13">
        <w:rPr>
          <w:rFonts w:ascii="Arial" w:hAnsi="Arial"/>
        </w:rPr>
        <w:t xml:space="preserve"> </w:t>
      </w:r>
      <w:r>
        <w:rPr>
          <w:rFonts w:ascii="Arial" w:hAnsi="Arial"/>
        </w:rPr>
        <w:t>وستعمل زيادة معدلات المدخرات المحلية، وتوسيع نطاق قاعدتها، وتعزيز هيكل شروطها ومدتها على مساندة الاستثمارات في قطاعات اقتصادية إنتاجية.</w:t>
      </w:r>
      <w:r w:rsidR="00022F13">
        <w:rPr>
          <w:rFonts w:ascii="Arial" w:hAnsi="Arial"/>
        </w:rPr>
        <w:t xml:space="preserve"> </w:t>
      </w:r>
      <w:r>
        <w:rPr>
          <w:rFonts w:ascii="Arial" w:hAnsi="Arial"/>
        </w:rPr>
        <w:t xml:space="preserve">وعلى مدى السنوات العشر الماضية، تراجعت المدخرات الخاصة في فلسطين (ووصلت إلى أقل نسبة على </w:t>
      </w:r>
      <w:r>
        <w:rPr>
          <w:rFonts w:ascii="Arial" w:hAnsi="Arial"/>
        </w:rPr>
        <w:lastRenderedPageBreak/>
        <w:t xml:space="preserve">مستوى منطقة الشرق الأوسط وشمال أفريقيا </w:t>
      </w:r>
      <w:r w:rsidR="00AB2362">
        <w:rPr>
          <w:rFonts w:ascii="Arial" w:hAnsi="Arial" w:hint="cs"/>
        </w:rPr>
        <w:t>خلال</w:t>
      </w:r>
      <w:r w:rsidR="00AB2362">
        <w:rPr>
          <w:rFonts w:ascii="Arial" w:hAnsi="Arial"/>
        </w:rPr>
        <w:t xml:space="preserve"> </w:t>
      </w:r>
      <w:r>
        <w:rPr>
          <w:rFonts w:ascii="Arial" w:hAnsi="Arial"/>
        </w:rPr>
        <w:t>السنوات 2000 - 2014).</w:t>
      </w:r>
      <w:r w:rsidR="00022F13">
        <w:rPr>
          <w:rFonts w:ascii="Arial" w:hAnsi="Arial"/>
        </w:rPr>
        <w:t xml:space="preserve"> </w:t>
      </w:r>
      <w:r>
        <w:rPr>
          <w:rFonts w:ascii="Arial" w:hAnsi="Arial"/>
        </w:rPr>
        <w:t>ومنذ 2009، وصلت معدلات المدخرات الخاصة كنسبة من إجمالي الناتج المحلي الإجمالي إلى مستويات سلبية (سجلت -7.9% في 2014).</w:t>
      </w:r>
      <w:r w:rsidR="00022F13">
        <w:rPr>
          <w:rFonts w:ascii="Arial" w:hAnsi="Arial"/>
        </w:rPr>
        <w:t xml:space="preserve"> </w:t>
      </w:r>
    </w:p>
    <w:p w14:paraId="16210DB5" w14:textId="77777777" w:rsidR="00222342" w:rsidRPr="003A66C6" w:rsidRDefault="00222342" w:rsidP="0010487D">
      <w:pPr>
        <w:autoSpaceDE w:val="0"/>
        <w:autoSpaceDN w:val="0"/>
        <w:spacing w:after="0" w:line="240" w:lineRule="auto"/>
        <w:rPr>
          <w:rFonts w:ascii="Times New Roman" w:hAnsi="Times New Roman" w:cs="Times New Roman"/>
          <w:b/>
          <w:bCs/>
          <w:i/>
          <w:iCs/>
        </w:rPr>
      </w:pPr>
    </w:p>
    <w:p w14:paraId="0D1796F3" w14:textId="77777777" w:rsidR="00412EF1" w:rsidRPr="00604216" w:rsidRDefault="4F88A954" w:rsidP="00AB2362">
      <w:pPr>
        <w:pStyle w:val="ListParagraph"/>
        <w:numPr>
          <w:ilvl w:val="0"/>
          <w:numId w:val="6"/>
        </w:numPr>
        <w:spacing w:after="0" w:line="240" w:lineRule="auto"/>
        <w:jc w:val="both"/>
        <w:rPr>
          <w:rFonts w:ascii="Arial" w:eastAsiaTheme="minorEastAsia" w:hAnsi="Arial" w:cs="Arial"/>
        </w:rPr>
      </w:pPr>
      <w:r w:rsidRPr="00625EBC">
        <w:rPr>
          <w:b/>
          <w:bCs/>
        </w:rPr>
        <w:t>تمثل القيود الإسرائيلية المستمرة منذ أمد طويل على الحركة وسبل الوصول إلى الخدمات والموارد والتجارة معوقات مهمة أمام نشاط القطاع الخاص، وإيجاد فرص عمل في الأراضي الفلسطينية.</w:t>
      </w:r>
      <w:r w:rsidR="00022F13">
        <w:t xml:space="preserve"> </w:t>
      </w:r>
      <w:r>
        <w:rPr>
          <w:rFonts w:ascii="Arial" w:hAnsi="Arial"/>
        </w:rPr>
        <w:t>وتشير تقديرات البنك الدولي إلى أن التخفيف من القيود التي تفرضها حكومة إسرائيل من الممكن أن يزيد إجمالي الناتج المحلي بنسبة تصل إلى 36% في الضفة الغربية، و40% في قطاع غزة في 2025.</w:t>
      </w:r>
      <w:r w:rsidR="00022F13">
        <w:rPr>
          <w:rFonts w:ascii="Arial" w:hAnsi="Arial"/>
        </w:rPr>
        <w:t xml:space="preserve"> </w:t>
      </w:r>
      <w:r>
        <w:rPr>
          <w:rFonts w:ascii="Arial" w:hAnsi="Arial"/>
        </w:rPr>
        <w:t xml:space="preserve">وأدت القيود على الوصول إلى الموارد، لا سيما في المنطقة </w:t>
      </w:r>
      <w:r w:rsidR="00625EBC" w:rsidRPr="00625EBC">
        <w:rPr>
          <w:rFonts w:ascii="Arial" w:hAnsi="Arial" w:hint="cs"/>
          <w:b/>
          <w:bCs/>
        </w:rPr>
        <w:t>(</w:t>
      </w:r>
      <w:r w:rsidRPr="00625EBC">
        <w:rPr>
          <w:rFonts w:ascii="Arial" w:hAnsi="Arial"/>
          <w:b/>
          <w:bCs/>
        </w:rPr>
        <w:t>ج</w:t>
      </w:r>
      <w:r w:rsidR="00625EBC" w:rsidRPr="00625EBC">
        <w:rPr>
          <w:rFonts w:ascii="Arial" w:hAnsi="Arial" w:hint="cs"/>
          <w:b/>
          <w:bCs/>
        </w:rPr>
        <w:t>)</w:t>
      </w:r>
      <w:r>
        <w:rPr>
          <w:rFonts w:ascii="Arial" w:hAnsi="Arial"/>
        </w:rPr>
        <w:t>، إلى تقييد النشاط الاقتصادي بشدة في الضفة الغربية.</w:t>
      </w:r>
      <w:r w:rsidR="00022F13">
        <w:rPr>
          <w:rFonts w:ascii="Arial" w:hAnsi="Arial"/>
        </w:rPr>
        <w:t xml:space="preserve"> </w:t>
      </w:r>
      <w:r>
        <w:rPr>
          <w:rFonts w:ascii="Arial" w:hAnsi="Arial"/>
        </w:rPr>
        <w:t xml:space="preserve">ومن الممكن أن تحقق إزالة القيود الإسرائيلية على المنطقة </w:t>
      </w:r>
      <w:r w:rsidR="00625EBC" w:rsidRPr="00625EBC">
        <w:rPr>
          <w:rFonts w:ascii="Arial" w:hAnsi="Arial" w:hint="cs"/>
          <w:b/>
          <w:bCs/>
        </w:rPr>
        <w:t>(</w:t>
      </w:r>
      <w:r w:rsidR="00625EBC" w:rsidRPr="00625EBC">
        <w:rPr>
          <w:rFonts w:ascii="Arial" w:hAnsi="Arial"/>
          <w:b/>
          <w:bCs/>
        </w:rPr>
        <w:t>ج</w:t>
      </w:r>
      <w:r w:rsidR="00625EBC" w:rsidRPr="00625EBC">
        <w:rPr>
          <w:rFonts w:ascii="Arial" w:hAnsi="Arial" w:hint="cs"/>
          <w:b/>
          <w:bCs/>
        </w:rPr>
        <w:t>)</w:t>
      </w:r>
      <w:r w:rsidR="00625EBC">
        <w:rPr>
          <w:rFonts w:ascii="Arial" w:hAnsi="Arial" w:hint="cs"/>
          <w:b/>
          <w:bCs/>
        </w:rPr>
        <w:t xml:space="preserve"> </w:t>
      </w:r>
      <w:r>
        <w:rPr>
          <w:rFonts w:ascii="Arial" w:hAnsi="Arial"/>
        </w:rPr>
        <w:t>نموًا تراكميًا إضافيًا في اقتصاد الضفة الغربية يعادل 33% في 2025.</w:t>
      </w:r>
      <w:r w:rsidR="00022F13">
        <w:rPr>
          <w:rFonts w:ascii="Arial" w:hAnsi="Arial"/>
        </w:rPr>
        <w:t xml:space="preserve"> </w:t>
      </w:r>
      <w:r>
        <w:rPr>
          <w:rFonts w:ascii="Arial" w:hAnsi="Arial"/>
        </w:rPr>
        <w:t xml:space="preserve">وأدت القيود على حركة التجارة إلى تقييد النمو الذي تقوده الصادرات بشدة، وهو غاية </w:t>
      </w:r>
      <w:r w:rsidR="00AB2362">
        <w:rPr>
          <w:rFonts w:ascii="Arial" w:hAnsi="Arial"/>
        </w:rPr>
        <w:t xml:space="preserve">في </w:t>
      </w:r>
      <w:r>
        <w:rPr>
          <w:rFonts w:ascii="Arial" w:hAnsi="Arial"/>
        </w:rPr>
        <w:t>الأهمية بالنسبة لاقتصاد صغير الحجم، ومن ثم أدى ذلك إلى إعاقة تطوير وتنمية القطاع الخاص.</w:t>
      </w:r>
      <w:r w:rsidR="00022F13">
        <w:rPr>
          <w:rFonts w:ascii="Arial" w:hAnsi="Arial"/>
        </w:rPr>
        <w:t xml:space="preserve"> </w:t>
      </w:r>
      <w:r>
        <w:rPr>
          <w:rFonts w:ascii="Arial" w:hAnsi="Arial"/>
        </w:rPr>
        <w:t>وتمر معظم الصادرات والواردات الفلسطينية عبر الموانئ الإسرائيلية، ومن الممكن أن تؤدي التأخيرات بسبب الأوضاع الأمنية إلى زيادة التكاليف بقيمة تبلغ في المتوسط 538 دولارًا للشحنة.</w:t>
      </w:r>
      <w:r w:rsidR="00022F13">
        <w:rPr>
          <w:rFonts w:ascii="Arial" w:hAnsi="Arial"/>
        </w:rPr>
        <w:t xml:space="preserve"> </w:t>
      </w:r>
      <w:r>
        <w:rPr>
          <w:rFonts w:ascii="Arial" w:hAnsi="Arial"/>
        </w:rPr>
        <w:t xml:space="preserve">ومن الممكن أن يؤدي تخفيف قائمة الاستخدام المزدوج (قائمة السلع والبضائع الموجهة إلى الضفة الغربية أو </w:t>
      </w:r>
      <w:r w:rsidR="00AB2362">
        <w:rPr>
          <w:rFonts w:ascii="Arial" w:hAnsi="Arial" w:hint="cs"/>
        </w:rPr>
        <w:t xml:space="preserve">قطاع </w:t>
      </w:r>
      <w:r>
        <w:rPr>
          <w:rFonts w:ascii="Arial" w:hAnsi="Arial"/>
        </w:rPr>
        <w:t xml:space="preserve">غزة التي يمكن أن يكون لها استخدام مدني واستخدام عسكري) إلى تحقيق نمو تراكمي إضافي بنسبة 6% في اقتصاد الضفة الغربية في 2025، مع أثر أكبر يبلغ حوالي 11% في </w:t>
      </w:r>
      <w:r w:rsidR="00AB2362">
        <w:rPr>
          <w:rFonts w:ascii="Arial" w:hAnsi="Arial" w:hint="cs"/>
        </w:rPr>
        <w:t xml:space="preserve">قطاع </w:t>
      </w:r>
      <w:r>
        <w:rPr>
          <w:rFonts w:ascii="Arial" w:hAnsi="Arial"/>
        </w:rPr>
        <w:t>غزة.</w:t>
      </w:r>
      <w:r w:rsidR="00022F13">
        <w:rPr>
          <w:rFonts w:ascii="Arial" w:hAnsi="Arial"/>
        </w:rPr>
        <w:t xml:space="preserve"> </w:t>
      </w:r>
      <w:r>
        <w:rPr>
          <w:rFonts w:ascii="Arial" w:eastAsiaTheme="minorEastAsia" w:hAnsi="Arial"/>
          <w:color w:val="000000" w:themeColor="text1"/>
        </w:rPr>
        <w:t>ومن المتوقع أن يؤدي رفع الحصار إلى فتح غزة أمام حركة تجارة بالغة الأهمية تشتد الحاجة إليها لإعادة بناء بنيتها التحتية واقتصادها، ومن الممكن أن يؤدي</w:t>
      </w:r>
      <w:r w:rsidR="00625EBC">
        <w:rPr>
          <w:rFonts w:ascii="Arial" w:eastAsiaTheme="minorEastAsia" w:hAnsi="Arial" w:hint="cs"/>
          <w:color w:val="000000" w:themeColor="text1"/>
        </w:rPr>
        <w:t xml:space="preserve"> أيضًا</w:t>
      </w:r>
      <w:r>
        <w:rPr>
          <w:rFonts w:ascii="Arial" w:eastAsiaTheme="minorEastAsia" w:hAnsi="Arial"/>
          <w:color w:val="000000" w:themeColor="text1"/>
        </w:rPr>
        <w:t xml:space="preserve"> إلى تحقيق نمو تراكمي إضافي في حدود 32% في 2025 في اقتصاد غزة. </w:t>
      </w:r>
    </w:p>
    <w:p w14:paraId="5D06929C" w14:textId="77777777" w:rsidR="00B27E8E" w:rsidRPr="00604216" w:rsidRDefault="00B27E8E" w:rsidP="00604216">
      <w:pPr>
        <w:pStyle w:val="ListParagraph"/>
        <w:spacing w:after="0" w:line="240" w:lineRule="auto"/>
        <w:ind w:left="0"/>
        <w:jc w:val="both"/>
        <w:rPr>
          <w:rFonts w:ascii="Times New Roman" w:eastAsiaTheme="minorEastAsia" w:hAnsi="Times New Roman" w:cs="Times New Roman"/>
        </w:rPr>
      </w:pPr>
    </w:p>
    <w:p w14:paraId="60335C90" w14:textId="77777777" w:rsidR="00533926" w:rsidRPr="00533926" w:rsidRDefault="4F88A954" w:rsidP="4F88A954">
      <w:pPr>
        <w:pStyle w:val="ListParagraph"/>
        <w:numPr>
          <w:ilvl w:val="0"/>
          <w:numId w:val="6"/>
        </w:numPr>
        <w:spacing w:after="0" w:line="240" w:lineRule="auto"/>
        <w:jc w:val="both"/>
        <w:rPr>
          <w:rFonts w:asciiTheme="majorBidi" w:eastAsiaTheme="minorEastAsia" w:hAnsiTheme="majorBidi" w:cstheme="majorBidi"/>
        </w:rPr>
      </w:pPr>
      <w:r>
        <w:rPr>
          <w:rFonts w:ascii="Arial" w:hAnsi="Arial"/>
          <w:b/>
          <w:bCs/>
        </w:rPr>
        <w:t>يمثل مناخ أنشطة الأعمال المحلي الضعيف أحد المعوقات الكبرى أمام نشاط القطاع الخاص والتنمية.</w:t>
      </w:r>
      <w:r w:rsidR="00022F13">
        <w:rPr>
          <w:rFonts w:ascii="Arial" w:hAnsi="Arial"/>
          <w:b/>
          <w:bCs/>
        </w:rPr>
        <w:t xml:space="preserve"> </w:t>
      </w:r>
      <w:r>
        <w:rPr>
          <w:rFonts w:asciiTheme="majorBidi" w:eastAsiaTheme="minorEastAsia" w:hAnsiTheme="majorBidi" w:cstheme="majorBidi"/>
        </w:rPr>
        <w:t xml:space="preserve">وتعاني الاستثمارات الإنتاجية من اختناق بسبب المناخ التنظيمي المشوش والمهترئ الذي يتأثر بسيطرة المصالح المكتسبة. </w:t>
      </w:r>
      <w:r>
        <w:t>وبلغ ترتيب الضفة الغربية و</w:t>
      </w:r>
      <w:r w:rsidR="00AB2362">
        <w:rPr>
          <w:rFonts w:hint="cs"/>
        </w:rPr>
        <w:t xml:space="preserve">قطاع </w:t>
      </w:r>
      <w:r>
        <w:t>غزة 140 من بين 189 بلدًا في تقرير ممارسة أنشطة الأعمال.</w:t>
      </w:r>
      <w:r w:rsidR="00022F13">
        <w:t xml:space="preserve"> </w:t>
      </w:r>
      <w:r>
        <w:t xml:space="preserve">ودائمًا ما توجد اختلافات قانونية بين الضفة الغربية وقطاع غزة، وتتفاقم هذه الاختلافات بسبب التشريع المختلف الذي قامت السلطة الفلسطينية وحماس بسنه منذ 2007، </w:t>
      </w:r>
      <w:r w:rsidR="00AB2362">
        <w:rPr>
          <w:rFonts w:hint="cs"/>
        </w:rPr>
        <w:t xml:space="preserve">وهو </w:t>
      </w:r>
      <w:r>
        <w:t>ما أدى إلى إيجاد العديد من التناقضات الداخلية.</w:t>
      </w:r>
      <w:r w:rsidR="00022F13">
        <w:t xml:space="preserve"> </w:t>
      </w:r>
      <w:r>
        <w:rPr>
          <w:rFonts w:asciiTheme="majorBidi" w:eastAsiaTheme="minorEastAsia" w:hAnsiTheme="majorBidi" w:cstheme="majorBidi"/>
        </w:rPr>
        <w:t>وعلى ضوء القيود الشديدة على الأراضي، تمثل محدودية تسجيل الأراضي، وعدم وضوح حقوق الملكية العقارية حتى داخل الأراضي الخاضعة للسيطرة الفلسطينية تحديًا كبيرًا أمام التنمية الحضرية وتطوير نشاط الإسكان وتطوير الشركات وأنشطة الأعمال.</w:t>
      </w:r>
      <w:r w:rsidR="00022F13">
        <w:rPr>
          <w:rFonts w:asciiTheme="majorBidi" w:eastAsiaTheme="minorEastAsia" w:hAnsiTheme="majorBidi" w:cstheme="majorBidi"/>
        </w:rPr>
        <w:t xml:space="preserve"> </w:t>
      </w:r>
      <w:r>
        <w:rPr>
          <w:rFonts w:asciiTheme="majorBidi" w:eastAsiaTheme="minorEastAsia" w:hAnsiTheme="majorBidi" w:cstheme="majorBidi"/>
        </w:rPr>
        <w:t>ولا تتجاوز نسبة تسجيل الأراضي في الوقت الحالي في الضفة الغربية بعقود ملكية خالصة لا نزاع فيها 30%.</w:t>
      </w:r>
      <w:r w:rsidR="00022F13">
        <w:rPr>
          <w:rFonts w:asciiTheme="majorBidi" w:eastAsiaTheme="minorEastAsia" w:hAnsiTheme="majorBidi" w:cstheme="majorBidi"/>
        </w:rPr>
        <w:t xml:space="preserve"> </w:t>
      </w:r>
      <w:r>
        <w:rPr>
          <w:rFonts w:asciiTheme="majorBidi" w:eastAsiaTheme="minorEastAsia" w:hAnsiTheme="majorBidi" w:cstheme="majorBidi"/>
        </w:rPr>
        <w:t>وعلى الرغم من أن توفير التمويل لا يعتبر أحد المعوقات أمام الشركات الكبرى، فإنه لا يزال تحديًا أمام المؤسسات والمشروعات الصغيرة والمتوسطة والشركات غير الرسمية.</w:t>
      </w:r>
      <w:r w:rsidR="00022F13">
        <w:rPr>
          <w:rFonts w:asciiTheme="majorBidi" w:eastAsiaTheme="minorEastAsia" w:hAnsiTheme="majorBidi" w:cstheme="majorBidi"/>
        </w:rPr>
        <w:t xml:space="preserve"> </w:t>
      </w:r>
      <w:r>
        <w:rPr>
          <w:rFonts w:asciiTheme="majorBidi" w:eastAsiaTheme="minorEastAsia" w:hAnsiTheme="majorBidi" w:cstheme="majorBidi"/>
        </w:rPr>
        <w:t>وتعاني الشركات الصغيرة والمتوسطة من انقطاع التيار الكهربائي وزيادة تكاليف الترتيبات الاحتياطية البديلة لتأمين الخدمات الأساسية الحساسة لا سيما في غزة.</w:t>
      </w:r>
      <w:r w:rsidR="00022F13">
        <w:rPr>
          <w:rFonts w:asciiTheme="majorBidi" w:eastAsiaTheme="minorEastAsia" w:hAnsiTheme="majorBidi" w:cstheme="majorBidi"/>
        </w:rPr>
        <w:t xml:space="preserve"> </w:t>
      </w:r>
      <w:r>
        <w:t xml:space="preserve">وتشير تقديرات البنك الدولي إلى أن الإصلاحات التي تقودها السلطة الفلسطينية من الممكن أن تحقق نموًا تراكميًا إضافيًا في حدود 24% في الضفة الغربية في 2025، ونسبة أعلى تصل إلى 30% وذلك بفضل تدني التأثيرات الأساسية السلبية. </w:t>
      </w:r>
    </w:p>
    <w:p w14:paraId="2D72DDC0" w14:textId="77777777" w:rsidR="00533926" w:rsidRPr="00533926" w:rsidRDefault="00533926" w:rsidP="00533926">
      <w:pPr>
        <w:pStyle w:val="ListParagraph"/>
        <w:spacing w:after="0" w:line="240" w:lineRule="auto"/>
        <w:ind w:left="0"/>
        <w:jc w:val="both"/>
        <w:rPr>
          <w:rFonts w:asciiTheme="majorBidi" w:eastAsiaTheme="minorEastAsia" w:hAnsiTheme="majorBidi" w:cstheme="majorBidi"/>
        </w:rPr>
      </w:pPr>
    </w:p>
    <w:p w14:paraId="2AB1D5A2" w14:textId="77777777" w:rsidR="00906AEA" w:rsidRPr="006A6360" w:rsidRDefault="4F88A954" w:rsidP="005466C5">
      <w:pPr>
        <w:pStyle w:val="ListParagraph"/>
        <w:numPr>
          <w:ilvl w:val="0"/>
          <w:numId w:val="6"/>
        </w:numPr>
        <w:spacing w:after="0" w:line="240" w:lineRule="auto"/>
        <w:jc w:val="both"/>
        <w:rPr>
          <w:rFonts w:asciiTheme="majorBidi" w:eastAsiaTheme="minorEastAsia" w:hAnsiTheme="majorBidi" w:cstheme="majorBidi"/>
        </w:rPr>
      </w:pPr>
      <w:r>
        <w:rPr>
          <w:rFonts w:ascii="Arial" w:hAnsi="Arial"/>
          <w:b/>
          <w:bCs/>
        </w:rPr>
        <w:t>لا تقدم قوة العمل المهارات التي تحتاجها الشركات وأنشطة الأعمال، وتزيد معدلات البطالة بين النساء والشباب المتعلمين.</w:t>
      </w:r>
      <w:r w:rsidR="00022F13">
        <w:rPr>
          <w:rFonts w:ascii="Arial" w:hAnsi="Arial"/>
          <w:b/>
          <w:bCs/>
        </w:rPr>
        <w:t xml:space="preserve"> </w:t>
      </w:r>
      <w:r>
        <w:rPr>
          <w:rFonts w:asciiTheme="majorBidi" w:eastAsiaTheme="minorEastAsia" w:hAnsiTheme="majorBidi" w:cstheme="majorBidi"/>
        </w:rPr>
        <w:t>ولا يقدم نظام التعليم المهارات التي يحتاجها سوق العمل.</w:t>
      </w:r>
      <w:r w:rsidR="00022F13">
        <w:rPr>
          <w:rFonts w:asciiTheme="majorBidi" w:eastAsiaTheme="minorEastAsia" w:hAnsiTheme="majorBidi" w:cstheme="majorBidi"/>
        </w:rPr>
        <w:t xml:space="preserve"> </w:t>
      </w:r>
      <w:r>
        <w:rPr>
          <w:rFonts w:asciiTheme="majorBidi" w:eastAsiaTheme="minorEastAsia" w:hAnsiTheme="majorBidi" w:cstheme="majorBidi"/>
        </w:rPr>
        <w:t>ولا يتخرج من الجامعات في الضفة الغربية و</w:t>
      </w:r>
      <w:r w:rsidR="005466C5">
        <w:rPr>
          <w:rFonts w:asciiTheme="majorBidi" w:eastAsiaTheme="minorEastAsia" w:hAnsiTheme="majorBidi" w:cstheme="majorBidi" w:hint="cs"/>
        </w:rPr>
        <w:t xml:space="preserve">قطاع </w:t>
      </w:r>
      <w:r>
        <w:rPr>
          <w:rFonts w:asciiTheme="majorBidi" w:eastAsiaTheme="minorEastAsia" w:hAnsiTheme="majorBidi" w:cstheme="majorBidi"/>
        </w:rPr>
        <w:t xml:space="preserve">غزة من يتسلحون بالمهارات التي يحتاجها القطاع الخاص، وتعتبر تنمية مهارات قوة العمل الحالية غاية </w:t>
      </w:r>
      <w:r w:rsidR="005466C5">
        <w:rPr>
          <w:rFonts w:asciiTheme="majorBidi" w:eastAsiaTheme="minorEastAsia" w:hAnsiTheme="majorBidi" w:cstheme="majorBidi"/>
        </w:rPr>
        <w:t xml:space="preserve">في </w:t>
      </w:r>
      <w:r>
        <w:rPr>
          <w:rFonts w:asciiTheme="majorBidi" w:eastAsiaTheme="minorEastAsia" w:hAnsiTheme="majorBidi" w:cstheme="majorBidi"/>
        </w:rPr>
        <w:t>الأهمية لزيادة الإنتاجية والقدرة على المنافسة لدى الشركات.</w:t>
      </w:r>
      <w:r w:rsidR="00022F13">
        <w:rPr>
          <w:rFonts w:asciiTheme="majorBidi" w:eastAsiaTheme="minorEastAsia" w:hAnsiTheme="majorBidi" w:cstheme="majorBidi"/>
        </w:rPr>
        <w:t xml:space="preserve"> </w:t>
      </w:r>
      <w:r>
        <w:rPr>
          <w:rFonts w:ascii="Arial" w:hAnsi="Arial"/>
        </w:rPr>
        <w:t xml:space="preserve">ويواجه الشبان الفلسطينيون تحديات خطيرة تتعلق بالحصول على فرصة عمل عند التخرج من النظام التعليمي. وتزيد معدلات البطالة بين الخريجين من الجامعة ومؤسسات التعليم الثانوي </w:t>
      </w:r>
      <w:r w:rsidR="00B31875">
        <w:rPr>
          <w:rFonts w:ascii="Arial" w:hAnsi="Arial" w:hint="cs"/>
        </w:rPr>
        <w:t>على 60</w:t>
      </w:r>
      <w:r w:rsidR="0087205C">
        <w:rPr>
          <w:rFonts w:ascii="Arial" w:hAnsi="Arial"/>
        </w:rPr>
        <w:t>%</w:t>
      </w:r>
      <w:r>
        <w:rPr>
          <w:rFonts w:ascii="Arial" w:hAnsi="Arial"/>
        </w:rPr>
        <w:t xml:space="preserve"> عند سن التخرج (23 عاما لمن يحملون شهادات جامعية و18 عاما لحملة </w:t>
      </w:r>
      <w:r w:rsidR="005316CE">
        <w:rPr>
          <w:rFonts w:ascii="Arial" w:hAnsi="Arial" w:hint="cs"/>
        </w:rPr>
        <w:t>ديبلوما</w:t>
      </w:r>
      <w:r w:rsidR="005316CE">
        <w:rPr>
          <w:rFonts w:ascii="Arial" w:hAnsi="Arial" w:hint="eastAsia"/>
        </w:rPr>
        <w:t>ت</w:t>
      </w:r>
      <w:r>
        <w:rPr>
          <w:rFonts w:ascii="Arial" w:hAnsi="Arial"/>
        </w:rPr>
        <w:t xml:space="preserve"> التعليم الثانوي). وفي الضفة الغربية، تصل نسبة العاطلين بين الذكور من الشباب إلى 33</w:t>
      </w:r>
      <w:r w:rsidR="0087205C">
        <w:rPr>
          <w:rFonts w:ascii="Arial" w:hAnsi="Arial"/>
        </w:rPr>
        <w:t>%</w:t>
      </w:r>
      <w:r>
        <w:rPr>
          <w:rFonts w:ascii="Arial" w:hAnsi="Arial"/>
        </w:rPr>
        <w:t xml:space="preserve"> بحلول سن 23 عاما (20</w:t>
      </w:r>
      <w:r w:rsidR="0087205C">
        <w:rPr>
          <w:rFonts w:ascii="Arial" w:hAnsi="Arial"/>
        </w:rPr>
        <w:t>%</w:t>
      </w:r>
      <w:r>
        <w:rPr>
          <w:rFonts w:ascii="Arial" w:hAnsi="Arial"/>
        </w:rPr>
        <w:t xml:space="preserve"> عاطلون و14</w:t>
      </w:r>
      <w:r w:rsidR="0087205C">
        <w:rPr>
          <w:rFonts w:ascii="Arial" w:hAnsi="Arial"/>
        </w:rPr>
        <w:t>%</w:t>
      </w:r>
      <w:r>
        <w:rPr>
          <w:rFonts w:ascii="Arial" w:hAnsi="Arial"/>
        </w:rPr>
        <w:t xml:space="preserve"> </w:t>
      </w:r>
      <w:r w:rsidR="005466C5">
        <w:rPr>
          <w:rFonts w:ascii="Arial" w:hAnsi="Arial"/>
        </w:rPr>
        <w:t>متوقف</w:t>
      </w:r>
      <w:r w:rsidR="005466C5">
        <w:rPr>
          <w:rFonts w:ascii="Arial" w:hAnsi="Arial" w:hint="cs"/>
        </w:rPr>
        <w:t>و</w:t>
      </w:r>
      <w:r w:rsidR="005466C5">
        <w:rPr>
          <w:rFonts w:ascii="Arial" w:hAnsi="Arial"/>
        </w:rPr>
        <w:t xml:space="preserve">ن </w:t>
      </w:r>
      <w:r>
        <w:rPr>
          <w:rFonts w:ascii="Arial" w:hAnsi="Arial"/>
        </w:rPr>
        <w:t xml:space="preserve">عن العمل). ويتسم هذا الموقف بالحدة في </w:t>
      </w:r>
      <w:r w:rsidR="005466C5">
        <w:rPr>
          <w:rFonts w:ascii="Arial" w:hAnsi="Arial" w:hint="cs"/>
        </w:rPr>
        <w:t xml:space="preserve">قطاع </w:t>
      </w:r>
      <w:r>
        <w:rPr>
          <w:rFonts w:ascii="Arial" w:hAnsi="Arial"/>
        </w:rPr>
        <w:t>غزة حيث تبلغ معدلات البطالة 35% بين الشباب الذكور في عمر 26 سنة. ويبلغ المعدل العام للبطالة بين النساء 19%، وهو معدل منخفض بصورة ملحوظة حتى عند المقارنة بالمتوسط السائد في بلدان منطقة الشرق الأوسط وشمال أفريقيا البالغ 22% في 2014، وهو أحد المعدلات الأكثر انخفاضًا في البلدان النامية.</w:t>
      </w:r>
      <w:r w:rsidR="00022F13">
        <w:rPr>
          <w:rFonts w:ascii="Arial" w:hAnsi="Arial"/>
        </w:rPr>
        <w:t xml:space="preserve"> </w:t>
      </w:r>
      <w:r>
        <w:rPr>
          <w:rFonts w:ascii="Arial" w:hAnsi="Arial"/>
        </w:rPr>
        <w:t xml:space="preserve">ومن أعراض سوق العمل الفلسطيني ضعف الانتقال من التعليم إلى العمل، ويتسم هذا السوق بضعف القدرة الاستيعابية للقطاع الخاص، مع ضعف سبل الوصول إلى فرص عمل بالخارج. واتسعت الفجوة بين معدلات مشاركة الذكور والإناث في سوق العمل على مدى السنوات العشر الماضية لتصل إلى 54% في 2015. </w:t>
      </w:r>
    </w:p>
    <w:p w14:paraId="035D7B40" w14:textId="77777777" w:rsidR="00E13DC2" w:rsidRPr="00906AEA" w:rsidRDefault="00E13DC2" w:rsidP="0063513D">
      <w:pPr>
        <w:pStyle w:val="ListParagraph"/>
        <w:spacing w:after="0" w:line="240" w:lineRule="auto"/>
        <w:ind w:left="0"/>
        <w:jc w:val="both"/>
        <w:rPr>
          <w:b/>
          <w:highlight w:val="yellow"/>
        </w:rPr>
      </w:pPr>
    </w:p>
    <w:p w14:paraId="344E0018" w14:textId="77777777" w:rsidR="00E13DC2" w:rsidRPr="00E13DC2" w:rsidRDefault="4F88A954" w:rsidP="4F88A954">
      <w:pPr>
        <w:pStyle w:val="Default"/>
        <w:numPr>
          <w:ilvl w:val="0"/>
          <w:numId w:val="6"/>
        </w:numPr>
        <w:jc w:val="both"/>
        <w:rPr>
          <w:rFonts w:eastAsia="Arial"/>
        </w:rPr>
      </w:pPr>
      <w:r>
        <w:rPr>
          <w:b/>
          <w:bCs/>
        </w:rPr>
        <w:t>يعتمد الاقتصاد الفلسطيني على التجارة الإقليمية.</w:t>
      </w:r>
      <w:r w:rsidR="00022F13">
        <w:t xml:space="preserve"> </w:t>
      </w:r>
      <w:r>
        <w:rPr>
          <w:sz w:val="22"/>
          <w:szCs w:val="22"/>
        </w:rPr>
        <w:t>ويبلغ حجم الواردات (التي تمثل 57% من إجمالي الناتج المحلي) 3.2 مثل حجم الصادرات التي تمثل 18% من إجمالي الناتج المحلي في 2016. وينطوي هذا على عجز في الميزان التجاري الخارجي يقارب 40% من إجمالي الناتج المحلي ــ وهي نسبة من أعلى المعدلات في العالم.</w:t>
      </w:r>
      <w:r w:rsidR="00022F13">
        <w:rPr>
          <w:sz w:val="22"/>
          <w:szCs w:val="22"/>
        </w:rPr>
        <w:t xml:space="preserve"> </w:t>
      </w:r>
      <w:r>
        <w:rPr>
          <w:sz w:val="22"/>
          <w:szCs w:val="22"/>
        </w:rPr>
        <w:t>وتتركز الغالبية العظمى من التجارة مع شريك تجاري منفرد هو إسرائيل.</w:t>
      </w:r>
      <w:r w:rsidR="00022F13">
        <w:rPr>
          <w:sz w:val="22"/>
          <w:szCs w:val="22"/>
        </w:rPr>
        <w:t xml:space="preserve"> </w:t>
      </w:r>
      <w:r>
        <w:rPr>
          <w:sz w:val="22"/>
          <w:szCs w:val="22"/>
        </w:rPr>
        <w:t>وتمثل إسرائيل نسبة 63% من الواردات و79% من الصادرات بالنسبة للضفة الغربية وقطاع غزة.</w:t>
      </w:r>
      <w:r w:rsidR="00022F13">
        <w:rPr>
          <w:sz w:val="22"/>
          <w:szCs w:val="22"/>
        </w:rPr>
        <w:t xml:space="preserve"> </w:t>
      </w:r>
      <w:r>
        <w:rPr>
          <w:sz w:val="22"/>
          <w:szCs w:val="22"/>
        </w:rPr>
        <w:t xml:space="preserve">ويشير نموذج </w:t>
      </w:r>
      <w:r w:rsidR="00975DE1">
        <w:rPr>
          <w:rFonts w:hint="cs"/>
          <w:sz w:val="22"/>
          <w:szCs w:val="22"/>
        </w:rPr>
        <w:t>ال</w:t>
      </w:r>
      <w:r w:rsidR="00975DE1">
        <w:rPr>
          <w:sz w:val="22"/>
          <w:szCs w:val="22"/>
        </w:rPr>
        <w:t xml:space="preserve">جاذبية </w:t>
      </w:r>
      <w:r w:rsidR="00975DE1">
        <w:rPr>
          <w:rFonts w:hint="cs"/>
          <w:sz w:val="22"/>
          <w:szCs w:val="22"/>
        </w:rPr>
        <w:t>الخاص با</w:t>
      </w:r>
      <w:r>
        <w:rPr>
          <w:sz w:val="22"/>
          <w:szCs w:val="22"/>
        </w:rPr>
        <w:t>لتجارة بين الاقتصاد الفلسطيني وبقية العالم إلى أنه بناء على حجمها ودخلها وقربها من الأسواق الكبرى (على سبيل المثال، إسرائيل وأوروبا ودول الخليج)، فإن الصادرات الفلسطينية من الممكن أن تكون ضعف مستوياتها الحالية.</w:t>
      </w:r>
      <w:r w:rsidR="00022F13">
        <w:rPr>
          <w:sz w:val="22"/>
          <w:szCs w:val="22"/>
        </w:rPr>
        <w:t xml:space="preserve"> </w:t>
      </w:r>
    </w:p>
    <w:p w14:paraId="2F667B40" w14:textId="77777777" w:rsidR="009E2551" w:rsidRPr="00A63F6F" w:rsidRDefault="009E2551" w:rsidP="0096790B">
      <w:pPr>
        <w:pStyle w:val="ListParagraph"/>
        <w:spacing w:after="0" w:line="240" w:lineRule="auto"/>
        <w:ind w:left="0"/>
        <w:jc w:val="both"/>
        <w:rPr>
          <w:rFonts w:asciiTheme="majorBidi" w:eastAsiaTheme="minorEastAsia" w:hAnsiTheme="majorBidi" w:cstheme="majorBidi"/>
        </w:rPr>
      </w:pPr>
    </w:p>
    <w:p w14:paraId="09931A9F" w14:textId="77777777" w:rsidR="00C75436" w:rsidRPr="00E35E35" w:rsidRDefault="0019125C" w:rsidP="4F88A954">
      <w:pPr>
        <w:pStyle w:val="ListParagraph"/>
        <w:numPr>
          <w:ilvl w:val="0"/>
          <w:numId w:val="6"/>
        </w:numPr>
        <w:spacing w:after="0" w:line="240" w:lineRule="auto"/>
        <w:jc w:val="both"/>
        <w:rPr>
          <w:rFonts w:asciiTheme="majorBidi" w:eastAsiaTheme="minorEastAsia" w:hAnsiTheme="majorBidi" w:cstheme="majorBidi"/>
        </w:rPr>
      </w:pPr>
      <w:r>
        <w:rPr>
          <w:rFonts w:ascii="Arial" w:hAnsi="Arial"/>
          <w:b/>
          <w:bCs/>
        </w:rPr>
        <w:t>تمثل الأطر المؤسسية التي يشوبها قصور وعدم كفاية وكفاءة الانضباط المالي أحد العوائق الكبرى أمام تقديم الخدمات، وهو ما يثني القطاع الخاص عن المشاركة.</w:t>
      </w:r>
      <w:r w:rsidR="00022F13">
        <w:rPr>
          <w:rFonts w:ascii="Arial" w:hAnsi="Arial"/>
          <w:b/>
          <w:bCs/>
        </w:rPr>
        <w:t xml:space="preserve"> </w:t>
      </w:r>
      <w:r>
        <w:rPr>
          <w:rFonts w:ascii="Arial" w:hAnsi="Arial"/>
        </w:rPr>
        <w:t xml:space="preserve">وثمة حاجة إلى أداء تشغيلي ومالي أقوى للمؤسسات، ويشمل ذلك مقدمي الخدمات على المستوى </w:t>
      </w:r>
      <w:r>
        <w:rPr>
          <w:rFonts w:ascii="Arial" w:hAnsi="Arial"/>
        </w:rPr>
        <w:lastRenderedPageBreak/>
        <w:t>الميداني (على سبيل المثال، وحدات أجهزة الحكم المحلي) مثل البلديات، ومجالس الخدمات المشتركة، والمجالس القروية، وذلك لجعلها مستدامة.</w:t>
      </w:r>
      <w:r w:rsidR="00022F13">
        <w:rPr>
          <w:rFonts w:ascii="Arial" w:hAnsi="Arial"/>
        </w:rPr>
        <w:t xml:space="preserve"> </w:t>
      </w:r>
      <w:r>
        <w:rPr>
          <w:rFonts w:ascii="Arial" w:hAnsi="Arial"/>
        </w:rPr>
        <w:t>ولا يثق القطاع الخاص في شفافية واستقرار السياسات الحكومية وفي السلامة المالية لمقدمي الخدمات على المستوى الميداني وفي معايير الإدارة المالية والمعايير المحاسبية.</w:t>
      </w:r>
      <w:r w:rsidR="00022F13">
        <w:rPr>
          <w:rFonts w:ascii="Arial" w:hAnsi="Arial"/>
        </w:rPr>
        <w:t xml:space="preserve"> </w:t>
      </w:r>
      <w:r>
        <w:rPr>
          <w:rFonts w:ascii="Arial" w:hAnsi="Arial"/>
        </w:rPr>
        <w:t xml:space="preserve">ومن الضروري تفعيل الجهود المنسقة على المستوى المركزي لتصحيح </w:t>
      </w:r>
      <w:r w:rsidR="00975DE1">
        <w:rPr>
          <w:rFonts w:ascii="Arial" w:hAnsi="Arial" w:hint="cs"/>
        </w:rPr>
        <w:t>هيكل</w:t>
      </w:r>
      <w:r>
        <w:rPr>
          <w:rFonts w:ascii="Arial" w:hAnsi="Arial"/>
        </w:rPr>
        <w:t xml:space="preserve"> المالية العامة بين الأجهزة الحكومية.</w:t>
      </w:r>
      <w:r w:rsidR="00022F13">
        <w:rPr>
          <w:rFonts w:ascii="Arial" w:hAnsi="Arial"/>
        </w:rPr>
        <w:t xml:space="preserve"> </w:t>
      </w:r>
      <w:r>
        <w:rPr>
          <w:rFonts w:ascii="Arial" w:hAnsi="Arial"/>
        </w:rPr>
        <w:t>وتشجع الحوافز الحالية على تراكم المتأخرات بين المؤسسات، كما تشجع الدعم التحويلي الذي يعمل على تحويل مسار الموارد من الخدمات الأساسية المولدة لإيرادات.</w:t>
      </w:r>
      <w:r w:rsidR="00022F13">
        <w:rPr>
          <w:rFonts w:ascii="Arial" w:hAnsi="Arial"/>
        </w:rPr>
        <w:t xml:space="preserve"> </w:t>
      </w:r>
      <w:r>
        <w:rPr>
          <w:rFonts w:ascii="Arial" w:hAnsi="Arial"/>
        </w:rPr>
        <w:t xml:space="preserve">وتؤدي هذه الممارسات إلى تقويض ثقة القطاع الخاص وإحجامه عن الاستثمار في خدمات البنية التحتية التي من الممكن أن تتسم بالسلامة التجارية. </w:t>
      </w:r>
    </w:p>
    <w:p w14:paraId="6B710D77" w14:textId="77777777" w:rsidR="00E35E35" w:rsidRPr="00533926" w:rsidRDefault="00E35E35" w:rsidP="00E35E35">
      <w:pPr>
        <w:pStyle w:val="ListParagraph"/>
        <w:spacing w:after="0" w:line="240" w:lineRule="auto"/>
        <w:ind w:left="0"/>
        <w:jc w:val="both"/>
        <w:rPr>
          <w:rFonts w:asciiTheme="majorBidi" w:eastAsiaTheme="minorEastAsia" w:hAnsiTheme="majorBidi" w:cstheme="majorBidi"/>
        </w:rPr>
      </w:pPr>
    </w:p>
    <w:p w14:paraId="6B1E87E9" w14:textId="77777777" w:rsidR="00795E56" w:rsidRPr="00AF44FA" w:rsidRDefault="4F88A954" w:rsidP="00E374B0">
      <w:pPr>
        <w:pStyle w:val="ListParagraph"/>
        <w:numPr>
          <w:ilvl w:val="0"/>
          <w:numId w:val="6"/>
        </w:numPr>
        <w:spacing w:after="0" w:line="240" w:lineRule="auto"/>
        <w:jc w:val="both"/>
        <w:rPr>
          <w:rFonts w:ascii="Arial" w:hAnsi="Arial" w:cs="Arial"/>
          <w:b/>
          <w:bCs/>
        </w:rPr>
      </w:pPr>
      <w:r w:rsidRPr="00AF44FA">
        <w:rPr>
          <w:rFonts w:ascii="Arial" w:hAnsi="Arial"/>
          <w:b/>
          <w:bCs/>
        </w:rPr>
        <w:t>يؤدي عدم كفاية الموارد مثل المياه وإمدادات الكهرباء والقصور في الأطر المؤسسية المنظمة لهذه القطاعات إلى إعاقة التنمية الاقتصادية.</w:t>
      </w:r>
      <w:r w:rsidR="00022F13" w:rsidRPr="00AF44FA">
        <w:rPr>
          <w:rFonts w:ascii="Arial" w:hAnsi="Arial"/>
          <w:b/>
          <w:bCs/>
        </w:rPr>
        <w:t xml:space="preserve"> </w:t>
      </w:r>
      <w:r w:rsidRPr="00AF44FA">
        <w:rPr>
          <w:rFonts w:ascii="Arial" w:hAnsi="Arial"/>
        </w:rPr>
        <w:t>وتقيد اتفاقات أوسلو بشدة سبل وصول السكان إلى المياه في الضفة الغربية.</w:t>
      </w:r>
      <w:r w:rsidR="00022F13" w:rsidRPr="00AF44FA">
        <w:rPr>
          <w:rFonts w:ascii="Arial" w:hAnsi="Arial"/>
        </w:rPr>
        <w:t xml:space="preserve"> </w:t>
      </w:r>
      <w:r w:rsidRPr="00AF44FA">
        <w:rPr>
          <w:rFonts w:ascii="Arial" w:hAnsi="Arial"/>
        </w:rPr>
        <w:t>ويؤدي عدم اكتمال إصلاح قطاع المياه والترتيبات التمويلية المشوهة إلى تفاقم أزمة المياه الحالية، الأمر الذي ينجم عنه زيادة في الخسائر الفنية والتجارية.</w:t>
      </w:r>
      <w:r w:rsidR="00022F13" w:rsidRPr="00AF44FA">
        <w:rPr>
          <w:rFonts w:ascii="Arial" w:hAnsi="Arial"/>
        </w:rPr>
        <w:t xml:space="preserve"> </w:t>
      </w:r>
      <w:r w:rsidR="00AF44FA">
        <w:rPr>
          <w:rFonts w:ascii="Arial" w:hAnsi="Arial"/>
        </w:rPr>
        <w:t>ويواجه المواطنون والشركات نق</w:t>
      </w:r>
      <w:r w:rsidR="00AF44FA">
        <w:rPr>
          <w:rFonts w:ascii="Arial" w:hAnsi="Arial" w:hint="cs"/>
        </w:rPr>
        <w:t>صًا</w:t>
      </w:r>
      <w:r w:rsidRPr="00AF44FA">
        <w:rPr>
          <w:rFonts w:ascii="Arial" w:hAnsi="Arial"/>
        </w:rPr>
        <w:t xml:space="preserve"> متزايدًا في المياه، لا سيما أثناء شهور الصيف وفي المناطق المهمشة.</w:t>
      </w:r>
      <w:r w:rsidR="00022F13" w:rsidRPr="00AF44FA">
        <w:rPr>
          <w:rFonts w:ascii="Arial" w:hAnsi="Arial"/>
        </w:rPr>
        <w:t xml:space="preserve"> </w:t>
      </w:r>
      <w:r w:rsidRPr="00AF44FA">
        <w:rPr>
          <w:rFonts w:ascii="Arial" w:hAnsi="Arial"/>
        </w:rPr>
        <w:t>ويتطلب تحسين الأمن المائي أيضًا حلول طاقة أكثر موثوقية وأقل تكلفة، ويشمل ذلك الكهرباء المولدة من الطاقة الشمسية، واستخدام الغاز الطبيعي، وزيادة إمدادات الكهرباء من</w:t>
      </w:r>
      <w:r w:rsidR="00022F13" w:rsidRPr="00AF44FA">
        <w:rPr>
          <w:rFonts w:ascii="Arial" w:hAnsi="Arial"/>
        </w:rPr>
        <w:t xml:space="preserve"> </w:t>
      </w:r>
      <w:r w:rsidRPr="00AF44FA">
        <w:rPr>
          <w:rFonts w:ascii="Arial" w:hAnsi="Arial"/>
        </w:rPr>
        <w:t>شركة كهرباء إسرائيل.</w:t>
      </w:r>
      <w:r w:rsidR="00022F13" w:rsidRPr="00AF44FA">
        <w:rPr>
          <w:rFonts w:ascii="Arial" w:hAnsi="Arial"/>
        </w:rPr>
        <w:t xml:space="preserve"> </w:t>
      </w:r>
      <w:r w:rsidRPr="00AF44FA">
        <w:rPr>
          <w:rFonts w:ascii="Arial" w:hAnsi="Arial"/>
        </w:rPr>
        <w:t>وسيطلب مقدمو الخدمة المستقلون اتفاقيات تجارية موثوقة ويُعتمد عليها مع تأكيدات كافية على تغطية التكاليف الخاصة بهم.</w:t>
      </w:r>
      <w:r w:rsidR="00022F13" w:rsidRPr="00AF44FA">
        <w:rPr>
          <w:rFonts w:ascii="Arial" w:hAnsi="Arial"/>
        </w:rPr>
        <w:t xml:space="preserve"> </w:t>
      </w:r>
      <w:r w:rsidRPr="00AF44FA">
        <w:rPr>
          <w:rFonts w:ascii="Arial" w:hAnsi="Arial"/>
        </w:rPr>
        <w:t>وسيستلزم ذلك تحسينات هائلة في الانضباط المالي لإدارة التدفقات النقدية في هذا القطاع.</w:t>
      </w:r>
      <w:r w:rsidR="00022F13" w:rsidRPr="00AF44FA">
        <w:rPr>
          <w:rFonts w:ascii="Arial" w:hAnsi="Arial"/>
        </w:rPr>
        <w:t xml:space="preserve"> </w:t>
      </w:r>
      <w:r w:rsidRPr="00AF44FA">
        <w:rPr>
          <w:rFonts w:ascii="Arial" w:hAnsi="Arial"/>
        </w:rPr>
        <w:t>وفي غزة تتسم محطة توليد الكهرباء التي تعمل بالديزل المستورد بعدم الكفاءة، ولم يتم تعافيها من الخراب الذي لحق بها أثناء الحروب، وقد تدهور نظام توزيع الكهرباء المستوردة.</w:t>
      </w:r>
      <w:r w:rsidR="00022F13" w:rsidRPr="00AF44FA">
        <w:rPr>
          <w:rFonts w:ascii="Arial" w:hAnsi="Arial"/>
        </w:rPr>
        <w:t xml:space="preserve"> </w:t>
      </w:r>
      <w:r w:rsidRPr="00AF44FA">
        <w:rPr>
          <w:rFonts w:ascii="Arial" w:hAnsi="Arial"/>
        </w:rPr>
        <w:t>وتتطلب أي جهود لتوسيع نطاق أو تطوير أو ببساطة الحفاظ على الشركات القائمة استثمارات هائلة في قطاعي المياه والكهرباء.</w:t>
      </w:r>
      <w:r w:rsidR="00022F13" w:rsidRPr="00AF44FA">
        <w:rPr>
          <w:rFonts w:ascii="Arial" w:hAnsi="Arial"/>
        </w:rPr>
        <w:t xml:space="preserve"> </w:t>
      </w:r>
    </w:p>
    <w:p w14:paraId="0D50F540" w14:textId="77777777" w:rsidR="00795E56" w:rsidRPr="00FF751F" w:rsidRDefault="0087205C" w:rsidP="00795E56">
      <w:pPr>
        <w:pStyle w:val="ListParagraph"/>
        <w:spacing w:after="0" w:line="240" w:lineRule="auto"/>
        <w:ind w:left="0"/>
        <w:jc w:val="both"/>
        <w:rPr>
          <w:rFonts w:asciiTheme="majorBidi" w:eastAsiaTheme="minorEastAsia" w:hAnsiTheme="majorBidi" w:cstheme="majorBidi"/>
        </w:rPr>
      </w:pPr>
      <w:r>
        <w:rPr>
          <w:b/>
          <w:bCs/>
          <w:noProof/>
          <w:highlight w:val="yellow"/>
          <w:lang w:eastAsia="en-US"/>
        </w:rPr>
        <mc:AlternateContent>
          <mc:Choice Requires="wps">
            <w:drawing>
              <wp:anchor distT="45720" distB="45720" distL="114300" distR="114300" simplePos="0" relativeHeight="251688448" behindDoc="0" locked="0" layoutInCell="1" allowOverlap="1">
                <wp:simplePos x="0" y="0"/>
                <wp:positionH relativeFrom="margin">
                  <wp:posOffset>0</wp:posOffset>
                </wp:positionH>
                <wp:positionV relativeFrom="paragraph">
                  <wp:posOffset>207645</wp:posOffset>
                </wp:positionV>
                <wp:extent cx="5924550" cy="1552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52575"/>
                        </a:xfrm>
                        <a:prstGeom prst="rect">
                          <a:avLst/>
                        </a:prstGeom>
                        <a:solidFill>
                          <a:sysClr val="window" lastClr="FFFFFF">
                            <a:lumMod val="85000"/>
                          </a:sysClr>
                        </a:solidFill>
                        <a:ln w="9525">
                          <a:solidFill>
                            <a:srgbClr val="000000"/>
                          </a:solidFill>
                          <a:miter lim="800000"/>
                          <a:headEnd/>
                          <a:tailEnd/>
                        </a:ln>
                      </wps:spPr>
                      <wps:txbx>
                        <w:txbxContent>
                          <w:p w14:paraId="7A927941" w14:textId="77777777" w:rsidR="00205E55" w:rsidRPr="00E95046" w:rsidRDefault="00205E55" w:rsidP="00795E56">
                            <w:pPr>
                              <w:pStyle w:val="Caption"/>
                              <w:jc w:val="center"/>
                              <w:rPr>
                                <w:rFonts w:ascii="Times New Roman" w:hAnsi="Times New Roman" w:cs="Times New Roman"/>
                                <w:b/>
                                <w:bCs/>
                                <w:iCs w:val="0"/>
                                <w:noProof/>
                                <w:color w:val="auto"/>
                                <w:sz w:val="22"/>
                                <w:szCs w:val="22"/>
                              </w:rPr>
                            </w:pPr>
                            <w:r w:rsidRPr="00E95046">
                              <w:rPr>
                                <w:rFonts w:ascii="Times New Roman" w:hAnsi="Times New Roman" w:cs="Times New Roman"/>
                                <w:b/>
                                <w:bCs/>
                                <w:iCs w:val="0"/>
                                <w:color w:val="auto"/>
                                <w:sz w:val="22"/>
                                <w:szCs w:val="22"/>
                              </w:rPr>
                              <w:t>الإطار 3. الملاءة الائتمانية وانضباط المدفوعات في سلسلة إمدادات الكهرباء.</w:t>
                            </w:r>
                          </w:p>
                          <w:p w14:paraId="6042A8D9" w14:textId="77777777" w:rsidR="00205E55" w:rsidRPr="00E95046" w:rsidRDefault="00205E55" w:rsidP="00795E56">
                            <w:pPr>
                              <w:shd w:val="clear" w:color="auto" w:fill="D9D9D9" w:themeFill="background1" w:themeFillShade="D9"/>
                              <w:spacing w:after="0" w:line="240" w:lineRule="auto"/>
                              <w:jc w:val="both"/>
                              <w:rPr>
                                <w:rFonts w:ascii="Times New Roman" w:hAnsi="Times New Roman" w:cs="Times New Roman"/>
                              </w:rPr>
                            </w:pPr>
                            <w:r w:rsidRPr="00E95046">
                              <w:rPr>
                                <w:rFonts w:ascii="Times New Roman" w:hAnsi="Times New Roman" w:cs="Times New Roman"/>
                              </w:rPr>
                              <w:t xml:space="preserve">يتسم سجل مدفوعات شركات توزيع الكهرباء الفلسطينية بالضعف تجاه شركة الإمداد الرئيسية وهي شركة كهرباء إسرائيل. وأيًا ما كان الأمر، فبموجب اتفاق في سبتمبر/أيلول 2016 بين حكومة إسرائيل والسلطة الفلسطينية تمت تسوية الديون السابقة وتم تمهيد الطريق لإدخال تحسينات في قطاع الطاقة. ويتمثل أحد المحددات الرئيسية لنجاح اتفاقية الكهرباء الجديدة في قدرة شركة النقل الوطنية للكهرباء الفلسطينية على دفع ما قيمته 100% من الكهرباء المشتراة من شركة كهرباء إسرائيل. وفي المقابل، يتعين على شركات التوزيع ووحدات أجهزة الحكم المحلي، </w:t>
                            </w:r>
                            <w:r w:rsidRPr="00E95046">
                              <w:rPr>
                                <w:rFonts w:ascii="Times New Roman" w:hAnsi="Times New Roman" w:cs="Times New Roman"/>
                                <w:lang w:bidi="ar-EG"/>
                              </w:rPr>
                              <w:t>و</w:t>
                            </w:r>
                            <w:r w:rsidRPr="00E95046">
                              <w:rPr>
                                <w:rFonts w:ascii="Times New Roman" w:hAnsi="Times New Roman" w:cs="Times New Roman"/>
                              </w:rPr>
                              <w:t xml:space="preserve">المستهلكين النهائيين اتخاذ هذا المسار في سلسلة القيمة. ويتطلب هذا تغييرًا ثقافيًا وسلوكيًا على نطاق واسع والتزامًا قويًا من جانب السلطة الفلسطينية وسلطة الطاقة والموارد الطبيعية بزيادة المساءلة وتعزيز الشفافية في دورة إيرادات الكهرباء.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6.35pt;width:466.5pt;height:122.25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" fillcolor="#d9d9d9">
                <v:textbox>
                  <w:txbxContent>
                    <w:p w14:paraId="7A927941" w14:textId="77777777" w:rsidR="00205E55" w:rsidRPr="00E95046" w:rsidRDefault="00205E55" w:rsidP="00795E56">
                      <w:pPr>
                        <w:pStyle w:val="Caption"/>
                        <w:jc w:val="center"/>
                        <w:rPr>
                          <w:rFonts w:ascii="Times New Roman" w:hAnsi="Times New Roman" w:cs="Times New Roman"/>
                          <w:b/>
                          <w:bCs/>
                          <w:iCs w:val="0"/>
                          <w:noProof/>
                          <w:color w:val="auto"/>
                          <w:sz w:val="22"/>
                          <w:szCs w:val="22"/>
                        </w:rPr>
                      </w:pPr>
                      <w:r w:rsidRPr="00E95046">
                        <w:rPr>
                          <w:rFonts w:ascii="Times New Roman" w:hAnsi="Times New Roman" w:cs="Times New Roman"/>
                          <w:b/>
                          <w:bCs/>
                          <w:iCs w:val="0"/>
                          <w:color w:val="auto"/>
                          <w:sz w:val="22"/>
                          <w:szCs w:val="22"/>
                        </w:rPr>
                        <w:t>الإطار 3. الملاءة الائتمانية وانضباط المدفوعات في سلسلة إمدادات الكهرباء.</w:t>
                      </w:r>
                    </w:p>
                    <w:p w14:paraId="6042A8D9" w14:textId="77777777" w:rsidR="00205E55" w:rsidRPr="00E95046" w:rsidRDefault="00205E55" w:rsidP="00795E56">
                      <w:pPr>
                        <w:shd w:val="clear" w:color="auto" w:fill="D9D9D9" w:themeFill="background1" w:themeFillShade="D9"/>
                        <w:spacing w:after="0" w:line="240" w:lineRule="auto"/>
                        <w:jc w:val="both"/>
                        <w:rPr>
                          <w:rFonts w:ascii="Times New Roman" w:hAnsi="Times New Roman" w:cs="Times New Roman"/>
                        </w:rPr>
                      </w:pPr>
                      <w:r w:rsidRPr="00E95046">
                        <w:rPr>
                          <w:rFonts w:ascii="Times New Roman" w:hAnsi="Times New Roman" w:cs="Times New Roman"/>
                        </w:rPr>
                        <w:t xml:space="preserve">يتسم سجل مدفوعات شركات توزيع الكهرباء الفلسطينية بالضعف تجاه شركة الإمداد الرئيسية وهي شركة كهرباء إسرائيل. وأيًا ما كان الأمر، فبموجب اتفاق في سبتمبر/أيلول 2016 بين حكومة إسرائيل والسلطة الفلسطينية تمت تسوية الديون السابقة وتم تمهيد الطريق لإدخال تحسينات في قطاع الطاقة. ويتمثل أحد المحددات الرئيسية لنجاح اتفاقية الكهرباء الجديدة في قدرة شركة النقل الوطنية للكهرباء الفلسطينية على دفع ما قيمته 100% من الكهرباء المشتراة من شركة كهرباء إسرائيل. وفي المقابل، يتعين على شركات التوزيع ووحدات أجهزة الحكم المحلي، </w:t>
                      </w:r>
                      <w:r w:rsidRPr="00E95046">
                        <w:rPr>
                          <w:rFonts w:ascii="Times New Roman" w:hAnsi="Times New Roman" w:cs="Times New Roman"/>
                          <w:lang w:bidi="ar-EG"/>
                        </w:rPr>
                        <w:t>و</w:t>
                      </w:r>
                      <w:r w:rsidRPr="00E95046">
                        <w:rPr>
                          <w:rFonts w:ascii="Times New Roman" w:hAnsi="Times New Roman" w:cs="Times New Roman"/>
                        </w:rPr>
                        <w:t xml:space="preserve">المستهلكين النهائيين اتخاذ هذا المسار في سلسلة القيمة. ويتطلب هذا تغييرًا ثقافيًا وسلوكيًا على نطاق واسع والتزامًا قويًا من جانب السلطة الفلسطينية وسلطة الطاقة والموارد الطبيعية بزيادة المساءلة وتعزيز الشفافية في دورة إيرادات الكهرباء. </w:t>
                      </w:r>
                    </w:p>
                  </w:txbxContent>
                </v:textbox>
                <w10:wrap type="square" anchorx="margin"/>
              </v:shape>
            </w:pict>
          </mc:Fallback>
        </mc:AlternateContent>
      </w:r>
    </w:p>
    <w:p w14:paraId="78547EF2" w14:textId="77777777" w:rsidR="00510A0E" w:rsidRDefault="4F88A954" w:rsidP="00DD543F">
      <w:pPr>
        <w:pStyle w:val="ListParagraph"/>
        <w:numPr>
          <w:ilvl w:val="0"/>
          <w:numId w:val="6"/>
        </w:numPr>
        <w:spacing w:after="0" w:line="240" w:lineRule="auto"/>
        <w:jc w:val="both"/>
        <w:rPr>
          <w:rFonts w:asciiTheme="majorBidi" w:eastAsiaTheme="minorEastAsia" w:hAnsiTheme="majorBidi" w:cstheme="majorBidi"/>
        </w:rPr>
      </w:pPr>
      <w:r>
        <w:rPr>
          <w:rFonts w:asciiTheme="majorBidi" w:eastAsiaTheme="minorEastAsia" w:hAnsiTheme="majorBidi" w:cstheme="majorBidi"/>
          <w:b/>
          <w:bCs/>
        </w:rPr>
        <w:t>تعمل اختناقات القطاع المالي على إعاقة الاستفادة من الخدمات المصرفية وغير المصرفية المحلية.</w:t>
      </w:r>
      <w:r w:rsidR="00022F13">
        <w:rPr>
          <w:rFonts w:asciiTheme="majorBidi" w:eastAsiaTheme="minorEastAsia" w:hAnsiTheme="majorBidi" w:cstheme="majorBidi"/>
          <w:b/>
          <w:bCs/>
        </w:rPr>
        <w:t xml:space="preserve"> </w:t>
      </w:r>
      <w:r>
        <w:rPr>
          <w:rFonts w:asciiTheme="majorBidi" w:eastAsiaTheme="minorEastAsia" w:hAnsiTheme="majorBidi" w:cstheme="majorBidi"/>
        </w:rPr>
        <w:t>ولا تستطيع البنوك تحويل ودائع العملاء قصيرة الأجل إلى أصول قروض أطول أجلًا، وهو ما يخنق قدرة المقترضين على الاستثمار في البنية التحتية.</w:t>
      </w:r>
      <w:r w:rsidR="00022F13">
        <w:rPr>
          <w:rFonts w:asciiTheme="majorBidi" w:eastAsiaTheme="minorEastAsia" w:hAnsiTheme="majorBidi" w:cstheme="majorBidi"/>
        </w:rPr>
        <w:t xml:space="preserve"> </w:t>
      </w:r>
      <w:r>
        <w:rPr>
          <w:rFonts w:asciiTheme="majorBidi" w:eastAsiaTheme="minorEastAsia" w:hAnsiTheme="majorBidi" w:cstheme="majorBidi"/>
        </w:rPr>
        <w:t>وفيما يتعلق بمسائل الإفلاس وتسوية الديون، يأتي ترتيب الضفة الغربية و</w:t>
      </w:r>
      <w:r w:rsidR="00BE54C0">
        <w:rPr>
          <w:rFonts w:asciiTheme="majorBidi" w:eastAsiaTheme="minorEastAsia" w:hAnsiTheme="majorBidi" w:cstheme="majorBidi" w:hint="cs"/>
        </w:rPr>
        <w:t xml:space="preserve">قطاع </w:t>
      </w:r>
      <w:r>
        <w:rPr>
          <w:rFonts w:asciiTheme="majorBidi" w:eastAsiaTheme="minorEastAsia" w:hAnsiTheme="majorBidi" w:cstheme="majorBidi"/>
        </w:rPr>
        <w:t>غزة بين البلدان المتأخرة على مؤشر سهولة ممارسة أنشطة الأعمال وتسوية حالات الإعسار.</w:t>
      </w:r>
      <w:r w:rsidR="00022F13">
        <w:rPr>
          <w:rFonts w:asciiTheme="majorBidi" w:eastAsiaTheme="minorEastAsia" w:hAnsiTheme="majorBidi" w:cstheme="majorBidi"/>
        </w:rPr>
        <w:t xml:space="preserve"> </w:t>
      </w:r>
      <w:r>
        <w:rPr>
          <w:rFonts w:asciiTheme="majorBidi" w:eastAsiaTheme="minorEastAsia" w:hAnsiTheme="majorBidi" w:cstheme="majorBidi"/>
        </w:rPr>
        <w:t xml:space="preserve">ويعاني القطاع المالي من زيادة السيولة وتراكم النقدية، ومشكلات التمويل الأصغر والشمول المالي. </w:t>
      </w:r>
    </w:p>
    <w:p w14:paraId="5C96FC41" w14:textId="77777777" w:rsidR="00C67C9F" w:rsidRDefault="00C67C9F" w:rsidP="00C67C9F">
      <w:pPr>
        <w:pStyle w:val="ListParagraph"/>
        <w:spacing w:after="0" w:line="240" w:lineRule="auto"/>
        <w:ind w:left="0"/>
        <w:jc w:val="both"/>
        <w:rPr>
          <w:rFonts w:asciiTheme="majorBidi" w:eastAsiaTheme="minorEastAsia" w:hAnsiTheme="majorBidi" w:cstheme="majorBidi"/>
        </w:rPr>
      </w:pPr>
    </w:p>
    <w:p w14:paraId="27582AA6" w14:textId="77777777" w:rsidR="004565A8" w:rsidRPr="005316CE" w:rsidRDefault="005316CE" w:rsidP="00BE54C0">
      <w:pPr>
        <w:pStyle w:val="Heading2"/>
        <w:spacing w:before="0"/>
        <w:ind w:left="360"/>
        <w:rPr>
          <w:rFonts w:eastAsia="Arial"/>
          <w:b w:val="0"/>
          <w:bCs/>
        </w:rPr>
      </w:pPr>
      <w:bookmarkStart w:id="13" w:name="_Toc498096412"/>
      <w:bookmarkStart w:id="14" w:name="_Toc500240971"/>
      <w:r w:rsidRPr="005316CE">
        <w:rPr>
          <w:rFonts w:hint="cs"/>
          <w:b w:val="0"/>
          <w:bCs/>
        </w:rPr>
        <w:t xml:space="preserve">هاء. </w:t>
      </w:r>
      <w:r w:rsidR="4F88A954" w:rsidRPr="005316CE">
        <w:rPr>
          <w:b w:val="0"/>
          <w:bCs/>
        </w:rPr>
        <w:t xml:space="preserve">خبرات تنفيذ </w:t>
      </w:r>
      <w:r w:rsidR="00BE54C0">
        <w:rPr>
          <w:rFonts w:hint="cs"/>
          <w:b w:val="0"/>
          <w:bCs/>
        </w:rPr>
        <w:t>إ</w:t>
      </w:r>
      <w:r w:rsidR="00BE54C0" w:rsidRPr="005316CE">
        <w:rPr>
          <w:b w:val="0"/>
          <w:bCs/>
        </w:rPr>
        <w:t xml:space="preserve">ستراتيجية </w:t>
      </w:r>
      <w:r w:rsidR="4F88A954" w:rsidRPr="005316CE">
        <w:rPr>
          <w:b w:val="0"/>
          <w:bCs/>
        </w:rPr>
        <w:t>المساعدة السابقة</w:t>
      </w:r>
      <w:bookmarkEnd w:id="13"/>
      <w:bookmarkEnd w:id="14"/>
    </w:p>
    <w:p w14:paraId="7C68DE65" w14:textId="77777777" w:rsidR="004565A8" w:rsidRPr="00B66C1F" w:rsidRDefault="004565A8" w:rsidP="0038467F">
      <w:pPr>
        <w:spacing w:after="0"/>
        <w:rPr>
          <w:rFonts w:ascii="Times New Roman" w:hAnsi="Times New Roman" w:cs="Times New Roman"/>
        </w:rPr>
      </w:pPr>
    </w:p>
    <w:p w14:paraId="5E28BC74" w14:textId="77777777" w:rsidR="0076330A" w:rsidRPr="007774C2" w:rsidRDefault="4F88A954" w:rsidP="00BE54C0">
      <w:pPr>
        <w:pStyle w:val="ListParagraph"/>
        <w:numPr>
          <w:ilvl w:val="0"/>
          <w:numId w:val="6"/>
        </w:numPr>
        <w:spacing w:after="0"/>
        <w:rPr>
          <w:rFonts w:ascii="Arial" w:hAnsi="Arial" w:cs="Arial"/>
        </w:rPr>
      </w:pPr>
      <w:r>
        <w:rPr>
          <w:rFonts w:ascii="Arial" w:hAnsi="Arial"/>
        </w:rPr>
        <w:t xml:space="preserve">قام مجلس المديرين التنفيذيين لمجموعة البنك الدولي بمناقشة </w:t>
      </w:r>
      <w:r w:rsidR="00BE54C0">
        <w:rPr>
          <w:rFonts w:ascii="Arial" w:hAnsi="Arial" w:hint="cs"/>
        </w:rPr>
        <w:t>إ</w:t>
      </w:r>
      <w:r w:rsidR="00BE54C0">
        <w:rPr>
          <w:rFonts w:ascii="Arial" w:hAnsi="Arial"/>
        </w:rPr>
        <w:t xml:space="preserve">ستراتيجية </w:t>
      </w:r>
      <w:r>
        <w:rPr>
          <w:rFonts w:ascii="Arial" w:hAnsi="Arial"/>
        </w:rPr>
        <w:t>المساعدة السابقة للسنة المالية 2015 - 2016 للضفة الغربية وقطاع غزة في أكتوبر/تشرين الأول 2014.</w:t>
      </w:r>
    </w:p>
    <w:p w14:paraId="5BD2A068" w14:textId="77777777" w:rsidR="00290AC0" w:rsidRPr="0076330A" w:rsidRDefault="00290AC0" w:rsidP="00E63882">
      <w:pPr>
        <w:spacing w:after="0"/>
        <w:rPr>
          <w:rFonts w:ascii="Times New Roman" w:eastAsiaTheme="minorEastAsia" w:hAnsi="Times New Roman" w:cs="Times New Roman"/>
        </w:rPr>
      </w:pPr>
    </w:p>
    <w:p w14:paraId="3A608FB2" w14:textId="77777777" w:rsidR="00D33492" w:rsidRDefault="4F88A954" w:rsidP="00BE54C0">
      <w:pPr>
        <w:pStyle w:val="ListParagraph"/>
        <w:numPr>
          <w:ilvl w:val="0"/>
          <w:numId w:val="6"/>
        </w:numPr>
        <w:spacing w:after="0" w:line="240" w:lineRule="auto"/>
        <w:jc w:val="both"/>
        <w:rPr>
          <w:rFonts w:ascii="Arial" w:eastAsiaTheme="minorEastAsia" w:hAnsi="Arial" w:cs="Arial"/>
        </w:rPr>
      </w:pPr>
      <w:r>
        <w:rPr>
          <w:b/>
          <w:bCs/>
        </w:rPr>
        <w:t>يمثل تعزيز المؤسسات دعمًا لتقديم الخدمات بندًا رئيسيًا في المساعدة التي يقدمها البنك الدولي.</w:t>
      </w:r>
      <w:r>
        <w:rPr>
          <w:rFonts w:ascii="Arial" w:hAnsi="Arial"/>
          <w:b/>
          <w:bCs/>
        </w:rPr>
        <w:t xml:space="preserve"> </w:t>
      </w:r>
      <w:r>
        <w:rPr>
          <w:rFonts w:ascii="Arial" w:hAnsi="Arial"/>
        </w:rPr>
        <w:t xml:space="preserve">وقد ساعد البنك الدولي في بناء قدرات الإدارة </w:t>
      </w:r>
      <w:r w:rsidR="00CB2FFE">
        <w:rPr>
          <w:rFonts w:ascii="Arial" w:hAnsi="Arial"/>
        </w:rPr>
        <w:t xml:space="preserve">المالية العامة من قاعدة متدنية </w:t>
      </w:r>
      <w:r w:rsidR="00CB2FFE">
        <w:rPr>
          <w:rFonts w:ascii="Arial" w:hAnsi="Arial" w:hint="cs"/>
        </w:rPr>
        <w:t xml:space="preserve">مع </w:t>
      </w:r>
      <w:r>
        <w:rPr>
          <w:rFonts w:ascii="Arial" w:hAnsi="Arial"/>
        </w:rPr>
        <w:t>تحسين تقديم بعض الخدمات الأساسية على المستوى المحلي، لكنه لم يفعل الكثير لتهيئة بيئة داعمة لتطوير وتنمية القطاع الخاص.</w:t>
      </w:r>
      <w:r w:rsidR="00022F13">
        <w:rPr>
          <w:rFonts w:ascii="Arial" w:hAnsi="Arial"/>
        </w:rPr>
        <w:t xml:space="preserve"> </w:t>
      </w:r>
      <w:r>
        <w:rPr>
          <w:rFonts w:ascii="Arial" w:hAnsi="Arial"/>
        </w:rPr>
        <w:t xml:space="preserve">وشددت هذه </w:t>
      </w:r>
      <w:r w:rsidR="00BE54C0">
        <w:rPr>
          <w:rFonts w:ascii="Arial" w:hAnsi="Arial"/>
        </w:rPr>
        <w:t>ال</w:t>
      </w:r>
      <w:r w:rsidR="00BE54C0">
        <w:rPr>
          <w:rFonts w:ascii="Arial" w:hAnsi="Arial" w:hint="cs"/>
        </w:rPr>
        <w:t>إ</w:t>
      </w:r>
      <w:r w:rsidR="00BE54C0">
        <w:rPr>
          <w:rFonts w:ascii="Arial" w:hAnsi="Arial"/>
        </w:rPr>
        <w:t xml:space="preserve">ستراتيجية </w:t>
      </w:r>
      <w:r>
        <w:rPr>
          <w:rFonts w:ascii="Arial" w:hAnsi="Arial"/>
        </w:rPr>
        <w:t>على إدارة المالية العامة لضمان تهيئة المجال المالي لتقديم الخدمات العامة، وتعزيز أجهزة الحكم المحلي لجعلها أكثر خضوعًا للمساءلة وأكثر استجابة في تقديم الخدمات.</w:t>
      </w:r>
      <w:r w:rsidR="00022F13">
        <w:rPr>
          <w:rFonts w:ascii="Arial" w:hAnsi="Arial"/>
        </w:rPr>
        <w:t xml:space="preserve"> </w:t>
      </w:r>
      <w:r>
        <w:rPr>
          <w:rFonts w:ascii="Arial" w:hAnsi="Arial"/>
        </w:rPr>
        <w:t xml:space="preserve">وتعتبر مساندة إدارة المالية العامة غاية </w:t>
      </w:r>
      <w:r w:rsidR="00BE54C0">
        <w:rPr>
          <w:rFonts w:ascii="Arial" w:hAnsi="Arial"/>
        </w:rPr>
        <w:t>ف</w:t>
      </w:r>
      <w:r w:rsidR="00BE54C0">
        <w:rPr>
          <w:rFonts w:ascii="Arial" w:hAnsi="Arial" w:hint="cs"/>
        </w:rPr>
        <w:t>ي</w:t>
      </w:r>
      <w:r w:rsidR="00BE54C0">
        <w:rPr>
          <w:rFonts w:ascii="Arial" w:hAnsi="Arial"/>
        </w:rPr>
        <w:t xml:space="preserve"> </w:t>
      </w:r>
      <w:r>
        <w:rPr>
          <w:rFonts w:ascii="Arial" w:hAnsi="Arial"/>
        </w:rPr>
        <w:t>الأهمية لبث الطمأنينة لدى المانحين بشأن حسن إنفاق الموارد حتى يتسنى لهم مواصلة تقديم المساندة.</w:t>
      </w:r>
      <w:r w:rsidR="00022F13">
        <w:rPr>
          <w:rFonts w:ascii="Arial" w:hAnsi="Arial"/>
        </w:rPr>
        <w:t xml:space="preserve"> </w:t>
      </w:r>
      <w:r>
        <w:rPr>
          <w:rFonts w:ascii="Arial" w:hAnsi="Arial"/>
        </w:rPr>
        <w:t xml:space="preserve">وأيًا ما كان الأمر، وعلى الرغم من التحسن التدريجي ولكن </w:t>
      </w:r>
      <w:r w:rsidR="00BE54C0">
        <w:rPr>
          <w:rFonts w:ascii="Arial" w:hAnsi="Arial" w:hint="cs"/>
        </w:rPr>
        <w:t>ال</w:t>
      </w:r>
      <w:r>
        <w:rPr>
          <w:rFonts w:ascii="Arial" w:hAnsi="Arial"/>
        </w:rPr>
        <w:t>مستمر في بناء المؤسسات والحوكمة في السنوات ما بين 2003 إلى 2010، فقد تراجع أداء الضفة الغربية و</w:t>
      </w:r>
      <w:r w:rsidR="00BE54C0">
        <w:rPr>
          <w:rFonts w:ascii="Arial" w:hAnsi="Arial" w:hint="cs"/>
        </w:rPr>
        <w:t xml:space="preserve">قطاع </w:t>
      </w:r>
      <w:r>
        <w:rPr>
          <w:rFonts w:ascii="Arial" w:hAnsi="Arial"/>
        </w:rPr>
        <w:t xml:space="preserve">غزة منذ 2011 في مجالات أساسية مثل </w:t>
      </w:r>
      <w:r w:rsidR="00BE54C0">
        <w:rPr>
          <w:rFonts w:ascii="Arial" w:hAnsi="Arial"/>
        </w:rPr>
        <w:t>ف</w:t>
      </w:r>
      <w:r w:rsidR="00BE54C0">
        <w:rPr>
          <w:rFonts w:ascii="Arial" w:hAnsi="Arial" w:hint="cs"/>
        </w:rPr>
        <w:t>اع</w:t>
      </w:r>
      <w:r w:rsidR="00BE54C0">
        <w:rPr>
          <w:rFonts w:ascii="Arial" w:hAnsi="Arial"/>
        </w:rPr>
        <w:t xml:space="preserve">لية </w:t>
      </w:r>
      <w:r>
        <w:rPr>
          <w:rFonts w:ascii="Arial" w:hAnsi="Arial"/>
        </w:rPr>
        <w:t>الحكومة، والصوت المسموع والمساءلة والجودة التنظيمية بناء على مؤشرات الحوكمة على مستوى العالم.</w:t>
      </w:r>
      <w:r w:rsidR="00022F13">
        <w:rPr>
          <w:rFonts w:ascii="Arial" w:hAnsi="Arial"/>
        </w:rPr>
        <w:t xml:space="preserve"> </w:t>
      </w:r>
    </w:p>
    <w:p w14:paraId="2575784E" w14:textId="77777777" w:rsidR="00165E90" w:rsidRDefault="00165E90" w:rsidP="00165E90">
      <w:pPr>
        <w:pStyle w:val="ListParagraph"/>
        <w:spacing w:after="0" w:line="240" w:lineRule="auto"/>
        <w:ind w:left="0"/>
        <w:jc w:val="both"/>
        <w:rPr>
          <w:rFonts w:ascii="Times New Roman" w:eastAsiaTheme="minorEastAsia" w:hAnsi="Times New Roman" w:cs="Times New Roman"/>
        </w:rPr>
      </w:pPr>
    </w:p>
    <w:p w14:paraId="26951D9B" w14:textId="77777777" w:rsidR="00B334F2" w:rsidRPr="00B334F2" w:rsidRDefault="00B334F2" w:rsidP="00BE54C0">
      <w:pPr>
        <w:pStyle w:val="ListParagraph"/>
        <w:numPr>
          <w:ilvl w:val="0"/>
          <w:numId w:val="6"/>
        </w:numPr>
        <w:spacing w:after="0" w:line="240" w:lineRule="auto"/>
        <w:jc w:val="both"/>
        <w:rPr>
          <w:rFonts w:ascii="Arial" w:eastAsiaTheme="minorEastAsia" w:hAnsi="Arial" w:cs="Arial"/>
        </w:rPr>
      </w:pPr>
      <w:r>
        <w:rPr>
          <w:rFonts w:ascii="Arial" w:hAnsi="Arial"/>
          <w:b/>
          <w:bCs/>
        </w:rPr>
        <w:t xml:space="preserve">شرع البنك الدولي في مساندة القطاع الخاص أثناء فترة تنفيذ </w:t>
      </w:r>
      <w:r w:rsidR="00BE54C0">
        <w:rPr>
          <w:rFonts w:ascii="Arial" w:hAnsi="Arial" w:hint="cs"/>
          <w:b/>
          <w:bCs/>
        </w:rPr>
        <w:t>إ</w:t>
      </w:r>
      <w:r w:rsidR="00BE54C0">
        <w:rPr>
          <w:rFonts w:ascii="Arial" w:hAnsi="Arial"/>
          <w:b/>
          <w:bCs/>
        </w:rPr>
        <w:t xml:space="preserve">ستراتيجية </w:t>
      </w:r>
      <w:r>
        <w:rPr>
          <w:rFonts w:ascii="Arial" w:hAnsi="Arial"/>
          <w:b/>
          <w:bCs/>
        </w:rPr>
        <w:t>المساعدة السابقة.</w:t>
      </w:r>
      <w:r w:rsidR="00022F13">
        <w:rPr>
          <w:rFonts w:ascii="Arial" w:hAnsi="Arial"/>
          <w:b/>
          <w:bCs/>
        </w:rPr>
        <w:t xml:space="preserve"> </w:t>
      </w:r>
      <w:r>
        <w:rPr>
          <w:rFonts w:ascii="Arial" w:hAnsi="Arial"/>
        </w:rPr>
        <w:t>وكانت مساندة القطاع الخاص ضمن نطاق اختصاص مؤسسة التمويل الدولية بصورة أساسية حتى 2008 عندما بدأ البنك بتحليل أكثر تركيزًا للقيود التي تواجه تطوير وتنمية القطاع الخاص، في حين أصبح الصندوق الاستئماني الذي تديره الوكالة الدولية لضمان الاستثمار والمؤسس في 1997 أكثر نشاطًا منذ 2010.</w:t>
      </w:r>
      <w:r w:rsidR="00022F13">
        <w:rPr>
          <w:rFonts w:ascii="Arial" w:hAnsi="Arial"/>
        </w:rPr>
        <w:t xml:space="preserve"> </w:t>
      </w:r>
      <w:r>
        <w:rPr>
          <w:rFonts w:ascii="Arial" w:hAnsi="Arial"/>
        </w:rPr>
        <w:t xml:space="preserve">ووافق البنك الدولي على مشروع (الخدمات الحكومية لتنمية أنشطة الأعمال) في 2013 لصالح وزارة الاقتصاد الوطني في </w:t>
      </w:r>
      <w:r>
        <w:rPr>
          <w:rFonts w:ascii="Arial" w:hAnsi="Arial"/>
        </w:rPr>
        <w:lastRenderedPageBreak/>
        <w:t xml:space="preserve">فلسطين </w:t>
      </w:r>
      <w:r w:rsidR="0087205C">
        <w:rPr>
          <w:b/>
          <w:noProof/>
          <w:lang w:eastAsia="en-US"/>
        </w:rPr>
        <mc:AlternateContent>
          <mc:Choice Requires="wps">
            <w:drawing>
              <wp:anchor distT="45720" distB="45720" distL="114300" distR="114300" simplePos="0" relativeHeight="251672064" behindDoc="0" locked="0" layoutInCell="1" allowOverlap="1">
                <wp:simplePos x="0" y="0"/>
                <wp:positionH relativeFrom="margin">
                  <wp:posOffset>0</wp:posOffset>
                </wp:positionH>
                <wp:positionV relativeFrom="paragraph">
                  <wp:posOffset>1008380</wp:posOffset>
                </wp:positionV>
                <wp:extent cx="5961380" cy="3028950"/>
                <wp:effectExtent l="0" t="0" r="127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028950"/>
                        </a:xfrm>
                        <a:prstGeom prst="rect">
                          <a:avLst/>
                        </a:prstGeom>
                        <a:solidFill>
                          <a:sysClr val="window" lastClr="FFFFFF">
                            <a:lumMod val="85000"/>
                          </a:sysClr>
                        </a:solidFill>
                        <a:ln w="9525">
                          <a:solidFill>
                            <a:srgbClr val="000000"/>
                          </a:solidFill>
                          <a:miter lim="800000"/>
                          <a:headEnd/>
                          <a:tailEnd/>
                        </a:ln>
                      </wps:spPr>
                      <wps:txbx>
                        <w:txbxContent>
                          <w:p w14:paraId="17B1F21D" w14:textId="77777777" w:rsidR="00205E55" w:rsidRPr="00E95046" w:rsidRDefault="00205E55" w:rsidP="00BE54C0">
                            <w:pPr>
                              <w:pStyle w:val="Caption"/>
                              <w:jc w:val="center"/>
                              <w:rPr>
                                <w:rFonts w:ascii="Arial" w:hAnsi="Arial" w:cs="Arial"/>
                                <w:b/>
                                <w:iCs w:val="0"/>
                                <w:noProof/>
                                <w:color w:val="auto"/>
                                <w:sz w:val="20"/>
                                <w:szCs w:val="20"/>
                              </w:rPr>
                            </w:pPr>
                            <w:r w:rsidRPr="00E95046">
                              <w:rPr>
                                <w:rFonts w:ascii="Arial" w:hAnsi="Arial"/>
                                <w:b/>
                                <w:bCs/>
                                <w:iCs w:val="0"/>
                                <w:color w:val="auto"/>
                                <w:sz w:val="20"/>
                                <w:szCs w:val="20"/>
                              </w:rPr>
                              <w:t xml:space="preserve">الإطار 4. نتائج </w:t>
                            </w:r>
                            <w:r w:rsidRPr="00E95046">
                              <w:rPr>
                                <w:rFonts w:ascii="Arial" w:hAnsi="Arial" w:hint="cs"/>
                                <w:b/>
                                <w:bCs/>
                                <w:iCs w:val="0"/>
                                <w:color w:val="auto"/>
                                <w:sz w:val="20"/>
                                <w:szCs w:val="20"/>
                              </w:rPr>
                              <w:t>إ</w:t>
                            </w:r>
                            <w:r w:rsidRPr="00E95046">
                              <w:rPr>
                                <w:rFonts w:ascii="Arial" w:hAnsi="Arial"/>
                                <w:b/>
                                <w:bCs/>
                                <w:iCs w:val="0"/>
                                <w:color w:val="auto"/>
                                <w:sz w:val="20"/>
                                <w:szCs w:val="20"/>
                              </w:rPr>
                              <w:t>ستراتيجية المساعدة السابقة</w:t>
                            </w:r>
                          </w:p>
                          <w:p w14:paraId="20A1FEEE" w14:textId="77777777" w:rsidR="00205E55" w:rsidRPr="00E95046" w:rsidRDefault="00205E55" w:rsidP="00BE54C0">
                            <w:pPr>
                              <w:spacing w:after="0" w:line="240" w:lineRule="auto"/>
                              <w:jc w:val="both"/>
                              <w:rPr>
                                <w:rFonts w:ascii="Arial" w:hAnsi="Arial" w:cs="Arial"/>
                                <w:i/>
                                <w:sz w:val="20"/>
                                <w:szCs w:val="20"/>
                              </w:rPr>
                            </w:pPr>
                            <w:r w:rsidRPr="00E95046">
                              <w:rPr>
                                <w:rFonts w:ascii="Arial" w:hAnsi="Arial"/>
                                <w:i/>
                                <w:sz w:val="20"/>
                                <w:szCs w:val="20"/>
                              </w:rPr>
                              <w:t xml:space="preserve">حققت </w:t>
                            </w:r>
                            <w:r w:rsidRPr="00E95046">
                              <w:rPr>
                                <w:rFonts w:ascii="Arial" w:hAnsi="Arial" w:hint="cs"/>
                                <w:i/>
                                <w:sz w:val="20"/>
                                <w:szCs w:val="20"/>
                              </w:rPr>
                              <w:t>إ</w:t>
                            </w:r>
                            <w:r w:rsidRPr="00E95046">
                              <w:rPr>
                                <w:rFonts w:ascii="Arial" w:hAnsi="Arial"/>
                                <w:i/>
                                <w:sz w:val="20"/>
                                <w:szCs w:val="20"/>
                              </w:rPr>
                              <w:t xml:space="preserve">ستراتيجية المساعدة السابقة نتائج متباينة. </w:t>
                            </w:r>
                          </w:p>
                          <w:p w14:paraId="01BDB360" w14:textId="77777777" w:rsidR="00205E55" w:rsidRPr="00E95046" w:rsidRDefault="00205E55" w:rsidP="00290AC0">
                            <w:pPr>
                              <w:spacing w:after="0" w:line="240" w:lineRule="auto"/>
                              <w:jc w:val="both"/>
                              <w:rPr>
                                <w:rFonts w:ascii="Times New Roman" w:hAnsi="Times New Roman" w:cs="Times New Roman"/>
                                <w:i/>
                                <w:sz w:val="20"/>
                                <w:szCs w:val="20"/>
                              </w:rPr>
                            </w:pPr>
                          </w:p>
                          <w:p w14:paraId="65972537" w14:textId="77777777" w:rsidR="00205E55" w:rsidRPr="00E95046" w:rsidRDefault="00205E55" w:rsidP="00BE54C0">
                            <w:pPr>
                              <w:spacing w:after="0" w:line="240" w:lineRule="auto"/>
                              <w:jc w:val="both"/>
                              <w:rPr>
                                <w:rFonts w:ascii="Arial" w:hAnsi="Arial" w:cs="Arial"/>
                                <w:i/>
                                <w:sz w:val="20"/>
                                <w:szCs w:val="20"/>
                              </w:rPr>
                            </w:pPr>
                            <w:r w:rsidRPr="00E95046">
                              <w:rPr>
                                <w:rFonts w:ascii="Arial" w:hAnsi="Arial"/>
                                <w:i/>
                                <w:sz w:val="20"/>
                                <w:szCs w:val="20"/>
                              </w:rPr>
                              <w:t>واتسمت الإصلاحات المؤسسية الداعمة للهيئات الخدمية الميدانية بأنها أكثر نجاحًا من تلك الموجودة على المستوى المركزي في السلطة الفلسطينية. وقامت البلديات بتحسين أدائها مقابل 16 مؤشر أداء خاص</w:t>
                            </w:r>
                            <w:r w:rsidRPr="00E95046">
                              <w:rPr>
                                <w:rFonts w:ascii="Arial" w:hAnsi="Arial" w:hint="cs"/>
                                <w:i/>
                                <w:sz w:val="20"/>
                                <w:szCs w:val="20"/>
                              </w:rPr>
                              <w:t>ًا</w:t>
                            </w:r>
                            <w:r w:rsidRPr="00E95046">
                              <w:rPr>
                                <w:rFonts w:ascii="Arial" w:hAnsi="Arial"/>
                                <w:i/>
                                <w:sz w:val="20"/>
                                <w:szCs w:val="20"/>
                              </w:rPr>
                              <w:t xml:space="preserve"> بالحوكمة الجيدة، تضمنت تطبيق إجراءات وتدابير المساءلة الاجتماعية. من ناحية أخرى، شهدت عملية إعداد القوائم المالية للسلطة الفلسطينية تأخيرًا، واتسمت وتيرة معاملات الأراضي التي تقوم مكاتب سلطة الأراضي الفلسطينية بإنجازها بأنها أكثر بط</w:t>
                            </w:r>
                            <w:r w:rsidRPr="00E95046">
                              <w:rPr>
                                <w:rFonts w:ascii="Arial" w:hAnsi="Arial" w:hint="cs"/>
                                <w:i/>
                                <w:sz w:val="20"/>
                                <w:szCs w:val="20"/>
                              </w:rPr>
                              <w:t>ئًا</w:t>
                            </w:r>
                            <w:r w:rsidRPr="00E95046">
                              <w:rPr>
                                <w:rFonts w:ascii="Arial" w:hAnsi="Arial"/>
                                <w:i/>
                                <w:sz w:val="20"/>
                                <w:szCs w:val="20"/>
                              </w:rPr>
                              <w:t xml:space="preserve"> مما هو متوقع، ولم يكن يعمل الموقع الوحيد للسلطة الفلسطينية على شبكة الإنترنت المعني بالمناقصات والمشتريات الحكومية. </w:t>
                            </w:r>
                          </w:p>
                          <w:p w14:paraId="727BA9CA" w14:textId="77777777" w:rsidR="00205E55" w:rsidRPr="00E95046" w:rsidRDefault="00205E55" w:rsidP="00290AC0">
                            <w:pPr>
                              <w:spacing w:after="0" w:line="240" w:lineRule="auto"/>
                              <w:jc w:val="both"/>
                              <w:rPr>
                                <w:rFonts w:ascii="Times New Roman" w:hAnsi="Times New Roman" w:cs="Times New Roman"/>
                                <w:i/>
                                <w:sz w:val="20"/>
                                <w:szCs w:val="20"/>
                              </w:rPr>
                            </w:pPr>
                          </w:p>
                          <w:p w14:paraId="0D2D9010" w14:textId="77777777" w:rsidR="00205E55" w:rsidRPr="00E95046" w:rsidRDefault="00205E55" w:rsidP="00290AC0">
                            <w:pPr>
                              <w:spacing w:after="0" w:line="240" w:lineRule="auto"/>
                              <w:jc w:val="both"/>
                              <w:rPr>
                                <w:rFonts w:ascii="Arial" w:hAnsi="Arial" w:cs="Arial"/>
                                <w:i/>
                                <w:sz w:val="20"/>
                                <w:szCs w:val="20"/>
                              </w:rPr>
                            </w:pPr>
                            <w:r w:rsidRPr="00E95046">
                              <w:rPr>
                                <w:rFonts w:ascii="Arial" w:hAnsi="Arial"/>
                                <w:i/>
                                <w:sz w:val="20"/>
                                <w:szCs w:val="20"/>
                              </w:rPr>
                              <w:t>واتسمت الإجراءات التدخلية للبرنامج السابق المعنية بمساندة النمو الذي يقوده القطاع الخاص بهدف زيادة فرص العمل بأنها متواضعة، لكنها حققت أثرًا إيجابيًا. وتم إيجاد فرص عمل للنساء في المجتمعات الريفية المهمشة على طول مسار إبراهيم الخليل، وتم الوصول إلى الرقم المستهدف من المقترضين من المنشآت الصغرى والصغيرة والمتوسطة، وساندت الوكالة الدولية لضمان الاستثمار الصناعات التي تخلق فرص عمل من خلال ضمان هذه المشروعات لتغطية المخاطر السياسية.</w:t>
                            </w:r>
                          </w:p>
                          <w:p w14:paraId="27FC7C06" w14:textId="77777777" w:rsidR="00205E55" w:rsidRPr="00E95046" w:rsidRDefault="00205E55" w:rsidP="00290AC0">
                            <w:pPr>
                              <w:spacing w:after="0" w:line="240" w:lineRule="auto"/>
                              <w:jc w:val="both"/>
                              <w:rPr>
                                <w:rFonts w:ascii="Times New Roman" w:hAnsi="Times New Roman" w:cs="Times New Roman"/>
                                <w:i/>
                                <w:sz w:val="20"/>
                                <w:szCs w:val="20"/>
                              </w:rPr>
                            </w:pPr>
                          </w:p>
                          <w:p w14:paraId="1C2EAD3A" w14:textId="77777777" w:rsidR="00205E55" w:rsidRPr="00E95046" w:rsidRDefault="00205E55" w:rsidP="00BE54C0">
                            <w:pPr>
                              <w:spacing w:after="0" w:line="240" w:lineRule="auto"/>
                              <w:jc w:val="both"/>
                              <w:rPr>
                                <w:i/>
                                <w:sz w:val="20"/>
                                <w:szCs w:val="20"/>
                              </w:rPr>
                            </w:pPr>
                            <w:r w:rsidRPr="00E95046">
                              <w:rPr>
                                <w:rFonts w:ascii="Arial" w:hAnsi="Arial"/>
                                <w:i/>
                                <w:sz w:val="20"/>
                                <w:szCs w:val="20"/>
                              </w:rPr>
                              <w:t>واتسم التقدم المحرز بالتباطؤ في مشروعات البنية التحتية في غزة التي تحصل على مساندة من مؤسسة التمويل الدولية والبنك الدولي. وشهدت عملية إعادة بناء شبكة توزيع الكهرباء التي دمرتها حرب 2014 في غزة تأخيرات كبيرة في التنفيذ. ولم يتحقق التوسع في خدمات الاتصالات بصورة تام</w:t>
                            </w:r>
                            <w:r w:rsidRPr="00E95046">
                              <w:rPr>
                                <w:rFonts w:ascii="Arial" w:hAnsi="Arial" w:hint="cs"/>
                                <w:i/>
                                <w:sz w:val="20"/>
                                <w:szCs w:val="20"/>
                              </w:rPr>
                              <w:t>ة</w:t>
                            </w:r>
                            <w:r w:rsidRPr="00E95046">
                              <w:rPr>
                                <w:rFonts w:ascii="Arial" w:hAnsi="Arial"/>
                                <w:i/>
                                <w:sz w:val="20"/>
                                <w:szCs w:val="20"/>
                              </w:rPr>
                              <w:t xml:space="preserve"> بسبب تأخير إسرائيل في إجازة الطيف الخلوي. ولم تعمل بعد محطة معالجة مياه الصرف في شمال غزة، ولا تزال مياه الصرف من </w:t>
                            </w:r>
                            <w:r w:rsidRPr="00E95046">
                              <w:rPr>
                                <w:rFonts w:ascii="Arial" w:hAnsi="Arial" w:hint="cs"/>
                                <w:i/>
                                <w:sz w:val="20"/>
                                <w:szCs w:val="20"/>
                              </w:rPr>
                              <w:t xml:space="preserve">شمال </w:t>
                            </w:r>
                            <w:r w:rsidRPr="00E95046">
                              <w:rPr>
                                <w:rFonts w:ascii="Arial" w:hAnsi="Arial"/>
                                <w:i/>
                                <w:sz w:val="20"/>
                                <w:szCs w:val="20"/>
                              </w:rPr>
                              <w:t xml:space="preserve">قطاع غزة غير معالجة.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79.4pt;width:469.4pt;height:238.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" fillcolor="#d9d9d9">
                <v:textbox>
                  <w:txbxContent>
                    <w:p w14:paraId="17B1F21D" w14:textId="77777777" w:rsidR="00205E55" w:rsidRPr="00E95046" w:rsidRDefault="00205E55" w:rsidP="00BE54C0">
                      <w:pPr>
                        <w:pStyle w:val="Caption"/>
                        <w:jc w:val="center"/>
                        <w:rPr>
                          <w:rFonts w:ascii="Arial" w:hAnsi="Arial" w:cs="Arial"/>
                          <w:b/>
                          <w:iCs w:val="0"/>
                          <w:noProof/>
                          <w:color w:val="auto"/>
                          <w:sz w:val="20"/>
                          <w:szCs w:val="20"/>
                        </w:rPr>
                      </w:pPr>
                      <w:r w:rsidRPr="00E95046">
                        <w:rPr>
                          <w:rFonts w:ascii="Arial" w:hAnsi="Arial"/>
                          <w:b/>
                          <w:bCs/>
                          <w:iCs w:val="0"/>
                          <w:color w:val="auto"/>
                          <w:sz w:val="20"/>
                          <w:szCs w:val="20"/>
                        </w:rPr>
                        <w:t xml:space="preserve">الإطار 4. نتائج </w:t>
                      </w:r>
                      <w:r w:rsidRPr="00E95046">
                        <w:rPr>
                          <w:rFonts w:ascii="Arial" w:hAnsi="Arial" w:hint="cs"/>
                          <w:b/>
                          <w:bCs/>
                          <w:iCs w:val="0"/>
                          <w:color w:val="auto"/>
                          <w:sz w:val="20"/>
                          <w:szCs w:val="20"/>
                        </w:rPr>
                        <w:t>إ</w:t>
                      </w:r>
                      <w:r w:rsidRPr="00E95046">
                        <w:rPr>
                          <w:rFonts w:ascii="Arial" w:hAnsi="Arial"/>
                          <w:b/>
                          <w:bCs/>
                          <w:iCs w:val="0"/>
                          <w:color w:val="auto"/>
                          <w:sz w:val="20"/>
                          <w:szCs w:val="20"/>
                        </w:rPr>
                        <w:t>ستراتيجية المساعدة السابقة</w:t>
                      </w:r>
                    </w:p>
                    <w:p w14:paraId="20A1FEEE" w14:textId="77777777" w:rsidR="00205E55" w:rsidRPr="00E95046" w:rsidRDefault="00205E55" w:rsidP="00BE54C0">
                      <w:pPr>
                        <w:spacing w:after="0" w:line="240" w:lineRule="auto"/>
                        <w:jc w:val="both"/>
                        <w:rPr>
                          <w:rFonts w:ascii="Arial" w:hAnsi="Arial" w:cs="Arial"/>
                          <w:i/>
                          <w:sz w:val="20"/>
                          <w:szCs w:val="20"/>
                        </w:rPr>
                      </w:pPr>
                      <w:r w:rsidRPr="00E95046">
                        <w:rPr>
                          <w:rFonts w:ascii="Arial" w:hAnsi="Arial"/>
                          <w:i/>
                          <w:sz w:val="20"/>
                          <w:szCs w:val="20"/>
                        </w:rPr>
                        <w:t xml:space="preserve">حققت </w:t>
                      </w:r>
                      <w:r w:rsidRPr="00E95046">
                        <w:rPr>
                          <w:rFonts w:ascii="Arial" w:hAnsi="Arial" w:hint="cs"/>
                          <w:i/>
                          <w:sz w:val="20"/>
                          <w:szCs w:val="20"/>
                        </w:rPr>
                        <w:t>إ</w:t>
                      </w:r>
                      <w:r w:rsidRPr="00E95046">
                        <w:rPr>
                          <w:rFonts w:ascii="Arial" w:hAnsi="Arial"/>
                          <w:i/>
                          <w:sz w:val="20"/>
                          <w:szCs w:val="20"/>
                        </w:rPr>
                        <w:t xml:space="preserve">ستراتيجية المساعدة السابقة نتائج متباينة. </w:t>
                      </w:r>
                    </w:p>
                    <w:p w14:paraId="01BDB360" w14:textId="77777777" w:rsidR="00205E55" w:rsidRPr="00E95046" w:rsidRDefault="00205E55" w:rsidP="00290AC0">
                      <w:pPr>
                        <w:spacing w:after="0" w:line="240" w:lineRule="auto"/>
                        <w:jc w:val="both"/>
                        <w:rPr>
                          <w:rFonts w:ascii="Times New Roman" w:hAnsi="Times New Roman" w:cs="Times New Roman"/>
                          <w:i/>
                          <w:sz w:val="20"/>
                          <w:szCs w:val="20"/>
                        </w:rPr>
                      </w:pPr>
                    </w:p>
                    <w:p w14:paraId="65972537" w14:textId="77777777" w:rsidR="00205E55" w:rsidRPr="00E95046" w:rsidRDefault="00205E55" w:rsidP="00BE54C0">
                      <w:pPr>
                        <w:spacing w:after="0" w:line="240" w:lineRule="auto"/>
                        <w:jc w:val="both"/>
                        <w:rPr>
                          <w:rFonts w:ascii="Arial" w:hAnsi="Arial" w:cs="Arial"/>
                          <w:i/>
                          <w:sz w:val="20"/>
                          <w:szCs w:val="20"/>
                        </w:rPr>
                      </w:pPr>
                      <w:r w:rsidRPr="00E95046">
                        <w:rPr>
                          <w:rFonts w:ascii="Arial" w:hAnsi="Arial"/>
                          <w:i/>
                          <w:sz w:val="20"/>
                          <w:szCs w:val="20"/>
                        </w:rPr>
                        <w:t>واتسمت الإصلاحات المؤسسية الداعمة للهيئات الخدمية الميدانية بأنها أكثر نجاحًا من تلك الموجودة على المستوى المركزي في السلطة الفلسطينية. وقامت البلديات بتحسين أدائها مقابل 16 مؤشر أداء خاص</w:t>
                      </w:r>
                      <w:r w:rsidRPr="00E95046">
                        <w:rPr>
                          <w:rFonts w:ascii="Arial" w:hAnsi="Arial" w:hint="cs"/>
                          <w:i/>
                          <w:sz w:val="20"/>
                          <w:szCs w:val="20"/>
                        </w:rPr>
                        <w:t>ًا</w:t>
                      </w:r>
                      <w:r w:rsidRPr="00E95046">
                        <w:rPr>
                          <w:rFonts w:ascii="Arial" w:hAnsi="Arial"/>
                          <w:i/>
                          <w:sz w:val="20"/>
                          <w:szCs w:val="20"/>
                        </w:rPr>
                        <w:t xml:space="preserve"> بالحوكمة الجيدة، تضمنت تطبيق إجراءات وتدابير المساءلة الاجتماعية. من ناحية أخرى، شهدت عملية إعداد القوائم المالية للسلطة الفلسطينية تأخيرًا، واتسمت وتيرة معاملات الأراضي التي تقوم مكاتب سلطة الأراضي الفلسطينية بإنجازها بأنها أكثر بط</w:t>
                      </w:r>
                      <w:r w:rsidRPr="00E95046">
                        <w:rPr>
                          <w:rFonts w:ascii="Arial" w:hAnsi="Arial" w:hint="cs"/>
                          <w:i/>
                          <w:sz w:val="20"/>
                          <w:szCs w:val="20"/>
                        </w:rPr>
                        <w:t>ئًا</w:t>
                      </w:r>
                      <w:r w:rsidRPr="00E95046">
                        <w:rPr>
                          <w:rFonts w:ascii="Arial" w:hAnsi="Arial"/>
                          <w:i/>
                          <w:sz w:val="20"/>
                          <w:szCs w:val="20"/>
                        </w:rPr>
                        <w:t xml:space="preserve"> مما هو متوقع، ولم يكن يعمل الموقع الوحيد للسلطة الفلسطينية على شبكة الإنترنت المعني بالمناقصات والمشتريات الحكومية. </w:t>
                      </w:r>
                    </w:p>
                    <w:p w14:paraId="727BA9CA" w14:textId="77777777" w:rsidR="00205E55" w:rsidRPr="00E95046" w:rsidRDefault="00205E55" w:rsidP="00290AC0">
                      <w:pPr>
                        <w:spacing w:after="0" w:line="240" w:lineRule="auto"/>
                        <w:jc w:val="both"/>
                        <w:rPr>
                          <w:rFonts w:ascii="Times New Roman" w:hAnsi="Times New Roman" w:cs="Times New Roman"/>
                          <w:i/>
                          <w:sz w:val="20"/>
                          <w:szCs w:val="20"/>
                        </w:rPr>
                      </w:pPr>
                    </w:p>
                    <w:p w14:paraId="0D2D9010" w14:textId="77777777" w:rsidR="00205E55" w:rsidRPr="00E95046" w:rsidRDefault="00205E55" w:rsidP="00290AC0">
                      <w:pPr>
                        <w:spacing w:after="0" w:line="240" w:lineRule="auto"/>
                        <w:jc w:val="both"/>
                        <w:rPr>
                          <w:rFonts w:ascii="Arial" w:hAnsi="Arial" w:cs="Arial"/>
                          <w:i/>
                          <w:sz w:val="20"/>
                          <w:szCs w:val="20"/>
                        </w:rPr>
                      </w:pPr>
                      <w:r w:rsidRPr="00E95046">
                        <w:rPr>
                          <w:rFonts w:ascii="Arial" w:hAnsi="Arial"/>
                          <w:i/>
                          <w:sz w:val="20"/>
                          <w:szCs w:val="20"/>
                        </w:rPr>
                        <w:t>واتسمت الإجراءات التدخلية للبرنامج السابق المعنية بمساندة النمو الذي يقوده القطاع الخاص بهدف زيادة فرص العمل بأنها متواضعة، لكنها حققت أثرًا إيجابيًا. وتم إيجاد فرص عمل للنساء في المجتمعات الريفية المهمشة على طول مسار إبراهيم الخليل، وتم الوصول إلى الرقم المستهدف من المقترضين من المنشآت الصغرى والصغيرة والمتوسطة، وساندت الوكالة الدولية لضمان الاستثمار الصناعات التي تخلق فرص عمل من خلال ضمان هذه المشروعات لتغطية المخاطر السياسية.</w:t>
                      </w:r>
                    </w:p>
                    <w:p w14:paraId="27FC7C06" w14:textId="77777777" w:rsidR="00205E55" w:rsidRPr="00E95046" w:rsidRDefault="00205E55" w:rsidP="00290AC0">
                      <w:pPr>
                        <w:spacing w:after="0" w:line="240" w:lineRule="auto"/>
                        <w:jc w:val="both"/>
                        <w:rPr>
                          <w:rFonts w:ascii="Times New Roman" w:hAnsi="Times New Roman" w:cs="Times New Roman"/>
                          <w:i/>
                          <w:sz w:val="20"/>
                          <w:szCs w:val="20"/>
                        </w:rPr>
                      </w:pPr>
                    </w:p>
                    <w:p w14:paraId="1C2EAD3A" w14:textId="77777777" w:rsidR="00205E55" w:rsidRPr="00E95046" w:rsidRDefault="00205E55" w:rsidP="00BE54C0">
                      <w:pPr>
                        <w:spacing w:after="0" w:line="240" w:lineRule="auto"/>
                        <w:jc w:val="both"/>
                        <w:rPr>
                          <w:i/>
                          <w:sz w:val="20"/>
                          <w:szCs w:val="20"/>
                        </w:rPr>
                      </w:pPr>
                      <w:r w:rsidRPr="00E95046">
                        <w:rPr>
                          <w:rFonts w:ascii="Arial" w:hAnsi="Arial"/>
                          <w:i/>
                          <w:sz w:val="20"/>
                          <w:szCs w:val="20"/>
                        </w:rPr>
                        <w:t>واتسم التقدم المحرز بالتباطؤ في مشروعات البنية التحتية في غزة التي تحصل على مساندة من مؤسسة التمويل الدولية والبنك الدولي. وشهدت عملية إعادة بناء شبكة توزيع الكهرباء التي دمرتها حرب 2014 في غزة تأخيرات كبيرة في التنفيذ. ولم يتحقق التوسع في خدمات الاتصالات بصورة تام</w:t>
                      </w:r>
                      <w:r w:rsidRPr="00E95046">
                        <w:rPr>
                          <w:rFonts w:ascii="Arial" w:hAnsi="Arial" w:hint="cs"/>
                          <w:i/>
                          <w:sz w:val="20"/>
                          <w:szCs w:val="20"/>
                        </w:rPr>
                        <w:t>ة</w:t>
                      </w:r>
                      <w:r w:rsidRPr="00E95046">
                        <w:rPr>
                          <w:rFonts w:ascii="Arial" w:hAnsi="Arial"/>
                          <w:i/>
                          <w:sz w:val="20"/>
                          <w:szCs w:val="20"/>
                        </w:rPr>
                        <w:t xml:space="preserve"> بسبب تأخير إسرائيل في إجازة الطيف الخلوي. ولم تعمل بعد محطة معالجة مياه الصرف في شمال غزة، ولا تزال مياه الصرف من </w:t>
                      </w:r>
                      <w:r w:rsidRPr="00E95046">
                        <w:rPr>
                          <w:rFonts w:ascii="Arial" w:hAnsi="Arial" w:hint="cs"/>
                          <w:i/>
                          <w:sz w:val="20"/>
                          <w:szCs w:val="20"/>
                        </w:rPr>
                        <w:t xml:space="preserve">شمال </w:t>
                      </w:r>
                      <w:r w:rsidRPr="00E95046">
                        <w:rPr>
                          <w:rFonts w:ascii="Arial" w:hAnsi="Arial"/>
                          <w:i/>
                          <w:sz w:val="20"/>
                          <w:szCs w:val="20"/>
                        </w:rPr>
                        <w:t xml:space="preserve">قطاع غزة غير معالجة. </w:t>
                      </w:r>
                    </w:p>
                  </w:txbxContent>
                </v:textbox>
                <w10:wrap type="square" anchorx="margin"/>
              </v:shape>
            </w:pict>
          </mc:Fallback>
        </mc:AlternateContent>
      </w:r>
      <w:r>
        <w:rPr>
          <w:rFonts w:ascii="Arial" w:hAnsi="Arial"/>
        </w:rPr>
        <w:t>لتحسين بيئة أنشطة الأعمال. لكن بسبب التحديات القائمة في الإطار المؤسسي داخل البيئة التشغيلية للمشروع، تم إقفاله في 2016.</w:t>
      </w:r>
      <w:r w:rsidR="00022F13">
        <w:rPr>
          <w:rFonts w:ascii="Arial" w:hAnsi="Arial"/>
        </w:rPr>
        <w:t xml:space="preserve"> </w:t>
      </w:r>
      <w:r>
        <w:rPr>
          <w:rFonts w:ascii="Arial" w:hAnsi="Arial"/>
        </w:rPr>
        <w:t>وبعد ذلك، ساندت مجموعة البنك الدولي سياسات السلطة الفلسطينية المعنية بتطوير وتنمية القطاع الخاص من خلال منح سياسات التنمية الخاصة بها، ومساندة إجراءات مثل القوانين الجديدة للإيجار التمويلي والمعاملات المضمونة وسجل الأصول المنقولة.</w:t>
      </w:r>
      <w:r w:rsidR="00022F13">
        <w:rPr>
          <w:rFonts w:ascii="Arial" w:hAnsi="Arial"/>
        </w:rPr>
        <w:t xml:space="preserve"> </w:t>
      </w:r>
      <w:r>
        <w:rPr>
          <w:rFonts w:ascii="Arial" w:hAnsi="Arial"/>
        </w:rPr>
        <w:t>وفي مجال الشراكات بين القطاعين العام والخاص، ساعد</w:t>
      </w:r>
      <w:r w:rsidR="00022F13">
        <w:rPr>
          <w:rFonts w:ascii="Arial" w:hAnsi="Arial"/>
        </w:rPr>
        <w:t xml:space="preserve"> </w:t>
      </w:r>
      <w:r>
        <w:rPr>
          <w:rFonts w:ascii="Arial" w:hAnsi="Arial"/>
          <w:i/>
          <w:iCs/>
        </w:rPr>
        <w:t>مشروع إدارة المخلفات الصلبة في جنوب الضفة الغربية</w:t>
      </w:r>
      <w:r>
        <w:rPr>
          <w:rFonts w:ascii="Arial" w:hAnsi="Arial"/>
        </w:rPr>
        <w:t xml:space="preserve"> السلطات المحلية في محافظتي الخليل وبيت لحم على إسناد عملية مدفن صحي (مطمر) حديث الإنشاء لشركة قطاع خاص حيث كان يتم صرف المستخلصات الخاصة بهذه العملية مقابل معايير أداء استرشادية محددة.</w:t>
      </w:r>
      <w:r w:rsidR="00022F13">
        <w:rPr>
          <w:rFonts w:ascii="Arial" w:hAnsi="Arial"/>
        </w:rPr>
        <w:t xml:space="preserve"> </w:t>
      </w:r>
      <w:r>
        <w:rPr>
          <w:rFonts w:ascii="Arial" w:hAnsi="Arial"/>
        </w:rPr>
        <w:t>و</w:t>
      </w:r>
      <w:r>
        <w:rPr>
          <w:rFonts w:ascii="Arial" w:hAnsi="Arial"/>
          <w:i/>
          <w:iCs/>
        </w:rPr>
        <w:t>لمشروع تطوير البلديات</w:t>
      </w:r>
      <w:r>
        <w:rPr>
          <w:rFonts w:ascii="Arial" w:hAnsi="Arial"/>
        </w:rPr>
        <w:t xml:space="preserve"> الجاري القيام به حاليًا والذي دخل مرحلته الثالثة هدف يتمثل في مساعدة البلديات على تحقيق الملاءة الائتمانية بغرض تعبئة موارد تمويلية تجارية، وإشراك القطاع الخاص بصورة أكثر نشاطًا في تقديم الخدمات البلدية. </w:t>
      </w:r>
    </w:p>
    <w:p w14:paraId="45B842A4" w14:textId="77777777" w:rsidR="00B334F2" w:rsidRDefault="00B334F2" w:rsidP="00604216">
      <w:pPr>
        <w:pStyle w:val="ListParagraph"/>
        <w:spacing w:after="0" w:line="240" w:lineRule="auto"/>
        <w:ind w:left="0"/>
        <w:jc w:val="both"/>
        <w:rPr>
          <w:rFonts w:ascii="Times New Roman" w:eastAsiaTheme="minorEastAsia" w:hAnsi="Times New Roman" w:cs="Times New Roman"/>
        </w:rPr>
      </w:pPr>
    </w:p>
    <w:p w14:paraId="48E16CBD" w14:textId="77777777" w:rsidR="00D33492" w:rsidRPr="00604216" w:rsidRDefault="4F88A954" w:rsidP="005F31C7">
      <w:pPr>
        <w:pStyle w:val="ListParagraph"/>
        <w:numPr>
          <w:ilvl w:val="0"/>
          <w:numId w:val="6"/>
        </w:numPr>
        <w:spacing w:after="0" w:line="240" w:lineRule="auto"/>
        <w:jc w:val="both"/>
        <w:rPr>
          <w:rFonts w:ascii="Arial" w:eastAsiaTheme="minorEastAsia" w:hAnsi="Arial" w:cs="Arial"/>
        </w:rPr>
      </w:pPr>
      <w:r>
        <w:rPr>
          <w:rFonts w:ascii="Arial" w:hAnsi="Arial"/>
          <w:b/>
          <w:bCs/>
        </w:rPr>
        <w:t>أدى تراجع مستويات المعونات وزيادة معدلات البطالة إلى تسليط الضوء على الحاجة الملحة لاتخاذ مزيد من الإجراءات لتهيئة الظروف الداعمة للقطاع الخاص حتى يزدهر ويجد طرقًا جديدًا لتعبئة الموارد.</w:t>
      </w:r>
      <w:r w:rsidR="00022F13">
        <w:rPr>
          <w:rFonts w:ascii="Arial" w:hAnsi="Arial"/>
          <w:b/>
          <w:bCs/>
        </w:rPr>
        <w:t xml:space="preserve"> </w:t>
      </w:r>
      <w:r>
        <w:rPr>
          <w:rFonts w:ascii="Arial" w:hAnsi="Arial"/>
        </w:rPr>
        <w:t>وثمة درس من تقرير عن التنمية في العالم حول</w:t>
      </w:r>
      <w:r w:rsidR="00022F13">
        <w:rPr>
          <w:rFonts w:ascii="Arial" w:hAnsi="Arial"/>
        </w:rPr>
        <w:t xml:space="preserve"> </w:t>
      </w:r>
      <w:r>
        <w:rPr>
          <w:rFonts w:ascii="Arial" w:hAnsi="Arial"/>
        </w:rPr>
        <w:t>الهشاشة والصراع والعنف ألا وهو ضرورة أن يعمل المجتمع الدولي على ضمان تقليل التقلبات في التمويل. وفي الفترة ما بين 2014 إلى 2016، أشار المانحون والوكالات الدولية إلى تراجع المعونات الثنائية ومتعددة الأطراف المقدرة إلى الضفة الغربية وقطاع غزة من 3.4 مليار دولار إلى 2.8 مليار دولار.</w:t>
      </w:r>
      <w:r w:rsidR="00022F13">
        <w:rPr>
          <w:rFonts w:ascii="Arial" w:hAnsi="Arial"/>
        </w:rPr>
        <w:t xml:space="preserve"> </w:t>
      </w:r>
      <w:r w:rsidR="00683212">
        <w:rPr>
          <w:rFonts w:ascii="Arial" w:hAnsi="Arial"/>
        </w:rPr>
        <w:t>وي</w:t>
      </w:r>
      <w:r w:rsidR="00683212">
        <w:rPr>
          <w:rFonts w:ascii="Arial" w:hAnsi="Arial" w:hint="cs"/>
        </w:rPr>
        <w:t>وضح</w:t>
      </w:r>
      <w:r>
        <w:rPr>
          <w:rFonts w:ascii="Arial" w:hAnsi="Arial"/>
        </w:rPr>
        <w:t xml:space="preserve"> </w:t>
      </w:r>
      <w:r w:rsidR="00683212">
        <w:rPr>
          <w:rFonts w:ascii="Arial" w:hAnsi="Arial" w:hint="cs"/>
        </w:rPr>
        <w:t>ذلك</w:t>
      </w:r>
      <w:r>
        <w:rPr>
          <w:rFonts w:ascii="Arial" w:hAnsi="Arial"/>
        </w:rPr>
        <w:t xml:space="preserve"> الاتجاه المتراجع للمساندة المباشرة للموازنة (من 919 مليون دولار في 2014 إلى 579 مليون دولار في 2016)، وللمعونات الإنسانية (من 927 مليون دولار في 2014 إلى 646 مليون دولار في 2016)، بحسب ما أشارت إليه وزارة المالية والتخطيط الفلسطينية وخدمة التتبع المالي، على التوالي.</w:t>
      </w:r>
      <w:r w:rsidR="00022F13">
        <w:rPr>
          <w:rFonts w:ascii="Arial" w:hAnsi="Arial"/>
        </w:rPr>
        <w:t xml:space="preserve"> </w:t>
      </w:r>
      <w:r>
        <w:rPr>
          <w:rFonts w:ascii="Arial" w:hAnsi="Arial"/>
        </w:rPr>
        <w:t>وشهدت المساندة المقدمة من المانحين الموجهة من خلال البنك الدولي تراجعًا أيضًا.</w:t>
      </w:r>
      <w:r w:rsidR="00022F13">
        <w:rPr>
          <w:rFonts w:ascii="Arial" w:hAnsi="Arial"/>
        </w:rPr>
        <w:t xml:space="preserve"> </w:t>
      </w:r>
      <w:r>
        <w:rPr>
          <w:rFonts w:ascii="Arial" w:hAnsi="Arial"/>
        </w:rPr>
        <w:t xml:space="preserve">ويجري استكمال حافظة الاستثمار الحالية للبنك الدولي بقيمة 211.8 مليون دولار (من الصندوق الاستئماني لغزة والضفة الغربية، والصندوق الاستئماني لتقوية قدرات الدولة وبناء السلام الذي يديره البنك الدولي، والشراكة العالمية للمعونات المرتبطة بالنواتج) من التمويل المشترك المقدم من المانحين والتمويل الموازي الأقل من مثلي مبلغ المساعدة المقدمة من البنك الدولي، وقد كانت قيمة هذا المبلغ 4 أمثال في المساعدة المقدمة من البنك الدولي في بداية فترة </w:t>
      </w:r>
      <w:r w:rsidR="005F31C7">
        <w:rPr>
          <w:rFonts w:ascii="Arial" w:hAnsi="Arial"/>
        </w:rPr>
        <w:t>ا</w:t>
      </w:r>
      <w:r w:rsidR="005F31C7">
        <w:rPr>
          <w:rFonts w:ascii="Arial" w:hAnsi="Arial" w:hint="cs"/>
        </w:rPr>
        <w:t>لإ</w:t>
      </w:r>
      <w:r w:rsidR="005F31C7">
        <w:rPr>
          <w:rFonts w:ascii="Arial" w:hAnsi="Arial"/>
        </w:rPr>
        <w:t xml:space="preserve">ستراتيجية </w:t>
      </w:r>
      <w:r>
        <w:rPr>
          <w:rFonts w:ascii="Arial" w:hAnsi="Arial"/>
        </w:rPr>
        <w:t>السابقة (نوفمبر/تشرين الثاني 2014).</w:t>
      </w:r>
      <w:r w:rsidR="00022F13">
        <w:rPr>
          <w:rFonts w:ascii="Arial" w:hAnsi="Arial"/>
        </w:rPr>
        <w:t xml:space="preserve"> </w:t>
      </w:r>
      <w:r>
        <w:rPr>
          <w:rFonts w:ascii="Arial" w:hAnsi="Arial"/>
        </w:rPr>
        <w:t>ويقوم الصندوق الاستئماني متعدد المانحين للخطة الفلسطينية للإصلاح والتنمية بتوجيه مساندة الموازنة المقدمة من المانحين</w:t>
      </w:r>
      <w:r w:rsidR="00022F13">
        <w:rPr>
          <w:rFonts w:ascii="Arial" w:hAnsi="Arial"/>
        </w:rPr>
        <w:t xml:space="preserve"> </w:t>
      </w:r>
      <w:r>
        <w:rPr>
          <w:rFonts w:ascii="Arial" w:hAnsi="Arial"/>
        </w:rPr>
        <w:t>(مؤخرًا من أستراليا وفرنسا واليابان والنرويج والمملكة المتحدة والكويت) إلى السلطة الفلسطينية لتنفيذ السياسات التي</w:t>
      </w:r>
      <w:r w:rsidR="00022F13">
        <w:rPr>
          <w:rFonts w:ascii="Arial" w:hAnsi="Arial"/>
        </w:rPr>
        <w:t xml:space="preserve"> </w:t>
      </w:r>
      <w:r>
        <w:rPr>
          <w:rFonts w:ascii="Arial" w:hAnsi="Arial"/>
        </w:rPr>
        <w:t>تساندها منحة سياسات التنمية المقدمة من البنك الدولي. وقد تراجعت مساندة الموازنة المقدمة من المانحين والموجهة من خلال هذا الصندوق الاستئماني من 200 مليون دولار في المتوسط سنويًا أثناء السنوات 2010 - 2013 إلى 157 مليون دولار في 2014، و60 مليون دولار في 2016.</w:t>
      </w:r>
      <w:r w:rsidR="00022F13">
        <w:rPr>
          <w:rFonts w:ascii="Arial" w:hAnsi="Arial"/>
        </w:rPr>
        <w:t xml:space="preserve"> </w:t>
      </w:r>
      <w:r>
        <w:rPr>
          <w:rFonts w:ascii="Arial" w:hAnsi="Arial"/>
        </w:rPr>
        <w:t xml:space="preserve">وتباطأت وتيرة المساهمات الجديدة من الصندوق الاستئماني متعدد المانحين للشراكة من أجل البنية التحتية منذ أن وصلت إلى الذروة بعد حرب غزة في 2014. </w:t>
      </w:r>
    </w:p>
    <w:p w14:paraId="0B155C5D" w14:textId="77777777" w:rsidR="00D33492" w:rsidRPr="00604216" w:rsidRDefault="00D33492" w:rsidP="00604216">
      <w:pPr>
        <w:pStyle w:val="ListParagraph"/>
        <w:spacing w:after="0" w:line="240" w:lineRule="auto"/>
        <w:ind w:left="0"/>
        <w:jc w:val="both"/>
        <w:rPr>
          <w:rFonts w:ascii="Times New Roman" w:hAnsi="Times New Roman" w:cs="Times New Roman"/>
        </w:rPr>
      </w:pPr>
    </w:p>
    <w:p w14:paraId="4D851D1F" w14:textId="77777777" w:rsidR="004565A8" w:rsidRPr="00416E14" w:rsidRDefault="004025A4" w:rsidP="005F31C7">
      <w:pPr>
        <w:pStyle w:val="ListParagraph"/>
        <w:numPr>
          <w:ilvl w:val="0"/>
          <w:numId w:val="6"/>
        </w:numPr>
        <w:spacing w:after="0" w:line="240" w:lineRule="auto"/>
        <w:jc w:val="both"/>
        <w:rPr>
          <w:rFonts w:ascii="Arial" w:hAnsi="Arial" w:cs="Arial"/>
        </w:rPr>
      </w:pPr>
      <w:r>
        <w:rPr>
          <w:rFonts w:ascii="Arial" w:hAnsi="Arial"/>
          <w:b/>
          <w:bCs/>
        </w:rPr>
        <w:t>لا يزال</w:t>
      </w:r>
      <w:r w:rsidR="00022F13">
        <w:rPr>
          <w:rFonts w:ascii="Arial" w:hAnsi="Arial"/>
          <w:b/>
          <w:bCs/>
        </w:rPr>
        <w:t xml:space="preserve"> </w:t>
      </w:r>
      <w:r>
        <w:rPr>
          <w:rFonts w:ascii="Arial" w:hAnsi="Arial"/>
          <w:b/>
          <w:bCs/>
        </w:rPr>
        <w:t>العمل التحليلي والاستشاري لمجموعة البنك الدولي جزءً</w:t>
      </w:r>
      <w:r w:rsidR="005F31C7">
        <w:rPr>
          <w:rFonts w:ascii="Arial" w:hAnsi="Arial" w:hint="cs"/>
          <w:b/>
          <w:bCs/>
        </w:rPr>
        <w:t>ا</w:t>
      </w:r>
      <w:r>
        <w:rPr>
          <w:rFonts w:ascii="Arial" w:hAnsi="Arial"/>
          <w:b/>
          <w:bCs/>
        </w:rPr>
        <w:t xml:space="preserve"> جوهريًا من هذه </w:t>
      </w:r>
      <w:r w:rsidR="005F31C7">
        <w:rPr>
          <w:rFonts w:ascii="Arial" w:hAnsi="Arial"/>
          <w:b/>
          <w:bCs/>
        </w:rPr>
        <w:t>ال</w:t>
      </w:r>
      <w:r w:rsidR="005F31C7">
        <w:rPr>
          <w:rFonts w:ascii="Arial" w:hAnsi="Arial" w:hint="cs"/>
          <w:b/>
          <w:bCs/>
        </w:rPr>
        <w:t>إ</w:t>
      </w:r>
      <w:r w:rsidR="005F31C7">
        <w:rPr>
          <w:rFonts w:ascii="Arial" w:hAnsi="Arial"/>
          <w:b/>
          <w:bCs/>
        </w:rPr>
        <w:t>ستراتيجية</w:t>
      </w:r>
      <w:r>
        <w:rPr>
          <w:rFonts w:ascii="Arial" w:hAnsi="Arial"/>
          <w:b/>
          <w:bCs/>
        </w:rPr>
        <w:t>، ولا يزال يقوم بدور مهم في تسليط الضوء على المعوقات بالغة الأهمية والحساسة التي تعوق تحسين الأداء الاقتصادي.</w:t>
      </w:r>
      <w:r w:rsidR="00022F13">
        <w:rPr>
          <w:rFonts w:ascii="Arial" w:hAnsi="Arial"/>
          <w:b/>
          <w:bCs/>
        </w:rPr>
        <w:t xml:space="preserve"> </w:t>
      </w:r>
      <w:r>
        <w:rPr>
          <w:rFonts w:ascii="Arial" w:hAnsi="Arial"/>
        </w:rPr>
        <w:t xml:space="preserve">وأبرزت المشاورات أثناء إعداد هذه </w:t>
      </w:r>
      <w:r w:rsidR="005F31C7">
        <w:rPr>
          <w:rFonts w:ascii="Arial" w:hAnsi="Arial"/>
        </w:rPr>
        <w:t>ال</w:t>
      </w:r>
      <w:r w:rsidR="005F31C7">
        <w:rPr>
          <w:rFonts w:ascii="Arial" w:hAnsi="Arial" w:hint="cs"/>
        </w:rPr>
        <w:t>إ</w:t>
      </w:r>
      <w:r w:rsidR="005F31C7">
        <w:rPr>
          <w:rFonts w:ascii="Arial" w:hAnsi="Arial"/>
        </w:rPr>
        <w:t xml:space="preserve">ستراتيجية </w:t>
      </w:r>
      <w:r>
        <w:rPr>
          <w:rFonts w:ascii="Arial" w:hAnsi="Arial"/>
        </w:rPr>
        <w:t>أن العمل</w:t>
      </w:r>
      <w:r w:rsidR="00022F13">
        <w:rPr>
          <w:rFonts w:ascii="Arial" w:hAnsi="Arial"/>
        </w:rPr>
        <w:t xml:space="preserve"> </w:t>
      </w:r>
      <w:r>
        <w:rPr>
          <w:rFonts w:ascii="Arial" w:hAnsi="Arial"/>
        </w:rPr>
        <w:t xml:space="preserve">التحليلي والاستشاري السابق لمجموعة البنك الدولي ساند إعداد الأجندة المعنية وحظي بتقييم جيد من جميع أصحاب </w:t>
      </w:r>
      <w:r>
        <w:rPr>
          <w:rFonts w:ascii="Arial" w:hAnsi="Arial"/>
        </w:rPr>
        <w:lastRenderedPageBreak/>
        <w:t>المصلحة.</w:t>
      </w:r>
      <w:r w:rsidR="00022F13">
        <w:rPr>
          <w:rFonts w:ascii="Arial" w:hAnsi="Arial"/>
        </w:rPr>
        <w:t xml:space="preserve"> </w:t>
      </w:r>
      <w:r>
        <w:rPr>
          <w:rFonts w:ascii="Arial" w:hAnsi="Arial"/>
        </w:rPr>
        <w:t>وتم القيام بمجموعة واسعة النطاق من الخدمات الاستشارية والأعمال التحليلية مع مزيج من التقارير، ومذكرات السياسات، ومساعدة فنية تضمنت:</w:t>
      </w:r>
      <w:r w:rsidR="00022F13">
        <w:rPr>
          <w:rFonts w:ascii="Arial" w:hAnsi="Arial"/>
        </w:rPr>
        <w:t xml:space="preserve"> </w:t>
      </w:r>
    </w:p>
    <w:p w14:paraId="06BB1717" w14:textId="77777777" w:rsidR="004565A8" w:rsidRPr="00F12C03" w:rsidRDefault="4F88A954" w:rsidP="4F88A954">
      <w:pPr>
        <w:pStyle w:val="ListParagraph"/>
        <w:numPr>
          <w:ilvl w:val="0"/>
          <w:numId w:val="1"/>
        </w:numPr>
        <w:spacing w:after="0" w:line="240" w:lineRule="auto"/>
        <w:jc w:val="both"/>
        <w:rPr>
          <w:rFonts w:ascii="Arial" w:hAnsi="Arial" w:cs="Arial"/>
        </w:rPr>
      </w:pPr>
      <w:r>
        <w:rPr>
          <w:rFonts w:ascii="Arial" w:hAnsi="Arial"/>
        </w:rPr>
        <w:t>تقارير مرفوعة للجنة الاتصال الخاصة تغطي التطورات والمستجدات الاقتصادية، كما تضمنت تقييمات محددة لترتيبات تقاسم الإيرادات بين السلطة الفلسطينية وحكومة إسرائيل، وحاجة السلطة الفلسطينية وحكومة إسرائيل إلى تسهيل زيادة استثمارات القطاع الخاص للوفاء بالطلب المستقبلي على الطاقة.</w:t>
      </w:r>
      <w:r w:rsidR="00022F13">
        <w:rPr>
          <w:rFonts w:ascii="Arial" w:hAnsi="Arial"/>
        </w:rPr>
        <w:t xml:space="preserve"> </w:t>
      </w:r>
    </w:p>
    <w:p w14:paraId="52718540" w14:textId="77777777" w:rsidR="004565A8" w:rsidRPr="00F12C03" w:rsidRDefault="4F88A954" w:rsidP="4F88A954">
      <w:pPr>
        <w:pStyle w:val="ListParagraph"/>
        <w:numPr>
          <w:ilvl w:val="0"/>
          <w:numId w:val="1"/>
        </w:numPr>
        <w:spacing w:after="0" w:line="240" w:lineRule="auto"/>
        <w:jc w:val="both"/>
        <w:rPr>
          <w:rFonts w:ascii="Arial" w:hAnsi="Arial" w:cs="Arial"/>
        </w:rPr>
      </w:pPr>
      <w:r>
        <w:rPr>
          <w:rFonts w:ascii="Arial" w:hAnsi="Arial"/>
        </w:rPr>
        <w:t>تقييمًا للأُثر النسبي الذي يمكن أن تحدثه التغييرات في القيود الكمية والإصلاحات المحلية على الأداء الاقتصادي.</w:t>
      </w:r>
      <w:r w:rsidR="00022F13">
        <w:rPr>
          <w:rFonts w:ascii="Arial" w:hAnsi="Arial"/>
        </w:rPr>
        <w:t xml:space="preserve"> </w:t>
      </w:r>
    </w:p>
    <w:p w14:paraId="6811D56B" w14:textId="77777777" w:rsidR="004565A8" w:rsidRPr="00F12C03" w:rsidRDefault="4F88A954" w:rsidP="005F31C7">
      <w:pPr>
        <w:pStyle w:val="ListParagraph"/>
        <w:numPr>
          <w:ilvl w:val="0"/>
          <w:numId w:val="1"/>
        </w:numPr>
        <w:spacing w:after="0" w:line="240" w:lineRule="auto"/>
        <w:jc w:val="both"/>
        <w:rPr>
          <w:rFonts w:ascii="Arial" w:hAnsi="Arial" w:cs="Arial"/>
        </w:rPr>
      </w:pPr>
      <w:r>
        <w:rPr>
          <w:rFonts w:ascii="Arial" w:hAnsi="Arial"/>
        </w:rPr>
        <w:t xml:space="preserve">تقييمًا لقطاع الاتصالات السلكية واللاسلكية من شأنه التحديد الكمي لمساهمة الاتصالات السلكية </w:t>
      </w:r>
      <w:r w:rsidR="005F31C7">
        <w:rPr>
          <w:rFonts w:ascii="Arial" w:hAnsi="Arial" w:hint="cs"/>
        </w:rPr>
        <w:t>و</w:t>
      </w:r>
      <w:r>
        <w:rPr>
          <w:rFonts w:ascii="Arial" w:hAnsi="Arial"/>
        </w:rPr>
        <w:t xml:space="preserve">اللاسلكية </w:t>
      </w:r>
      <w:r w:rsidR="005F31C7">
        <w:rPr>
          <w:rFonts w:ascii="Arial" w:hAnsi="Arial" w:hint="cs"/>
        </w:rPr>
        <w:t xml:space="preserve">بوصفها </w:t>
      </w:r>
      <w:r w:rsidR="005F31C7">
        <w:rPr>
          <w:rFonts w:ascii="Arial" w:hAnsi="Arial"/>
        </w:rPr>
        <w:t>مصدر</w:t>
      </w:r>
      <w:r w:rsidR="005F31C7">
        <w:rPr>
          <w:rFonts w:ascii="Arial" w:hAnsi="Arial" w:hint="cs"/>
        </w:rPr>
        <w:t>ًا</w:t>
      </w:r>
      <w:r w:rsidR="005F31C7">
        <w:rPr>
          <w:rFonts w:ascii="Arial" w:hAnsi="Arial"/>
        </w:rPr>
        <w:t xml:space="preserve"> </w:t>
      </w:r>
      <w:r>
        <w:rPr>
          <w:rFonts w:ascii="Arial" w:hAnsi="Arial"/>
        </w:rPr>
        <w:t xml:space="preserve">للنمو الاقتصادي وخلق فرص العمل في حالة التخفيف من القيود على سبل الوصول إلى الطيف الخلوي. </w:t>
      </w:r>
    </w:p>
    <w:p w14:paraId="0F355CAA" w14:textId="77777777" w:rsidR="004565A8" w:rsidRPr="00BC45C4" w:rsidRDefault="4F88A954" w:rsidP="4F88A954">
      <w:pPr>
        <w:pStyle w:val="ListParagraph"/>
        <w:numPr>
          <w:ilvl w:val="0"/>
          <w:numId w:val="1"/>
        </w:numPr>
        <w:spacing w:line="240" w:lineRule="auto"/>
        <w:jc w:val="both"/>
        <w:rPr>
          <w:rFonts w:ascii="Arial" w:hAnsi="Arial" w:cs="Arial"/>
        </w:rPr>
      </w:pPr>
      <w:r>
        <w:rPr>
          <w:rFonts w:ascii="Arial" w:hAnsi="Arial"/>
        </w:rPr>
        <w:t>استعراضًا لسياسة التجارة مع الخطوات الفورية للحد من أعباء تكاليف المعاملات.</w:t>
      </w:r>
      <w:r w:rsidR="00022F13">
        <w:rPr>
          <w:rFonts w:ascii="Arial" w:hAnsi="Arial"/>
        </w:rPr>
        <w:t xml:space="preserve"> </w:t>
      </w:r>
    </w:p>
    <w:p w14:paraId="0D30A3BA" w14:textId="77777777" w:rsidR="004565A8" w:rsidRDefault="4F88A954" w:rsidP="4F88A954">
      <w:pPr>
        <w:pStyle w:val="ListParagraph"/>
        <w:numPr>
          <w:ilvl w:val="0"/>
          <w:numId w:val="1"/>
        </w:numPr>
        <w:spacing w:after="0" w:line="240" w:lineRule="auto"/>
        <w:jc w:val="both"/>
        <w:rPr>
          <w:rFonts w:ascii="Arial" w:hAnsi="Arial" w:cs="Arial"/>
        </w:rPr>
      </w:pPr>
      <w:r>
        <w:rPr>
          <w:rFonts w:ascii="Arial" w:hAnsi="Arial"/>
        </w:rPr>
        <w:t xml:space="preserve">مساعدة فنية لإصلاح بيئة ممارسة أنشطة الأعمال من شأنها مساندة إعداد بعض عناصر قانون الشركات الجديد، وإعادة تصميم إدارة الأعمال، وترشيد اللوائح التنظيمية. </w:t>
      </w:r>
    </w:p>
    <w:p w14:paraId="1E05D25E" w14:textId="77777777" w:rsidR="004565A8" w:rsidRDefault="4F88A954" w:rsidP="4F88A954">
      <w:pPr>
        <w:pStyle w:val="ListParagraph"/>
        <w:numPr>
          <w:ilvl w:val="0"/>
          <w:numId w:val="1"/>
        </w:numPr>
        <w:spacing w:after="0" w:line="240" w:lineRule="auto"/>
        <w:jc w:val="both"/>
        <w:rPr>
          <w:rFonts w:ascii="Arial" w:hAnsi="Arial" w:cs="Arial"/>
        </w:rPr>
      </w:pPr>
      <w:r>
        <w:rPr>
          <w:rFonts w:ascii="Arial" w:hAnsi="Arial"/>
        </w:rPr>
        <w:t xml:space="preserve">استعراضًا للإنفاق العام الذي أتاح تدابير سياسات محددة لتعزيز القيمة مقابل المال فيما يتعلق بالنفقات العامة في مجالات التوظيف في الخدمة المدنية، والصحة، والمعاشات التقاعدية، وعلاقات المالية العامة بين الأجهزة الحكومية، وفي الوقت نفسه الحد من حجم عجز المالية العامة (الموازنة). </w:t>
      </w:r>
    </w:p>
    <w:p w14:paraId="606411AD" w14:textId="77777777" w:rsidR="004565A8" w:rsidRDefault="002E477C" w:rsidP="4F88A954">
      <w:pPr>
        <w:pStyle w:val="ListParagraph"/>
        <w:numPr>
          <w:ilvl w:val="0"/>
          <w:numId w:val="1"/>
        </w:numPr>
        <w:spacing w:after="0" w:line="240" w:lineRule="auto"/>
        <w:jc w:val="both"/>
        <w:rPr>
          <w:rFonts w:ascii="Arial" w:hAnsi="Arial" w:cs="Arial"/>
        </w:rPr>
      </w:pPr>
      <w:r>
        <w:rPr>
          <w:rFonts w:ascii="Arial" w:hAnsi="Arial"/>
        </w:rPr>
        <w:t xml:space="preserve">ترتيبات </w:t>
      </w:r>
      <w:r w:rsidR="4F88A954">
        <w:rPr>
          <w:rFonts w:ascii="Arial" w:hAnsi="Arial"/>
        </w:rPr>
        <w:t xml:space="preserve">مؤسسية لتحسين كفاءة تقديم الخدمات الأساسية والمساءلة بشأنها، ويشمل ذلك خدمات المياه والصرف الصحي. </w:t>
      </w:r>
    </w:p>
    <w:p w14:paraId="7A06F628" w14:textId="77777777" w:rsidR="004F1647" w:rsidRPr="00453EA7" w:rsidRDefault="4F88A954" w:rsidP="4F88A954">
      <w:pPr>
        <w:pStyle w:val="ListParagraph"/>
        <w:numPr>
          <w:ilvl w:val="0"/>
          <w:numId w:val="1"/>
        </w:numPr>
        <w:rPr>
          <w:rFonts w:ascii="Arial" w:hAnsi="Arial" w:cs="Arial"/>
        </w:rPr>
      </w:pPr>
      <w:r>
        <w:rPr>
          <w:rFonts w:ascii="Arial" w:hAnsi="Arial"/>
        </w:rPr>
        <w:t xml:space="preserve">دراسة أسباب تدني مشاركة المرأة في قوة العمل والعلاج الممكن لهذه الحالة. </w:t>
      </w:r>
    </w:p>
    <w:p w14:paraId="781E5457" w14:textId="77777777" w:rsidR="00C728F7" w:rsidRPr="00C728F7" w:rsidRDefault="4F88A954" w:rsidP="4F88A954">
      <w:pPr>
        <w:pStyle w:val="ListParagraph"/>
        <w:numPr>
          <w:ilvl w:val="0"/>
          <w:numId w:val="1"/>
        </w:numPr>
        <w:spacing w:after="0" w:line="240" w:lineRule="auto"/>
        <w:jc w:val="both"/>
        <w:rPr>
          <w:rFonts w:ascii="Arial" w:hAnsi="Arial" w:cs="Arial"/>
        </w:rPr>
      </w:pPr>
      <w:r>
        <w:rPr>
          <w:rFonts w:ascii="Arial" w:hAnsi="Arial"/>
        </w:rPr>
        <w:t xml:space="preserve">مسحًا للأسر المعيشية لتقييم نواتج تقديم الخدمات عبر الخدمات العامة الأساسية لدى جميع السلطات المحلية في الضفة الغربية وقطاع غزة ــ والتوصية بإدخال تحسينات في أداء أجهزة الحكم المحلي. </w:t>
      </w:r>
    </w:p>
    <w:p w14:paraId="3E967887" w14:textId="77777777" w:rsidR="004565A8" w:rsidRPr="00D8024B" w:rsidRDefault="4F88A954" w:rsidP="4F88A954">
      <w:pPr>
        <w:pStyle w:val="ListParagraph"/>
        <w:numPr>
          <w:ilvl w:val="0"/>
          <w:numId w:val="1"/>
        </w:numPr>
        <w:spacing w:after="0" w:line="240" w:lineRule="auto"/>
        <w:jc w:val="both"/>
        <w:rPr>
          <w:rFonts w:ascii="Arial" w:hAnsi="Arial" w:cs="Arial"/>
          <w:b/>
          <w:bCs/>
        </w:rPr>
      </w:pPr>
      <w:r>
        <w:rPr>
          <w:rFonts w:ascii="Arial" w:hAnsi="Arial"/>
        </w:rPr>
        <w:t xml:space="preserve">أرست مساهمة قطاع الكهرباء المقدمة من البنك الدولي لصافي الإقراض وتأمين الطاقة من أجل التنمية الأساس لإصلاحات السلطة الفلسطينية التي تفتح الباب حاليًا أمام استثمارات القطاع الخاص في البنية التحتية. </w:t>
      </w:r>
    </w:p>
    <w:p w14:paraId="2D9AB4AD" w14:textId="77777777" w:rsidR="00D8024B" w:rsidRPr="002651AF" w:rsidRDefault="4F88A954" w:rsidP="4F88A954">
      <w:pPr>
        <w:pStyle w:val="ListParagraph"/>
        <w:numPr>
          <w:ilvl w:val="0"/>
          <w:numId w:val="1"/>
        </w:numPr>
        <w:spacing w:after="0" w:line="240" w:lineRule="auto"/>
        <w:jc w:val="both"/>
        <w:rPr>
          <w:rFonts w:ascii="Arial" w:hAnsi="Arial" w:cs="Arial"/>
          <w:b/>
          <w:bCs/>
        </w:rPr>
      </w:pPr>
      <w:r>
        <w:rPr>
          <w:rFonts w:ascii="Arial" w:hAnsi="Arial"/>
        </w:rPr>
        <w:t xml:space="preserve">أدى وجود فريق عمل معني بالمنشآت الصغيرة والمتوسطة ــ تم تشكيله مع منظمي مؤتمر الخدمات المصرفية للمنشآت الصغيرة والمتوسطة، ومن بينهم سلطة النقد الفلسطينية ــ إلى وجود حوافز تنظيمية لزيادة الإقراض للمنشآت الصغيرة والمتوسطة. </w:t>
      </w:r>
    </w:p>
    <w:p w14:paraId="23121E53" w14:textId="77777777" w:rsidR="00BF5BC5" w:rsidRPr="002651AF" w:rsidRDefault="00C12463" w:rsidP="4F88A954">
      <w:pPr>
        <w:pStyle w:val="ListParagraph"/>
        <w:numPr>
          <w:ilvl w:val="0"/>
          <w:numId w:val="1"/>
        </w:numPr>
        <w:spacing w:after="0" w:line="240" w:lineRule="auto"/>
        <w:jc w:val="both"/>
        <w:rPr>
          <w:rFonts w:ascii="Arial" w:hAnsi="Arial" w:cs="Arial"/>
          <w:b/>
          <w:bCs/>
        </w:rPr>
      </w:pPr>
      <w:r>
        <w:rPr>
          <w:rFonts w:ascii="Arial" w:hAnsi="Arial"/>
        </w:rPr>
        <w:t xml:space="preserve">برنامج ريادة الأعمال النسائية (برنامج الماجستير المصغر في </w:t>
      </w:r>
      <w:r w:rsidR="00E95046">
        <w:rPr>
          <w:rFonts w:ascii="Arial" w:hAnsi="Arial" w:hint="cs"/>
        </w:rPr>
        <w:t>إدارة</w:t>
      </w:r>
      <w:r>
        <w:rPr>
          <w:rFonts w:ascii="Arial" w:hAnsi="Arial"/>
        </w:rPr>
        <w:t xml:space="preserve"> </w:t>
      </w:r>
      <w:r w:rsidR="00E95046">
        <w:rPr>
          <w:rFonts w:ascii="Arial" w:hAnsi="Arial" w:hint="cs"/>
        </w:rPr>
        <w:t>الأعمال</w:t>
      </w:r>
      <w:r>
        <w:rPr>
          <w:rFonts w:ascii="Arial" w:hAnsi="Arial"/>
        </w:rPr>
        <w:t xml:space="preserve">) الذي قدم منهجية وأدوات تدريب وقام بتطوير مفهوم الخدمات المالية غير المصرفية من خلال البنوك. </w:t>
      </w:r>
    </w:p>
    <w:p w14:paraId="092228F4" w14:textId="77777777" w:rsidR="00BF5BC5" w:rsidRPr="00144611" w:rsidRDefault="002E477C" w:rsidP="005F31C7">
      <w:pPr>
        <w:pStyle w:val="ListParagraph"/>
        <w:numPr>
          <w:ilvl w:val="0"/>
          <w:numId w:val="1"/>
        </w:numPr>
        <w:spacing w:after="0" w:line="240" w:lineRule="auto"/>
        <w:jc w:val="both"/>
        <w:rPr>
          <w:rFonts w:ascii="Arial" w:hAnsi="Arial" w:cs="Arial"/>
          <w:b/>
          <w:bCs/>
        </w:rPr>
      </w:pPr>
      <w:r>
        <w:rPr>
          <w:rFonts w:ascii="Arial" w:hAnsi="Arial" w:hint="cs"/>
        </w:rPr>
        <w:t xml:space="preserve">ساندت </w:t>
      </w:r>
      <w:r w:rsidR="00C12463">
        <w:rPr>
          <w:rFonts w:ascii="Arial" w:hAnsi="Arial"/>
        </w:rPr>
        <w:t xml:space="preserve">إدارة المخاطر لدى مؤسسة التمويل الدولية، والمشاركة </w:t>
      </w:r>
      <w:r w:rsidR="005F31C7">
        <w:rPr>
          <w:rFonts w:ascii="Arial" w:hAnsi="Arial"/>
        </w:rPr>
        <w:t>ال</w:t>
      </w:r>
      <w:r w:rsidR="005F31C7">
        <w:rPr>
          <w:rFonts w:ascii="Arial" w:hAnsi="Arial" w:hint="cs"/>
        </w:rPr>
        <w:t>إ</w:t>
      </w:r>
      <w:r w:rsidR="005F31C7">
        <w:rPr>
          <w:rFonts w:ascii="Arial" w:hAnsi="Arial"/>
        </w:rPr>
        <w:t xml:space="preserve">ستراتيجية </w:t>
      </w:r>
      <w:r w:rsidR="00C12463">
        <w:rPr>
          <w:rFonts w:ascii="Arial" w:hAnsi="Arial"/>
        </w:rPr>
        <w:t>مع مؤسسة فاتن للتمويل الأصغر زيادة الوصول إلى قطاع جديد في السوق ــ بصفة رئيسية الشركات الصغيرة ــ وإنشاء وظيفة لإدارة المخاطر.</w:t>
      </w:r>
      <w:r w:rsidR="00022F13">
        <w:rPr>
          <w:rFonts w:ascii="Arial" w:hAnsi="Arial"/>
        </w:rPr>
        <w:t xml:space="preserve"> </w:t>
      </w:r>
    </w:p>
    <w:p w14:paraId="7E89C119" w14:textId="77777777" w:rsidR="00144611" w:rsidRPr="004851DB" w:rsidRDefault="4F88A954" w:rsidP="005F31C7">
      <w:pPr>
        <w:pStyle w:val="ListParagraph"/>
        <w:numPr>
          <w:ilvl w:val="0"/>
          <w:numId w:val="1"/>
        </w:numPr>
        <w:spacing w:after="0" w:line="240" w:lineRule="auto"/>
        <w:jc w:val="both"/>
        <w:rPr>
          <w:rFonts w:ascii="Arial" w:hAnsi="Arial" w:cs="Arial"/>
          <w:b/>
          <w:bCs/>
        </w:rPr>
      </w:pPr>
      <w:r>
        <w:rPr>
          <w:rFonts w:ascii="Arial" w:hAnsi="Arial"/>
        </w:rPr>
        <w:t xml:space="preserve">سن قانون الإيجار التمويلي وقانون المعاملات المضمونة ــ مساندة زيادة سبل وصول المنشآت الصغيرة والمتوسطة إلى التمويل ــ </w:t>
      </w:r>
      <w:r w:rsidR="005F31C7">
        <w:rPr>
          <w:rFonts w:ascii="Arial" w:hAnsi="Arial"/>
        </w:rPr>
        <w:t>اللذ</w:t>
      </w:r>
      <w:r w:rsidR="005F31C7">
        <w:rPr>
          <w:rFonts w:ascii="Arial" w:hAnsi="Arial" w:hint="cs"/>
        </w:rPr>
        <w:t>ي</w:t>
      </w:r>
      <w:r w:rsidR="005F31C7">
        <w:rPr>
          <w:rFonts w:ascii="Arial" w:hAnsi="Arial"/>
        </w:rPr>
        <w:t xml:space="preserve">ن </w:t>
      </w:r>
      <w:r w:rsidR="005F31C7">
        <w:rPr>
          <w:rFonts w:ascii="Arial" w:hAnsi="Arial" w:hint="cs"/>
        </w:rPr>
        <w:t>أسهما</w:t>
      </w:r>
      <w:r w:rsidR="005F31C7">
        <w:rPr>
          <w:rFonts w:ascii="Arial" w:hAnsi="Arial"/>
        </w:rPr>
        <w:t xml:space="preserve"> </w:t>
      </w:r>
      <w:r>
        <w:rPr>
          <w:rFonts w:ascii="Arial" w:hAnsi="Arial"/>
        </w:rPr>
        <w:t xml:space="preserve">في إحراز تقدم انعكس على مؤشرات تقرير ممارسة أنشطة الأعمال 2018. </w:t>
      </w:r>
    </w:p>
    <w:p w14:paraId="05C1DF96" w14:textId="77777777" w:rsidR="008017BB" w:rsidRPr="0060053D" w:rsidRDefault="008017BB" w:rsidP="0060053D">
      <w:pPr>
        <w:spacing w:after="0" w:line="240" w:lineRule="auto"/>
        <w:jc w:val="both"/>
        <w:rPr>
          <w:rFonts w:ascii="Times New Roman" w:hAnsi="Times New Roman" w:cs="Times New Roman"/>
          <w:b/>
          <w:bCs/>
        </w:rPr>
      </w:pPr>
    </w:p>
    <w:p w14:paraId="79AB2893" w14:textId="77777777" w:rsidR="00736B2A" w:rsidRPr="005316CE" w:rsidRDefault="0087205C" w:rsidP="005316CE">
      <w:pPr>
        <w:pStyle w:val="Heading2"/>
        <w:spacing w:before="0"/>
        <w:ind w:left="360"/>
        <w:rPr>
          <w:rFonts w:eastAsia="Arial"/>
          <w:b w:val="0"/>
          <w:bCs/>
        </w:rPr>
      </w:pPr>
      <w:bookmarkStart w:id="15" w:name="_Toc493351809"/>
      <w:bookmarkStart w:id="16" w:name="_Toc493351810"/>
      <w:bookmarkStart w:id="17" w:name="_Toc493351811"/>
      <w:bookmarkStart w:id="18" w:name="_Toc498096413"/>
      <w:bookmarkStart w:id="19" w:name="_Toc500240972"/>
      <w:bookmarkEnd w:id="15"/>
      <w:bookmarkEnd w:id="16"/>
      <w:bookmarkEnd w:id="17"/>
      <w:r>
        <w:rPr>
          <w:rFonts w:eastAsia="Calibri"/>
          <w:b w:val="0"/>
          <w:bCs/>
          <w:noProof/>
          <w:lang w:eastAsia="en-US"/>
        </w:rPr>
        <w:lastRenderedPageBreak/>
        <mc:AlternateContent>
          <mc:Choice Requires="wps">
            <w:drawing>
              <wp:anchor distT="45720" distB="45720" distL="114300" distR="114300" simplePos="0" relativeHeight="251676160" behindDoc="0" locked="0" layoutInCell="1" allowOverlap="1">
                <wp:simplePos x="0" y="0"/>
                <wp:positionH relativeFrom="margin">
                  <wp:posOffset>0</wp:posOffset>
                </wp:positionH>
                <wp:positionV relativeFrom="paragraph">
                  <wp:posOffset>356870</wp:posOffset>
                </wp:positionV>
                <wp:extent cx="5892800" cy="39052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905250"/>
                        </a:xfrm>
                        <a:prstGeom prst="rect">
                          <a:avLst/>
                        </a:prstGeom>
                        <a:solidFill>
                          <a:schemeClr val="bg1">
                            <a:lumMod val="85000"/>
                          </a:schemeClr>
                        </a:solidFill>
                        <a:ln w="9525">
                          <a:solidFill>
                            <a:srgbClr val="000000"/>
                          </a:solidFill>
                          <a:miter lim="800000"/>
                          <a:headEnd/>
                          <a:tailEnd/>
                        </a:ln>
                      </wps:spPr>
                      <wps:txbx>
                        <w:txbxContent>
                          <w:p w14:paraId="7FD19979" w14:textId="77777777" w:rsidR="00205E55" w:rsidRPr="00D30BA4" w:rsidRDefault="00205E55" w:rsidP="00AB5A8B">
                            <w:pPr>
                              <w:pStyle w:val="Caption"/>
                              <w:jc w:val="center"/>
                              <w:rPr>
                                <w:rFonts w:ascii="Arial" w:eastAsia="Arial" w:hAnsi="Arial" w:cs="Arial"/>
                                <w:b/>
                                <w:i w:val="0"/>
                                <w:noProof/>
                                <w:color w:val="auto"/>
                                <w:sz w:val="20"/>
                                <w:szCs w:val="20"/>
                              </w:rPr>
                            </w:pPr>
                            <w:bookmarkStart w:id="20" w:name="_Toc494980824"/>
                            <w:bookmarkStart w:id="21" w:name="_Toc496110894"/>
                            <w:r>
                              <w:rPr>
                                <w:rFonts w:ascii="Arial" w:hAnsi="Arial"/>
                                <w:b/>
                                <w:bCs/>
                                <w:i w:val="0"/>
                                <w:color w:val="auto"/>
                                <w:sz w:val="20"/>
                                <w:szCs w:val="20"/>
                              </w:rPr>
                              <w:t>الإطار 5. المبادئ التوجيهية لمشاركة مجموعة البنك الدولي</w:t>
                            </w:r>
                            <w:bookmarkEnd w:id="20"/>
                            <w:bookmarkEnd w:id="21"/>
                          </w:p>
                          <w:p w14:paraId="26F9AB9F" w14:textId="77777777" w:rsidR="00205E55" w:rsidRPr="00533926" w:rsidRDefault="00205E55" w:rsidP="007C5F41">
                            <w:pPr>
                              <w:spacing w:after="0" w:line="240" w:lineRule="auto"/>
                              <w:jc w:val="both"/>
                              <w:rPr>
                                <w:rFonts w:ascii="Arial" w:hAnsi="Arial" w:cs="Arial"/>
                                <w:b/>
                                <w:sz w:val="20"/>
                                <w:szCs w:val="20"/>
                              </w:rPr>
                            </w:pPr>
                            <w:r>
                              <w:rPr>
                                <w:rFonts w:ascii="Arial" w:hAnsi="Arial"/>
                                <w:b/>
                                <w:bCs/>
                                <w:sz w:val="20"/>
                                <w:szCs w:val="20"/>
                              </w:rPr>
                              <w:t xml:space="preserve">تمارس مجموعة البنك الدولي تفويضًا فنيًا في بيئة مفعمة بالأحداث السياسية. </w:t>
                            </w:r>
                            <w:r>
                              <w:rPr>
                                <w:rFonts w:ascii="Arial" w:hAnsi="Arial"/>
                                <w:sz w:val="20"/>
                                <w:szCs w:val="20"/>
                              </w:rPr>
                              <w:t>وكما كان الحال في 1993، سيستمر برنامج مجموعة البنك الدولي في التركيز على إرساء الأساس من أجل دولة فلسطينية في المستقبل من خلال الاعتماد على مميزاته النسبية ــ الإلمام بقضايا التنمية الأطول أجلًا، وتجميع سبل النفوذ والتأثير مع شركاء التنمية والقطاع الخاص، والخبرة الفنية في القطاعات المعنية. ويساعد في هذا الشأن</w:t>
                            </w:r>
                            <w:r>
                              <w:rPr>
                                <w:rFonts w:ascii="Arial" w:hAnsi="Arial" w:hint="cs"/>
                                <w:sz w:val="20"/>
                                <w:szCs w:val="20"/>
                              </w:rPr>
                              <w:t xml:space="preserve"> </w:t>
                            </w:r>
                            <w:r>
                              <w:rPr>
                                <w:rFonts w:ascii="Arial" w:hAnsi="Arial"/>
                                <w:sz w:val="20"/>
                                <w:szCs w:val="20"/>
                              </w:rPr>
                              <w:t>تفويض مجموعة البنك الدولي الذي ليس له توجهات سياسية</w:t>
                            </w:r>
                            <w:r>
                              <w:rPr>
                                <w:rFonts w:ascii="Arial" w:hAnsi="Arial" w:hint="cs"/>
                                <w:sz w:val="20"/>
                                <w:szCs w:val="20"/>
                              </w:rPr>
                              <w:t>،</w:t>
                            </w:r>
                            <w:r>
                              <w:rPr>
                                <w:rFonts w:ascii="Arial" w:hAnsi="Arial"/>
                                <w:sz w:val="20"/>
                                <w:szCs w:val="20"/>
                              </w:rPr>
                              <w:t xml:space="preserve"> مع التنسيق مع حكومة إسرائيل</w:t>
                            </w:r>
                            <w:r>
                              <w:rPr>
                                <w:rFonts w:ascii="Arial" w:hAnsi="Arial" w:hint="cs"/>
                                <w:sz w:val="20"/>
                                <w:szCs w:val="20"/>
                              </w:rPr>
                              <w:t>.</w:t>
                            </w:r>
                            <w:r>
                              <w:rPr>
                                <w:rFonts w:ascii="Arial" w:hAnsi="Arial"/>
                                <w:sz w:val="20"/>
                                <w:szCs w:val="20"/>
                              </w:rPr>
                              <w:t xml:space="preserve"> وفي فترة ال</w:t>
                            </w:r>
                            <w:r>
                              <w:rPr>
                                <w:rFonts w:ascii="Arial" w:hAnsi="Arial" w:hint="cs"/>
                                <w:sz w:val="20"/>
                                <w:szCs w:val="20"/>
                              </w:rPr>
                              <w:t>إ</w:t>
                            </w:r>
                            <w:r>
                              <w:rPr>
                                <w:rFonts w:ascii="Arial" w:hAnsi="Arial"/>
                                <w:sz w:val="20"/>
                                <w:szCs w:val="20"/>
                              </w:rPr>
                              <w:t xml:space="preserve">ستراتيجية القادمة يعتزم البنك الدولي زيادة تعزيز علاقته مع حكومة إسرائيل. </w:t>
                            </w:r>
                          </w:p>
                          <w:p w14:paraId="5339C58E" w14:textId="77777777" w:rsidR="00205E55" w:rsidRPr="00533926" w:rsidRDefault="00205E55" w:rsidP="00AB5A8B">
                            <w:pPr>
                              <w:spacing w:after="0" w:line="240" w:lineRule="auto"/>
                              <w:jc w:val="both"/>
                              <w:rPr>
                                <w:rFonts w:ascii="Times New Roman" w:hAnsi="Times New Roman" w:cs="Times New Roman"/>
                                <w:b/>
                                <w:sz w:val="20"/>
                                <w:szCs w:val="20"/>
                              </w:rPr>
                            </w:pPr>
                          </w:p>
                          <w:p w14:paraId="6A5CCDC6" w14:textId="77777777" w:rsidR="00205E55" w:rsidRPr="00533926" w:rsidRDefault="00205E55" w:rsidP="007C5F41">
                            <w:pPr>
                              <w:spacing w:line="240" w:lineRule="auto"/>
                              <w:jc w:val="both"/>
                              <w:rPr>
                                <w:rFonts w:ascii="Arial" w:hAnsi="Arial" w:cs="Arial"/>
                                <w:b/>
                                <w:sz w:val="20"/>
                                <w:szCs w:val="20"/>
                              </w:rPr>
                            </w:pPr>
                            <w:r>
                              <w:rPr>
                                <w:rFonts w:ascii="Arial" w:hAnsi="Arial"/>
                                <w:b/>
                                <w:bCs/>
                                <w:sz w:val="20"/>
                                <w:szCs w:val="20"/>
                              </w:rPr>
                              <w:t>وتعمل ال</w:t>
                            </w:r>
                            <w:r>
                              <w:rPr>
                                <w:rFonts w:ascii="Arial" w:hAnsi="Arial" w:hint="cs"/>
                                <w:b/>
                                <w:bCs/>
                                <w:sz w:val="20"/>
                                <w:szCs w:val="20"/>
                              </w:rPr>
                              <w:t>إ</w:t>
                            </w:r>
                            <w:r>
                              <w:rPr>
                                <w:rFonts w:ascii="Arial" w:hAnsi="Arial"/>
                                <w:b/>
                                <w:bCs/>
                                <w:sz w:val="20"/>
                                <w:szCs w:val="20"/>
                              </w:rPr>
                              <w:t xml:space="preserve">ستراتيجية الإقليمية لمنطقة الشرق الأوسط وشمال أفريقيا على توجيه هذا البرنامج. </w:t>
                            </w:r>
                            <w:r>
                              <w:rPr>
                                <w:rFonts w:ascii="Arial" w:hAnsi="Arial" w:hint="cs"/>
                                <w:sz w:val="20"/>
                                <w:szCs w:val="20"/>
                              </w:rPr>
                              <w:t>وس</w:t>
                            </w:r>
                            <w:r>
                              <w:rPr>
                                <w:rFonts w:ascii="Arial" w:hAnsi="Arial"/>
                                <w:sz w:val="20"/>
                                <w:szCs w:val="20"/>
                              </w:rPr>
                              <w:t xml:space="preserve">تساعد مجموعة البنك الدولي في تحقيق تكافؤ الفرص كي يتسنى للقطاع الخاص المشاركة في النشاط المتوقع، وتعزيز المؤسسات حتى يتسنى تحرير الموارد بهدف تقديم الخدمات وحماية الشرائح الأكثر ضعفًا وحرمانًا. وسيساند هذا البرنامج الاندماج الفلسطيني في الأسواق والمبادرات الإقليمية للمساعدة في خلق فرص عمل. وقد تتضمن هذه المبادرات الإقليمية تدعيم تعاون السلطة الفلسطينية مع حكومة إسرائيل إذا كان من شأنه التخفيف من القيود وخلق المزيد من الفرص أمام الاقتصاد الفلسطيني. </w:t>
                            </w:r>
                          </w:p>
                          <w:p w14:paraId="054F0212" w14:textId="77777777" w:rsidR="00205E55" w:rsidRPr="00533926" w:rsidRDefault="00205E55" w:rsidP="007C5F41">
                            <w:pPr>
                              <w:autoSpaceDE w:val="0"/>
                              <w:autoSpaceDN w:val="0"/>
                              <w:spacing w:after="0" w:line="240" w:lineRule="auto"/>
                              <w:jc w:val="both"/>
                              <w:rPr>
                                <w:rFonts w:ascii="Arial" w:hAnsi="Arial" w:cs="Arial"/>
                              </w:rPr>
                            </w:pPr>
                            <w:r>
                              <w:rPr>
                                <w:rFonts w:ascii="Arial" w:hAnsi="Arial"/>
                                <w:b/>
                                <w:bCs/>
                                <w:sz w:val="20"/>
                                <w:szCs w:val="20"/>
                              </w:rPr>
                              <w:t>وسيكون لتنسيق أنشطة المانحين على نحو محدد بعناية أهمية خاصة لتحقيق النتائج المرجوة في فترة ال</w:t>
                            </w:r>
                            <w:r>
                              <w:rPr>
                                <w:rFonts w:ascii="Arial" w:hAnsi="Arial" w:hint="cs"/>
                                <w:b/>
                                <w:bCs/>
                                <w:sz w:val="20"/>
                                <w:szCs w:val="20"/>
                              </w:rPr>
                              <w:t>إ</w:t>
                            </w:r>
                            <w:r>
                              <w:rPr>
                                <w:rFonts w:ascii="Arial" w:hAnsi="Arial"/>
                                <w:b/>
                                <w:bCs/>
                                <w:sz w:val="20"/>
                                <w:szCs w:val="20"/>
                              </w:rPr>
                              <w:t xml:space="preserve">ستراتيجية القادمة. </w:t>
                            </w:r>
                            <w:r>
                              <w:rPr>
                                <w:rFonts w:ascii="Arial" w:hAnsi="Arial"/>
                                <w:sz w:val="20"/>
                                <w:szCs w:val="20"/>
                              </w:rPr>
                              <w:t>وتتيح الخطوات التي تم اتخاذها في الآونة الأخيرة لتعزيز تنسيق جهود المانحين فرصة لتحسين الاتصال بين السلطة الفلسطينية والمانحين بهدف تعبئة موارد المانحين وتحسين ف</w:t>
                            </w:r>
                            <w:r>
                              <w:rPr>
                                <w:rFonts w:ascii="Arial" w:hAnsi="Arial" w:hint="cs"/>
                                <w:sz w:val="20"/>
                                <w:szCs w:val="20"/>
                              </w:rPr>
                              <w:t>اع</w:t>
                            </w:r>
                            <w:r>
                              <w:rPr>
                                <w:rFonts w:ascii="Arial" w:hAnsi="Arial"/>
                                <w:sz w:val="20"/>
                                <w:szCs w:val="20"/>
                              </w:rPr>
                              <w:t>لية الإجراءات التدخلية القطاعية. وقادت مجموعة البنك الدولي إصلاح الأنظمة المحلية لتنسيق المعونات، فقد أصبحت هذه الأنظمة غير ف</w:t>
                            </w:r>
                            <w:r>
                              <w:rPr>
                                <w:rFonts w:ascii="Arial" w:hAnsi="Arial" w:hint="cs"/>
                                <w:sz w:val="20"/>
                                <w:szCs w:val="20"/>
                              </w:rPr>
                              <w:t>اع</w:t>
                            </w:r>
                            <w:r>
                              <w:rPr>
                                <w:rFonts w:ascii="Arial" w:hAnsi="Arial"/>
                                <w:sz w:val="20"/>
                                <w:szCs w:val="20"/>
                              </w:rPr>
                              <w:t>لة وعديمة الكفاءة كأداة لصنع القرار من جانب السلطة الفلسطينية والمانحين. وتتمتع الأنظمة الجديدة التي تم إدخالها في منتصف 2017 بإمكانية تجميع السلطة الفلسطينية والمانحين وممثلي القطاع الخاص والمجتمع المدني في مجموعات عمل قطاعية أصغر حجمًا للتصدي للتحديات ال</w:t>
                            </w:r>
                            <w:r>
                              <w:rPr>
                                <w:rFonts w:ascii="Arial" w:hAnsi="Arial" w:hint="cs"/>
                                <w:sz w:val="20"/>
                                <w:szCs w:val="20"/>
                              </w:rPr>
                              <w:t>إ</w:t>
                            </w:r>
                            <w:r>
                              <w:rPr>
                                <w:rFonts w:ascii="Arial" w:hAnsi="Arial"/>
                                <w:sz w:val="20"/>
                                <w:szCs w:val="20"/>
                              </w:rPr>
                              <w:t>ستراتيجية التي يواجهها كل قطاع. وبالإضافة إلى ذلك، قام البنك الدولي والأمم المتحدة بإنشاء منتدى لمناقشة سياسات المعونات ال</w:t>
                            </w:r>
                            <w:r>
                              <w:rPr>
                                <w:rFonts w:ascii="Arial" w:hAnsi="Arial" w:hint="cs"/>
                                <w:sz w:val="20"/>
                                <w:szCs w:val="20"/>
                              </w:rPr>
                              <w:t>إ</w:t>
                            </w:r>
                            <w:r>
                              <w:rPr>
                                <w:rFonts w:ascii="Arial" w:hAnsi="Arial"/>
                                <w:sz w:val="20"/>
                                <w:szCs w:val="20"/>
                              </w:rPr>
                              <w:t>ستراتيجية بين المانحين. وتتسم الموارد المقدمة من الصندوق الاستئماني لقطاع غزة والضفة الغربية الممول</w:t>
                            </w:r>
                            <w:r>
                              <w:rPr>
                                <w:rFonts w:ascii="Arial" w:hAnsi="Arial" w:hint="cs"/>
                                <w:sz w:val="20"/>
                                <w:szCs w:val="20"/>
                              </w:rPr>
                              <w:t>ة</w:t>
                            </w:r>
                            <w:r>
                              <w:rPr>
                                <w:rFonts w:ascii="Arial" w:hAnsi="Arial"/>
                                <w:sz w:val="20"/>
                                <w:szCs w:val="20"/>
                              </w:rPr>
                              <w:t xml:space="preserve"> من البنك الدولي للإنشاء والتعمير بأنها مقيدة بشدة، ويتيح العمل من خلال نظم التنسيق الجديدة المشار إليها فرصة لتحسين عملية تعبئة الموارد من أجل الإجراءات التدخلية ذات الأولوية.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8.1pt;width:464pt;height:307.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" fillcolor="#d8d8d8 [2732]">
                <v:textbox>
                  <w:txbxContent>
                    <w:p w14:paraId="7FD19979" w14:textId="77777777" w:rsidR="00205E55" w:rsidRPr="00D30BA4" w:rsidRDefault="00205E55" w:rsidP="00AB5A8B">
                      <w:pPr>
                        <w:pStyle w:val="Caption"/>
                        <w:jc w:val="center"/>
                        <w:rPr>
                          <w:rFonts w:ascii="Arial" w:eastAsia="Arial" w:hAnsi="Arial" w:cs="Arial"/>
                          <w:b/>
                          <w:i w:val="0"/>
                          <w:noProof/>
                          <w:color w:val="auto"/>
                          <w:sz w:val="20"/>
                          <w:szCs w:val="20"/>
                        </w:rPr>
                      </w:pPr>
                      <w:bookmarkStart w:id="22" w:name="_Toc494980824"/>
                      <w:bookmarkStart w:id="23" w:name="_Toc496110894"/>
                      <w:r>
                        <w:rPr>
                          <w:rFonts w:ascii="Arial" w:hAnsi="Arial"/>
                          <w:b/>
                          <w:bCs/>
                          <w:i w:val="0"/>
                          <w:color w:val="auto"/>
                          <w:sz w:val="20"/>
                          <w:szCs w:val="20"/>
                        </w:rPr>
                        <w:t>الإطار 5. المبادئ التوجيهية لمشاركة مجموعة البنك الدولي</w:t>
                      </w:r>
                      <w:bookmarkEnd w:id="22"/>
                      <w:bookmarkEnd w:id="23"/>
                    </w:p>
                    <w:p w14:paraId="26F9AB9F" w14:textId="77777777" w:rsidR="00205E55" w:rsidRPr="00533926" w:rsidRDefault="00205E55" w:rsidP="007C5F41">
                      <w:pPr>
                        <w:spacing w:after="0" w:line="240" w:lineRule="auto"/>
                        <w:jc w:val="both"/>
                        <w:rPr>
                          <w:rFonts w:ascii="Arial" w:hAnsi="Arial" w:cs="Arial"/>
                          <w:b/>
                          <w:sz w:val="20"/>
                          <w:szCs w:val="20"/>
                        </w:rPr>
                      </w:pPr>
                      <w:r>
                        <w:rPr>
                          <w:rFonts w:ascii="Arial" w:hAnsi="Arial"/>
                          <w:b/>
                          <w:bCs/>
                          <w:sz w:val="20"/>
                          <w:szCs w:val="20"/>
                        </w:rPr>
                        <w:t xml:space="preserve">تمارس مجموعة البنك الدولي تفويضًا فنيًا في بيئة مفعمة بالأحداث السياسية. </w:t>
                      </w:r>
                      <w:r>
                        <w:rPr>
                          <w:rFonts w:ascii="Arial" w:hAnsi="Arial"/>
                          <w:sz w:val="20"/>
                          <w:szCs w:val="20"/>
                        </w:rPr>
                        <w:t>وكما كان الحال في 1993، سيستمر برنامج مجموعة البنك الدولي في التركيز على إرساء الأساس من أجل دولة فلسطينية في المستقبل من خلال الاعتماد على مميزاته النسبية ــ الإلمام بقضايا التنمية الأطول أجلًا، وتجميع سبل النفوذ والتأثير مع شركاء التنمية والقطاع الخاص، والخبرة الفنية في القطاعات المعنية. ويساعد في هذا الشأن</w:t>
                      </w:r>
                      <w:r>
                        <w:rPr>
                          <w:rFonts w:ascii="Arial" w:hAnsi="Arial" w:hint="cs"/>
                          <w:sz w:val="20"/>
                          <w:szCs w:val="20"/>
                        </w:rPr>
                        <w:t xml:space="preserve"> </w:t>
                      </w:r>
                      <w:r>
                        <w:rPr>
                          <w:rFonts w:ascii="Arial" w:hAnsi="Arial"/>
                          <w:sz w:val="20"/>
                          <w:szCs w:val="20"/>
                        </w:rPr>
                        <w:t>تفويض مجموعة البنك الدولي الذي ليس له توجهات سياسية</w:t>
                      </w:r>
                      <w:r>
                        <w:rPr>
                          <w:rFonts w:ascii="Arial" w:hAnsi="Arial" w:hint="cs"/>
                          <w:sz w:val="20"/>
                          <w:szCs w:val="20"/>
                        </w:rPr>
                        <w:t>،</w:t>
                      </w:r>
                      <w:r>
                        <w:rPr>
                          <w:rFonts w:ascii="Arial" w:hAnsi="Arial"/>
                          <w:sz w:val="20"/>
                          <w:szCs w:val="20"/>
                        </w:rPr>
                        <w:t xml:space="preserve"> مع التنسيق مع حكومة إسرائيل</w:t>
                      </w:r>
                      <w:r>
                        <w:rPr>
                          <w:rFonts w:ascii="Arial" w:hAnsi="Arial" w:hint="cs"/>
                          <w:sz w:val="20"/>
                          <w:szCs w:val="20"/>
                        </w:rPr>
                        <w:t>.</w:t>
                      </w:r>
                      <w:r>
                        <w:rPr>
                          <w:rFonts w:ascii="Arial" w:hAnsi="Arial"/>
                          <w:sz w:val="20"/>
                          <w:szCs w:val="20"/>
                        </w:rPr>
                        <w:t xml:space="preserve"> وفي فترة ال</w:t>
                      </w:r>
                      <w:r>
                        <w:rPr>
                          <w:rFonts w:ascii="Arial" w:hAnsi="Arial" w:hint="cs"/>
                          <w:sz w:val="20"/>
                          <w:szCs w:val="20"/>
                        </w:rPr>
                        <w:t>إ</w:t>
                      </w:r>
                      <w:r>
                        <w:rPr>
                          <w:rFonts w:ascii="Arial" w:hAnsi="Arial"/>
                          <w:sz w:val="20"/>
                          <w:szCs w:val="20"/>
                        </w:rPr>
                        <w:t xml:space="preserve">ستراتيجية القادمة يعتزم البنك الدولي زيادة تعزيز علاقته مع حكومة إسرائيل. </w:t>
                      </w:r>
                    </w:p>
                    <w:p w14:paraId="5339C58E" w14:textId="77777777" w:rsidR="00205E55" w:rsidRPr="00533926" w:rsidRDefault="00205E55" w:rsidP="00AB5A8B">
                      <w:pPr>
                        <w:spacing w:after="0" w:line="240" w:lineRule="auto"/>
                        <w:jc w:val="both"/>
                        <w:rPr>
                          <w:rFonts w:ascii="Times New Roman" w:hAnsi="Times New Roman" w:cs="Times New Roman"/>
                          <w:b/>
                          <w:sz w:val="20"/>
                          <w:szCs w:val="20"/>
                        </w:rPr>
                      </w:pPr>
                    </w:p>
                    <w:p w14:paraId="6A5CCDC6" w14:textId="77777777" w:rsidR="00205E55" w:rsidRPr="00533926" w:rsidRDefault="00205E55" w:rsidP="007C5F41">
                      <w:pPr>
                        <w:spacing w:line="240" w:lineRule="auto"/>
                        <w:jc w:val="both"/>
                        <w:rPr>
                          <w:rFonts w:ascii="Arial" w:hAnsi="Arial" w:cs="Arial"/>
                          <w:b/>
                          <w:sz w:val="20"/>
                          <w:szCs w:val="20"/>
                        </w:rPr>
                      </w:pPr>
                      <w:r>
                        <w:rPr>
                          <w:rFonts w:ascii="Arial" w:hAnsi="Arial"/>
                          <w:b/>
                          <w:bCs/>
                          <w:sz w:val="20"/>
                          <w:szCs w:val="20"/>
                        </w:rPr>
                        <w:t>وتعمل ال</w:t>
                      </w:r>
                      <w:r>
                        <w:rPr>
                          <w:rFonts w:ascii="Arial" w:hAnsi="Arial" w:hint="cs"/>
                          <w:b/>
                          <w:bCs/>
                          <w:sz w:val="20"/>
                          <w:szCs w:val="20"/>
                        </w:rPr>
                        <w:t>إ</w:t>
                      </w:r>
                      <w:r>
                        <w:rPr>
                          <w:rFonts w:ascii="Arial" w:hAnsi="Arial"/>
                          <w:b/>
                          <w:bCs/>
                          <w:sz w:val="20"/>
                          <w:szCs w:val="20"/>
                        </w:rPr>
                        <w:t xml:space="preserve">ستراتيجية الإقليمية لمنطقة الشرق الأوسط وشمال أفريقيا على توجيه هذا البرنامج. </w:t>
                      </w:r>
                      <w:r>
                        <w:rPr>
                          <w:rFonts w:ascii="Arial" w:hAnsi="Arial" w:hint="cs"/>
                          <w:sz w:val="20"/>
                          <w:szCs w:val="20"/>
                        </w:rPr>
                        <w:t>وس</w:t>
                      </w:r>
                      <w:r>
                        <w:rPr>
                          <w:rFonts w:ascii="Arial" w:hAnsi="Arial"/>
                          <w:sz w:val="20"/>
                          <w:szCs w:val="20"/>
                        </w:rPr>
                        <w:t xml:space="preserve">تساعد مجموعة البنك الدولي في تحقيق تكافؤ الفرص كي يتسنى للقطاع الخاص المشاركة في النشاط المتوقع، وتعزيز المؤسسات حتى يتسنى تحرير الموارد بهدف تقديم الخدمات وحماية الشرائح الأكثر ضعفًا وحرمانًا. وسيساند هذا البرنامج الاندماج الفلسطيني في الأسواق والمبادرات الإقليمية للمساعدة في خلق فرص عمل. وقد تتضمن هذه المبادرات الإقليمية تدعيم تعاون السلطة الفلسطينية مع حكومة إسرائيل إذا كان من شأنه التخفيف من القيود وخلق المزيد من الفرص أمام الاقتصاد الفلسطيني. </w:t>
                      </w:r>
                    </w:p>
                    <w:p w14:paraId="054F0212" w14:textId="77777777" w:rsidR="00205E55" w:rsidRPr="00533926" w:rsidRDefault="00205E55" w:rsidP="007C5F41">
                      <w:pPr>
                        <w:autoSpaceDE w:val="0"/>
                        <w:autoSpaceDN w:val="0"/>
                        <w:spacing w:after="0" w:line="240" w:lineRule="auto"/>
                        <w:jc w:val="both"/>
                        <w:rPr>
                          <w:rFonts w:ascii="Arial" w:hAnsi="Arial" w:cs="Arial"/>
                        </w:rPr>
                      </w:pPr>
                      <w:r>
                        <w:rPr>
                          <w:rFonts w:ascii="Arial" w:hAnsi="Arial"/>
                          <w:b/>
                          <w:bCs/>
                          <w:sz w:val="20"/>
                          <w:szCs w:val="20"/>
                        </w:rPr>
                        <w:t>وسيكون لتنسيق أنشطة المانحين على نحو محدد بعناية أهمية خاصة لتحقيق النتائج المرجوة في فترة ال</w:t>
                      </w:r>
                      <w:r>
                        <w:rPr>
                          <w:rFonts w:ascii="Arial" w:hAnsi="Arial" w:hint="cs"/>
                          <w:b/>
                          <w:bCs/>
                          <w:sz w:val="20"/>
                          <w:szCs w:val="20"/>
                        </w:rPr>
                        <w:t>إ</w:t>
                      </w:r>
                      <w:r>
                        <w:rPr>
                          <w:rFonts w:ascii="Arial" w:hAnsi="Arial"/>
                          <w:b/>
                          <w:bCs/>
                          <w:sz w:val="20"/>
                          <w:szCs w:val="20"/>
                        </w:rPr>
                        <w:t xml:space="preserve">ستراتيجية القادمة. </w:t>
                      </w:r>
                      <w:r>
                        <w:rPr>
                          <w:rFonts w:ascii="Arial" w:hAnsi="Arial"/>
                          <w:sz w:val="20"/>
                          <w:szCs w:val="20"/>
                        </w:rPr>
                        <w:t>وتتيح الخطوات التي تم اتخاذها في الآونة الأخيرة لتعزيز تنسيق جهود المانحين فرصة لتحسين الاتصال بين السلطة الفلسطينية والمانحين بهدف تعبئة موارد المانحين وتحسين ف</w:t>
                      </w:r>
                      <w:r>
                        <w:rPr>
                          <w:rFonts w:ascii="Arial" w:hAnsi="Arial" w:hint="cs"/>
                          <w:sz w:val="20"/>
                          <w:szCs w:val="20"/>
                        </w:rPr>
                        <w:t>اع</w:t>
                      </w:r>
                      <w:r>
                        <w:rPr>
                          <w:rFonts w:ascii="Arial" w:hAnsi="Arial"/>
                          <w:sz w:val="20"/>
                          <w:szCs w:val="20"/>
                        </w:rPr>
                        <w:t>لية الإجراءات التدخلية القطاعية. وقادت مجموعة البنك الدولي إصلاح الأنظمة المحلية لتنسيق المعونات، فقد أصبحت هذه الأنظمة غير ف</w:t>
                      </w:r>
                      <w:r>
                        <w:rPr>
                          <w:rFonts w:ascii="Arial" w:hAnsi="Arial" w:hint="cs"/>
                          <w:sz w:val="20"/>
                          <w:szCs w:val="20"/>
                        </w:rPr>
                        <w:t>اع</w:t>
                      </w:r>
                      <w:r>
                        <w:rPr>
                          <w:rFonts w:ascii="Arial" w:hAnsi="Arial"/>
                          <w:sz w:val="20"/>
                          <w:szCs w:val="20"/>
                        </w:rPr>
                        <w:t>لة وعديمة الكفاءة كأداة لصنع القرار من جانب السلطة الفلسطينية والمانحين. وتتمتع الأنظمة الجديدة التي تم إدخالها في منتصف 2017 بإمكانية تجميع السلطة الفلسطينية والمانحين وممثلي القطاع الخاص والمجتمع المدني في مجموعات عمل قطاعية أصغر حجمًا للتصدي للتحديات ال</w:t>
                      </w:r>
                      <w:r>
                        <w:rPr>
                          <w:rFonts w:ascii="Arial" w:hAnsi="Arial" w:hint="cs"/>
                          <w:sz w:val="20"/>
                          <w:szCs w:val="20"/>
                        </w:rPr>
                        <w:t>إ</w:t>
                      </w:r>
                      <w:r>
                        <w:rPr>
                          <w:rFonts w:ascii="Arial" w:hAnsi="Arial"/>
                          <w:sz w:val="20"/>
                          <w:szCs w:val="20"/>
                        </w:rPr>
                        <w:t>ستراتيجية التي يواجهها كل قطاع. وبالإضافة إلى ذلك، قام البنك الدولي والأمم المتحدة بإنشاء منتدى لمناقشة سياسات المعونات ال</w:t>
                      </w:r>
                      <w:r>
                        <w:rPr>
                          <w:rFonts w:ascii="Arial" w:hAnsi="Arial" w:hint="cs"/>
                          <w:sz w:val="20"/>
                          <w:szCs w:val="20"/>
                        </w:rPr>
                        <w:t>إ</w:t>
                      </w:r>
                      <w:r>
                        <w:rPr>
                          <w:rFonts w:ascii="Arial" w:hAnsi="Arial"/>
                          <w:sz w:val="20"/>
                          <w:szCs w:val="20"/>
                        </w:rPr>
                        <w:t>ستراتيجية بين المانحين. وتتسم الموارد المقدمة من الصندوق الاستئماني لقطاع غزة والضفة الغربية الممول</w:t>
                      </w:r>
                      <w:r>
                        <w:rPr>
                          <w:rFonts w:ascii="Arial" w:hAnsi="Arial" w:hint="cs"/>
                          <w:sz w:val="20"/>
                          <w:szCs w:val="20"/>
                        </w:rPr>
                        <w:t>ة</w:t>
                      </w:r>
                      <w:r>
                        <w:rPr>
                          <w:rFonts w:ascii="Arial" w:hAnsi="Arial"/>
                          <w:sz w:val="20"/>
                          <w:szCs w:val="20"/>
                        </w:rPr>
                        <w:t xml:space="preserve"> من البنك الدولي للإنشاء والتعمير بأنها مقيدة بشدة، ويتيح العمل من خلال نظم التنسيق الجديدة المشار إليها فرصة لتحسين عملية تعبئة الموارد من أجل الإجراءات التدخلية ذات الأولوية. </w:t>
                      </w:r>
                    </w:p>
                  </w:txbxContent>
                </v:textbox>
                <w10:wrap type="square" anchorx="margin"/>
              </v:shape>
            </w:pict>
          </mc:Fallback>
        </mc:AlternateContent>
      </w:r>
      <w:r w:rsidR="005316CE" w:rsidRPr="005316CE">
        <w:rPr>
          <w:rFonts w:hint="cs"/>
          <w:b w:val="0"/>
          <w:bCs/>
        </w:rPr>
        <w:t xml:space="preserve">واو. </w:t>
      </w:r>
      <w:r w:rsidR="002D3140" w:rsidRPr="005316CE">
        <w:rPr>
          <w:b w:val="0"/>
          <w:bCs/>
        </w:rPr>
        <w:t>البرامج المقترحة</w:t>
      </w:r>
      <w:bookmarkEnd w:id="18"/>
      <w:bookmarkEnd w:id="19"/>
    </w:p>
    <w:p w14:paraId="430F178C" w14:textId="77777777" w:rsidR="00BF4BE3" w:rsidRDefault="00BF4BE3" w:rsidP="00AB5A8B">
      <w:pPr>
        <w:pStyle w:val="ListParagraph"/>
        <w:spacing w:after="0" w:line="240" w:lineRule="auto"/>
        <w:ind w:left="0"/>
        <w:jc w:val="both"/>
        <w:rPr>
          <w:rFonts w:ascii="Arial" w:hAnsi="Arial" w:cs="Arial"/>
        </w:rPr>
      </w:pPr>
      <w:r>
        <w:rPr>
          <w:rFonts w:ascii="Arial" w:hAnsi="Arial"/>
        </w:rPr>
        <w:t xml:space="preserve"> </w:t>
      </w:r>
    </w:p>
    <w:p w14:paraId="350739BD" w14:textId="77777777" w:rsidR="00D65FAD" w:rsidRDefault="00A1397D" w:rsidP="007C5F41">
      <w:pPr>
        <w:pStyle w:val="ListParagraph"/>
        <w:numPr>
          <w:ilvl w:val="0"/>
          <w:numId w:val="6"/>
        </w:numPr>
        <w:spacing w:after="0" w:line="240" w:lineRule="auto"/>
        <w:jc w:val="both"/>
        <w:rPr>
          <w:sz w:val="28"/>
          <w:szCs w:val="28"/>
        </w:rPr>
      </w:pPr>
      <w:r>
        <w:rPr>
          <w:rFonts w:ascii="Arial" w:hAnsi="Arial"/>
        </w:rPr>
        <w:t>سيمثل البرنامج المقترح تحولًا كبيرًا في التركيز نحو مساندة نمو نشاط القطاع الخاص، ويشمل ذلك في المنشآت التي تخلق فرص عمل وفي البنية التحتية.</w:t>
      </w:r>
      <w:r w:rsidR="00022F13">
        <w:rPr>
          <w:rFonts w:ascii="Arial" w:hAnsi="Arial"/>
        </w:rPr>
        <w:t xml:space="preserve"> </w:t>
      </w:r>
      <w:r>
        <w:rPr>
          <w:rFonts w:ascii="Arial" w:hAnsi="Arial"/>
        </w:rPr>
        <w:t>وسينطوي ذلك على مساندة الإصلاحات الأساسية لتطوير نشاط القطاع الخاص (الركيزة الأولى)، وكذلك تحديد وهيكلة وتمويل المعاملات، وتخفيف المخاطر، وتقديم التمويل المختلط اللازم لتحقيقها (الركيزة الثانية).</w:t>
      </w:r>
      <w:r w:rsidR="00022F13">
        <w:rPr>
          <w:rFonts w:ascii="Arial" w:hAnsi="Arial"/>
        </w:rPr>
        <w:t xml:space="preserve"> </w:t>
      </w:r>
      <w:r>
        <w:rPr>
          <w:rFonts w:ascii="Arial" w:hAnsi="Arial"/>
        </w:rPr>
        <w:t xml:space="preserve">وفي نهاية المطاف، سيعمل هذا البرنامج على تلبية احتياجات الشرائح المستضعفة والمحرومة وتعزيز المؤسسات من أجل </w:t>
      </w:r>
      <w:r w:rsidR="00C302A0">
        <w:rPr>
          <w:rFonts w:ascii="Arial" w:hAnsi="Arial" w:hint="cs"/>
        </w:rPr>
        <w:t>تحسين</w:t>
      </w:r>
      <w:r>
        <w:rPr>
          <w:rFonts w:ascii="Arial" w:hAnsi="Arial"/>
        </w:rPr>
        <w:t xml:space="preserve"> الخدمات التي تستهدف المواطن (الركيزة الثالثة).</w:t>
      </w:r>
      <w:r w:rsidR="00022F13">
        <w:rPr>
          <w:rFonts w:ascii="Arial" w:hAnsi="Arial"/>
        </w:rPr>
        <w:t xml:space="preserve"> </w:t>
      </w:r>
      <w:r>
        <w:rPr>
          <w:rFonts w:ascii="Arial" w:hAnsi="Arial"/>
        </w:rPr>
        <w:t xml:space="preserve">وعند الانتقال إلى فترة </w:t>
      </w:r>
      <w:r w:rsidR="007C5F41">
        <w:rPr>
          <w:rFonts w:ascii="Arial" w:hAnsi="Arial"/>
        </w:rPr>
        <w:t>ال</w:t>
      </w:r>
      <w:r w:rsidR="007C5F41">
        <w:rPr>
          <w:rFonts w:ascii="Arial" w:hAnsi="Arial" w:hint="cs"/>
        </w:rPr>
        <w:t>إ</w:t>
      </w:r>
      <w:r w:rsidR="007C5F41">
        <w:rPr>
          <w:rFonts w:ascii="Arial" w:hAnsi="Arial"/>
        </w:rPr>
        <w:t xml:space="preserve">ستراتيجية </w:t>
      </w:r>
      <w:r>
        <w:rPr>
          <w:rFonts w:ascii="Arial" w:hAnsi="Arial"/>
        </w:rPr>
        <w:t xml:space="preserve">الجديدة، فلن يساند تطور نشاط القطاع الخاص سوى 2% فقط من موارد البنك الدولي من بين حافظته الحالية التي تتضمن 21 مشروعًا، </w:t>
      </w:r>
      <w:r w:rsidR="007C5F41">
        <w:rPr>
          <w:rFonts w:ascii="Arial" w:hAnsi="Arial" w:hint="cs"/>
        </w:rPr>
        <w:t>في حين</w:t>
      </w:r>
      <w:r w:rsidR="007C5F41">
        <w:rPr>
          <w:rFonts w:ascii="Arial" w:hAnsi="Arial"/>
        </w:rPr>
        <w:t xml:space="preserve"> </w:t>
      </w:r>
      <w:r>
        <w:rPr>
          <w:rFonts w:ascii="Arial" w:hAnsi="Arial"/>
        </w:rPr>
        <w:t>نجد أن 19% من موارد البنك تساند في الوقت الحالي الإصلاحات المؤسسية في مراحلها الأولى التي ستعمل على تحسين البيئة الداعمة للقطاع الخاص وجذب رؤوس الأموال الخاصة.</w:t>
      </w:r>
      <w:r w:rsidR="00022F13">
        <w:rPr>
          <w:rFonts w:ascii="Arial" w:hAnsi="Arial"/>
        </w:rPr>
        <w:t xml:space="preserve"> </w:t>
      </w:r>
      <w:r>
        <w:rPr>
          <w:rFonts w:ascii="Arial" w:hAnsi="Arial"/>
        </w:rPr>
        <w:t xml:space="preserve">ونتوقع أنه بنهاية السنة المالية 2018، </w:t>
      </w:r>
      <w:r w:rsidR="005316CE">
        <w:rPr>
          <w:rFonts w:ascii="Arial" w:hAnsi="Arial" w:hint="cs"/>
        </w:rPr>
        <w:t>سيساند</w:t>
      </w:r>
      <w:r>
        <w:rPr>
          <w:rFonts w:ascii="Arial" w:hAnsi="Arial"/>
        </w:rPr>
        <w:t xml:space="preserve"> ما نسبته 16% من موارد البنك الدولي بصورة مباشرة تطوير نشاط القطاع الخاص، وسيساند ما نسبته 30% المراحل الأولى من الإصلاحات المؤسسية التي ستعمل على تحسين البيئة الداعمة للقطاع الخاص.</w:t>
      </w:r>
      <w:r w:rsidR="00022F13">
        <w:rPr>
          <w:rFonts w:ascii="Arial" w:hAnsi="Arial"/>
        </w:rPr>
        <w:t xml:space="preserve"> </w:t>
      </w:r>
      <w:r>
        <w:rPr>
          <w:rFonts w:ascii="Arial" w:hAnsi="Arial"/>
        </w:rPr>
        <w:t xml:space="preserve">وسيعمل إقفال المشروعات الحالية في هذه الحافظة ودخول مشروعات جديدة تساند الركائز المشار إليها أعلاه، مثل </w:t>
      </w:r>
      <w:r>
        <w:rPr>
          <w:rFonts w:ascii="Arial" w:hAnsi="Arial"/>
          <w:i/>
          <w:iCs/>
        </w:rPr>
        <w:t>المشروع المبتكر المقترح لتطوير القطاع الخاص</w:t>
      </w:r>
      <w:r>
        <w:rPr>
          <w:rFonts w:ascii="Arial" w:hAnsi="Arial"/>
        </w:rPr>
        <w:t xml:space="preserve"> (السنة المالية 2018)، على إحداث المزيد من المواءمة بين هذه الحافظة ومحور تركيز المساعدة المقدمة للقطاع الخاص.</w:t>
      </w:r>
      <w:r w:rsidR="00022F13">
        <w:rPr>
          <w:rFonts w:ascii="Arial" w:hAnsi="Arial"/>
        </w:rPr>
        <w:t xml:space="preserve"> </w:t>
      </w:r>
      <w:r>
        <w:rPr>
          <w:rFonts w:ascii="Arial" w:hAnsi="Arial"/>
        </w:rPr>
        <w:t xml:space="preserve">وسيتم الاختيار بعناية لمشروعات مستقبلية في القطاع البلدي وقطاع المياه حيث سيعمل فيها البنك الدولي بصورة نشطة، ولن تتم مساندة سوى المشروعات </w:t>
      </w:r>
      <w:r>
        <w:rPr>
          <w:rFonts w:ascii="Arial" w:hAnsi="Arial"/>
        </w:rPr>
        <w:lastRenderedPageBreak/>
        <w:t>التي تتوافق مع مبادئ تعظيم التمويل من أجل التنمية.</w:t>
      </w:r>
      <w:r w:rsidR="00022F13">
        <w:rPr>
          <w:rFonts w:ascii="Arial" w:hAnsi="Arial"/>
        </w:rPr>
        <w:t xml:space="preserve"> </w:t>
      </w:r>
      <w:r>
        <w:rPr>
          <w:rFonts w:ascii="Arial" w:hAnsi="Arial"/>
        </w:rPr>
        <w:t xml:space="preserve">وسيستمر البنك الدولي في تحليل القضايا القطاعية </w:t>
      </w:r>
      <w:r w:rsidR="0087205C">
        <w:rPr>
          <w:noProof/>
          <w:lang w:eastAsia="en-US"/>
        </w:rPr>
        <mc:AlternateContent>
          <mc:Choice Requires="wps">
            <w:drawing>
              <wp:anchor distT="45720" distB="45720" distL="114300" distR="114300" simplePos="0" relativeHeight="251680256" behindDoc="1" locked="0" layoutInCell="1" allowOverlap="1">
                <wp:simplePos x="0" y="0"/>
                <wp:positionH relativeFrom="margin">
                  <wp:align>right</wp:align>
                </wp:positionH>
                <wp:positionV relativeFrom="paragraph">
                  <wp:posOffset>656590</wp:posOffset>
                </wp:positionV>
                <wp:extent cx="5932170" cy="3990975"/>
                <wp:effectExtent l="0" t="0" r="0" b="9525"/>
                <wp:wrapTight wrapText="bothSides">
                  <wp:wrapPolygon edited="0">
                    <wp:start x="0" y="0"/>
                    <wp:lineTo x="0" y="21652"/>
                    <wp:lineTo x="21572" y="21652"/>
                    <wp:lineTo x="21572" y="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990975"/>
                        </a:xfrm>
                        <a:prstGeom prst="rect">
                          <a:avLst/>
                        </a:prstGeom>
                        <a:solidFill>
                          <a:schemeClr val="bg1">
                            <a:lumMod val="85000"/>
                          </a:schemeClr>
                        </a:solidFill>
                        <a:ln w="9525">
                          <a:solidFill>
                            <a:srgbClr val="000000"/>
                          </a:solidFill>
                          <a:miter lim="800000"/>
                          <a:headEnd/>
                          <a:tailEnd/>
                        </a:ln>
                      </wps:spPr>
                      <wps:txbx>
                        <w:txbxContent>
                          <w:p w14:paraId="6B0FFD57" w14:textId="77777777" w:rsidR="00205E55" w:rsidRPr="00D0404B" w:rsidRDefault="00205E55" w:rsidP="00AB5A8B">
                            <w:pPr>
                              <w:pStyle w:val="Caption"/>
                              <w:jc w:val="center"/>
                              <w:rPr>
                                <w:rFonts w:ascii="Arial" w:hAnsi="Arial" w:cs="Arial"/>
                                <w:b/>
                                <w:color w:val="auto"/>
                                <w:sz w:val="20"/>
                                <w:szCs w:val="20"/>
                              </w:rPr>
                            </w:pPr>
                            <w:bookmarkStart w:id="24" w:name="_Toc494980826"/>
                            <w:bookmarkStart w:id="25" w:name="_Toc496110895"/>
                            <w:r>
                              <w:rPr>
                                <w:rFonts w:ascii="Arial" w:hAnsi="Arial"/>
                                <w:b/>
                                <w:bCs/>
                                <w:i w:val="0"/>
                                <w:color w:val="auto"/>
                                <w:sz w:val="20"/>
                                <w:szCs w:val="20"/>
                              </w:rPr>
                              <w:t>الإطار 6. زيادة التركيز على تسهيل تطوير وتنمية القطاع الخاص وتنفيذ ذلك</w:t>
                            </w:r>
                            <w:bookmarkEnd w:id="24"/>
                            <w:bookmarkEnd w:id="25"/>
                          </w:p>
                          <w:p w14:paraId="5F76E026" w14:textId="77777777" w:rsidR="00205E55" w:rsidRPr="00991B37" w:rsidRDefault="00205E55" w:rsidP="00AB5A8B">
                            <w:pPr>
                              <w:pStyle w:val="ListParagraph"/>
                              <w:spacing w:after="0" w:line="240" w:lineRule="auto"/>
                              <w:ind w:left="0"/>
                              <w:jc w:val="both"/>
                              <w:rPr>
                                <w:rFonts w:ascii="Arial" w:hAnsi="Arial" w:cs="Arial"/>
                                <w:sz w:val="20"/>
                                <w:szCs w:val="20"/>
                              </w:rPr>
                            </w:pPr>
                            <w:r>
                              <w:rPr>
                                <w:rFonts w:ascii="Arial" w:hAnsi="Arial"/>
                                <w:b/>
                                <w:bCs/>
                                <w:sz w:val="20"/>
                                <w:szCs w:val="20"/>
                              </w:rPr>
                              <w:t xml:space="preserve">سيتحقق التركيز المعزز للبرنامج المقترح على خلق فرص العمل من خلال العديد من القنوات. </w:t>
                            </w:r>
                          </w:p>
                          <w:p w14:paraId="6E820138" w14:textId="77777777" w:rsidR="00205E55" w:rsidRDefault="00205E55" w:rsidP="00AB5A8B">
                            <w:pPr>
                              <w:pStyle w:val="ListParagraph"/>
                              <w:numPr>
                                <w:ilvl w:val="0"/>
                                <w:numId w:val="7"/>
                              </w:numPr>
                              <w:spacing w:after="0" w:line="240" w:lineRule="auto"/>
                              <w:jc w:val="both"/>
                              <w:rPr>
                                <w:rFonts w:ascii="Arial" w:hAnsi="Arial" w:cs="Arial"/>
                                <w:sz w:val="20"/>
                                <w:szCs w:val="20"/>
                              </w:rPr>
                            </w:pPr>
                            <w:r>
                              <w:rPr>
                                <w:rFonts w:ascii="Arial" w:hAnsi="Arial"/>
                                <w:sz w:val="20"/>
                                <w:szCs w:val="20"/>
                              </w:rPr>
                              <w:t>ستستمر الجهود الرامية إلى تعزيز المؤسسات باعتبارها جزءً</w:t>
                            </w:r>
                            <w:r>
                              <w:rPr>
                                <w:rFonts w:ascii="Arial" w:hAnsi="Arial" w:hint="cs"/>
                                <w:sz w:val="20"/>
                                <w:szCs w:val="20"/>
                              </w:rPr>
                              <w:t>ا</w:t>
                            </w:r>
                            <w:r>
                              <w:rPr>
                                <w:rFonts w:ascii="Arial" w:hAnsi="Arial"/>
                                <w:sz w:val="20"/>
                                <w:szCs w:val="20"/>
                              </w:rPr>
                              <w:t xml:space="preserve"> جوهريًا في برنامج مجموعة البنك الدولي. لكن الغرض من هذا البرنامج ـ الموجه نحو نهج تعظيم التمويل من أجل التنمية لتعبئة التمويل الخاص من أجل التنمية ــ </w:t>
                            </w:r>
                            <w:r>
                              <w:rPr>
                                <w:rFonts w:ascii="Arial" w:hAnsi="Arial" w:hint="cs"/>
                                <w:sz w:val="20"/>
                                <w:szCs w:val="20"/>
                              </w:rPr>
                              <w:t>هو</w:t>
                            </w:r>
                            <w:r>
                              <w:rPr>
                                <w:rFonts w:ascii="Arial" w:hAnsi="Arial"/>
                                <w:sz w:val="20"/>
                                <w:szCs w:val="20"/>
                              </w:rPr>
                              <w:t xml:space="preserve"> معالجة إخفاقات السوق وتهيئة مجال لدخول القطاع الخاص. </w:t>
                            </w:r>
                          </w:p>
                          <w:p w14:paraId="0C75C55F" w14:textId="77777777" w:rsidR="00205E55" w:rsidRPr="00C57FFC" w:rsidRDefault="00205E55" w:rsidP="007C5F41">
                            <w:pPr>
                              <w:pStyle w:val="ListParagraph"/>
                              <w:numPr>
                                <w:ilvl w:val="0"/>
                                <w:numId w:val="7"/>
                              </w:numPr>
                              <w:spacing w:after="0" w:line="240" w:lineRule="auto"/>
                              <w:jc w:val="both"/>
                              <w:rPr>
                                <w:rFonts w:ascii="Arial" w:hAnsi="Arial" w:cs="Arial"/>
                                <w:sz w:val="20"/>
                                <w:szCs w:val="20"/>
                              </w:rPr>
                            </w:pPr>
                            <w:r>
                              <w:rPr>
                                <w:rFonts w:ascii="Arial" w:hAnsi="Arial"/>
                                <w:sz w:val="20"/>
                                <w:szCs w:val="20"/>
                              </w:rPr>
                              <w:t xml:space="preserve">سيقوم العمل التحليلي بدور جوهري في محور </w:t>
                            </w:r>
                            <w:r>
                              <w:rPr>
                                <w:rFonts w:ascii="Arial" w:hAnsi="Arial" w:hint="cs"/>
                                <w:sz w:val="20"/>
                                <w:szCs w:val="20"/>
                              </w:rPr>
                              <w:t>إ</w:t>
                            </w:r>
                            <w:r>
                              <w:rPr>
                                <w:rFonts w:ascii="Arial" w:hAnsi="Arial"/>
                                <w:sz w:val="20"/>
                                <w:szCs w:val="20"/>
                              </w:rPr>
                              <w:t>ستراتيجية المساعدة لمساندة القطاع الخاص. واعتمادًا على تحليل آفاق النمو وخلق فرص العمل ودراسة سياسات التجارة، سيساعد تحليل سلسلة القيمة واكتشاف خيارات التمويل المبتكرة الخاصة بالقطاع الخاص في توجيه مساعدات شركاء التنمية. وستعالج المساعدة الفنية الخاصة بمؤشرات ممارسة أنشطة الأعمال الاختناقات المعنية التي تتضمن ما يمكن أن يتواجد</w:t>
                            </w:r>
                            <w:r>
                              <w:rPr>
                                <w:rFonts w:ascii="Arial" w:hAnsi="Arial" w:hint="cs"/>
                                <w:sz w:val="20"/>
                                <w:szCs w:val="20"/>
                              </w:rPr>
                              <w:t xml:space="preserve"> على</w:t>
                            </w:r>
                            <w:r>
                              <w:rPr>
                                <w:rFonts w:ascii="Arial" w:hAnsi="Arial"/>
                                <w:sz w:val="20"/>
                                <w:szCs w:val="20"/>
                              </w:rPr>
                              <w:t xml:space="preserve"> المستوى </w:t>
                            </w:r>
                            <w:r>
                              <w:rPr>
                                <w:rFonts w:ascii="Arial" w:hAnsi="Arial" w:hint="cs"/>
                                <w:sz w:val="20"/>
                                <w:szCs w:val="20"/>
                              </w:rPr>
                              <w:t>المحلي،</w:t>
                            </w:r>
                            <w:r>
                              <w:rPr>
                                <w:rFonts w:ascii="Arial" w:hAnsi="Arial"/>
                                <w:sz w:val="20"/>
                                <w:szCs w:val="20"/>
                              </w:rPr>
                              <w:t xml:space="preserve"> </w:t>
                            </w:r>
                            <w:r>
                              <w:rPr>
                                <w:rFonts w:ascii="Arial" w:hAnsi="Arial" w:hint="cs"/>
                                <w:sz w:val="20"/>
                                <w:szCs w:val="20"/>
                              </w:rPr>
                              <w:t>في</w:t>
                            </w:r>
                            <w:r>
                              <w:rPr>
                                <w:rFonts w:ascii="Arial" w:hAnsi="Arial"/>
                                <w:sz w:val="20"/>
                                <w:szCs w:val="20"/>
                              </w:rPr>
                              <w:t xml:space="preserve">ما سيقوم </w:t>
                            </w:r>
                            <w:r>
                              <w:rPr>
                                <w:rFonts w:ascii="Arial" w:hAnsi="Arial"/>
                                <w:i/>
                                <w:iCs/>
                                <w:sz w:val="20"/>
                                <w:szCs w:val="20"/>
                              </w:rPr>
                              <w:t>المشروع المقترح الخاص بتحسين الإدارة المالية العامة</w:t>
                            </w:r>
                            <w:r>
                              <w:rPr>
                                <w:rFonts w:ascii="Arial" w:hAnsi="Arial"/>
                                <w:sz w:val="20"/>
                                <w:szCs w:val="20"/>
                              </w:rPr>
                              <w:t xml:space="preserve"> بتقديم مساندة مباشرة لإجراءات بناء الثقة من جانب السلطة الفلسطينية. </w:t>
                            </w:r>
                          </w:p>
                          <w:p w14:paraId="1D218317" w14:textId="77777777" w:rsidR="00205E55" w:rsidRPr="000E0358" w:rsidRDefault="00205E55" w:rsidP="00AB5A8B">
                            <w:pPr>
                              <w:pStyle w:val="ListParagraph"/>
                              <w:numPr>
                                <w:ilvl w:val="0"/>
                                <w:numId w:val="4"/>
                              </w:numPr>
                              <w:spacing w:after="0" w:line="240" w:lineRule="auto"/>
                              <w:jc w:val="both"/>
                              <w:rPr>
                                <w:rFonts w:ascii="Arial" w:hAnsi="Arial" w:cs="Arial"/>
                                <w:sz w:val="20"/>
                                <w:szCs w:val="20"/>
                              </w:rPr>
                            </w:pPr>
                            <w:r>
                              <w:rPr>
                                <w:rFonts w:ascii="Arial" w:hAnsi="Arial"/>
                                <w:sz w:val="20"/>
                                <w:szCs w:val="20"/>
                              </w:rPr>
                              <w:t xml:space="preserve">سيستفيد صندوق تعزيز القطاع الخاص الذي نُوقش أعلاه في إطار الركيزة الثانية من مساهمات مجموعة البنك الدولي والمانحين للتخفيف من المخاطر وأدوات التمويل المختلط التي يمكن أن تعمل على تعبئة استثمارات القطاع الخاص. </w:t>
                            </w:r>
                          </w:p>
                          <w:p w14:paraId="29AEB7F6" w14:textId="77777777" w:rsidR="00205E55" w:rsidRPr="00991B37" w:rsidRDefault="00205E55" w:rsidP="00AB5A8B">
                            <w:pPr>
                              <w:pStyle w:val="ListParagraph"/>
                              <w:numPr>
                                <w:ilvl w:val="0"/>
                                <w:numId w:val="4"/>
                              </w:numPr>
                              <w:spacing w:after="0" w:line="240" w:lineRule="auto"/>
                              <w:jc w:val="both"/>
                              <w:rPr>
                                <w:rFonts w:ascii="Arial" w:hAnsi="Arial" w:cs="Arial"/>
                                <w:sz w:val="20"/>
                                <w:szCs w:val="20"/>
                              </w:rPr>
                            </w:pPr>
                            <w:r>
                              <w:rPr>
                                <w:rFonts w:ascii="Arial" w:hAnsi="Arial"/>
                                <w:sz w:val="20"/>
                                <w:szCs w:val="20"/>
                              </w:rPr>
                              <w:t xml:space="preserve">ستساند منحة سياسات التنمية المقدمة من البنك الدولي التي تعمل على تعبئة قدر كبير من تمويل المانحين من خلال الصندوق الاستئماني الخاص بالخطة الفلسطينية للإصلاح والتنمية الذي يديره البنك الدولي إجراءات السياسات الخاصة بالسلطة الفلسطينية لتعزيز البيئة التشغيلية لأنشطة الأعمال (تسجيل الأصول المنقولة، وقانون الشركات) والمراحل الأولى من إصلاح المؤسسات العامة التي تعطي ثقة للقطاع الخاص (ضمان السلامة المالية للمؤسسات العاملة في قطاع الطاقة والمياه). </w:t>
                            </w:r>
                            <w:r>
                              <w:rPr>
                                <w:rFonts w:ascii="Times New Roman" w:hAnsi="Times New Roman" w:cs="Times New Roman"/>
                                <w:sz w:val="20"/>
                                <w:szCs w:val="20"/>
                              </w:rPr>
                              <w:br/>
                            </w:r>
                            <w:r>
                              <w:rPr>
                                <w:rFonts w:ascii="Arial" w:hAnsi="Arial"/>
                                <w:sz w:val="20"/>
                                <w:szCs w:val="20"/>
                              </w:rPr>
                              <w:t xml:space="preserve"> ومن المقترح أن تكون منحة سياسات التنمية بقيمة 30 مليون دولار لتوجيه المزيد من الأموال نحو الجهود الرامية إلى تطوير وتنمية القطاع الخاص. </w:t>
                            </w:r>
                          </w:p>
                          <w:p w14:paraId="2ED43175" w14:textId="77777777" w:rsidR="00205E55" w:rsidRDefault="00205E55" w:rsidP="00AB5A8B">
                            <w:pPr>
                              <w:pStyle w:val="ListParagraph"/>
                              <w:numPr>
                                <w:ilvl w:val="0"/>
                                <w:numId w:val="4"/>
                              </w:numPr>
                              <w:spacing w:after="0" w:line="240" w:lineRule="auto"/>
                              <w:jc w:val="both"/>
                              <w:rPr>
                                <w:rFonts w:ascii="Arial" w:hAnsi="Arial" w:cs="Arial"/>
                                <w:sz w:val="20"/>
                                <w:szCs w:val="20"/>
                              </w:rPr>
                            </w:pPr>
                            <w:r>
                              <w:rPr>
                                <w:rFonts w:ascii="Arial" w:hAnsi="Arial"/>
                                <w:sz w:val="20"/>
                                <w:szCs w:val="20"/>
                              </w:rPr>
                              <w:t>سيعمل برنامج استثمارات البنك الدولي</w:t>
                            </w:r>
                            <w:r>
                              <w:rPr>
                                <w:rFonts w:ascii="Arial" w:hAnsi="Arial" w:hint="cs"/>
                                <w:sz w:val="20"/>
                                <w:szCs w:val="20"/>
                              </w:rPr>
                              <w:t xml:space="preserve"> أيضًا</w:t>
                            </w:r>
                            <w:r>
                              <w:rPr>
                                <w:rFonts w:ascii="Arial" w:hAnsi="Arial"/>
                                <w:sz w:val="20"/>
                                <w:szCs w:val="20"/>
                              </w:rPr>
                              <w:t xml:space="preserve"> على مزيد من التعزيز للمساندة المقدمة بهدف تحسين الأداء المالي والتشغيلي في عملية تقديم الخدمات العامة الأساسية لضمان حصول المواطنين والشركات الخاصة على الخدمات الرئيسية وإنفاق الموارد العامة النادرة على نحو أكثر كفاءة، وكذلك ضمان إمكانية أن يسمح الانضباط المالي المحسن بتطوير وتنمية الاستثمارات الخاصة المستدامة. </w:t>
                            </w:r>
                          </w:p>
                          <w:p w14:paraId="1D7A2E39" w14:textId="77777777" w:rsidR="00205E55" w:rsidRDefault="00205E55" w:rsidP="007C5F41">
                            <w:pPr>
                              <w:pStyle w:val="ListParagraph"/>
                              <w:numPr>
                                <w:ilvl w:val="0"/>
                                <w:numId w:val="4"/>
                              </w:numPr>
                              <w:spacing w:after="0" w:line="240" w:lineRule="auto"/>
                              <w:jc w:val="both"/>
                              <w:rPr>
                                <w:rFonts w:ascii="Arial" w:hAnsi="Arial" w:cs="Arial"/>
                                <w:sz w:val="20"/>
                                <w:szCs w:val="20"/>
                              </w:rPr>
                            </w:pPr>
                            <w:r>
                              <w:rPr>
                                <w:rFonts w:ascii="Arial" w:hAnsi="Arial"/>
                                <w:sz w:val="20"/>
                                <w:szCs w:val="20"/>
                              </w:rPr>
                              <w:t>على عكس الإطار الزمني ل</w:t>
                            </w:r>
                            <w:r>
                              <w:rPr>
                                <w:rFonts w:ascii="Arial" w:hAnsi="Arial" w:hint="cs"/>
                                <w:sz w:val="20"/>
                                <w:szCs w:val="20"/>
                              </w:rPr>
                              <w:t>إ</w:t>
                            </w:r>
                            <w:r>
                              <w:rPr>
                                <w:rFonts w:ascii="Arial" w:hAnsi="Arial"/>
                                <w:sz w:val="20"/>
                                <w:szCs w:val="20"/>
                              </w:rPr>
                              <w:t xml:space="preserve">ستراتيجيات المساعدة السابقة الذي </w:t>
                            </w:r>
                            <w:r>
                              <w:rPr>
                                <w:rFonts w:ascii="Arial" w:hAnsi="Arial" w:hint="cs"/>
                                <w:sz w:val="20"/>
                                <w:szCs w:val="20"/>
                              </w:rPr>
                              <w:t>بلغ</w:t>
                            </w:r>
                            <w:r>
                              <w:rPr>
                                <w:rFonts w:ascii="Arial" w:hAnsi="Arial"/>
                                <w:sz w:val="20"/>
                                <w:szCs w:val="20"/>
                              </w:rPr>
                              <w:t xml:space="preserve"> سنتين، نجد أن الإطار الزمني ل</w:t>
                            </w:r>
                            <w:r>
                              <w:rPr>
                                <w:rFonts w:ascii="Arial" w:hAnsi="Arial" w:hint="cs"/>
                                <w:sz w:val="20"/>
                                <w:szCs w:val="20"/>
                              </w:rPr>
                              <w:t>إ</w:t>
                            </w:r>
                            <w:r>
                              <w:rPr>
                                <w:rFonts w:ascii="Arial" w:hAnsi="Arial"/>
                                <w:sz w:val="20"/>
                                <w:szCs w:val="20"/>
                              </w:rPr>
                              <w:t>ستراتيجية المساعدة المقترحة 4 سنوات للعمل على تغيير الاتجاه. وبعد سنتين عند منتصف مدة ال</w:t>
                            </w:r>
                            <w:r>
                              <w:rPr>
                                <w:rFonts w:ascii="Arial" w:hAnsi="Arial" w:hint="cs"/>
                                <w:sz w:val="20"/>
                                <w:szCs w:val="20"/>
                              </w:rPr>
                              <w:t>إ</w:t>
                            </w:r>
                            <w:r>
                              <w:rPr>
                                <w:rFonts w:ascii="Arial" w:hAnsi="Arial"/>
                                <w:sz w:val="20"/>
                                <w:szCs w:val="20"/>
                              </w:rPr>
                              <w:t xml:space="preserve">ستراتيجية، سيكون هناك استعراض للأداء وعملية التعلم خاص بهذا البرنامج.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415.9pt;margin-top:51.7pt;width:467.1pt;height:314.2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" fillcolor="#d8d8d8 [2732]">
                <v:textbox>
                  <w:txbxContent>
                    <w:p w14:paraId="6B0FFD57" w14:textId="77777777" w:rsidR="00205E55" w:rsidRPr="00D0404B" w:rsidRDefault="00205E55" w:rsidP="00AB5A8B">
                      <w:pPr>
                        <w:pStyle w:val="Caption"/>
                        <w:jc w:val="center"/>
                        <w:rPr>
                          <w:rFonts w:ascii="Arial" w:hAnsi="Arial" w:cs="Arial"/>
                          <w:b/>
                          <w:color w:val="auto"/>
                          <w:sz w:val="20"/>
                          <w:szCs w:val="20"/>
                        </w:rPr>
                      </w:pPr>
                      <w:bookmarkStart w:id="26" w:name="_Toc494980826"/>
                      <w:bookmarkStart w:id="27" w:name="_Toc496110895"/>
                      <w:r>
                        <w:rPr>
                          <w:rFonts w:ascii="Arial" w:hAnsi="Arial"/>
                          <w:b/>
                          <w:bCs/>
                          <w:i w:val="0"/>
                          <w:color w:val="auto"/>
                          <w:sz w:val="20"/>
                          <w:szCs w:val="20"/>
                        </w:rPr>
                        <w:t>الإطار 6. زيادة التركيز على تسهيل تطوير وتنمية القطاع الخاص وتنفيذ ذلك</w:t>
                      </w:r>
                      <w:bookmarkEnd w:id="26"/>
                      <w:bookmarkEnd w:id="27"/>
                    </w:p>
                    <w:p w14:paraId="5F76E026" w14:textId="77777777" w:rsidR="00205E55" w:rsidRPr="00991B37" w:rsidRDefault="00205E55" w:rsidP="00AB5A8B">
                      <w:pPr>
                        <w:pStyle w:val="ListParagraph"/>
                        <w:spacing w:after="0" w:line="240" w:lineRule="auto"/>
                        <w:ind w:left="0"/>
                        <w:jc w:val="both"/>
                        <w:rPr>
                          <w:rFonts w:ascii="Arial" w:hAnsi="Arial" w:cs="Arial"/>
                          <w:sz w:val="20"/>
                          <w:szCs w:val="20"/>
                        </w:rPr>
                      </w:pPr>
                      <w:r>
                        <w:rPr>
                          <w:rFonts w:ascii="Arial" w:hAnsi="Arial"/>
                          <w:b/>
                          <w:bCs/>
                          <w:sz w:val="20"/>
                          <w:szCs w:val="20"/>
                        </w:rPr>
                        <w:t xml:space="preserve">سيتحقق التركيز المعزز للبرنامج المقترح على خلق فرص العمل من خلال العديد من القنوات. </w:t>
                      </w:r>
                    </w:p>
                    <w:p w14:paraId="6E820138" w14:textId="77777777" w:rsidR="00205E55" w:rsidRDefault="00205E55" w:rsidP="00AB5A8B">
                      <w:pPr>
                        <w:pStyle w:val="ListParagraph"/>
                        <w:numPr>
                          <w:ilvl w:val="0"/>
                          <w:numId w:val="7"/>
                        </w:numPr>
                        <w:spacing w:after="0" w:line="240" w:lineRule="auto"/>
                        <w:jc w:val="both"/>
                        <w:rPr>
                          <w:rFonts w:ascii="Arial" w:hAnsi="Arial" w:cs="Arial"/>
                          <w:sz w:val="20"/>
                          <w:szCs w:val="20"/>
                        </w:rPr>
                      </w:pPr>
                      <w:r>
                        <w:rPr>
                          <w:rFonts w:ascii="Arial" w:hAnsi="Arial"/>
                          <w:sz w:val="20"/>
                          <w:szCs w:val="20"/>
                        </w:rPr>
                        <w:t>ستستمر الجهود الرامية إلى تعزيز المؤسسات باعتبارها جزءً</w:t>
                      </w:r>
                      <w:r>
                        <w:rPr>
                          <w:rFonts w:ascii="Arial" w:hAnsi="Arial" w:hint="cs"/>
                          <w:sz w:val="20"/>
                          <w:szCs w:val="20"/>
                        </w:rPr>
                        <w:t>ا</w:t>
                      </w:r>
                      <w:r>
                        <w:rPr>
                          <w:rFonts w:ascii="Arial" w:hAnsi="Arial"/>
                          <w:sz w:val="20"/>
                          <w:szCs w:val="20"/>
                        </w:rPr>
                        <w:t xml:space="preserve"> جوهريًا في برنامج مجموعة البنك الدولي. لكن الغرض من هذا البرنامج ـ الموجه نحو نهج تعظيم التمويل من أجل التنمية لتعبئة التمويل الخاص من أجل التنمية ــ </w:t>
                      </w:r>
                      <w:r>
                        <w:rPr>
                          <w:rFonts w:ascii="Arial" w:hAnsi="Arial" w:hint="cs"/>
                          <w:sz w:val="20"/>
                          <w:szCs w:val="20"/>
                        </w:rPr>
                        <w:t>هو</w:t>
                      </w:r>
                      <w:r>
                        <w:rPr>
                          <w:rFonts w:ascii="Arial" w:hAnsi="Arial"/>
                          <w:sz w:val="20"/>
                          <w:szCs w:val="20"/>
                        </w:rPr>
                        <w:t xml:space="preserve"> معالجة إخفاقات السوق وتهيئة مجال لدخول القطاع الخاص. </w:t>
                      </w:r>
                    </w:p>
                    <w:p w14:paraId="0C75C55F" w14:textId="77777777" w:rsidR="00205E55" w:rsidRPr="00C57FFC" w:rsidRDefault="00205E55" w:rsidP="007C5F41">
                      <w:pPr>
                        <w:pStyle w:val="ListParagraph"/>
                        <w:numPr>
                          <w:ilvl w:val="0"/>
                          <w:numId w:val="7"/>
                        </w:numPr>
                        <w:spacing w:after="0" w:line="240" w:lineRule="auto"/>
                        <w:jc w:val="both"/>
                        <w:rPr>
                          <w:rFonts w:ascii="Arial" w:hAnsi="Arial" w:cs="Arial"/>
                          <w:sz w:val="20"/>
                          <w:szCs w:val="20"/>
                        </w:rPr>
                      </w:pPr>
                      <w:r>
                        <w:rPr>
                          <w:rFonts w:ascii="Arial" w:hAnsi="Arial"/>
                          <w:sz w:val="20"/>
                          <w:szCs w:val="20"/>
                        </w:rPr>
                        <w:t xml:space="preserve">سيقوم العمل التحليلي بدور جوهري في محور </w:t>
                      </w:r>
                      <w:r>
                        <w:rPr>
                          <w:rFonts w:ascii="Arial" w:hAnsi="Arial" w:hint="cs"/>
                          <w:sz w:val="20"/>
                          <w:szCs w:val="20"/>
                        </w:rPr>
                        <w:t>إ</w:t>
                      </w:r>
                      <w:r>
                        <w:rPr>
                          <w:rFonts w:ascii="Arial" w:hAnsi="Arial"/>
                          <w:sz w:val="20"/>
                          <w:szCs w:val="20"/>
                        </w:rPr>
                        <w:t>ستراتيجية المساعدة لمساندة القطاع الخاص. واعتمادًا على تحليل آفاق النمو وخلق فرص العمل ودراسة سياسات التجارة، سيساعد تحليل سلسلة القيمة واكتشاف خيارات التمويل المبتكرة الخاصة بالقطاع الخاص في توجيه مساعدات شركاء التنمية. وستعالج المساعدة الفنية الخاصة بمؤشرات ممارسة أنشطة الأعمال الاختناقات المعنية التي تتضمن ما يمكن أن يتواجد</w:t>
                      </w:r>
                      <w:r>
                        <w:rPr>
                          <w:rFonts w:ascii="Arial" w:hAnsi="Arial" w:hint="cs"/>
                          <w:sz w:val="20"/>
                          <w:szCs w:val="20"/>
                        </w:rPr>
                        <w:t xml:space="preserve"> على</w:t>
                      </w:r>
                      <w:r>
                        <w:rPr>
                          <w:rFonts w:ascii="Arial" w:hAnsi="Arial"/>
                          <w:sz w:val="20"/>
                          <w:szCs w:val="20"/>
                        </w:rPr>
                        <w:t xml:space="preserve"> المستوى </w:t>
                      </w:r>
                      <w:r>
                        <w:rPr>
                          <w:rFonts w:ascii="Arial" w:hAnsi="Arial" w:hint="cs"/>
                          <w:sz w:val="20"/>
                          <w:szCs w:val="20"/>
                        </w:rPr>
                        <w:t>المحلي،</w:t>
                      </w:r>
                      <w:r>
                        <w:rPr>
                          <w:rFonts w:ascii="Arial" w:hAnsi="Arial"/>
                          <w:sz w:val="20"/>
                          <w:szCs w:val="20"/>
                        </w:rPr>
                        <w:t xml:space="preserve"> </w:t>
                      </w:r>
                      <w:r>
                        <w:rPr>
                          <w:rFonts w:ascii="Arial" w:hAnsi="Arial" w:hint="cs"/>
                          <w:sz w:val="20"/>
                          <w:szCs w:val="20"/>
                        </w:rPr>
                        <w:t>في</w:t>
                      </w:r>
                      <w:r>
                        <w:rPr>
                          <w:rFonts w:ascii="Arial" w:hAnsi="Arial"/>
                          <w:sz w:val="20"/>
                          <w:szCs w:val="20"/>
                        </w:rPr>
                        <w:t xml:space="preserve">ما سيقوم </w:t>
                      </w:r>
                      <w:r>
                        <w:rPr>
                          <w:rFonts w:ascii="Arial" w:hAnsi="Arial"/>
                          <w:i/>
                          <w:iCs/>
                          <w:sz w:val="20"/>
                          <w:szCs w:val="20"/>
                        </w:rPr>
                        <w:t>المشروع المقترح الخاص بتحسين الإدارة المالية العامة</w:t>
                      </w:r>
                      <w:r>
                        <w:rPr>
                          <w:rFonts w:ascii="Arial" w:hAnsi="Arial"/>
                          <w:sz w:val="20"/>
                          <w:szCs w:val="20"/>
                        </w:rPr>
                        <w:t xml:space="preserve"> بتقديم مساندة مباشرة لإجراءات بناء الثقة من جانب السلطة الفلسطينية. </w:t>
                      </w:r>
                    </w:p>
                    <w:p w14:paraId="1D218317" w14:textId="77777777" w:rsidR="00205E55" w:rsidRPr="000E0358" w:rsidRDefault="00205E55" w:rsidP="00AB5A8B">
                      <w:pPr>
                        <w:pStyle w:val="ListParagraph"/>
                        <w:numPr>
                          <w:ilvl w:val="0"/>
                          <w:numId w:val="4"/>
                        </w:numPr>
                        <w:spacing w:after="0" w:line="240" w:lineRule="auto"/>
                        <w:jc w:val="both"/>
                        <w:rPr>
                          <w:rFonts w:ascii="Arial" w:hAnsi="Arial" w:cs="Arial"/>
                          <w:sz w:val="20"/>
                          <w:szCs w:val="20"/>
                        </w:rPr>
                      </w:pPr>
                      <w:r>
                        <w:rPr>
                          <w:rFonts w:ascii="Arial" w:hAnsi="Arial"/>
                          <w:sz w:val="20"/>
                          <w:szCs w:val="20"/>
                        </w:rPr>
                        <w:t xml:space="preserve">سيستفيد صندوق تعزيز القطاع الخاص الذي نُوقش أعلاه في إطار الركيزة الثانية من مساهمات مجموعة البنك الدولي والمانحين للتخفيف من المخاطر وأدوات التمويل المختلط التي يمكن أن تعمل على تعبئة استثمارات القطاع الخاص. </w:t>
                      </w:r>
                    </w:p>
                    <w:p w14:paraId="29AEB7F6" w14:textId="77777777" w:rsidR="00205E55" w:rsidRPr="00991B37" w:rsidRDefault="00205E55" w:rsidP="00AB5A8B">
                      <w:pPr>
                        <w:pStyle w:val="ListParagraph"/>
                        <w:numPr>
                          <w:ilvl w:val="0"/>
                          <w:numId w:val="4"/>
                        </w:numPr>
                        <w:spacing w:after="0" w:line="240" w:lineRule="auto"/>
                        <w:jc w:val="both"/>
                        <w:rPr>
                          <w:rFonts w:ascii="Arial" w:hAnsi="Arial" w:cs="Arial"/>
                          <w:sz w:val="20"/>
                          <w:szCs w:val="20"/>
                        </w:rPr>
                      </w:pPr>
                      <w:r>
                        <w:rPr>
                          <w:rFonts w:ascii="Arial" w:hAnsi="Arial"/>
                          <w:sz w:val="20"/>
                          <w:szCs w:val="20"/>
                        </w:rPr>
                        <w:t xml:space="preserve">ستساند منحة سياسات التنمية المقدمة من البنك الدولي التي تعمل على تعبئة قدر كبير من تمويل المانحين من خلال الصندوق الاستئماني الخاص بالخطة الفلسطينية للإصلاح والتنمية الذي يديره البنك الدولي إجراءات السياسات الخاصة بالسلطة الفلسطينية لتعزيز البيئة التشغيلية لأنشطة الأعمال (تسجيل الأصول المنقولة، وقانون الشركات) والمراحل الأولى من إصلاح المؤسسات العامة التي تعطي ثقة للقطاع الخاص (ضمان السلامة المالية للمؤسسات العاملة في قطاع الطاقة والمياه). </w:t>
                      </w:r>
                      <w:r>
                        <w:rPr>
                          <w:rFonts w:ascii="Times New Roman" w:hAnsi="Times New Roman" w:cs="Times New Roman"/>
                          <w:sz w:val="20"/>
                          <w:szCs w:val="20"/>
                        </w:rPr>
                        <w:br/>
                      </w:r>
                      <w:r>
                        <w:rPr>
                          <w:rFonts w:ascii="Arial" w:hAnsi="Arial"/>
                          <w:sz w:val="20"/>
                          <w:szCs w:val="20"/>
                        </w:rPr>
                        <w:t xml:space="preserve"> ومن المقترح أن تكون منحة سياسات التنمية بقيمة 30 مليون دولار لتوجيه المزيد من الأموال نحو الجهود الرامية إلى تطوير وتنمية القطاع الخاص. </w:t>
                      </w:r>
                    </w:p>
                    <w:p w14:paraId="2ED43175" w14:textId="77777777" w:rsidR="00205E55" w:rsidRDefault="00205E55" w:rsidP="00AB5A8B">
                      <w:pPr>
                        <w:pStyle w:val="ListParagraph"/>
                        <w:numPr>
                          <w:ilvl w:val="0"/>
                          <w:numId w:val="4"/>
                        </w:numPr>
                        <w:spacing w:after="0" w:line="240" w:lineRule="auto"/>
                        <w:jc w:val="both"/>
                        <w:rPr>
                          <w:rFonts w:ascii="Arial" w:hAnsi="Arial" w:cs="Arial"/>
                          <w:sz w:val="20"/>
                          <w:szCs w:val="20"/>
                        </w:rPr>
                      </w:pPr>
                      <w:r>
                        <w:rPr>
                          <w:rFonts w:ascii="Arial" w:hAnsi="Arial"/>
                          <w:sz w:val="20"/>
                          <w:szCs w:val="20"/>
                        </w:rPr>
                        <w:t>سيعمل برنامج استثمارات البنك الدولي</w:t>
                      </w:r>
                      <w:r>
                        <w:rPr>
                          <w:rFonts w:ascii="Arial" w:hAnsi="Arial" w:hint="cs"/>
                          <w:sz w:val="20"/>
                          <w:szCs w:val="20"/>
                        </w:rPr>
                        <w:t xml:space="preserve"> أيضًا</w:t>
                      </w:r>
                      <w:r>
                        <w:rPr>
                          <w:rFonts w:ascii="Arial" w:hAnsi="Arial"/>
                          <w:sz w:val="20"/>
                          <w:szCs w:val="20"/>
                        </w:rPr>
                        <w:t xml:space="preserve"> على مزيد من التعزيز للمساندة المقدمة بهدف تحسين الأداء المالي والتشغيلي في عملية تقديم الخدمات العامة الأساسية لضمان حصول المواطنين والشركات الخاصة على الخدمات الرئيسية وإنفاق الموارد العامة النادرة على نحو أكثر كفاءة، وكذلك ضمان إمكانية أن يسمح الانضباط المالي المحسن بتطوير وتنمية الاستثمارات الخاصة المستدامة. </w:t>
                      </w:r>
                    </w:p>
                    <w:p w14:paraId="1D7A2E39" w14:textId="77777777" w:rsidR="00205E55" w:rsidRDefault="00205E55" w:rsidP="007C5F41">
                      <w:pPr>
                        <w:pStyle w:val="ListParagraph"/>
                        <w:numPr>
                          <w:ilvl w:val="0"/>
                          <w:numId w:val="4"/>
                        </w:numPr>
                        <w:spacing w:after="0" w:line="240" w:lineRule="auto"/>
                        <w:jc w:val="both"/>
                        <w:rPr>
                          <w:rFonts w:ascii="Arial" w:hAnsi="Arial" w:cs="Arial"/>
                          <w:sz w:val="20"/>
                          <w:szCs w:val="20"/>
                        </w:rPr>
                      </w:pPr>
                      <w:r>
                        <w:rPr>
                          <w:rFonts w:ascii="Arial" w:hAnsi="Arial"/>
                          <w:sz w:val="20"/>
                          <w:szCs w:val="20"/>
                        </w:rPr>
                        <w:t>على عكس الإطار الزمني ل</w:t>
                      </w:r>
                      <w:r>
                        <w:rPr>
                          <w:rFonts w:ascii="Arial" w:hAnsi="Arial" w:hint="cs"/>
                          <w:sz w:val="20"/>
                          <w:szCs w:val="20"/>
                        </w:rPr>
                        <w:t>إ</w:t>
                      </w:r>
                      <w:r>
                        <w:rPr>
                          <w:rFonts w:ascii="Arial" w:hAnsi="Arial"/>
                          <w:sz w:val="20"/>
                          <w:szCs w:val="20"/>
                        </w:rPr>
                        <w:t xml:space="preserve">ستراتيجيات المساعدة السابقة الذي </w:t>
                      </w:r>
                      <w:r>
                        <w:rPr>
                          <w:rFonts w:ascii="Arial" w:hAnsi="Arial" w:hint="cs"/>
                          <w:sz w:val="20"/>
                          <w:szCs w:val="20"/>
                        </w:rPr>
                        <w:t>بلغ</w:t>
                      </w:r>
                      <w:r>
                        <w:rPr>
                          <w:rFonts w:ascii="Arial" w:hAnsi="Arial"/>
                          <w:sz w:val="20"/>
                          <w:szCs w:val="20"/>
                        </w:rPr>
                        <w:t xml:space="preserve"> سنتين، نجد أن الإطار الزمني ل</w:t>
                      </w:r>
                      <w:r>
                        <w:rPr>
                          <w:rFonts w:ascii="Arial" w:hAnsi="Arial" w:hint="cs"/>
                          <w:sz w:val="20"/>
                          <w:szCs w:val="20"/>
                        </w:rPr>
                        <w:t>إ</w:t>
                      </w:r>
                      <w:r>
                        <w:rPr>
                          <w:rFonts w:ascii="Arial" w:hAnsi="Arial"/>
                          <w:sz w:val="20"/>
                          <w:szCs w:val="20"/>
                        </w:rPr>
                        <w:t>ستراتيجية المساعدة المقترحة 4 سنوات للعمل على تغيير الاتجاه. وبعد سنتين عند منتصف مدة ال</w:t>
                      </w:r>
                      <w:r>
                        <w:rPr>
                          <w:rFonts w:ascii="Arial" w:hAnsi="Arial" w:hint="cs"/>
                          <w:sz w:val="20"/>
                          <w:szCs w:val="20"/>
                        </w:rPr>
                        <w:t>إ</w:t>
                      </w:r>
                      <w:r>
                        <w:rPr>
                          <w:rFonts w:ascii="Arial" w:hAnsi="Arial"/>
                          <w:sz w:val="20"/>
                          <w:szCs w:val="20"/>
                        </w:rPr>
                        <w:t xml:space="preserve">ستراتيجية، سيكون هناك استعراض للأداء وعملية التعلم خاص بهذا البرنامج. </w:t>
                      </w:r>
                    </w:p>
                  </w:txbxContent>
                </v:textbox>
                <w10:wrap type="tight" anchorx="margin"/>
              </v:shape>
            </w:pict>
          </mc:Fallback>
        </mc:AlternateContent>
      </w:r>
      <w:r>
        <w:rPr>
          <w:rFonts w:ascii="Arial" w:hAnsi="Arial"/>
        </w:rPr>
        <w:t xml:space="preserve">في المجالات التي يتعين فيها خفض التمويل في صورة منح. </w:t>
      </w:r>
    </w:p>
    <w:p w14:paraId="734BF694" w14:textId="77777777" w:rsidR="00A1397D" w:rsidRPr="006A6360" w:rsidRDefault="00A1397D" w:rsidP="00AB5A8B">
      <w:pPr>
        <w:pStyle w:val="ListParagraph"/>
        <w:spacing w:line="240" w:lineRule="auto"/>
        <w:ind w:left="0"/>
        <w:jc w:val="both"/>
        <w:rPr>
          <w:rFonts w:ascii="Times New Roman" w:eastAsia="Calibri" w:hAnsi="Times New Roman" w:cs="Times New Roman"/>
        </w:rPr>
      </w:pPr>
    </w:p>
    <w:p w14:paraId="443F7C9C" w14:textId="77777777" w:rsidR="00290AC0" w:rsidRPr="003E291C" w:rsidRDefault="4F88A954" w:rsidP="005C69E1">
      <w:pPr>
        <w:pStyle w:val="ListParagraph"/>
        <w:numPr>
          <w:ilvl w:val="0"/>
          <w:numId w:val="6"/>
        </w:numPr>
        <w:autoSpaceDE w:val="0"/>
        <w:autoSpaceDN w:val="0"/>
        <w:adjustRightInd w:val="0"/>
        <w:spacing w:after="0" w:line="240" w:lineRule="auto"/>
        <w:jc w:val="both"/>
        <w:rPr>
          <w:rFonts w:ascii="Arial" w:hAnsi="Arial" w:cs="Arial"/>
        </w:rPr>
      </w:pPr>
      <w:r>
        <w:rPr>
          <w:b/>
          <w:bCs/>
        </w:rPr>
        <w:t xml:space="preserve">تتوافق </w:t>
      </w:r>
      <w:r w:rsidR="007C5F41">
        <w:rPr>
          <w:b/>
          <w:bCs/>
        </w:rPr>
        <w:t>ال</w:t>
      </w:r>
      <w:r w:rsidR="007C5F41">
        <w:rPr>
          <w:rFonts w:hint="cs"/>
          <w:b/>
          <w:bCs/>
        </w:rPr>
        <w:t>إ</w:t>
      </w:r>
      <w:r w:rsidR="007C5F41">
        <w:rPr>
          <w:b/>
          <w:bCs/>
        </w:rPr>
        <w:t xml:space="preserve">ستراتيجية </w:t>
      </w:r>
      <w:r>
        <w:rPr>
          <w:b/>
          <w:bCs/>
        </w:rPr>
        <w:t>الموضحة أدناه مع أجندة السياسات الوطنية الفلسطينية (2017 - 2022) التي تركز على الاستثمار في رأس المال البشري أي "وضع المواطنين في الصدارة أولًا" وعلى تنمية وتطوير القطاع الخاص باعتبار أن ذلك إجراء أساسي لخلق فرص عمل وتحقيق النمو الاقتصادي.</w:t>
      </w:r>
      <w:r w:rsidR="00022F13">
        <w:t xml:space="preserve"> </w:t>
      </w:r>
      <w:r>
        <w:rPr>
          <w:rFonts w:asciiTheme="majorBidi" w:eastAsiaTheme="minorEastAsia" w:hAnsiTheme="majorBidi" w:cstheme="majorBidi"/>
        </w:rPr>
        <w:t xml:space="preserve">ويدور محور تركيز الركيزة الأولى حول حفز بيئة من أجل نمو ديناميكي للقطاع الخاص يشمل الجميع بهدف خلق فرص عمل، </w:t>
      </w:r>
      <w:r w:rsidR="005C69E1">
        <w:rPr>
          <w:rFonts w:asciiTheme="majorBidi" w:eastAsiaTheme="minorEastAsia" w:hAnsiTheme="majorBidi" w:cstheme="majorBidi" w:hint="cs"/>
        </w:rPr>
        <w:t>في حين</w:t>
      </w:r>
      <w:r w:rsidR="005C69E1">
        <w:rPr>
          <w:rFonts w:asciiTheme="majorBidi" w:eastAsiaTheme="minorEastAsia" w:hAnsiTheme="majorBidi" w:cstheme="majorBidi"/>
        </w:rPr>
        <w:t xml:space="preserve"> </w:t>
      </w:r>
      <w:r>
        <w:rPr>
          <w:rFonts w:asciiTheme="majorBidi" w:eastAsiaTheme="minorEastAsia" w:hAnsiTheme="majorBidi" w:cstheme="majorBidi"/>
        </w:rPr>
        <w:t>تستهدف الركيزة الثانية تسريع وتيرة تحقيق المشروعات الخاصة المحددة.</w:t>
      </w:r>
      <w:r w:rsidR="00022F13">
        <w:rPr>
          <w:rFonts w:asciiTheme="majorBidi" w:eastAsiaTheme="minorEastAsia" w:hAnsiTheme="majorBidi" w:cstheme="majorBidi"/>
        </w:rPr>
        <w:t xml:space="preserve"> </w:t>
      </w:r>
      <w:r>
        <w:rPr>
          <w:rFonts w:asciiTheme="majorBidi" w:eastAsiaTheme="minorEastAsia" w:hAnsiTheme="majorBidi" w:cstheme="majorBidi"/>
        </w:rPr>
        <w:t>وتساعد الركيزة الثالثة على تعزيز المؤسسات العامة مع التركيز بصورة أكثر حدة على ضمان استهداف وحماية الشرائح الأكثر ضعفًا وحرمانًا، وتعزيز هذه المؤسسات من خلال تحسين المساءلة والشفافية والأداء.</w:t>
      </w:r>
      <w:r w:rsidR="00022F13">
        <w:rPr>
          <w:rFonts w:asciiTheme="majorBidi" w:eastAsiaTheme="minorEastAsia" w:hAnsiTheme="majorBidi" w:cstheme="majorBidi"/>
        </w:rPr>
        <w:t xml:space="preserve"> </w:t>
      </w:r>
      <w:r>
        <w:rPr>
          <w:rFonts w:ascii="Arial" w:hAnsi="Arial"/>
        </w:rPr>
        <w:t xml:space="preserve">وقم تم إثراء عملية إعداد هذه </w:t>
      </w:r>
      <w:r w:rsidR="005C69E1">
        <w:rPr>
          <w:rFonts w:ascii="Arial" w:hAnsi="Arial"/>
        </w:rPr>
        <w:t>ال</w:t>
      </w:r>
      <w:r w:rsidR="005C69E1">
        <w:rPr>
          <w:rFonts w:ascii="Arial" w:hAnsi="Arial" w:hint="cs"/>
        </w:rPr>
        <w:t>إ</w:t>
      </w:r>
      <w:r w:rsidR="005C69E1">
        <w:rPr>
          <w:rFonts w:ascii="Arial" w:hAnsi="Arial"/>
        </w:rPr>
        <w:t xml:space="preserve">ستراتيجية </w:t>
      </w:r>
      <w:r>
        <w:rPr>
          <w:rFonts w:ascii="Arial" w:hAnsi="Arial"/>
        </w:rPr>
        <w:t>من خلال مناقشات أولية مع أطراف مختلفة من السلطة الفلسطينية، وممثلين من القطاع الخاص والمجتمع المدني، ومع شركاء التنمية.</w:t>
      </w:r>
      <w:r w:rsidR="00022F13">
        <w:rPr>
          <w:rFonts w:ascii="Arial" w:hAnsi="Arial"/>
        </w:rPr>
        <w:t xml:space="preserve"> </w:t>
      </w:r>
    </w:p>
    <w:p w14:paraId="529C356D" w14:textId="77777777" w:rsidR="008017BB" w:rsidRDefault="008017BB" w:rsidP="008017BB">
      <w:pPr>
        <w:spacing w:after="0" w:line="240" w:lineRule="auto"/>
        <w:rPr>
          <w:rFonts w:ascii="Times New Roman" w:eastAsia="Calibri" w:hAnsi="Times New Roman" w:cs="Times New Roman"/>
          <w:b/>
          <w:bCs/>
          <w:u w:val="single"/>
        </w:rPr>
      </w:pPr>
    </w:p>
    <w:p w14:paraId="4DBA7EBF" w14:textId="77777777" w:rsidR="00D02E16" w:rsidRDefault="008017BB" w:rsidP="00463834">
      <w:pPr>
        <w:spacing w:after="0"/>
        <w:jc w:val="center"/>
        <w:rPr>
          <w:rFonts w:ascii="Arial" w:eastAsia="Arial" w:hAnsi="Arial" w:cs="Arial"/>
          <w:b/>
          <w:bCs/>
          <w:u w:val="single"/>
        </w:rPr>
      </w:pPr>
      <w:r>
        <w:br w:type="page"/>
      </w:r>
      <w:r>
        <w:rPr>
          <w:rFonts w:ascii="Arial" w:hAnsi="Arial"/>
          <w:b/>
          <w:bCs/>
          <w:u w:val="single"/>
        </w:rPr>
        <w:lastRenderedPageBreak/>
        <w:t xml:space="preserve">الركيزة 1. تهيئة الظروف لزيادة استثمارات القطاع الخاص </w:t>
      </w:r>
      <w:r w:rsidRPr="00A53702">
        <w:rPr>
          <w:rFonts w:ascii="Arial" w:hAnsi="Arial"/>
          <w:b/>
          <w:bCs/>
          <w:u w:val="single"/>
        </w:rPr>
        <w:t>وخلق فرص عمل</w:t>
      </w:r>
    </w:p>
    <w:p w14:paraId="069D51A9" w14:textId="77777777" w:rsidR="000539D7" w:rsidRPr="00D2421A" w:rsidRDefault="000539D7" w:rsidP="00463834">
      <w:pPr>
        <w:spacing w:after="0" w:line="240" w:lineRule="auto"/>
        <w:jc w:val="center"/>
        <w:rPr>
          <w:rFonts w:ascii="Times New Roman" w:eastAsia="Calibri" w:hAnsi="Times New Roman" w:cs="Times New Roman"/>
          <w:b/>
          <w:bCs/>
          <w:u w:val="single"/>
        </w:rPr>
      </w:pPr>
    </w:p>
    <w:p w14:paraId="5C5285ED" w14:textId="77777777" w:rsidR="00F80D3F" w:rsidRPr="00F80D3F" w:rsidRDefault="4F88A954" w:rsidP="00463834">
      <w:pPr>
        <w:pStyle w:val="ListParagraph"/>
        <w:numPr>
          <w:ilvl w:val="0"/>
          <w:numId w:val="6"/>
        </w:numPr>
        <w:spacing w:after="0" w:line="240" w:lineRule="auto"/>
        <w:jc w:val="both"/>
        <w:rPr>
          <w:rFonts w:ascii="Arial" w:hAnsi="Arial" w:cs="Arial"/>
          <w:u w:val="single"/>
        </w:rPr>
      </w:pPr>
      <w:r>
        <w:rPr>
          <w:rFonts w:ascii="Arial" w:hAnsi="Arial"/>
          <w:b/>
          <w:bCs/>
        </w:rPr>
        <w:t>يتمثل الهدف الشامل في إطار الركيزة الأولى في تهيئة الظروف التي تساعد على زيادة نشاط القطاع الخاص وخلق فرص عمل، ويشمل ذلك من خلال الإصلاحات القطاعية وتعزيز المؤسسات.</w:t>
      </w:r>
      <w:r w:rsidR="00022F13">
        <w:rPr>
          <w:rFonts w:ascii="Arial" w:hAnsi="Arial"/>
          <w:b/>
          <w:bCs/>
        </w:rPr>
        <w:t xml:space="preserve"> </w:t>
      </w:r>
      <w:r>
        <w:rPr>
          <w:rFonts w:ascii="Arial" w:hAnsi="Arial"/>
        </w:rPr>
        <w:t xml:space="preserve">وتحقيقًا لهذه الغاية، ستعمل مجموعة البنك الدولي على تضافر الجهود والتعاون عبر 5 مجالات مشاركة: </w:t>
      </w:r>
    </w:p>
    <w:p w14:paraId="64E8C484" w14:textId="77777777" w:rsidR="00AD33A9" w:rsidRPr="002440F6" w:rsidRDefault="00730953" w:rsidP="4F88A954">
      <w:pPr>
        <w:pStyle w:val="ListParagraph"/>
        <w:spacing w:after="0" w:line="240" w:lineRule="auto"/>
        <w:ind w:left="0"/>
        <w:jc w:val="both"/>
        <w:rPr>
          <w:rFonts w:ascii="Arial" w:hAnsi="Arial" w:cs="Arial"/>
          <w:b/>
          <w:bCs/>
        </w:rPr>
      </w:pPr>
      <w:r>
        <w:rPr>
          <w:rFonts w:ascii="Arial" w:hAnsi="Arial"/>
        </w:rPr>
        <w:t>(1) إصلاح بيئة ممارسة الأعمال؛ (2) بناء المهارات</w:t>
      </w:r>
      <w:r w:rsidR="00022F13">
        <w:rPr>
          <w:rFonts w:ascii="Arial" w:hAnsi="Arial"/>
        </w:rPr>
        <w:t xml:space="preserve"> </w:t>
      </w:r>
      <w:r>
        <w:rPr>
          <w:rFonts w:ascii="Arial" w:hAnsi="Arial"/>
        </w:rPr>
        <w:t>اللازمة لتلبية احتياجات القطاع الخاص من سوق العمل؛ (3) تحسين التجارة وزيادة الروابط بالأسواق الإقليمية؛ (4) الإصلاحات القطاعية والمؤسسية لتشجيع الاستثمارات الخاصة في البنية التحتية؛ (5) إصلاحات القطاع المالي من أجل زيادة توفير سبل الوصول إلى التمويل والأسواق.</w:t>
      </w:r>
      <w:r w:rsidR="00022F13">
        <w:rPr>
          <w:rFonts w:ascii="Arial" w:hAnsi="Arial"/>
        </w:rPr>
        <w:t xml:space="preserve"> </w:t>
      </w:r>
    </w:p>
    <w:p w14:paraId="50C7D99D" w14:textId="77777777" w:rsidR="00F80D3F" w:rsidRPr="00F80D3F" w:rsidRDefault="00F80D3F" w:rsidP="002440F6">
      <w:pPr>
        <w:pStyle w:val="ListParagraph"/>
        <w:spacing w:after="0" w:line="240" w:lineRule="auto"/>
        <w:ind w:left="0"/>
        <w:jc w:val="both"/>
        <w:rPr>
          <w:rFonts w:ascii="Times New Roman" w:hAnsi="Times New Roman" w:cs="Times New Roman"/>
        </w:rPr>
      </w:pPr>
    </w:p>
    <w:p w14:paraId="1DF437D3" w14:textId="77777777" w:rsidR="006A6360" w:rsidRPr="00D445DA" w:rsidRDefault="006A6360" w:rsidP="4F88A954">
      <w:pPr>
        <w:spacing w:after="0" w:line="240" w:lineRule="auto"/>
        <w:contextualSpacing/>
        <w:jc w:val="center"/>
        <w:rPr>
          <w:rFonts w:ascii="Arial" w:hAnsi="Arial" w:cs="Arial"/>
        </w:rPr>
      </w:pPr>
      <w:bookmarkStart w:id="28" w:name="_Toc496110920"/>
      <w:r>
        <w:rPr>
          <w:rFonts w:ascii="Arial" w:hAnsi="Arial"/>
        </w:rPr>
        <w:t>الجدول</w:t>
      </w:r>
      <w:r w:rsidR="00022F13">
        <w:rPr>
          <w:rFonts w:ascii="Arial" w:hAnsi="Arial"/>
        </w:rPr>
        <w:t xml:space="preserve"> </w:t>
      </w:r>
      <w:r w:rsidR="00350F3E" w:rsidRPr="4F88A954">
        <w:fldChar w:fldCharType="begin"/>
      </w:r>
      <w:r w:rsidRPr="00D445DA">
        <w:rPr>
          <w:rFonts w:ascii="Times New Roman" w:hAnsi="Times New Roman" w:cs="Times New Roman"/>
        </w:rPr>
        <w:instrText xml:space="preserve"> SEQ Table \* ARABIC </w:instrText>
      </w:r>
      <w:r w:rsidR="00350F3E" w:rsidRPr="4F88A954">
        <w:rPr>
          <w:rFonts w:ascii="Times New Roman" w:hAnsi="Times New Roman" w:cs="Times New Roman"/>
        </w:rPr>
        <w:fldChar w:fldCharType="separate"/>
      </w:r>
      <w:r w:rsidR="00C42B2C">
        <w:rPr>
          <w:rFonts w:ascii="Times New Roman" w:hAnsi="Times New Roman" w:cs="Times New Roman"/>
          <w:noProof/>
        </w:rPr>
        <w:t>1</w:t>
      </w:r>
      <w:r w:rsidR="00350F3E" w:rsidRPr="4F88A954">
        <w:fldChar w:fldCharType="end"/>
      </w:r>
      <w:r>
        <w:rPr>
          <w:rFonts w:ascii="Arial" w:hAnsi="Arial"/>
        </w:rPr>
        <w:t>. الركيزة الأولى النواتج ومجالات المشاركة</w:t>
      </w:r>
      <w:bookmarkEnd w:id="28"/>
      <w:r>
        <w:rPr>
          <w:rFonts w:ascii="Arial" w:hAnsi="Arial"/>
        </w:rPr>
        <w:t xml:space="preserve"> </w:t>
      </w:r>
    </w:p>
    <w:tbl>
      <w:tblPr>
        <w:tblStyle w:val="TableGrid"/>
        <w:bidiVisual/>
        <w:tblW w:w="0" w:type="auto"/>
        <w:jc w:val="center"/>
        <w:tblLook w:val="04A0" w:firstRow="1" w:lastRow="0" w:firstColumn="1" w:lastColumn="0" w:noHBand="0" w:noVBand="1"/>
      </w:tblPr>
      <w:tblGrid>
        <w:gridCol w:w="1615"/>
        <w:gridCol w:w="7650"/>
      </w:tblGrid>
      <w:tr w:rsidR="006A6360" w:rsidRPr="00FF3C01" w14:paraId="73696E3F" w14:textId="77777777">
        <w:trPr>
          <w:jc w:val="center"/>
        </w:trPr>
        <w:tc>
          <w:tcPr>
            <w:tcW w:w="1615" w:type="dxa"/>
          </w:tcPr>
          <w:p w14:paraId="3D0E60AF" w14:textId="77777777" w:rsidR="006A6360" w:rsidRPr="00FF3C01" w:rsidRDefault="4F88A954" w:rsidP="4F88A954">
            <w:pPr>
              <w:rPr>
                <w:rFonts w:ascii="Arial" w:eastAsia="Arial" w:hAnsi="Arial" w:cs="Arial"/>
              </w:rPr>
            </w:pPr>
            <w:r>
              <w:rPr>
                <w:rFonts w:ascii="Arial" w:hAnsi="Arial"/>
                <w:b/>
                <w:bCs/>
              </w:rPr>
              <w:t>النواتج المقترحة</w:t>
            </w:r>
          </w:p>
        </w:tc>
        <w:tc>
          <w:tcPr>
            <w:tcW w:w="7650" w:type="dxa"/>
            <w:vAlign w:val="center"/>
          </w:tcPr>
          <w:p w14:paraId="6B9FFAE7" w14:textId="77777777" w:rsidR="006A6360" w:rsidRPr="00FF3C01" w:rsidRDefault="4F88A954" w:rsidP="4F88A954">
            <w:pPr>
              <w:rPr>
                <w:rFonts w:ascii="Arial" w:eastAsia="Arial" w:hAnsi="Arial" w:cs="Arial"/>
                <w:b/>
                <w:bCs/>
              </w:rPr>
            </w:pPr>
            <w:r>
              <w:rPr>
                <w:rFonts w:ascii="Arial" w:hAnsi="Arial"/>
                <w:b/>
                <w:bCs/>
              </w:rPr>
              <w:t xml:space="preserve">زيادة استثمارات القطاع الخاص وفرص العمل نتيجة الإصلاحات الأولية </w:t>
            </w:r>
          </w:p>
        </w:tc>
      </w:tr>
      <w:tr w:rsidR="006A6360" w:rsidRPr="00FF3C01" w14:paraId="5E7D82C9" w14:textId="77777777">
        <w:trPr>
          <w:jc w:val="center"/>
        </w:trPr>
        <w:tc>
          <w:tcPr>
            <w:tcW w:w="1615" w:type="dxa"/>
            <w:vMerge w:val="restart"/>
          </w:tcPr>
          <w:p w14:paraId="2EB74A51" w14:textId="77777777" w:rsidR="006A6360" w:rsidRPr="00FF3C01" w:rsidRDefault="006A6360" w:rsidP="0080119B">
            <w:pPr>
              <w:rPr>
                <w:rFonts w:ascii="Times New Roman" w:eastAsia="Calibri" w:hAnsi="Times New Roman" w:cs="Times New Roman"/>
                <w:bCs/>
              </w:rPr>
            </w:pPr>
          </w:p>
        </w:tc>
        <w:tc>
          <w:tcPr>
            <w:tcW w:w="7650" w:type="dxa"/>
          </w:tcPr>
          <w:p w14:paraId="48AAE0C3" w14:textId="77777777" w:rsidR="006A6360" w:rsidRPr="00604216" w:rsidRDefault="4F88A954" w:rsidP="4F88A954">
            <w:pPr>
              <w:rPr>
                <w:rFonts w:ascii="Arial" w:eastAsia="Arial" w:hAnsi="Arial" w:cs="Arial"/>
              </w:rPr>
            </w:pPr>
            <w:r>
              <w:rPr>
                <w:rFonts w:ascii="Arial" w:hAnsi="Arial"/>
              </w:rPr>
              <w:t>1. إصلاح بيئة الأعمال</w:t>
            </w:r>
          </w:p>
        </w:tc>
      </w:tr>
      <w:tr w:rsidR="006A6360" w:rsidRPr="00FF3C01" w14:paraId="22B9C498" w14:textId="77777777">
        <w:trPr>
          <w:jc w:val="center"/>
        </w:trPr>
        <w:tc>
          <w:tcPr>
            <w:tcW w:w="1615" w:type="dxa"/>
            <w:vMerge/>
          </w:tcPr>
          <w:p w14:paraId="100F5315" w14:textId="77777777" w:rsidR="006A6360" w:rsidRPr="00FF3C01" w:rsidRDefault="006A6360" w:rsidP="0080119B">
            <w:pPr>
              <w:rPr>
                <w:rFonts w:ascii="Times New Roman" w:eastAsia="Calibri" w:hAnsi="Times New Roman" w:cs="Times New Roman"/>
                <w:bCs/>
              </w:rPr>
            </w:pPr>
          </w:p>
        </w:tc>
        <w:tc>
          <w:tcPr>
            <w:tcW w:w="7650" w:type="dxa"/>
          </w:tcPr>
          <w:p w14:paraId="36F2FBFC" w14:textId="77777777" w:rsidR="006A6360" w:rsidRPr="00FF3C01" w:rsidRDefault="4F88A954" w:rsidP="4F88A954">
            <w:pPr>
              <w:rPr>
                <w:rFonts w:ascii="Arial" w:eastAsia="Arial" w:hAnsi="Arial" w:cs="Arial"/>
              </w:rPr>
            </w:pPr>
            <w:r>
              <w:rPr>
                <w:rFonts w:ascii="Arial" w:hAnsi="Arial"/>
              </w:rPr>
              <w:t>2.</w:t>
            </w:r>
            <w:r w:rsidR="00022F13">
              <w:rPr>
                <w:rFonts w:ascii="Arial" w:hAnsi="Arial"/>
              </w:rPr>
              <w:t xml:space="preserve"> </w:t>
            </w:r>
            <w:r>
              <w:rPr>
                <w:rFonts w:ascii="Arial" w:hAnsi="Arial"/>
              </w:rPr>
              <w:t>بناء المهارات</w:t>
            </w:r>
            <w:r w:rsidR="00022F13">
              <w:rPr>
                <w:rFonts w:ascii="Arial" w:hAnsi="Arial"/>
              </w:rPr>
              <w:t xml:space="preserve"> </w:t>
            </w:r>
            <w:r>
              <w:rPr>
                <w:rFonts w:ascii="Arial" w:hAnsi="Arial"/>
              </w:rPr>
              <w:t>اللازمة لتلبية احتياجات القطاع الخاص من سوق العمل</w:t>
            </w:r>
          </w:p>
        </w:tc>
      </w:tr>
      <w:tr w:rsidR="006A6360" w:rsidRPr="00FF3C01" w14:paraId="6E13FC72" w14:textId="77777777">
        <w:trPr>
          <w:jc w:val="center"/>
        </w:trPr>
        <w:tc>
          <w:tcPr>
            <w:tcW w:w="1615" w:type="dxa"/>
            <w:vMerge/>
          </w:tcPr>
          <w:p w14:paraId="4BB7D116" w14:textId="77777777" w:rsidR="006A6360" w:rsidRPr="00FF3C01" w:rsidRDefault="006A6360" w:rsidP="0080119B">
            <w:pPr>
              <w:rPr>
                <w:rFonts w:ascii="Times New Roman" w:eastAsia="Calibri" w:hAnsi="Times New Roman" w:cs="Times New Roman"/>
                <w:bCs/>
              </w:rPr>
            </w:pPr>
          </w:p>
        </w:tc>
        <w:tc>
          <w:tcPr>
            <w:tcW w:w="7650" w:type="dxa"/>
          </w:tcPr>
          <w:p w14:paraId="65DD18F9" w14:textId="77777777" w:rsidR="006A6360" w:rsidRDefault="4F88A954" w:rsidP="4F88A954">
            <w:pPr>
              <w:rPr>
                <w:rFonts w:eastAsia="Arial" w:cs="Arial"/>
              </w:rPr>
            </w:pPr>
            <w:r>
              <w:rPr>
                <w:rFonts w:ascii="Arial" w:hAnsi="Arial"/>
              </w:rPr>
              <w:t>3. تحسين التجارة وزيادة الروابط بالأسواق الإقليمية</w:t>
            </w:r>
          </w:p>
        </w:tc>
      </w:tr>
      <w:tr w:rsidR="006A6360" w:rsidRPr="00FF3C01" w14:paraId="190C3DB9" w14:textId="77777777">
        <w:trPr>
          <w:jc w:val="center"/>
        </w:trPr>
        <w:tc>
          <w:tcPr>
            <w:tcW w:w="1615" w:type="dxa"/>
            <w:vMerge/>
          </w:tcPr>
          <w:p w14:paraId="0FC88226" w14:textId="77777777" w:rsidR="006A6360" w:rsidRPr="00FF3C01" w:rsidRDefault="006A6360" w:rsidP="0080119B">
            <w:pPr>
              <w:rPr>
                <w:rFonts w:ascii="Times New Roman" w:eastAsia="Calibri" w:hAnsi="Times New Roman" w:cs="Times New Roman"/>
                <w:bCs/>
              </w:rPr>
            </w:pPr>
          </w:p>
        </w:tc>
        <w:tc>
          <w:tcPr>
            <w:tcW w:w="7650" w:type="dxa"/>
          </w:tcPr>
          <w:p w14:paraId="1A35B277" w14:textId="77777777" w:rsidR="006A6360" w:rsidRPr="00FF3C01" w:rsidRDefault="4F88A954" w:rsidP="4F88A954">
            <w:pPr>
              <w:rPr>
                <w:rFonts w:ascii="Arial" w:eastAsia="Arial" w:hAnsi="Arial" w:cs="Arial"/>
              </w:rPr>
            </w:pPr>
            <w:r>
              <w:rPr>
                <w:rFonts w:ascii="Arial" w:hAnsi="Arial"/>
              </w:rPr>
              <w:t xml:space="preserve">4. الإصلاحات القطاعية والمؤسسية لتشجيع الاستثمارات الخاصة في البنية التحتية </w:t>
            </w:r>
          </w:p>
        </w:tc>
      </w:tr>
      <w:tr w:rsidR="006A6360" w:rsidRPr="00FF3C01" w14:paraId="0708AEF2" w14:textId="77777777">
        <w:trPr>
          <w:jc w:val="center"/>
        </w:trPr>
        <w:tc>
          <w:tcPr>
            <w:tcW w:w="1615" w:type="dxa"/>
            <w:vMerge/>
          </w:tcPr>
          <w:p w14:paraId="05A8A86B" w14:textId="77777777" w:rsidR="006A6360" w:rsidRPr="00FF3C01" w:rsidRDefault="006A6360" w:rsidP="0080119B">
            <w:pPr>
              <w:rPr>
                <w:rFonts w:ascii="Times New Roman" w:eastAsia="Calibri" w:hAnsi="Times New Roman" w:cs="Times New Roman"/>
                <w:bCs/>
              </w:rPr>
            </w:pPr>
          </w:p>
        </w:tc>
        <w:tc>
          <w:tcPr>
            <w:tcW w:w="7650" w:type="dxa"/>
          </w:tcPr>
          <w:p w14:paraId="3251CBEA" w14:textId="77777777" w:rsidR="006A6360" w:rsidRDefault="4F88A954" w:rsidP="4F88A954">
            <w:pPr>
              <w:rPr>
                <w:rFonts w:ascii="Arial" w:eastAsia="Arial" w:hAnsi="Arial" w:cs="Arial"/>
              </w:rPr>
            </w:pPr>
            <w:r>
              <w:rPr>
                <w:rFonts w:ascii="Arial" w:hAnsi="Arial"/>
              </w:rPr>
              <w:t>5. إصلاحات القطاع المالي من أجل زيادة توفير سبل الوصول إلى التمويل والأسواق</w:t>
            </w:r>
          </w:p>
        </w:tc>
      </w:tr>
    </w:tbl>
    <w:p w14:paraId="732C32B5" w14:textId="77777777" w:rsidR="00C12463" w:rsidRDefault="00C12463" w:rsidP="4F88A954">
      <w:pPr>
        <w:pStyle w:val="ListParagraph"/>
        <w:spacing w:after="0" w:line="240" w:lineRule="auto"/>
        <w:ind w:left="0"/>
        <w:jc w:val="center"/>
        <w:rPr>
          <w:rFonts w:ascii="Times New Roman" w:eastAsia="Cambria" w:hAnsi="Times New Roman" w:cs="Times New Roman"/>
          <w:u w:val="single"/>
        </w:rPr>
      </w:pPr>
    </w:p>
    <w:p w14:paraId="01A23DD2" w14:textId="77777777" w:rsidR="00162A99" w:rsidRPr="00C302A0" w:rsidRDefault="4F88A954" w:rsidP="00206B35">
      <w:pPr>
        <w:pStyle w:val="ListParagraph"/>
        <w:numPr>
          <w:ilvl w:val="0"/>
          <w:numId w:val="25"/>
        </w:numPr>
        <w:spacing w:after="0" w:line="240" w:lineRule="auto"/>
        <w:jc w:val="center"/>
        <w:rPr>
          <w:rFonts w:ascii="Arial" w:eastAsia="Arial" w:hAnsi="Arial" w:cs="Arial"/>
          <w:b/>
          <w:bCs/>
          <w:u w:val="single"/>
        </w:rPr>
      </w:pPr>
      <w:r w:rsidRPr="00C302A0">
        <w:rPr>
          <w:rFonts w:ascii="Arial" w:hAnsi="Arial"/>
          <w:b/>
          <w:bCs/>
          <w:u w:val="single"/>
        </w:rPr>
        <w:t>إصلاح بيئة الأعمال</w:t>
      </w:r>
    </w:p>
    <w:p w14:paraId="482A62B4" w14:textId="77777777" w:rsidR="00C70AC6" w:rsidRPr="00593DF6" w:rsidRDefault="4F88A954" w:rsidP="00A53702">
      <w:pPr>
        <w:pStyle w:val="ListParagraph"/>
        <w:numPr>
          <w:ilvl w:val="0"/>
          <w:numId w:val="6"/>
        </w:numPr>
        <w:spacing w:after="0" w:line="240" w:lineRule="auto"/>
        <w:jc w:val="both"/>
        <w:rPr>
          <w:rFonts w:ascii="Arial" w:eastAsia="Arial" w:hAnsi="Arial" w:cs="Arial"/>
          <w:i/>
          <w:iCs/>
        </w:rPr>
      </w:pPr>
      <w:r>
        <w:rPr>
          <w:rFonts w:ascii="Arial" w:hAnsi="Arial"/>
        </w:rPr>
        <w:t>تؤدي السياسات واللوائح المكبلة إلى خنق مؤسسات الأعمال وروح الابتكار.</w:t>
      </w:r>
      <w:r w:rsidR="00022F13">
        <w:rPr>
          <w:rFonts w:ascii="Arial" w:hAnsi="Arial"/>
        </w:rPr>
        <w:t xml:space="preserve"> </w:t>
      </w:r>
      <w:r>
        <w:rPr>
          <w:rFonts w:ascii="Arial" w:hAnsi="Arial"/>
        </w:rPr>
        <w:t xml:space="preserve">ومن الممكن أن تساعد الإصلاحات الحاسمة </w:t>
      </w:r>
      <w:r w:rsidR="00A53702">
        <w:rPr>
          <w:rFonts w:ascii="Arial" w:hAnsi="Arial"/>
        </w:rPr>
        <w:t>وال</w:t>
      </w:r>
      <w:r w:rsidR="00A53702">
        <w:rPr>
          <w:rFonts w:ascii="Arial" w:hAnsi="Arial" w:hint="cs"/>
        </w:rPr>
        <w:t>إ</w:t>
      </w:r>
      <w:r w:rsidR="00A53702">
        <w:rPr>
          <w:rFonts w:ascii="Arial" w:hAnsi="Arial"/>
        </w:rPr>
        <w:t xml:space="preserve">ستراتيجية </w:t>
      </w:r>
      <w:r>
        <w:rPr>
          <w:rFonts w:ascii="Arial" w:hAnsi="Arial"/>
        </w:rPr>
        <w:t xml:space="preserve">في تحسين البيئة الداعمة للمستثمرين ورواد الأعمال (أصحاب مشروعات العمل الحر). </w:t>
      </w:r>
    </w:p>
    <w:p w14:paraId="1D195CD3" w14:textId="77777777" w:rsidR="00C70AC6" w:rsidRPr="00E96751" w:rsidRDefault="00C70AC6" w:rsidP="00C70AC6">
      <w:pPr>
        <w:spacing w:after="0" w:line="240" w:lineRule="auto"/>
        <w:jc w:val="both"/>
        <w:rPr>
          <w:rFonts w:ascii="Times New Roman" w:eastAsia="Cambria" w:hAnsi="Times New Roman" w:cs="Times New Roman"/>
          <w:i/>
          <w:iCs/>
        </w:rPr>
      </w:pPr>
    </w:p>
    <w:p w14:paraId="710AC9E4" w14:textId="77777777" w:rsidR="003C7674" w:rsidRPr="00F06BF0" w:rsidRDefault="4F88A954" w:rsidP="006D01A8">
      <w:pPr>
        <w:pStyle w:val="ListParagraph"/>
        <w:numPr>
          <w:ilvl w:val="0"/>
          <w:numId w:val="6"/>
        </w:numPr>
        <w:spacing w:after="0" w:line="240" w:lineRule="auto"/>
        <w:jc w:val="both"/>
        <w:rPr>
          <w:rFonts w:ascii="Arial" w:eastAsia="Arial" w:hAnsi="Arial" w:cs="Arial"/>
        </w:rPr>
      </w:pPr>
      <w:r>
        <w:rPr>
          <w:rFonts w:ascii="Arial" w:hAnsi="Arial"/>
          <w:b/>
          <w:bCs/>
        </w:rPr>
        <w:t>سيتم العمل على تحسين بيئة الأعمال من خلال التمويل والاستثمارات والمساعدة الفنية المقدمة من البنك الدولي والخدمات الاستشارية المقدمة من مؤسسة التمويل الدولية.</w:t>
      </w:r>
      <w:r w:rsidR="00022F13">
        <w:rPr>
          <w:rFonts w:ascii="Arial" w:hAnsi="Arial"/>
          <w:b/>
          <w:bCs/>
        </w:rPr>
        <w:t xml:space="preserve"> </w:t>
      </w:r>
      <w:r>
        <w:rPr>
          <w:rFonts w:ascii="Arial" w:hAnsi="Arial"/>
        </w:rPr>
        <w:t xml:space="preserve">ومن خلال </w:t>
      </w:r>
      <w:r>
        <w:rPr>
          <w:rFonts w:ascii="Arial" w:hAnsi="Arial"/>
          <w:i/>
          <w:iCs/>
        </w:rPr>
        <w:t>منحة السياسات المقترحة لتحقيق استقرار المالية العامة وتهيئة بيئة أنشطة الأعمال</w:t>
      </w:r>
      <w:r>
        <w:rPr>
          <w:rFonts w:ascii="Arial" w:hAnsi="Arial"/>
        </w:rPr>
        <w:t xml:space="preserve"> (بقيمة 30 مليون دولار)، سيساعد البنك الدولي وزارة الاقتصاد الوطني في إنشاء وتنفيذ سجل الأصول المنقولة، كما سيساعد وزارة الصحة ووزارة الاقتصاد الوطني في تعديل قانون الحرف والصناعات لسنة 1953 الذي سيعمل على تحديث وتحسين نظام تراخيص أنشطة الأعمال والشركات.</w:t>
      </w:r>
      <w:r w:rsidR="00022F13">
        <w:rPr>
          <w:rFonts w:ascii="Arial" w:hAnsi="Arial"/>
        </w:rPr>
        <w:t xml:space="preserve"> </w:t>
      </w:r>
      <w:r>
        <w:rPr>
          <w:rFonts w:ascii="Arial" w:hAnsi="Arial"/>
        </w:rPr>
        <w:t xml:space="preserve">ويقدم مشروع التنمية الحضرية والمدن المتكاملة الذي يجري تنفيذه (بقيمة 5 ملايين دولار) مساعدة من أجل التخطيط </w:t>
      </w:r>
      <w:r w:rsidR="006D01A8">
        <w:rPr>
          <w:rFonts w:ascii="Arial" w:hAnsi="Arial"/>
        </w:rPr>
        <w:t>ال</w:t>
      </w:r>
      <w:r w:rsidR="006D01A8">
        <w:rPr>
          <w:rFonts w:ascii="Arial" w:hAnsi="Arial" w:hint="cs"/>
        </w:rPr>
        <w:t>إ</w:t>
      </w:r>
      <w:r w:rsidR="006D01A8">
        <w:rPr>
          <w:rFonts w:ascii="Arial" w:hAnsi="Arial"/>
        </w:rPr>
        <w:t xml:space="preserve">ستراتيجي </w:t>
      </w:r>
      <w:r>
        <w:rPr>
          <w:rFonts w:ascii="Arial" w:hAnsi="Arial"/>
        </w:rPr>
        <w:t>بهدف تشجيع تنمية وتطوير القطاع الخاص في التجمعات الحضرية التي تضم الخليل ونابس وبيت لحم ورام الله ومدينة غزة.</w:t>
      </w:r>
      <w:r>
        <w:t xml:space="preserve"> </w:t>
      </w:r>
      <w:r>
        <w:rPr>
          <w:rFonts w:ascii="Arial" w:hAnsi="Arial"/>
        </w:rPr>
        <w:t>واعتمادًا على المساعدة الفنية المقدمة من البنك الدولي لإصلاح بيئة الأعمال، سيعمل</w:t>
      </w:r>
      <w:r>
        <w:rPr>
          <w:rFonts w:ascii="Arial" w:hAnsi="Arial"/>
          <w:i/>
          <w:iCs/>
        </w:rPr>
        <w:t xml:space="preserve"> المشروع المبتكر المقترح لتطوير القطاع الخاص</w:t>
      </w:r>
      <w:r>
        <w:rPr>
          <w:rFonts w:ascii="Arial" w:hAnsi="Arial"/>
        </w:rPr>
        <w:t xml:space="preserve"> على استهداف إصلاحات نظام تصاريح البناء وتراخيص أنشطة الأعمال في الضفة الغربية و</w:t>
      </w:r>
      <w:r w:rsidR="006D01A8">
        <w:rPr>
          <w:rFonts w:ascii="Arial" w:hAnsi="Arial" w:hint="cs"/>
        </w:rPr>
        <w:t xml:space="preserve">قطاع </w:t>
      </w:r>
      <w:r>
        <w:rPr>
          <w:rFonts w:ascii="Arial" w:hAnsi="Arial"/>
        </w:rPr>
        <w:t>غزة من خلال العملية</w:t>
      </w:r>
      <w:r w:rsidR="006D01A8">
        <w:rPr>
          <w:rFonts w:ascii="Arial" w:hAnsi="Arial" w:hint="cs"/>
        </w:rPr>
        <w:t xml:space="preserve"> نفسها</w:t>
      </w:r>
      <w:r>
        <w:rPr>
          <w:rFonts w:ascii="Arial" w:hAnsi="Arial"/>
        </w:rPr>
        <w:t>، كما سيشارك البنك الدولي في الأنشطة التشخيصية الجديدة التي تُقيّم بصورة صارمة قضايا ومشكلات وصول المنشآت الصغرى والصغيرة والمتوسطة إلى التمويل، وتحدد آثار السيولة والقدرات الفنية للقطاع المالي وعدم اليقين بشأن القيود السياسية وانقطاع الكهرباء والبيئة التنظيمية والمنافسة غير العادلة (على سبيل المثال، الإجراءات التعسفية والاستحواذ</w:t>
      </w:r>
      <w:r w:rsidR="00904EB1">
        <w:rPr>
          <w:rFonts w:ascii="Arial" w:hAnsi="Arial" w:hint="cs"/>
        </w:rPr>
        <w:t>/السيطرة</w:t>
      </w:r>
      <w:r>
        <w:rPr>
          <w:rFonts w:ascii="Arial" w:hAnsi="Arial"/>
        </w:rPr>
        <w:t>) على المنشآت الصغرى والصغيرة والمتوسطة. كما ستعمل المساعدة الفنية المقدمة من البنك الدولي على تقديم يد العون للسلطة الفلسطينية لتحديد تكاليف نظام التسجيل الحالي للأراضي والفرص المتأتية من إصلاح قطاع إدارة الأراضي.</w:t>
      </w:r>
      <w:r w:rsidR="00022F13">
        <w:rPr>
          <w:rFonts w:ascii="Arial" w:hAnsi="Arial"/>
        </w:rPr>
        <w:t xml:space="preserve"> </w:t>
      </w:r>
    </w:p>
    <w:p w14:paraId="45F0155B" w14:textId="77777777" w:rsidR="003C7674" w:rsidRDefault="003C7674" w:rsidP="003C7674">
      <w:pPr>
        <w:spacing w:after="0" w:line="240" w:lineRule="auto"/>
        <w:jc w:val="both"/>
        <w:rPr>
          <w:rFonts w:ascii="Times New Roman" w:eastAsia="Times New Roman" w:hAnsi="Times New Roman" w:cs="Times New Roman"/>
        </w:rPr>
      </w:pPr>
    </w:p>
    <w:p w14:paraId="267022B2" w14:textId="77777777" w:rsidR="00DF3BC8" w:rsidRPr="00904EB1" w:rsidRDefault="4F88A954" w:rsidP="4F88A954">
      <w:pPr>
        <w:pStyle w:val="ListParagraph"/>
        <w:spacing w:after="0"/>
        <w:jc w:val="center"/>
        <w:rPr>
          <w:rFonts w:ascii="Arial" w:hAnsi="Arial" w:cs="Arial"/>
          <w:b/>
          <w:bCs/>
          <w:u w:val="single"/>
        </w:rPr>
      </w:pPr>
      <w:r w:rsidRPr="00904EB1">
        <w:rPr>
          <w:rFonts w:ascii="Arial" w:hAnsi="Arial"/>
          <w:b/>
          <w:bCs/>
        </w:rPr>
        <w:t>2.</w:t>
      </w:r>
      <w:r w:rsidR="00022F13" w:rsidRPr="00904EB1">
        <w:rPr>
          <w:rFonts w:ascii="Arial" w:hAnsi="Arial"/>
          <w:b/>
          <w:bCs/>
        </w:rPr>
        <w:t xml:space="preserve"> </w:t>
      </w:r>
      <w:r w:rsidRPr="00904EB1">
        <w:rPr>
          <w:rFonts w:ascii="Arial" w:hAnsi="Arial"/>
          <w:b/>
          <w:bCs/>
          <w:u w:val="single"/>
        </w:rPr>
        <w:t>بناء المهارات</w:t>
      </w:r>
      <w:r w:rsidR="00022F13" w:rsidRPr="00904EB1">
        <w:rPr>
          <w:rFonts w:ascii="Arial" w:hAnsi="Arial"/>
          <w:b/>
          <w:bCs/>
          <w:u w:val="single"/>
        </w:rPr>
        <w:t xml:space="preserve"> </w:t>
      </w:r>
      <w:r w:rsidRPr="00904EB1">
        <w:rPr>
          <w:rFonts w:ascii="Arial" w:hAnsi="Arial"/>
          <w:b/>
          <w:bCs/>
          <w:u w:val="single"/>
        </w:rPr>
        <w:t>اللازمة لتلبية احتياجات القطاع الخاص من سوق العمل</w:t>
      </w:r>
    </w:p>
    <w:p w14:paraId="36EFC9F3" w14:textId="77777777" w:rsidR="00DF3BC8" w:rsidRPr="00F06BF0" w:rsidRDefault="4F88A954" w:rsidP="00BF4BE3">
      <w:pPr>
        <w:pStyle w:val="ListParagraph"/>
        <w:numPr>
          <w:ilvl w:val="0"/>
          <w:numId w:val="6"/>
        </w:numPr>
        <w:spacing w:after="0" w:line="240" w:lineRule="auto"/>
        <w:jc w:val="both"/>
        <w:rPr>
          <w:rFonts w:ascii="Arial" w:eastAsia="Arial" w:hAnsi="Arial" w:cs="Arial"/>
          <w:u w:val="single"/>
        </w:rPr>
      </w:pPr>
      <w:r>
        <w:rPr>
          <w:rFonts w:ascii="Arial" w:hAnsi="Arial"/>
        </w:rPr>
        <w:t xml:space="preserve"> لا يقدم نظام التعليم الحالي التدريب الذي تحتاجه الشركات، وهو سبب رئيسي في ارتفاع معدلات البطالة بين النساء والشباب المتعلمين.</w:t>
      </w:r>
      <w:r w:rsidR="00022F13">
        <w:rPr>
          <w:rFonts w:ascii="Arial" w:hAnsi="Arial"/>
        </w:rPr>
        <w:t xml:space="preserve"> </w:t>
      </w:r>
      <w:r>
        <w:rPr>
          <w:rFonts w:ascii="Arial" w:hAnsi="Arial"/>
        </w:rPr>
        <w:t>وهناك فروق ملحوظة خاصة بنوع الجنس في المشاركة في سوق العمل حتى على الرغم من أن أداء الإناث يتفوق على أداء الذكور في النواتج التعليمية.</w:t>
      </w:r>
      <w:r w:rsidR="00022F13">
        <w:rPr>
          <w:rFonts w:ascii="Arial" w:hAnsi="Arial"/>
        </w:rPr>
        <w:t xml:space="preserve"> </w:t>
      </w:r>
    </w:p>
    <w:p w14:paraId="28234D77" w14:textId="77777777" w:rsidR="00DF3BC8" w:rsidRDefault="00DF3BC8" w:rsidP="00604216">
      <w:pPr>
        <w:spacing w:after="0" w:line="240" w:lineRule="auto"/>
        <w:jc w:val="both"/>
        <w:rPr>
          <w:rFonts w:ascii="Times New Roman" w:hAnsi="Times New Roman" w:cs="Times New Roman"/>
          <w:b/>
        </w:rPr>
      </w:pPr>
    </w:p>
    <w:p w14:paraId="6D5F8E11" w14:textId="77777777" w:rsidR="00AF1659" w:rsidRPr="003B0016" w:rsidRDefault="4F88A954" w:rsidP="00BF4BE3">
      <w:pPr>
        <w:pStyle w:val="ListParagraph"/>
        <w:numPr>
          <w:ilvl w:val="0"/>
          <w:numId w:val="6"/>
        </w:numPr>
        <w:spacing w:after="0" w:line="240" w:lineRule="auto"/>
        <w:jc w:val="both"/>
        <w:rPr>
          <w:rFonts w:ascii="Arial" w:hAnsi="Arial" w:cs="Arial"/>
        </w:rPr>
      </w:pPr>
      <w:r>
        <w:rPr>
          <w:rFonts w:ascii="Arial" w:hAnsi="Arial"/>
          <w:b/>
          <w:bCs/>
        </w:rPr>
        <w:t>سيوسع البنك الدولي من نطاق مساندته للسلطة الفلسطينية في تطوير وتنمية قوة العمل الفلسطينية لتلبية احتياجات القطاع الخاص.</w:t>
      </w:r>
      <w:r w:rsidR="00022F13">
        <w:rPr>
          <w:rFonts w:ascii="Arial" w:hAnsi="Arial"/>
          <w:b/>
          <w:bCs/>
        </w:rPr>
        <w:t xml:space="preserve"> </w:t>
      </w:r>
      <w:r>
        <w:rPr>
          <w:rFonts w:ascii="Arial" w:hAnsi="Arial"/>
        </w:rPr>
        <w:t xml:space="preserve">وتقوم </w:t>
      </w:r>
      <w:r>
        <w:rPr>
          <w:rFonts w:ascii="Arial" w:hAnsi="Arial"/>
          <w:i/>
          <w:iCs/>
        </w:rPr>
        <w:t>سلسلة مشروعات البنك الدولي الخاصة بالتمويل لإيجاد فرص</w:t>
      </w:r>
      <w:r>
        <w:rPr>
          <w:rFonts w:ascii="Arial" w:hAnsi="Arial"/>
        </w:rPr>
        <w:t xml:space="preserve"> </w:t>
      </w:r>
      <w:r>
        <w:rPr>
          <w:rFonts w:ascii="Arial" w:hAnsi="Arial"/>
          <w:i/>
          <w:iCs/>
        </w:rPr>
        <w:t>عمل</w:t>
      </w:r>
      <w:r>
        <w:rPr>
          <w:rFonts w:ascii="Arial" w:hAnsi="Arial"/>
        </w:rPr>
        <w:t xml:space="preserve"> في الوقت الحالي بتجربة سندات التأثير الإنمائي لحفز استثمارات القطاع الخاص من أجل تعزيز مهارات قوة العمل بهدف تحسين نواتج التوظيف ــ ليس فقط من حيث زيادة الوظائف، ولكن أيضًا من حيث زيادة جودة واستدامة هذه الوظائف.</w:t>
      </w:r>
      <w:r w:rsidR="00022F13">
        <w:rPr>
          <w:rFonts w:ascii="Arial" w:hAnsi="Arial"/>
        </w:rPr>
        <w:t xml:space="preserve"> </w:t>
      </w:r>
      <w:r>
        <w:rPr>
          <w:rFonts w:ascii="Arial" w:hAnsi="Arial"/>
        </w:rPr>
        <w:t xml:space="preserve">وستمول مجموعة البنك الدولي والسلطة الفلسطينية ــ باعتبارها معنية بتحقيق نتائج ــ هذه السندات، وستقوم برد ما دفعه مستثمرو القطاع الخاص من استثمارات مضافًا إليه عائد على هذه الاستثمارات في حالة تحقيق النواتج الإنمائية المحددة للشباب المستهدفين البالغ عددهم 2000 شاب (في الشريحة العمرية 18 - 29 سنة) المسجلين في برنامج التدريب. </w:t>
      </w:r>
    </w:p>
    <w:p w14:paraId="05DA1917" w14:textId="77777777" w:rsidR="00C57FFC" w:rsidRPr="00F06BF0" w:rsidRDefault="00C57FFC" w:rsidP="00C57FFC">
      <w:pPr>
        <w:pStyle w:val="ListParagraph"/>
        <w:spacing w:after="0" w:line="240" w:lineRule="auto"/>
        <w:ind w:left="0"/>
        <w:jc w:val="both"/>
        <w:rPr>
          <w:rFonts w:ascii="Times New Roman" w:hAnsi="Times New Roman" w:cs="Times New Roman"/>
        </w:rPr>
      </w:pPr>
    </w:p>
    <w:p w14:paraId="1B014506" w14:textId="77777777" w:rsidR="004B4216" w:rsidRPr="00E47538" w:rsidRDefault="00AF1659" w:rsidP="006D01A8">
      <w:pPr>
        <w:pStyle w:val="ListParagraph"/>
        <w:numPr>
          <w:ilvl w:val="0"/>
          <w:numId w:val="6"/>
        </w:numPr>
        <w:spacing w:after="0" w:line="240" w:lineRule="auto"/>
        <w:jc w:val="both"/>
        <w:rPr>
          <w:rFonts w:ascii="Arial" w:hAnsi="Arial" w:cs="Arial"/>
          <w:b/>
          <w:bCs/>
        </w:rPr>
      </w:pPr>
      <w:r>
        <w:rPr>
          <w:rFonts w:ascii="Arial" w:hAnsi="Arial"/>
          <w:b/>
          <w:bCs/>
        </w:rPr>
        <w:t>هناك عمل تحليلي من المخطط القيام به لاكتشاف وتحديد الفرص التي لم تُستغل بعد من أجل خلق فرص عمل لا سيما بين الشباب.</w:t>
      </w:r>
      <w:r>
        <w:rPr>
          <w:rFonts w:ascii="Arial" w:hAnsi="Arial"/>
        </w:rPr>
        <w:t xml:space="preserve"> ويستفيد </w:t>
      </w:r>
      <w:r>
        <w:rPr>
          <w:rFonts w:ascii="Arial" w:hAnsi="Arial"/>
          <w:i/>
          <w:iCs/>
        </w:rPr>
        <w:t>مشروع التمويل الإضافي للانتقال من التعليم إلى العمل</w:t>
      </w:r>
      <w:r>
        <w:rPr>
          <w:rFonts w:ascii="Arial" w:hAnsi="Arial"/>
        </w:rPr>
        <w:t xml:space="preserve"> من التقدم المحرز من جانب صندوق تحسين الجودة لمواصلة التغلب على عدم مواءمة مهارات خريجي الجامعات الجدد مع المهارات التي يحتاجها أرباب الأعمال والشركات.</w:t>
      </w:r>
      <w:r w:rsidR="00022F13">
        <w:rPr>
          <w:rFonts w:ascii="Arial" w:hAnsi="Arial"/>
        </w:rPr>
        <w:t xml:space="preserve"> </w:t>
      </w:r>
      <w:r>
        <w:rPr>
          <w:rFonts w:ascii="Arial" w:hAnsi="Arial"/>
        </w:rPr>
        <w:t xml:space="preserve">وعلاوة على هذا، سيساعد </w:t>
      </w:r>
      <w:r>
        <w:rPr>
          <w:rFonts w:ascii="Arial" w:hAnsi="Arial"/>
        </w:rPr>
        <w:lastRenderedPageBreak/>
        <w:t xml:space="preserve">هذا المشروع في خلق شراكات </w:t>
      </w:r>
      <w:r w:rsidR="006D01A8">
        <w:rPr>
          <w:rFonts w:ascii="Arial" w:hAnsi="Arial" w:hint="cs"/>
        </w:rPr>
        <w:t>إ</w:t>
      </w:r>
      <w:r w:rsidR="006D01A8">
        <w:rPr>
          <w:rFonts w:ascii="Arial" w:hAnsi="Arial"/>
        </w:rPr>
        <w:t xml:space="preserve">ستراتيجية </w:t>
      </w:r>
      <w:r>
        <w:rPr>
          <w:rFonts w:ascii="Arial" w:hAnsi="Arial"/>
        </w:rPr>
        <w:t xml:space="preserve">بين مؤسسات التعليم العالي وأرباب الأعمال والشركات، وكذلك تعزيز تنمية ريادة الأعمال والمهارات الدقيقة (المهارات الناعمة) التي تؤدي في نهاية المطاف إلى تحسين فرص توظيف الخريجين. </w:t>
      </w:r>
    </w:p>
    <w:p w14:paraId="1AC1BD77" w14:textId="77777777" w:rsidR="00520C5A" w:rsidRPr="00520C5A" w:rsidRDefault="0087205C" w:rsidP="00E95046">
      <w:pPr>
        <w:pStyle w:val="ListParagraph"/>
        <w:numPr>
          <w:ilvl w:val="0"/>
          <w:numId w:val="6"/>
        </w:numPr>
        <w:spacing w:after="0" w:line="240" w:lineRule="auto"/>
        <w:jc w:val="both"/>
        <w:rPr>
          <w:rFonts w:ascii="Arial" w:eastAsia="Arial" w:hAnsi="Arial" w:cs="Arial"/>
        </w:rPr>
      </w:pPr>
      <w:r>
        <w:rPr>
          <w:b/>
          <w:noProof/>
          <w:lang w:eastAsia="en-US"/>
        </w:rPr>
        <mc:AlternateContent>
          <mc:Choice Requires="wps">
            <w:drawing>
              <wp:anchor distT="45720" distB="45720" distL="114300" distR="114300" simplePos="0" relativeHeight="251663872" behindDoc="1" locked="0" layoutInCell="1" allowOverlap="1">
                <wp:simplePos x="0" y="0"/>
                <wp:positionH relativeFrom="margin">
                  <wp:posOffset>0</wp:posOffset>
                </wp:positionH>
                <wp:positionV relativeFrom="paragraph">
                  <wp:posOffset>129540</wp:posOffset>
                </wp:positionV>
                <wp:extent cx="5835650" cy="3435350"/>
                <wp:effectExtent l="0" t="0" r="0" b="0"/>
                <wp:wrapTight wrapText="bothSides">
                  <wp:wrapPolygon edited="0">
                    <wp:start x="0" y="0"/>
                    <wp:lineTo x="0" y="21560"/>
                    <wp:lineTo x="21576" y="21560"/>
                    <wp:lineTo x="2157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435350"/>
                        </a:xfrm>
                        <a:prstGeom prst="rect">
                          <a:avLst/>
                        </a:prstGeom>
                        <a:solidFill>
                          <a:sysClr val="window" lastClr="FFFFFF">
                            <a:lumMod val="85000"/>
                          </a:sysClr>
                        </a:solidFill>
                        <a:ln w="9525">
                          <a:solidFill>
                            <a:srgbClr val="000000"/>
                          </a:solidFill>
                          <a:miter lim="800000"/>
                          <a:headEnd/>
                          <a:tailEnd/>
                        </a:ln>
                      </wps:spPr>
                      <wps:txbx>
                        <w:txbxContent>
                          <w:p w14:paraId="6D9373C6" w14:textId="77777777" w:rsidR="00205E55" w:rsidRPr="00D0404B" w:rsidRDefault="00205E55" w:rsidP="00D0404B">
                            <w:pPr>
                              <w:pStyle w:val="Caption"/>
                              <w:jc w:val="center"/>
                              <w:rPr>
                                <w:rFonts w:ascii="Arial" w:hAnsi="Arial" w:cs="Arial"/>
                                <w:b/>
                                <w:i w:val="0"/>
                                <w:color w:val="auto"/>
                                <w:sz w:val="20"/>
                                <w:szCs w:val="20"/>
                              </w:rPr>
                            </w:pPr>
                            <w:bookmarkStart w:id="29" w:name="_Toc494980825"/>
                            <w:bookmarkStart w:id="30" w:name="_Toc496110896"/>
                            <w:r>
                              <w:rPr>
                                <w:rFonts w:ascii="Arial" w:hAnsi="Arial"/>
                                <w:b/>
                                <w:bCs/>
                                <w:i w:val="0"/>
                                <w:color w:val="auto"/>
                                <w:sz w:val="20"/>
                                <w:szCs w:val="20"/>
                              </w:rPr>
                              <w:t>الإطار 7. مستقبل عمل المرأة</w:t>
                            </w:r>
                            <w:bookmarkEnd w:id="29"/>
                            <w:bookmarkEnd w:id="30"/>
                            <w:r>
                              <w:rPr>
                                <w:rFonts w:ascii="Arial" w:hAnsi="Arial"/>
                                <w:b/>
                                <w:bCs/>
                                <w:i w:val="0"/>
                                <w:color w:val="auto"/>
                                <w:sz w:val="20"/>
                                <w:szCs w:val="20"/>
                              </w:rPr>
                              <w:t xml:space="preserve"> في الضفة الغربية وقطاع غزة</w:t>
                            </w:r>
                          </w:p>
                          <w:p w14:paraId="4CCD6379" w14:textId="77777777" w:rsidR="00205E55" w:rsidRDefault="00205E55" w:rsidP="00B00A5C">
                            <w:pPr>
                              <w:spacing w:after="0" w:line="240" w:lineRule="auto"/>
                              <w:jc w:val="both"/>
                              <w:rPr>
                                <w:rFonts w:ascii="Arial" w:hAnsi="Arial" w:cs="Arial"/>
                                <w:sz w:val="20"/>
                                <w:szCs w:val="20"/>
                              </w:rPr>
                            </w:pPr>
                            <w:r w:rsidRPr="007F4182">
                              <w:rPr>
                                <w:rFonts w:ascii="Arial" w:hAnsi="Arial"/>
                                <w:sz w:val="20"/>
                                <w:szCs w:val="20"/>
                              </w:rPr>
                              <w:t>لدى الشركات الناشئة القدرة على أن تصبح مصدرًا ديناميكيًا لتوظيف العاملين من الشباب ومن بينهم النساء. وقد تم تأسيس مؤسسة جيكس سكاي غزة وهي أول موقع لتسريع الأعمال في غزة في 2011 بمنحة قدرها 90 ألف دولار من جوجل، وتقدم هذه المؤسسة عضوية ومساندة للشركات الناشئة للمساعدة في تحقيق نمو صناعة التكنولوجيا المحلية. وما يبلغ 50% من الشركات الناشئة التي حصلت على توجيه وتدريب أثناء الأداء قام بتأسيسها نساء، والمستهدف أن تصل هذه النسبة إلى 80% في إطار الجهود المبذولة للتعويض عن الفجوة الحالية بين الجنسين في عالم التكنولوجيا. وحتى يتسنى زيادة عدد الفتيات والنساء، تقدم مؤسسة جيكس سكاي غزة مبالغ قليلة مقابل مصروفات النقل والمواصلات للتمكين من الوصول إلى المكتب المعني بحاضنات الأعمال. وتساند هذه المؤسسة الجهود المبذولة لتسليح النساء الشابات بمهارات تطوير المواقع والترميز ــ على أمل دمج المزيد من النساء في صناعة أصبحت سريعة النمو في جميع الأراضي الفلسطينية.</w:t>
                            </w:r>
                            <w:r>
                              <w:rPr>
                                <w:rFonts w:ascii="Arial" w:hAnsi="Arial"/>
                                <w:sz w:val="20"/>
                                <w:szCs w:val="20"/>
                              </w:rPr>
                              <w:t xml:space="preserve"> </w:t>
                            </w:r>
                          </w:p>
                          <w:p w14:paraId="7E6DEC33" w14:textId="77777777" w:rsidR="00205E55" w:rsidRPr="00EA15C1" w:rsidRDefault="00205E55" w:rsidP="00B00A5C">
                            <w:pPr>
                              <w:spacing w:after="0" w:line="240" w:lineRule="auto"/>
                              <w:jc w:val="both"/>
                              <w:rPr>
                                <w:rFonts w:ascii="Times New Roman" w:hAnsi="Times New Roman" w:cs="Times New Roman"/>
                                <w:sz w:val="20"/>
                                <w:szCs w:val="20"/>
                              </w:rPr>
                            </w:pPr>
                          </w:p>
                          <w:p w14:paraId="5A0B5929" w14:textId="77777777" w:rsidR="00205E55" w:rsidRDefault="00205E55" w:rsidP="00B00A5C">
                            <w:pPr>
                              <w:spacing w:after="0" w:line="240" w:lineRule="auto"/>
                              <w:jc w:val="both"/>
                              <w:rPr>
                                <w:rFonts w:ascii="Arial" w:hAnsi="Arial" w:cs="Arial"/>
                                <w:sz w:val="20"/>
                                <w:szCs w:val="20"/>
                              </w:rPr>
                            </w:pPr>
                            <w:r>
                              <w:rPr>
                                <w:rFonts w:ascii="Arial" w:hAnsi="Arial"/>
                                <w:sz w:val="20"/>
                                <w:szCs w:val="20"/>
                              </w:rPr>
                              <w:t xml:space="preserve">ولا يزال قطاع تكنولوجيا الخلايا الضوئية الشمسية أكبر جهة توظيف في مجال الطاقة المتجددة على مستوى العالم. ويهدف </w:t>
                            </w:r>
                            <w:r>
                              <w:rPr>
                                <w:rFonts w:ascii="Arial" w:hAnsi="Arial"/>
                                <w:i/>
                                <w:iCs/>
                                <w:sz w:val="20"/>
                                <w:szCs w:val="20"/>
                              </w:rPr>
                              <w:t>مشروع تحسين أداء قطاع الكهرباء</w:t>
                            </w:r>
                            <w:r>
                              <w:rPr>
                                <w:rFonts w:ascii="Arial" w:hAnsi="Arial"/>
                                <w:sz w:val="20"/>
                                <w:szCs w:val="20"/>
                              </w:rPr>
                              <w:t xml:space="preserve"> الذي تمت الموافقة عليه مؤخرًا إلى زيادة وعي المرأة بالاستخدامات الإنتاجية للكهرباء المولدة من الطاقة الشمسية. وبمساندة من برنامج المساعدة في إدارة قطاع الطاقة، سيعمل هذا المشروع على تشجيع ريادة الأعمال من جانب المرأة وأنواع أخرى من الأنشطة المولدة للدخل من خلال توفير المهارات اللازمة لإصلاح الأنظمة الفنية للطاقة الشمسية للشركات، وتوفير برامج تدريبية حول التسهيلات الائتمانية والقروض للنساء العائلات لأسر معيشية، ومنشآت الأعمال الصغيرة والمتوسطة المستفيدة من برنامج أنظمة توليد الطاقة الشمسية على أسطح المساكن الذي ستجري تجربته في إطار المكون 3 من المشروع. </w:t>
                            </w:r>
                          </w:p>
                          <w:p w14:paraId="006864D2" w14:textId="77777777" w:rsidR="00205E55" w:rsidRPr="00EA15C1" w:rsidRDefault="00205E55" w:rsidP="00B00A5C">
                            <w:pPr>
                              <w:spacing w:after="0" w:line="240" w:lineRule="auto"/>
                              <w:jc w:val="both"/>
                              <w:rPr>
                                <w:rFonts w:ascii="Times New Roman" w:hAnsi="Times New Roman" w:cs="Times New Roman"/>
                                <w:sz w:val="20"/>
                                <w:szCs w:val="20"/>
                              </w:rPr>
                            </w:pPr>
                          </w:p>
                          <w:p w14:paraId="3FF0877C" w14:textId="77777777" w:rsidR="00205E55" w:rsidRPr="00EA15C1" w:rsidRDefault="00205E55" w:rsidP="00B00A5C">
                            <w:pPr>
                              <w:spacing w:line="240" w:lineRule="auto"/>
                              <w:jc w:val="both"/>
                              <w:rPr>
                                <w:rFonts w:ascii="Arial" w:hAnsi="Arial" w:cs="Arial"/>
                                <w:sz w:val="20"/>
                                <w:szCs w:val="20"/>
                              </w:rPr>
                            </w:pPr>
                            <w:r>
                              <w:rPr>
                                <w:rFonts w:ascii="Arial" w:hAnsi="Arial"/>
                                <w:sz w:val="20"/>
                                <w:szCs w:val="20"/>
                              </w:rPr>
                              <w:t xml:space="preserve">وهناك آفاق مماثلة لخلق فرص العمل يجري اكتشافها من خلال عمليات البنك الدولي. وتُقيّم خطة العمل القطري بشأن المساواة بين الجنسين في الضفة الغربية وقطاع غزة كيف يتسنى للمشروعات معالجة الفجوة بين الجنسين، وإيضاح الخطوات الملموسة لدفع أجندة العمل قدمًا بهدف زيادة معدلات مشاركة المرأة في قوة العمل، وضمان تكافؤ الفرص الاقتصادية أمام النساء والرجال على حد سواء. </w:t>
                            </w:r>
                          </w:p>
                          <w:p w14:paraId="098A668F" w14:textId="77777777" w:rsidR="00205E55" w:rsidRPr="0018584E" w:rsidRDefault="00205E55" w:rsidP="00E47538">
                            <w:pPr>
                              <w:shd w:val="clear" w:color="auto" w:fill="D9D9D9" w:themeFill="background1" w:themeFillShade="D9"/>
                              <w:rPr>
                                <w:sz w:val="20"/>
                                <w:szCs w:val="20"/>
                              </w:rPr>
                            </w:pP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10.2pt;width:459.5pt;height:270.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" fillcolor="#d9d9d9">
                <v:textbox inset=",7.2pt,,7.2pt">
                  <w:txbxContent>
                    <w:p w14:paraId="6D9373C6" w14:textId="77777777" w:rsidR="00205E55" w:rsidRPr="00D0404B" w:rsidRDefault="00205E55" w:rsidP="00D0404B">
                      <w:pPr>
                        <w:pStyle w:val="Caption"/>
                        <w:jc w:val="center"/>
                        <w:rPr>
                          <w:rFonts w:ascii="Arial" w:hAnsi="Arial" w:cs="Arial"/>
                          <w:b/>
                          <w:i w:val="0"/>
                          <w:color w:val="auto"/>
                          <w:sz w:val="20"/>
                          <w:szCs w:val="20"/>
                        </w:rPr>
                      </w:pPr>
                      <w:bookmarkStart w:id="31" w:name="_Toc494980825"/>
                      <w:bookmarkStart w:id="32" w:name="_Toc496110896"/>
                      <w:r>
                        <w:rPr>
                          <w:rFonts w:ascii="Arial" w:hAnsi="Arial"/>
                          <w:b/>
                          <w:bCs/>
                          <w:i w:val="0"/>
                          <w:color w:val="auto"/>
                          <w:sz w:val="20"/>
                          <w:szCs w:val="20"/>
                        </w:rPr>
                        <w:t>الإطار 7. مستقبل عمل المرأة</w:t>
                      </w:r>
                      <w:bookmarkEnd w:id="31"/>
                      <w:bookmarkEnd w:id="32"/>
                      <w:r>
                        <w:rPr>
                          <w:rFonts w:ascii="Arial" w:hAnsi="Arial"/>
                          <w:b/>
                          <w:bCs/>
                          <w:i w:val="0"/>
                          <w:color w:val="auto"/>
                          <w:sz w:val="20"/>
                          <w:szCs w:val="20"/>
                        </w:rPr>
                        <w:t xml:space="preserve"> في الضفة الغربية وقطاع غزة</w:t>
                      </w:r>
                    </w:p>
                    <w:p w14:paraId="4CCD6379" w14:textId="77777777" w:rsidR="00205E55" w:rsidRDefault="00205E55" w:rsidP="00B00A5C">
                      <w:pPr>
                        <w:spacing w:after="0" w:line="240" w:lineRule="auto"/>
                        <w:jc w:val="both"/>
                        <w:rPr>
                          <w:rFonts w:ascii="Arial" w:hAnsi="Arial" w:cs="Arial"/>
                          <w:sz w:val="20"/>
                          <w:szCs w:val="20"/>
                        </w:rPr>
                      </w:pPr>
                      <w:r w:rsidRPr="007F4182">
                        <w:rPr>
                          <w:rFonts w:ascii="Arial" w:hAnsi="Arial"/>
                          <w:sz w:val="20"/>
                          <w:szCs w:val="20"/>
                        </w:rPr>
                        <w:t>لدى الشركات الناشئة القدرة على أن تصبح مصدرًا ديناميكيًا لتوظيف العاملين من الشباب ومن بينهم النساء. وقد تم تأسيس مؤسسة جيكس سكاي غزة وهي أول موقع لتسريع الأعمال في غزة في 2011 بمنحة قدرها 90 ألف دولار من جوجل، وتقدم هذه المؤسسة عضوية ومساندة للشركات الناشئة للمساعدة في تحقيق نمو صناعة التكنولوجيا المحلية. وما يبلغ 50% من الشركات الناشئة التي حصلت على توجيه وتدريب أثناء الأداء قام بتأسيسها نساء، والمستهدف أن تصل هذه النسبة إلى 80% في إطار الجهود المبذولة للتعويض عن الفجوة الحالية بين الجنسين في عالم التكنولوجيا. وحتى يتسنى زيادة عدد الفتيات والنساء، تقدم مؤسسة جيكس سكاي غزة مبالغ قليلة مقابل مصروفات النقل والمواصلات للتمكين من الوصول إلى المكتب المعني بحاضنات الأعمال. وتساند هذه المؤسسة الجهود المبذولة لتسليح النساء الشابات بمهارات تطوير المواقع والترميز ــ على أمل دمج المزيد من النساء في صناعة أصبحت سريعة النمو في جميع الأراضي الفلسطينية.</w:t>
                      </w:r>
                      <w:r>
                        <w:rPr>
                          <w:rFonts w:ascii="Arial" w:hAnsi="Arial"/>
                          <w:sz w:val="20"/>
                          <w:szCs w:val="20"/>
                        </w:rPr>
                        <w:t xml:space="preserve"> </w:t>
                      </w:r>
                    </w:p>
                    <w:p w14:paraId="7E6DEC33" w14:textId="77777777" w:rsidR="00205E55" w:rsidRPr="00EA15C1" w:rsidRDefault="00205E55" w:rsidP="00B00A5C">
                      <w:pPr>
                        <w:spacing w:after="0" w:line="240" w:lineRule="auto"/>
                        <w:jc w:val="both"/>
                        <w:rPr>
                          <w:rFonts w:ascii="Times New Roman" w:hAnsi="Times New Roman" w:cs="Times New Roman"/>
                          <w:sz w:val="20"/>
                          <w:szCs w:val="20"/>
                        </w:rPr>
                      </w:pPr>
                    </w:p>
                    <w:p w14:paraId="5A0B5929" w14:textId="77777777" w:rsidR="00205E55" w:rsidRDefault="00205E55" w:rsidP="00B00A5C">
                      <w:pPr>
                        <w:spacing w:after="0" w:line="240" w:lineRule="auto"/>
                        <w:jc w:val="both"/>
                        <w:rPr>
                          <w:rFonts w:ascii="Arial" w:hAnsi="Arial" w:cs="Arial"/>
                          <w:sz w:val="20"/>
                          <w:szCs w:val="20"/>
                        </w:rPr>
                      </w:pPr>
                      <w:r>
                        <w:rPr>
                          <w:rFonts w:ascii="Arial" w:hAnsi="Arial"/>
                          <w:sz w:val="20"/>
                          <w:szCs w:val="20"/>
                        </w:rPr>
                        <w:t xml:space="preserve">ولا يزال قطاع تكنولوجيا الخلايا الضوئية الشمسية أكبر جهة توظيف في مجال الطاقة المتجددة على مستوى العالم. ويهدف </w:t>
                      </w:r>
                      <w:r>
                        <w:rPr>
                          <w:rFonts w:ascii="Arial" w:hAnsi="Arial"/>
                          <w:i/>
                          <w:iCs/>
                          <w:sz w:val="20"/>
                          <w:szCs w:val="20"/>
                        </w:rPr>
                        <w:t>مشروع تحسين أداء قطاع الكهرباء</w:t>
                      </w:r>
                      <w:r>
                        <w:rPr>
                          <w:rFonts w:ascii="Arial" w:hAnsi="Arial"/>
                          <w:sz w:val="20"/>
                          <w:szCs w:val="20"/>
                        </w:rPr>
                        <w:t xml:space="preserve"> الذي تمت الموافقة عليه مؤخرًا إلى زيادة وعي المرأة بالاستخدامات الإنتاجية للكهرباء المولدة من الطاقة الشمسية. وبمساندة من برنامج المساعدة في إدارة قطاع الطاقة، سيعمل هذا المشروع على تشجيع ريادة الأعمال من جانب المرأة وأنواع أخرى من الأنشطة المولدة للدخل من خلال توفير المهارات اللازمة لإصلاح الأنظمة الفنية للطاقة الشمسية للشركات، وتوفير برامج تدريبية حول التسهيلات الائتمانية والقروض للنساء العائلات لأسر معيشية، ومنشآت الأعمال الصغيرة والمتوسطة المستفيدة من برنامج أنظمة توليد الطاقة الشمسية على أسطح المساكن الذي ستجري تجربته في إطار المكون 3 من المشروع. </w:t>
                      </w:r>
                    </w:p>
                    <w:p w14:paraId="006864D2" w14:textId="77777777" w:rsidR="00205E55" w:rsidRPr="00EA15C1" w:rsidRDefault="00205E55" w:rsidP="00B00A5C">
                      <w:pPr>
                        <w:spacing w:after="0" w:line="240" w:lineRule="auto"/>
                        <w:jc w:val="both"/>
                        <w:rPr>
                          <w:rFonts w:ascii="Times New Roman" w:hAnsi="Times New Roman" w:cs="Times New Roman"/>
                          <w:sz w:val="20"/>
                          <w:szCs w:val="20"/>
                        </w:rPr>
                      </w:pPr>
                    </w:p>
                    <w:p w14:paraId="3FF0877C" w14:textId="77777777" w:rsidR="00205E55" w:rsidRPr="00EA15C1" w:rsidRDefault="00205E55" w:rsidP="00B00A5C">
                      <w:pPr>
                        <w:spacing w:line="240" w:lineRule="auto"/>
                        <w:jc w:val="both"/>
                        <w:rPr>
                          <w:rFonts w:ascii="Arial" w:hAnsi="Arial" w:cs="Arial"/>
                          <w:sz w:val="20"/>
                          <w:szCs w:val="20"/>
                        </w:rPr>
                      </w:pPr>
                      <w:r>
                        <w:rPr>
                          <w:rFonts w:ascii="Arial" w:hAnsi="Arial"/>
                          <w:sz w:val="20"/>
                          <w:szCs w:val="20"/>
                        </w:rPr>
                        <w:t xml:space="preserve">وهناك آفاق مماثلة لخلق فرص العمل يجري اكتشافها من خلال عمليات البنك الدولي. وتُقيّم خطة العمل القطري بشأن المساواة بين الجنسين في الضفة الغربية وقطاع غزة كيف يتسنى للمشروعات معالجة الفجوة بين الجنسين، وإيضاح الخطوات الملموسة لدفع أجندة العمل قدمًا بهدف زيادة معدلات مشاركة المرأة في قوة العمل، وضمان تكافؤ الفرص الاقتصادية أمام النساء والرجال على حد سواء. </w:t>
                      </w:r>
                    </w:p>
                    <w:p w14:paraId="098A668F" w14:textId="77777777" w:rsidR="00205E55" w:rsidRPr="0018584E" w:rsidRDefault="00205E55" w:rsidP="00E47538">
                      <w:pPr>
                        <w:shd w:val="clear" w:color="auto" w:fill="D9D9D9" w:themeFill="background1" w:themeFillShade="D9"/>
                        <w:rPr>
                          <w:sz w:val="20"/>
                          <w:szCs w:val="20"/>
                        </w:rPr>
                      </w:pPr>
                    </w:p>
                  </w:txbxContent>
                </v:textbox>
                <w10:wrap type="tight" anchorx="margin"/>
              </v:shape>
            </w:pict>
          </mc:Fallback>
        </mc:AlternateContent>
      </w:r>
      <w:r w:rsidR="004D0426">
        <w:rPr>
          <w:rFonts w:ascii="Arial" w:hAnsi="Arial"/>
          <w:b/>
          <w:bCs/>
        </w:rPr>
        <w:t>فضلًا عن هذا، ستقوم مجموعة البنك الدولي بالتركيز على مساندة تطوير بيئة أكثر قوة تحتضن رواد الأعمال ومن بينهم النساء.</w:t>
      </w:r>
      <w:r w:rsidR="00022F13">
        <w:rPr>
          <w:rFonts w:ascii="Arial" w:hAnsi="Arial"/>
          <w:b/>
          <w:bCs/>
        </w:rPr>
        <w:t xml:space="preserve"> </w:t>
      </w:r>
      <w:r w:rsidR="004D0426">
        <w:rPr>
          <w:rFonts w:ascii="Arial" w:hAnsi="Arial"/>
        </w:rPr>
        <w:t xml:space="preserve">وسيعمل </w:t>
      </w:r>
      <w:r w:rsidR="004D0426">
        <w:rPr>
          <w:rFonts w:ascii="Arial" w:hAnsi="Arial"/>
          <w:i/>
          <w:iCs/>
        </w:rPr>
        <w:t>المشروع المبتكر المقترح لتطوير القطاع الخاص</w:t>
      </w:r>
      <w:r w:rsidR="004D0426">
        <w:rPr>
          <w:rFonts w:ascii="Arial" w:hAnsi="Arial"/>
        </w:rPr>
        <w:t xml:space="preserve"> على اكتشاف سبل توجيه المساندة لرائدات الأعمال وتنمية وتطوير المؤسسات الاجتماعية. وعلى ضوء وفرة خريجي الهندسة والتكنولوجيا العاطلين عن العمل في فلسطين، من الممكن أن يؤدي إعداد وتطوير مراكز لخدمات التعهيد (إسناد الخدمات للغير) التي تعمل على خلق فرص عمل قصيرة ــ متوسطة الأجل للشباب إلى تحسين سبل النفوذ إلى الأسواق وبناء المهارات.</w:t>
      </w:r>
      <w:r w:rsidR="00022F13">
        <w:rPr>
          <w:rFonts w:ascii="Arial" w:hAnsi="Arial"/>
        </w:rPr>
        <w:t xml:space="preserve"> </w:t>
      </w:r>
      <w:r w:rsidR="004D0426">
        <w:rPr>
          <w:rFonts w:ascii="Arial" w:hAnsi="Arial"/>
        </w:rPr>
        <w:t>وفي إطار مشروع مسار الخليل إبراهيم الذي يجري القيام به، سيتم تدريب المزيد من النساء للعمل مرشدات سياحيات، مع إمكانية ربط المرشدات النساء بالسائحات اللاتي يمثلن أكثر من نصف عدد السائحين الزائرين للمسار الإبراهيمي.</w:t>
      </w:r>
      <w:r w:rsidR="00022F13">
        <w:rPr>
          <w:rFonts w:ascii="Arial" w:hAnsi="Arial"/>
        </w:rPr>
        <w:t xml:space="preserve"> </w:t>
      </w:r>
      <w:r w:rsidR="004D0426">
        <w:rPr>
          <w:rFonts w:ascii="Arial" w:hAnsi="Arial"/>
        </w:rPr>
        <w:t xml:space="preserve">وبمساندة من </w:t>
      </w:r>
      <w:r w:rsidR="004D0426">
        <w:rPr>
          <w:rFonts w:ascii="Arial" w:hAnsi="Arial"/>
          <w:i/>
          <w:iCs/>
        </w:rPr>
        <w:t>المشروع الأول الخاص بالتمويل لإيجاد فرص عمل،</w:t>
      </w:r>
      <w:r w:rsidR="004D0426">
        <w:rPr>
          <w:rFonts w:ascii="Arial" w:hAnsi="Arial"/>
        </w:rPr>
        <w:t xml:space="preserve"> ستعمل المنحة المناظرة لمنظومة العمل الحر (ريادة الأعمال) على مساندة تأسيس الشركات الناشئة في المراحل الأولى، وتقديم المساندة التمويلية لتعبئة استثمارات رأس مال المخاطر، وفي الوقت نفسه زيادة عدد وتحسين جودة مبادرات ريادة الأعمال الجاهزة للاستثمار. ومن خلال أنشطة مؤسسة التمويل الدولية المعنية بالاستثمار والخدمات الاستشارية في إطار</w:t>
      </w:r>
      <w:r w:rsidR="00022F13">
        <w:rPr>
          <w:rFonts w:ascii="Arial" w:hAnsi="Arial"/>
        </w:rPr>
        <w:t xml:space="preserve"> </w:t>
      </w:r>
      <w:r w:rsidR="004D0426">
        <w:rPr>
          <w:rFonts w:ascii="Arial" w:hAnsi="Arial"/>
        </w:rPr>
        <w:t xml:space="preserve">برنامج توفير الخدمات المصرفية للنساء، ستستطيع رائدات العمل الحر الحصول على تدريب وقروض من دون ضمانات من خلال </w:t>
      </w:r>
      <w:r w:rsidR="004D0426" w:rsidRPr="00076F0E">
        <w:rPr>
          <w:rFonts w:ascii="Arial" w:hAnsi="Arial"/>
          <w:b/>
          <w:bCs/>
          <w:i/>
          <w:iCs/>
        </w:rPr>
        <w:t>برنامج فلسطينية</w:t>
      </w:r>
      <w:r w:rsidR="004D0426">
        <w:rPr>
          <w:rFonts w:ascii="Arial" w:hAnsi="Arial"/>
        </w:rPr>
        <w:t xml:space="preserve"> التابع لبنك فلسطين. وستساعد استثمارات مؤسسة التمويل الدولية في صندوق رأس مال المخاطر </w:t>
      </w:r>
      <w:r w:rsidR="009103E5">
        <w:rPr>
          <w:rFonts w:ascii="Arial" w:hAnsi="Arial"/>
        </w:rPr>
        <w:t>المنش</w:t>
      </w:r>
      <w:r w:rsidR="009103E5">
        <w:rPr>
          <w:rFonts w:ascii="Arial" w:hAnsi="Arial" w:hint="cs"/>
        </w:rPr>
        <w:t>أ</w:t>
      </w:r>
      <w:r w:rsidR="009103E5">
        <w:rPr>
          <w:rFonts w:ascii="Arial" w:hAnsi="Arial"/>
        </w:rPr>
        <w:t xml:space="preserve"> </w:t>
      </w:r>
      <w:r w:rsidR="004D0426">
        <w:rPr>
          <w:rFonts w:ascii="Arial" w:hAnsi="Arial"/>
        </w:rPr>
        <w:t>حديثًا في مساندة وتوسيع نطاق حاضنات الأعمال وتعزيز البيئة الداعمة لتنمية وتطوير رواد الأعمال الفلسطينيين من الشباب وتقديم التمويل المطلوب وتوفير أدوات الاستثمار.</w:t>
      </w:r>
      <w:r w:rsidR="00022F13">
        <w:rPr>
          <w:rFonts w:ascii="Arial" w:hAnsi="Arial"/>
        </w:rPr>
        <w:t xml:space="preserve"> </w:t>
      </w:r>
      <w:r w:rsidR="004D0426">
        <w:rPr>
          <w:rFonts w:ascii="Arial" w:hAnsi="Arial"/>
        </w:rPr>
        <w:t xml:space="preserve">وستواصل مؤسسة التمويل الدولية تقديم مساندتها لصندوق </w:t>
      </w:r>
      <w:r w:rsidR="004D0426" w:rsidRPr="00076F0E">
        <w:rPr>
          <w:rFonts w:ascii="Arial" w:hAnsi="Arial"/>
          <w:b/>
          <w:bCs/>
          <w:i/>
          <w:iCs/>
        </w:rPr>
        <w:t>ابتكار</w:t>
      </w:r>
      <w:r w:rsidR="004D0426">
        <w:rPr>
          <w:rFonts w:ascii="Arial" w:hAnsi="Arial"/>
        </w:rPr>
        <w:t xml:space="preserve"> من أجل رواد الأعمال من الشباب الذي يعتبر </w:t>
      </w:r>
      <w:r w:rsidR="004D0426" w:rsidRPr="00E95046">
        <w:rPr>
          <w:rFonts w:ascii="Arial" w:hAnsi="Arial"/>
        </w:rPr>
        <w:t xml:space="preserve">أحد الصناديق الفلسطينية </w:t>
      </w:r>
      <w:r w:rsidR="004D0426">
        <w:rPr>
          <w:rFonts w:ascii="Arial" w:hAnsi="Arial"/>
        </w:rPr>
        <w:t xml:space="preserve">التي تعمل على سد الفجوة بين النمو في المراحل الأولى والمراحل المتوسطة. </w:t>
      </w:r>
    </w:p>
    <w:p w14:paraId="1D8D3AE4" w14:textId="77777777" w:rsidR="00E117F8" w:rsidRDefault="00E117F8" w:rsidP="00520C5A">
      <w:pPr>
        <w:spacing w:after="0" w:line="240" w:lineRule="auto"/>
        <w:jc w:val="both"/>
        <w:rPr>
          <w:rFonts w:ascii="Times New Roman" w:eastAsia="Calibri" w:hAnsi="Times New Roman" w:cs="Times New Roman"/>
        </w:rPr>
      </w:pPr>
    </w:p>
    <w:p w14:paraId="4E19067B" w14:textId="77777777" w:rsidR="00510A0E" w:rsidRPr="00520C5A" w:rsidRDefault="00510A0E" w:rsidP="00206B35">
      <w:pPr>
        <w:spacing w:after="0" w:line="240" w:lineRule="auto"/>
        <w:jc w:val="center"/>
        <w:rPr>
          <w:rFonts w:ascii="Times New Roman" w:eastAsia="Calibri" w:hAnsi="Times New Roman" w:cs="Times New Roman"/>
        </w:rPr>
      </w:pPr>
    </w:p>
    <w:p w14:paraId="311A8BBB" w14:textId="77777777" w:rsidR="00452BCB" w:rsidRPr="00206B35" w:rsidRDefault="00452BCB" w:rsidP="005316CE">
      <w:pPr>
        <w:spacing w:after="0" w:line="240" w:lineRule="auto"/>
        <w:ind w:left="720" w:firstLine="720"/>
        <w:jc w:val="center"/>
        <w:rPr>
          <w:rFonts w:ascii="Arial" w:eastAsia="Arial" w:hAnsi="Arial" w:cs="Arial"/>
          <w:u w:val="single"/>
        </w:rPr>
      </w:pPr>
      <w:r>
        <w:rPr>
          <w:rFonts w:ascii="Arial" w:hAnsi="Arial"/>
        </w:rPr>
        <w:t>3.</w:t>
      </w:r>
      <w:r w:rsidR="00022F13">
        <w:rPr>
          <w:rFonts w:ascii="Arial" w:hAnsi="Arial"/>
        </w:rPr>
        <w:t xml:space="preserve"> </w:t>
      </w:r>
      <w:r>
        <w:rPr>
          <w:rFonts w:ascii="Arial" w:hAnsi="Arial"/>
          <w:u w:val="single"/>
        </w:rPr>
        <w:t>تحسين التجارة وزيادة الروابط بالأسواق الإقليمية</w:t>
      </w:r>
    </w:p>
    <w:p w14:paraId="626F3FC0" w14:textId="77777777" w:rsidR="003C7674" w:rsidRDefault="4F88A954" w:rsidP="00BF4BE3">
      <w:pPr>
        <w:pStyle w:val="ListParagraph"/>
        <w:numPr>
          <w:ilvl w:val="0"/>
          <w:numId w:val="6"/>
        </w:numPr>
        <w:spacing w:after="0" w:line="240" w:lineRule="auto"/>
        <w:jc w:val="both"/>
        <w:rPr>
          <w:rFonts w:ascii="Arial" w:hAnsi="Arial" w:cs="Arial"/>
        </w:rPr>
      </w:pPr>
      <w:r>
        <w:rPr>
          <w:rFonts w:ascii="Arial" w:hAnsi="Arial"/>
          <w:b/>
          <w:bCs/>
        </w:rPr>
        <w:t>نظرا لصغر حجم الاقتصاد الفلسطيني، ينبغي أن تكون الصادرات أحد المحركات الرئيسية لنمو القطاع الخاص.</w:t>
      </w:r>
      <w:r w:rsidR="00022F13">
        <w:rPr>
          <w:rFonts w:ascii="Arial" w:hAnsi="Arial"/>
          <w:b/>
          <w:bCs/>
        </w:rPr>
        <w:t xml:space="preserve"> </w:t>
      </w:r>
      <w:r>
        <w:rPr>
          <w:rFonts w:ascii="Arial" w:hAnsi="Arial"/>
        </w:rPr>
        <w:t>فعلى جانب السياسات، سيساند البنك الدولي السلطة الفلسطينية بتقديم يد العون لها في وضع سياسة للتجارة وترتيبات إدارية داعمة لنشاط القطاع الخاص وخلق فرص العمل بناء على نتائج مذكرة سياسات التجارة الصادرة عن البنك الدولي.</w:t>
      </w:r>
      <w:r w:rsidR="00022F13">
        <w:rPr>
          <w:rFonts w:ascii="Arial" w:hAnsi="Arial"/>
        </w:rPr>
        <w:t xml:space="preserve"> </w:t>
      </w:r>
      <w:r>
        <w:rPr>
          <w:rFonts w:ascii="Arial" w:hAnsi="Arial"/>
        </w:rPr>
        <w:t>وستواصل مؤسسة التمويل الدولية تقديم يد العون لتسهيل التجارة بالعمل مع البنوك المحلية المشاركة في برنامج تمويل التجارة العالمية التابع للمؤسسة.</w:t>
      </w:r>
      <w:r w:rsidR="00022F13">
        <w:rPr>
          <w:rFonts w:ascii="Arial" w:hAnsi="Arial"/>
        </w:rPr>
        <w:t xml:space="preserve"> </w:t>
      </w:r>
    </w:p>
    <w:p w14:paraId="60ED9924" w14:textId="77777777" w:rsidR="003C7674" w:rsidRDefault="00E117F8" w:rsidP="007C2372">
      <w:pPr>
        <w:pStyle w:val="ListParagraph"/>
        <w:spacing w:after="0" w:line="240" w:lineRule="auto"/>
        <w:ind w:left="0"/>
        <w:jc w:val="both"/>
        <w:rPr>
          <w:rFonts w:ascii="Arial" w:hAnsi="Arial" w:cs="Arial"/>
          <w:bCs/>
        </w:rPr>
      </w:pPr>
      <w:r>
        <w:rPr>
          <w:rFonts w:ascii="Arial" w:hAnsi="Arial"/>
        </w:rPr>
        <w:t xml:space="preserve"> </w:t>
      </w:r>
    </w:p>
    <w:p w14:paraId="1618E59A" w14:textId="77777777" w:rsidR="00E117F8" w:rsidRDefault="4F88A954" w:rsidP="00BF4BE3">
      <w:pPr>
        <w:pStyle w:val="ListParagraph"/>
        <w:numPr>
          <w:ilvl w:val="0"/>
          <w:numId w:val="6"/>
        </w:numPr>
        <w:spacing w:line="240" w:lineRule="auto"/>
        <w:jc w:val="both"/>
        <w:rPr>
          <w:rFonts w:ascii="Arial" w:hAnsi="Arial" w:cs="Arial"/>
        </w:rPr>
      </w:pPr>
      <w:r>
        <w:rPr>
          <w:rFonts w:ascii="Arial" w:hAnsi="Arial"/>
          <w:b/>
          <w:bCs/>
        </w:rPr>
        <w:t>سيكون للتعاون الإقليمي أُثر كبير على القطاع الخاص.</w:t>
      </w:r>
      <w:r w:rsidR="00022F13">
        <w:rPr>
          <w:rFonts w:ascii="Arial" w:hAnsi="Arial"/>
          <w:b/>
          <w:bCs/>
        </w:rPr>
        <w:t xml:space="preserve"> </w:t>
      </w:r>
      <w:r>
        <w:rPr>
          <w:rFonts w:ascii="Arial" w:hAnsi="Arial"/>
        </w:rPr>
        <w:t>وستساند مجموعة البنك الدولي السلطة الفلسطينية في تطوير الروابط الإقليمية.</w:t>
      </w:r>
      <w:r w:rsidR="00022F13">
        <w:rPr>
          <w:rFonts w:ascii="Arial" w:hAnsi="Arial"/>
        </w:rPr>
        <w:t xml:space="preserve"> </w:t>
      </w:r>
      <w:r>
        <w:rPr>
          <w:rFonts w:ascii="Arial" w:hAnsi="Arial"/>
        </w:rPr>
        <w:t xml:space="preserve">وسيساعد الاندماج في الأسواق الإقليمية، والتجارة مع البلدان المجاورة، والتعاون الفني مع حكومة إسرائيل الاقتصاد الفلسطيني، كما سيعمل على توفير فرص للقطاع الخاص. </w:t>
      </w:r>
    </w:p>
    <w:p w14:paraId="542D1185" w14:textId="77777777" w:rsidR="00E70D1B" w:rsidRDefault="00E70D1B" w:rsidP="007C2372">
      <w:pPr>
        <w:pStyle w:val="ListParagraph"/>
        <w:spacing w:after="0" w:line="240" w:lineRule="auto"/>
        <w:ind w:left="0"/>
        <w:jc w:val="both"/>
        <w:rPr>
          <w:rFonts w:ascii="Times New Roman" w:hAnsi="Times New Roman" w:cs="Times New Roman"/>
          <w:b/>
          <w:bCs/>
          <w:iCs/>
        </w:rPr>
      </w:pPr>
    </w:p>
    <w:p w14:paraId="60060D95" w14:textId="77777777" w:rsidR="00E70D1B" w:rsidRDefault="4F88A954" w:rsidP="00BF4BE3">
      <w:pPr>
        <w:pStyle w:val="ListParagraph"/>
        <w:numPr>
          <w:ilvl w:val="0"/>
          <w:numId w:val="6"/>
        </w:numPr>
        <w:spacing w:after="0" w:line="240" w:lineRule="auto"/>
        <w:jc w:val="both"/>
        <w:rPr>
          <w:rFonts w:ascii="Arial" w:hAnsi="Arial" w:cs="Arial"/>
        </w:rPr>
      </w:pPr>
      <w:r>
        <w:rPr>
          <w:rFonts w:ascii="Arial" w:hAnsi="Arial"/>
          <w:b/>
          <w:bCs/>
        </w:rPr>
        <w:lastRenderedPageBreak/>
        <w:t>تعتمد السلطة الفلسطينية بشدة على إسرائيل للحصول على الكهرباء وواردات المحروقات (أكثر من 95% من إجمالي الإمدادات).</w:t>
      </w:r>
      <w:r w:rsidR="00022F13">
        <w:rPr>
          <w:rFonts w:ascii="Arial" w:hAnsi="Arial"/>
          <w:b/>
          <w:bCs/>
        </w:rPr>
        <w:t xml:space="preserve"> </w:t>
      </w:r>
      <w:r>
        <w:rPr>
          <w:rFonts w:ascii="Arial" w:hAnsi="Arial"/>
        </w:rPr>
        <w:t xml:space="preserve">وسيساعد </w:t>
      </w:r>
      <w:r>
        <w:rPr>
          <w:rFonts w:ascii="Arial" w:hAnsi="Arial"/>
          <w:i/>
          <w:iCs/>
        </w:rPr>
        <w:t xml:space="preserve">مشروع تحسين أداء قطاع الكهرباء الذي يجري القيام به والمساعدة الفنية البرامجية لقطاع الطاقة </w:t>
      </w:r>
      <w:r>
        <w:rPr>
          <w:rFonts w:ascii="Arial" w:hAnsi="Arial"/>
        </w:rPr>
        <w:t>في إعداد وتنفيذ اتفاقيات شراء الطاقة الكهربائية بين شركة النقل الوطنية للكهرباء وشركة كهرباء إسرائيل، وفي وضع الشروط المؤسسية وشروط الانضباط المالي لنجاحها ولتطوير شركات إنتاج الكهرباء المستقلة الخاصة.</w:t>
      </w:r>
      <w:r w:rsidR="00022F13">
        <w:rPr>
          <w:rFonts w:ascii="Arial" w:hAnsi="Arial"/>
        </w:rPr>
        <w:t xml:space="preserve"> </w:t>
      </w:r>
    </w:p>
    <w:p w14:paraId="6343E70B" w14:textId="77777777" w:rsidR="003C7674" w:rsidRDefault="003C7674" w:rsidP="007C2372">
      <w:pPr>
        <w:pStyle w:val="ListParagraph"/>
        <w:spacing w:after="0" w:line="240" w:lineRule="auto"/>
        <w:ind w:left="0"/>
        <w:jc w:val="both"/>
        <w:rPr>
          <w:rFonts w:ascii="Times New Roman" w:eastAsia="Times New Roman" w:hAnsi="Times New Roman" w:cs="Times New Roman"/>
          <w:b/>
          <w:bCs/>
          <w:iCs/>
        </w:rPr>
      </w:pPr>
    </w:p>
    <w:p w14:paraId="3F0369A3" w14:textId="77777777" w:rsidR="00E117F8" w:rsidRPr="00E117F8" w:rsidRDefault="4F88A954" w:rsidP="00BF4BE3">
      <w:pPr>
        <w:pStyle w:val="ListParagraph"/>
        <w:numPr>
          <w:ilvl w:val="0"/>
          <w:numId w:val="6"/>
        </w:numPr>
        <w:spacing w:after="0" w:line="240" w:lineRule="auto"/>
        <w:jc w:val="both"/>
        <w:rPr>
          <w:rFonts w:ascii="Arial" w:hAnsi="Arial" w:cs="Arial"/>
        </w:rPr>
      </w:pPr>
      <w:r>
        <w:rPr>
          <w:rFonts w:ascii="Arial" w:hAnsi="Arial"/>
          <w:b/>
          <w:bCs/>
        </w:rPr>
        <w:t>مع العجز الكبير في إمدادات المياه والبنية التحتية لشبكات الصرف الصحي وعدم كفاءة هذه الإمدادات وتلك الشبكات، تمثل ندرة المياه أحد الشواغل الكبرى.</w:t>
      </w:r>
      <w:r w:rsidR="00022F13">
        <w:rPr>
          <w:rFonts w:ascii="Arial" w:hAnsi="Arial"/>
          <w:b/>
          <w:bCs/>
        </w:rPr>
        <w:t xml:space="preserve"> </w:t>
      </w:r>
      <w:r>
        <w:rPr>
          <w:rFonts w:ascii="Arial" w:hAnsi="Arial"/>
        </w:rPr>
        <w:t xml:space="preserve">وحتى يتسنى التصدي لهذه التحديات، يجري إعداد اتفاقيات </w:t>
      </w:r>
      <w:r w:rsidR="00076F0E">
        <w:rPr>
          <w:rFonts w:ascii="Arial" w:hAnsi="Arial" w:hint="cs"/>
          <w:lang w:bidi="ar-EG"/>
        </w:rPr>
        <w:t>ت</w:t>
      </w:r>
      <w:r>
        <w:rPr>
          <w:rFonts w:ascii="Arial" w:hAnsi="Arial"/>
        </w:rPr>
        <w:t>قاسم المياه بين إسرائيل والأردن والسلطة الفلسطينية.</w:t>
      </w:r>
      <w:r w:rsidR="00022F13">
        <w:rPr>
          <w:rFonts w:ascii="Arial" w:hAnsi="Arial"/>
        </w:rPr>
        <w:t xml:space="preserve"> </w:t>
      </w:r>
      <w:r>
        <w:rPr>
          <w:rFonts w:ascii="Arial" w:hAnsi="Arial"/>
        </w:rPr>
        <w:t>وسيواصل البنك الدولي ومؤسسة التمويل الدولية تقديم المساندة لمشروع يجري العمل به ويتسم بالابتكار الشديد بين السلطة الفلسطينية وإسرائيل والأردن من شأنه توفير مياه عذبة للأردن من خلال تحلية مياه البحر الأحمر ونقل المضاض (المياه شديدة الملوحة) إلى البحر الميت، لإيجاد فرص للقطاع الخاص.</w:t>
      </w:r>
      <w:r w:rsidR="00022F13">
        <w:rPr>
          <w:rFonts w:ascii="Arial" w:hAnsi="Arial"/>
        </w:rPr>
        <w:t xml:space="preserve"> </w:t>
      </w:r>
      <w:r>
        <w:rPr>
          <w:rFonts w:ascii="Arial" w:hAnsi="Arial"/>
        </w:rPr>
        <w:t>وتقترح مذكرة التفاهم الموقعة في ديسمبر/كانون الأول 2013 بيع 30 ملي</w:t>
      </w:r>
      <w:r w:rsidR="00076F0E">
        <w:rPr>
          <w:rFonts w:ascii="Arial" w:hAnsi="Arial"/>
        </w:rPr>
        <w:t xml:space="preserve">ون متر مكعب من المياه </w:t>
      </w:r>
      <w:r w:rsidR="00076F0E">
        <w:rPr>
          <w:rFonts w:ascii="Arial" w:hAnsi="Arial" w:hint="cs"/>
        </w:rPr>
        <w:t xml:space="preserve">من </w:t>
      </w:r>
      <w:r>
        <w:rPr>
          <w:rFonts w:ascii="Arial" w:hAnsi="Arial"/>
        </w:rPr>
        <w:t>شركة المياه الإسرائيلية (ميكوروت) للسلطة الفلسطينية.</w:t>
      </w:r>
      <w:r w:rsidR="00022F13">
        <w:rPr>
          <w:rFonts w:ascii="Arial" w:hAnsi="Arial"/>
        </w:rPr>
        <w:t xml:space="preserve"> </w:t>
      </w:r>
      <w:r>
        <w:rPr>
          <w:rFonts w:ascii="Arial" w:hAnsi="Arial"/>
        </w:rPr>
        <w:t xml:space="preserve">وسيتم تدعيم واردات المياه الإضافية من إسرائيل </w:t>
      </w:r>
      <w:r w:rsidR="00076F0E">
        <w:rPr>
          <w:rFonts w:ascii="Arial" w:hAnsi="Arial" w:hint="cs"/>
        </w:rPr>
        <w:t>وزيادة قدرة</w:t>
      </w:r>
      <w:r>
        <w:rPr>
          <w:rFonts w:ascii="Arial" w:hAnsi="Arial"/>
        </w:rPr>
        <w:t xml:space="preserve"> القطاع الخاص على تنقية المياه لمعالجة أزمة المياه في غزة على المدى القصير والمدى المتوسط. </w:t>
      </w:r>
    </w:p>
    <w:p w14:paraId="00F8677D" w14:textId="77777777" w:rsidR="00E70D1B" w:rsidRDefault="00E70D1B" w:rsidP="007C2372">
      <w:pPr>
        <w:pStyle w:val="ListParagraph"/>
        <w:spacing w:after="0" w:line="240" w:lineRule="auto"/>
        <w:ind w:left="0"/>
        <w:jc w:val="both"/>
        <w:rPr>
          <w:rFonts w:ascii="Times New Roman" w:hAnsi="Times New Roman" w:cs="Times New Roman"/>
          <w:b/>
          <w:bCs/>
        </w:rPr>
      </w:pPr>
    </w:p>
    <w:p w14:paraId="54A6CEA5" w14:textId="77777777" w:rsidR="009C510B" w:rsidRDefault="003F6545" w:rsidP="00145B20">
      <w:pPr>
        <w:pStyle w:val="ListParagraph"/>
        <w:numPr>
          <w:ilvl w:val="0"/>
          <w:numId w:val="6"/>
        </w:numPr>
        <w:spacing w:after="0" w:line="240" w:lineRule="auto"/>
        <w:jc w:val="both"/>
        <w:rPr>
          <w:rFonts w:ascii="Arial" w:eastAsia="Arial" w:hAnsi="Arial" w:cs="Arial"/>
          <w:b/>
          <w:bCs/>
        </w:rPr>
      </w:pPr>
      <w:r>
        <w:rPr>
          <w:b/>
          <w:bCs/>
        </w:rPr>
        <w:t>سيتم تعزيز توفير سبل وصول الشركات إلى الأسواق الإقليمية والدولية.</w:t>
      </w:r>
      <w:r>
        <w:rPr>
          <w:rFonts w:ascii="Arial" w:hAnsi="Arial"/>
          <w:b/>
          <w:bCs/>
        </w:rPr>
        <w:t xml:space="preserve"> </w:t>
      </w:r>
      <w:r>
        <w:rPr>
          <w:rFonts w:ascii="Arial" w:hAnsi="Arial"/>
        </w:rPr>
        <w:t>وهناك إمكانية لتحسين روابط بيئة ريادة الأعمال بالبيئة الأردنية، ويشمل ذلك من خلال تكنولوجيا المعلومات والاتصالات؛ وستبحث مجموعة البنك الدولي عن فرص لتدعيم هذه الروابط.</w:t>
      </w:r>
      <w:r w:rsidR="00022F13">
        <w:rPr>
          <w:rFonts w:ascii="Arial" w:hAnsi="Arial"/>
        </w:rPr>
        <w:t xml:space="preserve"> </w:t>
      </w:r>
      <w:r>
        <w:rPr>
          <w:rFonts w:ascii="Arial" w:hAnsi="Arial"/>
        </w:rPr>
        <w:t>ومن المتوقع أن يعمل</w:t>
      </w:r>
      <w:r w:rsidR="00022F13">
        <w:rPr>
          <w:rFonts w:ascii="Arial" w:hAnsi="Arial"/>
        </w:rPr>
        <w:t xml:space="preserve"> </w:t>
      </w:r>
      <w:r>
        <w:rPr>
          <w:rFonts w:ascii="Arial" w:hAnsi="Arial"/>
        </w:rPr>
        <w:t xml:space="preserve">صندوق رأس مال المخاطر </w:t>
      </w:r>
      <w:r w:rsidR="00145B20">
        <w:rPr>
          <w:rFonts w:ascii="Arial" w:hAnsi="Arial"/>
        </w:rPr>
        <w:t>المنش</w:t>
      </w:r>
      <w:r w:rsidR="00145B20">
        <w:rPr>
          <w:rFonts w:ascii="Arial" w:hAnsi="Arial" w:hint="cs"/>
        </w:rPr>
        <w:t>أ</w:t>
      </w:r>
      <w:r w:rsidR="00145B20">
        <w:rPr>
          <w:rFonts w:ascii="Arial" w:hAnsi="Arial"/>
        </w:rPr>
        <w:t xml:space="preserve"> </w:t>
      </w:r>
      <w:r>
        <w:rPr>
          <w:rFonts w:ascii="Arial" w:hAnsi="Arial"/>
        </w:rPr>
        <w:t>حديثًا بمساندة من مؤسسة التمويل الدولية على تسهيل الروابط الإقليمية.</w:t>
      </w:r>
      <w:r w:rsidR="00022F13">
        <w:rPr>
          <w:rFonts w:ascii="Arial" w:hAnsi="Arial"/>
        </w:rPr>
        <w:t xml:space="preserve"> </w:t>
      </w:r>
      <w:r>
        <w:rPr>
          <w:rFonts w:ascii="Arial" w:hAnsi="Arial"/>
        </w:rPr>
        <w:t>وفي إطار</w:t>
      </w:r>
      <w:r>
        <w:rPr>
          <w:rFonts w:ascii="Arial" w:hAnsi="Arial"/>
          <w:i/>
          <w:iCs/>
        </w:rPr>
        <w:t xml:space="preserve"> المشروع المبتكر المقترح لتطوير القطاع الخاص</w:t>
      </w:r>
      <w:r>
        <w:rPr>
          <w:rFonts w:ascii="Arial" w:hAnsi="Arial"/>
        </w:rPr>
        <w:t xml:space="preserve">، من المتوقع أن يستكشف البنك الدولي إجراءات تدخلية تعمل على تحفيز روابط الشركات الفلسطينية بالشركات </w:t>
      </w:r>
      <w:r w:rsidR="00145B20">
        <w:rPr>
          <w:rFonts w:ascii="Arial" w:hAnsi="Arial"/>
        </w:rPr>
        <w:t>ال</w:t>
      </w:r>
      <w:r w:rsidR="00145B20">
        <w:rPr>
          <w:rFonts w:ascii="Arial" w:hAnsi="Arial" w:hint="cs"/>
        </w:rPr>
        <w:t>إ</w:t>
      </w:r>
      <w:r w:rsidR="00145B20">
        <w:rPr>
          <w:rFonts w:ascii="Arial" w:hAnsi="Arial"/>
        </w:rPr>
        <w:t xml:space="preserve">سرائيلية </w:t>
      </w:r>
      <w:r>
        <w:rPr>
          <w:rFonts w:ascii="Arial" w:hAnsi="Arial"/>
        </w:rPr>
        <w:t xml:space="preserve">التي تمتلك معارف وتكنولوجيا قوية ولها سبل نفاذ إلى البيئة </w:t>
      </w:r>
      <w:r w:rsidR="00145B20">
        <w:rPr>
          <w:rFonts w:ascii="Arial" w:hAnsi="Arial"/>
        </w:rPr>
        <w:t>ال</w:t>
      </w:r>
      <w:r w:rsidR="00145B20">
        <w:rPr>
          <w:rFonts w:ascii="Arial" w:hAnsi="Arial" w:hint="cs"/>
        </w:rPr>
        <w:t>إ</w:t>
      </w:r>
      <w:r w:rsidR="00145B20">
        <w:rPr>
          <w:rFonts w:ascii="Arial" w:hAnsi="Arial"/>
        </w:rPr>
        <w:t>سرائيلية</w:t>
      </w:r>
      <w:r>
        <w:rPr>
          <w:rFonts w:ascii="Arial" w:hAnsi="Arial"/>
        </w:rPr>
        <w:t>.</w:t>
      </w:r>
      <w:r w:rsidR="00022F13">
        <w:rPr>
          <w:rFonts w:ascii="Arial" w:hAnsi="Arial"/>
        </w:rPr>
        <w:t xml:space="preserve"> </w:t>
      </w:r>
      <w:r>
        <w:rPr>
          <w:rFonts w:ascii="Arial" w:hAnsi="Arial"/>
        </w:rPr>
        <w:t>ومن الممكن أن تعمل هذه الروابط على تسهيل نقل التكنولوجيا والمهارات إلى السكان المحليين.</w:t>
      </w:r>
      <w:r w:rsidR="00022F13">
        <w:rPr>
          <w:rFonts w:ascii="Arial" w:hAnsi="Arial"/>
        </w:rPr>
        <w:t xml:space="preserve"> </w:t>
      </w:r>
    </w:p>
    <w:p w14:paraId="1E527E8A" w14:textId="77777777" w:rsidR="00E70D1B" w:rsidRDefault="00E70D1B" w:rsidP="00E70D1B">
      <w:pPr>
        <w:pStyle w:val="ListParagraph"/>
        <w:spacing w:after="0" w:line="240" w:lineRule="auto"/>
        <w:ind w:left="0"/>
        <w:jc w:val="both"/>
        <w:rPr>
          <w:rFonts w:ascii="Times New Roman" w:hAnsi="Times New Roman" w:cs="Times New Roman"/>
        </w:rPr>
      </w:pPr>
    </w:p>
    <w:p w14:paraId="5DCD36F8" w14:textId="77777777" w:rsidR="00410CC9" w:rsidRPr="00593DF6" w:rsidRDefault="4F88A954" w:rsidP="4F88A954">
      <w:pPr>
        <w:pStyle w:val="ListParagraph"/>
        <w:spacing w:after="0" w:line="240" w:lineRule="auto"/>
        <w:jc w:val="center"/>
        <w:rPr>
          <w:rFonts w:ascii="Arial" w:eastAsia="Arial" w:hAnsi="Arial" w:cs="Arial"/>
          <w:u w:val="single"/>
        </w:rPr>
      </w:pPr>
      <w:r>
        <w:rPr>
          <w:rFonts w:ascii="Arial" w:hAnsi="Arial"/>
        </w:rPr>
        <w:t>4.</w:t>
      </w:r>
      <w:r w:rsidR="00022F13">
        <w:rPr>
          <w:rFonts w:ascii="Arial" w:hAnsi="Arial"/>
        </w:rPr>
        <w:t xml:space="preserve"> </w:t>
      </w:r>
      <w:r>
        <w:rPr>
          <w:rFonts w:ascii="Arial" w:hAnsi="Arial"/>
          <w:u w:val="single"/>
        </w:rPr>
        <w:t>الإصلاحات القطاعية والمؤسسية لتشجيع الاستثمارات الخاصة في البنية التحتية</w:t>
      </w:r>
    </w:p>
    <w:p w14:paraId="24C2A2D5" w14:textId="77777777" w:rsidR="009C510B" w:rsidRPr="00F06BF0" w:rsidRDefault="4F88A954" w:rsidP="00BF4BE3">
      <w:pPr>
        <w:pStyle w:val="ListParagraph"/>
        <w:numPr>
          <w:ilvl w:val="0"/>
          <w:numId w:val="6"/>
        </w:numPr>
        <w:spacing w:line="240" w:lineRule="auto"/>
        <w:jc w:val="both"/>
        <w:rPr>
          <w:rFonts w:ascii="Arial" w:eastAsia="Arial" w:hAnsi="Arial" w:cs="Arial"/>
          <w:b/>
          <w:bCs/>
        </w:rPr>
      </w:pPr>
      <w:r>
        <w:rPr>
          <w:rFonts w:ascii="Arial" w:hAnsi="Arial"/>
        </w:rPr>
        <w:t>يمثل عدم كفاية وانعدام كفاءة نظام الانضباط المالي في القطاع العام عقبة كؤود</w:t>
      </w:r>
      <w:r w:rsidR="00145B20">
        <w:rPr>
          <w:rFonts w:ascii="Arial" w:hAnsi="Arial" w:hint="cs"/>
        </w:rPr>
        <w:t>ًا</w:t>
      </w:r>
      <w:r>
        <w:rPr>
          <w:rFonts w:ascii="Arial" w:hAnsi="Arial"/>
        </w:rPr>
        <w:t xml:space="preserve"> أمام مشاركة القطاع الخاص على جميع مستويات الحكومة، ويشمل ذلك المرافق.</w:t>
      </w:r>
      <w:r w:rsidR="00022F13">
        <w:rPr>
          <w:rFonts w:ascii="Arial" w:hAnsi="Arial"/>
        </w:rPr>
        <w:t xml:space="preserve"> </w:t>
      </w:r>
      <w:r>
        <w:t xml:space="preserve">ويمثل عدم تمتع الأطراف المقابلة من القطاع العام بالملاءة الائتمانية أو انقطاع تدفق الإيرادات بسبب نظام التحصيل المشوه أو تعطل هذا النظام أحد المخاطر الكبرى التي تواجه المستثمرين المحتملين، لا سيما في مجال إعداد وتطوير مشروعات البنية التحتية التي يقوم بها القطاع الخاص. </w:t>
      </w:r>
    </w:p>
    <w:p w14:paraId="59ED9DF1" w14:textId="77777777" w:rsidR="009C510B" w:rsidRPr="007C2372" w:rsidRDefault="009C510B" w:rsidP="007C2372">
      <w:pPr>
        <w:pStyle w:val="ListParagraph"/>
        <w:spacing w:line="240" w:lineRule="auto"/>
        <w:ind w:left="0"/>
        <w:jc w:val="both"/>
        <w:rPr>
          <w:rFonts w:ascii="Times New Roman" w:eastAsia="Calibri" w:hAnsi="Times New Roman" w:cs="Times New Roman"/>
          <w:b/>
          <w:bCs/>
        </w:rPr>
      </w:pPr>
    </w:p>
    <w:p w14:paraId="0BD11B38" w14:textId="77777777" w:rsidR="009C510B" w:rsidRPr="00F06BF0" w:rsidRDefault="4F88A954" w:rsidP="00BF4BE3">
      <w:pPr>
        <w:pStyle w:val="ListParagraph"/>
        <w:numPr>
          <w:ilvl w:val="0"/>
          <w:numId w:val="6"/>
        </w:numPr>
        <w:spacing w:line="240" w:lineRule="auto"/>
        <w:jc w:val="both"/>
        <w:rPr>
          <w:rFonts w:ascii="Arial" w:eastAsia="Arial" w:hAnsi="Arial" w:cs="Arial"/>
          <w:b/>
          <w:bCs/>
        </w:rPr>
      </w:pPr>
      <w:r>
        <w:rPr>
          <w:rFonts w:ascii="Arial" w:hAnsi="Arial"/>
          <w:b/>
          <w:bCs/>
        </w:rPr>
        <w:t>تهدف مساندة مجموعة البنك الدولي لإدارة المالية العامة لدى السلطة الفلسطينية إلى تحسين ثقة القطاع الخاص بهدف القيام باستثمارات في الضفة الغربية وقطاع غزة.</w:t>
      </w:r>
      <w:r w:rsidR="00022F13">
        <w:rPr>
          <w:rFonts w:ascii="Arial" w:hAnsi="Arial"/>
          <w:b/>
          <w:bCs/>
        </w:rPr>
        <w:t xml:space="preserve"> </w:t>
      </w:r>
      <w:r>
        <w:rPr>
          <w:rFonts w:ascii="Arial" w:hAnsi="Arial"/>
        </w:rPr>
        <w:t>وسيستمر البنك الدولي في المساهمة في تحسين إدارة المالية العامة والموازنة والإيرادات لدى السلطة الفلسطينية بالتنسيق مع صندوق النقد الدولي ومن خلال حوار سياسات منتظم، وعمليات خاصة بسياسات التنمية والاستثمار، ومن خلال الخدمات الاستشارية والأعمال التحليلية الممنهجة.</w:t>
      </w:r>
      <w:r w:rsidR="00022F13">
        <w:rPr>
          <w:rFonts w:ascii="Arial" w:hAnsi="Arial"/>
        </w:rPr>
        <w:t xml:space="preserve"> </w:t>
      </w:r>
      <w:r>
        <w:rPr>
          <w:rFonts w:ascii="Arial" w:hAnsi="Arial"/>
        </w:rPr>
        <w:t>وستمثل نفقات قطاع الرعاية الصحية محور تركيز مهم</w:t>
      </w:r>
      <w:r w:rsidR="00145B20">
        <w:rPr>
          <w:rFonts w:ascii="Arial" w:hAnsi="Arial" w:hint="cs"/>
        </w:rPr>
        <w:t>ًا</w:t>
      </w:r>
      <w:r>
        <w:rPr>
          <w:rFonts w:ascii="Arial" w:hAnsi="Arial"/>
        </w:rPr>
        <w:t>، لا سيما، إحالة الحالات الطبية إلى الخارج.</w:t>
      </w:r>
      <w:r w:rsidR="00022F13">
        <w:rPr>
          <w:rFonts w:ascii="Arial" w:hAnsi="Arial"/>
        </w:rPr>
        <w:t xml:space="preserve"> </w:t>
      </w:r>
      <w:r>
        <w:rPr>
          <w:rFonts w:ascii="Arial" w:hAnsi="Arial"/>
        </w:rPr>
        <w:t xml:space="preserve">ومن خلال المساندة التي يتيحها </w:t>
      </w:r>
      <w:r>
        <w:rPr>
          <w:rFonts w:ascii="Arial" w:hAnsi="Arial"/>
          <w:i/>
          <w:iCs/>
        </w:rPr>
        <w:t>المشروع الجاري لتعزيز قدرة قطاع الرعاية الصحية على التكيف والمجابهة</w:t>
      </w:r>
      <w:r>
        <w:rPr>
          <w:rFonts w:ascii="Arial" w:hAnsi="Arial"/>
        </w:rPr>
        <w:t>، ستقوم وزارة الصحة بإعادة التفاوض بشأن عقود الخدمات مع مقدمي الخدمة الخارجيين.</w:t>
      </w:r>
      <w:r w:rsidR="00022F13">
        <w:rPr>
          <w:rFonts w:ascii="Arial" w:hAnsi="Arial"/>
        </w:rPr>
        <w:t xml:space="preserve"> </w:t>
      </w:r>
      <w:r>
        <w:rPr>
          <w:rFonts w:ascii="Arial" w:hAnsi="Arial"/>
        </w:rPr>
        <w:t>وفي مجال المعاشات التقاعدية، سيعمل البنك مع السلطة الفلسطينية للوصول إلى إدارة أكثر نشاطًا للنفقات ــ التي تبلغ حاليًا 3% من إجمالي الناتج المحلي ــ ومن ثم تحرير الموارد من أجل تقديم الخدمات.</w:t>
      </w:r>
      <w:r w:rsidR="00022F13">
        <w:rPr>
          <w:rFonts w:ascii="Arial" w:hAnsi="Arial"/>
        </w:rPr>
        <w:t xml:space="preserve"> </w:t>
      </w:r>
      <w:r>
        <w:rPr>
          <w:rFonts w:ascii="Arial" w:hAnsi="Arial"/>
        </w:rPr>
        <w:t>وهناك مشروع قيد الإعداد يتم تمويله من خلال</w:t>
      </w:r>
      <w:r w:rsidR="00022F13">
        <w:rPr>
          <w:rFonts w:ascii="Arial" w:hAnsi="Arial"/>
        </w:rPr>
        <w:t xml:space="preserve"> </w:t>
      </w:r>
      <w:r>
        <w:rPr>
          <w:rFonts w:ascii="Arial" w:hAnsi="Arial"/>
        </w:rPr>
        <w:t>الصندوق الاستئماني لغزة والضفة الغربية مع موارد صندوق استئماني من الاتحاد الأوروبي والدانمرك، وسيعمل هذا المشروع على تحسين ممارسات الإدارة المالية العامة لوزارة المالية والتخطيط.</w:t>
      </w:r>
      <w:r w:rsidR="00022F13">
        <w:rPr>
          <w:rFonts w:ascii="Arial" w:hAnsi="Arial"/>
        </w:rPr>
        <w:t xml:space="preserve"> </w:t>
      </w:r>
    </w:p>
    <w:p w14:paraId="700DDFB3" w14:textId="77777777" w:rsidR="00F06BF0" w:rsidRPr="00F06BF0" w:rsidRDefault="00F06BF0" w:rsidP="00F06BF0">
      <w:pPr>
        <w:pStyle w:val="ListParagraph"/>
        <w:spacing w:line="240" w:lineRule="auto"/>
        <w:ind w:left="0"/>
        <w:jc w:val="both"/>
        <w:rPr>
          <w:rFonts w:ascii="Times New Roman" w:eastAsia="Calibri" w:hAnsi="Times New Roman" w:cs="Times New Roman"/>
          <w:b/>
          <w:bCs/>
        </w:rPr>
      </w:pPr>
    </w:p>
    <w:p w14:paraId="5F4BC43F" w14:textId="77777777" w:rsidR="00784A20" w:rsidRPr="00EB5C2E" w:rsidRDefault="4F88A954" w:rsidP="00145B20">
      <w:pPr>
        <w:pStyle w:val="ListParagraph"/>
        <w:numPr>
          <w:ilvl w:val="0"/>
          <w:numId w:val="6"/>
        </w:numPr>
        <w:spacing w:after="0" w:line="240" w:lineRule="auto"/>
        <w:jc w:val="both"/>
      </w:pPr>
      <w:r>
        <w:rPr>
          <w:rFonts w:ascii="Arial" w:hAnsi="Arial"/>
          <w:b/>
          <w:bCs/>
        </w:rPr>
        <w:t xml:space="preserve">في إطار هذا البرنامج، سيتم تعزيز المرافق، وتوضيح دورها ووظائفها لزيادة </w:t>
      </w:r>
      <w:r w:rsidR="00145B20">
        <w:rPr>
          <w:rFonts w:ascii="Arial" w:hAnsi="Arial"/>
          <w:b/>
          <w:bCs/>
        </w:rPr>
        <w:t>ف</w:t>
      </w:r>
      <w:r w:rsidR="00145B20">
        <w:rPr>
          <w:rFonts w:ascii="Arial" w:hAnsi="Arial" w:hint="cs"/>
          <w:b/>
          <w:bCs/>
        </w:rPr>
        <w:t>اع</w:t>
      </w:r>
      <w:r w:rsidR="00145B20">
        <w:rPr>
          <w:rFonts w:ascii="Arial" w:hAnsi="Arial"/>
          <w:b/>
          <w:bCs/>
        </w:rPr>
        <w:t>ليتها</w:t>
      </w:r>
      <w:r>
        <w:rPr>
          <w:rFonts w:ascii="Arial" w:hAnsi="Arial"/>
          <w:b/>
          <w:bCs/>
        </w:rPr>
        <w:t>، وزيادة الانضباط المالي، والقدرة على جذب الاستثمارات الخاصة.</w:t>
      </w:r>
      <w:r w:rsidR="00022F13">
        <w:rPr>
          <w:rFonts w:ascii="Arial" w:hAnsi="Arial"/>
          <w:b/>
          <w:bCs/>
        </w:rPr>
        <w:t xml:space="preserve"> </w:t>
      </w:r>
      <w:r>
        <w:rPr>
          <w:rFonts w:ascii="Arial" w:eastAsiaTheme="minorEastAsia" w:hAnsi="Arial"/>
        </w:rPr>
        <w:t>وفي قطاع المياه، سيتم إنشاء شركة وطنية للمياه، وسيقوم برنامج الحكومة المقترح المعني بتطوير قطاع المياه بمساندة هذه الشركة التي تستهدف تحسين أداء مرفق المياه، ويشمل ذلك من خلال عقود الأداء مع المشغلين من القطاع الخاص.</w:t>
      </w:r>
      <w:r w:rsidR="00022F13">
        <w:rPr>
          <w:rFonts w:ascii="Arial" w:eastAsiaTheme="minorEastAsia" w:hAnsi="Arial"/>
        </w:rPr>
        <w:t xml:space="preserve"> </w:t>
      </w:r>
      <w:r>
        <w:rPr>
          <w:rFonts w:ascii="Arial" w:eastAsiaTheme="minorEastAsia" w:hAnsi="Arial"/>
        </w:rPr>
        <w:t>وفي قطاع الطاقة، سيعمل مشروع تحسين أداء قطاع الكهرباء الذي يجري القيام به على تدعيم مجلس تنظيم قطاع الكهرباء الفلسطيني. وتحتاج</w:t>
      </w:r>
      <w:r w:rsidR="00022F13">
        <w:rPr>
          <w:rFonts w:ascii="Arial" w:eastAsiaTheme="minorEastAsia" w:hAnsi="Arial"/>
        </w:rPr>
        <w:t xml:space="preserve"> </w:t>
      </w:r>
      <w:r>
        <w:rPr>
          <w:rFonts w:ascii="Arial" w:eastAsiaTheme="minorEastAsia" w:hAnsi="Arial"/>
        </w:rPr>
        <w:t xml:space="preserve">شركة النقل الوطنية للكهرباء المنشأة حديثًا إلى مساندة هائلة للعمل </w:t>
      </w:r>
      <w:r w:rsidR="00145B20">
        <w:rPr>
          <w:rFonts w:ascii="Arial" w:eastAsiaTheme="minorEastAsia" w:hAnsi="Arial" w:hint="cs"/>
        </w:rPr>
        <w:t xml:space="preserve">بوصفها </w:t>
      </w:r>
      <w:r w:rsidR="00145B20">
        <w:rPr>
          <w:rFonts w:ascii="Arial" w:eastAsiaTheme="minorEastAsia" w:hAnsi="Arial"/>
        </w:rPr>
        <w:t>مشتر</w:t>
      </w:r>
      <w:r w:rsidR="00145B20">
        <w:rPr>
          <w:rFonts w:ascii="Arial" w:eastAsiaTheme="minorEastAsia" w:hAnsi="Arial" w:hint="cs"/>
        </w:rPr>
        <w:t>يًا</w:t>
      </w:r>
      <w:r w:rsidR="00145B20">
        <w:rPr>
          <w:rFonts w:ascii="Arial" w:eastAsiaTheme="minorEastAsia" w:hAnsi="Arial"/>
        </w:rPr>
        <w:t xml:space="preserve"> </w:t>
      </w:r>
      <w:r>
        <w:rPr>
          <w:rFonts w:ascii="Arial" w:eastAsiaTheme="minorEastAsia" w:hAnsi="Arial"/>
        </w:rPr>
        <w:t>منفرد</w:t>
      </w:r>
      <w:r w:rsidR="00145B20">
        <w:rPr>
          <w:rFonts w:ascii="Arial" w:eastAsiaTheme="minorEastAsia" w:hAnsi="Arial" w:hint="cs"/>
        </w:rPr>
        <w:t>ا</w:t>
      </w:r>
      <w:r>
        <w:rPr>
          <w:rFonts w:ascii="Arial" w:eastAsiaTheme="minorEastAsia" w:hAnsi="Arial"/>
        </w:rPr>
        <w:t xml:space="preserve"> ومشغل</w:t>
      </w:r>
      <w:r w:rsidR="00145B20">
        <w:rPr>
          <w:rFonts w:ascii="Arial" w:eastAsiaTheme="minorEastAsia" w:hAnsi="Arial" w:hint="cs"/>
        </w:rPr>
        <w:t>ا</w:t>
      </w:r>
      <w:r>
        <w:rPr>
          <w:rFonts w:ascii="Arial" w:eastAsiaTheme="minorEastAsia" w:hAnsi="Arial"/>
        </w:rPr>
        <w:t xml:space="preserve"> للنظام ــ شراء الطاقة الكهربائية من الموردين الإقليميين، وبيعها لشركات توزيع الكهرباء بناء على التعرفة التي يحددها مجلس تنظيم قطاع الكهرباء الفلسطيني. وحتى يتسنى تنفيذ اتفاقية شراء الطاقة الكهربائية الجديدة بنجاح، ولضمان وجود منتجين للكهرباء مستقلين وقادرين على المنافسة، ثمة حاجة إلى المزيد من أنظمة إدارة النقدية المنضبطة في قطاع الطاقة لدى</w:t>
      </w:r>
      <w:r w:rsidR="00022F13">
        <w:rPr>
          <w:rFonts w:ascii="Arial" w:eastAsiaTheme="minorEastAsia" w:hAnsi="Arial"/>
        </w:rPr>
        <w:t xml:space="preserve"> </w:t>
      </w:r>
      <w:r>
        <w:rPr>
          <w:rFonts w:ascii="Arial" w:eastAsiaTheme="minorEastAsia" w:hAnsi="Arial"/>
        </w:rPr>
        <w:t>شركة النقل الوطنية للكهرباء، وشركات التوزيع، والبلديات.</w:t>
      </w:r>
      <w:r w:rsidR="00022F13">
        <w:rPr>
          <w:rFonts w:ascii="Arial" w:eastAsiaTheme="minorEastAsia" w:hAnsi="Arial"/>
        </w:rPr>
        <w:t xml:space="preserve"> </w:t>
      </w:r>
      <w:r>
        <w:rPr>
          <w:rFonts w:ascii="Arial" w:eastAsiaTheme="minorEastAsia" w:hAnsi="Arial"/>
        </w:rPr>
        <w:t>وستساند منحة السياسات المقدمة من البنك الدولي لتحقيق استقرار المالية العامة وتهيئة بيئة أنشطة الأعمال تعزيز كل من مقدمي الخدمات على المستوى الميداني والمؤسسات على أعلى مستوى في قطاعات المياه والطاقة والصحة ــ وسيتم تقديم مساعدة فنية إضافية.</w:t>
      </w:r>
      <w:r w:rsidR="00022F13">
        <w:rPr>
          <w:rFonts w:ascii="Arial" w:eastAsiaTheme="minorEastAsia" w:hAnsi="Arial"/>
        </w:rPr>
        <w:t xml:space="preserve"> </w:t>
      </w:r>
      <w:r>
        <w:rPr>
          <w:rFonts w:ascii="Arial" w:eastAsiaTheme="minorEastAsia" w:hAnsi="Arial"/>
        </w:rPr>
        <w:t>ومن المتوقع تقديم مساندة لتصميم ترتيبات إدارة للتدفقات النقدية في قطاع الطاقة، وعمل ترتيبات ضمانية واحتياطية وإجراءات موحدة للمناقصات التي تُطرح على منتجي الكهرباء المستقلين.</w:t>
      </w:r>
      <w:r w:rsidR="00022F13">
        <w:rPr>
          <w:rFonts w:ascii="Arial" w:eastAsiaTheme="minorEastAsia" w:hAnsi="Arial"/>
        </w:rPr>
        <w:t xml:space="preserve"> </w:t>
      </w:r>
    </w:p>
    <w:p w14:paraId="78B48637" w14:textId="77777777" w:rsidR="00EB5C2E" w:rsidRPr="00EB5C2E" w:rsidRDefault="00EB5C2E" w:rsidP="00EB5C2E">
      <w:pPr>
        <w:pStyle w:val="ListParagraph"/>
        <w:spacing w:after="0" w:line="240" w:lineRule="auto"/>
        <w:ind w:left="0"/>
        <w:jc w:val="both"/>
      </w:pPr>
    </w:p>
    <w:p w14:paraId="408DEA4F" w14:textId="77777777" w:rsidR="00D16E9F" w:rsidRPr="00F06BF0" w:rsidRDefault="00D16E9F" w:rsidP="00BF4BE3">
      <w:pPr>
        <w:pStyle w:val="ListParagraph"/>
        <w:numPr>
          <w:ilvl w:val="0"/>
          <w:numId w:val="6"/>
        </w:numPr>
        <w:spacing w:after="0" w:line="240" w:lineRule="auto"/>
        <w:jc w:val="both"/>
        <w:rPr>
          <w:rFonts w:ascii="Arial" w:hAnsi="Arial" w:cs="Arial"/>
        </w:rPr>
      </w:pPr>
      <w:r>
        <w:rPr>
          <w:rFonts w:ascii="Arial" w:hAnsi="Arial"/>
          <w:b/>
          <w:bCs/>
        </w:rPr>
        <w:t>ستعمل مجموعة البنك الدولي أيضًا على تعزيز الاستدامة المالية للخدمات البلدية، وتحسين أنظمة وإجراءات وعمليات الإدارة المالية للبلديات ــ وهو شرط أساسي لجذب أنشطة القطاع الخاص.</w:t>
      </w:r>
      <w:r w:rsidR="00022F13">
        <w:rPr>
          <w:rFonts w:ascii="Arial" w:hAnsi="Arial"/>
          <w:b/>
          <w:bCs/>
        </w:rPr>
        <w:t xml:space="preserve"> </w:t>
      </w:r>
      <w:r>
        <w:rPr>
          <w:rFonts w:ascii="Arial" w:hAnsi="Arial"/>
        </w:rPr>
        <w:t xml:space="preserve">وستعمل تحويلات المالية العامة التي تتسم بالشفافية والانتظام من أعلى </w:t>
      </w:r>
      <w:r>
        <w:rPr>
          <w:rFonts w:ascii="Arial" w:hAnsi="Arial"/>
        </w:rPr>
        <w:lastRenderedPageBreak/>
        <w:t>مستوى إلى البلديات على تحسين استقرار المالية العامة وخفض صافي الإقراض.</w:t>
      </w:r>
      <w:r w:rsidR="00022F13">
        <w:rPr>
          <w:rFonts w:ascii="Arial" w:hAnsi="Arial"/>
        </w:rPr>
        <w:t xml:space="preserve"> </w:t>
      </w:r>
      <w:r>
        <w:rPr>
          <w:rFonts w:ascii="Arial" w:hAnsi="Arial"/>
        </w:rPr>
        <w:t>ويدعم البنك</w:t>
      </w:r>
      <w:r w:rsidR="00090DFF">
        <w:rPr>
          <w:rFonts w:ascii="Arial" w:hAnsi="Arial" w:hint="cs"/>
        </w:rPr>
        <w:t xml:space="preserve"> الدولي</w:t>
      </w:r>
      <w:r>
        <w:rPr>
          <w:rFonts w:ascii="Arial" w:hAnsi="Arial"/>
        </w:rPr>
        <w:t xml:space="preserve"> في الوقت الحالي مدى التوافق بين التخطيط وعمليات إعداد الموازنات والمحاسبة من جانب البلديات.</w:t>
      </w:r>
      <w:r w:rsidR="00022F13">
        <w:rPr>
          <w:rFonts w:ascii="Arial" w:hAnsi="Arial"/>
        </w:rPr>
        <w:t xml:space="preserve"> </w:t>
      </w:r>
      <w:r>
        <w:rPr>
          <w:rFonts w:ascii="Arial" w:hAnsi="Arial"/>
        </w:rPr>
        <w:t>وسيتطور صندوق تطوير وإقراض البلديات تدريجيًا حتى يصبح وسيطًا ماليًا يعمل على تسهيل التمويل المستدام للاستثمارات البلدية الأكبر حجمًا التي تمتد لعديد من السنوات.</w:t>
      </w:r>
      <w:r w:rsidR="00022F13">
        <w:rPr>
          <w:rFonts w:ascii="Arial" w:hAnsi="Arial"/>
        </w:rPr>
        <w:t xml:space="preserve"> </w:t>
      </w:r>
      <w:r>
        <w:rPr>
          <w:rFonts w:ascii="Arial" w:hAnsi="Arial"/>
        </w:rPr>
        <w:t>وستتطور قدرة هذا الصندوق لتقييم الملاءة الائتمانية للبلديات التي من المتوقع أن تعمل على تسهيل سبل الوصول إلى المزيد من التمويل التجاري في المستقبل.</w:t>
      </w:r>
      <w:r w:rsidR="00022F13">
        <w:rPr>
          <w:rFonts w:ascii="Arial" w:hAnsi="Arial"/>
        </w:rPr>
        <w:t xml:space="preserve"> </w:t>
      </w:r>
      <w:r>
        <w:rPr>
          <w:rFonts w:ascii="Arial" w:hAnsi="Arial"/>
        </w:rPr>
        <w:t xml:space="preserve">ويجري حاليًا تقديم المساعدة الفنية الرامية إلى تقييم الاقتراض المحتمل من جانب البلديات، وستعمل هذه المساعدة على طرح توصيات بشأن السياسات حول كيفية تعزيز البيئة التنظيمية والبنية المؤسسية لمساعدة البلديات المختارة على الوصول إلى سوق التسهيلات الاستئمانية والقروض البلدية. </w:t>
      </w:r>
    </w:p>
    <w:p w14:paraId="1F62BC22" w14:textId="77777777" w:rsidR="00D16E9F" w:rsidRPr="00145258" w:rsidRDefault="00D16E9F" w:rsidP="00D16E9F">
      <w:pPr>
        <w:spacing w:after="0" w:line="240" w:lineRule="auto"/>
        <w:jc w:val="both"/>
      </w:pPr>
    </w:p>
    <w:p w14:paraId="29D81941" w14:textId="77777777" w:rsidR="00EB5C2E" w:rsidRPr="00245F8E" w:rsidRDefault="4F88A954" w:rsidP="00B77E7D">
      <w:pPr>
        <w:pStyle w:val="ListParagraph"/>
        <w:numPr>
          <w:ilvl w:val="0"/>
          <w:numId w:val="6"/>
        </w:numPr>
        <w:spacing w:after="0" w:line="240" w:lineRule="auto"/>
        <w:jc w:val="both"/>
      </w:pPr>
      <w:r>
        <w:rPr>
          <w:rFonts w:ascii="Arial" w:hAnsi="Arial"/>
          <w:b/>
          <w:bCs/>
        </w:rPr>
        <w:t>من الممكن أن تعمل المساعدة المقدمة من مجموعة البنك الدولي مع الشراكات بين القطاعين العام والخاص التي تتسم بالانتظام على تقديم يد العون لتلبية الاحتياجات الاستثمارية الجوهرية على المستوى البلدي.</w:t>
      </w:r>
      <w:r w:rsidR="00022F13">
        <w:rPr>
          <w:rFonts w:ascii="Arial" w:hAnsi="Arial"/>
          <w:b/>
          <w:bCs/>
        </w:rPr>
        <w:t xml:space="preserve"> </w:t>
      </w:r>
      <w:r>
        <w:rPr>
          <w:rFonts w:ascii="Arial" w:hAnsi="Arial"/>
        </w:rPr>
        <w:t xml:space="preserve">ويبين استعراض لمشروعات الشراكة بين القطاعين العام والخاص على المستوى البلدي اهتمامًا كبيرًا من جانب المستثمرين من القطاع الخاص، لكن غياب بيئة استثمارية منسقة وجيدة الإدارة </w:t>
      </w:r>
      <w:r w:rsidR="00B77E7D">
        <w:rPr>
          <w:rFonts w:ascii="Arial" w:hAnsi="Arial" w:hint="cs"/>
        </w:rPr>
        <w:t>أيضا</w:t>
      </w:r>
      <w:r>
        <w:rPr>
          <w:rFonts w:ascii="Arial" w:hAnsi="Arial"/>
        </w:rPr>
        <w:t>ــ إضافة إلى سجل ضعيف حافل بالإخفاقات من جانب المشروعات</w:t>
      </w:r>
      <w:r w:rsidR="00B77E7D">
        <w:rPr>
          <w:rFonts w:ascii="Arial" w:hAnsi="Arial" w:hint="cs"/>
        </w:rPr>
        <w:t>-</w:t>
      </w:r>
      <w:r>
        <w:rPr>
          <w:rFonts w:ascii="Arial" w:hAnsi="Arial"/>
        </w:rPr>
        <w:t xml:space="preserve"> يسهم في زيادة تردد المستثمرين.</w:t>
      </w:r>
      <w:r w:rsidR="00022F13">
        <w:rPr>
          <w:rFonts w:ascii="Arial" w:hAnsi="Arial"/>
        </w:rPr>
        <w:t xml:space="preserve"> </w:t>
      </w:r>
      <w:r>
        <w:rPr>
          <w:rFonts w:ascii="Arial" w:hAnsi="Arial"/>
        </w:rPr>
        <w:t>ويمثل عدم كفاية وانعدام كفاءة نظام الانضباط المالي في القطاع العام عقبة كؤود</w:t>
      </w:r>
      <w:r w:rsidR="00B77E7D">
        <w:rPr>
          <w:rFonts w:ascii="Arial" w:hAnsi="Arial" w:hint="cs"/>
        </w:rPr>
        <w:t>ًا</w:t>
      </w:r>
      <w:r>
        <w:rPr>
          <w:rFonts w:ascii="Arial" w:hAnsi="Arial"/>
        </w:rPr>
        <w:t xml:space="preserve"> أمام مشاركة القطاع الخاص سواء للتمويل الخاص أو لتمويل مشروعات الشراكة بين القطاعين العام والخاص على جميع مستويات الحكومة، وكذلك بالنسبة للمرافق. ويعتبر المشروع الناجح لإدارة المخلفات الصلبة في جنوب الضفة الغربية في مكب (مطمر) المنيا استثناءً ملحوظًا يقدم دروسًا حول كيف يمكن أن يعمل التعاون وتضافر الجهود على مستوى مجموعة البنك الدولي على تقديم حلول متكاملة لتقديم الخدمات التي تتسم </w:t>
      </w:r>
      <w:r w:rsidR="00B77E7D">
        <w:rPr>
          <w:rFonts w:ascii="Arial" w:hAnsi="Arial"/>
        </w:rPr>
        <w:t>بف</w:t>
      </w:r>
      <w:r w:rsidR="00B77E7D">
        <w:rPr>
          <w:rFonts w:ascii="Arial" w:hAnsi="Arial" w:hint="cs"/>
        </w:rPr>
        <w:t>اعل</w:t>
      </w:r>
      <w:r w:rsidR="00B77E7D">
        <w:rPr>
          <w:rFonts w:ascii="Arial" w:hAnsi="Arial"/>
        </w:rPr>
        <w:t xml:space="preserve">ية </w:t>
      </w:r>
      <w:r>
        <w:rPr>
          <w:rFonts w:ascii="Arial" w:hAnsi="Arial"/>
        </w:rPr>
        <w:t xml:space="preserve">التكاليف، </w:t>
      </w:r>
      <w:r w:rsidR="00090DFF">
        <w:rPr>
          <w:rFonts w:ascii="Arial" w:hAnsi="Arial" w:hint="cs"/>
        </w:rPr>
        <w:t>وكذلك حلول</w:t>
      </w:r>
      <w:r>
        <w:rPr>
          <w:rFonts w:ascii="Arial" w:hAnsi="Arial"/>
        </w:rPr>
        <w:t xml:space="preserve"> خاصة بمشاركة المواطنين في الرصد والمراقبة.</w:t>
      </w:r>
      <w:r w:rsidR="00022F13">
        <w:rPr>
          <w:rFonts w:ascii="Arial" w:hAnsi="Arial"/>
        </w:rPr>
        <w:t xml:space="preserve"> </w:t>
      </w:r>
      <w:r>
        <w:rPr>
          <w:rFonts w:ascii="Arial" w:hAnsi="Arial"/>
        </w:rPr>
        <w:t xml:space="preserve">وفي إطار المشروع الثالث لتطوير البلديات الذي تمت الموافقة </w:t>
      </w:r>
      <w:r w:rsidR="00B77E7D">
        <w:rPr>
          <w:rFonts w:ascii="Arial" w:hAnsi="Arial"/>
        </w:rPr>
        <w:t xml:space="preserve">عليه </w:t>
      </w:r>
      <w:r>
        <w:rPr>
          <w:rFonts w:ascii="Arial" w:hAnsi="Arial"/>
        </w:rPr>
        <w:t>مؤخرًا، يساند البنك الدولي البلديات للدخول في شراكات مع الشركات الخاصة في مشروعات البنية التحتية وتقديم الخدمات عندما تتوفر السلامة التجارية التي تفي باحتياجات الناس.</w:t>
      </w:r>
      <w:r w:rsidR="00022F13">
        <w:rPr>
          <w:rFonts w:ascii="Arial" w:hAnsi="Arial"/>
        </w:rPr>
        <w:t xml:space="preserve"> </w:t>
      </w:r>
      <w:r>
        <w:rPr>
          <w:rFonts w:ascii="Arial" w:hAnsi="Arial"/>
        </w:rPr>
        <w:t>وسيتم إعداد إطار لمشروعات الشراكة بين القطاعين الخاص والعام الخاصة بالبلديات.</w:t>
      </w:r>
      <w:r w:rsidR="00022F13">
        <w:rPr>
          <w:rFonts w:ascii="Arial" w:hAnsi="Arial"/>
        </w:rPr>
        <w:t xml:space="preserve"> </w:t>
      </w:r>
      <w:r>
        <w:rPr>
          <w:rFonts w:ascii="Arial" w:hAnsi="Arial"/>
        </w:rPr>
        <w:t xml:space="preserve">وستقدم مجموعة البنك الدولي مساندة في صورة مساعدة فنية من خلال الأعمال التحليلية ذات الصلة التي يقدمها البنك الدولي ومؤسسة التمويل الدولية حول إعداد إطار للشراكات بين القطاعين العام والخاص، وصياغة الاتفاقيات (يشمل ذلك إدارة المخلفات الصلبة، والأسواق، والمياه والطاقة المتجددة) وسيتم تقديم مساندة المؤسسة الدولية للتنمية والبنك الدولي على نحو تكاملي لتعظيم الأثر المرجو. </w:t>
      </w:r>
    </w:p>
    <w:p w14:paraId="624D8F3A" w14:textId="77777777" w:rsidR="00EE58B4" w:rsidRDefault="00EE58B4" w:rsidP="0038467F">
      <w:pPr>
        <w:pStyle w:val="ListParagraph"/>
        <w:spacing w:after="0" w:line="240" w:lineRule="auto"/>
        <w:ind w:left="0"/>
        <w:jc w:val="center"/>
        <w:rPr>
          <w:rFonts w:ascii="Times New Roman" w:eastAsia="Cambria" w:hAnsi="Times New Roman" w:cs="Times New Roman"/>
          <w:iCs/>
          <w:u w:val="single"/>
        </w:rPr>
      </w:pPr>
    </w:p>
    <w:p w14:paraId="547CA240" w14:textId="77777777" w:rsidR="00410CC9" w:rsidRPr="00593DF6" w:rsidRDefault="4F88A954" w:rsidP="4F88A954">
      <w:pPr>
        <w:pStyle w:val="ListParagraph"/>
        <w:spacing w:after="0" w:line="240" w:lineRule="auto"/>
        <w:ind w:left="0"/>
        <w:jc w:val="center"/>
        <w:rPr>
          <w:rFonts w:ascii="Arial" w:eastAsia="Arial" w:hAnsi="Arial" w:cs="Arial"/>
          <w:b/>
          <w:bCs/>
          <w:i/>
          <w:iCs/>
          <w:u w:val="single"/>
        </w:rPr>
      </w:pPr>
      <w:r>
        <w:rPr>
          <w:rFonts w:ascii="Arial" w:hAnsi="Arial"/>
        </w:rPr>
        <w:t>5.</w:t>
      </w:r>
      <w:r w:rsidR="00022F13">
        <w:rPr>
          <w:rFonts w:ascii="Arial" w:hAnsi="Arial"/>
        </w:rPr>
        <w:t xml:space="preserve"> </w:t>
      </w:r>
      <w:r>
        <w:rPr>
          <w:rFonts w:ascii="Arial" w:hAnsi="Arial"/>
          <w:u w:val="single"/>
        </w:rPr>
        <w:t>إصلاحات القطاع المالي من أجل زيادة توفير سبل الوصول إلى التمويل والأسواق</w:t>
      </w:r>
    </w:p>
    <w:p w14:paraId="4C694698" w14:textId="77777777" w:rsidR="00EF2DC4" w:rsidRPr="003A66C6" w:rsidRDefault="4F88A954" w:rsidP="00B77E7D">
      <w:pPr>
        <w:pStyle w:val="ListParagraph"/>
        <w:numPr>
          <w:ilvl w:val="0"/>
          <w:numId w:val="6"/>
        </w:numPr>
        <w:spacing w:after="0" w:line="240" w:lineRule="auto"/>
        <w:jc w:val="both"/>
        <w:rPr>
          <w:rFonts w:ascii="Arial" w:hAnsi="Arial" w:cs="Arial"/>
          <w:b/>
          <w:bCs/>
        </w:rPr>
      </w:pPr>
      <w:r>
        <w:rPr>
          <w:rFonts w:ascii="Arial" w:hAnsi="Arial"/>
          <w:b/>
          <w:bCs/>
        </w:rPr>
        <w:t>ستعمل المساندة المقدمة من مجموعة البنك الدولي على تقديم يد العون لحسم اختناقات القطاع المالي التي تمنعه من زيادة مساهمته في تنمية وتطوير القطاع الخاص.</w:t>
      </w:r>
      <w:r w:rsidR="00022F13">
        <w:rPr>
          <w:rFonts w:ascii="Arial" w:hAnsi="Arial"/>
          <w:b/>
          <w:bCs/>
        </w:rPr>
        <w:t xml:space="preserve"> </w:t>
      </w:r>
      <w:r>
        <w:rPr>
          <w:rFonts w:ascii="Arial" w:hAnsi="Arial"/>
        </w:rPr>
        <w:t>وسيؤدي تناول قدرة البنوك على تحويل ودائع العملاء قصيرة الأجل إلى أصول قروض طويلة الأجل إلى التصدي لأحد التحديات الرئيسية التي تواجه المستثمرين في مجال البنية التحتية ــ يتمثل هذا التحدي في مدة القروض لدى القطاع المصرفي المحلي التي تعتبر قصيرة للغاية مما يجعلها غير مناسبة للاستثمارات طويلة الأجل بطبيعتها.</w:t>
      </w:r>
      <w:r w:rsidR="00022F13">
        <w:rPr>
          <w:rFonts w:ascii="Arial" w:hAnsi="Arial"/>
        </w:rPr>
        <w:t xml:space="preserve"> </w:t>
      </w:r>
      <w:r>
        <w:rPr>
          <w:rFonts w:ascii="Arial" w:hAnsi="Arial"/>
        </w:rPr>
        <w:t>وستعمل مؤسسة التمويل الدولية على تعميق استثماراتها وعملياتها الاستشارية في قطاع البنوك وقطاع التمويل الأصغر، وزيادة سبل وصول المنشآت الصغرى والصغيرة والمتوسطة إلى التمويل والخدمات المالية، مع التركيز على الشمول المالي والشركات وأنشطة الأعمال التي تمتلكها نساء.</w:t>
      </w:r>
      <w:r w:rsidR="00022F13">
        <w:rPr>
          <w:rFonts w:ascii="Arial" w:hAnsi="Arial"/>
        </w:rPr>
        <w:t xml:space="preserve"> </w:t>
      </w:r>
      <w:r>
        <w:rPr>
          <w:rFonts w:ascii="Arial" w:hAnsi="Arial"/>
        </w:rPr>
        <w:t>وستساند الأعمال الاستشارية المقدمة من مؤسسة التمويل الدولية هيئة سوق رأس المال الفلسطينية ووزارة الاقتصاد الوطني التابعة للسلطة الفلسطينية فيما يتعلق بقانون الإيجار التمويلي والمعاملات المضمونة لتهيئة بيئة أكثر دعمًا لتوفير التمويل للمنشآت الصغرى والصغيرة والمتوسطة.</w:t>
      </w:r>
      <w:r w:rsidR="00022F13">
        <w:rPr>
          <w:rFonts w:ascii="Arial" w:hAnsi="Arial"/>
        </w:rPr>
        <w:t xml:space="preserve"> </w:t>
      </w:r>
      <w:r>
        <w:rPr>
          <w:rFonts w:ascii="Arial" w:hAnsi="Arial"/>
        </w:rPr>
        <w:t>وستواصل مؤسسة التمويل الدولية تقديم المساندة لأعمال حوكمة الشركات مع هيئة سوق رأس المال الفلسطينية.</w:t>
      </w:r>
      <w:r w:rsidR="00022F13">
        <w:rPr>
          <w:rFonts w:ascii="Arial" w:hAnsi="Arial"/>
        </w:rPr>
        <w:t xml:space="preserve"> </w:t>
      </w:r>
      <w:r>
        <w:rPr>
          <w:rFonts w:ascii="Arial" w:hAnsi="Arial"/>
        </w:rPr>
        <w:t xml:space="preserve">وفي إطار </w:t>
      </w:r>
      <w:r>
        <w:rPr>
          <w:rFonts w:ascii="Arial" w:hAnsi="Arial"/>
          <w:i/>
          <w:iCs/>
        </w:rPr>
        <w:t>النافذة الاستشارية لإنشاء الأسواق التابعة لمؤسسة التمويل الدولية</w:t>
      </w:r>
      <w:r>
        <w:rPr>
          <w:rFonts w:ascii="Arial" w:hAnsi="Arial"/>
        </w:rPr>
        <w:t xml:space="preserve">، ستعمل المؤسسة على تقديم المساندة للقطاع المصرفي الفلسطيني بهدف توسيع المنتجات التي يطرحها (على سبيل المثال، التمويل الإسلامي)، وكذلك تعزيز التمويل الأصغر في إطار </w:t>
      </w:r>
      <w:r w:rsidR="00B77E7D">
        <w:rPr>
          <w:rFonts w:ascii="Arial" w:hAnsi="Arial"/>
        </w:rPr>
        <w:t>ال</w:t>
      </w:r>
      <w:r w:rsidR="00B77E7D">
        <w:rPr>
          <w:rFonts w:ascii="Arial" w:hAnsi="Arial" w:hint="cs"/>
        </w:rPr>
        <w:t>إ</w:t>
      </w:r>
      <w:r w:rsidR="00B77E7D">
        <w:rPr>
          <w:rFonts w:ascii="Arial" w:hAnsi="Arial"/>
        </w:rPr>
        <w:t xml:space="preserve">ستراتيجية </w:t>
      </w:r>
      <w:r>
        <w:rPr>
          <w:rFonts w:ascii="Arial" w:hAnsi="Arial"/>
        </w:rPr>
        <w:t>الجديدة للسلطة الفلسطينية الخاصة بهذا القطاع.</w:t>
      </w:r>
      <w:r w:rsidR="00022F13">
        <w:rPr>
          <w:rFonts w:ascii="Arial" w:hAnsi="Arial"/>
        </w:rPr>
        <w:t xml:space="preserve"> </w:t>
      </w:r>
      <w:r>
        <w:rPr>
          <w:rFonts w:ascii="Arial" w:hAnsi="Arial"/>
        </w:rPr>
        <w:t>ويساند البنك الدولي في الوقت الحالي أول تقييم مخاطر تقوم به سلطة النقد الفلسطينية بشأن مكافحة غسل الأموال ومحاربة تمويل الإرهاب. وسيعمل ذلك على توجيه واضعي السياسات لتحسين تحديد ومعالجة المخاطر والتهديدات التي تواجه القطاع المالي.</w:t>
      </w:r>
      <w:r w:rsidR="00022F13">
        <w:rPr>
          <w:rFonts w:ascii="Arial" w:hAnsi="Arial"/>
        </w:rPr>
        <w:t xml:space="preserve"> </w:t>
      </w:r>
      <w:r>
        <w:rPr>
          <w:rFonts w:ascii="Arial" w:hAnsi="Arial"/>
        </w:rPr>
        <w:t>وفي الوقت نفسه، ستساعد مجموعة البنك الدولي القطاع المصرفي الفلسطيني والشركات الفلسطينية على تخفيف الآثار السلبية المحتملة من جراء إجراءات تخفيف المخاطر التي تقوم بها البنوك الإسرائيلية.</w:t>
      </w:r>
      <w:r w:rsidR="00022F13">
        <w:rPr>
          <w:rFonts w:ascii="Arial" w:hAnsi="Arial"/>
        </w:rPr>
        <w:t xml:space="preserve"> </w:t>
      </w:r>
    </w:p>
    <w:p w14:paraId="7DC60AC9" w14:textId="77777777" w:rsidR="00C12463" w:rsidRDefault="00C12463" w:rsidP="4F88A954">
      <w:pPr>
        <w:spacing w:after="0" w:line="240" w:lineRule="auto"/>
        <w:jc w:val="center"/>
        <w:rPr>
          <w:rFonts w:ascii="Times New Roman" w:eastAsia="Calibri" w:hAnsi="Times New Roman" w:cs="Times New Roman"/>
          <w:b/>
          <w:bCs/>
          <w:u w:val="single"/>
        </w:rPr>
      </w:pPr>
    </w:p>
    <w:p w14:paraId="3198AB7E" w14:textId="77777777" w:rsidR="00EF2DC4" w:rsidRPr="003B0016" w:rsidRDefault="4F88A954" w:rsidP="4F88A954">
      <w:pPr>
        <w:spacing w:after="0" w:line="240" w:lineRule="auto"/>
        <w:jc w:val="center"/>
        <w:rPr>
          <w:rFonts w:ascii="Arial" w:eastAsia="Arial" w:hAnsi="Arial" w:cs="Arial"/>
          <w:b/>
          <w:bCs/>
          <w:u w:val="single"/>
        </w:rPr>
      </w:pPr>
      <w:r>
        <w:rPr>
          <w:rFonts w:ascii="Arial" w:hAnsi="Arial"/>
          <w:b/>
          <w:bCs/>
          <w:u w:val="single"/>
        </w:rPr>
        <w:t>الركيزة 2. صندوق تعزيز القطاع الخاص لتحقيق استثمارات هذا القطاع</w:t>
      </w:r>
    </w:p>
    <w:p w14:paraId="48F7DEF5" w14:textId="77777777" w:rsidR="00EF2DC4" w:rsidRDefault="00EF2DC4" w:rsidP="00EF2DC4">
      <w:pPr>
        <w:pStyle w:val="ListParagraph"/>
        <w:spacing w:after="0" w:line="240" w:lineRule="auto"/>
        <w:ind w:left="0"/>
        <w:jc w:val="both"/>
        <w:rPr>
          <w:rFonts w:ascii="Times New Roman" w:eastAsia="Cambria" w:hAnsi="Times New Roman" w:cs="Times New Roman"/>
          <w:iCs/>
        </w:rPr>
      </w:pPr>
    </w:p>
    <w:p w14:paraId="68314334" w14:textId="77777777" w:rsidR="00980556" w:rsidRPr="0034412F" w:rsidRDefault="00980556" w:rsidP="00B77E7D">
      <w:pPr>
        <w:pStyle w:val="ListParagraph"/>
        <w:numPr>
          <w:ilvl w:val="0"/>
          <w:numId w:val="6"/>
        </w:numPr>
        <w:spacing w:before="100" w:beforeAutospacing="1" w:after="0" w:line="240" w:lineRule="auto"/>
        <w:jc w:val="both"/>
        <w:rPr>
          <w:rFonts w:ascii="Arial" w:eastAsia="Arial" w:hAnsi="Arial" w:cs="Arial"/>
        </w:rPr>
      </w:pPr>
      <w:r>
        <w:rPr>
          <w:rFonts w:ascii="Arial" w:hAnsi="Arial"/>
        </w:rPr>
        <w:t>ستعمل الإصلاحات التي تجري مساندتها في إطار الركيزة الأولى أعلاه على إرساء الأساس لتقوية نشاط القطاع الخاص من خلال المساعدة في تحسين بيئة أنشطة الأعمال.</w:t>
      </w:r>
      <w:r w:rsidR="00022F13">
        <w:rPr>
          <w:rFonts w:ascii="Arial" w:hAnsi="Arial"/>
        </w:rPr>
        <w:t xml:space="preserve"> </w:t>
      </w:r>
      <w:r>
        <w:rPr>
          <w:rFonts w:ascii="Arial" w:hAnsi="Arial"/>
        </w:rPr>
        <w:t xml:space="preserve">وعلى المدى القصير، ستستمر مجموعة البنك الدولي في استخدام الأموال الموجودة التي يديرها البنك الدولي ومؤسسة التمويل الدولية والوكالة الدولية لضمان الاستثمار والاستفادة منها في مساندة هذه </w:t>
      </w:r>
      <w:r w:rsidR="00B77E7D">
        <w:rPr>
          <w:rFonts w:ascii="Arial" w:hAnsi="Arial"/>
        </w:rPr>
        <w:t>ال</w:t>
      </w:r>
      <w:r w:rsidR="00B77E7D">
        <w:rPr>
          <w:rFonts w:ascii="Arial" w:hAnsi="Arial" w:hint="cs"/>
        </w:rPr>
        <w:t>إ</w:t>
      </w:r>
      <w:r w:rsidR="00B77E7D">
        <w:rPr>
          <w:rFonts w:ascii="Arial" w:hAnsi="Arial"/>
        </w:rPr>
        <w:t xml:space="preserve">ستراتيجية </w:t>
      </w:r>
      <w:r>
        <w:rPr>
          <w:rFonts w:ascii="Arial" w:hAnsi="Arial"/>
        </w:rPr>
        <w:t>الجديدة، والنهج التكاملي المعني (المسار الأول).</w:t>
      </w:r>
      <w:r w:rsidR="00022F13">
        <w:rPr>
          <w:rFonts w:ascii="Arial" w:hAnsi="Arial"/>
        </w:rPr>
        <w:t xml:space="preserve"> </w:t>
      </w:r>
      <w:r>
        <w:rPr>
          <w:rFonts w:ascii="Arial" w:hAnsi="Arial"/>
        </w:rPr>
        <w:t>وعلاوة على ذلك، ستكون هناك حاجة إلى مساندة مباشرة للمساعدة في هيكلة المشروعات التي يمكن تمويلها من البنوك وتعبئة الاستثمارات اللازمة.</w:t>
      </w:r>
      <w:r w:rsidR="00022F13">
        <w:rPr>
          <w:rFonts w:ascii="Arial" w:hAnsi="Arial"/>
        </w:rPr>
        <w:t xml:space="preserve"> </w:t>
      </w:r>
      <w:r>
        <w:rPr>
          <w:rFonts w:ascii="Arial" w:hAnsi="Arial"/>
        </w:rPr>
        <w:t xml:space="preserve">وبعد مناقشة مجلس المديرين التنفيذيين </w:t>
      </w:r>
      <w:r w:rsidR="00B77E7D">
        <w:rPr>
          <w:rFonts w:ascii="Arial" w:hAnsi="Arial"/>
        </w:rPr>
        <w:t>ل</w:t>
      </w:r>
      <w:r w:rsidR="00B77E7D">
        <w:rPr>
          <w:rFonts w:ascii="Arial" w:hAnsi="Arial" w:hint="cs"/>
        </w:rPr>
        <w:t>إ</w:t>
      </w:r>
      <w:r w:rsidR="00B77E7D">
        <w:rPr>
          <w:rFonts w:ascii="Arial" w:hAnsi="Arial"/>
        </w:rPr>
        <w:t xml:space="preserve">ستراتيجية </w:t>
      </w:r>
      <w:r>
        <w:rPr>
          <w:rFonts w:ascii="Arial" w:hAnsi="Arial"/>
        </w:rPr>
        <w:t xml:space="preserve">المساعدة للسنوات المالية 2018 - 2021، ستقوم مجموعة البنك الدولي بناء على ذلك بإطلاق صندوق جديد لتعزيز القطاع الخاص، وبعد ذلك ستحدد هيكله وعملياته ونظام الحكومة فيه، ويشمل ذلك الدور المحتمل لمؤسسة التمويل الدولية والوكالة الدولية لضمان الاستثمار (المسار الثاني). </w:t>
      </w:r>
    </w:p>
    <w:p w14:paraId="44EC18CD" w14:textId="77777777" w:rsidR="004A6423" w:rsidRPr="00D07353" w:rsidRDefault="004A6423">
      <w:pPr>
        <w:pStyle w:val="ListParagraph"/>
        <w:spacing w:after="0" w:line="240" w:lineRule="auto"/>
        <w:ind w:left="0"/>
        <w:jc w:val="both"/>
        <w:rPr>
          <w:rFonts w:ascii="Times New Roman" w:eastAsia="Cambria" w:hAnsi="Times New Roman" w:cs="Times New Roman"/>
          <w:iCs/>
        </w:rPr>
      </w:pPr>
    </w:p>
    <w:p w14:paraId="3080546E" w14:textId="77777777" w:rsidR="006165CA" w:rsidRDefault="4F88A954" w:rsidP="00850E9A">
      <w:pPr>
        <w:pStyle w:val="ListParagraph"/>
        <w:numPr>
          <w:ilvl w:val="0"/>
          <w:numId w:val="6"/>
        </w:numPr>
        <w:spacing w:after="0" w:line="240" w:lineRule="auto"/>
        <w:jc w:val="both"/>
        <w:rPr>
          <w:rFonts w:ascii="Arial" w:eastAsia="Arial" w:hAnsi="Arial" w:cs="Arial"/>
        </w:rPr>
      </w:pPr>
      <w:r>
        <w:rPr>
          <w:rFonts w:ascii="Arial" w:hAnsi="Arial"/>
          <w:b/>
          <w:bCs/>
        </w:rPr>
        <w:lastRenderedPageBreak/>
        <w:t xml:space="preserve">سيعمل صندوق تعزيز القطاع الخاص على تخفيف المخاطر السياسية، كما سيقدم أدوات تمويل مختلط غاية </w:t>
      </w:r>
      <w:r w:rsidR="00B77E7D">
        <w:rPr>
          <w:rFonts w:ascii="Arial" w:hAnsi="Arial"/>
          <w:b/>
          <w:bCs/>
        </w:rPr>
        <w:t xml:space="preserve">في </w:t>
      </w:r>
      <w:r>
        <w:rPr>
          <w:rFonts w:ascii="Arial" w:hAnsi="Arial"/>
          <w:b/>
          <w:bCs/>
        </w:rPr>
        <w:t>الأهمية للوصول إمكانية تمويل المشروعات من خلال البنوك مع إمكانية إيجاد فرص عمل في سياق مرتفع المخاطر في الضفة الغربية وقطاع غزة.</w:t>
      </w:r>
      <w:r>
        <w:rPr>
          <w:rFonts w:ascii="Arial" w:hAnsi="Arial"/>
        </w:rPr>
        <w:t xml:space="preserve"> وسيتضمن هذا الصندوق 4 مكونات أساسية:</w:t>
      </w:r>
      <w:r w:rsidR="00022F13">
        <w:rPr>
          <w:rFonts w:ascii="Arial" w:hAnsi="Arial"/>
        </w:rPr>
        <w:t xml:space="preserve"> </w:t>
      </w:r>
      <w:r>
        <w:rPr>
          <w:rFonts w:ascii="Arial" w:hAnsi="Arial"/>
        </w:rPr>
        <w:t>(1) مكون خاص بهيكلة المشروعات للمساعدة في هيكلة مجموعة جاهزة من المشروعات الخاصة، ومشروعات في إطار الشراكة بين القطاعين العام والخاص؛ (2) نافذة تأمين لتغطية المخاطر السياسية؛ (3) نافذة للتمويل المختلط؛ (4) نافذة لمنح التمويل المشترك للاستثمار</w:t>
      </w:r>
      <w:r w:rsidR="00441AF0">
        <w:rPr>
          <w:rFonts w:ascii="Arial" w:hAnsi="Arial" w:hint="cs"/>
        </w:rPr>
        <w:t>ات</w:t>
      </w:r>
      <w:r>
        <w:rPr>
          <w:rFonts w:ascii="Arial" w:hAnsi="Arial"/>
        </w:rPr>
        <w:t>. وتدعيمًا لالتزامه إزاء صندوق تعزيز القطاع الخاص، سيقوم البنك</w:t>
      </w:r>
      <w:r w:rsidR="00441AF0">
        <w:rPr>
          <w:rFonts w:ascii="Arial" w:hAnsi="Arial" w:hint="cs"/>
        </w:rPr>
        <w:t xml:space="preserve"> الدولي</w:t>
      </w:r>
      <w:r>
        <w:rPr>
          <w:rFonts w:ascii="Arial" w:hAnsi="Arial"/>
        </w:rPr>
        <w:t xml:space="preserve"> بتخصيص تمويل مبدئي للصندوق يتم استخدامه في المكون الخاص بتأمين المخاطر السياسية والمكون الخاص بالتمويل المختلط.</w:t>
      </w:r>
      <w:r w:rsidR="00022F13">
        <w:rPr>
          <w:rFonts w:ascii="Arial" w:hAnsi="Arial"/>
        </w:rPr>
        <w:t xml:space="preserve"> </w:t>
      </w:r>
      <w:r>
        <w:rPr>
          <w:rFonts w:ascii="Arial" w:hAnsi="Arial"/>
        </w:rPr>
        <w:t>ويقترح البنك الدولي تحويل 20 مليون دولار من</w:t>
      </w:r>
      <w:r w:rsidR="00022F13">
        <w:rPr>
          <w:rFonts w:ascii="Arial" w:hAnsi="Arial"/>
        </w:rPr>
        <w:t xml:space="preserve"> </w:t>
      </w:r>
      <w:r>
        <w:rPr>
          <w:rFonts w:ascii="Arial" w:hAnsi="Arial"/>
        </w:rPr>
        <w:t>الصندوق الاستئماني لغزة والضفة الغربية إلى صندوق تعزيز القطاع الخاص أثناء السنة المالية 2018، وسيدرس تقديم مخصصات إضافية في السنوات التالية.</w:t>
      </w:r>
      <w:r w:rsidR="00022F13">
        <w:rPr>
          <w:rFonts w:ascii="Arial" w:hAnsi="Arial"/>
        </w:rPr>
        <w:t xml:space="preserve"> </w:t>
      </w:r>
      <w:r>
        <w:rPr>
          <w:rFonts w:ascii="Arial" w:hAnsi="Arial"/>
        </w:rPr>
        <w:t>ويتمثل الهدف من وراء ذلك في تعبئة تمويل إضافي من المانحين مع مساهمة البنك الدولي.</w:t>
      </w:r>
      <w:r w:rsidR="00022F13">
        <w:rPr>
          <w:rFonts w:ascii="Arial" w:hAnsi="Arial"/>
        </w:rPr>
        <w:t xml:space="preserve"> </w:t>
      </w:r>
      <w:r>
        <w:rPr>
          <w:rFonts w:ascii="Arial" w:hAnsi="Arial"/>
        </w:rPr>
        <w:t>وسيتم التوسع في هذا الصندوق؛ وإذا ما حدث تقدم</w:t>
      </w:r>
      <w:r w:rsidR="00022F13">
        <w:rPr>
          <w:rFonts w:ascii="Arial" w:hAnsi="Arial"/>
        </w:rPr>
        <w:t xml:space="preserve"> </w:t>
      </w:r>
      <w:r>
        <w:rPr>
          <w:rFonts w:ascii="Arial" w:hAnsi="Arial"/>
        </w:rPr>
        <w:t>في عملية السلام مع زيادة التمويل المتاح، من الممكن توجيه جزء من هذه الأموال من خلال النافذة المقترحة للتأمين ضد المخاطر السياسية، ونافذة التمويل المختلط، ونافذة التمويل المشترك للاستثمارات بهدف تسريع وتيرة استجابة القطاع الخاص، والسماح بالقيام بالمشروعات الأخرى الكبرى بمشاركة القطاع الخاص.</w:t>
      </w:r>
      <w:r w:rsidR="00022F13">
        <w:rPr>
          <w:rFonts w:ascii="Arial" w:hAnsi="Arial"/>
        </w:rPr>
        <w:t xml:space="preserve"> </w:t>
      </w:r>
      <w:r>
        <w:rPr>
          <w:rFonts w:ascii="Arial" w:hAnsi="Arial"/>
        </w:rPr>
        <w:t xml:space="preserve">وعلى الرغم من أن تجربة مؤسسة التمويل الدولية تتمثل في تحقيق نسبة رفع مالي تبلغ </w:t>
      </w:r>
      <w:r w:rsidR="00850E9A">
        <w:rPr>
          <w:rFonts w:ascii="Arial" w:hAnsi="Arial" w:hint="cs"/>
        </w:rPr>
        <w:t>3:1</w:t>
      </w:r>
      <w:r>
        <w:rPr>
          <w:rFonts w:ascii="Arial" w:hAnsi="Arial"/>
        </w:rPr>
        <w:t xml:space="preserve"> بين التمويل المقدم من المانحين والاستثمارات الخاصة، لكن الهدف هو تحقيق نسبة رفع مالي تصل إلى </w:t>
      </w:r>
      <w:r w:rsidR="00850E9A">
        <w:rPr>
          <w:rFonts w:ascii="Arial" w:hAnsi="Arial" w:hint="cs"/>
        </w:rPr>
        <w:t>5:1</w:t>
      </w:r>
      <w:r>
        <w:rPr>
          <w:rFonts w:ascii="Arial" w:hAnsi="Arial"/>
        </w:rPr>
        <w:t xml:space="preserve"> في إطار صندوق تعزيز القطاع الخاص مع التوسع في نطاق هذا الصندوق.</w:t>
      </w:r>
      <w:r w:rsidR="00022F13">
        <w:rPr>
          <w:rFonts w:ascii="Arial" w:hAnsi="Arial"/>
        </w:rPr>
        <w:t xml:space="preserve"> </w:t>
      </w:r>
    </w:p>
    <w:p w14:paraId="4633BF46" w14:textId="77777777" w:rsidR="006165CA" w:rsidRDefault="006165CA">
      <w:pPr>
        <w:rPr>
          <w:rFonts w:ascii="Arial" w:eastAsia="Arial" w:hAnsi="Arial" w:cs="Arial"/>
        </w:rPr>
      </w:pPr>
      <w:r>
        <w:br w:type="page"/>
      </w:r>
    </w:p>
    <w:p w14:paraId="4A3DCCED" w14:textId="77777777" w:rsidR="00EF2DC4" w:rsidRPr="00FF45E9" w:rsidRDefault="00BC6D75" w:rsidP="4F88A954">
      <w:pPr>
        <w:pStyle w:val="Caption"/>
        <w:spacing w:after="0"/>
        <w:jc w:val="center"/>
        <w:rPr>
          <w:rFonts w:ascii="Arial" w:hAnsi="Arial" w:cs="Arial"/>
        </w:rPr>
      </w:pPr>
      <w:bookmarkStart w:id="33" w:name="_Toc496110890"/>
      <w:r>
        <w:rPr>
          <w:rFonts w:ascii="Arial" w:hAnsi="Arial"/>
          <w:i w:val="0"/>
          <w:color w:val="auto"/>
          <w:sz w:val="22"/>
          <w:szCs w:val="22"/>
        </w:rPr>
        <w:lastRenderedPageBreak/>
        <w:t>الجدول</w:t>
      </w:r>
      <w:r w:rsidR="00022F13">
        <w:rPr>
          <w:rFonts w:ascii="Arial" w:hAnsi="Arial"/>
          <w:i w:val="0"/>
          <w:color w:val="auto"/>
          <w:sz w:val="22"/>
          <w:szCs w:val="22"/>
        </w:rPr>
        <w:t xml:space="preserve"> </w:t>
      </w:r>
      <w:r w:rsidR="00350F3E" w:rsidRPr="4F88A954">
        <w:fldChar w:fldCharType="begin"/>
      </w:r>
      <w:r w:rsidRPr="002914B8">
        <w:rPr>
          <w:rFonts w:ascii="Times New Roman" w:hAnsi="Times New Roman" w:cs="Times New Roman"/>
          <w:i w:val="0"/>
          <w:iCs w:val="0"/>
          <w:color w:val="auto"/>
          <w:sz w:val="22"/>
          <w:szCs w:val="22"/>
        </w:rPr>
        <w:instrText xml:space="preserve"> SEQ Table \* ARABIC </w:instrText>
      </w:r>
      <w:r w:rsidR="00350F3E" w:rsidRPr="4F88A954">
        <w:rPr>
          <w:rFonts w:ascii="Times New Roman" w:hAnsi="Times New Roman" w:cs="Times New Roman"/>
          <w:i w:val="0"/>
          <w:iCs w:val="0"/>
          <w:color w:val="auto"/>
          <w:sz w:val="22"/>
          <w:szCs w:val="22"/>
        </w:rPr>
        <w:fldChar w:fldCharType="separate"/>
      </w:r>
      <w:r w:rsidR="00C42B2C">
        <w:rPr>
          <w:rFonts w:ascii="Times New Roman" w:hAnsi="Times New Roman" w:cs="Times New Roman"/>
          <w:i w:val="0"/>
          <w:iCs w:val="0"/>
          <w:noProof/>
          <w:color w:val="auto"/>
          <w:sz w:val="22"/>
          <w:szCs w:val="22"/>
        </w:rPr>
        <w:t>2</w:t>
      </w:r>
      <w:r w:rsidR="00350F3E" w:rsidRPr="4F88A954">
        <w:fldChar w:fldCharType="end"/>
      </w:r>
      <w:r>
        <w:rPr>
          <w:rFonts w:ascii="Arial" w:hAnsi="Arial"/>
          <w:i w:val="0"/>
          <w:color w:val="auto"/>
          <w:sz w:val="22"/>
          <w:szCs w:val="22"/>
        </w:rPr>
        <w:t>. الركيزة الثانية النواتج ومجالات المشاركة</w:t>
      </w:r>
      <w:bookmarkEnd w:id="33"/>
      <w:r>
        <w:rPr>
          <w:rFonts w:ascii="Arial" w:hAnsi="Arial"/>
          <w:i w:val="0"/>
          <w:color w:val="auto"/>
          <w:sz w:val="22"/>
          <w:szCs w:val="22"/>
        </w:rPr>
        <w:t xml:space="preserve"> </w:t>
      </w:r>
    </w:p>
    <w:tbl>
      <w:tblPr>
        <w:tblStyle w:val="TableGrid"/>
        <w:bidiVisual/>
        <w:tblW w:w="0" w:type="auto"/>
        <w:jc w:val="center"/>
        <w:tblLook w:val="04A0" w:firstRow="1" w:lastRow="0" w:firstColumn="1" w:lastColumn="0" w:noHBand="0" w:noVBand="1"/>
      </w:tblPr>
      <w:tblGrid>
        <w:gridCol w:w="1615"/>
        <w:gridCol w:w="7650"/>
      </w:tblGrid>
      <w:tr w:rsidR="00EF2DC4" w:rsidRPr="00FF3C01" w14:paraId="7B00C96F" w14:textId="77777777">
        <w:trPr>
          <w:jc w:val="center"/>
        </w:trPr>
        <w:tc>
          <w:tcPr>
            <w:tcW w:w="1615" w:type="dxa"/>
          </w:tcPr>
          <w:p w14:paraId="3FEB7A89" w14:textId="77777777" w:rsidR="00EF2DC4" w:rsidRPr="00FF3C01" w:rsidRDefault="4F88A954" w:rsidP="4F88A954">
            <w:pPr>
              <w:rPr>
                <w:rFonts w:ascii="Arial" w:eastAsia="Arial" w:hAnsi="Arial" w:cs="Arial"/>
              </w:rPr>
            </w:pPr>
            <w:r>
              <w:rPr>
                <w:rFonts w:ascii="Arial" w:hAnsi="Arial"/>
                <w:b/>
                <w:bCs/>
              </w:rPr>
              <w:t>النواتج المقترحة</w:t>
            </w:r>
          </w:p>
        </w:tc>
        <w:tc>
          <w:tcPr>
            <w:tcW w:w="7650" w:type="dxa"/>
            <w:vAlign w:val="center"/>
          </w:tcPr>
          <w:p w14:paraId="47C8BCD3" w14:textId="77777777" w:rsidR="00EF2DC4" w:rsidRPr="00FF3C01" w:rsidRDefault="4F88A954" w:rsidP="4F88A954">
            <w:pPr>
              <w:rPr>
                <w:rFonts w:ascii="Arial" w:eastAsia="Arial" w:hAnsi="Arial" w:cs="Arial"/>
                <w:b/>
                <w:bCs/>
              </w:rPr>
            </w:pPr>
            <w:r>
              <w:rPr>
                <w:rFonts w:ascii="Arial" w:hAnsi="Arial"/>
                <w:b/>
                <w:bCs/>
              </w:rPr>
              <w:t xml:space="preserve">التمويل الذي تمت تعبئته من أجل استثمارات محددة ومعاملات مهيكلة </w:t>
            </w:r>
          </w:p>
        </w:tc>
      </w:tr>
      <w:tr w:rsidR="00FD0059" w:rsidRPr="00FF3C01" w14:paraId="0C3A2F72" w14:textId="77777777">
        <w:trPr>
          <w:jc w:val="center"/>
        </w:trPr>
        <w:tc>
          <w:tcPr>
            <w:tcW w:w="1615" w:type="dxa"/>
            <w:vMerge w:val="restart"/>
          </w:tcPr>
          <w:p w14:paraId="683C9EE8" w14:textId="77777777" w:rsidR="00FD0059" w:rsidRPr="00FF3C01" w:rsidRDefault="00FD0059" w:rsidP="00974086">
            <w:pPr>
              <w:rPr>
                <w:rFonts w:ascii="Times New Roman" w:eastAsia="Calibri" w:hAnsi="Times New Roman" w:cs="Times New Roman"/>
                <w:bCs/>
              </w:rPr>
            </w:pPr>
          </w:p>
        </w:tc>
        <w:tc>
          <w:tcPr>
            <w:tcW w:w="7650" w:type="dxa"/>
          </w:tcPr>
          <w:p w14:paraId="78A92696" w14:textId="77777777" w:rsidR="00FD0059" w:rsidRPr="00604216" w:rsidRDefault="00FD0059" w:rsidP="4F88A954">
            <w:pPr>
              <w:rPr>
                <w:rFonts w:ascii="Arial" w:eastAsia="Arial" w:hAnsi="Arial" w:cs="Arial"/>
              </w:rPr>
            </w:pPr>
            <w:r>
              <w:rPr>
                <w:rFonts w:ascii="Arial" w:hAnsi="Arial"/>
              </w:rPr>
              <w:t xml:space="preserve">1. مساندة مجموعة البنك الدولي لتجميع المستثمرين وهيكلة معاملات محددة </w:t>
            </w:r>
          </w:p>
        </w:tc>
      </w:tr>
      <w:tr w:rsidR="00FD0059" w:rsidRPr="00FF3C01" w14:paraId="63E8F686" w14:textId="77777777">
        <w:trPr>
          <w:jc w:val="center"/>
        </w:trPr>
        <w:tc>
          <w:tcPr>
            <w:tcW w:w="1615" w:type="dxa"/>
            <w:vMerge/>
          </w:tcPr>
          <w:p w14:paraId="2F3AF212" w14:textId="77777777" w:rsidR="00FD0059" w:rsidRPr="00FF3C01" w:rsidRDefault="00FD0059" w:rsidP="00974086">
            <w:pPr>
              <w:rPr>
                <w:rFonts w:ascii="Times New Roman" w:eastAsia="Calibri" w:hAnsi="Times New Roman" w:cs="Times New Roman"/>
                <w:bCs/>
              </w:rPr>
            </w:pPr>
          </w:p>
        </w:tc>
        <w:tc>
          <w:tcPr>
            <w:tcW w:w="7650" w:type="dxa"/>
          </w:tcPr>
          <w:p w14:paraId="03656539" w14:textId="77777777" w:rsidR="00FD0059" w:rsidRPr="00FF3C01" w:rsidRDefault="00FD0059" w:rsidP="4F88A954">
            <w:pPr>
              <w:rPr>
                <w:rFonts w:ascii="Arial" w:eastAsia="Arial" w:hAnsi="Arial" w:cs="Arial"/>
              </w:rPr>
            </w:pPr>
            <w:r>
              <w:rPr>
                <w:rFonts w:ascii="Arial" w:hAnsi="Arial"/>
              </w:rPr>
              <w:t>2. التأمين ضد المخاطر السياسية</w:t>
            </w:r>
          </w:p>
        </w:tc>
      </w:tr>
      <w:tr w:rsidR="00FD0059" w:rsidRPr="00FF3C01" w14:paraId="5F8A5376" w14:textId="77777777">
        <w:trPr>
          <w:jc w:val="center"/>
        </w:trPr>
        <w:tc>
          <w:tcPr>
            <w:tcW w:w="1615" w:type="dxa"/>
            <w:vMerge/>
          </w:tcPr>
          <w:p w14:paraId="7B466312" w14:textId="77777777" w:rsidR="00FD0059" w:rsidRPr="00FF3C01" w:rsidRDefault="00FD0059" w:rsidP="00974086">
            <w:pPr>
              <w:rPr>
                <w:rFonts w:ascii="Times New Roman" w:eastAsia="Calibri" w:hAnsi="Times New Roman" w:cs="Times New Roman"/>
                <w:bCs/>
              </w:rPr>
            </w:pPr>
          </w:p>
        </w:tc>
        <w:tc>
          <w:tcPr>
            <w:tcW w:w="7650" w:type="dxa"/>
          </w:tcPr>
          <w:p w14:paraId="5653950F" w14:textId="77777777" w:rsidR="00FD0059" w:rsidRPr="002440F6" w:rsidRDefault="00FD0059" w:rsidP="00A86877">
            <w:pPr>
              <w:rPr>
                <w:rFonts w:ascii="Arial" w:eastAsia="Arial" w:hAnsi="Arial" w:cs="Arial"/>
              </w:rPr>
            </w:pPr>
            <w:r>
              <w:rPr>
                <w:rFonts w:ascii="Arial" w:hAnsi="Arial"/>
              </w:rPr>
              <w:t xml:space="preserve">3. التمويل المختلط </w:t>
            </w:r>
          </w:p>
        </w:tc>
      </w:tr>
      <w:tr w:rsidR="00FD0059" w:rsidRPr="00FF3C01" w14:paraId="0891732E" w14:textId="77777777">
        <w:trPr>
          <w:jc w:val="center"/>
        </w:trPr>
        <w:tc>
          <w:tcPr>
            <w:tcW w:w="1615" w:type="dxa"/>
            <w:vMerge/>
          </w:tcPr>
          <w:p w14:paraId="58B0CF1A" w14:textId="77777777" w:rsidR="00FD0059" w:rsidRPr="00FF3C01" w:rsidRDefault="00FD0059" w:rsidP="00974086">
            <w:pPr>
              <w:rPr>
                <w:rFonts w:ascii="Times New Roman" w:eastAsia="Calibri" w:hAnsi="Times New Roman" w:cs="Times New Roman"/>
                <w:bCs/>
              </w:rPr>
            </w:pPr>
          </w:p>
        </w:tc>
        <w:tc>
          <w:tcPr>
            <w:tcW w:w="7650" w:type="dxa"/>
          </w:tcPr>
          <w:p w14:paraId="1205EE3E" w14:textId="77777777" w:rsidR="00FD0059" w:rsidRPr="4F88A954" w:rsidRDefault="00FD0059">
            <w:pPr>
              <w:rPr>
                <w:rFonts w:ascii="Arial" w:eastAsia="Arial" w:hAnsi="Arial" w:cs="Arial"/>
              </w:rPr>
            </w:pPr>
            <w:r>
              <w:rPr>
                <w:rFonts w:ascii="Arial" w:hAnsi="Arial"/>
              </w:rPr>
              <w:t>4. التمويل المشترك للاستثمارات</w:t>
            </w:r>
          </w:p>
        </w:tc>
      </w:tr>
    </w:tbl>
    <w:p w14:paraId="4EFC5718" w14:textId="77777777" w:rsidR="006165CA" w:rsidRDefault="006165CA" w:rsidP="00304D00">
      <w:pPr>
        <w:pStyle w:val="ListParagraph"/>
        <w:spacing w:after="0" w:line="240" w:lineRule="auto"/>
        <w:ind w:left="1080"/>
        <w:rPr>
          <w:rFonts w:ascii="Times New Roman" w:hAnsi="Times New Roman" w:cs="Times New Roman"/>
          <w:u w:val="single"/>
        </w:rPr>
      </w:pPr>
    </w:p>
    <w:p w14:paraId="41A61414" w14:textId="77777777" w:rsidR="00EF2DC4" w:rsidRPr="00EF2DC4" w:rsidRDefault="4F88A954" w:rsidP="005316CE">
      <w:pPr>
        <w:pStyle w:val="ListParagraph"/>
        <w:numPr>
          <w:ilvl w:val="0"/>
          <w:numId w:val="23"/>
        </w:numPr>
        <w:spacing w:after="0" w:line="240" w:lineRule="auto"/>
        <w:jc w:val="center"/>
        <w:rPr>
          <w:rFonts w:ascii="Arial" w:hAnsi="Arial" w:cs="Arial"/>
          <w:u w:val="single"/>
        </w:rPr>
      </w:pPr>
      <w:r>
        <w:rPr>
          <w:rFonts w:ascii="Arial" w:hAnsi="Arial"/>
          <w:u w:val="single"/>
        </w:rPr>
        <w:t>مساندة مجموعة البنك الدولي لتجميع المستثمرين وهيكلة معاملات محددة</w:t>
      </w:r>
    </w:p>
    <w:p w14:paraId="1B5D0D5F" w14:textId="77777777" w:rsidR="00BD489F" w:rsidRPr="00A86877" w:rsidRDefault="000948E3" w:rsidP="00850E9A">
      <w:pPr>
        <w:pStyle w:val="ListParagraph"/>
        <w:numPr>
          <w:ilvl w:val="0"/>
          <w:numId w:val="6"/>
        </w:numPr>
        <w:spacing w:after="0" w:line="240" w:lineRule="auto"/>
        <w:jc w:val="both"/>
        <w:rPr>
          <w:rFonts w:ascii="Arial" w:eastAsia="Arial" w:hAnsi="Arial" w:cs="Arial"/>
        </w:rPr>
      </w:pPr>
      <w:r>
        <w:rPr>
          <w:rFonts w:ascii="Arial" w:hAnsi="Arial"/>
          <w:b/>
          <w:bCs/>
        </w:rPr>
        <w:t>في إطار المسارين الأول والثاني، ستعمل مجموعة البنك الدولي في إطار من التعاون وتضافر الجهود على نحو متسق للمساعدة في هيكلة مشروعات القطاع الخاص وتعبئة التمويل المشترك للاستثمارات الخاصة.</w:t>
      </w:r>
      <w:r w:rsidR="00022F13">
        <w:rPr>
          <w:rFonts w:ascii="Arial" w:hAnsi="Arial"/>
          <w:b/>
          <w:bCs/>
        </w:rPr>
        <w:t xml:space="preserve"> </w:t>
      </w:r>
      <w:r>
        <w:rPr>
          <w:rFonts w:ascii="Arial" w:hAnsi="Arial"/>
        </w:rPr>
        <w:t>وفي قطاع الطاقة، سيساند البنك الدولي في إطار عمله الوثيق مع شركاء آخرين الإصلاحات الأولية لدى</w:t>
      </w:r>
      <w:r w:rsidR="00022F13">
        <w:rPr>
          <w:rFonts w:ascii="Arial" w:hAnsi="Arial"/>
        </w:rPr>
        <w:t xml:space="preserve"> </w:t>
      </w:r>
      <w:r>
        <w:rPr>
          <w:rFonts w:ascii="Arial" w:hAnsi="Arial"/>
        </w:rPr>
        <w:t>شركة النقل الوطنية للكهرباء، وشركا</w:t>
      </w:r>
      <w:r w:rsidR="00441AF0">
        <w:rPr>
          <w:rFonts w:ascii="Arial" w:hAnsi="Arial"/>
        </w:rPr>
        <w:t>ت التوزيع، والبلديات التي من شأ</w:t>
      </w:r>
      <w:r w:rsidR="00441AF0">
        <w:rPr>
          <w:rFonts w:ascii="Arial" w:hAnsi="Arial" w:hint="cs"/>
        </w:rPr>
        <w:t>ن</w:t>
      </w:r>
      <w:r>
        <w:rPr>
          <w:rFonts w:ascii="Arial" w:hAnsi="Arial"/>
        </w:rPr>
        <w:t xml:space="preserve">ها تعزيز الانضباط المالي والملاءة الائتمانية للأطراف المناظرة، </w:t>
      </w:r>
      <w:r w:rsidR="00850E9A">
        <w:rPr>
          <w:rFonts w:ascii="Arial" w:hAnsi="Arial" w:hint="cs"/>
        </w:rPr>
        <w:t>في حين</w:t>
      </w:r>
      <w:r w:rsidR="00850E9A">
        <w:rPr>
          <w:rFonts w:ascii="Arial" w:hAnsi="Arial"/>
        </w:rPr>
        <w:t xml:space="preserve"> </w:t>
      </w:r>
      <w:r>
        <w:rPr>
          <w:rFonts w:ascii="Arial" w:hAnsi="Arial"/>
        </w:rPr>
        <w:t>ستساعد مؤسسة التمويل الدولية في هيكلة معاملات إيضاحية محددة في إطار الاستفادة من هذه الإصلاحات.</w:t>
      </w:r>
      <w:r w:rsidR="00022F13">
        <w:rPr>
          <w:rFonts w:ascii="Arial" w:hAnsi="Arial"/>
        </w:rPr>
        <w:t xml:space="preserve"> </w:t>
      </w:r>
      <w:r>
        <w:rPr>
          <w:rFonts w:ascii="Arial" w:hAnsi="Arial"/>
        </w:rPr>
        <w:t>على سبيل المثال، ستشارك مؤسسة التمويل الدولية في عمل تحليلي خاص بمشروع شراكة بين القطاعين العام والخاص لمساندة سلطة الطاقة الفلسطينية جنبًا إلى جنب مع مساندة البنك الدولي للبلديات ومجالس الخدمات المشتركة بهدف تطوير 3 مرافق تعمل بالطاقة الشمسية بطاقة تصل إلى 5 ميجاواط لطرحها في مناقصة للقطاع الخاص.</w:t>
      </w:r>
      <w:r w:rsidR="00022F13">
        <w:rPr>
          <w:rFonts w:ascii="Arial" w:hAnsi="Arial"/>
        </w:rPr>
        <w:t xml:space="preserve"> </w:t>
      </w:r>
      <w:r>
        <w:rPr>
          <w:rFonts w:ascii="Arial" w:hAnsi="Arial"/>
        </w:rPr>
        <w:t>وبخلاف مشروعات الطاقة الشمسية، ستشارك مؤسسة التمويل الدولية كجهة استشارية وتنسيقية لبعض الفرص الأكثر أهمية لدى شركات إنتاج الكهرباء المستقلة الكبرى التي تعمل بالغاز وتطوير الغاز مثل مشروع جنين.</w:t>
      </w:r>
      <w:r w:rsidR="00022F13">
        <w:rPr>
          <w:rFonts w:ascii="Arial" w:hAnsi="Arial"/>
        </w:rPr>
        <w:t xml:space="preserve"> </w:t>
      </w:r>
      <w:r>
        <w:rPr>
          <w:rFonts w:ascii="Arial" w:hAnsi="Arial"/>
        </w:rPr>
        <w:t>وستساعد أيضًا في هيكلة مشروعات في مجالات المياه وتحلية المياه والصرف الصحي والتصنيع الوسيط والشراكات بين القطاعين العام والخاص في مجال البلديات.</w:t>
      </w:r>
      <w:r w:rsidR="00022F13">
        <w:rPr>
          <w:rFonts w:ascii="Arial" w:hAnsi="Arial"/>
        </w:rPr>
        <w:t xml:space="preserve"> </w:t>
      </w:r>
      <w:r>
        <w:rPr>
          <w:rFonts w:ascii="Arial" w:hAnsi="Arial"/>
        </w:rPr>
        <w:t>وبالنسبة لجميع هذه المعاملات، ستساعد مؤسسة التمويل الدولية في تصميم التوزيع المناسب للمخاطر، وحشد اهتمام القطاع الخاص من خلال أنشطة تواصل استباقية مع المستثمرين المحليين والدوليين.</w:t>
      </w:r>
      <w:r w:rsidR="00022F13">
        <w:rPr>
          <w:rFonts w:ascii="Arial" w:hAnsi="Arial"/>
        </w:rPr>
        <w:t xml:space="preserve"> </w:t>
      </w:r>
      <w:r>
        <w:rPr>
          <w:rFonts w:ascii="Arial" w:hAnsi="Arial"/>
        </w:rPr>
        <w:t>وعلى هذا النحو، ستقوم المؤسسة بدور حلقة الوصل بين الأموال المتاحة من المستثمرين (المحليين والدوليين) والفرص المتاحة على أرض الواقع.</w:t>
      </w:r>
      <w:r w:rsidR="00022F13">
        <w:rPr>
          <w:rFonts w:ascii="Arial" w:hAnsi="Arial"/>
        </w:rPr>
        <w:t xml:space="preserve"> </w:t>
      </w:r>
      <w:r>
        <w:rPr>
          <w:rFonts w:ascii="Arial" w:hAnsi="Arial"/>
        </w:rPr>
        <w:t xml:space="preserve">ويأتي دور مؤسسة </w:t>
      </w:r>
      <w:r w:rsidRPr="00441AF0">
        <w:rPr>
          <w:rFonts w:ascii="Arial" w:hAnsi="Arial"/>
          <w:b/>
          <w:bCs/>
          <w:i/>
          <w:iCs/>
        </w:rPr>
        <w:t>شروق</w:t>
      </w:r>
      <w:r>
        <w:rPr>
          <w:rFonts w:ascii="Arial" w:hAnsi="Arial"/>
        </w:rPr>
        <w:t xml:space="preserve"> (الذي قام بتنفيذها</w:t>
      </w:r>
      <w:r w:rsidR="00022F13">
        <w:rPr>
          <w:rFonts w:ascii="Arial" w:hAnsi="Arial"/>
        </w:rPr>
        <w:t xml:space="preserve"> </w:t>
      </w:r>
      <w:r>
        <w:rPr>
          <w:rFonts w:ascii="Arial" w:hAnsi="Arial"/>
        </w:rPr>
        <w:t>مكتب مُمثِّل اللجنة الرباعية) مكملًا لدور مؤسسة التمويل الدولية، وقد تأسست لتحديد مشروعات البنية التحتية الأساسية التي تتسم بالسلامة التجارية وإعدادها حتى تكون جاهزة أمام المستثمرين.</w:t>
      </w:r>
      <w:r w:rsidR="00022F13">
        <w:rPr>
          <w:rFonts w:ascii="Arial" w:hAnsi="Arial"/>
        </w:rPr>
        <w:t xml:space="preserve"> </w:t>
      </w:r>
      <w:r>
        <w:rPr>
          <w:rFonts w:ascii="Arial" w:hAnsi="Arial"/>
        </w:rPr>
        <w:t>وستقوم مؤسسة التمويل الدولية بمد روابط مع مؤسسة شروق وكذلك صناديق الاستثمار التي تركز على الفرص المحددة للقطاع الخاص.</w:t>
      </w:r>
    </w:p>
    <w:p w14:paraId="5BD6C1A3" w14:textId="77777777" w:rsidR="00BD489F" w:rsidRDefault="00BD489F" w:rsidP="00EB5C2E">
      <w:pPr>
        <w:spacing w:after="0" w:line="240" w:lineRule="auto"/>
        <w:jc w:val="both"/>
      </w:pPr>
    </w:p>
    <w:p w14:paraId="58CF7908" w14:textId="77777777" w:rsidR="00FB3904" w:rsidRDefault="4F88A954" w:rsidP="006165CA">
      <w:pPr>
        <w:pStyle w:val="ListParagraph"/>
        <w:numPr>
          <w:ilvl w:val="0"/>
          <w:numId w:val="23"/>
        </w:numPr>
        <w:spacing w:after="0" w:line="240" w:lineRule="auto"/>
        <w:jc w:val="center"/>
        <w:rPr>
          <w:rFonts w:ascii="Arial" w:hAnsi="Arial" w:cs="Arial"/>
          <w:u w:val="single"/>
        </w:rPr>
      </w:pPr>
      <w:r>
        <w:rPr>
          <w:rFonts w:ascii="Arial" w:hAnsi="Arial"/>
          <w:u w:val="single"/>
        </w:rPr>
        <w:t xml:space="preserve">التأمين ضد المخاطر السياسية </w:t>
      </w:r>
    </w:p>
    <w:p w14:paraId="2A631A8C" w14:textId="77777777" w:rsidR="0076397E" w:rsidRPr="0076397E" w:rsidRDefault="4F88A954" w:rsidP="00BF4BE3">
      <w:pPr>
        <w:pStyle w:val="ListParagraph"/>
        <w:numPr>
          <w:ilvl w:val="0"/>
          <w:numId w:val="6"/>
        </w:numPr>
        <w:spacing w:after="0" w:line="240" w:lineRule="auto"/>
        <w:jc w:val="both"/>
        <w:rPr>
          <w:rFonts w:ascii="Arial" w:hAnsi="Arial" w:cs="Arial"/>
          <w:b/>
          <w:bCs/>
        </w:rPr>
      </w:pPr>
      <w:r>
        <w:rPr>
          <w:rFonts w:ascii="Arial" w:hAnsi="Arial"/>
          <w:b/>
          <w:bCs/>
        </w:rPr>
        <w:t>ثمة عقبة كؤود تحول دون إنجاز المعاملات تتمثل في المفهوم الراسخ الخاص بارتفاع المخاطر السياسية التي تتعرض لها المشروعات الخاصة.</w:t>
      </w:r>
      <w:r w:rsidR="00022F13">
        <w:rPr>
          <w:rFonts w:ascii="Arial" w:hAnsi="Arial"/>
          <w:b/>
          <w:bCs/>
        </w:rPr>
        <w:t xml:space="preserve"> </w:t>
      </w:r>
      <w:r>
        <w:rPr>
          <w:rFonts w:ascii="Arial" w:hAnsi="Arial"/>
        </w:rPr>
        <w:t xml:space="preserve">وتتضمن المخاطر التي تثير المخاوف الكبرى نزع الملكية والحروب والاضطرابات المدنية وعدم قابلية العملات للتغيير والقيود على التحويل، </w:t>
      </w:r>
      <w:r w:rsidR="00441AF0">
        <w:rPr>
          <w:rFonts w:ascii="Arial" w:hAnsi="Arial" w:hint="cs"/>
        </w:rPr>
        <w:t>و</w:t>
      </w:r>
      <w:r>
        <w:rPr>
          <w:rFonts w:ascii="Arial" w:hAnsi="Arial"/>
        </w:rPr>
        <w:t>مخاطر تخلُّف الأطراف المقابلة عن أداء التزاماتها مع المؤسسات العامة.</w:t>
      </w:r>
      <w:r>
        <w:rPr>
          <w:rFonts w:ascii="Arial" w:hAnsi="Arial"/>
          <w:b/>
          <w:bCs/>
        </w:rPr>
        <w:t xml:space="preserve"> </w:t>
      </w:r>
      <w:r>
        <w:rPr>
          <w:rFonts w:ascii="Arial" w:hAnsi="Arial"/>
        </w:rPr>
        <w:t>ومن الممكن أن يؤدي توفر خدمات التأمين إلى زيادة عدد المشروعات ذات الجدوى من خلال تخفيف المخاوف الكبرى لدى المستثمرين، وفي الوقت نفسه تقليل تكاليف تمويل هذه المشروعات.</w:t>
      </w:r>
      <w:r w:rsidR="00022F13">
        <w:rPr>
          <w:rFonts w:ascii="Arial" w:hAnsi="Arial"/>
        </w:rPr>
        <w:t xml:space="preserve"> </w:t>
      </w:r>
    </w:p>
    <w:p w14:paraId="36FE4341" w14:textId="77777777" w:rsidR="00290AC0" w:rsidRDefault="00290AC0" w:rsidP="002440F6">
      <w:pPr>
        <w:pStyle w:val="ListParagraph"/>
        <w:spacing w:after="0" w:line="240" w:lineRule="auto"/>
        <w:ind w:left="0"/>
        <w:jc w:val="both"/>
        <w:rPr>
          <w:rFonts w:ascii="Times New Roman" w:hAnsi="Times New Roman" w:cs="Times New Roman"/>
          <w:b/>
          <w:bCs/>
        </w:rPr>
      </w:pPr>
    </w:p>
    <w:p w14:paraId="5366D8A6" w14:textId="77777777" w:rsidR="000948E3" w:rsidRPr="000948E3" w:rsidRDefault="000948E3" w:rsidP="00BF4BE3">
      <w:pPr>
        <w:pStyle w:val="ListParagraph"/>
        <w:numPr>
          <w:ilvl w:val="0"/>
          <w:numId w:val="6"/>
        </w:numPr>
        <w:spacing w:after="0" w:line="240" w:lineRule="auto"/>
        <w:jc w:val="both"/>
        <w:rPr>
          <w:rFonts w:ascii="Arial" w:hAnsi="Arial" w:cs="Arial"/>
        </w:rPr>
      </w:pPr>
      <w:r>
        <w:rPr>
          <w:b/>
          <w:bCs/>
        </w:rPr>
        <w:t>في إطار المسار الأول، سيظل التأمين ضد المخاطر السياسية متاحًا أمام المستثمرين من القطاع الخاص من خلال الصندوق الاستئماني الذي تديره الوكالة الدولية لضمان الاستثمار.</w:t>
      </w:r>
      <w:r w:rsidR="00022F13">
        <w:t xml:space="preserve"> </w:t>
      </w:r>
      <w:r>
        <w:rPr>
          <w:rFonts w:ascii="Arial" w:hAnsi="Arial"/>
        </w:rPr>
        <w:t>فقد تم إنشاء صندوق استئماني بقيمة 26 مليون دولار في 1997 للتخفيف من المخاطر السياسية التي تواجه المستثمرين في الضفة الغربية وقطاع غزة (انظر الإطار 8 أدناه).</w:t>
      </w:r>
      <w:r w:rsidR="00022F13">
        <w:rPr>
          <w:rFonts w:ascii="Arial" w:hAnsi="Arial"/>
        </w:rPr>
        <w:t xml:space="preserve"> </w:t>
      </w:r>
      <w:r>
        <w:rPr>
          <w:rFonts w:ascii="Arial" w:hAnsi="Arial"/>
        </w:rPr>
        <w:t>وقد حقق هذا الصندوق نجاحًا كبيرًا في تسهيل مشروعات في الضفة الغربية و</w:t>
      </w:r>
      <w:r w:rsidR="00850E9A">
        <w:rPr>
          <w:rFonts w:ascii="Arial" w:hAnsi="Arial" w:hint="cs"/>
        </w:rPr>
        <w:t xml:space="preserve">قطاع </w:t>
      </w:r>
      <w:r>
        <w:rPr>
          <w:rFonts w:ascii="Arial" w:hAnsi="Arial"/>
        </w:rPr>
        <w:t>غزة تضمنت مشروعات في مجالات الصناعات الدوائية والأغذية والمشروبات والطاقة المتجددة، وقام الصندوق بعمل ارتباط</w:t>
      </w:r>
      <w:r w:rsidR="00441AF0">
        <w:rPr>
          <w:rFonts w:ascii="Arial" w:hAnsi="Arial" w:hint="cs"/>
        </w:rPr>
        <w:t>ات</w:t>
      </w:r>
      <w:r>
        <w:rPr>
          <w:rFonts w:ascii="Arial" w:hAnsi="Arial"/>
        </w:rPr>
        <w:t xml:space="preserve"> بكامل موارده حتى الآن، لكن من الممكن إعادة استخدام الأموال في حالة انتهاء آجال الضمانات أو إلغائها.</w:t>
      </w:r>
      <w:r w:rsidR="00022F13">
        <w:rPr>
          <w:rFonts w:ascii="Arial" w:hAnsi="Arial"/>
        </w:rPr>
        <w:t xml:space="preserve"> </w:t>
      </w:r>
      <w:r>
        <w:rPr>
          <w:rFonts w:ascii="Arial" w:hAnsi="Arial"/>
        </w:rPr>
        <w:t xml:space="preserve">وتسعى الوكالة الدولية لضمان الاستثمار إلى تمديد أجل هذا الصندوق الاستئماني المقرر إقفاله في نهاية ديسمبر/كانون الأول </w:t>
      </w:r>
      <w:r w:rsidR="00441AF0">
        <w:rPr>
          <w:rFonts w:ascii="Arial" w:hAnsi="Arial" w:hint="cs"/>
        </w:rPr>
        <w:t>2017</w:t>
      </w:r>
      <w:r>
        <w:rPr>
          <w:rFonts w:ascii="Arial" w:hAnsi="Arial"/>
        </w:rPr>
        <w:t xml:space="preserve">. </w:t>
      </w:r>
    </w:p>
    <w:p w14:paraId="2B922F73" w14:textId="77777777" w:rsidR="000948E3" w:rsidRPr="000948E3" w:rsidRDefault="000948E3" w:rsidP="000948E3">
      <w:pPr>
        <w:pStyle w:val="ListParagraph"/>
        <w:rPr>
          <w:rFonts w:ascii="Times New Roman" w:hAnsi="Times New Roman" w:cs="Times New Roman"/>
          <w:b/>
          <w:bCs/>
        </w:rPr>
      </w:pPr>
    </w:p>
    <w:p w14:paraId="22330BC5" w14:textId="77777777" w:rsidR="000F18AF" w:rsidRDefault="000948E3" w:rsidP="00850E9A">
      <w:pPr>
        <w:pStyle w:val="ListParagraph"/>
        <w:numPr>
          <w:ilvl w:val="0"/>
          <w:numId w:val="6"/>
        </w:numPr>
        <w:spacing w:after="0" w:line="240" w:lineRule="auto"/>
        <w:jc w:val="both"/>
        <w:rPr>
          <w:rFonts w:ascii="Arial" w:hAnsi="Arial" w:cs="Arial"/>
        </w:rPr>
      </w:pPr>
      <w:r>
        <w:rPr>
          <w:rFonts w:ascii="Arial" w:hAnsi="Arial"/>
          <w:b/>
          <w:bCs/>
        </w:rPr>
        <w:t xml:space="preserve">في إطار المسار الثاني، سيستفيد الصندوق الجديد لتعزيز القطاع الخاص من الدروس </w:t>
      </w:r>
      <w:r w:rsidR="00850E9A">
        <w:rPr>
          <w:rFonts w:ascii="Arial" w:hAnsi="Arial"/>
          <w:b/>
          <w:bCs/>
        </w:rPr>
        <w:t>الم</w:t>
      </w:r>
      <w:r w:rsidR="00850E9A">
        <w:rPr>
          <w:rFonts w:ascii="Arial" w:hAnsi="Arial" w:hint="cs"/>
          <w:b/>
          <w:bCs/>
        </w:rPr>
        <w:t>ستقا</w:t>
      </w:r>
      <w:r w:rsidR="00850E9A">
        <w:rPr>
          <w:rFonts w:ascii="Arial" w:hAnsi="Arial"/>
          <w:b/>
          <w:bCs/>
        </w:rPr>
        <w:t xml:space="preserve">ة </w:t>
      </w:r>
      <w:r>
        <w:rPr>
          <w:rFonts w:ascii="Arial" w:hAnsi="Arial"/>
          <w:b/>
          <w:bCs/>
        </w:rPr>
        <w:t xml:space="preserve">من خبرات وتجارب الصندوق الاستئماني الذي كانت تديره الوكالة الدولية لضمان الاستثمار </w:t>
      </w:r>
      <w:r>
        <w:rPr>
          <w:rFonts w:ascii="Arial" w:hAnsi="Arial"/>
        </w:rPr>
        <w:t>وسيقدم صندوق تعزيز القطاع الخاص مظلة تأمينية للمخاطر السياسية التي تواجه المشروعات، وسيكون لهذه المظلة أثر إنمائي إيجابي في الضفة الغربية وقطاع غزة.</w:t>
      </w:r>
      <w:r w:rsidR="00022F13">
        <w:rPr>
          <w:rFonts w:ascii="Arial" w:hAnsi="Arial"/>
        </w:rPr>
        <w:t xml:space="preserve"> </w:t>
      </w:r>
      <w:r>
        <w:rPr>
          <w:rFonts w:ascii="Arial" w:hAnsi="Arial"/>
        </w:rPr>
        <w:t>وسيكون نطاق الصندوق في هذا الصدد تغطية حقوق ملكية المستثمرين في مواجهة مخاطر نزع الملكية، وعدم قابلية العملات للتحويل والقيود المفروضة على تحويل الأموال إلى الخارج والحروب والاضطرابات الأهلية أو الإخلال بالعقود (ويشمل ذلك المبالغ المستحقة عند إنهاء العقود)، كما يشمل هذا مشروعات البنية التحتية</w:t>
      </w:r>
      <w:r w:rsidR="00850E9A">
        <w:rPr>
          <w:rFonts w:ascii="Arial" w:hAnsi="Arial" w:hint="cs"/>
        </w:rPr>
        <w:t>،</w:t>
      </w:r>
      <w:r>
        <w:rPr>
          <w:rFonts w:ascii="Arial" w:hAnsi="Arial"/>
        </w:rPr>
        <w:t xml:space="preserve"> مثل شركات إنتاج الكهرباء المستقلة باستخدام الطاقة الشمسية حيث يُنظر إلى مخاطر المدفوعات وصرف المستحقات</w:t>
      </w:r>
      <w:r w:rsidR="00022F13">
        <w:rPr>
          <w:rFonts w:ascii="Arial" w:hAnsi="Arial"/>
        </w:rPr>
        <w:t xml:space="preserve"> </w:t>
      </w:r>
      <w:r>
        <w:rPr>
          <w:rFonts w:ascii="Arial" w:hAnsi="Arial"/>
        </w:rPr>
        <w:t xml:space="preserve">من جانب المستثمرين باعتبارها مخاطر جوهرية. </w:t>
      </w:r>
    </w:p>
    <w:p w14:paraId="1B5758DD" w14:textId="77777777" w:rsidR="00290AC0" w:rsidRDefault="00290AC0" w:rsidP="00857F9C">
      <w:pPr>
        <w:spacing w:after="0" w:line="240" w:lineRule="auto"/>
        <w:jc w:val="both"/>
        <w:rPr>
          <w:rFonts w:ascii="Times New Roman" w:hAnsi="Times New Roman" w:cs="Times New Roman"/>
        </w:rPr>
      </w:pPr>
    </w:p>
    <w:p w14:paraId="00F8D707" w14:textId="77777777" w:rsidR="00290AC0" w:rsidRPr="00290AC0" w:rsidRDefault="0087205C" w:rsidP="00857F9C">
      <w:pPr>
        <w:spacing w:after="0" w:line="240" w:lineRule="auto"/>
        <w:jc w:val="both"/>
        <w:rPr>
          <w:rFonts w:ascii="Arial" w:hAnsi="Arial" w:cs="Arial"/>
        </w:rPr>
      </w:pPr>
      <w:r>
        <w:rPr>
          <w:noProof/>
          <w:lang w:eastAsia="en-US"/>
        </w:rPr>
        <w:lastRenderedPageBreak/>
        <mc:AlternateContent>
          <mc:Choice Requires="wps">
            <w:drawing>
              <wp:anchor distT="45720" distB="45720" distL="114300" distR="114300" simplePos="0" relativeHeight="251692544" behindDoc="1" locked="0" layoutInCell="1" allowOverlap="1">
                <wp:simplePos x="0" y="0"/>
                <wp:positionH relativeFrom="margin">
                  <wp:posOffset>0</wp:posOffset>
                </wp:positionH>
                <wp:positionV relativeFrom="paragraph">
                  <wp:posOffset>41910</wp:posOffset>
                </wp:positionV>
                <wp:extent cx="5932170" cy="4495800"/>
                <wp:effectExtent l="0" t="0" r="0" b="0"/>
                <wp:wrapTight wrapText="bothSides">
                  <wp:wrapPolygon edited="0">
                    <wp:start x="0" y="0"/>
                    <wp:lineTo x="0" y="21600"/>
                    <wp:lineTo x="21572" y="21600"/>
                    <wp:lineTo x="21572"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495800"/>
                        </a:xfrm>
                        <a:prstGeom prst="rect">
                          <a:avLst/>
                        </a:prstGeom>
                        <a:solidFill>
                          <a:sysClr val="window" lastClr="FFFFFF">
                            <a:lumMod val="85000"/>
                          </a:sysClr>
                        </a:solidFill>
                        <a:ln w="9525">
                          <a:solidFill>
                            <a:srgbClr val="000000"/>
                          </a:solidFill>
                          <a:miter lim="800000"/>
                          <a:headEnd/>
                          <a:tailEnd/>
                        </a:ln>
                      </wps:spPr>
                      <wps:txbx>
                        <w:txbxContent>
                          <w:p w14:paraId="702603C3" w14:textId="77777777" w:rsidR="00205E55" w:rsidRPr="00D0404B" w:rsidRDefault="00205E55" w:rsidP="00290AC0">
                            <w:pPr>
                              <w:pStyle w:val="Caption"/>
                              <w:jc w:val="center"/>
                              <w:rPr>
                                <w:rFonts w:ascii="Arial" w:eastAsia="Arial" w:hAnsi="Arial" w:cs="Arial"/>
                                <w:b/>
                                <w:i w:val="0"/>
                                <w:color w:val="auto"/>
                                <w:sz w:val="20"/>
                                <w:szCs w:val="20"/>
                              </w:rPr>
                            </w:pPr>
                            <w:bookmarkStart w:id="34" w:name="_Toc494980827"/>
                            <w:bookmarkStart w:id="35" w:name="_Toc496110897"/>
                            <w:r>
                              <w:rPr>
                                <w:rFonts w:ascii="Arial" w:hAnsi="Arial"/>
                                <w:b/>
                                <w:bCs/>
                                <w:i w:val="0"/>
                                <w:color w:val="auto"/>
                                <w:sz w:val="20"/>
                                <w:szCs w:val="20"/>
                              </w:rPr>
                              <w:t>الإطار 8.</w:t>
                            </w:r>
                            <w:r>
                              <w:rPr>
                                <w:b/>
                                <w:bCs/>
                                <w:i w:val="0"/>
                                <w:color w:val="auto"/>
                                <w:sz w:val="20"/>
                                <w:szCs w:val="20"/>
                              </w:rPr>
                              <w:t xml:space="preserve"> </w:t>
                            </w:r>
                            <w:r>
                              <w:rPr>
                                <w:rFonts w:ascii="Arial" w:hAnsi="Arial"/>
                                <w:b/>
                                <w:bCs/>
                                <w:i w:val="0"/>
                                <w:color w:val="auto"/>
                                <w:sz w:val="20"/>
                                <w:szCs w:val="20"/>
                              </w:rPr>
                              <w:t>الصندوق الاستئماني لقطاع غزة والضفة الغربية الذي تديره الوكالة الدولية لضمان الاستثمار</w:t>
                            </w:r>
                            <w:bookmarkEnd w:id="34"/>
                            <w:bookmarkEnd w:id="35"/>
                          </w:p>
                          <w:p w14:paraId="7D6B306B" w14:textId="77777777" w:rsidR="00205E55" w:rsidRDefault="00205E55" w:rsidP="00290AC0">
                            <w:pPr>
                              <w:pStyle w:val="ListParagraph"/>
                              <w:spacing w:after="0" w:line="240" w:lineRule="auto"/>
                              <w:ind w:left="0"/>
                              <w:jc w:val="both"/>
                              <w:rPr>
                                <w:rFonts w:ascii="Arial" w:hAnsi="Arial" w:cs="Arial"/>
                                <w:bCs/>
                                <w:sz w:val="20"/>
                                <w:szCs w:val="20"/>
                              </w:rPr>
                            </w:pPr>
                            <w:r>
                              <w:rPr>
                                <w:rFonts w:ascii="Arial" w:hAnsi="Arial"/>
                                <w:sz w:val="20"/>
                                <w:szCs w:val="20"/>
                              </w:rPr>
                              <w:t xml:space="preserve">أُنشئ الصندوق الاستئماني الخاص بقطاع غزة والضفة الغربية في عام 1997 بمساهمات من اليابان وبنك الاستثمار الأوروبي </w:t>
                            </w:r>
                            <w:r>
                              <w:rPr>
                                <w:rFonts w:ascii="Arial" w:hAnsi="Arial" w:hint="cs"/>
                                <w:sz w:val="20"/>
                                <w:szCs w:val="20"/>
                              </w:rPr>
                              <w:t>(الذي</w:t>
                            </w:r>
                            <w:r>
                              <w:rPr>
                                <w:rFonts w:ascii="Arial" w:hAnsi="Arial"/>
                                <w:sz w:val="20"/>
                                <w:szCs w:val="20"/>
                              </w:rPr>
                              <w:t xml:space="preserve"> تخارج في 2011) والسلطة الفلسطينية (مدعومة باعتماد من المؤسسة الدولية للتنمية). ويبلغ إجمالي قيمة هذا الصندوق 26 مليون دولار. ويقدم هذا الصندوق للمستثمرين المحليين والأجانب من القطاع الخاص تغطية تأمينية ضد المخاطر غير التجارية الجوهرية في استثماراتهم، وتشمل مخاطر نزع الملكية، والقيود المفروضة على تحويل الأموال إلى الخارج والحروب والاضطرابات الأهلية. وتأتي معظم المشروعات الصغيرة والمتوسطة التي يساندها الصندوق الاستئماني في قطاع التصنيع الزراعي وقطاع الصناعات التحويلية. وقد ساهمت استثماراتها في خلق فرص عمل لا سيما للنساء. ولدى هذا الصندوق ارتباطات بكامل موارده وسينتهي أجله في نهاية ديسمبر/كانون الأول </w:t>
                            </w:r>
                            <w:r>
                              <w:rPr>
                                <w:rFonts w:ascii="Arial" w:hAnsi="Arial" w:hint="cs"/>
                                <w:sz w:val="20"/>
                                <w:szCs w:val="20"/>
                              </w:rPr>
                              <w:t xml:space="preserve">2017 </w:t>
                            </w:r>
                            <w:r>
                              <w:rPr>
                                <w:rFonts w:ascii="Arial" w:hAnsi="Arial"/>
                                <w:sz w:val="20"/>
                                <w:szCs w:val="20"/>
                              </w:rPr>
                              <w:t xml:space="preserve">ما لم يتم تمديده. وفيما يلي أمثلة على المشروعات التي يساندها الصندوق الاستئماني. </w:t>
                            </w:r>
                          </w:p>
                          <w:p w14:paraId="142D7E52" w14:textId="77777777" w:rsidR="00205E55" w:rsidRPr="00950BDF" w:rsidRDefault="00205E55" w:rsidP="00290AC0">
                            <w:pPr>
                              <w:spacing w:after="0" w:line="240" w:lineRule="auto"/>
                              <w:jc w:val="both"/>
                              <w:rPr>
                                <w:rFonts w:ascii="Times New Roman" w:hAnsi="Times New Roman" w:cs="Times New Roman"/>
                                <w:sz w:val="20"/>
                                <w:szCs w:val="20"/>
                              </w:rPr>
                            </w:pPr>
                          </w:p>
                          <w:p w14:paraId="3053D699" w14:textId="77777777" w:rsidR="00205E55" w:rsidRPr="00950BDF" w:rsidRDefault="00205E55" w:rsidP="00290AC0">
                            <w:pPr>
                              <w:pStyle w:val="ListParagraph"/>
                              <w:spacing w:after="0" w:line="240" w:lineRule="auto"/>
                              <w:ind w:left="0"/>
                              <w:jc w:val="both"/>
                              <w:rPr>
                                <w:rFonts w:ascii="Arial" w:hAnsi="Arial" w:cs="Arial"/>
                                <w:sz w:val="20"/>
                                <w:szCs w:val="20"/>
                              </w:rPr>
                            </w:pPr>
                            <w:r>
                              <w:rPr>
                                <w:rFonts w:ascii="Arial" w:hAnsi="Arial"/>
                                <w:sz w:val="20"/>
                                <w:szCs w:val="20"/>
                              </w:rPr>
                              <w:t xml:space="preserve">في قطاع التصنيع الزراعي، قام الصندوق الاستئماني بعمل وثيقة تأمين لشركة نخيل فلسطين للاستثمار الزراعي، ومزرعة </w:t>
                            </w:r>
                            <w:r w:rsidRPr="00E95046">
                              <w:rPr>
                                <w:rFonts w:ascii="Arial" w:hAnsi="Arial"/>
                                <w:sz w:val="20"/>
                                <w:szCs w:val="20"/>
                              </w:rPr>
                              <w:t xml:space="preserve">تمور </w:t>
                            </w:r>
                            <w:r w:rsidR="00E95046">
                              <w:rPr>
                                <w:rFonts w:ascii="Arial" w:hAnsi="Arial" w:hint="cs"/>
                                <w:sz w:val="20"/>
                                <w:szCs w:val="20"/>
                              </w:rPr>
                              <w:t>"</w:t>
                            </w:r>
                            <w:r w:rsidRPr="00E95046">
                              <w:rPr>
                                <w:rFonts w:ascii="Arial" w:hAnsi="Arial"/>
                                <w:sz w:val="20"/>
                                <w:szCs w:val="20"/>
                              </w:rPr>
                              <w:t>المجهول</w:t>
                            </w:r>
                            <w:r w:rsidR="00E95046">
                              <w:rPr>
                                <w:rFonts w:ascii="Arial" w:hAnsi="Arial" w:hint="cs"/>
                                <w:sz w:val="20"/>
                                <w:szCs w:val="20"/>
                              </w:rPr>
                              <w:t>"</w:t>
                            </w:r>
                            <w:r w:rsidRPr="00E95046">
                              <w:rPr>
                                <w:rFonts w:ascii="Arial" w:hAnsi="Arial"/>
                                <w:sz w:val="20"/>
                                <w:szCs w:val="20"/>
                              </w:rPr>
                              <w:t xml:space="preserve"> في</w:t>
                            </w:r>
                            <w:r>
                              <w:rPr>
                                <w:rFonts w:ascii="Arial" w:hAnsi="Arial"/>
                                <w:sz w:val="20"/>
                                <w:szCs w:val="20"/>
                              </w:rPr>
                              <w:t xml:space="preserve"> أريحا في الضفة الغربية. ويعمل هذا المشروع على إيجاد 250 فرصة عمل مباشرة (40% منها للنساء) و300 فرصة عمل غير مباشرة. وتقوم شركة نخيل بتصدير ثلثي إنتاجها. </w:t>
                            </w:r>
                          </w:p>
                          <w:p w14:paraId="1B5C7803" w14:textId="77777777" w:rsidR="00205E55" w:rsidRPr="00950BDF" w:rsidRDefault="00205E55" w:rsidP="00290AC0">
                            <w:pPr>
                              <w:pStyle w:val="ListParagraph"/>
                              <w:spacing w:after="0" w:line="240" w:lineRule="auto"/>
                              <w:ind w:left="0"/>
                              <w:jc w:val="both"/>
                              <w:rPr>
                                <w:rFonts w:ascii="Times New Roman" w:hAnsi="Times New Roman" w:cs="Times New Roman"/>
                                <w:sz w:val="20"/>
                                <w:szCs w:val="20"/>
                              </w:rPr>
                            </w:pPr>
                          </w:p>
                          <w:p w14:paraId="4574C90E" w14:textId="77777777" w:rsidR="00205E55" w:rsidRPr="00950BDF" w:rsidRDefault="00205E55" w:rsidP="00290AC0">
                            <w:pPr>
                              <w:pStyle w:val="ListParagraph"/>
                              <w:spacing w:after="0" w:line="240" w:lineRule="auto"/>
                              <w:ind w:left="0"/>
                              <w:jc w:val="both"/>
                              <w:rPr>
                                <w:rFonts w:ascii="Arial" w:hAnsi="Arial" w:cs="Arial"/>
                                <w:sz w:val="20"/>
                                <w:szCs w:val="20"/>
                              </w:rPr>
                            </w:pPr>
                            <w:r>
                              <w:rPr>
                                <w:rFonts w:ascii="Arial" w:hAnsi="Arial"/>
                                <w:sz w:val="20"/>
                                <w:szCs w:val="20"/>
                              </w:rPr>
                              <w:t xml:space="preserve">وفي مجال الصناعات التحويلية، قدم الصندوق الاستئماني وثيقة تأمين لشركة المشروبات الوطنية لإنشاء وتشغيل خط مشروبات في المنطقة الصناعية بغزة. ويعمل هذا المشروع على إيجاد 300 فرصة عمل مباشرة (30 % منها للنساء) و1000 فرصة عمل غير مباشرة. كما قدم الصندوق مظلة تأمينية لشركة الجراشي للطباعة والتغليف في بيت لحم في الضفة الغربية التي تقدم خدمات التعبئة للمشروعات الصغرى والصغيرة. </w:t>
                            </w:r>
                          </w:p>
                          <w:p w14:paraId="2C52003E" w14:textId="77777777" w:rsidR="00205E55" w:rsidRPr="00950BDF" w:rsidRDefault="00205E55" w:rsidP="00290AC0">
                            <w:pPr>
                              <w:pStyle w:val="ListParagraph"/>
                              <w:spacing w:after="0" w:line="240" w:lineRule="auto"/>
                              <w:ind w:left="0"/>
                              <w:jc w:val="both"/>
                              <w:rPr>
                                <w:rFonts w:ascii="Times New Roman" w:hAnsi="Times New Roman" w:cs="Times New Roman"/>
                                <w:sz w:val="20"/>
                                <w:szCs w:val="20"/>
                              </w:rPr>
                            </w:pPr>
                          </w:p>
                          <w:p w14:paraId="60E0226A" w14:textId="77777777" w:rsidR="00205E55" w:rsidRPr="00950BDF" w:rsidRDefault="00205E55" w:rsidP="00290AC0">
                            <w:pPr>
                              <w:pStyle w:val="ListParagraph"/>
                              <w:spacing w:after="0" w:line="240" w:lineRule="auto"/>
                              <w:ind w:left="0"/>
                              <w:jc w:val="both"/>
                              <w:rPr>
                                <w:rFonts w:ascii="Arial" w:hAnsi="Arial" w:cs="Arial"/>
                                <w:sz w:val="20"/>
                                <w:szCs w:val="20"/>
                              </w:rPr>
                            </w:pPr>
                            <w:r>
                              <w:rPr>
                                <w:rFonts w:ascii="Arial" w:hAnsi="Arial"/>
                                <w:sz w:val="20"/>
                                <w:szCs w:val="20"/>
                              </w:rPr>
                              <w:t>وقام الصندوق بعمل تغطية تأمينية لشركة إيي إف جي (</w:t>
                            </w:r>
                            <w:r>
                              <w:rPr>
                                <w:rFonts w:ascii="Arial" w:hAnsi="Arial"/>
                                <w:sz w:val="20"/>
                                <w:rtl w:val="0"/>
                              </w:rPr>
                              <w:t>EFG</w:t>
                            </w:r>
                            <w:r>
                              <w:rPr>
                                <w:rFonts w:ascii="Arial" w:hAnsi="Arial"/>
                                <w:sz w:val="20"/>
                                <w:szCs w:val="20"/>
                              </w:rPr>
                              <w:t xml:space="preserve">) للطاقة المتجددة وهي مشروع للطاقة المتجددة/ التصنيع. وتقع هذه المحطة التجارية التي تعمل بالغاز الحيوي في الخليل في الضفة الغربية وتقدم </w:t>
                            </w:r>
                            <w:r>
                              <w:rPr>
                                <w:rFonts w:ascii="Arial" w:hAnsi="Arial" w:hint="cs"/>
                                <w:sz w:val="20"/>
                                <w:szCs w:val="20"/>
                              </w:rPr>
                              <w:t xml:space="preserve">خدمات </w:t>
                            </w:r>
                            <w:r>
                              <w:rPr>
                                <w:rFonts w:ascii="Arial" w:hAnsi="Arial"/>
                                <w:sz w:val="20"/>
                                <w:szCs w:val="20"/>
                              </w:rPr>
                              <w:t xml:space="preserve">طاقة متجددة وأسمدة حيوية للمزارعين المحليين. وهذه المحطة هي الأولى من نوعها في الأراضي الفلسطينية، وتعمل على نقل المعارف الجوهرية وإيجاد حوالي 30 فرصة عمل. </w:t>
                            </w:r>
                          </w:p>
                          <w:p w14:paraId="119518D3" w14:textId="77777777" w:rsidR="00205E55" w:rsidRPr="00950BDF" w:rsidRDefault="00205E55" w:rsidP="00290AC0">
                            <w:pPr>
                              <w:pStyle w:val="ListParagraph"/>
                              <w:spacing w:after="0" w:line="240" w:lineRule="auto"/>
                              <w:ind w:left="0"/>
                              <w:jc w:val="both"/>
                              <w:rPr>
                                <w:rFonts w:ascii="Times New Roman" w:hAnsi="Times New Roman" w:cs="Times New Roman"/>
                                <w:sz w:val="20"/>
                                <w:szCs w:val="20"/>
                              </w:rPr>
                            </w:pPr>
                          </w:p>
                          <w:p w14:paraId="1FE601BD" w14:textId="77777777" w:rsidR="00205E55" w:rsidRPr="00950BDF" w:rsidRDefault="00205E55" w:rsidP="00290AC0">
                            <w:pPr>
                              <w:pStyle w:val="ListParagraph"/>
                              <w:spacing w:after="0" w:line="240" w:lineRule="auto"/>
                              <w:ind w:left="0"/>
                              <w:jc w:val="both"/>
                              <w:rPr>
                                <w:rFonts w:ascii="Arial" w:hAnsi="Arial" w:cs="Arial"/>
                                <w:sz w:val="20"/>
                                <w:szCs w:val="20"/>
                              </w:rPr>
                            </w:pPr>
                            <w:r>
                              <w:rPr>
                                <w:rFonts w:ascii="Arial" w:hAnsi="Arial"/>
                                <w:sz w:val="20"/>
                                <w:szCs w:val="20"/>
                              </w:rPr>
                              <w:t xml:space="preserve">وبالإضافة إلى هذا الصندوق الاستئماني، ستقوم الوكالة الدولية لضمان الاستثمار بإدارة صندوق البلدان الهشة والمتأثرة بالصراعات الذي تم إنشاؤه في 2013 بمساندة من وزارة التنمية الدولية البريطانية والوكالة السويدية للتنمية الدولية والوكالة الكندية للتنمية الدولية. ويعمل صندوق البلدان الهشة والمتأثرة بالصراعات بصورة مفتوحة، وسيقدم مساندة عبر الحدود للاستثمارات في غزة والضفة الغربية، لكنه لديه ارتباطات كبيرة الآن. وعلى عكس الصندوق الاستئماني للضفة الغربية وغزة، ليس لدى صندوق البلدان الهشة والمتأثرة بالصراعات القدرة على مساندة المستثمرين المحليين.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0;margin-top:3.3pt;width:467.1pt;height:354pt;z-index:-25162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" fillcolor="#d9d9d9">
                <v:textbox>
                  <w:txbxContent>
                    <w:p w14:paraId="702603C3" w14:textId="77777777" w:rsidR="00205E55" w:rsidRPr="00D0404B" w:rsidRDefault="00205E55" w:rsidP="00290AC0">
                      <w:pPr>
                        <w:pStyle w:val="Caption"/>
                        <w:jc w:val="center"/>
                        <w:rPr>
                          <w:rFonts w:ascii="Arial" w:eastAsia="Arial" w:hAnsi="Arial" w:cs="Arial"/>
                          <w:b/>
                          <w:i w:val="0"/>
                          <w:color w:val="auto"/>
                          <w:sz w:val="20"/>
                          <w:szCs w:val="20"/>
                        </w:rPr>
                      </w:pPr>
                      <w:bookmarkStart w:id="36" w:name="_Toc494980827"/>
                      <w:bookmarkStart w:id="37" w:name="_Toc496110897"/>
                      <w:r>
                        <w:rPr>
                          <w:rFonts w:ascii="Arial" w:hAnsi="Arial"/>
                          <w:b/>
                          <w:bCs/>
                          <w:i w:val="0"/>
                          <w:color w:val="auto"/>
                          <w:sz w:val="20"/>
                          <w:szCs w:val="20"/>
                        </w:rPr>
                        <w:t>الإطار 8.</w:t>
                      </w:r>
                      <w:r>
                        <w:rPr>
                          <w:b/>
                          <w:bCs/>
                          <w:i w:val="0"/>
                          <w:color w:val="auto"/>
                          <w:sz w:val="20"/>
                          <w:szCs w:val="20"/>
                        </w:rPr>
                        <w:t xml:space="preserve"> </w:t>
                      </w:r>
                      <w:r>
                        <w:rPr>
                          <w:rFonts w:ascii="Arial" w:hAnsi="Arial"/>
                          <w:b/>
                          <w:bCs/>
                          <w:i w:val="0"/>
                          <w:color w:val="auto"/>
                          <w:sz w:val="20"/>
                          <w:szCs w:val="20"/>
                        </w:rPr>
                        <w:t>الصندوق الاستئماني لقطاع غزة والضفة الغربية الذي تديره الوكالة الدولية لضمان الاستثمار</w:t>
                      </w:r>
                      <w:bookmarkEnd w:id="36"/>
                      <w:bookmarkEnd w:id="37"/>
                    </w:p>
                    <w:p w14:paraId="7D6B306B" w14:textId="77777777" w:rsidR="00205E55" w:rsidRDefault="00205E55" w:rsidP="00290AC0">
                      <w:pPr>
                        <w:pStyle w:val="ListParagraph"/>
                        <w:spacing w:after="0" w:line="240" w:lineRule="auto"/>
                        <w:ind w:left="0"/>
                        <w:jc w:val="both"/>
                        <w:rPr>
                          <w:rFonts w:ascii="Arial" w:hAnsi="Arial" w:cs="Arial"/>
                          <w:bCs/>
                          <w:sz w:val="20"/>
                          <w:szCs w:val="20"/>
                        </w:rPr>
                      </w:pPr>
                      <w:r>
                        <w:rPr>
                          <w:rFonts w:ascii="Arial" w:hAnsi="Arial"/>
                          <w:sz w:val="20"/>
                          <w:szCs w:val="20"/>
                        </w:rPr>
                        <w:t xml:space="preserve">أُنشئ الصندوق الاستئماني الخاص بقطاع غزة والضفة الغربية في عام 1997 بمساهمات من اليابان وبنك الاستثمار الأوروبي </w:t>
                      </w:r>
                      <w:r>
                        <w:rPr>
                          <w:rFonts w:ascii="Arial" w:hAnsi="Arial" w:hint="cs"/>
                          <w:sz w:val="20"/>
                          <w:szCs w:val="20"/>
                        </w:rPr>
                        <w:t>(الذي</w:t>
                      </w:r>
                      <w:r>
                        <w:rPr>
                          <w:rFonts w:ascii="Arial" w:hAnsi="Arial"/>
                          <w:sz w:val="20"/>
                          <w:szCs w:val="20"/>
                        </w:rPr>
                        <w:t xml:space="preserve"> تخارج في 2011) والسلطة الفلسطينية (مدعومة باعتماد من المؤسسة الدولية للتنمية). ويبلغ إجمالي قيمة هذا الصندوق 26 مليون دولار. ويقدم هذا الصندوق للمستثمرين المحليين والأجانب من القطاع الخاص تغطية تأمينية ضد المخاطر غير التجارية الجوهرية في استثماراتهم، وتشمل مخاطر نزع الملكية، والقيود المفروضة على تحويل الأموال إلى الخارج والحروب والاضطرابات الأهلية. وتأتي معظم المشروعات الصغيرة والمتوسطة التي يساندها الصندوق الاستئماني في قطاع التصنيع الزراعي وقطاع الصناعات التحويلية. وقد ساهمت استثماراتها في خلق فرص عمل لا سيما للنساء. ولدى هذا الصندوق ارتباطات بكامل موارده وسينتهي أجله في نهاية ديسمبر/كانون الأول </w:t>
                      </w:r>
                      <w:r>
                        <w:rPr>
                          <w:rFonts w:ascii="Arial" w:hAnsi="Arial" w:hint="cs"/>
                          <w:sz w:val="20"/>
                          <w:szCs w:val="20"/>
                        </w:rPr>
                        <w:t xml:space="preserve">2017 </w:t>
                      </w:r>
                      <w:r>
                        <w:rPr>
                          <w:rFonts w:ascii="Arial" w:hAnsi="Arial"/>
                          <w:sz w:val="20"/>
                          <w:szCs w:val="20"/>
                        </w:rPr>
                        <w:t xml:space="preserve">ما لم يتم تمديده. وفيما يلي أمثلة على المشروعات التي يساندها الصندوق الاستئماني. </w:t>
                      </w:r>
                    </w:p>
                    <w:p w14:paraId="142D7E52" w14:textId="77777777" w:rsidR="00205E55" w:rsidRPr="00950BDF" w:rsidRDefault="00205E55" w:rsidP="00290AC0">
                      <w:pPr>
                        <w:spacing w:after="0" w:line="240" w:lineRule="auto"/>
                        <w:jc w:val="both"/>
                        <w:rPr>
                          <w:rFonts w:ascii="Times New Roman" w:hAnsi="Times New Roman" w:cs="Times New Roman"/>
                          <w:sz w:val="20"/>
                          <w:szCs w:val="20"/>
                        </w:rPr>
                      </w:pPr>
                    </w:p>
                    <w:p w14:paraId="3053D699" w14:textId="77777777" w:rsidR="00205E55" w:rsidRPr="00950BDF" w:rsidRDefault="00205E55" w:rsidP="00290AC0">
                      <w:pPr>
                        <w:pStyle w:val="ListParagraph"/>
                        <w:spacing w:after="0" w:line="240" w:lineRule="auto"/>
                        <w:ind w:left="0"/>
                        <w:jc w:val="both"/>
                        <w:rPr>
                          <w:rFonts w:ascii="Arial" w:hAnsi="Arial" w:cs="Arial"/>
                          <w:sz w:val="20"/>
                          <w:szCs w:val="20"/>
                        </w:rPr>
                      </w:pPr>
                      <w:r>
                        <w:rPr>
                          <w:rFonts w:ascii="Arial" w:hAnsi="Arial"/>
                          <w:sz w:val="20"/>
                          <w:szCs w:val="20"/>
                        </w:rPr>
                        <w:t xml:space="preserve">في قطاع التصنيع الزراعي، قام الصندوق الاستئماني بعمل وثيقة تأمين لشركة نخيل فلسطين للاستثمار الزراعي، ومزرعة </w:t>
                      </w:r>
                      <w:r w:rsidRPr="00E95046">
                        <w:rPr>
                          <w:rFonts w:ascii="Arial" w:hAnsi="Arial"/>
                          <w:sz w:val="20"/>
                          <w:szCs w:val="20"/>
                        </w:rPr>
                        <w:t xml:space="preserve">تمور </w:t>
                      </w:r>
                      <w:r w:rsidR="00E95046">
                        <w:rPr>
                          <w:rFonts w:ascii="Arial" w:hAnsi="Arial" w:hint="cs"/>
                          <w:sz w:val="20"/>
                          <w:szCs w:val="20"/>
                        </w:rPr>
                        <w:t>"</w:t>
                      </w:r>
                      <w:r w:rsidRPr="00E95046">
                        <w:rPr>
                          <w:rFonts w:ascii="Arial" w:hAnsi="Arial"/>
                          <w:sz w:val="20"/>
                          <w:szCs w:val="20"/>
                        </w:rPr>
                        <w:t>المجهول</w:t>
                      </w:r>
                      <w:r w:rsidR="00E95046">
                        <w:rPr>
                          <w:rFonts w:ascii="Arial" w:hAnsi="Arial" w:hint="cs"/>
                          <w:sz w:val="20"/>
                          <w:szCs w:val="20"/>
                        </w:rPr>
                        <w:t>"</w:t>
                      </w:r>
                      <w:r w:rsidRPr="00E95046">
                        <w:rPr>
                          <w:rFonts w:ascii="Arial" w:hAnsi="Arial"/>
                          <w:sz w:val="20"/>
                          <w:szCs w:val="20"/>
                        </w:rPr>
                        <w:t xml:space="preserve"> في</w:t>
                      </w:r>
                      <w:r>
                        <w:rPr>
                          <w:rFonts w:ascii="Arial" w:hAnsi="Arial"/>
                          <w:sz w:val="20"/>
                          <w:szCs w:val="20"/>
                        </w:rPr>
                        <w:t xml:space="preserve"> أريحا في الضفة الغربية. ويعمل هذا المشروع على إيجاد 250 فرصة عمل مباشرة (40% منها للنساء) و300 فرصة عمل غير مباشرة. وتقوم شركة نخيل بتصدير ثلثي إنتاجها. </w:t>
                      </w:r>
                    </w:p>
                    <w:p w14:paraId="1B5C7803" w14:textId="77777777" w:rsidR="00205E55" w:rsidRPr="00950BDF" w:rsidRDefault="00205E55" w:rsidP="00290AC0">
                      <w:pPr>
                        <w:pStyle w:val="ListParagraph"/>
                        <w:spacing w:after="0" w:line="240" w:lineRule="auto"/>
                        <w:ind w:left="0"/>
                        <w:jc w:val="both"/>
                        <w:rPr>
                          <w:rFonts w:ascii="Times New Roman" w:hAnsi="Times New Roman" w:cs="Times New Roman"/>
                          <w:sz w:val="20"/>
                          <w:szCs w:val="20"/>
                        </w:rPr>
                      </w:pPr>
                    </w:p>
                    <w:p w14:paraId="4574C90E" w14:textId="77777777" w:rsidR="00205E55" w:rsidRPr="00950BDF" w:rsidRDefault="00205E55" w:rsidP="00290AC0">
                      <w:pPr>
                        <w:pStyle w:val="ListParagraph"/>
                        <w:spacing w:after="0" w:line="240" w:lineRule="auto"/>
                        <w:ind w:left="0"/>
                        <w:jc w:val="both"/>
                        <w:rPr>
                          <w:rFonts w:ascii="Arial" w:hAnsi="Arial" w:cs="Arial"/>
                          <w:sz w:val="20"/>
                          <w:szCs w:val="20"/>
                        </w:rPr>
                      </w:pPr>
                      <w:r>
                        <w:rPr>
                          <w:rFonts w:ascii="Arial" w:hAnsi="Arial"/>
                          <w:sz w:val="20"/>
                          <w:szCs w:val="20"/>
                        </w:rPr>
                        <w:t xml:space="preserve">وفي مجال الصناعات التحويلية، قدم الصندوق الاستئماني وثيقة تأمين لشركة المشروبات الوطنية لإنشاء وتشغيل خط مشروبات في المنطقة الصناعية بغزة. ويعمل هذا المشروع على إيجاد 300 فرصة عمل مباشرة (30 % منها للنساء) و1000 فرصة عمل غير مباشرة. كما قدم الصندوق مظلة تأمينية لشركة الجراشي للطباعة والتغليف في بيت لحم في الضفة الغربية التي تقدم خدمات التعبئة للمشروعات الصغرى والصغيرة. </w:t>
                      </w:r>
                    </w:p>
                    <w:p w14:paraId="2C52003E" w14:textId="77777777" w:rsidR="00205E55" w:rsidRPr="00950BDF" w:rsidRDefault="00205E55" w:rsidP="00290AC0">
                      <w:pPr>
                        <w:pStyle w:val="ListParagraph"/>
                        <w:spacing w:after="0" w:line="240" w:lineRule="auto"/>
                        <w:ind w:left="0"/>
                        <w:jc w:val="both"/>
                        <w:rPr>
                          <w:rFonts w:ascii="Times New Roman" w:hAnsi="Times New Roman" w:cs="Times New Roman"/>
                          <w:sz w:val="20"/>
                          <w:szCs w:val="20"/>
                        </w:rPr>
                      </w:pPr>
                    </w:p>
                    <w:p w14:paraId="60E0226A" w14:textId="77777777" w:rsidR="00205E55" w:rsidRPr="00950BDF" w:rsidRDefault="00205E55" w:rsidP="00290AC0">
                      <w:pPr>
                        <w:pStyle w:val="ListParagraph"/>
                        <w:spacing w:after="0" w:line="240" w:lineRule="auto"/>
                        <w:ind w:left="0"/>
                        <w:jc w:val="both"/>
                        <w:rPr>
                          <w:rFonts w:ascii="Arial" w:hAnsi="Arial" w:cs="Arial"/>
                          <w:sz w:val="20"/>
                          <w:szCs w:val="20"/>
                        </w:rPr>
                      </w:pPr>
                      <w:r>
                        <w:rPr>
                          <w:rFonts w:ascii="Arial" w:hAnsi="Arial"/>
                          <w:sz w:val="20"/>
                          <w:szCs w:val="20"/>
                        </w:rPr>
                        <w:t>وقام الصندوق بعمل تغطية تأمينية لشركة إيي إف جي (</w:t>
                      </w:r>
                      <w:r>
                        <w:rPr>
                          <w:rFonts w:ascii="Arial" w:hAnsi="Arial"/>
                          <w:sz w:val="20"/>
                          <w:rtl w:val="0"/>
                        </w:rPr>
                        <w:t>EFG</w:t>
                      </w:r>
                      <w:r>
                        <w:rPr>
                          <w:rFonts w:ascii="Arial" w:hAnsi="Arial"/>
                          <w:sz w:val="20"/>
                          <w:szCs w:val="20"/>
                        </w:rPr>
                        <w:t xml:space="preserve">) للطاقة المتجددة وهي مشروع للطاقة المتجددة/ التصنيع. وتقع هذه المحطة التجارية التي تعمل بالغاز الحيوي في الخليل في الضفة الغربية وتقدم </w:t>
                      </w:r>
                      <w:r>
                        <w:rPr>
                          <w:rFonts w:ascii="Arial" w:hAnsi="Arial" w:hint="cs"/>
                          <w:sz w:val="20"/>
                          <w:szCs w:val="20"/>
                        </w:rPr>
                        <w:t xml:space="preserve">خدمات </w:t>
                      </w:r>
                      <w:r>
                        <w:rPr>
                          <w:rFonts w:ascii="Arial" w:hAnsi="Arial"/>
                          <w:sz w:val="20"/>
                          <w:szCs w:val="20"/>
                        </w:rPr>
                        <w:t xml:space="preserve">طاقة متجددة وأسمدة حيوية للمزارعين المحليين. وهذه المحطة هي الأولى من نوعها في الأراضي الفلسطينية، وتعمل على نقل المعارف الجوهرية وإيجاد حوالي 30 فرصة عمل. </w:t>
                      </w:r>
                    </w:p>
                    <w:p w14:paraId="119518D3" w14:textId="77777777" w:rsidR="00205E55" w:rsidRPr="00950BDF" w:rsidRDefault="00205E55" w:rsidP="00290AC0">
                      <w:pPr>
                        <w:pStyle w:val="ListParagraph"/>
                        <w:spacing w:after="0" w:line="240" w:lineRule="auto"/>
                        <w:ind w:left="0"/>
                        <w:jc w:val="both"/>
                        <w:rPr>
                          <w:rFonts w:ascii="Times New Roman" w:hAnsi="Times New Roman" w:cs="Times New Roman"/>
                          <w:sz w:val="20"/>
                          <w:szCs w:val="20"/>
                        </w:rPr>
                      </w:pPr>
                    </w:p>
                    <w:p w14:paraId="1FE601BD" w14:textId="77777777" w:rsidR="00205E55" w:rsidRPr="00950BDF" w:rsidRDefault="00205E55" w:rsidP="00290AC0">
                      <w:pPr>
                        <w:pStyle w:val="ListParagraph"/>
                        <w:spacing w:after="0" w:line="240" w:lineRule="auto"/>
                        <w:ind w:left="0"/>
                        <w:jc w:val="both"/>
                        <w:rPr>
                          <w:rFonts w:ascii="Arial" w:hAnsi="Arial" w:cs="Arial"/>
                          <w:sz w:val="20"/>
                          <w:szCs w:val="20"/>
                        </w:rPr>
                      </w:pPr>
                      <w:r>
                        <w:rPr>
                          <w:rFonts w:ascii="Arial" w:hAnsi="Arial"/>
                          <w:sz w:val="20"/>
                          <w:szCs w:val="20"/>
                        </w:rPr>
                        <w:t xml:space="preserve">وبالإضافة إلى هذا الصندوق الاستئماني، ستقوم الوكالة الدولية لضمان الاستثمار بإدارة صندوق البلدان الهشة والمتأثرة بالصراعات الذي تم إنشاؤه في 2013 بمساندة من وزارة التنمية الدولية البريطانية والوكالة السويدية للتنمية الدولية والوكالة الكندية للتنمية الدولية. ويعمل صندوق البلدان الهشة والمتأثرة بالصراعات بصورة مفتوحة، وسيقدم مساندة عبر الحدود للاستثمارات في غزة والضفة الغربية، لكنه لديه ارتباطات كبيرة الآن. وعلى عكس الصندوق الاستئماني للضفة الغربية وغزة، ليس لدى صندوق البلدان الهشة والمتأثرة بالصراعات القدرة على مساندة المستثمرين المحليين. </w:t>
                      </w:r>
                    </w:p>
                  </w:txbxContent>
                </v:textbox>
                <w10:wrap type="tight" anchorx="margin"/>
              </v:shape>
            </w:pict>
          </mc:Fallback>
        </mc:AlternateContent>
      </w:r>
    </w:p>
    <w:p w14:paraId="55DD7425" w14:textId="77777777" w:rsidR="0025746C" w:rsidRPr="00A86877" w:rsidRDefault="000A5EF3" w:rsidP="006165CA">
      <w:pPr>
        <w:pStyle w:val="ListParagraph"/>
        <w:numPr>
          <w:ilvl w:val="0"/>
          <w:numId w:val="23"/>
        </w:numPr>
        <w:spacing w:after="0" w:line="240" w:lineRule="auto"/>
        <w:jc w:val="center"/>
        <w:rPr>
          <w:rFonts w:ascii="Arial" w:hAnsi="Arial" w:cs="Arial"/>
          <w:u w:val="single"/>
        </w:rPr>
      </w:pPr>
      <w:r>
        <w:rPr>
          <w:rFonts w:ascii="Arial" w:hAnsi="Arial"/>
          <w:u w:val="single"/>
        </w:rPr>
        <w:t xml:space="preserve">التمويل المختلط </w:t>
      </w:r>
    </w:p>
    <w:p w14:paraId="2BBD8A08" w14:textId="77777777" w:rsidR="00E11A5C" w:rsidRPr="00E11A5C" w:rsidRDefault="00F57E65" w:rsidP="00857F9C">
      <w:pPr>
        <w:pStyle w:val="ListParagraph"/>
        <w:numPr>
          <w:ilvl w:val="0"/>
          <w:numId w:val="6"/>
        </w:numPr>
        <w:spacing w:after="0" w:line="240" w:lineRule="auto"/>
        <w:jc w:val="both"/>
        <w:rPr>
          <w:rFonts w:ascii="Arial" w:hAnsi="Arial" w:cs="Arial"/>
          <w:b/>
          <w:bCs/>
        </w:rPr>
      </w:pPr>
      <w:r>
        <w:rPr>
          <w:rFonts w:ascii="Arial" w:hAnsi="Arial"/>
        </w:rPr>
        <w:t>قد تحتاج بعض المشروعات</w:t>
      </w:r>
      <w:r w:rsidR="00F01DB9">
        <w:rPr>
          <w:rFonts w:ascii="Arial" w:hAnsi="Arial" w:hint="cs"/>
        </w:rPr>
        <w:t xml:space="preserve"> إلى</w:t>
      </w:r>
      <w:r>
        <w:rPr>
          <w:rFonts w:ascii="Arial" w:hAnsi="Arial"/>
        </w:rPr>
        <w:t xml:space="preserve"> المزيد من المساندة حتى تكون قابلة للتمويل من خلال بنوك.</w:t>
      </w:r>
      <w:r w:rsidR="00022F13">
        <w:rPr>
          <w:rFonts w:ascii="Arial" w:hAnsi="Arial"/>
        </w:rPr>
        <w:t xml:space="preserve"> </w:t>
      </w:r>
      <w:r>
        <w:rPr>
          <w:rFonts w:ascii="Arial" w:hAnsi="Arial"/>
        </w:rPr>
        <w:t>ومن الممكن أن تقدم حلول التمويل المختلط هذه النوعية من المساندة.</w:t>
      </w:r>
      <w:r w:rsidR="00022F13">
        <w:rPr>
          <w:rFonts w:ascii="Arial" w:hAnsi="Arial"/>
        </w:rPr>
        <w:t xml:space="preserve"> </w:t>
      </w:r>
      <w:r>
        <w:rPr>
          <w:rFonts w:ascii="Arial" w:hAnsi="Arial"/>
        </w:rPr>
        <w:t xml:space="preserve">ومن الممكن أن يساعد التمويل المختلط أيضًا في حفز استثمارات القطاع الخاص في مشروعات من المرجح أن يكون لها أثر كبير وتقف على حد السلامة التجارية ولكنها بحاجة إلى تمويل بشروط ميسورة للتخفيف من المخاطر أو </w:t>
      </w:r>
      <w:r w:rsidR="00F01DB9">
        <w:rPr>
          <w:rFonts w:ascii="Arial" w:hAnsi="Arial" w:hint="cs"/>
        </w:rPr>
        <w:t>من شأنه</w:t>
      </w:r>
      <w:r>
        <w:rPr>
          <w:rFonts w:ascii="Arial" w:hAnsi="Arial"/>
        </w:rPr>
        <w:t xml:space="preserve"> إعادة توازن حجم المخاطر مقابل المنافع لجذب المستثمرين من القطاع الخاص.</w:t>
      </w:r>
      <w:r w:rsidR="00022F13">
        <w:rPr>
          <w:rFonts w:ascii="Arial" w:hAnsi="Arial"/>
        </w:rPr>
        <w:t xml:space="preserve"> </w:t>
      </w:r>
    </w:p>
    <w:p w14:paraId="21651F89" w14:textId="77777777" w:rsidR="00E11A5C" w:rsidRPr="00E11A5C" w:rsidRDefault="00E11A5C" w:rsidP="00E11A5C">
      <w:pPr>
        <w:pStyle w:val="ListParagraph"/>
        <w:spacing w:after="0" w:line="240" w:lineRule="auto"/>
        <w:ind w:left="0"/>
        <w:jc w:val="both"/>
        <w:rPr>
          <w:rFonts w:ascii="Times New Roman" w:hAnsi="Times New Roman" w:cs="Times New Roman"/>
          <w:b/>
          <w:bCs/>
        </w:rPr>
      </w:pPr>
    </w:p>
    <w:p w14:paraId="3F77A150" w14:textId="77777777" w:rsidR="0060415B" w:rsidRPr="00C0280E" w:rsidRDefault="00E11A5C" w:rsidP="00BF4BE3">
      <w:pPr>
        <w:pStyle w:val="ListParagraph"/>
        <w:numPr>
          <w:ilvl w:val="0"/>
          <w:numId w:val="6"/>
        </w:numPr>
        <w:spacing w:after="0" w:line="240" w:lineRule="auto"/>
        <w:jc w:val="both"/>
        <w:rPr>
          <w:rFonts w:ascii="Arial" w:hAnsi="Arial" w:cs="Arial"/>
          <w:b/>
          <w:bCs/>
        </w:rPr>
      </w:pPr>
      <w:r>
        <w:rPr>
          <w:rFonts w:ascii="Arial" w:hAnsi="Arial"/>
          <w:b/>
          <w:bCs/>
        </w:rPr>
        <w:t>في إطار المسار الأول، سيُتاح التمويل المختلط من خلال الاستعانة بالصندوق الاستئماني الذي تديره مؤسسة التمويل الدولية.</w:t>
      </w:r>
      <w:r w:rsidR="00022F13">
        <w:rPr>
          <w:rFonts w:ascii="Arial" w:hAnsi="Arial"/>
          <w:b/>
          <w:bCs/>
        </w:rPr>
        <w:t xml:space="preserve"> </w:t>
      </w:r>
      <w:r>
        <w:rPr>
          <w:rFonts w:ascii="Arial" w:hAnsi="Arial"/>
        </w:rPr>
        <w:t xml:space="preserve">ويشير التمويل المختلط إلى حزمة تمويل تتضمن تمويلًا بشروط ميسورة من شركاء مانحين وتمويلًا تجاريًا من مؤسسة التمويل </w:t>
      </w:r>
      <w:r w:rsidR="00F01DB9">
        <w:rPr>
          <w:rFonts w:ascii="Arial" w:hAnsi="Arial" w:hint="cs"/>
        </w:rPr>
        <w:t>الدولية</w:t>
      </w:r>
      <w:r>
        <w:rPr>
          <w:rFonts w:ascii="Arial" w:hAnsi="Arial"/>
        </w:rPr>
        <w:t xml:space="preserve"> بموجبه يمنح المانحون لمؤسسة التمويل الدولية سلطة إنجاز واعتماد الاستثمارات نيابة عنهم (تفويض السلطة).</w:t>
      </w:r>
      <w:r w:rsidR="00022F13">
        <w:rPr>
          <w:rFonts w:ascii="Arial" w:hAnsi="Arial"/>
        </w:rPr>
        <w:t xml:space="preserve"> </w:t>
      </w:r>
      <w:r>
        <w:rPr>
          <w:rFonts w:ascii="Arial" w:hAnsi="Arial"/>
        </w:rPr>
        <w:t>وبسبب طبيعة وغرض التمويل المختلط، تعتبر الشفافية والحوكمة الفعالة من السمات الرئيسية لنهج مؤسسة التمويل الدولية نحو إدارة واستخدام أموال المانحين التي تُقدم بشروط ميسورة مع أموالها.</w:t>
      </w:r>
      <w:r w:rsidR="00022F13">
        <w:rPr>
          <w:rFonts w:ascii="Arial" w:hAnsi="Arial"/>
        </w:rPr>
        <w:t xml:space="preserve"> </w:t>
      </w:r>
      <w:r>
        <w:rPr>
          <w:rFonts w:ascii="Arial" w:hAnsi="Arial"/>
        </w:rPr>
        <w:t>وتخضع جميع معاملات التمويل المختلط لإجراءات اعتماد وموافقة مصممة كي تتوافق بصورة وثيقة مع إجراءات الموافقة والاعتماد الخاصة بالمشروعات على حساب مؤسسة التمويل الدولية ولكنها مستقلة عنها.</w:t>
      </w:r>
      <w:r w:rsidR="00022F13">
        <w:rPr>
          <w:rFonts w:ascii="Arial" w:hAnsi="Arial"/>
        </w:rPr>
        <w:t xml:space="preserve"> </w:t>
      </w:r>
      <w:r>
        <w:rPr>
          <w:rFonts w:ascii="Arial" w:hAnsi="Arial"/>
        </w:rPr>
        <w:t>وتقوم فرق عمل مستقلة بإدارة هذه الأموال، وهناك لجنة إدارة عليا تابعة لمؤسسة التمويل الدولية (لجنة التمويل المختلط) منوط بها الموافقة على المبلغ المطلوب واستخدامه وتنظيم أموال المانحين التي تُقدم بشروط ميسورة.</w:t>
      </w:r>
      <w:r w:rsidR="00022F13">
        <w:rPr>
          <w:rFonts w:ascii="Arial" w:hAnsi="Arial"/>
        </w:rPr>
        <w:t xml:space="preserve"> </w:t>
      </w:r>
      <w:r>
        <w:rPr>
          <w:rFonts w:ascii="Arial" w:hAnsi="Arial"/>
        </w:rPr>
        <w:t>و</w:t>
      </w:r>
      <w:r w:rsidR="00F01DB9">
        <w:rPr>
          <w:rFonts w:ascii="Arial" w:hAnsi="Arial" w:hint="cs"/>
        </w:rPr>
        <w:t xml:space="preserve">قد </w:t>
      </w:r>
      <w:r>
        <w:rPr>
          <w:rFonts w:ascii="Arial" w:hAnsi="Arial"/>
        </w:rPr>
        <w:t>عمل التمويل المختلط المقدم من المؤسسة الدولية للتنمية على مساندة مشروعات ذات أثر كبير على مستوى العالم في مجالات ذات أولوية مثل تغير المناخ منذ بداية هذه الألفية ــ وكذلك مشروعات في مجال التصنيع الزرعي والأمن الغذائي وتمويل المنشآت الصغيرة والمتوسطة منذ 2013.</w:t>
      </w:r>
      <w:r w:rsidR="00022F13">
        <w:rPr>
          <w:rFonts w:ascii="Arial" w:hAnsi="Arial"/>
        </w:rPr>
        <w:t xml:space="preserve"> </w:t>
      </w:r>
      <w:r>
        <w:rPr>
          <w:rFonts w:ascii="Arial" w:hAnsi="Arial"/>
        </w:rPr>
        <w:t xml:space="preserve">ومنذ السنة المالية 2010، قامت مؤسسة التمويل الدولية بطرح ما يزيد على 560 مليون دولار من أموال المانحين بشروط ميسرة لمساندة 104 مشروعات ذات أثر كبير في 56 بلدًا، وتعبئة ملياري دولار في صورة تمويل من المؤسسة الدولية للتنمية و4.6 مليار دولار من مصادر خاصة أخرى. </w:t>
      </w:r>
    </w:p>
    <w:p w14:paraId="6B744C08" w14:textId="77777777" w:rsidR="0060415B" w:rsidRPr="0060053D" w:rsidRDefault="0060415B" w:rsidP="0060415B">
      <w:pPr>
        <w:pStyle w:val="ListParagraph"/>
        <w:spacing w:after="0" w:line="240" w:lineRule="auto"/>
        <w:ind w:left="0"/>
        <w:jc w:val="both"/>
        <w:rPr>
          <w:rFonts w:ascii="Times New Roman" w:hAnsi="Times New Roman" w:cs="Times New Roman"/>
        </w:rPr>
      </w:pPr>
    </w:p>
    <w:p w14:paraId="6795C42B" w14:textId="77777777" w:rsidR="00CB4855" w:rsidRPr="0060053D" w:rsidRDefault="00E11A5C" w:rsidP="00DA2038">
      <w:pPr>
        <w:pStyle w:val="ListParagraph"/>
        <w:numPr>
          <w:ilvl w:val="0"/>
          <w:numId w:val="6"/>
        </w:numPr>
        <w:spacing w:after="0" w:line="240" w:lineRule="auto"/>
        <w:jc w:val="both"/>
        <w:rPr>
          <w:rFonts w:ascii="Arial" w:hAnsi="Arial" w:cs="Arial"/>
        </w:rPr>
      </w:pPr>
      <w:r>
        <w:rPr>
          <w:rFonts w:ascii="Arial" w:hAnsi="Arial"/>
          <w:b/>
          <w:bCs/>
        </w:rPr>
        <w:t>في إطار المسار الثاني، سيعتمد الصندوق الثاني لتعزيز القطاع الخاص على الخبرات والتجارب المستقاة من معاملات التمويل المختلط التي أدارتها مؤسسة التمويل الدولية.</w:t>
      </w:r>
      <w:r w:rsidR="00022F13">
        <w:rPr>
          <w:rFonts w:ascii="Arial" w:hAnsi="Arial"/>
          <w:b/>
          <w:bCs/>
        </w:rPr>
        <w:t xml:space="preserve"> </w:t>
      </w:r>
      <w:r w:rsidR="00F01DB9">
        <w:rPr>
          <w:rFonts w:ascii="Arial" w:hAnsi="Arial" w:hint="cs"/>
          <w:b/>
          <w:bCs/>
        </w:rPr>
        <w:t>و</w:t>
      </w:r>
      <w:r>
        <w:rPr>
          <w:rFonts w:ascii="Arial" w:hAnsi="Arial"/>
        </w:rPr>
        <w:t xml:space="preserve">من الممكن تنظيم وهيكلة التمويل المختلط باعتباره دينًا بشروط ميسورة (دين أولي </w:t>
      </w:r>
      <w:r>
        <w:rPr>
          <w:rFonts w:ascii="Arial" w:hAnsi="Arial"/>
        </w:rPr>
        <w:lastRenderedPageBreak/>
        <w:t>ووسيط/senior and mezzanine)، أو كحقوق ملكية (استثمارات مباشرة وحقوق ملكية خاصة)، أو كمنتجات تقاسم مخاطر/ضمانات بأسعار أو آجال أو ضمانات أو تصنيفات مختلفة.</w:t>
      </w:r>
      <w:r w:rsidR="00022F13">
        <w:rPr>
          <w:rFonts w:ascii="Arial" w:hAnsi="Arial"/>
        </w:rPr>
        <w:t xml:space="preserve"> </w:t>
      </w:r>
      <w:r>
        <w:rPr>
          <w:rFonts w:ascii="Arial" w:hAnsi="Arial"/>
        </w:rPr>
        <w:t>كما يمكن تنظيمه وهيكلته باعتباره حوافز مستندة إلى الأداء.</w:t>
      </w:r>
      <w:r w:rsidR="00022F13">
        <w:rPr>
          <w:rFonts w:ascii="Arial" w:hAnsi="Arial"/>
        </w:rPr>
        <w:t xml:space="preserve"> </w:t>
      </w:r>
      <w:r>
        <w:rPr>
          <w:rFonts w:ascii="Arial" w:hAnsi="Arial"/>
        </w:rPr>
        <w:t>ويعتمد كل حل على معوقات السوق التي يتعين معالجتها ومستوى الرغبة في تحمل المخاطر المرتبطة بالأموال المساهم بها والمقدمة بشروط ميسورة.</w:t>
      </w:r>
      <w:r w:rsidR="00022F13">
        <w:rPr>
          <w:rFonts w:ascii="Arial" w:hAnsi="Arial"/>
        </w:rPr>
        <w:t xml:space="preserve"> </w:t>
      </w:r>
      <w:r>
        <w:rPr>
          <w:rFonts w:ascii="Arial" w:hAnsi="Arial"/>
        </w:rPr>
        <w:t>وفي الضفة الغربية وقطاع غزة، من الضروري وجود شريحة تمويل بشروط ميسورة، على سبيل المثال، لتنفيذ مشروع أنظمة الطاقة الشمسية السطحية (أعلى أسطح المنازل) بطاقة 7 ميجاواط في المنطقة الصناعية في غزة.</w:t>
      </w:r>
      <w:r w:rsidR="00022F13">
        <w:rPr>
          <w:rFonts w:ascii="Arial" w:hAnsi="Arial"/>
        </w:rPr>
        <w:t xml:space="preserve"> </w:t>
      </w:r>
      <w:r>
        <w:rPr>
          <w:rFonts w:ascii="Arial" w:hAnsi="Arial"/>
        </w:rPr>
        <w:t xml:space="preserve">وعلى نحو مماثل، من المتوقع أن يكون التمويل المختلط غاية </w:t>
      </w:r>
      <w:r w:rsidR="00DA2038">
        <w:rPr>
          <w:rFonts w:ascii="Arial" w:hAnsi="Arial"/>
        </w:rPr>
        <w:t xml:space="preserve">في </w:t>
      </w:r>
      <w:r>
        <w:rPr>
          <w:rFonts w:ascii="Arial" w:hAnsi="Arial"/>
        </w:rPr>
        <w:t>الأهمية لجعل المشروعات الجاهزة قابلة للتمويل من البنوك</w:t>
      </w:r>
      <w:r w:rsidR="00DA2038">
        <w:rPr>
          <w:rFonts w:ascii="Arial" w:hAnsi="Arial" w:hint="cs"/>
        </w:rPr>
        <w:t>،</w:t>
      </w:r>
      <w:r>
        <w:rPr>
          <w:rFonts w:ascii="Arial" w:hAnsi="Arial"/>
        </w:rPr>
        <w:t xml:space="preserve"> مثل مشروعات تحلية المياه، ومشروعات الشراكة بين القطاعين العام والخاص المعنية بالبلديات، ومشروعات الطاقة.</w:t>
      </w:r>
      <w:r w:rsidR="00022F13">
        <w:rPr>
          <w:rFonts w:ascii="Arial" w:hAnsi="Arial"/>
        </w:rPr>
        <w:t xml:space="preserve"> </w:t>
      </w:r>
    </w:p>
    <w:p w14:paraId="779389CC" w14:textId="77777777" w:rsidR="00D120C0" w:rsidRPr="000002E3" w:rsidRDefault="00D120C0" w:rsidP="00C0280E">
      <w:pPr>
        <w:pStyle w:val="ListParagraph"/>
        <w:spacing w:after="0" w:line="240" w:lineRule="auto"/>
        <w:ind w:left="0"/>
        <w:jc w:val="both"/>
        <w:rPr>
          <w:rFonts w:ascii="Times New Roman" w:hAnsi="Times New Roman" w:cs="Times New Roman"/>
          <w:b/>
          <w:bCs/>
        </w:rPr>
      </w:pPr>
    </w:p>
    <w:p w14:paraId="721A51B0" w14:textId="77777777" w:rsidR="006A2643" w:rsidRPr="00A86877" w:rsidRDefault="000002E3" w:rsidP="006165CA">
      <w:pPr>
        <w:pStyle w:val="ListParagraph"/>
        <w:numPr>
          <w:ilvl w:val="0"/>
          <w:numId w:val="23"/>
        </w:numPr>
        <w:jc w:val="center"/>
        <w:rPr>
          <w:rFonts w:ascii="Arial" w:hAnsi="Arial" w:cs="Arial"/>
          <w:u w:val="single"/>
        </w:rPr>
      </w:pPr>
      <w:r>
        <w:rPr>
          <w:rFonts w:ascii="Arial" w:hAnsi="Arial"/>
          <w:u w:val="single"/>
        </w:rPr>
        <w:t>التمويل المشترك للاستثمارات</w:t>
      </w:r>
    </w:p>
    <w:p w14:paraId="76BCD36E" w14:textId="77777777" w:rsidR="004851DB" w:rsidRPr="004851DB" w:rsidRDefault="00A86877" w:rsidP="00BF4BE3">
      <w:pPr>
        <w:pStyle w:val="ListParagraph"/>
        <w:numPr>
          <w:ilvl w:val="0"/>
          <w:numId w:val="6"/>
        </w:numPr>
        <w:spacing w:after="0" w:line="240" w:lineRule="auto"/>
        <w:jc w:val="both"/>
        <w:rPr>
          <w:rFonts w:ascii="Arial" w:hAnsi="Arial" w:cs="Arial"/>
          <w:bCs/>
        </w:rPr>
      </w:pPr>
      <w:r>
        <w:rPr>
          <w:rFonts w:ascii="Arial" w:hAnsi="Arial"/>
        </w:rPr>
        <w:t xml:space="preserve">بالإضافة إلى التمويل المختلط، سيكون من الضروري للغاية وجود مكون خاص بالمنح لجعل بعض المشروعات التي يمكن أن تحقق الكثير من فرص العمل قابلة للتمويل من البنوك. </w:t>
      </w:r>
    </w:p>
    <w:p w14:paraId="450824F6" w14:textId="77777777" w:rsidR="004A6AB9" w:rsidRPr="004A6AB9" w:rsidRDefault="004A6AB9" w:rsidP="004851DB">
      <w:pPr>
        <w:pStyle w:val="ListParagraph"/>
        <w:spacing w:after="0" w:line="240" w:lineRule="auto"/>
        <w:ind w:left="0"/>
        <w:jc w:val="both"/>
        <w:rPr>
          <w:rFonts w:ascii="Times New Roman" w:hAnsi="Times New Roman" w:cs="Times New Roman"/>
          <w:bCs/>
        </w:rPr>
      </w:pPr>
    </w:p>
    <w:p w14:paraId="647ED0E6" w14:textId="77777777" w:rsidR="004A6AB9" w:rsidRPr="00AB5A8B" w:rsidRDefault="004A6AB9" w:rsidP="00BF4BE3">
      <w:pPr>
        <w:pStyle w:val="ListParagraph"/>
        <w:numPr>
          <w:ilvl w:val="0"/>
          <w:numId w:val="6"/>
        </w:numPr>
        <w:spacing w:after="0" w:line="240" w:lineRule="auto"/>
        <w:jc w:val="both"/>
        <w:rPr>
          <w:rFonts w:ascii="Arial" w:hAnsi="Arial" w:cs="Arial"/>
          <w:b/>
          <w:bCs/>
        </w:rPr>
      </w:pPr>
      <w:r>
        <w:rPr>
          <w:b/>
          <w:bCs/>
        </w:rPr>
        <w:t xml:space="preserve">في إطار المكون الأول، ستتم الاستفادة من </w:t>
      </w:r>
      <w:r>
        <w:rPr>
          <w:b/>
          <w:bCs/>
          <w:i/>
          <w:iCs/>
        </w:rPr>
        <w:t>المشروع الثاني الخاص بالتمويل لإيجاد فرص عمل</w:t>
      </w:r>
      <w:r>
        <w:rPr>
          <w:b/>
          <w:bCs/>
        </w:rPr>
        <w:t xml:space="preserve"> الممول من الصندوق الاستئماني لغزة والضفة الغربية والذي وافق عليه مجلس المديرين التنفيذيين في يوليو/تموز 2017.</w:t>
      </w:r>
      <w:r>
        <w:rPr>
          <w:rFonts w:ascii="Arial" w:hAnsi="Arial"/>
        </w:rPr>
        <w:t xml:space="preserve"> وقد وضع </w:t>
      </w:r>
      <w:r>
        <w:rPr>
          <w:rFonts w:ascii="Arial" w:hAnsi="Arial"/>
          <w:i/>
          <w:iCs/>
        </w:rPr>
        <w:t>المشروع الثاني الخاص بالتمويل لإيجاد فرص عمل معايير</w:t>
      </w:r>
      <w:r>
        <w:rPr>
          <w:rFonts w:ascii="Arial" w:hAnsi="Arial"/>
        </w:rPr>
        <w:t xml:space="preserve"> اختيار وإجراءات موافقة واعتماد واضحة للمنح المقدمة للمشروعات المحتملة السليمة من الناحية التجارية والتي تعمل على إيجاد فرص عمل </w:t>
      </w:r>
      <w:r w:rsidR="00522B7B">
        <w:rPr>
          <w:rFonts w:ascii="Arial" w:hAnsi="Arial" w:hint="cs"/>
          <w:lang w:bidi="ar-EG"/>
        </w:rPr>
        <w:t>و</w:t>
      </w:r>
      <w:r>
        <w:rPr>
          <w:rFonts w:ascii="Arial" w:hAnsi="Arial"/>
        </w:rPr>
        <w:t>التي لا يُتاح لها سوى خيارات تمويل محدودة بسبب السياق الهش وإخفاقات السوق ذات الصلة.</w:t>
      </w:r>
      <w:r w:rsidR="00022F13">
        <w:rPr>
          <w:rFonts w:ascii="Arial" w:hAnsi="Arial"/>
        </w:rPr>
        <w:t xml:space="preserve"> </w:t>
      </w:r>
      <w:r>
        <w:rPr>
          <w:rFonts w:ascii="Arial" w:hAnsi="Arial"/>
        </w:rPr>
        <w:t>وسيدخل هذا المشروع قريبًا مرحلة السريان، وسيتم طرح أول منحة تمويل مشترك للاستثمارات في مشروع أنظمة الطاقة الشمسية السطحية (أعلى أسطح المنازل) بطاقة 7 ميجاواط في المنطقة الصناعية في غزة (انظر الإطار 9 أدناه).</w:t>
      </w:r>
      <w:r w:rsidR="00022F13">
        <w:rPr>
          <w:rFonts w:ascii="Arial" w:hAnsi="Arial"/>
        </w:rPr>
        <w:t xml:space="preserve"> </w:t>
      </w:r>
    </w:p>
    <w:p w14:paraId="7020F818" w14:textId="77777777" w:rsidR="004A6AB9" w:rsidRPr="00AB5A8B" w:rsidRDefault="004A6AB9" w:rsidP="004851DB">
      <w:pPr>
        <w:pStyle w:val="ListParagraph"/>
        <w:spacing w:after="0" w:line="240" w:lineRule="auto"/>
        <w:ind w:left="0"/>
        <w:jc w:val="both"/>
        <w:rPr>
          <w:rFonts w:ascii="Times New Roman" w:hAnsi="Times New Roman" w:cs="Times New Roman"/>
          <w:b/>
          <w:bCs/>
        </w:rPr>
      </w:pPr>
    </w:p>
    <w:p w14:paraId="3BDAAA2E" w14:textId="77777777" w:rsidR="00A86877" w:rsidRPr="0060053D" w:rsidRDefault="0087205C" w:rsidP="00BF4BE3">
      <w:pPr>
        <w:pStyle w:val="ListParagraph"/>
        <w:numPr>
          <w:ilvl w:val="0"/>
          <w:numId w:val="6"/>
        </w:numPr>
        <w:spacing w:after="0" w:line="240" w:lineRule="auto"/>
        <w:jc w:val="both"/>
        <w:rPr>
          <w:rFonts w:ascii="Arial" w:hAnsi="Arial" w:cs="Arial"/>
          <w:b/>
          <w:bCs/>
        </w:rPr>
      </w:pPr>
      <w:r>
        <w:rPr>
          <w:noProof/>
          <w:lang w:eastAsia="en-US"/>
        </w:rPr>
        <mc:AlternateContent>
          <mc:Choice Requires="wps">
            <w:drawing>
              <wp:anchor distT="45720" distB="45720" distL="114300" distR="114300" simplePos="0" relativeHeight="251696640" behindDoc="1" locked="0" layoutInCell="1" allowOverlap="1">
                <wp:simplePos x="0" y="0"/>
                <wp:positionH relativeFrom="margin">
                  <wp:posOffset>50800</wp:posOffset>
                </wp:positionH>
                <wp:positionV relativeFrom="paragraph">
                  <wp:posOffset>766445</wp:posOffset>
                </wp:positionV>
                <wp:extent cx="5932170" cy="1873250"/>
                <wp:effectExtent l="0" t="0" r="0" b="0"/>
                <wp:wrapTight wrapText="bothSides">
                  <wp:wrapPolygon edited="0">
                    <wp:start x="0" y="0"/>
                    <wp:lineTo x="0" y="21527"/>
                    <wp:lineTo x="21572" y="21527"/>
                    <wp:lineTo x="21572"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873250"/>
                        </a:xfrm>
                        <a:prstGeom prst="rect">
                          <a:avLst/>
                        </a:prstGeom>
                        <a:solidFill>
                          <a:sysClr val="window" lastClr="FFFFFF">
                            <a:lumMod val="85000"/>
                          </a:sysClr>
                        </a:solidFill>
                        <a:ln w="9525">
                          <a:solidFill>
                            <a:srgbClr val="000000"/>
                          </a:solidFill>
                          <a:miter lim="800000"/>
                          <a:headEnd/>
                          <a:tailEnd/>
                        </a:ln>
                      </wps:spPr>
                      <wps:txbx>
                        <w:txbxContent>
                          <w:p w14:paraId="03A147DB" w14:textId="77777777" w:rsidR="00205E55" w:rsidRPr="005316CE" w:rsidRDefault="00205E55" w:rsidP="00393A40">
                            <w:pPr>
                              <w:pStyle w:val="Caption"/>
                              <w:jc w:val="center"/>
                            </w:pPr>
                            <w:r w:rsidRPr="005316CE">
                              <w:rPr>
                                <w:rFonts w:ascii="Arial" w:hAnsi="Arial"/>
                                <w:b/>
                                <w:bCs/>
                                <w:i w:val="0"/>
                                <w:color w:val="auto"/>
                              </w:rPr>
                              <w:t>الإطار 9. طرح أدوات تكميلية للمساعدة في إنجاز المشروعات في الضفة الغربية و</w:t>
                            </w:r>
                            <w:r>
                              <w:rPr>
                                <w:rFonts w:ascii="Arial" w:hAnsi="Arial" w:hint="cs"/>
                                <w:b/>
                                <w:bCs/>
                                <w:i w:val="0"/>
                                <w:color w:val="auto"/>
                              </w:rPr>
                              <w:t xml:space="preserve">قطاع </w:t>
                            </w:r>
                            <w:r w:rsidRPr="005316CE">
                              <w:rPr>
                                <w:rFonts w:ascii="Arial" w:hAnsi="Arial"/>
                                <w:b/>
                                <w:bCs/>
                                <w:i w:val="0"/>
                                <w:color w:val="auto"/>
                              </w:rPr>
                              <w:t xml:space="preserve">غزة ــ حالة مشروع تركيب وحدات الخلايا الكهروضوئية في </w:t>
                            </w:r>
                            <w:r>
                              <w:rPr>
                                <w:rFonts w:ascii="Arial" w:hAnsi="Arial" w:hint="cs"/>
                                <w:b/>
                                <w:bCs/>
                                <w:i w:val="0"/>
                                <w:color w:val="auto"/>
                              </w:rPr>
                              <w:t>المنطقة</w:t>
                            </w:r>
                            <w:r w:rsidRPr="005316CE">
                              <w:rPr>
                                <w:rFonts w:ascii="Arial" w:hAnsi="Arial"/>
                                <w:b/>
                                <w:bCs/>
                                <w:i w:val="0"/>
                                <w:color w:val="auto"/>
                              </w:rPr>
                              <w:t xml:space="preserve"> الصناعية بغزة</w:t>
                            </w:r>
                          </w:p>
                          <w:p w14:paraId="5D4E4C5D" w14:textId="77777777" w:rsidR="00205E55" w:rsidRPr="005316CE" w:rsidRDefault="00205E55" w:rsidP="00393A40">
                            <w:pPr>
                              <w:spacing w:after="0" w:line="240" w:lineRule="auto"/>
                              <w:jc w:val="both"/>
                              <w:rPr>
                                <w:rFonts w:ascii="Arial" w:hAnsi="Arial" w:cs="Arial"/>
                                <w:sz w:val="18"/>
                                <w:szCs w:val="18"/>
                              </w:rPr>
                            </w:pPr>
                            <w:r w:rsidRPr="005316CE">
                              <w:rPr>
                                <w:rFonts w:ascii="Arial" w:hAnsi="Arial"/>
                                <w:sz w:val="18"/>
                                <w:szCs w:val="18"/>
                              </w:rPr>
                              <w:t xml:space="preserve">يقدم مشروع تركيب وحدات الخلايا الكهروضوئية في </w:t>
                            </w:r>
                            <w:r>
                              <w:rPr>
                                <w:rFonts w:ascii="Arial" w:hAnsi="Arial" w:hint="cs"/>
                                <w:sz w:val="18"/>
                                <w:szCs w:val="18"/>
                              </w:rPr>
                              <w:t>المنطقة</w:t>
                            </w:r>
                            <w:r w:rsidRPr="005316CE">
                              <w:rPr>
                                <w:rFonts w:ascii="Arial" w:hAnsi="Arial"/>
                                <w:sz w:val="18"/>
                                <w:szCs w:val="18"/>
                              </w:rPr>
                              <w:t xml:space="preserve"> الصناعية بغزة</w:t>
                            </w:r>
                            <w:r>
                              <w:rPr>
                                <w:rFonts w:ascii="Arial" w:hAnsi="Arial" w:hint="cs"/>
                                <w:sz w:val="18"/>
                                <w:szCs w:val="18"/>
                              </w:rPr>
                              <w:t>،</w:t>
                            </w:r>
                            <w:r w:rsidRPr="005316CE">
                              <w:rPr>
                                <w:rFonts w:ascii="Arial" w:hAnsi="Arial"/>
                                <w:sz w:val="18"/>
                                <w:szCs w:val="18"/>
                              </w:rPr>
                              <w:t xml:space="preserve"> وهو استثمار ذو أولوية</w:t>
                            </w:r>
                            <w:r>
                              <w:rPr>
                                <w:rFonts w:ascii="Arial" w:hAnsi="Arial" w:hint="cs"/>
                                <w:sz w:val="18"/>
                                <w:szCs w:val="18"/>
                              </w:rPr>
                              <w:t>،</w:t>
                            </w:r>
                            <w:r w:rsidRPr="005316CE">
                              <w:rPr>
                                <w:rFonts w:ascii="Arial" w:hAnsi="Arial"/>
                                <w:sz w:val="18"/>
                                <w:szCs w:val="18"/>
                              </w:rPr>
                              <w:t xml:space="preserve"> مثالًا واضحًا على الدور الرئيسي الذي يمكن أن يقوم به التأمين لتغطية المخاطر السياسية، والتمويل المختلط، ومنح الاستثمارات المشتركة في الضفة الغربية وغزة. وقد قامت مؤسسة التمويل الدولية بدور بالغ الأهمية في تنظيم وهيكلة هذا الاستثمار الذي تبلغ قيمته حوالي 12 مليون دولار. وسيتم تمويل هذا المشروع من خلال حقوق ملكية لجهة راعية (3 ملايين دولار)، وقرض أولي من مؤسسة التمويل الدولية بقيمة 7.2 مليون دولار تقريبًا (قرض من الفئة ألف من مؤسسة التمويل الدولية بقيمة 3.6 مليون دولار، وتمويل مختلط بقيمة 3.6 مليون دولار). وبالإضافة إلى ذلك، سيتم تقديم 1.8 مليون دولار عبارة عن تمويل مشترك للاستثمار في صورة منحة في إطار مشروع التمويل لإيجاد فرص عمل. وتدرس الوكالة الدولية لضمان الاستثمار تقديم مظلة تأمينية ضد المخاطر السياسية. </w:t>
                            </w:r>
                          </w:p>
                          <w:p w14:paraId="1FD46148" w14:textId="77777777" w:rsidR="00205E55" w:rsidRPr="005316CE" w:rsidRDefault="00205E55" w:rsidP="00393A40">
                            <w:pPr>
                              <w:spacing w:after="0" w:line="240" w:lineRule="auto"/>
                              <w:jc w:val="both"/>
                              <w:rPr>
                                <w:rFonts w:ascii="Times New Roman" w:hAnsi="Times New Roman" w:cs="Times New Roman"/>
                                <w:sz w:val="18"/>
                                <w:szCs w:val="18"/>
                              </w:rPr>
                            </w:pPr>
                          </w:p>
                          <w:p w14:paraId="31A4C44D" w14:textId="77777777" w:rsidR="00205E55" w:rsidRPr="005316CE" w:rsidRDefault="00205E55" w:rsidP="00393A40">
                            <w:pPr>
                              <w:spacing w:after="0" w:line="240" w:lineRule="auto"/>
                              <w:jc w:val="both"/>
                              <w:rPr>
                                <w:rFonts w:ascii="Arial" w:hAnsi="Arial" w:cs="Arial"/>
                                <w:sz w:val="18"/>
                                <w:szCs w:val="18"/>
                              </w:rPr>
                            </w:pPr>
                            <w:r w:rsidRPr="005316CE">
                              <w:rPr>
                                <w:rFonts w:ascii="Arial" w:hAnsi="Arial"/>
                                <w:sz w:val="18"/>
                                <w:szCs w:val="18"/>
                              </w:rPr>
                              <w:t xml:space="preserve">وسيعمل هذا المشروع على إيجاد فرص عمل في المنطقة الصناعية، وسيكون له أثر إيضاحي وتعليمي مهم في جذب استثمارات القطاع الخاص إلى المشروعات القادرة على إحداث تحوُّلات جوهرية في كل من الضفة الغربية وغزة.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4pt;margin-top:60.35pt;width:467.1pt;height:147.5pt;z-index:-25161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" fillcolor="#d9d9d9">
                <v:textbox>
                  <w:txbxContent>
                    <w:p w14:paraId="03A147DB" w14:textId="77777777" w:rsidR="00205E55" w:rsidRPr="005316CE" w:rsidRDefault="00205E55" w:rsidP="00393A40">
                      <w:pPr>
                        <w:pStyle w:val="Caption"/>
                        <w:jc w:val="center"/>
                      </w:pPr>
                      <w:r w:rsidRPr="005316CE">
                        <w:rPr>
                          <w:rFonts w:ascii="Arial" w:hAnsi="Arial"/>
                          <w:b/>
                          <w:bCs/>
                          <w:i w:val="0"/>
                          <w:color w:val="auto"/>
                        </w:rPr>
                        <w:t>الإطار 9. طرح أدوات تكميلية للمساعدة في إنجاز المشروعات في الضفة الغربية و</w:t>
                      </w:r>
                      <w:r>
                        <w:rPr>
                          <w:rFonts w:ascii="Arial" w:hAnsi="Arial" w:hint="cs"/>
                          <w:b/>
                          <w:bCs/>
                          <w:i w:val="0"/>
                          <w:color w:val="auto"/>
                        </w:rPr>
                        <w:t xml:space="preserve">قطاع </w:t>
                      </w:r>
                      <w:r w:rsidRPr="005316CE">
                        <w:rPr>
                          <w:rFonts w:ascii="Arial" w:hAnsi="Arial"/>
                          <w:b/>
                          <w:bCs/>
                          <w:i w:val="0"/>
                          <w:color w:val="auto"/>
                        </w:rPr>
                        <w:t xml:space="preserve">غزة ــ حالة مشروع تركيب وحدات الخلايا الكهروضوئية في </w:t>
                      </w:r>
                      <w:r>
                        <w:rPr>
                          <w:rFonts w:ascii="Arial" w:hAnsi="Arial" w:hint="cs"/>
                          <w:b/>
                          <w:bCs/>
                          <w:i w:val="0"/>
                          <w:color w:val="auto"/>
                        </w:rPr>
                        <w:t>المنطقة</w:t>
                      </w:r>
                      <w:r w:rsidRPr="005316CE">
                        <w:rPr>
                          <w:rFonts w:ascii="Arial" w:hAnsi="Arial"/>
                          <w:b/>
                          <w:bCs/>
                          <w:i w:val="0"/>
                          <w:color w:val="auto"/>
                        </w:rPr>
                        <w:t xml:space="preserve"> الصناعية بغزة</w:t>
                      </w:r>
                    </w:p>
                    <w:p w14:paraId="5D4E4C5D" w14:textId="77777777" w:rsidR="00205E55" w:rsidRPr="005316CE" w:rsidRDefault="00205E55" w:rsidP="00393A40">
                      <w:pPr>
                        <w:spacing w:after="0" w:line="240" w:lineRule="auto"/>
                        <w:jc w:val="both"/>
                        <w:rPr>
                          <w:rFonts w:ascii="Arial" w:hAnsi="Arial" w:cs="Arial"/>
                          <w:sz w:val="18"/>
                          <w:szCs w:val="18"/>
                        </w:rPr>
                      </w:pPr>
                      <w:r w:rsidRPr="005316CE">
                        <w:rPr>
                          <w:rFonts w:ascii="Arial" w:hAnsi="Arial"/>
                          <w:sz w:val="18"/>
                          <w:szCs w:val="18"/>
                        </w:rPr>
                        <w:t xml:space="preserve">يقدم مشروع تركيب وحدات الخلايا الكهروضوئية في </w:t>
                      </w:r>
                      <w:r>
                        <w:rPr>
                          <w:rFonts w:ascii="Arial" w:hAnsi="Arial" w:hint="cs"/>
                          <w:sz w:val="18"/>
                          <w:szCs w:val="18"/>
                        </w:rPr>
                        <w:t>المنطقة</w:t>
                      </w:r>
                      <w:r w:rsidRPr="005316CE">
                        <w:rPr>
                          <w:rFonts w:ascii="Arial" w:hAnsi="Arial"/>
                          <w:sz w:val="18"/>
                          <w:szCs w:val="18"/>
                        </w:rPr>
                        <w:t xml:space="preserve"> الصناعية بغزة</w:t>
                      </w:r>
                      <w:r>
                        <w:rPr>
                          <w:rFonts w:ascii="Arial" w:hAnsi="Arial" w:hint="cs"/>
                          <w:sz w:val="18"/>
                          <w:szCs w:val="18"/>
                        </w:rPr>
                        <w:t>،</w:t>
                      </w:r>
                      <w:r w:rsidRPr="005316CE">
                        <w:rPr>
                          <w:rFonts w:ascii="Arial" w:hAnsi="Arial"/>
                          <w:sz w:val="18"/>
                          <w:szCs w:val="18"/>
                        </w:rPr>
                        <w:t xml:space="preserve"> وهو استثمار ذو أولوية</w:t>
                      </w:r>
                      <w:r>
                        <w:rPr>
                          <w:rFonts w:ascii="Arial" w:hAnsi="Arial" w:hint="cs"/>
                          <w:sz w:val="18"/>
                          <w:szCs w:val="18"/>
                        </w:rPr>
                        <w:t>،</w:t>
                      </w:r>
                      <w:r w:rsidRPr="005316CE">
                        <w:rPr>
                          <w:rFonts w:ascii="Arial" w:hAnsi="Arial"/>
                          <w:sz w:val="18"/>
                          <w:szCs w:val="18"/>
                        </w:rPr>
                        <w:t xml:space="preserve"> مثالًا واضحًا على الدور الرئيسي الذي يمكن أن يقوم به التأمين لتغطية المخاطر السياسية، والتمويل المختلط، ومنح الاستثمارات المشتركة في الضفة الغربية وغزة. وقد قامت مؤسسة التمويل الدولية بدور بالغ الأهمية في تنظيم وهيكلة هذا الاستثمار الذي تبلغ قيمته حوالي 12 مليون دولار. وسيتم تمويل هذا المشروع من خلال حقوق ملكية لجهة راعية (3 ملايين دولار)، وقرض أولي من مؤسسة التمويل الدولية بقيمة 7.2 مليون دولار تقريبًا (قرض من الفئة ألف من مؤسسة التمويل الدولية بقيمة 3.6 مليون دولار، وتمويل مختلط بقيمة 3.6 مليون دولار). وبالإضافة إلى ذلك، سيتم تقديم 1.8 مليون دولار عبارة عن تمويل مشترك للاستثمار في صورة منحة في إطار مشروع التمويل لإيجاد فرص عمل. وتدرس الوكالة الدولية لضمان الاستثمار تقديم مظلة تأمينية ضد المخاطر السياسية. </w:t>
                      </w:r>
                    </w:p>
                    <w:p w14:paraId="1FD46148" w14:textId="77777777" w:rsidR="00205E55" w:rsidRPr="005316CE" w:rsidRDefault="00205E55" w:rsidP="00393A40">
                      <w:pPr>
                        <w:spacing w:after="0" w:line="240" w:lineRule="auto"/>
                        <w:jc w:val="both"/>
                        <w:rPr>
                          <w:rFonts w:ascii="Times New Roman" w:hAnsi="Times New Roman" w:cs="Times New Roman"/>
                          <w:sz w:val="18"/>
                          <w:szCs w:val="18"/>
                        </w:rPr>
                      </w:pPr>
                    </w:p>
                    <w:p w14:paraId="31A4C44D" w14:textId="77777777" w:rsidR="00205E55" w:rsidRPr="005316CE" w:rsidRDefault="00205E55" w:rsidP="00393A40">
                      <w:pPr>
                        <w:spacing w:after="0" w:line="240" w:lineRule="auto"/>
                        <w:jc w:val="both"/>
                        <w:rPr>
                          <w:rFonts w:ascii="Arial" w:hAnsi="Arial" w:cs="Arial"/>
                          <w:sz w:val="18"/>
                          <w:szCs w:val="18"/>
                        </w:rPr>
                      </w:pPr>
                      <w:r w:rsidRPr="005316CE">
                        <w:rPr>
                          <w:rFonts w:ascii="Arial" w:hAnsi="Arial"/>
                          <w:sz w:val="18"/>
                          <w:szCs w:val="18"/>
                        </w:rPr>
                        <w:t xml:space="preserve">وسيعمل هذا المشروع على إيجاد فرص عمل في المنطقة الصناعية، وسيكون له أثر إيضاحي وتعليمي مهم في جذب استثمارات القطاع الخاص إلى المشروعات القادرة على إحداث تحوُّلات جوهرية في كل من الضفة الغربية وغزة. </w:t>
                      </w:r>
                    </w:p>
                  </w:txbxContent>
                </v:textbox>
                <w10:wrap type="tight" anchorx="margin"/>
              </v:shape>
            </w:pict>
          </mc:Fallback>
        </mc:AlternateContent>
      </w:r>
      <w:r w:rsidR="00661578">
        <w:rPr>
          <w:b/>
          <w:bCs/>
        </w:rPr>
        <w:t>في إطار المسار الثاني، سيتم توسيع نطاق تمويل منح التمويل المشترك للاستثمارات.</w:t>
      </w:r>
      <w:r w:rsidR="00661578">
        <w:rPr>
          <w:rFonts w:ascii="Arial" w:hAnsi="Arial"/>
        </w:rPr>
        <w:t xml:space="preserve"> وقد تم تحديد مجموعة جاهزة من الاستثمارات الخاصة التي يمكن أن تستفيد من مثل هذه المنح في إطار الصندوق الجديد لتعزيز القطاع الخاص في مجالات السياحة وتكنولوجيا المعلومات والاتصالات والتصنيع الزراعي والطاقة المتجددة والصناعات التحويلية الخفيفة.</w:t>
      </w:r>
      <w:r w:rsidR="00022F13">
        <w:rPr>
          <w:rFonts w:ascii="Arial" w:hAnsi="Arial"/>
        </w:rPr>
        <w:t xml:space="preserve"> </w:t>
      </w:r>
      <w:r w:rsidR="00661578">
        <w:rPr>
          <w:rFonts w:ascii="Arial" w:hAnsi="Arial"/>
        </w:rPr>
        <w:t>وسيتم إيلاء أولوية للاستثمارات التي تتيح أكبر قدر من المنافع الاجتماعية من خلال خلق فرص العمل.</w:t>
      </w:r>
      <w:r w:rsidR="00022F13">
        <w:rPr>
          <w:rFonts w:ascii="Arial" w:hAnsi="Arial"/>
        </w:rPr>
        <w:t xml:space="preserve"> </w:t>
      </w:r>
    </w:p>
    <w:p w14:paraId="190B79D8" w14:textId="77777777" w:rsidR="00CB4855" w:rsidRPr="0060053D" w:rsidRDefault="00CB4855" w:rsidP="0060053D">
      <w:pPr>
        <w:spacing w:after="0" w:line="240" w:lineRule="auto"/>
        <w:jc w:val="both"/>
        <w:rPr>
          <w:rFonts w:ascii="Times New Roman" w:hAnsi="Times New Roman" w:cs="Times New Roman"/>
          <w:b/>
          <w:bCs/>
        </w:rPr>
      </w:pPr>
    </w:p>
    <w:p w14:paraId="684E0BF6" w14:textId="77777777" w:rsidR="00290AC0" w:rsidRDefault="00A86877" w:rsidP="00BF4BE3">
      <w:pPr>
        <w:pStyle w:val="ListParagraph"/>
        <w:numPr>
          <w:ilvl w:val="0"/>
          <w:numId w:val="6"/>
        </w:numPr>
        <w:spacing w:after="0" w:line="240" w:lineRule="auto"/>
        <w:jc w:val="both"/>
        <w:rPr>
          <w:rFonts w:ascii="Arial" w:eastAsia="Arial" w:hAnsi="Arial" w:cs="Arial"/>
          <w:bCs/>
        </w:rPr>
      </w:pPr>
      <w:r>
        <w:rPr>
          <w:rFonts w:ascii="Arial" w:hAnsi="Arial"/>
        </w:rPr>
        <w:t>تتضمن القطاعات الرئيسية التي من المحتمل أن تستفيد من الصندوق الجديد لتعزيز القطاع الخاص الصناعات الزراعية، والصناعات التحويلية الخفيفة، وصناعة المشروبات، وكذلك مشروعات البنية التحتية</w:t>
      </w:r>
      <w:r w:rsidR="003A7A73">
        <w:rPr>
          <w:rFonts w:ascii="Arial" w:hAnsi="Arial" w:hint="cs"/>
        </w:rPr>
        <w:t>،</w:t>
      </w:r>
      <w:r>
        <w:rPr>
          <w:rFonts w:ascii="Arial" w:hAnsi="Arial"/>
        </w:rPr>
        <w:t xml:space="preserve"> مثل مشروعات الطاقة الشمسية، وشركات إنتاج الكهرباء المستقلة التي تستخدم الغاز لتوليد الكهرباء، ومشروعات الشراكة بين القطاعين الخاص والعام المعنية بالبلديات، ومشروعات تحلية المياه.</w:t>
      </w:r>
      <w:r w:rsidR="00022F13">
        <w:rPr>
          <w:rFonts w:ascii="Arial" w:hAnsi="Arial"/>
        </w:rPr>
        <w:t xml:space="preserve"> </w:t>
      </w:r>
      <w:r>
        <w:rPr>
          <w:rFonts w:ascii="Arial" w:hAnsi="Arial"/>
        </w:rPr>
        <w:t>وتشارك المؤسسة الدولية بالفعل في كل قطاع من هذه القطاعات مما يعمل على تسريع وتيرة العمليات التي تستفيد من تسهيلات صندوق تعزيز القطاع الخاص.</w:t>
      </w:r>
      <w:r w:rsidR="00022F13">
        <w:rPr>
          <w:rFonts w:ascii="Arial" w:hAnsi="Arial"/>
        </w:rPr>
        <w:t xml:space="preserve"> </w:t>
      </w:r>
      <w:r>
        <w:rPr>
          <w:rFonts w:ascii="Arial" w:hAnsi="Arial"/>
        </w:rPr>
        <w:t>وإذا ما حدث تقدم في عملية السلام والمصالحة بين السلطة الفلسطينية وغزة، من الممكن أن يعمل ذلك على إطلاق مجموعة كبيرة وجاهزة من مشروعات الشراكة بين القطاعين العام والخاص تتضمن مشروعات تحلية مياه ومجمعات صناعية وتطوير للطاقة يمكنها الاستفادة من توسيع نطاق صندوق تعزيز القطاع الخاص.</w:t>
      </w:r>
      <w:r w:rsidR="00022F13">
        <w:rPr>
          <w:rFonts w:ascii="Arial" w:hAnsi="Arial"/>
        </w:rPr>
        <w:t xml:space="preserve"> </w:t>
      </w:r>
    </w:p>
    <w:p w14:paraId="152DDAED" w14:textId="77777777" w:rsidR="00290AC0" w:rsidRPr="00290AC0" w:rsidRDefault="00290AC0" w:rsidP="00290AC0">
      <w:pPr>
        <w:pStyle w:val="ListParagraph"/>
        <w:rPr>
          <w:rFonts w:ascii="Times New Roman" w:eastAsia="Calibri" w:hAnsi="Times New Roman" w:cs="Times New Roman"/>
          <w:bCs/>
        </w:rPr>
      </w:pPr>
    </w:p>
    <w:p w14:paraId="1B34618F" w14:textId="77777777" w:rsidR="00852FD8" w:rsidRPr="00290AC0" w:rsidRDefault="003440D6" w:rsidP="003A7A73">
      <w:pPr>
        <w:pStyle w:val="ListParagraph"/>
        <w:numPr>
          <w:ilvl w:val="0"/>
          <w:numId w:val="6"/>
        </w:numPr>
        <w:spacing w:after="0" w:line="240" w:lineRule="auto"/>
        <w:jc w:val="both"/>
        <w:rPr>
          <w:rFonts w:ascii="Arial" w:eastAsia="Arial" w:hAnsi="Arial" w:cs="Arial"/>
          <w:bCs/>
        </w:rPr>
      </w:pPr>
      <w:r>
        <w:rPr>
          <w:rFonts w:ascii="Arial" w:hAnsi="Arial"/>
        </w:rPr>
        <w:t>يأتي الصندوق الجديد لتعزيز القطاع الخاص مكملًا لصناديق أخرى تعمل على جذب التمويل الخاص من أجل التنمية.</w:t>
      </w:r>
      <w:r w:rsidR="00022F13">
        <w:rPr>
          <w:rFonts w:ascii="Arial" w:hAnsi="Arial"/>
        </w:rPr>
        <w:t xml:space="preserve"> </w:t>
      </w:r>
      <w:r>
        <w:rPr>
          <w:rFonts w:ascii="Arial" w:hAnsi="Arial"/>
        </w:rPr>
        <w:t>ويساند</w:t>
      </w:r>
      <w:r w:rsidR="00022F13">
        <w:rPr>
          <w:rFonts w:ascii="Arial" w:hAnsi="Arial"/>
        </w:rPr>
        <w:t xml:space="preserve"> </w:t>
      </w:r>
      <w:r>
        <w:rPr>
          <w:rFonts w:ascii="Arial" w:hAnsi="Arial"/>
        </w:rPr>
        <w:t>برنامج الضمانات</w:t>
      </w:r>
      <w:r w:rsidR="00022F13">
        <w:rPr>
          <w:rFonts w:ascii="Arial" w:hAnsi="Arial"/>
        </w:rPr>
        <w:t xml:space="preserve"> </w:t>
      </w:r>
      <w:r>
        <w:rPr>
          <w:rFonts w:ascii="Arial" w:hAnsi="Arial"/>
        </w:rPr>
        <w:t>التابع للوكالة الفرنسية للتنمية والذي تم توقيعه مع بنك فلسطين المشروعات الصغيرة والمتوسطة.</w:t>
      </w:r>
      <w:r w:rsidR="00022F13">
        <w:rPr>
          <w:rFonts w:ascii="Arial" w:hAnsi="Arial"/>
        </w:rPr>
        <w:t xml:space="preserve"> </w:t>
      </w:r>
      <w:r>
        <w:rPr>
          <w:rFonts w:ascii="Arial" w:hAnsi="Arial"/>
        </w:rPr>
        <w:t>ويعمل الصندوق الفلسطيني لضمان القروض، وهو صندوق بقيمة 130 مليون دولار يقدم ضمانات جزئية للتسهيلات الائتمانية والقروض وممول من أوبك (</w:t>
      </w:r>
      <w:r>
        <w:rPr>
          <w:rFonts w:ascii="Arial" w:hAnsi="Arial"/>
          <w:rtl w:val="0"/>
        </w:rPr>
        <w:t>OPIC</w:t>
      </w:r>
      <w:r>
        <w:rPr>
          <w:rFonts w:ascii="Arial" w:hAnsi="Arial"/>
        </w:rPr>
        <w:t xml:space="preserve">) والوكالة السويدية للتنمية الدولية، على التخفيف من المخاطر السياسية والتجارية لجذب التمويل </w:t>
      </w:r>
      <w:r w:rsidR="00522B7B">
        <w:rPr>
          <w:rFonts w:ascii="Arial" w:hAnsi="Arial" w:hint="cs"/>
        </w:rPr>
        <w:t>لصالح</w:t>
      </w:r>
      <w:r>
        <w:rPr>
          <w:rFonts w:ascii="Arial" w:hAnsi="Arial"/>
        </w:rPr>
        <w:t xml:space="preserve"> المؤسسات الصغيرة والمتوسطة، والطاقة المتجددة، والمنطقة </w:t>
      </w:r>
      <w:r w:rsidR="00522B7B" w:rsidRPr="00522B7B">
        <w:rPr>
          <w:rFonts w:ascii="Arial" w:hAnsi="Arial" w:hint="cs"/>
          <w:b/>
          <w:bCs/>
        </w:rPr>
        <w:t>(</w:t>
      </w:r>
      <w:r w:rsidRPr="00522B7B">
        <w:rPr>
          <w:rFonts w:ascii="Arial" w:hAnsi="Arial"/>
          <w:b/>
          <w:bCs/>
        </w:rPr>
        <w:t>ج</w:t>
      </w:r>
      <w:r w:rsidR="00522B7B" w:rsidRPr="00522B7B">
        <w:rPr>
          <w:rFonts w:ascii="Arial" w:hAnsi="Arial" w:hint="cs"/>
          <w:b/>
          <w:bCs/>
        </w:rPr>
        <w:t>)</w:t>
      </w:r>
      <w:r>
        <w:rPr>
          <w:rFonts w:ascii="Arial" w:hAnsi="Arial"/>
        </w:rPr>
        <w:t xml:space="preserve">، وغزة. وقامت الوكالة الفرنسية بإنشاء صندوق للتمويل المختلط بقيمة 25 مليون دولار لقطاع الطاقة المتجددة، </w:t>
      </w:r>
      <w:r w:rsidR="003A7A73">
        <w:rPr>
          <w:rFonts w:ascii="Arial" w:hAnsi="Arial" w:hint="cs"/>
        </w:rPr>
        <w:t>في حين</w:t>
      </w:r>
      <w:r w:rsidR="003A7A73">
        <w:rPr>
          <w:rFonts w:ascii="Arial" w:hAnsi="Arial"/>
        </w:rPr>
        <w:t xml:space="preserve"> </w:t>
      </w:r>
      <w:r>
        <w:rPr>
          <w:rFonts w:ascii="Arial" w:hAnsi="Arial"/>
        </w:rPr>
        <w:t xml:space="preserve">تتمثل خطة البنك الأوروبي للإنشاء والتعمير في تقديم 30 مليون دولار في صورة تمويل مختلط لتغطية </w:t>
      </w:r>
      <w:r>
        <w:rPr>
          <w:rFonts w:ascii="Arial" w:hAnsi="Arial"/>
        </w:rPr>
        <w:lastRenderedPageBreak/>
        <w:t>التمويل المقدم للقطاع المصرفي والاستثمارات الخضراء (المراعية للبيئة) مثل الطاقة الكهربائية المولدة من الطاقة الشمسية. وبناء عليه، ستعمل النافذة المقترحة للتمويل المختلط في إطار صندوق تعزيز القطاع الخاص على زيادة الموارد المتاحة للضفة الغربية وغزة من مانحين آخرين، وإطلاق فرص إضافية تدعمها هذه الصناديق والبرامج.</w:t>
      </w:r>
      <w:r w:rsidR="00022F13">
        <w:rPr>
          <w:rFonts w:ascii="Arial" w:hAnsi="Arial"/>
        </w:rPr>
        <w:t xml:space="preserve"> </w:t>
      </w:r>
      <w:r>
        <w:rPr>
          <w:rFonts w:ascii="Arial" w:hAnsi="Arial"/>
        </w:rPr>
        <w:t xml:space="preserve">وسيعمل صندوق تعزيز القطاع الخاص أيضًا على توسيع نطاق التسهيلات المتاحة بالفعل في الضفة الغربية وغزة بتقديم تمويل مشترك في صورة منح تشتد الحاجة إليها وتغطية تأمينية ضد المخاطر السياسية، كما سيضع إطارًا للإجراءات التدخلية التي يتخذها في سياق الإصلاحات القطاعية المدعومة من مجموعة البنك الدولي التي تعتبر ضرورية لنجاح الاستثمارات الخاصة. </w:t>
      </w:r>
    </w:p>
    <w:p w14:paraId="438F6BEA" w14:textId="77777777" w:rsidR="00FF45E9" w:rsidRDefault="00FF45E9" w:rsidP="002914B8">
      <w:pPr>
        <w:spacing w:after="0" w:line="240" w:lineRule="auto"/>
        <w:jc w:val="both"/>
        <w:rPr>
          <w:rFonts w:ascii="Arial" w:eastAsia="Arial" w:hAnsi="Arial" w:cs="Arial"/>
        </w:rPr>
      </w:pPr>
      <w:r>
        <w:rPr>
          <w:rFonts w:ascii="Arial" w:hAnsi="Arial"/>
        </w:rPr>
        <w:t xml:space="preserve"> </w:t>
      </w:r>
    </w:p>
    <w:p w14:paraId="702BB5FD" w14:textId="77777777" w:rsidR="00FF36D1" w:rsidRPr="00796636" w:rsidRDefault="0087205C" w:rsidP="00FF36D1">
      <w:pPr>
        <w:pStyle w:val="Caption"/>
        <w:jc w:val="center"/>
        <w:rPr>
          <w:rFonts w:ascii="Arial" w:hAnsi="Arial" w:cs="Arial"/>
          <w:i w:val="0"/>
          <w:iCs w:val="0"/>
          <w:color w:val="auto"/>
          <w:sz w:val="22"/>
          <w:szCs w:val="22"/>
        </w:rPr>
      </w:pPr>
      <w:bookmarkStart w:id="38" w:name="_Toc496110907"/>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700736" behindDoc="0" locked="0" layoutInCell="1" allowOverlap="1">
                <wp:simplePos x="0" y="0"/>
                <wp:positionH relativeFrom="column">
                  <wp:posOffset>3154680</wp:posOffset>
                </wp:positionH>
                <wp:positionV relativeFrom="paragraph">
                  <wp:posOffset>1382395</wp:posOffset>
                </wp:positionV>
                <wp:extent cx="106680" cy="472440"/>
                <wp:effectExtent l="19050" t="19050" r="26670" b="3810"/>
                <wp:wrapNone/>
                <wp:docPr id="24" name="Arrow: Up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47244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6AA0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4" o:spid="_x0000_s1026" type="#_x0000_t68" style="position:absolute;margin-left:248.4pt;margin-top:108.85pt;width:8.4pt;height:37.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" adj="2439" fillcolor="#5b9bd5" strokecolor="#41719c" strokeweight="1pt">
                <v:path arrowok="t"/>
              </v:shape>
            </w:pict>
          </mc:Fallback>
        </mc:AlternateContent>
      </w:r>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659776" behindDoc="0" locked="0" layoutInCell="1" allowOverlap="1">
                <wp:simplePos x="0" y="0"/>
                <wp:positionH relativeFrom="column">
                  <wp:posOffset>1737360</wp:posOffset>
                </wp:positionH>
                <wp:positionV relativeFrom="paragraph">
                  <wp:posOffset>1915160</wp:posOffset>
                </wp:positionV>
                <wp:extent cx="4114800" cy="4572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114800" cy="45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EADDF" id="Rectangle 27" o:spid="_x0000_s1026" style="position:absolute;margin-left:136.8pt;margin-top:150.8pt;width:324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" fillcolor="#5b9bd5 [3204]" strokecolor="#1f4d78 [1604]" strokeweight="1pt">
                <v:path arrowok="t"/>
              </v:rect>
            </w:pict>
          </mc:Fallback>
        </mc:AlternateContent>
      </w:r>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698688" behindDoc="0" locked="0" layoutInCell="1" allowOverlap="1">
                <wp:simplePos x="0" y="0"/>
                <wp:positionH relativeFrom="column">
                  <wp:posOffset>1729740</wp:posOffset>
                </wp:positionH>
                <wp:positionV relativeFrom="paragraph">
                  <wp:posOffset>1443355</wp:posOffset>
                </wp:positionV>
                <wp:extent cx="106680" cy="472440"/>
                <wp:effectExtent l="19050" t="19050" r="26670" b="3810"/>
                <wp:wrapNone/>
                <wp:docPr id="18" name="Arrow: Up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47244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63D4" id="Arrow: Up 18" o:spid="_x0000_s1026" type="#_x0000_t68" style="position:absolute;margin-left:136.2pt;margin-top:113.65pt;width:8.4pt;height:37.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" adj="2439" fillcolor="#5b9bd5" strokecolor="#41719c" strokeweight="1pt">
                <v:path arrowok="t"/>
              </v:shape>
            </w:pict>
          </mc:Fallback>
        </mc:AlternateContent>
      </w:r>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642368" behindDoc="0" locked="0" layoutInCell="1" allowOverlap="1">
                <wp:simplePos x="0" y="0"/>
                <wp:positionH relativeFrom="column">
                  <wp:posOffset>558800</wp:posOffset>
                </wp:positionH>
                <wp:positionV relativeFrom="paragraph">
                  <wp:posOffset>1606550</wp:posOffset>
                </wp:positionV>
                <wp:extent cx="146050" cy="412750"/>
                <wp:effectExtent l="19050" t="19050" r="6350" b="6350"/>
                <wp:wrapNone/>
                <wp:docPr id="17" name="Arrow: Up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4127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B3C0" id="Arrow: Up 17" o:spid="_x0000_s1026" type="#_x0000_t68" style="position:absolute;margin-left:44pt;margin-top:126.5pt;width:11.5pt;height: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" adj="3822" fillcolor="#5b9bd5 [3204]" strokecolor="#1f4d78 [1604]" strokeweight="1pt">
                <v:path arrowok="t"/>
              </v:shape>
            </w:pict>
          </mc:Fallback>
        </mc:AlternateContent>
      </w:r>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630080" behindDoc="0" locked="0" layoutInCell="1" allowOverlap="1">
                <wp:simplePos x="0" y="0"/>
                <wp:positionH relativeFrom="column">
                  <wp:posOffset>1645285</wp:posOffset>
                </wp:positionH>
                <wp:positionV relativeFrom="paragraph">
                  <wp:posOffset>731520</wp:posOffset>
                </wp:positionV>
                <wp:extent cx="816610" cy="457200"/>
                <wp:effectExtent l="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457200"/>
                        </a:xfrm>
                        <a:prstGeom prst="rect">
                          <a:avLst/>
                        </a:prstGeom>
                        <a:solidFill>
                          <a:schemeClr val="lt1"/>
                        </a:solidFill>
                        <a:ln w="6350">
                          <a:solidFill>
                            <a:prstClr val="black"/>
                          </a:solidFill>
                        </a:ln>
                      </wps:spPr>
                      <wps:txbx>
                        <w:txbxContent>
                          <w:p w14:paraId="5C988EF9" w14:textId="77777777" w:rsidR="00205E55" w:rsidRPr="005316CE" w:rsidRDefault="00205E55" w:rsidP="006F3503">
                            <w:pPr>
                              <w:spacing w:after="0"/>
                              <w:rPr>
                                <w:rFonts w:ascii="Arial" w:hAnsi="Arial" w:cs="Arial"/>
                                <w:sz w:val="18"/>
                                <w:szCs w:val="18"/>
                              </w:rPr>
                            </w:pPr>
                            <w:r w:rsidRPr="005316CE">
                              <w:rPr>
                                <w:rFonts w:ascii="Arial" w:hAnsi="Arial"/>
                                <w:sz w:val="18"/>
                                <w:szCs w:val="18"/>
                              </w:rPr>
                              <w:t>المخاطر السياسية</w:t>
                            </w:r>
                          </w:p>
                          <w:p w14:paraId="63B1E0F7" w14:textId="77777777" w:rsidR="00205E55" w:rsidRPr="005316CE" w:rsidRDefault="00205E55" w:rsidP="006F3503">
                            <w:pPr>
                              <w:spacing w:after="0"/>
                              <w:rPr>
                                <w:rFonts w:ascii="Arial" w:hAnsi="Arial" w:cs="Arial"/>
                                <w:sz w:val="18"/>
                                <w:szCs w:val="18"/>
                              </w:rPr>
                            </w:pPr>
                            <w:r w:rsidRPr="005316CE">
                              <w:rPr>
                                <w:rFonts w:ascii="Arial" w:hAnsi="Arial"/>
                                <w:sz w:val="18"/>
                                <w:szCs w:val="18"/>
                              </w:rPr>
                              <w:t>التأمين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left:0;text-align:left;margin-left:129.55pt;margin-top:57.6pt;width:64.3pt;height:36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" fillcolor="white [3201]" strokeweight=".5pt">
                <v:path arrowok="t"/>
                <v:textbox>
                  <w:txbxContent>
                    <w:p w14:paraId="5C988EF9" w14:textId="77777777" w:rsidR="00205E55" w:rsidRPr="005316CE" w:rsidRDefault="00205E55" w:rsidP="006F3503">
                      <w:pPr>
                        <w:spacing w:after="0"/>
                        <w:rPr>
                          <w:rFonts w:ascii="Arial" w:hAnsi="Arial" w:cs="Arial"/>
                          <w:sz w:val="18"/>
                          <w:szCs w:val="18"/>
                        </w:rPr>
                      </w:pPr>
                      <w:r w:rsidRPr="005316CE">
                        <w:rPr>
                          <w:rFonts w:ascii="Arial" w:hAnsi="Arial"/>
                          <w:sz w:val="18"/>
                          <w:szCs w:val="18"/>
                        </w:rPr>
                        <w:t>المخاطر السياسية</w:t>
                      </w:r>
                    </w:p>
                    <w:p w14:paraId="63B1E0F7" w14:textId="77777777" w:rsidR="00205E55" w:rsidRPr="005316CE" w:rsidRDefault="00205E55" w:rsidP="006F3503">
                      <w:pPr>
                        <w:spacing w:after="0"/>
                        <w:rPr>
                          <w:rFonts w:ascii="Arial" w:hAnsi="Arial" w:cs="Arial"/>
                          <w:sz w:val="18"/>
                          <w:szCs w:val="18"/>
                        </w:rPr>
                      </w:pPr>
                      <w:r w:rsidRPr="005316CE">
                        <w:rPr>
                          <w:rFonts w:ascii="Arial" w:hAnsi="Arial"/>
                          <w:sz w:val="18"/>
                          <w:szCs w:val="18"/>
                        </w:rPr>
                        <w:t>التأمين</w:t>
                      </w:r>
                    </w:p>
                  </w:txbxContent>
                </v:textbox>
              </v:shape>
            </w:pict>
          </mc:Fallback>
        </mc:AlternateContent>
      </w:r>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667968" behindDoc="0" locked="0" layoutInCell="1" allowOverlap="1">
                <wp:simplePos x="0" y="0"/>
                <wp:positionH relativeFrom="column">
                  <wp:posOffset>2102485</wp:posOffset>
                </wp:positionH>
                <wp:positionV relativeFrom="paragraph">
                  <wp:posOffset>2331720</wp:posOffset>
                </wp:positionV>
                <wp:extent cx="3155315" cy="3810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3810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7DF57D" w14:textId="77777777" w:rsidR="00205E55" w:rsidRPr="00E6261F" w:rsidRDefault="00205E55">
                            <w:pPr>
                              <w:rPr>
                                <w:rFonts w:ascii="Arial" w:hAnsi="Arial" w:cs="Arial"/>
                                <w:sz w:val="18"/>
                                <w:szCs w:val="18"/>
                              </w:rPr>
                            </w:pPr>
                            <w:r w:rsidRPr="00E6261F">
                              <w:rPr>
                                <w:rFonts w:ascii="Arial" w:hAnsi="Arial"/>
                                <w:sz w:val="18"/>
                                <w:szCs w:val="18"/>
                              </w:rPr>
                              <w:t>الأموال المتاحة من موارد مجموعة البنك الدولي والمانحين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8" o:spid="_x0000_s1036" type="#_x0000_t202" style="position:absolute;left:0;text-align:left;margin-left:165.55pt;margin-top:183.6pt;width:248.4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" fillcolor="white [3201]" stroked="f" strokeweight=".5pt">
                <v:textbox>
                  <w:txbxContent>
                    <w:p w14:paraId="537DF57D" w14:textId="77777777" w:rsidR="00205E55" w:rsidRPr="00E6261F" w:rsidRDefault="00205E55">
                      <w:pPr>
                        <w:rPr>
                          <w:rFonts w:ascii="Arial" w:hAnsi="Arial" w:cs="Arial"/>
                          <w:sz w:val="18"/>
                          <w:szCs w:val="18"/>
                        </w:rPr>
                      </w:pPr>
                      <w:r w:rsidRPr="00E6261F">
                        <w:rPr>
                          <w:rFonts w:ascii="Arial" w:hAnsi="Arial"/>
                          <w:sz w:val="18"/>
                          <w:szCs w:val="18"/>
                        </w:rPr>
                        <w:t>الأموال المتاحة من موارد مجموعة البنك الدولي والمانحين</w:t>
                      </w:r>
                    </w:p>
                  </w:txbxContent>
                </v:textbox>
              </v:shape>
            </w:pict>
          </mc:Fallback>
        </mc:AlternateContent>
      </w:r>
      <w:r>
        <w:rPr>
          <w:rFonts w:ascii="Times New Roman" w:hAnsi="Times New Roman" w:cs="Times New Roman"/>
          <w:i w:val="0"/>
          <w:iCs w:val="0"/>
          <w:noProof/>
          <w:color w:val="auto"/>
          <w:sz w:val="22"/>
          <w:szCs w:val="22"/>
          <w:lang w:eastAsia="en-US"/>
        </w:rPr>
        <mc:AlternateContent>
          <mc:Choice Requires="wps">
            <w:drawing>
              <wp:anchor distT="45720" distB="45720" distL="114300" distR="114300" simplePos="0" relativeHeight="251621888" behindDoc="0" locked="0" layoutInCell="1" allowOverlap="1">
                <wp:simplePos x="0" y="0"/>
                <wp:positionH relativeFrom="margin">
                  <wp:posOffset>0</wp:posOffset>
                </wp:positionH>
                <wp:positionV relativeFrom="paragraph">
                  <wp:posOffset>427355</wp:posOffset>
                </wp:positionV>
                <wp:extent cx="6108700" cy="2545080"/>
                <wp:effectExtent l="0" t="0" r="635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545080"/>
                        </a:xfrm>
                        <a:prstGeom prst="rect">
                          <a:avLst/>
                        </a:prstGeom>
                        <a:solidFill>
                          <a:srgbClr val="FFFFFF"/>
                        </a:solidFill>
                        <a:ln w="9525">
                          <a:solidFill>
                            <a:srgbClr val="000000"/>
                          </a:solidFill>
                          <a:miter lim="800000"/>
                          <a:headEnd/>
                          <a:tailEnd/>
                        </a:ln>
                      </wps:spPr>
                      <wps:txbx>
                        <w:txbxContent>
                          <w:p w14:paraId="6B3FD302" w14:textId="77777777" w:rsidR="00205E55" w:rsidRDefault="00205E55">
                            <w:pPr>
                              <w:rPr>
                                <w:noProof/>
                              </w:rPr>
                            </w:pPr>
                          </w:p>
                          <w:p w14:paraId="0A8EEA31" w14:textId="77777777" w:rsidR="00205E55" w:rsidRDefault="00205E55">
                            <w:pPr>
                              <w:rPr>
                                <w:noProof/>
                              </w:rPr>
                            </w:pPr>
                            <w:r>
                              <w:t xml:space="preserve"> </w:t>
                            </w:r>
                          </w:p>
                          <w:p w14:paraId="27BB1406" w14:textId="77777777" w:rsidR="00205E55" w:rsidRDefault="00205E55">
                            <w:r>
                              <w:t xml:space="preserve"> </w:t>
                            </w:r>
                          </w:p>
                          <w:p w14:paraId="4EFBE2D3" w14:textId="77777777" w:rsidR="00205E55" w:rsidRDefault="00205E55">
                            <w:r>
                              <w:t xml:space="preserve"> </w:t>
                            </w:r>
                            <w:r w:rsidRPr="00E6261F">
                              <w:rPr>
                                <w:noProof/>
                                <w:lang w:eastAsia="en-US"/>
                              </w:rPr>
                              <w:drawing>
                                <wp:inline distT="0" distB="0" distL="0" distR="0" wp14:anchorId="09330A5A" wp14:editId="0620D253">
                                  <wp:extent cx="162878" cy="548640"/>
                                  <wp:effectExtent l="0" t="0" r="889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3" cy="554418"/>
                                          </a:xfrm>
                                          <a:prstGeom prst="rect">
                                            <a:avLst/>
                                          </a:prstGeom>
                                          <a:noFill/>
                                          <a:ln>
                                            <a:noFill/>
                                          </a:ln>
                                        </pic:spPr>
                                      </pic:pic>
                                    </a:graphicData>
                                  </a:graphic>
                                </wp:inline>
                              </w:drawing>
                            </w:r>
                          </w:p>
                          <w:p w14:paraId="30399EC8" w14:textId="77777777" w:rsidR="00205E55" w:rsidRDefault="00205E55" w:rsidP="00E6261F"/>
                          <w:p w14:paraId="2D8D283D" w14:textId="77777777" w:rsidR="00205E55" w:rsidRDefault="00205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33.65pt;width:481pt;height:200.4pt;z-index:25162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">
                <v:textbox>
                  <w:txbxContent>
                    <w:p w14:paraId="6B3FD302" w14:textId="77777777" w:rsidR="00205E55" w:rsidRDefault="00205E55">
                      <w:pPr>
                        <w:rPr>
                          <w:noProof/>
                        </w:rPr>
                      </w:pPr>
                    </w:p>
                    <w:p w14:paraId="0A8EEA31" w14:textId="77777777" w:rsidR="00205E55" w:rsidRDefault="00205E55">
                      <w:pPr>
                        <w:rPr>
                          <w:noProof/>
                        </w:rPr>
                      </w:pPr>
                      <w:r>
                        <w:t xml:space="preserve"> </w:t>
                      </w:r>
                    </w:p>
                    <w:p w14:paraId="27BB1406" w14:textId="77777777" w:rsidR="00205E55" w:rsidRDefault="00205E55">
                      <w:r>
                        <w:t xml:space="preserve"> </w:t>
                      </w:r>
                    </w:p>
                    <w:p w14:paraId="4EFBE2D3" w14:textId="77777777" w:rsidR="00205E55" w:rsidRDefault="00205E55">
                      <w:r>
                        <w:t xml:space="preserve"> </w:t>
                      </w:r>
                      <w:r w:rsidRPr="00E6261F">
                        <w:rPr>
                          <w:noProof/>
                          <w:lang w:eastAsia="en-US"/>
                        </w:rPr>
                        <w:drawing>
                          <wp:inline distT="0" distB="0" distL="0" distR="0" wp14:anchorId="09330A5A" wp14:editId="0620D253">
                            <wp:extent cx="162878" cy="548640"/>
                            <wp:effectExtent l="0" t="0" r="889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3" cy="554418"/>
                                    </a:xfrm>
                                    <a:prstGeom prst="rect">
                                      <a:avLst/>
                                    </a:prstGeom>
                                    <a:noFill/>
                                    <a:ln>
                                      <a:noFill/>
                                    </a:ln>
                                  </pic:spPr>
                                </pic:pic>
                              </a:graphicData>
                            </a:graphic>
                          </wp:inline>
                        </w:drawing>
                      </w:r>
                    </w:p>
                    <w:p w14:paraId="30399EC8" w14:textId="77777777" w:rsidR="00205E55" w:rsidRDefault="00205E55" w:rsidP="00E6261F"/>
                    <w:p w14:paraId="2D8D283D" w14:textId="77777777" w:rsidR="00205E55" w:rsidRDefault="00205E55"/>
                  </w:txbxContent>
                </v:textbox>
                <w10:wrap type="square" anchorx="margin"/>
              </v:shape>
            </w:pict>
          </mc:Fallback>
        </mc:AlternateContent>
      </w:r>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638272" behindDoc="0" locked="0" layoutInCell="1" allowOverlap="1">
                <wp:simplePos x="0" y="0"/>
                <wp:positionH relativeFrom="margin">
                  <wp:posOffset>4107180</wp:posOffset>
                </wp:positionH>
                <wp:positionV relativeFrom="paragraph">
                  <wp:posOffset>754380</wp:posOffset>
                </wp:positionV>
                <wp:extent cx="1638300" cy="4419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441960"/>
                        </a:xfrm>
                        <a:prstGeom prst="rect">
                          <a:avLst/>
                        </a:prstGeom>
                        <a:solidFill>
                          <a:schemeClr val="lt1"/>
                        </a:solidFill>
                        <a:ln w="6350">
                          <a:solidFill>
                            <a:prstClr val="black"/>
                          </a:solidFill>
                        </a:ln>
                      </wps:spPr>
                      <wps:txbx>
                        <w:txbxContent>
                          <w:p w14:paraId="470F9215" w14:textId="77777777" w:rsidR="00205E55" w:rsidRPr="005316CE" w:rsidRDefault="00205E55" w:rsidP="006F3503">
                            <w:pPr>
                              <w:spacing w:after="0"/>
                              <w:rPr>
                                <w:rFonts w:ascii="Arial" w:hAnsi="Arial" w:cs="Arial"/>
                                <w:sz w:val="18"/>
                                <w:szCs w:val="18"/>
                              </w:rPr>
                            </w:pPr>
                            <w:r w:rsidRPr="005316CE">
                              <w:rPr>
                                <w:rFonts w:ascii="Arial" w:hAnsi="Arial"/>
                                <w:sz w:val="18"/>
                                <w:szCs w:val="18"/>
                              </w:rPr>
                              <w:t>التمويل المشترك للاستثمارات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left:0;text-align:left;margin-left:323.4pt;margin-top:59.4pt;width:129pt;height:34.8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" fillcolor="white [3201]" strokeweight=".5pt">
                <v:path arrowok="t"/>
                <v:textbox>
                  <w:txbxContent>
                    <w:p w14:paraId="470F9215" w14:textId="77777777" w:rsidR="00205E55" w:rsidRPr="005316CE" w:rsidRDefault="00205E55" w:rsidP="006F3503">
                      <w:pPr>
                        <w:spacing w:after="0"/>
                        <w:rPr>
                          <w:rFonts w:ascii="Arial" w:hAnsi="Arial" w:cs="Arial"/>
                          <w:sz w:val="18"/>
                          <w:szCs w:val="18"/>
                        </w:rPr>
                      </w:pPr>
                      <w:r w:rsidRPr="005316CE">
                        <w:rPr>
                          <w:rFonts w:ascii="Arial" w:hAnsi="Arial"/>
                          <w:sz w:val="18"/>
                          <w:szCs w:val="18"/>
                        </w:rPr>
                        <w:t>التمويل المشترك للاستثمارات</w:t>
                      </w:r>
                    </w:p>
                  </w:txbxContent>
                </v:textbox>
                <w10:wrap anchorx="margin"/>
              </v:shape>
            </w:pict>
          </mc:Fallback>
        </mc:AlternateContent>
      </w:r>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634176" behindDoc="0" locked="0" layoutInCell="1" allowOverlap="1">
                <wp:simplePos x="0" y="0"/>
                <wp:positionH relativeFrom="column">
                  <wp:posOffset>2773680</wp:posOffset>
                </wp:positionH>
                <wp:positionV relativeFrom="paragraph">
                  <wp:posOffset>739140</wp:posOffset>
                </wp:positionV>
                <wp:extent cx="1120140" cy="449580"/>
                <wp:effectExtent l="0" t="0" r="381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140" cy="449580"/>
                        </a:xfrm>
                        <a:prstGeom prst="rect">
                          <a:avLst/>
                        </a:prstGeom>
                        <a:solidFill>
                          <a:schemeClr val="lt1"/>
                        </a:solidFill>
                        <a:ln w="6350">
                          <a:solidFill>
                            <a:prstClr val="black"/>
                          </a:solidFill>
                        </a:ln>
                      </wps:spPr>
                      <wps:txbx>
                        <w:txbxContent>
                          <w:p w14:paraId="15E8DB22" w14:textId="77777777" w:rsidR="00205E55" w:rsidRPr="005316CE" w:rsidRDefault="00205E55" w:rsidP="006F3503">
                            <w:pPr>
                              <w:spacing w:after="0"/>
                              <w:rPr>
                                <w:rFonts w:ascii="Arial" w:hAnsi="Arial"/>
                                <w:sz w:val="18"/>
                                <w:szCs w:val="18"/>
                              </w:rPr>
                            </w:pPr>
                            <w:r w:rsidRPr="005316CE">
                              <w:rPr>
                                <w:rFonts w:ascii="Arial" w:hAnsi="Arial"/>
                                <w:sz w:val="18"/>
                                <w:szCs w:val="18"/>
                              </w:rPr>
                              <w:t>التمويل المختلط</w:t>
                            </w:r>
                          </w:p>
                          <w:p w14:paraId="212B6C83" w14:textId="77777777" w:rsidR="00205E55" w:rsidRDefault="0020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218.4pt;margin-top:58.2pt;width:88.2pt;height:3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" fillcolor="white [3201]" strokeweight=".5pt">
                <v:path arrowok="t"/>
                <v:textbox>
                  <w:txbxContent>
                    <w:p w14:paraId="15E8DB22" w14:textId="77777777" w:rsidR="00205E55" w:rsidRPr="005316CE" w:rsidRDefault="00205E55" w:rsidP="006F3503">
                      <w:pPr>
                        <w:spacing w:after="0"/>
                        <w:rPr>
                          <w:rFonts w:ascii="Arial" w:hAnsi="Arial"/>
                          <w:sz w:val="18"/>
                          <w:szCs w:val="18"/>
                        </w:rPr>
                      </w:pPr>
                      <w:r w:rsidRPr="005316CE">
                        <w:rPr>
                          <w:rFonts w:ascii="Arial" w:hAnsi="Arial"/>
                          <w:sz w:val="18"/>
                          <w:szCs w:val="18"/>
                        </w:rPr>
                        <w:t>التمويل المختلط</w:t>
                      </w:r>
                    </w:p>
                    <w:p w14:paraId="212B6C83" w14:textId="77777777" w:rsidR="00205E55" w:rsidRDefault="00205E55"/>
                  </w:txbxContent>
                </v:textbox>
              </v:shape>
            </w:pict>
          </mc:Fallback>
        </mc:AlternateContent>
      </w:r>
      <w:r>
        <w:rPr>
          <w:rFonts w:ascii="Times New Roman" w:hAnsi="Times New Roman" w:cs="Times New Roman"/>
          <w:i w:val="0"/>
          <w:iCs w:val="0"/>
          <w:noProof/>
          <w:color w:val="auto"/>
          <w:sz w:val="22"/>
          <w:szCs w:val="22"/>
          <w:lang w:eastAsia="en-US"/>
        </w:rPr>
        <mc:AlternateContent>
          <mc:Choice Requires="wps">
            <w:drawing>
              <wp:anchor distT="0" distB="0" distL="114300" distR="114300" simplePos="0" relativeHeight="251625984" behindDoc="0" locked="0" layoutInCell="1" allowOverlap="1">
                <wp:simplePos x="0" y="0"/>
                <wp:positionH relativeFrom="column">
                  <wp:posOffset>154940</wp:posOffset>
                </wp:positionH>
                <wp:positionV relativeFrom="paragraph">
                  <wp:posOffset>570865</wp:posOffset>
                </wp:positionV>
                <wp:extent cx="882015" cy="8191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015" cy="819150"/>
                        </a:xfrm>
                        <a:prstGeom prst="rect">
                          <a:avLst/>
                        </a:prstGeom>
                        <a:solidFill>
                          <a:schemeClr val="lt1"/>
                        </a:solidFill>
                        <a:ln w="6350">
                          <a:solidFill>
                            <a:prstClr val="black"/>
                          </a:solidFill>
                        </a:ln>
                      </wps:spPr>
                      <wps:txbx>
                        <w:txbxContent>
                          <w:p w14:paraId="32119198" w14:textId="77777777" w:rsidR="00205E55" w:rsidRPr="005316CE" w:rsidRDefault="00205E55" w:rsidP="001960C7">
                            <w:pPr>
                              <w:spacing w:after="0"/>
                              <w:rPr>
                                <w:rFonts w:ascii="Arial" w:hAnsi="Arial"/>
                                <w:sz w:val="18"/>
                                <w:szCs w:val="18"/>
                              </w:rPr>
                            </w:pPr>
                            <w:r w:rsidRPr="005316CE">
                              <w:rPr>
                                <w:rFonts w:ascii="Arial" w:hAnsi="Arial"/>
                                <w:sz w:val="18"/>
                                <w:szCs w:val="18"/>
                              </w:rPr>
                              <w:t xml:space="preserve">مساندة البنك الدولي </w:t>
                            </w:r>
                          </w:p>
                          <w:p w14:paraId="670B4CDB" w14:textId="77777777" w:rsidR="00205E55" w:rsidRPr="005316CE" w:rsidRDefault="00205E55" w:rsidP="001960C7">
                            <w:pPr>
                              <w:spacing w:after="0"/>
                              <w:rPr>
                                <w:rFonts w:ascii="Arial" w:hAnsi="Arial"/>
                                <w:sz w:val="18"/>
                                <w:szCs w:val="18"/>
                              </w:rPr>
                            </w:pPr>
                            <w:r w:rsidRPr="005316CE">
                              <w:rPr>
                                <w:rFonts w:ascii="Arial" w:hAnsi="Arial"/>
                                <w:sz w:val="18"/>
                                <w:szCs w:val="18"/>
                              </w:rPr>
                              <w:t xml:space="preserve">لهيكلة وتنظيم </w:t>
                            </w:r>
                          </w:p>
                          <w:p w14:paraId="37906931" w14:textId="77777777" w:rsidR="00205E55" w:rsidRPr="005316CE" w:rsidRDefault="00205E55" w:rsidP="001960C7">
                            <w:pPr>
                              <w:spacing w:after="0"/>
                              <w:rPr>
                                <w:rFonts w:ascii="Arial" w:hAnsi="Arial"/>
                                <w:sz w:val="18"/>
                                <w:szCs w:val="18"/>
                              </w:rPr>
                            </w:pPr>
                            <w:r w:rsidRPr="005316CE">
                              <w:rPr>
                                <w:rFonts w:ascii="Arial" w:hAnsi="Arial"/>
                                <w:sz w:val="18"/>
                                <w:szCs w:val="18"/>
                              </w:rPr>
                              <w:t xml:space="preserve">معاملات محددة، و </w:t>
                            </w:r>
                          </w:p>
                          <w:p w14:paraId="3A204B67" w14:textId="77777777" w:rsidR="00205E55" w:rsidRPr="005316CE" w:rsidRDefault="00205E55" w:rsidP="001960C7">
                            <w:pPr>
                              <w:spacing w:after="0"/>
                              <w:rPr>
                                <w:rFonts w:ascii="Arial" w:hAnsi="Arial"/>
                                <w:sz w:val="18"/>
                                <w:szCs w:val="18"/>
                              </w:rPr>
                            </w:pPr>
                            <w:r w:rsidRPr="005316CE">
                              <w:rPr>
                                <w:rFonts w:ascii="Arial" w:hAnsi="Arial"/>
                                <w:sz w:val="18"/>
                                <w:szCs w:val="18"/>
                              </w:rPr>
                              <w:t>تجميع المستثمرين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40" type="#_x0000_t202" style="position:absolute;left:0;text-align:left;margin-left:12.2pt;margin-top:44.95pt;width:69.45pt;height:64.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" fillcolor="white [3201]" strokeweight=".5pt">
                <v:path arrowok="t"/>
                <v:textbox>
                  <w:txbxContent>
                    <w:p w14:paraId="32119198" w14:textId="77777777" w:rsidR="00205E55" w:rsidRPr="005316CE" w:rsidRDefault="00205E55" w:rsidP="001960C7">
                      <w:pPr>
                        <w:spacing w:after="0"/>
                        <w:rPr>
                          <w:rFonts w:ascii="Arial" w:hAnsi="Arial"/>
                          <w:sz w:val="18"/>
                          <w:szCs w:val="18"/>
                        </w:rPr>
                      </w:pPr>
                      <w:r w:rsidRPr="005316CE">
                        <w:rPr>
                          <w:rFonts w:ascii="Arial" w:hAnsi="Arial"/>
                          <w:sz w:val="18"/>
                          <w:szCs w:val="18"/>
                        </w:rPr>
                        <w:t xml:space="preserve">مساندة البنك الدولي </w:t>
                      </w:r>
                    </w:p>
                    <w:p w14:paraId="670B4CDB" w14:textId="77777777" w:rsidR="00205E55" w:rsidRPr="005316CE" w:rsidRDefault="00205E55" w:rsidP="001960C7">
                      <w:pPr>
                        <w:spacing w:after="0"/>
                        <w:rPr>
                          <w:rFonts w:ascii="Arial" w:hAnsi="Arial"/>
                          <w:sz w:val="18"/>
                          <w:szCs w:val="18"/>
                        </w:rPr>
                      </w:pPr>
                      <w:r w:rsidRPr="005316CE">
                        <w:rPr>
                          <w:rFonts w:ascii="Arial" w:hAnsi="Arial"/>
                          <w:sz w:val="18"/>
                          <w:szCs w:val="18"/>
                        </w:rPr>
                        <w:t xml:space="preserve">لهيكلة وتنظيم </w:t>
                      </w:r>
                    </w:p>
                    <w:p w14:paraId="37906931" w14:textId="77777777" w:rsidR="00205E55" w:rsidRPr="005316CE" w:rsidRDefault="00205E55" w:rsidP="001960C7">
                      <w:pPr>
                        <w:spacing w:after="0"/>
                        <w:rPr>
                          <w:rFonts w:ascii="Arial" w:hAnsi="Arial"/>
                          <w:sz w:val="18"/>
                          <w:szCs w:val="18"/>
                        </w:rPr>
                      </w:pPr>
                      <w:r w:rsidRPr="005316CE">
                        <w:rPr>
                          <w:rFonts w:ascii="Arial" w:hAnsi="Arial"/>
                          <w:sz w:val="18"/>
                          <w:szCs w:val="18"/>
                        </w:rPr>
                        <w:t xml:space="preserve">معاملات محددة، و </w:t>
                      </w:r>
                    </w:p>
                    <w:p w14:paraId="3A204B67" w14:textId="77777777" w:rsidR="00205E55" w:rsidRPr="005316CE" w:rsidRDefault="00205E55" w:rsidP="001960C7">
                      <w:pPr>
                        <w:spacing w:after="0"/>
                        <w:rPr>
                          <w:rFonts w:ascii="Arial" w:hAnsi="Arial"/>
                          <w:sz w:val="18"/>
                          <w:szCs w:val="18"/>
                        </w:rPr>
                      </w:pPr>
                      <w:r w:rsidRPr="005316CE">
                        <w:rPr>
                          <w:rFonts w:ascii="Arial" w:hAnsi="Arial"/>
                          <w:sz w:val="18"/>
                          <w:szCs w:val="18"/>
                        </w:rPr>
                        <w:t>تجميع المستثمرين</w:t>
                      </w:r>
                    </w:p>
                  </w:txbxContent>
                </v:textbox>
              </v:shape>
            </w:pict>
          </mc:Fallback>
        </mc:AlternateContent>
      </w:r>
      <w:r w:rsidR="004D0426">
        <w:rPr>
          <w:rFonts w:ascii="Arial" w:hAnsi="Arial"/>
          <w:i w:val="0"/>
          <w:color w:val="auto"/>
          <w:sz w:val="22"/>
          <w:szCs w:val="22"/>
        </w:rPr>
        <w:t>الشكل</w:t>
      </w:r>
      <w:r w:rsidR="004D0426">
        <w:t xml:space="preserve"> </w:t>
      </w:r>
      <w:r w:rsidR="00350F3E" w:rsidRPr="002B0FA0">
        <w:fldChar w:fldCharType="begin"/>
      </w:r>
      <w:r w:rsidR="00FF45E9" w:rsidRPr="002B0FA0">
        <w:rPr>
          <w:rFonts w:ascii="Times New Roman" w:hAnsi="Times New Roman" w:cs="Times New Roman"/>
          <w:i w:val="0"/>
          <w:iCs w:val="0"/>
          <w:color w:val="auto"/>
          <w:sz w:val="22"/>
          <w:szCs w:val="22"/>
        </w:rPr>
        <w:instrText xml:space="preserve"> SEQ Figure \* ARABIC </w:instrText>
      </w:r>
      <w:r w:rsidR="00350F3E" w:rsidRPr="002B0FA0">
        <w:rPr>
          <w:rFonts w:ascii="Times New Roman" w:hAnsi="Times New Roman" w:cs="Times New Roman"/>
          <w:i w:val="0"/>
          <w:iCs w:val="0"/>
          <w:color w:val="auto"/>
          <w:sz w:val="22"/>
          <w:szCs w:val="22"/>
        </w:rPr>
        <w:fldChar w:fldCharType="separate"/>
      </w:r>
      <w:r w:rsidR="00C42B2C">
        <w:rPr>
          <w:rFonts w:ascii="Times New Roman" w:hAnsi="Times New Roman" w:cs="Times New Roman"/>
          <w:i w:val="0"/>
          <w:iCs w:val="0"/>
          <w:noProof/>
          <w:color w:val="auto"/>
          <w:sz w:val="22"/>
          <w:szCs w:val="22"/>
        </w:rPr>
        <w:t>1</w:t>
      </w:r>
      <w:r w:rsidR="00350F3E" w:rsidRPr="002B0FA0">
        <w:fldChar w:fldCharType="end"/>
      </w:r>
      <w:r w:rsidR="004D0426">
        <w:rPr>
          <w:rFonts w:ascii="Arial" w:hAnsi="Arial"/>
          <w:i w:val="0"/>
          <w:color w:val="auto"/>
          <w:sz w:val="22"/>
          <w:szCs w:val="22"/>
        </w:rPr>
        <w:t>. صندوق تعزيز القطاع الخاص</w:t>
      </w:r>
      <w:r w:rsidR="004D0426">
        <w:rPr>
          <w:rFonts w:ascii="Arial" w:hAnsi="Arial"/>
          <w:i w:val="0"/>
          <w:color w:val="auto"/>
          <w:sz w:val="22"/>
          <w:szCs w:val="22"/>
          <w:highlight w:val="yellow"/>
        </w:rPr>
        <w:t xml:space="preserve"> </w:t>
      </w:r>
      <w:bookmarkEnd w:id="38"/>
    </w:p>
    <w:p w14:paraId="03F976A7" w14:textId="77777777" w:rsidR="0022107D" w:rsidRDefault="0087205C" w:rsidP="002440F6">
      <w:pPr>
        <w:spacing w:after="0" w:line="240" w:lineRule="auto"/>
        <w:jc w:val="both"/>
        <w:rPr>
          <w:rFonts w:ascii="Times New Roman" w:hAnsi="Times New Roman" w:cs="Times New Roman"/>
          <w:bCs/>
          <w:iCs/>
        </w:rPr>
      </w:pPr>
      <w:r>
        <w:rPr>
          <w:rFonts w:ascii="Times New Roman" w:hAnsi="Times New Roman" w:cs="Times New Roman"/>
          <w:i/>
          <w:iCs/>
          <w:noProof/>
          <w:lang w:eastAsia="en-US"/>
        </w:rPr>
        <mc:AlternateContent>
          <mc:Choice Requires="wps">
            <w:drawing>
              <wp:anchor distT="0" distB="0" distL="114300" distR="114300" simplePos="0" relativeHeight="251646464" behindDoc="0" locked="0" layoutInCell="1" allowOverlap="1">
                <wp:simplePos x="0" y="0"/>
                <wp:positionH relativeFrom="margin">
                  <wp:posOffset>68580</wp:posOffset>
                </wp:positionH>
                <wp:positionV relativeFrom="paragraph">
                  <wp:posOffset>1962150</wp:posOffset>
                </wp:positionV>
                <wp:extent cx="1623060" cy="6337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3060" cy="633730"/>
                        </a:xfrm>
                        <a:prstGeom prst="rect">
                          <a:avLst/>
                        </a:prstGeom>
                        <a:solidFill>
                          <a:schemeClr val="lt1"/>
                        </a:solidFill>
                        <a:ln w="6350">
                          <a:noFill/>
                        </a:ln>
                      </wps:spPr>
                      <wps:txbx>
                        <w:txbxContent>
                          <w:p w14:paraId="3BD8D53D" w14:textId="77777777" w:rsidR="00205E55" w:rsidRPr="005316CE" w:rsidRDefault="00205E55" w:rsidP="00F90372">
                            <w:pPr>
                              <w:spacing w:after="0"/>
                              <w:rPr>
                                <w:rFonts w:ascii="Arial" w:hAnsi="Arial" w:cs="Arial"/>
                                <w:sz w:val="18"/>
                                <w:szCs w:val="18"/>
                              </w:rPr>
                            </w:pPr>
                            <w:r w:rsidRPr="005316CE">
                              <w:rPr>
                                <w:rFonts w:ascii="Arial" w:hAnsi="Arial"/>
                                <w:sz w:val="18"/>
                                <w:szCs w:val="18"/>
                              </w:rPr>
                              <w:t xml:space="preserve"> المساعدة الفنية من البنك الدولي/الخدمات الاستشارية من مؤسسة</w:t>
                            </w:r>
                            <w:r>
                              <w:rPr>
                                <w:rFonts w:ascii="Arial" w:hAnsi="Arial" w:hint="cs"/>
                                <w:sz w:val="18"/>
                                <w:szCs w:val="18"/>
                              </w:rPr>
                              <w:t xml:space="preserve"> </w:t>
                            </w:r>
                            <w:r w:rsidRPr="005316CE">
                              <w:rPr>
                                <w:rFonts w:ascii="Arial" w:hAnsi="Arial"/>
                                <w:sz w:val="18"/>
                                <w:szCs w:val="18"/>
                              </w:rPr>
                              <w:t xml:space="preserve"> التمويل الدولية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left:0;text-align:left;margin-left:5.4pt;margin-top:154.5pt;width:127.8pt;height:49.9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" fillcolor="white [3201]" stroked="f" strokeweight=".5pt">
                <v:path arrowok="t"/>
                <v:textbox>
                  <w:txbxContent>
                    <w:p w14:paraId="3BD8D53D" w14:textId="77777777" w:rsidR="00205E55" w:rsidRPr="005316CE" w:rsidRDefault="00205E55" w:rsidP="00F90372">
                      <w:pPr>
                        <w:spacing w:after="0"/>
                        <w:rPr>
                          <w:rFonts w:ascii="Arial" w:hAnsi="Arial" w:cs="Arial"/>
                          <w:sz w:val="18"/>
                          <w:szCs w:val="18"/>
                        </w:rPr>
                      </w:pPr>
                      <w:r w:rsidRPr="005316CE">
                        <w:rPr>
                          <w:rFonts w:ascii="Arial" w:hAnsi="Arial"/>
                          <w:sz w:val="18"/>
                          <w:szCs w:val="18"/>
                        </w:rPr>
                        <w:t xml:space="preserve"> المساعدة الفنية من البنك الدولي/الخدمات الاستشارية من مؤسسة</w:t>
                      </w:r>
                      <w:r>
                        <w:rPr>
                          <w:rFonts w:ascii="Arial" w:hAnsi="Arial" w:hint="cs"/>
                          <w:sz w:val="18"/>
                          <w:szCs w:val="18"/>
                        </w:rPr>
                        <w:t xml:space="preserve"> </w:t>
                      </w:r>
                      <w:r w:rsidRPr="005316CE">
                        <w:rPr>
                          <w:rFonts w:ascii="Arial" w:hAnsi="Arial"/>
                          <w:sz w:val="18"/>
                          <w:szCs w:val="18"/>
                        </w:rPr>
                        <w:t xml:space="preserve"> التمويل الدولية</w:t>
                      </w:r>
                    </w:p>
                  </w:txbxContent>
                </v:textbox>
                <w10:wrap anchorx="margin"/>
              </v:shape>
            </w:pict>
          </mc:Fallback>
        </mc:AlternateContent>
      </w:r>
    </w:p>
    <w:p w14:paraId="087966DF" w14:textId="77777777" w:rsidR="003531F4" w:rsidRPr="003E7EB9" w:rsidRDefault="4F88A954" w:rsidP="003A19D5">
      <w:pPr>
        <w:pStyle w:val="ListParagraph"/>
        <w:spacing w:after="0" w:line="240" w:lineRule="auto"/>
        <w:ind w:left="0"/>
        <w:jc w:val="center"/>
        <w:rPr>
          <w:rFonts w:ascii="Arial" w:eastAsia="Arial" w:hAnsi="Arial" w:cs="Arial"/>
          <w:b/>
          <w:bCs/>
          <w:u w:val="single"/>
        </w:rPr>
      </w:pPr>
      <w:r>
        <w:rPr>
          <w:rFonts w:ascii="Arial" w:hAnsi="Arial"/>
          <w:b/>
          <w:bCs/>
          <w:u w:val="single"/>
        </w:rPr>
        <w:t>الركيزة الثالثة: تلبية احتياجات الشرائح المستضعفة والمحرومة وتعزيز المؤسسات من أجل تحسين الخدمات التي تستهدف المواطن</w:t>
      </w:r>
    </w:p>
    <w:p w14:paraId="346C2718" w14:textId="77777777" w:rsidR="001A6954" w:rsidRPr="00F953C0" w:rsidRDefault="001A6954" w:rsidP="001A6954">
      <w:pPr>
        <w:autoSpaceDE w:val="0"/>
        <w:autoSpaceDN w:val="0"/>
        <w:adjustRightInd w:val="0"/>
        <w:spacing w:after="0" w:line="240" w:lineRule="auto"/>
        <w:jc w:val="center"/>
        <w:rPr>
          <w:rFonts w:ascii="Times New Roman" w:eastAsia="Cambria" w:hAnsi="Times New Roman" w:cs="Times New Roman"/>
          <w:bCs/>
          <w:sz w:val="10"/>
          <w:szCs w:val="10"/>
        </w:rPr>
      </w:pPr>
    </w:p>
    <w:p w14:paraId="34249265" w14:textId="77777777" w:rsidR="001A6954" w:rsidRPr="00F953C0" w:rsidRDefault="001A6954" w:rsidP="001A6954">
      <w:pPr>
        <w:autoSpaceDE w:val="0"/>
        <w:autoSpaceDN w:val="0"/>
        <w:adjustRightInd w:val="0"/>
        <w:spacing w:after="0" w:line="240" w:lineRule="auto"/>
        <w:jc w:val="center"/>
        <w:rPr>
          <w:rFonts w:ascii="Times New Roman" w:eastAsia="Cambria" w:hAnsi="Times New Roman" w:cs="Times New Roman"/>
          <w:bCs/>
          <w:sz w:val="10"/>
          <w:szCs w:val="10"/>
        </w:rPr>
      </w:pPr>
    </w:p>
    <w:p w14:paraId="7A10FBE3" w14:textId="77777777" w:rsidR="00123AB4" w:rsidRDefault="4F88A954" w:rsidP="00BF4BE3">
      <w:pPr>
        <w:pStyle w:val="ListParagraph"/>
        <w:numPr>
          <w:ilvl w:val="0"/>
          <w:numId w:val="6"/>
        </w:numPr>
        <w:spacing w:after="0" w:line="240" w:lineRule="auto"/>
        <w:jc w:val="both"/>
        <w:rPr>
          <w:rFonts w:ascii="Arial" w:eastAsia="Arial" w:hAnsi="Arial" w:cs="Arial"/>
        </w:rPr>
      </w:pPr>
      <w:r>
        <w:rPr>
          <w:rFonts w:ascii="Arial" w:hAnsi="Arial"/>
          <w:b/>
          <w:bCs/>
        </w:rPr>
        <w:t>ستساند مجموعة البنك الدولي السلطة الفلسطينية في "وضع المواطنين في الصدارة أولًا" على قمة الأولويات.</w:t>
      </w:r>
      <w:r w:rsidR="00022F13">
        <w:rPr>
          <w:rFonts w:ascii="Arial" w:hAnsi="Arial"/>
          <w:b/>
          <w:bCs/>
        </w:rPr>
        <w:t xml:space="preserve"> </w:t>
      </w:r>
      <w:r w:rsidR="008D6429">
        <w:rPr>
          <w:rFonts w:ascii="Arial" w:hAnsi="Arial"/>
        </w:rPr>
        <w:t>ونظرًا لتفاقم أوضاع المؤسس</w:t>
      </w:r>
      <w:r w:rsidR="008D6429">
        <w:rPr>
          <w:rFonts w:ascii="Arial" w:hAnsi="Arial" w:hint="cs"/>
        </w:rPr>
        <w:t>ات</w:t>
      </w:r>
      <w:r>
        <w:rPr>
          <w:rFonts w:ascii="Arial" w:hAnsi="Arial"/>
        </w:rPr>
        <w:t xml:space="preserve"> العامة من جراء البيئة السياسية الضبابية، تعمل هذه المؤسسات جاهدة لحماية جميع الشرائح السكانية المستضعفة والمحرومة، لكنها أحيانًا تخفق في تقديم الخدمات الأساسية لمن يحتاجونها.</w:t>
      </w:r>
      <w:r w:rsidR="00022F13">
        <w:rPr>
          <w:rFonts w:ascii="Arial" w:hAnsi="Arial"/>
        </w:rPr>
        <w:t xml:space="preserve"> </w:t>
      </w:r>
      <w:r>
        <w:rPr>
          <w:rFonts w:ascii="Arial" w:hAnsi="Arial"/>
        </w:rPr>
        <w:t>ولا تزال هناك تحديات جسام لكسب ثقة الجمهور وب</w:t>
      </w:r>
      <w:r w:rsidR="008D6429">
        <w:rPr>
          <w:rFonts w:ascii="Arial" w:hAnsi="Arial" w:hint="cs"/>
        </w:rPr>
        <w:t>ن</w:t>
      </w:r>
      <w:r>
        <w:rPr>
          <w:rFonts w:ascii="Arial" w:hAnsi="Arial"/>
        </w:rPr>
        <w:t>اء ثقة القطاع الخاص من أجل المشاركة في المستقبل.</w:t>
      </w:r>
      <w:r w:rsidR="00022F13">
        <w:rPr>
          <w:rFonts w:ascii="Arial" w:hAnsi="Arial"/>
        </w:rPr>
        <w:t xml:space="preserve"> </w:t>
      </w:r>
      <w:r>
        <w:rPr>
          <w:rFonts w:ascii="Arial" w:hAnsi="Arial"/>
        </w:rPr>
        <w:t>ومن خلال إجراءات محددة في إطار الركيزة الأولى، سيتم تحرير الموارد العامة التي تتسم بالندرة لاستهداف الشرائح الأكثر ضعفًا وحرمانًا، وحمايتها على المدى القصير، وتحسين سبل كسب العيش لها على المدى الأطول.</w:t>
      </w:r>
      <w:r w:rsidR="00022F13">
        <w:rPr>
          <w:rFonts w:ascii="Arial" w:hAnsi="Arial"/>
        </w:rPr>
        <w:t xml:space="preserve"> </w:t>
      </w:r>
      <w:r>
        <w:rPr>
          <w:rFonts w:ascii="Arial" w:hAnsi="Arial"/>
        </w:rPr>
        <w:t>وستغطي المشاركة في إطار الركيزة الثالثة كل من غزة والضفة الغربية.</w:t>
      </w:r>
      <w:r w:rsidR="00022F13">
        <w:rPr>
          <w:rFonts w:ascii="Arial" w:hAnsi="Arial"/>
        </w:rPr>
        <w:t xml:space="preserve"> </w:t>
      </w:r>
      <w:r>
        <w:rPr>
          <w:rFonts w:ascii="Arial" w:hAnsi="Arial"/>
        </w:rPr>
        <w:t xml:space="preserve">وسيكون لهذا البرنامج أهمية خاصة في غزة في حماية الشرائح المستضعفة والمحرومة في وقت حرج من خلال المساعدة في ضمان تقديم الخدمات الأساسية. </w:t>
      </w:r>
    </w:p>
    <w:p w14:paraId="789C3370" w14:textId="77777777" w:rsidR="00697DC2" w:rsidRDefault="00697DC2" w:rsidP="005E6F13">
      <w:pPr>
        <w:pStyle w:val="ListParagraph"/>
        <w:spacing w:after="0" w:line="240" w:lineRule="auto"/>
        <w:ind w:left="0"/>
        <w:jc w:val="both"/>
        <w:rPr>
          <w:rFonts w:ascii="Times New Roman" w:eastAsia="Times New Roman" w:hAnsi="Times New Roman" w:cs="Times New Roman"/>
        </w:rPr>
      </w:pPr>
    </w:p>
    <w:p w14:paraId="1B6E592F" w14:textId="77777777" w:rsidR="005E6F13" w:rsidRPr="004A58AF" w:rsidRDefault="006B5400" w:rsidP="4F88A954">
      <w:pPr>
        <w:pStyle w:val="Caption"/>
        <w:spacing w:after="0"/>
        <w:jc w:val="center"/>
        <w:rPr>
          <w:rFonts w:ascii="Arial" w:hAnsi="Arial" w:cs="Arial"/>
          <w:i w:val="0"/>
          <w:iCs w:val="0"/>
          <w:color w:val="auto"/>
          <w:sz w:val="22"/>
          <w:szCs w:val="22"/>
        </w:rPr>
      </w:pPr>
      <w:bookmarkStart w:id="39" w:name="_Toc496110892"/>
      <w:r>
        <w:t>الجدول</w:t>
      </w:r>
      <w:r w:rsidR="00022F13">
        <w:t xml:space="preserve"> </w:t>
      </w:r>
      <w:r w:rsidR="00350F3E" w:rsidRPr="004A58AF">
        <w:rPr>
          <w:color w:val="auto"/>
        </w:rPr>
        <w:fldChar w:fldCharType="begin"/>
      </w:r>
      <w:r w:rsidRPr="004A58AF">
        <w:rPr>
          <w:rFonts w:ascii="Times New Roman" w:hAnsi="Times New Roman" w:cs="Times New Roman"/>
          <w:i w:val="0"/>
          <w:color w:val="auto"/>
          <w:sz w:val="22"/>
          <w:szCs w:val="22"/>
        </w:rPr>
        <w:instrText xml:space="preserve"> SEQ Table \* ARABIC </w:instrText>
      </w:r>
      <w:r w:rsidR="00350F3E" w:rsidRPr="004A58AF">
        <w:rPr>
          <w:rFonts w:ascii="Times New Roman" w:hAnsi="Times New Roman" w:cs="Times New Roman"/>
          <w:i w:val="0"/>
          <w:color w:val="auto"/>
          <w:sz w:val="22"/>
          <w:szCs w:val="22"/>
        </w:rPr>
        <w:fldChar w:fldCharType="separate"/>
      </w:r>
      <w:r w:rsidR="00C42B2C">
        <w:rPr>
          <w:rFonts w:ascii="Times New Roman" w:hAnsi="Times New Roman" w:cs="Times New Roman"/>
          <w:i w:val="0"/>
          <w:noProof/>
          <w:color w:val="auto"/>
          <w:sz w:val="22"/>
          <w:szCs w:val="22"/>
        </w:rPr>
        <w:t>3</w:t>
      </w:r>
      <w:r w:rsidR="00350F3E" w:rsidRPr="004A58AF">
        <w:rPr>
          <w:color w:val="auto"/>
        </w:rPr>
        <w:fldChar w:fldCharType="end"/>
      </w:r>
      <w:r>
        <w:rPr>
          <w:rFonts w:ascii="Arial" w:hAnsi="Arial"/>
          <w:i w:val="0"/>
          <w:color w:val="auto"/>
          <w:sz w:val="22"/>
          <w:szCs w:val="22"/>
        </w:rPr>
        <w:t>.</w:t>
      </w:r>
      <w:r>
        <w:rPr>
          <w:rFonts w:ascii="Arial" w:hAnsi="Arial"/>
          <w:color w:val="auto"/>
          <w:sz w:val="22"/>
          <w:szCs w:val="22"/>
        </w:rPr>
        <w:t xml:space="preserve"> </w:t>
      </w:r>
      <w:r>
        <w:rPr>
          <w:rFonts w:ascii="Arial" w:hAnsi="Arial"/>
          <w:i w:val="0"/>
          <w:color w:val="auto"/>
          <w:sz w:val="22"/>
          <w:szCs w:val="22"/>
        </w:rPr>
        <w:t>الركيزة 3 النواتج ومجالات المشاركة</w:t>
      </w:r>
      <w:bookmarkEnd w:id="39"/>
    </w:p>
    <w:tbl>
      <w:tblPr>
        <w:tblStyle w:val="TableGrid51"/>
        <w:bidiVisual/>
        <w:tblW w:w="0" w:type="auto"/>
        <w:jc w:val="center"/>
        <w:tblCellMar>
          <w:left w:w="115" w:type="dxa"/>
          <w:right w:w="115" w:type="dxa"/>
        </w:tblCellMar>
        <w:tblLook w:val="04A0" w:firstRow="1" w:lastRow="0" w:firstColumn="1" w:lastColumn="0" w:noHBand="0" w:noVBand="1"/>
      </w:tblPr>
      <w:tblGrid>
        <w:gridCol w:w="2752"/>
        <w:gridCol w:w="6598"/>
      </w:tblGrid>
      <w:tr w:rsidR="005E6F13" w:rsidRPr="00D0661A" w14:paraId="6F42A589" w14:textId="77777777">
        <w:trPr>
          <w:trHeight w:val="613"/>
          <w:jc w:val="center"/>
        </w:trPr>
        <w:tc>
          <w:tcPr>
            <w:tcW w:w="2752" w:type="dxa"/>
            <w:vAlign w:val="center"/>
          </w:tcPr>
          <w:p w14:paraId="73601F89" w14:textId="77777777" w:rsidR="009D3B13" w:rsidRDefault="009D3B13" w:rsidP="4F88A954">
            <w:pPr>
              <w:autoSpaceDE w:val="0"/>
              <w:autoSpaceDN w:val="0"/>
              <w:adjustRightInd w:val="0"/>
              <w:rPr>
                <w:rFonts w:ascii="Times New Roman" w:eastAsia="Times New Roman" w:hAnsi="Times New Roman" w:cs="Times New Roman"/>
                <w:b/>
                <w:bCs/>
              </w:rPr>
            </w:pPr>
          </w:p>
          <w:p w14:paraId="49A6C534" w14:textId="77777777" w:rsidR="005E6F13" w:rsidRPr="00D0661A" w:rsidRDefault="4F88A954" w:rsidP="4F88A954">
            <w:pPr>
              <w:autoSpaceDE w:val="0"/>
              <w:autoSpaceDN w:val="0"/>
              <w:adjustRightInd w:val="0"/>
              <w:rPr>
                <w:rFonts w:ascii="Arial" w:eastAsia="Arial" w:hAnsi="Arial" w:cs="Arial"/>
                <w:b/>
                <w:bCs/>
              </w:rPr>
            </w:pPr>
            <w:r>
              <w:rPr>
                <w:rFonts w:ascii="Arial" w:hAnsi="Arial"/>
                <w:b/>
                <w:bCs/>
              </w:rPr>
              <w:t>النواتج المقترحة</w:t>
            </w:r>
          </w:p>
        </w:tc>
        <w:tc>
          <w:tcPr>
            <w:tcW w:w="6598" w:type="dxa"/>
            <w:vAlign w:val="center"/>
          </w:tcPr>
          <w:p w14:paraId="1DE82E3D" w14:textId="77777777" w:rsidR="005E6F13" w:rsidRPr="00FA4D5A" w:rsidRDefault="4F88A954" w:rsidP="4F88A954">
            <w:pPr>
              <w:autoSpaceDE w:val="0"/>
              <w:autoSpaceDN w:val="0"/>
              <w:adjustRightInd w:val="0"/>
              <w:rPr>
                <w:rFonts w:ascii="Arial" w:eastAsia="Arial" w:hAnsi="Arial" w:cs="Arial"/>
                <w:b/>
                <w:bCs/>
                <w:highlight w:val="yellow"/>
              </w:rPr>
            </w:pPr>
            <w:r>
              <w:rPr>
                <w:rFonts w:ascii="Arial" w:hAnsi="Arial"/>
                <w:b/>
                <w:bCs/>
              </w:rPr>
              <w:t xml:space="preserve">حماية الشرائح المستضعفة والمحرومة وتعزيز بناء المؤسسات التي تستهدف المواطن </w:t>
            </w:r>
          </w:p>
        </w:tc>
      </w:tr>
      <w:tr w:rsidR="00FB77E3" w:rsidRPr="00D0661A" w14:paraId="7E952869" w14:textId="77777777">
        <w:trPr>
          <w:trHeight w:val="276"/>
          <w:jc w:val="center"/>
        </w:trPr>
        <w:tc>
          <w:tcPr>
            <w:tcW w:w="2752" w:type="dxa"/>
            <w:vMerge w:val="restart"/>
          </w:tcPr>
          <w:p w14:paraId="6AD56EA1" w14:textId="77777777" w:rsidR="00FB77E3" w:rsidRPr="002D7EEB" w:rsidRDefault="00FB77E3" w:rsidP="00043A7F">
            <w:pPr>
              <w:ind w:right="113"/>
              <w:rPr>
                <w:rFonts w:ascii="Times New Roman" w:eastAsia="Times New Roman" w:hAnsi="Times New Roman" w:cs="Times New Roman"/>
              </w:rPr>
            </w:pPr>
          </w:p>
        </w:tc>
        <w:tc>
          <w:tcPr>
            <w:tcW w:w="6598" w:type="dxa"/>
            <w:vAlign w:val="center"/>
          </w:tcPr>
          <w:p w14:paraId="19020C0E" w14:textId="77777777" w:rsidR="00FB77E3" w:rsidRDefault="4F88A954" w:rsidP="4F88A954">
            <w:pPr>
              <w:rPr>
                <w:rFonts w:ascii="Arial" w:eastAsia="Arial" w:hAnsi="Arial" w:cs="Arial"/>
              </w:rPr>
            </w:pPr>
            <w:r>
              <w:rPr>
                <w:rFonts w:ascii="Arial" w:hAnsi="Arial"/>
              </w:rPr>
              <w:t xml:space="preserve">1. الحماية الاجتماعية </w:t>
            </w:r>
          </w:p>
        </w:tc>
      </w:tr>
      <w:tr w:rsidR="00FB77E3" w:rsidRPr="00D0661A" w14:paraId="7EDEE601" w14:textId="77777777">
        <w:trPr>
          <w:trHeight w:val="276"/>
          <w:jc w:val="center"/>
        </w:trPr>
        <w:tc>
          <w:tcPr>
            <w:tcW w:w="2752" w:type="dxa"/>
            <w:vMerge/>
          </w:tcPr>
          <w:p w14:paraId="3B3C2E3E" w14:textId="77777777" w:rsidR="00FB77E3" w:rsidRDefault="00FB77E3" w:rsidP="00043A7F">
            <w:pPr>
              <w:ind w:right="113"/>
              <w:rPr>
                <w:rFonts w:ascii="Times New Roman" w:eastAsia="Times New Roman" w:hAnsi="Times New Roman" w:cs="Times New Roman"/>
              </w:rPr>
            </w:pPr>
          </w:p>
        </w:tc>
        <w:tc>
          <w:tcPr>
            <w:tcW w:w="6598" w:type="dxa"/>
            <w:vAlign w:val="center"/>
          </w:tcPr>
          <w:p w14:paraId="0EC6E229" w14:textId="77777777" w:rsidR="00FB77E3" w:rsidRPr="00D77F43" w:rsidRDefault="4F88A954" w:rsidP="4F88A954">
            <w:pPr>
              <w:rPr>
                <w:rFonts w:ascii="Arial" w:eastAsia="Arial" w:hAnsi="Arial" w:cs="Arial"/>
                <w:i/>
                <w:iCs/>
              </w:rPr>
            </w:pPr>
            <w:r>
              <w:rPr>
                <w:rFonts w:ascii="Arial" w:hAnsi="Arial"/>
              </w:rPr>
              <w:t>2. الخدمات الأساسية وتشمل المياه والصرف الصحي</w:t>
            </w:r>
          </w:p>
        </w:tc>
      </w:tr>
      <w:tr w:rsidR="00FB77E3" w:rsidRPr="00D0661A" w14:paraId="16025DDF" w14:textId="77777777">
        <w:trPr>
          <w:jc w:val="center"/>
        </w:trPr>
        <w:tc>
          <w:tcPr>
            <w:tcW w:w="2752" w:type="dxa"/>
            <w:vMerge/>
          </w:tcPr>
          <w:p w14:paraId="482AAD86" w14:textId="77777777" w:rsidR="00FB77E3" w:rsidRPr="00CA1C5C" w:rsidRDefault="00FB77E3" w:rsidP="00043A7F">
            <w:pPr>
              <w:ind w:right="113"/>
              <w:rPr>
                <w:rFonts w:ascii="Times New Roman" w:eastAsia="Times New Roman" w:hAnsi="Times New Roman" w:cs="Times New Roman"/>
                <w:bCs/>
              </w:rPr>
            </w:pPr>
          </w:p>
        </w:tc>
        <w:tc>
          <w:tcPr>
            <w:tcW w:w="6598" w:type="dxa"/>
            <w:vAlign w:val="center"/>
          </w:tcPr>
          <w:p w14:paraId="284FBC95" w14:textId="77777777" w:rsidR="00245F8E" w:rsidRPr="00C5237B" w:rsidRDefault="4F88A954" w:rsidP="4F88A954">
            <w:pPr>
              <w:rPr>
                <w:rFonts w:ascii="Arial" w:eastAsia="Arial" w:hAnsi="Arial" w:cs="Arial"/>
              </w:rPr>
            </w:pPr>
            <w:r>
              <w:rPr>
                <w:rFonts w:ascii="Arial" w:hAnsi="Arial"/>
              </w:rPr>
              <w:t xml:space="preserve">3. مشاركة المواطنين في مساءلة الحكومة وضمان شفافيتها </w:t>
            </w:r>
          </w:p>
        </w:tc>
      </w:tr>
    </w:tbl>
    <w:p w14:paraId="73D80143" w14:textId="77777777" w:rsidR="005E6F13" w:rsidRDefault="005E6F13" w:rsidP="005E6F13">
      <w:pPr>
        <w:spacing w:after="0" w:line="240" w:lineRule="auto"/>
        <w:rPr>
          <w:rFonts w:ascii="Times New Roman" w:eastAsia="Cambria" w:hAnsi="Times New Roman" w:cs="Times New Roman"/>
          <w:bCs/>
          <w:u w:val="single"/>
        </w:rPr>
      </w:pPr>
    </w:p>
    <w:p w14:paraId="40B54B98" w14:textId="77777777" w:rsidR="005E6F13" w:rsidRPr="004A6C1B" w:rsidRDefault="4F88A954" w:rsidP="00BF4BE3">
      <w:pPr>
        <w:pStyle w:val="ListParagraph"/>
        <w:numPr>
          <w:ilvl w:val="0"/>
          <w:numId w:val="6"/>
        </w:numPr>
        <w:spacing w:after="0" w:line="240" w:lineRule="auto"/>
        <w:jc w:val="both"/>
        <w:rPr>
          <w:rFonts w:ascii="Arial" w:eastAsia="Arial" w:hAnsi="Arial" w:cs="Arial"/>
          <w:u w:val="single"/>
        </w:rPr>
      </w:pPr>
      <w:r>
        <w:rPr>
          <w:rFonts w:ascii="Arial" w:hAnsi="Arial"/>
          <w:b/>
          <w:bCs/>
        </w:rPr>
        <w:t>سيتم استخدام موارد السلطة الفلسطينية وموارد المانحين لحماية لشرائح المستضعفة والمحرومة من خلال الحماية الاجتماعية وتقديم الخدمات الضرورية، وكذلك لتعزيز مساءلة المؤسسات العامة من خلال مشاركة المواطنين.</w:t>
      </w:r>
      <w:r w:rsidR="00022F13">
        <w:rPr>
          <w:rFonts w:ascii="Arial" w:hAnsi="Arial"/>
          <w:b/>
          <w:bCs/>
        </w:rPr>
        <w:t xml:space="preserve"> </w:t>
      </w:r>
      <w:r>
        <w:rPr>
          <w:rFonts w:ascii="Arial" w:hAnsi="Arial"/>
        </w:rPr>
        <w:t>وهناك مجال لتحسين عملية الاستهداف لدى شبكات الأمان الاجتماعي التي يمكن أن تعمل على إطلاق المنافع والمزايا للشرائح الأشد فقرًا وبناء ثقة الجمهور.</w:t>
      </w:r>
      <w:r w:rsidR="00022F13">
        <w:rPr>
          <w:rFonts w:ascii="Arial" w:hAnsi="Arial"/>
        </w:rPr>
        <w:t xml:space="preserve"> </w:t>
      </w:r>
      <w:r>
        <w:rPr>
          <w:rFonts w:ascii="Arial" w:hAnsi="Arial"/>
        </w:rPr>
        <w:t>وهناك بعض الخدمات الأساسية التي لا تصل إلى الشرائح الأشد ضعفًا وحرمانًا، لا سيما في غزة.</w:t>
      </w:r>
      <w:r w:rsidR="00022F13">
        <w:rPr>
          <w:rFonts w:ascii="Arial" w:hAnsi="Arial"/>
        </w:rPr>
        <w:t xml:space="preserve"> </w:t>
      </w:r>
      <w:r>
        <w:rPr>
          <w:rFonts w:ascii="Arial" w:hAnsi="Arial"/>
        </w:rPr>
        <w:t xml:space="preserve">ومع العجز الكبير في إمدادات المياه والبنية التحتية لشبكات الصرف الصحي وعدم كفاءة هذه الإمدادات وتلك الشبكات، تمثل ندرة المياه أحد الشواغل الكبرى. وفيما يتعلق بمشاركة المواطنين، حققت عمليات البنك الدولي السابقة نجاحًا في دمج عمليات الإصلاح في صلب الأنشطة الرئيسية، لكن هناك بعض المجالات لدى مؤسسات </w:t>
      </w:r>
      <w:r>
        <w:rPr>
          <w:rFonts w:ascii="Arial" w:hAnsi="Arial"/>
        </w:rPr>
        <w:lastRenderedPageBreak/>
        <w:t>السلطة الفلسطينية لا تزال الفرصة محدودة فيها لتأصيل المساءلة العامة.</w:t>
      </w:r>
      <w:r w:rsidR="00022F13">
        <w:rPr>
          <w:rFonts w:ascii="Arial" w:hAnsi="Arial"/>
        </w:rPr>
        <w:t xml:space="preserve"> </w:t>
      </w:r>
      <w:r>
        <w:rPr>
          <w:rFonts w:ascii="Arial" w:hAnsi="Arial"/>
        </w:rPr>
        <w:t>على سبيل المثال، لا توجد آلية فعالة لقيام المجتمع المدني باستعراض الموازنة العامة.</w:t>
      </w:r>
      <w:r w:rsidR="00022F13">
        <w:rPr>
          <w:rFonts w:ascii="Arial" w:hAnsi="Arial"/>
        </w:rPr>
        <w:t xml:space="preserve"> </w:t>
      </w:r>
    </w:p>
    <w:p w14:paraId="0621E18F" w14:textId="77777777" w:rsidR="005E6F13" w:rsidRPr="00AF1BCD" w:rsidRDefault="005E6F13" w:rsidP="005E6F13">
      <w:pPr>
        <w:spacing w:after="0" w:line="240" w:lineRule="auto"/>
        <w:jc w:val="both"/>
        <w:rPr>
          <w:rFonts w:ascii="Times New Roman" w:eastAsia="Cambria" w:hAnsi="Times New Roman" w:cs="Times New Roman"/>
          <w:bCs/>
          <w:u w:val="single"/>
        </w:rPr>
      </w:pPr>
    </w:p>
    <w:p w14:paraId="5CD6EE88" w14:textId="77777777" w:rsidR="00B44524" w:rsidRPr="008D6429" w:rsidRDefault="4F88A954" w:rsidP="00206B35">
      <w:pPr>
        <w:pStyle w:val="ListParagraph"/>
        <w:numPr>
          <w:ilvl w:val="0"/>
          <w:numId w:val="28"/>
        </w:numPr>
        <w:spacing w:after="0" w:line="240" w:lineRule="auto"/>
        <w:jc w:val="center"/>
        <w:rPr>
          <w:rFonts w:ascii="Arial" w:eastAsia="Arial" w:hAnsi="Arial" w:cs="Arial"/>
          <w:b/>
          <w:bCs/>
          <w:u w:val="single"/>
        </w:rPr>
      </w:pPr>
      <w:r w:rsidRPr="008D6429">
        <w:rPr>
          <w:rFonts w:ascii="Arial" w:hAnsi="Arial"/>
          <w:b/>
          <w:bCs/>
          <w:u w:val="single"/>
        </w:rPr>
        <w:t>الحماية الاجتماعية</w:t>
      </w:r>
    </w:p>
    <w:p w14:paraId="3C89D177" w14:textId="77777777" w:rsidR="005E6F13" w:rsidRPr="00F06BF0" w:rsidRDefault="4F88A954" w:rsidP="00C26D0E">
      <w:pPr>
        <w:pStyle w:val="ListParagraph"/>
        <w:numPr>
          <w:ilvl w:val="0"/>
          <w:numId w:val="6"/>
        </w:numPr>
        <w:spacing w:after="0" w:line="240" w:lineRule="auto"/>
        <w:jc w:val="both"/>
        <w:rPr>
          <w:rFonts w:ascii="Arial" w:eastAsia="Arial" w:hAnsi="Arial" w:cs="Arial"/>
          <w:color w:val="000000" w:themeColor="text1"/>
        </w:rPr>
      </w:pPr>
      <w:r>
        <w:rPr>
          <w:rFonts w:ascii="Arial" w:hAnsi="Arial"/>
          <w:b/>
          <w:bCs/>
        </w:rPr>
        <w:t>ستعمل المساندة المقدمة من البنك الدولي على حماية الشرائح المستضعفة والمحرومة</w:t>
      </w:r>
      <w:r w:rsidR="00022F13">
        <w:rPr>
          <w:rFonts w:ascii="Arial" w:hAnsi="Arial"/>
          <w:b/>
          <w:bCs/>
        </w:rPr>
        <w:t xml:space="preserve"> </w:t>
      </w:r>
      <w:r>
        <w:rPr>
          <w:rFonts w:ascii="Arial" w:hAnsi="Arial"/>
          <w:b/>
          <w:bCs/>
        </w:rPr>
        <w:t xml:space="preserve">من خلال تحسين عملية الاستهداف لدى شبكات الأمان الاجتماعي التي يمكن أن تعمل على إطلاق المنافع والمزايا للشرائح الأشد فقرًا وبناء ثقة الجمهور. </w:t>
      </w:r>
      <w:r>
        <w:rPr>
          <w:rFonts w:ascii="Arial" w:hAnsi="Arial"/>
        </w:rPr>
        <w:t xml:space="preserve">وقد قام البنك الدولي بمساندة تصميم وتفعيل شبكات الأمان الاجتماعي منذ 2008، ويعتبر برنامج التحويلات النقدية في الضفة الغربية وغزة أحد البرامج الأكثر تقدمًا في منطقة الشرق الأوسط وشمال أفريقيا. وساعد برنامج التحويلات النقدية في دقة وصول المساعدات إلى الأسر المعيشية التي تعاني من فقر مدقع مع وجود </w:t>
      </w:r>
      <w:r w:rsidR="00C26D0E">
        <w:rPr>
          <w:rFonts w:ascii="Arial" w:hAnsi="Arial" w:hint="cs"/>
        </w:rPr>
        <w:t>إ</w:t>
      </w:r>
      <w:r w:rsidR="00C26D0E">
        <w:rPr>
          <w:rFonts w:ascii="Arial" w:hAnsi="Arial"/>
        </w:rPr>
        <w:t xml:space="preserve">ستراتيجية </w:t>
      </w:r>
      <w:r>
        <w:rPr>
          <w:rFonts w:ascii="Arial" w:hAnsi="Arial"/>
        </w:rPr>
        <w:t>للتخارج من البرنامج.</w:t>
      </w:r>
      <w:r w:rsidR="00022F13">
        <w:rPr>
          <w:rFonts w:ascii="Arial" w:hAnsi="Arial"/>
        </w:rPr>
        <w:t xml:space="preserve"> </w:t>
      </w:r>
      <w:r>
        <w:rPr>
          <w:rFonts w:ascii="Arial" w:hAnsi="Arial"/>
        </w:rPr>
        <w:t>ومن المرجح أن المبالغ النقدية التي تُصرف للأسر المعيشية الفقيرة تعمل على حفز الاستثمار في رأس المال البشري وتوفير فرص كسب العيش للأسرة.</w:t>
      </w:r>
      <w:r w:rsidR="00022F13">
        <w:rPr>
          <w:rFonts w:ascii="Arial" w:hAnsi="Arial"/>
        </w:rPr>
        <w:t xml:space="preserve"> </w:t>
      </w:r>
      <w:r>
        <w:rPr>
          <w:rFonts w:ascii="Arial" w:hAnsi="Arial"/>
        </w:rPr>
        <w:t>وعلى مستوى الاقتصاد الكلي، فإن ضخ الأموال يعمل على تحسين النمو الاقتصادي.</w:t>
      </w:r>
      <w:r w:rsidR="00022F13">
        <w:rPr>
          <w:rFonts w:ascii="Arial" w:hAnsi="Arial"/>
        </w:rPr>
        <w:t xml:space="preserve"> </w:t>
      </w:r>
      <w:r>
        <w:rPr>
          <w:rFonts w:ascii="Arial" w:hAnsi="Arial"/>
        </w:rPr>
        <w:t>ويساهم</w:t>
      </w:r>
      <w:r w:rsidR="00022F13">
        <w:rPr>
          <w:rFonts w:ascii="Arial" w:hAnsi="Arial"/>
        </w:rPr>
        <w:t xml:space="preserve"> </w:t>
      </w:r>
      <w:r>
        <w:rPr>
          <w:rFonts w:ascii="Arial" w:hAnsi="Arial"/>
          <w:i/>
          <w:iCs/>
        </w:rPr>
        <w:t>مشروع تعزيز الحماية الاجتماعية</w:t>
      </w:r>
      <w:r>
        <w:rPr>
          <w:rFonts w:ascii="Arial" w:hAnsi="Arial"/>
        </w:rPr>
        <w:t xml:space="preserve"> الذي تمت الموافقة عليه مؤخرًا في تحقيق المنافع النقدية ويعتمد على الإصلاحات السابقة في مراجعة أداة الاستهداف لأخذ في الاعتبار الجوانب متعددة الأبعاد للفقر، وتحسين التشغيل البيني لقاعدة البيانات الحالية للمستفيدين وقواعد البيانات الأخرى، وتحسين إدارة حالات الأخصائيين الاجتماعيين وأنظمة الإحالة.</w:t>
      </w:r>
      <w:r w:rsidR="00022F13">
        <w:rPr>
          <w:rFonts w:ascii="Arial" w:hAnsi="Arial"/>
        </w:rPr>
        <w:t xml:space="preserve"> </w:t>
      </w:r>
      <w:r>
        <w:rPr>
          <w:rFonts w:ascii="Arial" w:hAnsi="Arial"/>
        </w:rPr>
        <w:t xml:space="preserve">وفي إطار التوافق مع </w:t>
      </w:r>
      <w:r w:rsidR="00C26D0E">
        <w:rPr>
          <w:rFonts w:ascii="Arial" w:hAnsi="Arial" w:hint="cs"/>
        </w:rPr>
        <w:t>إ</w:t>
      </w:r>
      <w:r w:rsidR="00C26D0E">
        <w:rPr>
          <w:rFonts w:ascii="Arial" w:hAnsi="Arial"/>
        </w:rPr>
        <w:t xml:space="preserve">ستراتيجية </w:t>
      </w:r>
      <w:r>
        <w:rPr>
          <w:rFonts w:ascii="Arial" w:hAnsi="Arial"/>
        </w:rPr>
        <w:t>وزارة الحماية الاجتماعية لتوسيع نطاق الخدمات المقدمة</w:t>
      </w:r>
      <w:r w:rsidR="00022F13">
        <w:rPr>
          <w:rFonts w:ascii="Arial" w:hAnsi="Arial"/>
        </w:rPr>
        <w:t xml:space="preserve"> </w:t>
      </w:r>
      <w:r>
        <w:rPr>
          <w:rFonts w:ascii="Arial" w:hAnsi="Arial"/>
        </w:rPr>
        <w:t>للشرائح المستضعفة والمحرومة، تبحث مجموعة البنك الدولي عن مشاركة القطاع الخاص في تعزيز المسؤولية الاجتماعية للشركات لخلق قيمة مشتركة وحل المشكلات الاجتماعية من خلال حلول أنشطة الأعمال.</w:t>
      </w:r>
      <w:r w:rsidR="00022F13">
        <w:rPr>
          <w:rFonts w:ascii="Arial" w:hAnsi="Arial"/>
        </w:rPr>
        <w:t xml:space="preserve"> </w:t>
      </w:r>
      <w:r>
        <w:rPr>
          <w:rFonts w:ascii="Arial" w:hAnsi="Arial"/>
          <w:color w:val="000000" w:themeColor="text1"/>
        </w:rPr>
        <w:t>ويجري حاليًا القيام</w:t>
      </w:r>
      <w:r w:rsidR="00022F13">
        <w:rPr>
          <w:rFonts w:ascii="Arial" w:hAnsi="Arial"/>
          <w:color w:val="000000" w:themeColor="text1"/>
        </w:rPr>
        <w:t xml:space="preserve"> </w:t>
      </w:r>
      <w:r w:rsidRPr="0087205C">
        <w:rPr>
          <w:rFonts w:ascii="Arial" w:hAnsi="Arial"/>
          <w:i/>
          <w:iCs/>
          <w:color w:val="000000" w:themeColor="text1"/>
        </w:rPr>
        <w:t>بالدراسة المسحية للإنفاق والاستهلاك للأسر الفلسطينية</w:t>
      </w:r>
      <w:r w:rsidR="00022F13">
        <w:rPr>
          <w:rFonts w:ascii="Arial" w:hAnsi="Arial"/>
          <w:color w:val="000000" w:themeColor="text1"/>
        </w:rPr>
        <w:t xml:space="preserve"> </w:t>
      </w:r>
      <w:r>
        <w:rPr>
          <w:rFonts w:ascii="Arial" w:hAnsi="Arial"/>
          <w:color w:val="000000" w:themeColor="text1"/>
        </w:rPr>
        <w:t>(2016 - 2017) بمساعدة البنك الدولي، وستعمل هذه الدراسة على تحديث قاعدة بيانات أوضاع الفقر للضفة الغربية و</w:t>
      </w:r>
      <w:r w:rsidR="00C26D0E">
        <w:rPr>
          <w:rFonts w:ascii="Arial" w:hAnsi="Arial" w:hint="cs"/>
          <w:color w:val="000000" w:themeColor="text1"/>
        </w:rPr>
        <w:t xml:space="preserve">قطاع </w:t>
      </w:r>
      <w:r>
        <w:rPr>
          <w:rFonts w:ascii="Arial" w:hAnsi="Arial"/>
          <w:color w:val="000000" w:themeColor="text1"/>
        </w:rPr>
        <w:t>غزة (لا تغطي البيانات الحالية سوى فترة 2004 - 2009).</w:t>
      </w:r>
      <w:r w:rsidR="00022F13">
        <w:rPr>
          <w:rFonts w:ascii="Arial" w:hAnsi="Arial"/>
          <w:color w:val="000000" w:themeColor="text1"/>
        </w:rPr>
        <w:t xml:space="preserve"> </w:t>
      </w:r>
    </w:p>
    <w:p w14:paraId="0E3597F4" w14:textId="77777777" w:rsidR="005E6F13" w:rsidRPr="009D0094" w:rsidRDefault="005E6F13" w:rsidP="005E6F13">
      <w:pPr>
        <w:spacing w:after="0" w:line="240" w:lineRule="auto"/>
        <w:jc w:val="both"/>
        <w:rPr>
          <w:rFonts w:ascii="Times New Roman" w:eastAsia="Times New Roman" w:hAnsi="Times New Roman" w:cs="Times New Roman"/>
          <w:color w:val="000000"/>
        </w:rPr>
      </w:pPr>
    </w:p>
    <w:p w14:paraId="39131753" w14:textId="77777777" w:rsidR="005E6F13" w:rsidRPr="00F06BF0" w:rsidRDefault="4F88A954" w:rsidP="00BF4BE3">
      <w:pPr>
        <w:pStyle w:val="ListParagraph"/>
        <w:numPr>
          <w:ilvl w:val="0"/>
          <w:numId w:val="6"/>
        </w:numPr>
        <w:spacing w:after="0" w:line="240" w:lineRule="auto"/>
        <w:jc w:val="both"/>
        <w:rPr>
          <w:rFonts w:ascii="Arial" w:eastAsia="Arial" w:hAnsi="Arial" w:cs="Arial"/>
          <w:color w:val="000000" w:themeColor="text1"/>
        </w:rPr>
      </w:pPr>
      <w:r>
        <w:rPr>
          <w:b/>
          <w:bCs/>
        </w:rPr>
        <w:t xml:space="preserve">ستعمل التدابير الإضافية على تعزيز الحماية الاجتماعية للشرائح المستضعفة والمحرومة، </w:t>
      </w:r>
      <w:r>
        <w:t>ويشمل ذلك التعليم في مرحلة الطفولة المبكرة ومساندة الجمعيات الأهلية واللاجئين.</w:t>
      </w:r>
      <w:r>
        <w:rPr>
          <w:rFonts w:ascii="Arial" w:hAnsi="Arial"/>
        </w:rPr>
        <w:t xml:space="preserve"> وسيشير العمل التحليلي بشأن المنافع المتأتية من التعليم في مرحلة الطفولة المبكرة إلى العديد من المنافع بالنسبة للأطفال مثل تنمية ورفاهية الطفولة، وتحسين الأداء المدرسي، ووجود مسارات أكثر إنتاجية اقتصادية في المستقبل.</w:t>
      </w:r>
      <w:r w:rsidR="00022F13">
        <w:rPr>
          <w:rFonts w:ascii="Arial" w:hAnsi="Arial"/>
        </w:rPr>
        <w:t xml:space="preserve"> </w:t>
      </w:r>
      <w:r>
        <w:rPr>
          <w:rFonts w:ascii="Arial" w:hAnsi="Arial"/>
        </w:rPr>
        <w:t>وستعمل منحة مقترحة من البنك الدولي على مساندة تقديم الخدمات للشرائح</w:t>
      </w:r>
      <w:r w:rsidR="00022F13">
        <w:rPr>
          <w:rFonts w:ascii="Arial" w:hAnsi="Arial"/>
        </w:rPr>
        <w:t xml:space="preserve"> </w:t>
      </w:r>
      <w:r>
        <w:rPr>
          <w:rFonts w:ascii="Arial" w:hAnsi="Arial"/>
        </w:rPr>
        <w:t>الأكثر ضعفًا وحرمانًا وشرائح السكان الذين يصعب الوصول إليهم.</w:t>
      </w:r>
      <w:r w:rsidR="00022F13">
        <w:rPr>
          <w:rFonts w:ascii="Arial" w:hAnsi="Arial"/>
        </w:rPr>
        <w:t xml:space="preserve"> </w:t>
      </w:r>
      <w:r>
        <w:rPr>
          <w:rFonts w:ascii="Arial" w:hAnsi="Arial"/>
        </w:rPr>
        <w:t>وفي إطار الاستفادة من الإجراءات التدخلية لمجموعة البنك الدولي مع الجمعيات الأهلية/المجتمع المدني وخبرات وتجارب الأمم المتحدة مع اللاجئين، يقوم البنك الدولي حاليًا بتحليل كيفية تحقيق الاشتمال الاجتماعي للشرائح المهمشة، ويشمل ذلك الفهم الدقيق لموقف اللاجئين في الضفة الغربية و</w:t>
      </w:r>
      <w:r w:rsidR="00C26D0E">
        <w:rPr>
          <w:rFonts w:ascii="Arial" w:hAnsi="Arial" w:hint="cs"/>
        </w:rPr>
        <w:t xml:space="preserve">قطاع </w:t>
      </w:r>
      <w:r>
        <w:rPr>
          <w:rFonts w:ascii="Arial" w:hAnsi="Arial"/>
        </w:rPr>
        <w:t>غزة. وستعمل هذه الأعمال الاستشارية والتحليلية على تحديد طرق الوفاء باحتياجات الشرائح السكانية المستضعفة والمحرومة</w:t>
      </w:r>
    </w:p>
    <w:p w14:paraId="2C72A106" w14:textId="77777777" w:rsidR="00697DC2" w:rsidRPr="006B5400" w:rsidRDefault="00697DC2" w:rsidP="005E6F13">
      <w:pPr>
        <w:spacing w:after="0" w:line="240" w:lineRule="auto"/>
        <w:rPr>
          <w:rFonts w:ascii="Times New Roman" w:eastAsia="Cambria" w:hAnsi="Times New Roman" w:cs="Times New Roman"/>
          <w:iCs/>
        </w:rPr>
      </w:pPr>
    </w:p>
    <w:p w14:paraId="44981CCD" w14:textId="77777777" w:rsidR="005E6F13" w:rsidRPr="004C0719" w:rsidRDefault="4F88A954" w:rsidP="00206B35">
      <w:pPr>
        <w:pStyle w:val="ListParagraph"/>
        <w:numPr>
          <w:ilvl w:val="0"/>
          <w:numId w:val="28"/>
        </w:numPr>
        <w:spacing w:after="0" w:line="240" w:lineRule="auto"/>
        <w:jc w:val="center"/>
        <w:rPr>
          <w:rFonts w:ascii="Arial" w:eastAsia="Arial" w:hAnsi="Arial" w:cs="Arial"/>
          <w:b/>
          <w:bCs/>
          <w:u w:val="single"/>
        </w:rPr>
      </w:pPr>
      <w:r w:rsidRPr="004C0719">
        <w:rPr>
          <w:rFonts w:ascii="Arial" w:hAnsi="Arial"/>
          <w:b/>
          <w:bCs/>
          <w:u w:val="single"/>
        </w:rPr>
        <w:t xml:space="preserve"> تقديم الخدمات الأساسية والتي تشمل المياه والصرف الصحي</w:t>
      </w:r>
    </w:p>
    <w:p w14:paraId="1A95B21A" w14:textId="77777777" w:rsidR="00FC0077" w:rsidRPr="00F06BF0" w:rsidRDefault="0087205C" w:rsidP="00C26D0E">
      <w:pPr>
        <w:pStyle w:val="ListParagraph"/>
        <w:numPr>
          <w:ilvl w:val="0"/>
          <w:numId w:val="6"/>
        </w:numPr>
        <w:spacing w:after="0" w:line="240" w:lineRule="auto"/>
        <w:jc w:val="both"/>
        <w:rPr>
          <w:rFonts w:ascii="Arial" w:eastAsia="Arial" w:hAnsi="Arial" w:cs="Arial"/>
        </w:rPr>
      </w:pPr>
      <w:r>
        <w:rPr>
          <w:noProof/>
          <w:lang w:eastAsia="en-US"/>
        </w:rPr>
        <mc:AlternateContent>
          <mc:Choice Requires="wps">
            <w:drawing>
              <wp:anchor distT="45720" distB="45720" distL="114300" distR="114300" simplePos="0" relativeHeight="251651584" behindDoc="0" locked="0" layoutInCell="1" allowOverlap="1">
                <wp:simplePos x="0" y="0"/>
                <wp:positionH relativeFrom="margin">
                  <wp:posOffset>-371475</wp:posOffset>
                </wp:positionH>
                <wp:positionV relativeFrom="paragraph">
                  <wp:posOffset>94615</wp:posOffset>
                </wp:positionV>
                <wp:extent cx="3055620" cy="3067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3067050"/>
                        </a:xfrm>
                        <a:prstGeom prst="rect">
                          <a:avLst/>
                        </a:prstGeom>
                        <a:solidFill>
                          <a:schemeClr val="bg1">
                            <a:lumMod val="85000"/>
                          </a:schemeClr>
                        </a:solidFill>
                        <a:ln w="9525">
                          <a:solidFill>
                            <a:srgbClr val="000000"/>
                          </a:solidFill>
                          <a:miter lim="800000"/>
                          <a:headEnd/>
                          <a:tailEnd/>
                        </a:ln>
                      </wps:spPr>
                      <wps:txbx>
                        <w:txbxContent>
                          <w:p w14:paraId="5A216243" w14:textId="77777777" w:rsidR="00205E55" w:rsidRPr="008D4678" w:rsidRDefault="00205E55" w:rsidP="008D4678">
                            <w:pPr>
                              <w:pStyle w:val="Caption"/>
                              <w:jc w:val="center"/>
                              <w:rPr>
                                <w:rFonts w:ascii="Arial" w:hAnsi="Arial" w:cs="Arial"/>
                                <w:b/>
                                <w:i w:val="0"/>
                                <w:color w:val="auto"/>
                                <w:sz w:val="20"/>
                                <w:szCs w:val="20"/>
                              </w:rPr>
                            </w:pPr>
                            <w:bookmarkStart w:id="40" w:name="_Toc494980828"/>
                            <w:bookmarkStart w:id="41" w:name="_Toc496110899"/>
                            <w:r>
                              <w:rPr>
                                <w:rFonts w:ascii="Arial" w:hAnsi="Arial"/>
                                <w:b/>
                                <w:bCs/>
                                <w:i w:val="0"/>
                                <w:color w:val="auto"/>
                                <w:sz w:val="20"/>
                                <w:szCs w:val="20"/>
                              </w:rPr>
                              <w:t>الإطار 10. تعليم الأطفال في مخيمات أونروا للاجئين الفلسطينيين</w:t>
                            </w:r>
                            <w:bookmarkEnd w:id="40"/>
                            <w:bookmarkEnd w:id="41"/>
                          </w:p>
                          <w:p w14:paraId="4DC37C9B" w14:textId="77777777" w:rsidR="00205E55" w:rsidRDefault="00205E55" w:rsidP="00950BDF">
                            <w:pPr>
                              <w:spacing w:after="0" w:line="240" w:lineRule="auto"/>
                              <w:jc w:val="both"/>
                              <w:rPr>
                                <w:rFonts w:ascii="Arial" w:hAnsi="Arial" w:cs="Arial"/>
                                <w:bCs/>
                                <w:iCs/>
                                <w:sz w:val="20"/>
                                <w:szCs w:val="20"/>
                              </w:rPr>
                            </w:pPr>
                            <w:r>
                              <w:rPr>
                                <w:rFonts w:ascii="Arial" w:hAnsi="Arial"/>
                                <w:sz w:val="20"/>
                                <w:szCs w:val="20"/>
                              </w:rPr>
                              <w:t xml:space="preserve">تأسست أونروا (وكالة الأمم المتحدة لإغاثة وتشغيل اللاجئين الفلسطينيين في الشرق </w:t>
                            </w:r>
                            <w:r>
                              <w:rPr>
                                <w:rFonts w:ascii="Arial" w:hAnsi="Arial" w:hint="cs"/>
                                <w:sz w:val="20"/>
                                <w:szCs w:val="20"/>
                              </w:rPr>
                              <w:t>الأدنى)</w:t>
                            </w:r>
                            <w:r>
                              <w:rPr>
                                <w:rFonts w:ascii="Arial" w:hAnsi="Arial"/>
                                <w:sz w:val="20"/>
                                <w:szCs w:val="20"/>
                              </w:rPr>
                              <w:t xml:space="preserve"> في 1949، وتدير أونروا ما يزيد على 700 مدرسة ابتدائية وإعدادية لما يبلغ نصف مليون طفل فلسطيني لاجئ (نصفهم فتيات) في الضفة الغربية و</w:t>
                            </w:r>
                            <w:r>
                              <w:rPr>
                                <w:rFonts w:ascii="Arial" w:hAnsi="Arial" w:hint="cs"/>
                                <w:sz w:val="20"/>
                                <w:szCs w:val="20"/>
                              </w:rPr>
                              <w:t xml:space="preserve">قطاع </w:t>
                            </w:r>
                            <w:r>
                              <w:rPr>
                                <w:rFonts w:ascii="Arial" w:hAnsi="Arial"/>
                                <w:sz w:val="20"/>
                                <w:szCs w:val="20"/>
                              </w:rPr>
                              <w:t xml:space="preserve">غزة والأردن ولبنان وسوريا. ويمثل التعليم الحافظة الأكبر للأونروا غير أن العجز المالي يهدد في الوقت الراهن التشغيل السلس لمدارس أونروا كل سنة. </w:t>
                            </w:r>
                          </w:p>
                          <w:p w14:paraId="5F901F19" w14:textId="77777777" w:rsidR="00205E55" w:rsidRDefault="00205E55" w:rsidP="00950BDF">
                            <w:pPr>
                              <w:spacing w:after="0" w:line="240" w:lineRule="auto"/>
                              <w:jc w:val="both"/>
                              <w:rPr>
                                <w:rFonts w:ascii="Times New Roman" w:hAnsi="Times New Roman" w:cs="Times New Roman"/>
                                <w:bCs/>
                                <w:iCs/>
                                <w:sz w:val="20"/>
                                <w:szCs w:val="20"/>
                              </w:rPr>
                            </w:pPr>
                          </w:p>
                          <w:p w14:paraId="3705E54A" w14:textId="77777777" w:rsidR="00205E55" w:rsidRDefault="00205E55" w:rsidP="00950BDF">
                            <w:pPr>
                              <w:spacing w:after="0" w:line="240" w:lineRule="auto"/>
                              <w:jc w:val="both"/>
                              <w:rPr>
                                <w:rFonts w:ascii="Arial" w:hAnsi="Arial" w:cs="Arial"/>
                                <w:sz w:val="20"/>
                                <w:szCs w:val="20"/>
                              </w:rPr>
                            </w:pPr>
                            <w:r>
                              <w:rPr>
                                <w:rFonts w:ascii="Arial" w:hAnsi="Arial"/>
                                <w:sz w:val="20"/>
                                <w:szCs w:val="20"/>
                              </w:rPr>
                              <w:t xml:space="preserve">واتجه عدد قليل من شركاء التنمية إلى البنك الدولي لمساندة تعليم الأطفال الفلسطينيين. </w:t>
                            </w:r>
                          </w:p>
                          <w:p w14:paraId="783A0E3D" w14:textId="77777777" w:rsidR="00205E55" w:rsidRDefault="00205E55" w:rsidP="00950BDF">
                            <w:pPr>
                              <w:spacing w:after="0" w:line="240" w:lineRule="auto"/>
                              <w:jc w:val="both"/>
                              <w:rPr>
                                <w:rFonts w:ascii="Times New Roman" w:hAnsi="Times New Roman" w:cs="Times New Roman"/>
                                <w:sz w:val="20"/>
                                <w:szCs w:val="20"/>
                              </w:rPr>
                            </w:pPr>
                          </w:p>
                          <w:p w14:paraId="66412980" w14:textId="77777777" w:rsidR="00205E55" w:rsidRPr="00032AFD" w:rsidRDefault="00205E55" w:rsidP="00950BDF">
                            <w:pPr>
                              <w:spacing w:after="0" w:line="240" w:lineRule="auto"/>
                              <w:jc w:val="both"/>
                              <w:rPr>
                                <w:rFonts w:ascii="Arial" w:hAnsi="Arial" w:cs="Arial"/>
                                <w:bCs/>
                                <w:iCs/>
                                <w:sz w:val="20"/>
                                <w:szCs w:val="20"/>
                              </w:rPr>
                            </w:pPr>
                            <w:r>
                              <w:rPr>
                                <w:rFonts w:ascii="Arial" w:hAnsi="Arial"/>
                                <w:sz w:val="20"/>
                                <w:szCs w:val="20"/>
                              </w:rPr>
                              <w:t xml:space="preserve">وسيسمح التعاون مع أونروا للبنك الدولي بالاستفادة من خبرات وتجارب أونروا، وتبادل هذه الدروس المستفادة مع بلدان منطقة الشرق الأوسط وشمال أفريقيا التي يساند فيها البنك إصلاحات التعليم. </w:t>
                            </w:r>
                          </w:p>
                          <w:p w14:paraId="6CE210B4" w14:textId="77777777" w:rsidR="00205E55" w:rsidRDefault="00205E55" w:rsidP="00950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9.25pt;margin-top:7.45pt;width:240.6pt;height:241.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" fillcolor="#d8d8d8 [2732]">
                <v:textbox>
                  <w:txbxContent>
                    <w:p w14:paraId="5A216243" w14:textId="77777777" w:rsidR="00205E55" w:rsidRPr="008D4678" w:rsidRDefault="00205E55" w:rsidP="008D4678">
                      <w:pPr>
                        <w:pStyle w:val="Caption"/>
                        <w:jc w:val="center"/>
                        <w:rPr>
                          <w:rFonts w:ascii="Arial" w:hAnsi="Arial" w:cs="Arial"/>
                          <w:b/>
                          <w:i w:val="0"/>
                          <w:color w:val="auto"/>
                          <w:sz w:val="20"/>
                          <w:szCs w:val="20"/>
                        </w:rPr>
                      </w:pPr>
                      <w:bookmarkStart w:id="42" w:name="_Toc494980828"/>
                      <w:bookmarkStart w:id="43" w:name="_Toc496110899"/>
                      <w:r>
                        <w:rPr>
                          <w:rFonts w:ascii="Arial" w:hAnsi="Arial"/>
                          <w:b/>
                          <w:bCs/>
                          <w:i w:val="0"/>
                          <w:color w:val="auto"/>
                          <w:sz w:val="20"/>
                          <w:szCs w:val="20"/>
                        </w:rPr>
                        <w:t>الإطار 10. تعليم الأطفال في مخيمات أونروا للاجئين الفلسطينيين</w:t>
                      </w:r>
                      <w:bookmarkEnd w:id="42"/>
                      <w:bookmarkEnd w:id="43"/>
                    </w:p>
                    <w:p w14:paraId="4DC37C9B" w14:textId="77777777" w:rsidR="00205E55" w:rsidRDefault="00205E55" w:rsidP="00950BDF">
                      <w:pPr>
                        <w:spacing w:after="0" w:line="240" w:lineRule="auto"/>
                        <w:jc w:val="both"/>
                        <w:rPr>
                          <w:rFonts w:ascii="Arial" w:hAnsi="Arial" w:cs="Arial"/>
                          <w:bCs/>
                          <w:iCs/>
                          <w:sz w:val="20"/>
                          <w:szCs w:val="20"/>
                        </w:rPr>
                      </w:pPr>
                      <w:r>
                        <w:rPr>
                          <w:rFonts w:ascii="Arial" w:hAnsi="Arial"/>
                          <w:sz w:val="20"/>
                          <w:szCs w:val="20"/>
                        </w:rPr>
                        <w:t xml:space="preserve">تأسست أونروا (وكالة الأمم المتحدة لإغاثة وتشغيل اللاجئين الفلسطينيين في الشرق </w:t>
                      </w:r>
                      <w:r>
                        <w:rPr>
                          <w:rFonts w:ascii="Arial" w:hAnsi="Arial" w:hint="cs"/>
                          <w:sz w:val="20"/>
                          <w:szCs w:val="20"/>
                        </w:rPr>
                        <w:t>الأدنى)</w:t>
                      </w:r>
                      <w:r>
                        <w:rPr>
                          <w:rFonts w:ascii="Arial" w:hAnsi="Arial"/>
                          <w:sz w:val="20"/>
                          <w:szCs w:val="20"/>
                        </w:rPr>
                        <w:t xml:space="preserve"> في 1949، وتدير أونروا ما يزيد على 700 مدرسة ابتدائية وإعدادية لما يبلغ نصف مليون طفل فلسطيني لاجئ (نصفهم فتيات) في الضفة الغربية و</w:t>
                      </w:r>
                      <w:r>
                        <w:rPr>
                          <w:rFonts w:ascii="Arial" w:hAnsi="Arial" w:hint="cs"/>
                          <w:sz w:val="20"/>
                          <w:szCs w:val="20"/>
                        </w:rPr>
                        <w:t xml:space="preserve">قطاع </w:t>
                      </w:r>
                      <w:r>
                        <w:rPr>
                          <w:rFonts w:ascii="Arial" w:hAnsi="Arial"/>
                          <w:sz w:val="20"/>
                          <w:szCs w:val="20"/>
                        </w:rPr>
                        <w:t xml:space="preserve">غزة والأردن ولبنان وسوريا. ويمثل التعليم الحافظة الأكبر للأونروا غير أن العجز المالي يهدد في الوقت الراهن التشغيل السلس لمدارس أونروا كل سنة. </w:t>
                      </w:r>
                    </w:p>
                    <w:p w14:paraId="5F901F19" w14:textId="77777777" w:rsidR="00205E55" w:rsidRDefault="00205E55" w:rsidP="00950BDF">
                      <w:pPr>
                        <w:spacing w:after="0" w:line="240" w:lineRule="auto"/>
                        <w:jc w:val="both"/>
                        <w:rPr>
                          <w:rFonts w:ascii="Times New Roman" w:hAnsi="Times New Roman" w:cs="Times New Roman"/>
                          <w:bCs/>
                          <w:iCs/>
                          <w:sz w:val="20"/>
                          <w:szCs w:val="20"/>
                        </w:rPr>
                      </w:pPr>
                    </w:p>
                    <w:p w14:paraId="3705E54A" w14:textId="77777777" w:rsidR="00205E55" w:rsidRDefault="00205E55" w:rsidP="00950BDF">
                      <w:pPr>
                        <w:spacing w:after="0" w:line="240" w:lineRule="auto"/>
                        <w:jc w:val="both"/>
                        <w:rPr>
                          <w:rFonts w:ascii="Arial" w:hAnsi="Arial" w:cs="Arial"/>
                          <w:sz w:val="20"/>
                          <w:szCs w:val="20"/>
                        </w:rPr>
                      </w:pPr>
                      <w:r>
                        <w:rPr>
                          <w:rFonts w:ascii="Arial" w:hAnsi="Arial"/>
                          <w:sz w:val="20"/>
                          <w:szCs w:val="20"/>
                        </w:rPr>
                        <w:t xml:space="preserve">واتجه عدد قليل من شركاء التنمية إلى البنك الدولي لمساندة تعليم الأطفال الفلسطينيين. </w:t>
                      </w:r>
                    </w:p>
                    <w:p w14:paraId="783A0E3D" w14:textId="77777777" w:rsidR="00205E55" w:rsidRDefault="00205E55" w:rsidP="00950BDF">
                      <w:pPr>
                        <w:spacing w:after="0" w:line="240" w:lineRule="auto"/>
                        <w:jc w:val="both"/>
                        <w:rPr>
                          <w:rFonts w:ascii="Times New Roman" w:hAnsi="Times New Roman" w:cs="Times New Roman"/>
                          <w:sz w:val="20"/>
                          <w:szCs w:val="20"/>
                        </w:rPr>
                      </w:pPr>
                    </w:p>
                    <w:p w14:paraId="66412980" w14:textId="77777777" w:rsidR="00205E55" w:rsidRPr="00032AFD" w:rsidRDefault="00205E55" w:rsidP="00950BDF">
                      <w:pPr>
                        <w:spacing w:after="0" w:line="240" w:lineRule="auto"/>
                        <w:jc w:val="both"/>
                        <w:rPr>
                          <w:rFonts w:ascii="Arial" w:hAnsi="Arial" w:cs="Arial"/>
                          <w:bCs/>
                          <w:iCs/>
                          <w:sz w:val="20"/>
                          <w:szCs w:val="20"/>
                        </w:rPr>
                      </w:pPr>
                      <w:r>
                        <w:rPr>
                          <w:rFonts w:ascii="Arial" w:hAnsi="Arial"/>
                          <w:sz w:val="20"/>
                          <w:szCs w:val="20"/>
                        </w:rPr>
                        <w:t xml:space="preserve">وسيسمح التعاون مع أونروا للبنك الدولي بالاستفادة من خبرات وتجارب أونروا، وتبادل هذه الدروس المستفادة مع بلدان منطقة الشرق الأوسط وشمال أفريقيا التي يساند فيها البنك إصلاحات التعليم. </w:t>
                      </w:r>
                    </w:p>
                    <w:p w14:paraId="6CE210B4" w14:textId="77777777" w:rsidR="00205E55" w:rsidRDefault="00205E55" w:rsidP="00950BDF"/>
                  </w:txbxContent>
                </v:textbox>
                <w10:wrap type="square" anchorx="margin"/>
              </v:shape>
            </w:pict>
          </mc:Fallback>
        </mc:AlternateContent>
      </w:r>
      <w:r w:rsidR="4F88A954">
        <w:rPr>
          <w:rFonts w:ascii="Arial" w:hAnsi="Arial"/>
        </w:rPr>
        <w:t xml:space="preserve">في أعقاب التدهور الحادة في سبل الوصول إلى خدمات المياه في </w:t>
      </w:r>
      <w:r w:rsidR="00C26D0E">
        <w:rPr>
          <w:rFonts w:ascii="Arial" w:hAnsi="Arial" w:hint="cs"/>
        </w:rPr>
        <w:t xml:space="preserve">قطاع </w:t>
      </w:r>
      <w:r w:rsidR="4F88A954">
        <w:rPr>
          <w:rFonts w:ascii="Arial" w:hAnsi="Arial"/>
        </w:rPr>
        <w:t xml:space="preserve">غزة على مدى السنوات العشر الماضية، وُجدت بيئة مفعمة بالتهديدات وحدث انهيار في الصحة العامة إذ </w:t>
      </w:r>
      <w:r w:rsidR="00C26D0E">
        <w:rPr>
          <w:rFonts w:ascii="Arial" w:hAnsi="Arial" w:hint="cs"/>
        </w:rPr>
        <w:t>إ</w:t>
      </w:r>
      <w:r w:rsidR="00C26D0E">
        <w:rPr>
          <w:rFonts w:ascii="Arial" w:hAnsi="Arial"/>
        </w:rPr>
        <w:t xml:space="preserve">ن </w:t>
      </w:r>
      <w:r w:rsidR="4F88A954">
        <w:rPr>
          <w:rFonts w:ascii="Arial" w:hAnsi="Arial"/>
        </w:rPr>
        <w:t>96% من موارد المياه غير صالحة للاستخدام من جانب سكان غزة البالغ عددهم 2 مليون نسمة، ولا يحصل سوى 1% من الأسر المعيشية على مصدر مياه شرب محسنة. ويرجع السبب الرئيسي في هذا التدهور إلى الإفراط في استغلال مكامن المياه الجوفية الساحلية، وتضمن ذلك</w:t>
      </w:r>
      <w:r w:rsidR="00022F13">
        <w:rPr>
          <w:rFonts w:ascii="Arial" w:hAnsi="Arial"/>
        </w:rPr>
        <w:t xml:space="preserve"> </w:t>
      </w:r>
      <w:r w:rsidR="4F88A954">
        <w:rPr>
          <w:rFonts w:ascii="Arial" w:hAnsi="Arial"/>
        </w:rPr>
        <w:t>تسرب</w:t>
      </w:r>
      <w:r w:rsidR="00022F13">
        <w:rPr>
          <w:rFonts w:ascii="Arial" w:hAnsi="Arial"/>
        </w:rPr>
        <w:t xml:space="preserve"> </w:t>
      </w:r>
      <w:r w:rsidR="4F88A954">
        <w:rPr>
          <w:rFonts w:ascii="Arial" w:hAnsi="Arial"/>
        </w:rPr>
        <w:t>المياه المالحة إلى خزانات المياه العذبة، وتسرب مياه الصرف غير المعالجة (زيادة الملوحة وتركيز النترات أعلى 6 مرات من معايير منظمة الصحة العالمية).</w:t>
      </w:r>
      <w:r w:rsidR="00022F13">
        <w:rPr>
          <w:rFonts w:ascii="Arial" w:hAnsi="Arial"/>
        </w:rPr>
        <w:t xml:space="preserve"> </w:t>
      </w:r>
      <w:r w:rsidR="4F88A954">
        <w:rPr>
          <w:rFonts w:ascii="Arial" w:hAnsi="Arial"/>
        </w:rPr>
        <w:t>وقد تفاقم الموقف من جراء تدني مستويات معالجة مياه الصرف والمجاري.</w:t>
      </w:r>
      <w:r w:rsidR="00022F13">
        <w:rPr>
          <w:rFonts w:ascii="Arial" w:hAnsi="Arial"/>
        </w:rPr>
        <w:t xml:space="preserve"> </w:t>
      </w:r>
      <w:r w:rsidR="4F88A954">
        <w:rPr>
          <w:rFonts w:ascii="Arial" w:hAnsi="Arial"/>
        </w:rPr>
        <w:t>وعلى الرغم من توفر مياه شرب محسنة لما يبلغ 94% من الأسر المعيشية في الضفة الغربية، تواجه العديد من المحليات نقصًا حادًا في المياه حيث لا يتم توصيل المياه سوى مرة واحدة كل 3 أسابيع.</w:t>
      </w:r>
      <w:r w:rsidR="00022F13">
        <w:rPr>
          <w:rFonts w:ascii="Arial" w:hAnsi="Arial"/>
        </w:rPr>
        <w:t xml:space="preserve"> </w:t>
      </w:r>
      <w:r w:rsidR="4F88A954">
        <w:rPr>
          <w:rFonts w:ascii="Arial" w:hAnsi="Arial"/>
        </w:rPr>
        <w:t>ولا تتوفر شبكات مجاري إلا لما يبلغ 73% فقط من الأسر المعيشية في غزة، و32% فقط من الأسر المعيشية في الضفة الغربية، ويتم التخلص من نسبة كبيرة من المجاري من دون معالجة أو بمعالجة جزئية.</w:t>
      </w:r>
      <w:r w:rsidR="00022F13">
        <w:rPr>
          <w:rFonts w:ascii="Arial" w:hAnsi="Arial"/>
        </w:rPr>
        <w:t xml:space="preserve"> </w:t>
      </w:r>
    </w:p>
    <w:p w14:paraId="37A7B73D" w14:textId="77777777" w:rsidR="00FC0077" w:rsidRDefault="00FC0077" w:rsidP="00604216">
      <w:pPr>
        <w:spacing w:after="0" w:line="240" w:lineRule="auto"/>
        <w:jc w:val="both"/>
        <w:rPr>
          <w:rFonts w:ascii="Times New Roman" w:eastAsia="Times New Roman" w:hAnsi="Times New Roman" w:cs="Times New Roman"/>
          <w:b/>
          <w:color w:val="000000"/>
        </w:rPr>
      </w:pPr>
    </w:p>
    <w:p w14:paraId="382D5DBA" w14:textId="77777777" w:rsidR="005E6F13" w:rsidRPr="00F06BF0" w:rsidRDefault="004D0426" w:rsidP="00BF4BE3">
      <w:pPr>
        <w:pStyle w:val="ListParagraph"/>
        <w:numPr>
          <w:ilvl w:val="0"/>
          <w:numId w:val="6"/>
        </w:numPr>
        <w:spacing w:after="0" w:line="240" w:lineRule="auto"/>
        <w:jc w:val="both"/>
        <w:rPr>
          <w:rFonts w:ascii="Arial" w:eastAsia="Arial" w:hAnsi="Arial" w:cs="Arial"/>
          <w:u w:val="single"/>
        </w:rPr>
      </w:pPr>
      <w:r>
        <w:rPr>
          <w:rFonts w:ascii="Arial" w:hAnsi="Arial"/>
          <w:b/>
          <w:bCs/>
          <w:color w:val="000000" w:themeColor="text1"/>
        </w:rPr>
        <w:t>سيعمل تعزيز المؤسسات في قطاع المياه على زيادة الاستجابة في تقديم الخدمات الضرورية وتحسين الاستدامة المالية في هذا القطاع.</w:t>
      </w:r>
      <w:r w:rsidR="00022F13">
        <w:rPr>
          <w:rFonts w:ascii="Arial" w:hAnsi="Arial"/>
          <w:b/>
          <w:bCs/>
          <w:color w:val="000000" w:themeColor="text1"/>
        </w:rPr>
        <w:t xml:space="preserve"> </w:t>
      </w:r>
      <w:r>
        <w:t>وسيساند البرنامج المقترح المعني بتطوير قطاع المياه أولويات السلطة الفلسطينية بشأن معالجة أزمة المياه، لا سيما في غزة، وتأمين المياه للناس.</w:t>
      </w:r>
      <w:r w:rsidR="00022F13">
        <w:t xml:space="preserve"> </w:t>
      </w:r>
      <w:r>
        <w:rPr>
          <w:rFonts w:ascii="Arial" w:hAnsi="Arial"/>
        </w:rPr>
        <w:t>ويدور محور تركيز المزايا النسبية للبنك الدولي حول العناصر المؤسسية والاقتصادية، وفي الوقت نفسه مساندة الاستثمارات التي تعمل على تحسين توفير المياه.</w:t>
      </w:r>
      <w:r w:rsidR="00022F13">
        <w:rPr>
          <w:rFonts w:ascii="Arial" w:hAnsi="Arial"/>
        </w:rPr>
        <w:t xml:space="preserve"> </w:t>
      </w:r>
      <w:r>
        <w:rPr>
          <w:rFonts w:ascii="Arial" w:hAnsi="Arial"/>
        </w:rPr>
        <w:t xml:space="preserve">وتعمل الدراسة التشخيصية المتعلقة </w:t>
      </w:r>
      <w:r>
        <w:rPr>
          <w:rFonts w:ascii="Arial" w:hAnsi="Arial"/>
        </w:rPr>
        <w:lastRenderedPageBreak/>
        <w:t>بخدمات مياه الشرب والصرف الصحي والصحة العامة على وضع معيار استرشادي للخدمات على المستوى المحلي من خلال فحص من هم الفقراء وأين يتواجدون، وشريحة الأربعين في المائة الأدنى من حيث توزيع الدخل، ومستوى توفر وجودة خدمات مياه الشرب والصرف الصحي والصحة العامة الذي تتمتع به المناطق المتخلفة مقارنة بما يتمتع به غير الفقراء.</w:t>
      </w:r>
      <w:r w:rsidR="00022F13">
        <w:rPr>
          <w:rFonts w:ascii="Arial" w:hAnsi="Arial"/>
        </w:rPr>
        <w:t xml:space="preserve"> </w:t>
      </w:r>
      <w:r>
        <w:rPr>
          <w:rFonts w:ascii="Arial" w:hAnsi="Arial"/>
        </w:rPr>
        <w:t xml:space="preserve">ويساند البنك ومجتمع المانحين أيضًا عرضًا لتحلية مياه البحر بهدف مساعدة السلطة الفلسطينية مع تركيز البنك على تحسين توزيع </w:t>
      </w:r>
      <w:r w:rsidR="004C0719">
        <w:rPr>
          <w:rFonts w:ascii="Arial" w:hAnsi="Arial" w:hint="cs"/>
        </w:rPr>
        <w:t>البنية</w:t>
      </w:r>
      <w:r>
        <w:rPr>
          <w:rFonts w:ascii="Arial" w:hAnsi="Arial"/>
        </w:rPr>
        <w:t xml:space="preserve"> التحتية الخاصة بتوزيع إمدادات المياه الكبيرة، وخفض الخسائر الفنية والمالية في الشبكة.</w:t>
      </w:r>
      <w:r w:rsidR="00022F13">
        <w:rPr>
          <w:rFonts w:ascii="Arial" w:hAnsi="Arial"/>
        </w:rPr>
        <w:t xml:space="preserve"> </w:t>
      </w:r>
      <w:r>
        <w:rPr>
          <w:rFonts w:ascii="Arial" w:hAnsi="Arial"/>
        </w:rPr>
        <w:t xml:space="preserve">وسيستمر البنك الدولي في تقديم المساندة في إطار مشروع إدارة المخلفات الصلبة في غزة، والمشروع التجريبي لإدارة المخلفات الصلبة بموجب المعونة المرتبطة بالنواتج في الضفة الغربية لمساندة خدمات المدافن الصحية وإدارة المخلفات. </w:t>
      </w:r>
    </w:p>
    <w:p w14:paraId="3F7175BF" w14:textId="77777777" w:rsidR="005E6F13" w:rsidRPr="00377EC0" w:rsidRDefault="005E6F13" w:rsidP="005E6F13">
      <w:pPr>
        <w:spacing w:after="0"/>
        <w:rPr>
          <w:u w:val="single"/>
        </w:rPr>
      </w:pPr>
      <w:r>
        <w:rPr>
          <w:rFonts w:ascii="Arial" w:hAnsi="Arial"/>
        </w:rPr>
        <w:t xml:space="preserve"> </w:t>
      </w:r>
    </w:p>
    <w:p w14:paraId="7EBEFDAB" w14:textId="77777777" w:rsidR="005E6F13" w:rsidRPr="00F06BF0" w:rsidRDefault="4F88A954" w:rsidP="00C26D0E">
      <w:pPr>
        <w:pStyle w:val="ListParagraph"/>
        <w:numPr>
          <w:ilvl w:val="0"/>
          <w:numId w:val="6"/>
        </w:numPr>
        <w:spacing w:after="0" w:line="240" w:lineRule="auto"/>
        <w:jc w:val="both"/>
        <w:rPr>
          <w:rFonts w:ascii="Arial" w:eastAsia="Arial" w:hAnsi="Arial" w:cs="Arial"/>
        </w:rPr>
      </w:pPr>
      <w:r>
        <w:rPr>
          <w:rFonts w:ascii="Arial" w:hAnsi="Arial"/>
          <w:b/>
          <w:bCs/>
        </w:rPr>
        <w:t>سيساعد هذا البرنامج أجهزة الحكم المحلي كي تصبح أكثر استجابة في تقديم خدمات المياه النظيفة والصرف الصحي.</w:t>
      </w:r>
      <w:r w:rsidR="00022F13">
        <w:rPr>
          <w:rFonts w:ascii="Arial" w:hAnsi="Arial"/>
          <w:b/>
          <w:bCs/>
        </w:rPr>
        <w:t xml:space="preserve"> </w:t>
      </w:r>
      <w:r>
        <w:rPr>
          <w:rFonts w:ascii="Arial" w:hAnsi="Arial"/>
        </w:rPr>
        <w:t>وفي الضفة الغربية، سيقدم البنك الدولي مساندة مستمرة من خلال مشروع إدارة المياه العادمة الإقليمي في الخليل التابع لبلدية الخليل، والذي سيتم تعزيزه لإدارة عمليات وصيانة محطة معالجة وإعادة استخدام مياه الصرف.</w:t>
      </w:r>
      <w:r w:rsidR="00022F13">
        <w:rPr>
          <w:rFonts w:ascii="Arial" w:hAnsi="Arial"/>
        </w:rPr>
        <w:t xml:space="preserve"> </w:t>
      </w:r>
      <w:r>
        <w:rPr>
          <w:rFonts w:ascii="Arial" w:hAnsi="Arial"/>
        </w:rPr>
        <w:t xml:space="preserve">وأثناء مدة هذه </w:t>
      </w:r>
      <w:r w:rsidR="00C26D0E">
        <w:rPr>
          <w:rFonts w:ascii="Arial" w:hAnsi="Arial"/>
        </w:rPr>
        <w:t>ال</w:t>
      </w:r>
      <w:r w:rsidR="00C26D0E">
        <w:rPr>
          <w:rFonts w:ascii="Arial" w:hAnsi="Arial" w:hint="cs"/>
        </w:rPr>
        <w:t>إ</w:t>
      </w:r>
      <w:r w:rsidR="00C26D0E">
        <w:rPr>
          <w:rFonts w:ascii="Arial" w:hAnsi="Arial"/>
        </w:rPr>
        <w:t xml:space="preserve">ستراتيجية </w:t>
      </w:r>
      <w:r>
        <w:rPr>
          <w:rFonts w:ascii="Arial" w:hAnsi="Arial"/>
        </w:rPr>
        <w:t xml:space="preserve">(السنوات المالية 2018 - 2021)، سيتم تقديم مساعدات البنك الدولي في صورة منح من خلال </w:t>
      </w:r>
      <w:r>
        <w:rPr>
          <w:rFonts w:ascii="Arial" w:hAnsi="Arial"/>
          <w:i/>
          <w:iCs/>
        </w:rPr>
        <w:t>المشروعين الثاني والثالث لتطوير البلديات، وبرنامج تحسين الخدمات والحكم المحلي المعني بتحقيق نتائج.</w:t>
      </w:r>
      <w:r>
        <w:rPr>
          <w:rFonts w:ascii="Arial" w:hAnsi="Arial"/>
        </w:rPr>
        <w:t xml:space="preserve"> وستقدم المساعدة الفنية البرامجية على مدى سنة 2020 مساندة ضرورية لتحقيق الإصلاحات الأساسية في قطاع أجهزة</w:t>
      </w:r>
      <w:r w:rsidR="004C0719">
        <w:rPr>
          <w:rFonts w:ascii="Arial" w:hAnsi="Arial" w:hint="cs"/>
        </w:rPr>
        <w:t xml:space="preserve"> الحكم</w:t>
      </w:r>
      <w:r>
        <w:rPr>
          <w:rFonts w:ascii="Arial" w:hAnsi="Arial"/>
        </w:rPr>
        <w:t xml:space="preserve"> المحلي بمساندة من هذه العمليات.</w:t>
      </w:r>
      <w:r w:rsidR="00022F13">
        <w:rPr>
          <w:rFonts w:ascii="Arial" w:hAnsi="Arial"/>
        </w:rPr>
        <w:t xml:space="preserve"> </w:t>
      </w:r>
      <w:r>
        <w:rPr>
          <w:rFonts w:ascii="Arial" w:hAnsi="Arial"/>
        </w:rPr>
        <w:t>وستُقاس نواتج تقديم الخدمات بتقييم العلاقات البينية بين المدخلات والمخرجات بالنسبة للخدمات المقدمة من البلديات والقرى (إدارة المخلفات الصلبة، وإمدادات المياه، والصرف الصحي، والطرق المحلية).</w:t>
      </w:r>
      <w:r w:rsidR="00022F13">
        <w:rPr>
          <w:rFonts w:ascii="Arial" w:hAnsi="Arial"/>
        </w:rPr>
        <w:t xml:space="preserve"> </w:t>
      </w:r>
      <w:r>
        <w:rPr>
          <w:rFonts w:ascii="Arial" w:hAnsi="Arial"/>
        </w:rPr>
        <w:t>وستستمر الحوافز لتحسين الإدارة الخاصة بالبلديات من خلال منح مخصصة بناء على الأداء والاحتياجات وعدد السكان.</w:t>
      </w:r>
      <w:r w:rsidR="00022F13">
        <w:rPr>
          <w:rFonts w:ascii="Arial" w:hAnsi="Arial"/>
        </w:rPr>
        <w:t xml:space="preserve"> </w:t>
      </w:r>
      <w:r>
        <w:rPr>
          <w:rFonts w:ascii="Arial" w:hAnsi="Arial"/>
        </w:rPr>
        <w:t xml:space="preserve">وستعمل المساندة المقدمة لتعزيز المساءلة الاجتماعية ومشاركة المواطنين في البلديات على زيادة الاستجابة في تقديم الخدمات. </w:t>
      </w:r>
    </w:p>
    <w:p w14:paraId="00168ECC" w14:textId="77777777" w:rsidR="005E6F13" w:rsidRDefault="005E6F13" w:rsidP="005E6F13">
      <w:pPr>
        <w:spacing w:after="0"/>
        <w:rPr>
          <w:rFonts w:eastAsia="Times New Roman"/>
        </w:rPr>
      </w:pPr>
    </w:p>
    <w:p w14:paraId="7C70DD61" w14:textId="77777777" w:rsidR="005E6F13" w:rsidRPr="004C0719" w:rsidRDefault="4F88A954" w:rsidP="4F88A954">
      <w:pPr>
        <w:pStyle w:val="ListParagraph"/>
        <w:spacing w:after="0" w:line="240" w:lineRule="auto"/>
        <w:ind w:left="0"/>
        <w:jc w:val="center"/>
        <w:rPr>
          <w:rFonts w:ascii="Arial" w:eastAsia="Arial" w:hAnsi="Arial" w:cs="Arial"/>
          <w:b/>
          <w:bCs/>
          <w:i/>
          <w:iCs/>
          <w:color w:val="000000" w:themeColor="text1"/>
          <w:u w:val="single"/>
        </w:rPr>
      </w:pPr>
      <w:r w:rsidRPr="004C0719">
        <w:rPr>
          <w:rFonts w:ascii="Arial" w:hAnsi="Arial"/>
          <w:b/>
          <w:bCs/>
          <w:i/>
          <w:iCs/>
        </w:rPr>
        <w:t>3.</w:t>
      </w:r>
      <w:r w:rsidR="00022F13" w:rsidRPr="004C0719">
        <w:rPr>
          <w:rFonts w:ascii="Arial" w:hAnsi="Arial"/>
          <w:b/>
          <w:bCs/>
          <w:i/>
          <w:iCs/>
        </w:rPr>
        <w:t xml:space="preserve"> </w:t>
      </w:r>
      <w:r w:rsidRPr="004C0719">
        <w:rPr>
          <w:rFonts w:ascii="Arial" w:hAnsi="Arial"/>
          <w:b/>
          <w:bCs/>
          <w:i/>
          <w:iCs/>
          <w:u w:val="single"/>
        </w:rPr>
        <w:t>مشاركة المواطنين</w:t>
      </w:r>
    </w:p>
    <w:p w14:paraId="10E9D811" w14:textId="77777777" w:rsidR="002A6663" w:rsidRPr="00F06BF0" w:rsidRDefault="4F88A954" w:rsidP="00BF4BE3">
      <w:pPr>
        <w:pStyle w:val="ListParagraph"/>
        <w:numPr>
          <w:ilvl w:val="0"/>
          <w:numId w:val="6"/>
        </w:numPr>
        <w:spacing w:after="0" w:line="240" w:lineRule="auto"/>
        <w:jc w:val="both"/>
        <w:rPr>
          <w:rFonts w:ascii="Arial" w:eastAsia="Arial" w:hAnsi="Arial" w:cs="Arial"/>
          <w:color w:val="000000" w:themeColor="text1"/>
        </w:rPr>
      </w:pPr>
      <w:r>
        <w:rPr>
          <w:rFonts w:ascii="Arial" w:hAnsi="Arial"/>
        </w:rPr>
        <w:t>عملًا على تعزيز ثقة الجمهور في المؤسسات الفلسطينية، ستساند مجموعة البنك الدولي المؤسسات العامة كي تكون أكثر انضباطًا من الناحية المالية، وأكثر خضوعًا للمساءلة، وأكثر شفافية، مع مواصلة تحسين مشاركة المواطنين في الوقت نفسه.</w:t>
      </w:r>
      <w:r w:rsidR="00022F13">
        <w:rPr>
          <w:rFonts w:ascii="Arial" w:hAnsi="Arial"/>
        </w:rPr>
        <w:t xml:space="preserve"> </w:t>
      </w:r>
    </w:p>
    <w:p w14:paraId="7612AECF" w14:textId="77777777" w:rsidR="002A6663" w:rsidRPr="00AF1BCD" w:rsidRDefault="002A6663" w:rsidP="005E6F13">
      <w:pPr>
        <w:spacing w:after="0" w:line="240" w:lineRule="auto"/>
        <w:jc w:val="both"/>
        <w:rPr>
          <w:rFonts w:ascii="Times New Roman" w:eastAsia="Times New Roman" w:hAnsi="Times New Roman" w:cs="Times New Roman"/>
          <w:color w:val="000000"/>
        </w:rPr>
      </w:pPr>
    </w:p>
    <w:p w14:paraId="45C9229A" w14:textId="77777777" w:rsidR="002A6663" w:rsidRPr="00F06BF0" w:rsidRDefault="4F88A954" w:rsidP="00BF4BE3">
      <w:pPr>
        <w:pStyle w:val="ListParagraph"/>
        <w:numPr>
          <w:ilvl w:val="0"/>
          <w:numId w:val="6"/>
        </w:numPr>
        <w:spacing w:after="0" w:line="240" w:lineRule="auto"/>
        <w:jc w:val="both"/>
        <w:rPr>
          <w:rFonts w:ascii="Arial" w:hAnsi="Arial" w:cs="Arial"/>
          <w:b/>
          <w:bCs/>
        </w:rPr>
      </w:pPr>
      <w:r>
        <w:rPr>
          <w:rFonts w:ascii="Arial" w:hAnsi="Arial"/>
          <w:b/>
          <w:bCs/>
        </w:rPr>
        <w:t>ستزيد المساءلة من خلال مساندة مجموعة البنك الدولي للممارسات الأكثر اشتمالًا للجميع فيما يتعلق بموازنة المواطن.</w:t>
      </w:r>
      <w:r w:rsidR="00022F13">
        <w:rPr>
          <w:rFonts w:ascii="Arial" w:hAnsi="Arial"/>
          <w:b/>
          <w:bCs/>
        </w:rPr>
        <w:t xml:space="preserve"> </w:t>
      </w:r>
      <w:r>
        <w:rPr>
          <w:rFonts w:ascii="Arial" w:hAnsi="Arial"/>
        </w:rPr>
        <w:t xml:space="preserve">وعلى الرغم من أن المجتمع المدني ليس لديه إلى الآن أي مدخلات في عملية صياغة الموازنة، فقد قامت مؤسسة </w:t>
      </w:r>
      <w:r w:rsidRPr="004C0719">
        <w:rPr>
          <w:rFonts w:ascii="Arial" w:hAnsi="Arial"/>
          <w:b/>
          <w:bCs/>
          <w:i/>
          <w:iCs/>
        </w:rPr>
        <w:t>أمان</w:t>
      </w:r>
      <w:r>
        <w:rPr>
          <w:rFonts w:ascii="Arial" w:hAnsi="Arial"/>
        </w:rPr>
        <w:t xml:space="preserve"> (وهي الفرع المحلي لمنظمة الشفافية الدولية) بعمل استعراض عالي الجودة للموازنة ــ وهو ما يمثل علامة إيجابية في طريق المضي قدمًا.</w:t>
      </w:r>
      <w:r w:rsidR="00022F13">
        <w:rPr>
          <w:rFonts w:ascii="Arial" w:hAnsi="Arial"/>
        </w:rPr>
        <w:t xml:space="preserve"> </w:t>
      </w:r>
      <w:r>
        <w:rPr>
          <w:rFonts w:ascii="Arial" w:hAnsi="Arial"/>
        </w:rPr>
        <w:t>واستنادًا إلى خبرات وتجارب عام 2016، ستكون الصور المستقبلية لموازنة المواطن أقل قتامة وأقل تعقيدًا من الناحية الفنية، مع مزيد من الشركاء المشاركين مع المجتمع المدني في عملية الصياغة.</w:t>
      </w:r>
      <w:r w:rsidR="00022F13">
        <w:rPr>
          <w:rFonts w:ascii="Arial" w:hAnsi="Arial"/>
        </w:rPr>
        <w:t xml:space="preserve"> </w:t>
      </w:r>
      <w:r>
        <w:rPr>
          <w:rFonts w:ascii="Arial" w:hAnsi="Arial"/>
        </w:rPr>
        <w:t>وسيساعد إصدار القوائم المالية المدققة من ديوان الرقابة المالية والإدارية في وقتها على تعزيز ثقة أصحاب المصلحة والأطراف المعنية.</w:t>
      </w:r>
      <w:r w:rsidR="00022F13">
        <w:rPr>
          <w:rFonts w:ascii="Arial" w:hAnsi="Arial"/>
        </w:rPr>
        <w:t xml:space="preserve"> </w:t>
      </w:r>
      <w:r>
        <w:rPr>
          <w:rFonts w:ascii="Arial" w:hAnsi="Arial"/>
        </w:rPr>
        <w:t>وستعتمد مساندة البنك الدولي أيضًا على المساعدة السابقة والحالية في مجالات دورة الموازنة</w:t>
      </w:r>
      <w:r w:rsidR="00C26D0E">
        <w:rPr>
          <w:rFonts w:ascii="Arial" w:hAnsi="Arial" w:hint="cs"/>
        </w:rPr>
        <w:t>،</w:t>
      </w:r>
      <w:r>
        <w:rPr>
          <w:rFonts w:ascii="Arial" w:hAnsi="Arial"/>
        </w:rPr>
        <w:t xml:space="preserve"> مثل تخطيط النقدية وتنفيذها ومراقبتها بهدف خفض معدلات متأخرات الإنفاق التي تخلق عبئًا على القطاع الخاص.</w:t>
      </w:r>
      <w:r w:rsidR="00022F13">
        <w:rPr>
          <w:rFonts w:ascii="Arial" w:hAnsi="Arial"/>
        </w:rPr>
        <w:t xml:space="preserve"> </w:t>
      </w:r>
      <w:r>
        <w:rPr>
          <w:rFonts w:ascii="Arial" w:hAnsi="Arial"/>
        </w:rPr>
        <w:t xml:space="preserve">ومن المخطط أن يصدر تحديث في 2018 لآخر تقييم خاص بالإنفاق العام والمساءلة المالية تم القيام به في 2013. </w:t>
      </w:r>
    </w:p>
    <w:p w14:paraId="50413AE5" w14:textId="77777777" w:rsidR="002A6663" w:rsidRPr="006D3C80" w:rsidRDefault="002A6663" w:rsidP="00F06BF0">
      <w:pPr>
        <w:pStyle w:val="ListParagraph"/>
        <w:spacing w:after="0"/>
        <w:rPr>
          <w:rFonts w:ascii="Times New Roman" w:hAnsi="Times New Roman" w:cs="Times New Roman"/>
        </w:rPr>
      </w:pPr>
    </w:p>
    <w:p w14:paraId="717D51EF" w14:textId="77777777" w:rsidR="005E6FCA" w:rsidRPr="005E6FCA" w:rsidRDefault="4F88A954" w:rsidP="00BF4BE3">
      <w:pPr>
        <w:pStyle w:val="ListParagraph"/>
        <w:numPr>
          <w:ilvl w:val="0"/>
          <w:numId w:val="6"/>
        </w:numPr>
        <w:spacing w:after="0" w:line="240" w:lineRule="auto"/>
        <w:jc w:val="both"/>
        <w:rPr>
          <w:rFonts w:ascii="Arial" w:eastAsia="Arial" w:hAnsi="Arial" w:cs="Arial"/>
        </w:rPr>
      </w:pPr>
      <w:r>
        <w:rPr>
          <w:rFonts w:ascii="Arial" w:hAnsi="Arial"/>
          <w:b/>
          <w:bCs/>
        </w:rPr>
        <w:t>ستساند مجموعة البنك الدولي السلطة الفلسطينية في تعزيز مشاركة المواطن.</w:t>
      </w:r>
      <w:r>
        <w:rPr>
          <w:rFonts w:ascii="Arial" w:hAnsi="Arial"/>
        </w:rPr>
        <w:t xml:space="preserve"> وتعمل وزارة التنمية الاجتماعية، بين وزارات السلطة الفلسطينية المعنية بالإفصاح عن موازنة المواطن، حاليًا لزيادة الوعي بين المنتفعين ولبناء قدرات موظفي الوزارة العاملين على معالجة الشكاوى. ويساعد مشروع تعزيز الحماية الاجتماعية الجاري العمل به والذي تبلغ قيمته 15 مليون دولار وتمت الموافقة عليه في يوليو/تموز 2018 في تسهيل وجود آلية منتظمة لمشاركة المواطنين في التخطيط والتقييم وتقديم الآراء التقييمية، وكذلك توسيع نطاق وتعميق مشاركة المواطنين من خلال إدخال الشفافية المالية القوية والابتكارات في المساءلة الاجتماعية.</w:t>
      </w:r>
      <w:r w:rsidR="00022F13">
        <w:rPr>
          <w:rFonts w:ascii="Arial" w:hAnsi="Arial"/>
        </w:rPr>
        <w:t xml:space="preserve"> </w:t>
      </w:r>
      <w:r>
        <w:rPr>
          <w:rFonts w:ascii="Arial" w:hAnsi="Arial"/>
        </w:rPr>
        <w:t xml:space="preserve">والهدف من وراء ذلك هو ضمان أن </w:t>
      </w:r>
      <w:r w:rsidR="004C0719">
        <w:rPr>
          <w:rFonts w:ascii="Arial" w:hAnsi="Arial" w:hint="cs"/>
        </w:rPr>
        <w:t xml:space="preserve">يكون </w:t>
      </w:r>
      <w:r>
        <w:rPr>
          <w:rFonts w:ascii="Arial" w:hAnsi="Arial"/>
        </w:rPr>
        <w:t>عملاء المشروع</w:t>
      </w:r>
      <w:r w:rsidR="00022F13">
        <w:rPr>
          <w:rFonts w:ascii="Arial" w:hAnsi="Arial"/>
        </w:rPr>
        <w:t xml:space="preserve"> </w:t>
      </w:r>
      <w:r>
        <w:rPr>
          <w:rFonts w:ascii="Arial" w:hAnsi="Arial"/>
        </w:rPr>
        <w:t>على وعي باستحقاقاتهم، ويحصلون على استحقاقاتهم على الفور وبصورة تامة وبكرامة، مع تسهيل مشاركة المواطنين في التخطيط وتقديم الآراء التقييمية للمساعدة في وضع الحلول المناسبة.</w:t>
      </w:r>
      <w:r w:rsidR="00022F13">
        <w:rPr>
          <w:rFonts w:ascii="Arial" w:hAnsi="Arial"/>
        </w:rPr>
        <w:t xml:space="preserve"> </w:t>
      </w:r>
      <w:r>
        <w:rPr>
          <w:rFonts w:ascii="Arial" w:hAnsi="Arial"/>
        </w:rPr>
        <w:t xml:space="preserve">وستجري مساندة آليات معالجة المظالم وتقديم الشكاوى والآراء التقييمية عبر جميع القطاعات من خلال جهود منسقة لتوسيع نطاق مشاركة المواطنين بناءً على الخبرات الناجحة في قطاعات مختارة مثل الحماية الاجتماعية والتنمية البلدية. </w:t>
      </w:r>
      <w:bookmarkStart w:id="44" w:name="_Toc496110891"/>
      <w:bookmarkEnd w:id="44"/>
    </w:p>
    <w:p w14:paraId="6FBD297E" w14:textId="77777777" w:rsidR="0038467F" w:rsidRDefault="0038467F" w:rsidP="005E6FCA">
      <w:pPr>
        <w:spacing w:after="0" w:line="240" w:lineRule="auto"/>
        <w:jc w:val="both"/>
        <w:rPr>
          <w:rFonts w:ascii="Times New Roman" w:eastAsia="Cambria" w:hAnsi="Times New Roman" w:cs="Times New Roman"/>
          <w:iCs/>
        </w:rPr>
      </w:pPr>
    </w:p>
    <w:p w14:paraId="46EDC7BA" w14:textId="77777777" w:rsidR="00CA013E" w:rsidRDefault="00CA013E" w:rsidP="00CA013E">
      <w:pPr>
        <w:spacing w:after="0" w:line="240" w:lineRule="auto"/>
        <w:jc w:val="center"/>
        <w:rPr>
          <w:rFonts w:ascii="Arial" w:eastAsia="Arial" w:hAnsi="Arial" w:cs="Arial"/>
          <w:iCs/>
        </w:rPr>
      </w:pPr>
      <w:r>
        <w:rPr>
          <w:rFonts w:ascii="Arial" w:hAnsi="Arial"/>
        </w:rPr>
        <w:t>الجدول 4. البرنامج الإيضاحي للصندوق الاستئماني لغزة والضفة الغربية التابع للبنك الدولي</w:t>
      </w:r>
    </w:p>
    <w:p w14:paraId="2B13F547" w14:textId="77777777" w:rsidR="00CA013E" w:rsidRDefault="00CA013E" w:rsidP="00CA013E">
      <w:pPr>
        <w:spacing w:after="0" w:line="240" w:lineRule="auto"/>
        <w:jc w:val="center"/>
        <w:rPr>
          <w:rFonts w:ascii="Times New Roman" w:eastAsia="Cambria" w:hAnsi="Times New Roman" w:cs="Times New Roman"/>
          <w:iCs/>
        </w:rPr>
      </w:pPr>
    </w:p>
    <w:tbl>
      <w:tblPr>
        <w:tblStyle w:val="TableGrid"/>
        <w:bidiVisual/>
        <w:tblW w:w="0" w:type="auto"/>
        <w:tblLook w:val="04A0" w:firstRow="1" w:lastRow="0" w:firstColumn="1" w:lastColumn="0" w:noHBand="0" w:noVBand="1"/>
      </w:tblPr>
      <w:tblGrid>
        <w:gridCol w:w="5755"/>
        <w:gridCol w:w="3595"/>
      </w:tblGrid>
      <w:tr w:rsidR="00CA013E" w14:paraId="455710B1" w14:textId="77777777">
        <w:tc>
          <w:tcPr>
            <w:tcW w:w="5755" w:type="dxa"/>
          </w:tcPr>
          <w:p w14:paraId="37B55BF1" w14:textId="77777777" w:rsidR="00CA013E" w:rsidRPr="00795E56" w:rsidRDefault="00795E56" w:rsidP="00795E56">
            <w:pPr>
              <w:jc w:val="center"/>
              <w:rPr>
                <w:rFonts w:ascii="Arial" w:eastAsia="Arial" w:hAnsi="Arial" w:cs="Arial"/>
                <w:b/>
                <w:iCs/>
              </w:rPr>
            </w:pPr>
            <w:r>
              <w:rPr>
                <w:rFonts w:ascii="Arial" w:hAnsi="Arial"/>
                <w:b/>
                <w:bCs/>
              </w:rPr>
              <w:t>المنح الممولة من الصندوق الاستئماني لغزة والضفة الغربية</w:t>
            </w:r>
          </w:p>
        </w:tc>
        <w:tc>
          <w:tcPr>
            <w:tcW w:w="3595" w:type="dxa"/>
          </w:tcPr>
          <w:p w14:paraId="4394FA67" w14:textId="77777777" w:rsidR="00CA013E" w:rsidRPr="00795E56" w:rsidRDefault="00CA013E" w:rsidP="00795E56">
            <w:pPr>
              <w:jc w:val="center"/>
              <w:rPr>
                <w:rFonts w:ascii="Arial" w:eastAsia="Arial" w:hAnsi="Arial" w:cs="Arial"/>
                <w:b/>
                <w:iCs/>
              </w:rPr>
            </w:pPr>
            <w:r>
              <w:rPr>
                <w:rFonts w:ascii="Arial" w:hAnsi="Arial"/>
                <w:b/>
                <w:bCs/>
              </w:rPr>
              <w:t xml:space="preserve">المبلغ (بملايين </w:t>
            </w:r>
            <w:r w:rsidR="00E6261F">
              <w:rPr>
                <w:rFonts w:ascii="Arial" w:hAnsi="Arial" w:hint="cs"/>
                <w:b/>
                <w:bCs/>
              </w:rPr>
              <w:t xml:space="preserve">الدولارات) </w:t>
            </w:r>
            <w:r w:rsidR="00E6261F">
              <w:rPr>
                <w:rFonts w:ascii="Arial" w:hAnsi="Arial"/>
                <w:b/>
                <w:bCs/>
              </w:rPr>
              <w:t>*</w:t>
            </w:r>
          </w:p>
        </w:tc>
      </w:tr>
      <w:tr w:rsidR="00CA013E" w14:paraId="7C8A274C" w14:textId="77777777">
        <w:tc>
          <w:tcPr>
            <w:tcW w:w="5755" w:type="dxa"/>
          </w:tcPr>
          <w:p w14:paraId="382836E2" w14:textId="77777777" w:rsidR="00CA013E" w:rsidRPr="00801BD8" w:rsidRDefault="00CA013E" w:rsidP="00CA013E">
            <w:pPr>
              <w:rPr>
                <w:rFonts w:ascii="Arial" w:eastAsia="Arial" w:hAnsi="Arial" w:cs="Arial"/>
                <w:b/>
                <w:iCs/>
              </w:rPr>
            </w:pPr>
            <w:r>
              <w:rPr>
                <w:rFonts w:ascii="Arial" w:hAnsi="Arial"/>
                <w:b/>
                <w:bCs/>
              </w:rPr>
              <w:t>الركيزة الأولى:</w:t>
            </w:r>
          </w:p>
        </w:tc>
        <w:tc>
          <w:tcPr>
            <w:tcW w:w="3595" w:type="dxa"/>
          </w:tcPr>
          <w:p w14:paraId="79CE5B1C" w14:textId="77777777" w:rsidR="00CA013E" w:rsidRDefault="00CA013E" w:rsidP="00CA013E">
            <w:pPr>
              <w:rPr>
                <w:rFonts w:ascii="Times New Roman" w:eastAsia="Cambria" w:hAnsi="Times New Roman" w:cs="Times New Roman"/>
                <w:iCs/>
              </w:rPr>
            </w:pPr>
          </w:p>
        </w:tc>
      </w:tr>
      <w:tr w:rsidR="00CA013E" w14:paraId="1C9FC5AD" w14:textId="77777777">
        <w:tc>
          <w:tcPr>
            <w:tcW w:w="5755" w:type="dxa"/>
          </w:tcPr>
          <w:p w14:paraId="5B127EA0" w14:textId="77777777" w:rsidR="00CA013E" w:rsidRDefault="00CA013E" w:rsidP="00CA013E">
            <w:pPr>
              <w:rPr>
                <w:rFonts w:ascii="Arial" w:eastAsia="Arial" w:hAnsi="Arial" w:cs="Arial"/>
                <w:iCs/>
              </w:rPr>
            </w:pPr>
            <w:r>
              <w:rPr>
                <w:rFonts w:ascii="Arial" w:hAnsi="Arial"/>
              </w:rPr>
              <w:t xml:space="preserve">منحة السياسات لتحقيق استقرار المالية العامة وتهيئة بيئة أنشطة الأعمال </w:t>
            </w:r>
          </w:p>
        </w:tc>
        <w:tc>
          <w:tcPr>
            <w:tcW w:w="3595" w:type="dxa"/>
          </w:tcPr>
          <w:p w14:paraId="6F90AF3E" w14:textId="77777777" w:rsidR="00CA013E" w:rsidRDefault="00CA013E" w:rsidP="00795E56">
            <w:pPr>
              <w:jc w:val="center"/>
              <w:rPr>
                <w:rFonts w:ascii="Arial" w:eastAsia="Arial" w:hAnsi="Arial" w:cs="Arial"/>
                <w:iCs/>
              </w:rPr>
            </w:pPr>
            <w:r>
              <w:rPr>
                <w:rFonts w:ascii="Arial" w:hAnsi="Arial"/>
              </w:rPr>
              <w:t>30</w:t>
            </w:r>
          </w:p>
        </w:tc>
      </w:tr>
      <w:tr w:rsidR="00CA013E" w14:paraId="7CB022EC" w14:textId="77777777">
        <w:tc>
          <w:tcPr>
            <w:tcW w:w="5755" w:type="dxa"/>
          </w:tcPr>
          <w:p w14:paraId="386F43E8" w14:textId="77777777" w:rsidR="00CA013E" w:rsidRDefault="00801BD8" w:rsidP="00CA013E">
            <w:pPr>
              <w:rPr>
                <w:rFonts w:ascii="Arial" w:eastAsia="Arial" w:hAnsi="Arial" w:cs="Arial"/>
                <w:iCs/>
              </w:rPr>
            </w:pPr>
            <w:r>
              <w:rPr>
                <w:rFonts w:ascii="Arial" w:hAnsi="Arial"/>
              </w:rPr>
              <w:t>تحسين الإدارة المالية العامة</w:t>
            </w:r>
          </w:p>
        </w:tc>
        <w:tc>
          <w:tcPr>
            <w:tcW w:w="3595" w:type="dxa"/>
          </w:tcPr>
          <w:p w14:paraId="1F8CEEC1" w14:textId="77777777" w:rsidR="00CA013E" w:rsidRDefault="00801BD8" w:rsidP="00795E56">
            <w:pPr>
              <w:jc w:val="center"/>
              <w:rPr>
                <w:rFonts w:ascii="Arial" w:eastAsia="Arial" w:hAnsi="Arial" w:cs="Arial"/>
                <w:iCs/>
              </w:rPr>
            </w:pPr>
            <w:r>
              <w:rPr>
                <w:rFonts w:ascii="Arial" w:hAnsi="Arial"/>
              </w:rPr>
              <w:t>3</w:t>
            </w:r>
          </w:p>
        </w:tc>
      </w:tr>
      <w:tr w:rsidR="00801BD8" w14:paraId="010063A5" w14:textId="77777777">
        <w:tc>
          <w:tcPr>
            <w:tcW w:w="5755" w:type="dxa"/>
          </w:tcPr>
          <w:p w14:paraId="0C38BC83" w14:textId="77777777" w:rsidR="00801BD8" w:rsidRDefault="00801BD8" w:rsidP="00CA013E">
            <w:pPr>
              <w:rPr>
                <w:rFonts w:ascii="Arial" w:eastAsia="Arial" w:hAnsi="Arial" w:cs="Arial"/>
                <w:iCs/>
              </w:rPr>
            </w:pPr>
            <w:r>
              <w:rPr>
                <w:rFonts w:ascii="Arial" w:hAnsi="Arial"/>
              </w:rPr>
              <w:t>التنمية المبتكرة للقطاع الخاص</w:t>
            </w:r>
          </w:p>
        </w:tc>
        <w:tc>
          <w:tcPr>
            <w:tcW w:w="3595" w:type="dxa"/>
          </w:tcPr>
          <w:p w14:paraId="77A49BF8" w14:textId="77777777" w:rsidR="00801BD8" w:rsidRDefault="00AB5A8B" w:rsidP="00795E56">
            <w:pPr>
              <w:jc w:val="center"/>
              <w:rPr>
                <w:rFonts w:ascii="Arial" w:eastAsia="Arial" w:hAnsi="Arial" w:cs="Arial"/>
                <w:iCs/>
              </w:rPr>
            </w:pPr>
            <w:r>
              <w:rPr>
                <w:rFonts w:ascii="Arial" w:hAnsi="Arial"/>
              </w:rPr>
              <w:t>6</w:t>
            </w:r>
          </w:p>
        </w:tc>
      </w:tr>
      <w:tr w:rsidR="00801BD8" w14:paraId="66FD4EC4" w14:textId="77777777">
        <w:tc>
          <w:tcPr>
            <w:tcW w:w="5755" w:type="dxa"/>
          </w:tcPr>
          <w:p w14:paraId="06FB6FCF" w14:textId="77777777" w:rsidR="00801BD8" w:rsidRPr="00801BD8" w:rsidRDefault="00801BD8" w:rsidP="00CA013E">
            <w:pPr>
              <w:rPr>
                <w:rFonts w:ascii="Arial" w:eastAsia="Arial" w:hAnsi="Arial" w:cs="Arial"/>
                <w:b/>
                <w:iCs/>
              </w:rPr>
            </w:pPr>
            <w:r>
              <w:rPr>
                <w:rFonts w:ascii="Arial" w:hAnsi="Arial"/>
                <w:b/>
                <w:bCs/>
              </w:rPr>
              <w:t>الركيزة الثانية:</w:t>
            </w:r>
          </w:p>
        </w:tc>
        <w:tc>
          <w:tcPr>
            <w:tcW w:w="3595" w:type="dxa"/>
          </w:tcPr>
          <w:p w14:paraId="76FD1AE2" w14:textId="77777777" w:rsidR="00801BD8" w:rsidRDefault="00801BD8" w:rsidP="00795E56">
            <w:pPr>
              <w:jc w:val="center"/>
              <w:rPr>
                <w:rFonts w:ascii="Times New Roman" w:eastAsia="Cambria" w:hAnsi="Times New Roman" w:cs="Times New Roman"/>
                <w:iCs/>
              </w:rPr>
            </w:pPr>
          </w:p>
        </w:tc>
      </w:tr>
      <w:tr w:rsidR="00801BD8" w14:paraId="39F3EFCE" w14:textId="77777777">
        <w:tc>
          <w:tcPr>
            <w:tcW w:w="5755" w:type="dxa"/>
          </w:tcPr>
          <w:p w14:paraId="1EC3A4C6" w14:textId="77777777" w:rsidR="00801BD8" w:rsidRDefault="000768FF" w:rsidP="00CA013E">
            <w:pPr>
              <w:rPr>
                <w:rFonts w:ascii="Arial" w:eastAsia="Arial" w:hAnsi="Arial" w:cs="Arial"/>
                <w:iCs/>
              </w:rPr>
            </w:pPr>
            <w:r>
              <w:rPr>
                <w:rFonts w:ascii="Arial" w:hAnsi="Arial"/>
              </w:rPr>
              <w:t>صندوق تعزيز القطاع الخاص</w:t>
            </w:r>
          </w:p>
        </w:tc>
        <w:tc>
          <w:tcPr>
            <w:tcW w:w="3595" w:type="dxa"/>
          </w:tcPr>
          <w:p w14:paraId="5295052A" w14:textId="77777777" w:rsidR="00801BD8" w:rsidRDefault="000768FF" w:rsidP="00795E56">
            <w:pPr>
              <w:jc w:val="center"/>
              <w:rPr>
                <w:rFonts w:ascii="Arial" w:eastAsia="Arial" w:hAnsi="Arial" w:cs="Arial"/>
                <w:iCs/>
              </w:rPr>
            </w:pPr>
            <w:r>
              <w:rPr>
                <w:rFonts w:ascii="Arial" w:hAnsi="Arial"/>
              </w:rPr>
              <w:t>20</w:t>
            </w:r>
          </w:p>
        </w:tc>
      </w:tr>
      <w:tr w:rsidR="00801BD8" w14:paraId="7DC5410D" w14:textId="77777777">
        <w:tc>
          <w:tcPr>
            <w:tcW w:w="5755" w:type="dxa"/>
          </w:tcPr>
          <w:p w14:paraId="5E43799E" w14:textId="77777777" w:rsidR="00801BD8" w:rsidRPr="00801BD8" w:rsidRDefault="00801BD8" w:rsidP="00CA013E">
            <w:pPr>
              <w:rPr>
                <w:rFonts w:ascii="Arial" w:eastAsia="Arial" w:hAnsi="Arial" w:cs="Arial"/>
                <w:b/>
                <w:iCs/>
              </w:rPr>
            </w:pPr>
            <w:r>
              <w:rPr>
                <w:rFonts w:ascii="Arial" w:hAnsi="Arial"/>
                <w:b/>
                <w:bCs/>
              </w:rPr>
              <w:lastRenderedPageBreak/>
              <w:t>الركيزة الثالثة:</w:t>
            </w:r>
          </w:p>
        </w:tc>
        <w:tc>
          <w:tcPr>
            <w:tcW w:w="3595" w:type="dxa"/>
          </w:tcPr>
          <w:p w14:paraId="5D9D7CB0" w14:textId="77777777" w:rsidR="00801BD8" w:rsidRDefault="00801BD8" w:rsidP="00795E56">
            <w:pPr>
              <w:jc w:val="center"/>
              <w:rPr>
                <w:rFonts w:ascii="Times New Roman" w:eastAsia="Cambria" w:hAnsi="Times New Roman" w:cs="Times New Roman"/>
                <w:iCs/>
              </w:rPr>
            </w:pPr>
          </w:p>
        </w:tc>
      </w:tr>
      <w:tr w:rsidR="00801BD8" w14:paraId="70CB3395" w14:textId="77777777">
        <w:tc>
          <w:tcPr>
            <w:tcW w:w="5755" w:type="dxa"/>
          </w:tcPr>
          <w:p w14:paraId="135D9D1E" w14:textId="77777777" w:rsidR="00801BD8" w:rsidRDefault="000F33B5" w:rsidP="00CA013E">
            <w:pPr>
              <w:rPr>
                <w:rFonts w:ascii="Arial" w:eastAsia="Arial" w:hAnsi="Arial" w:cs="Arial"/>
                <w:iCs/>
              </w:rPr>
            </w:pPr>
            <w:r>
              <w:rPr>
                <w:rFonts w:ascii="Arial" w:hAnsi="Arial"/>
              </w:rPr>
              <w:t>تعزيز المؤسسات لأغراض الشفافية/المساءلة، على سبيل المثال، في قطاع المياه</w:t>
            </w:r>
          </w:p>
        </w:tc>
        <w:tc>
          <w:tcPr>
            <w:tcW w:w="3595" w:type="dxa"/>
          </w:tcPr>
          <w:p w14:paraId="09613216" w14:textId="77777777" w:rsidR="00801BD8" w:rsidRDefault="00AB5A8B" w:rsidP="00795E56">
            <w:pPr>
              <w:jc w:val="center"/>
              <w:rPr>
                <w:rFonts w:ascii="Arial" w:eastAsia="Arial" w:hAnsi="Arial" w:cs="Arial"/>
                <w:iCs/>
              </w:rPr>
            </w:pPr>
            <w:r>
              <w:rPr>
                <w:rFonts w:ascii="Arial" w:hAnsi="Arial"/>
              </w:rPr>
              <w:t>7</w:t>
            </w:r>
          </w:p>
        </w:tc>
      </w:tr>
    </w:tbl>
    <w:p w14:paraId="3E86C0CF" w14:textId="77777777" w:rsidR="00CA013E" w:rsidRPr="00AB5A8B" w:rsidRDefault="000C64F1" w:rsidP="000C64F1">
      <w:pPr>
        <w:spacing w:after="0" w:line="240" w:lineRule="auto"/>
        <w:jc w:val="both"/>
        <w:rPr>
          <w:rFonts w:ascii="Arial" w:eastAsia="Arial" w:hAnsi="Arial" w:cs="Arial"/>
          <w:iCs/>
          <w:sz w:val="20"/>
          <w:szCs w:val="20"/>
        </w:rPr>
      </w:pPr>
      <w:r>
        <w:rPr>
          <w:rFonts w:ascii="Arial" w:hAnsi="Arial"/>
          <w:sz w:val="20"/>
          <w:szCs w:val="20"/>
        </w:rPr>
        <w:t>*</w:t>
      </w:r>
      <w:r w:rsidR="00644EF7">
        <w:rPr>
          <w:rFonts w:ascii="Arial" w:hAnsi="Arial" w:hint="cs"/>
          <w:sz w:val="20"/>
          <w:szCs w:val="20"/>
        </w:rPr>
        <w:t>توضح</w:t>
      </w:r>
      <w:r>
        <w:rPr>
          <w:rFonts w:ascii="Arial" w:hAnsi="Arial"/>
          <w:sz w:val="20"/>
          <w:szCs w:val="20"/>
        </w:rPr>
        <w:t xml:space="preserve"> المخصصات المشروعات التي قيد الإعداد التي يتم تمويلها جزئيًا من خلال الصندوق الاستئماني لغزة والضفة الغربية ويجوز تدعيم بعضها من خلال مخصصات من الصندوق الاستئماني متعدد المانحين للشراكة من أجل البنية التحتية الذي يديره البنك الدولي.</w:t>
      </w:r>
      <w:r w:rsidR="00022F13">
        <w:rPr>
          <w:rFonts w:ascii="Arial" w:hAnsi="Arial"/>
          <w:sz w:val="20"/>
          <w:szCs w:val="20"/>
        </w:rPr>
        <w:t xml:space="preserve"> </w:t>
      </w:r>
    </w:p>
    <w:p w14:paraId="529F8B68" w14:textId="77777777" w:rsidR="00CA013E" w:rsidRPr="005E6FCA" w:rsidRDefault="00CA013E" w:rsidP="005E6FCA">
      <w:pPr>
        <w:spacing w:after="0" w:line="240" w:lineRule="auto"/>
        <w:jc w:val="both"/>
        <w:rPr>
          <w:rFonts w:ascii="Times New Roman" w:eastAsia="Cambria" w:hAnsi="Times New Roman" w:cs="Times New Roman"/>
          <w:iCs/>
        </w:rPr>
      </w:pPr>
    </w:p>
    <w:p w14:paraId="4DB3F630" w14:textId="77777777" w:rsidR="005E6FCA" w:rsidRPr="00932D71" w:rsidRDefault="00932D71" w:rsidP="00932D71">
      <w:pPr>
        <w:pStyle w:val="Heading2"/>
        <w:spacing w:before="0"/>
        <w:ind w:left="360"/>
        <w:rPr>
          <w:rFonts w:eastAsia="Arial"/>
          <w:b w:val="0"/>
          <w:bCs/>
        </w:rPr>
      </w:pPr>
      <w:bookmarkStart w:id="45" w:name="_Toc498096414"/>
      <w:bookmarkStart w:id="46" w:name="_Toc500240973"/>
      <w:r w:rsidRPr="00932D71">
        <w:rPr>
          <w:rFonts w:hint="cs"/>
          <w:b w:val="0"/>
          <w:bCs/>
        </w:rPr>
        <w:t xml:space="preserve">زاي. </w:t>
      </w:r>
      <w:r w:rsidR="4F88A954" w:rsidRPr="00932D71">
        <w:rPr>
          <w:b w:val="0"/>
          <w:bCs/>
        </w:rPr>
        <w:t>الاتصال والتواصل</w:t>
      </w:r>
      <w:bookmarkEnd w:id="45"/>
      <w:bookmarkEnd w:id="46"/>
    </w:p>
    <w:p w14:paraId="0BF86E60" w14:textId="77777777" w:rsidR="005E6FCA" w:rsidRPr="00B35E94" w:rsidRDefault="005E6FCA" w:rsidP="00DA0BF8">
      <w:pPr>
        <w:pStyle w:val="ListParagraph"/>
        <w:spacing w:after="0" w:line="240" w:lineRule="auto"/>
        <w:ind w:left="0"/>
        <w:jc w:val="both"/>
        <w:rPr>
          <w:rFonts w:ascii="Times New Roman" w:eastAsia="Cambria" w:hAnsi="Times New Roman" w:cs="Times New Roman"/>
          <w:iCs/>
        </w:rPr>
      </w:pPr>
    </w:p>
    <w:p w14:paraId="54AF11AB" w14:textId="77777777" w:rsidR="005E6FCA" w:rsidRPr="005E6FCA" w:rsidRDefault="4F88A954" w:rsidP="00BF4BE3">
      <w:pPr>
        <w:pStyle w:val="ListParagraph"/>
        <w:numPr>
          <w:ilvl w:val="0"/>
          <w:numId w:val="6"/>
        </w:numPr>
        <w:spacing w:after="0" w:line="240" w:lineRule="auto"/>
        <w:jc w:val="both"/>
        <w:rPr>
          <w:rFonts w:ascii="Arial" w:eastAsia="Arial" w:hAnsi="Arial" w:cs="Arial"/>
        </w:rPr>
      </w:pPr>
      <w:r>
        <w:rPr>
          <w:rFonts w:ascii="Arial" w:hAnsi="Arial"/>
          <w:b/>
          <w:bCs/>
        </w:rPr>
        <w:t>ستساند مجموعة البنك الدولي التفاعل بين أصحاب المصلحة محل هذا التركيز المتزايد على القطاع الخاص.</w:t>
      </w:r>
      <w:r w:rsidR="00022F13">
        <w:rPr>
          <w:rFonts w:ascii="Arial" w:hAnsi="Arial"/>
          <w:b/>
          <w:bCs/>
        </w:rPr>
        <w:t xml:space="preserve"> </w:t>
      </w:r>
      <w:r>
        <w:t>وقد أظهرت المناقشات التي جرت مؤخرًا بشأن الاستثمارات الخاصة والتمويل التجاري في قطاع الطاقة أهمية تعزيز الحوار بين المشاركين من القطاع الخاص والسلطة الفلسطينية.</w:t>
      </w:r>
      <w:r w:rsidR="00022F13">
        <w:t xml:space="preserve"> </w:t>
      </w:r>
      <w:r>
        <w:rPr>
          <w:rFonts w:ascii="Arial" w:hAnsi="Arial"/>
        </w:rPr>
        <w:t>وهناك منتدى لحوار أنشطة الأعمال مع السلطة الفلسطينية وممثلي القطاع الخاص المحلي في مراحل التخطيط.</w:t>
      </w:r>
      <w:r w:rsidR="00022F13">
        <w:rPr>
          <w:rFonts w:ascii="Arial" w:hAnsi="Arial"/>
        </w:rPr>
        <w:t xml:space="preserve"> </w:t>
      </w:r>
      <w:r>
        <w:rPr>
          <w:rFonts w:ascii="Arial" w:hAnsi="Arial"/>
        </w:rPr>
        <w:t>وسيتضمن هذا المنتدى أمثلة عن أفضل الممارسات من بلدان أخرى.</w:t>
      </w:r>
      <w:r w:rsidR="00022F13">
        <w:rPr>
          <w:rFonts w:ascii="Arial" w:hAnsi="Arial"/>
        </w:rPr>
        <w:t xml:space="preserve"> </w:t>
      </w:r>
      <w:r>
        <w:rPr>
          <w:rFonts w:ascii="Arial" w:hAnsi="Arial"/>
        </w:rPr>
        <w:t>وستساعد جهود الاتصال والتواصل على نشر التقدم المحرز في الإصلاحات القطاعية الجارية، والتي ستعمل أيضًا على زيادة الوعي بين المستثمرين بفرص الاستثمارات الجديدة.</w:t>
      </w:r>
      <w:r w:rsidR="00022F13">
        <w:rPr>
          <w:rFonts w:ascii="Arial" w:hAnsi="Arial"/>
        </w:rPr>
        <w:t xml:space="preserve"> </w:t>
      </w:r>
      <w:r>
        <w:rPr>
          <w:rFonts w:ascii="Arial" w:hAnsi="Arial"/>
        </w:rPr>
        <w:t>وسيساند البنك الدولي المناقشات الفنية بين النظراء الفلسطينيين والإسرائيليين في مجالات مثل تسرب موارد المالية العامة، والكهرباء، وإمدادات المياه ومعالجة المياه، وإدارة المخلفات، وإيجاد فرص عمل لإبراز التحديات الماثلة.</w:t>
      </w:r>
      <w:r w:rsidR="00022F13">
        <w:rPr>
          <w:rFonts w:ascii="Arial" w:hAnsi="Arial"/>
        </w:rPr>
        <w:t xml:space="preserve"> </w:t>
      </w:r>
      <w:r>
        <w:rPr>
          <w:rFonts w:ascii="Arial" w:hAnsi="Arial"/>
        </w:rPr>
        <w:t>ويجري حاليًا إعداد وتجهيز منبر لرواد الأعمال المحليين لربطهم بعناصر حاضنات الأعمال وتسريع وتيرتها في إسرائيل</w:t>
      </w:r>
      <w:r w:rsidR="002455AD">
        <w:rPr>
          <w:rFonts w:ascii="Arial" w:eastAsia="Arial" w:hAnsi="Arial" w:cs="Arial" w:hint="cs"/>
        </w:rPr>
        <w:t>.</w:t>
      </w:r>
    </w:p>
    <w:p w14:paraId="5B45C12F" w14:textId="77777777" w:rsidR="005E6FCA" w:rsidRPr="005E6FCA" w:rsidRDefault="005E6FCA" w:rsidP="005E6FCA">
      <w:pPr>
        <w:pStyle w:val="ListParagraph"/>
        <w:spacing w:after="0" w:line="240" w:lineRule="auto"/>
        <w:ind w:left="0"/>
        <w:jc w:val="both"/>
        <w:rPr>
          <w:rFonts w:ascii="Times New Roman" w:eastAsia="Cambria" w:hAnsi="Times New Roman" w:cs="Times New Roman"/>
          <w:iCs/>
        </w:rPr>
      </w:pPr>
    </w:p>
    <w:p w14:paraId="1E110FC7" w14:textId="77777777" w:rsidR="005E6FCA" w:rsidRPr="00EB5A79" w:rsidRDefault="4F88A954" w:rsidP="002455AD">
      <w:pPr>
        <w:pStyle w:val="ListParagraph"/>
        <w:numPr>
          <w:ilvl w:val="0"/>
          <w:numId w:val="6"/>
        </w:numPr>
        <w:spacing w:after="0" w:line="240" w:lineRule="auto"/>
        <w:jc w:val="both"/>
        <w:rPr>
          <w:rFonts w:ascii="Arial" w:hAnsi="Arial" w:cs="Arial"/>
          <w:b/>
          <w:bCs/>
        </w:rPr>
      </w:pPr>
      <w:r>
        <w:rPr>
          <w:rFonts w:ascii="Arial" w:hAnsi="Arial"/>
          <w:b/>
          <w:bCs/>
        </w:rPr>
        <w:t>ستقوم مجموعة البنك الدولي بإشراك أطراف مناظرة في السلطة الفلسطينية ولدى شركاء التنمية في جميع مراحل إعداد هذه المنتجات الكبرى.</w:t>
      </w:r>
      <w:r w:rsidR="00022F13">
        <w:rPr>
          <w:rFonts w:ascii="Arial" w:hAnsi="Arial"/>
          <w:b/>
          <w:bCs/>
        </w:rPr>
        <w:t xml:space="preserve"> </w:t>
      </w:r>
      <w:r>
        <w:rPr>
          <w:rFonts w:ascii="Arial" w:hAnsi="Arial"/>
        </w:rPr>
        <w:t>وستساعد القنوات المتعددة في الوصول إلى أصحاب المصلحة والنفوذ والتواصل معهم، وتنظيم المشاورات، ولقاءات مجموعات النقاش المركز، والمشاركة الإعلامية، والتحليل السياسي، والتبادل المنهجي للمعلومات، وزيادة استخدام وسائل التواصل الاجتماعي والإنترنت.</w:t>
      </w:r>
      <w:r w:rsidR="00022F13">
        <w:rPr>
          <w:rFonts w:ascii="Arial" w:hAnsi="Arial"/>
        </w:rPr>
        <w:t xml:space="preserve"> </w:t>
      </w:r>
      <w:r>
        <w:rPr>
          <w:rFonts w:ascii="Arial" w:hAnsi="Arial"/>
        </w:rPr>
        <w:t>وتعتبر وسائل الإعلام والمجتمع المدني من القنوات الرئيسية لتشجيع النقاش العام ونشر العمل التحليلي المستند إلى أدلة وشواهد.</w:t>
      </w:r>
      <w:r w:rsidR="00022F13">
        <w:rPr>
          <w:rFonts w:ascii="Arial" w:hAnsi="Arial"/>
        </w:rPr>
        <w:t xml:space="preserve"> </w:t>
      </w:r>
      <w:r>
        <w:rPr>
          <w:rFonts w:ascii="Arial" w:hAnsi="Arial"/>
        </w:rPr>
        <w:t xml:space="preserve">وتم عقد مشاورات حول </w:t>
      </w:r>
      <w:r w:rsidR="002455AD">
        <w:rPr>
          <w:rFonts w:ascii="Arial" w:hAnsi="Arial" w:hint="cs"/>
        </w:rPr>
        <w:t>إ</w:t>
      </w:r>
      <w:r w:rsidR="002455AD">
        <w:rPr>
          <w:rFonts w:ascii="Arial" w:hAnsi="Arial"/>
        </w:rPr>
        <w:t xml:space="preserve">ستراتيجية </w:t>
      </w:r>
      <w:r>
        <w:rPr>
          <w:rFonts w:ascii="Arial" w:hAnsi="Arial"/>
        </w:rPr>
        <w:t>المساعدة المقترحة في الفترة ما بين فبراير/شباط وسبتمبر/أيلول 2017 في منتديات عديدة مع السلطة الفلسطينية وشركاء التنمية والمجتمع المدني وممثلي القطاع الخاص.</w:t>
      </w:r>
      <w:r w:rsidR="00022F13">
        <w:rPr>
          <w:rFonts w:ascii="Arial" w:hAnsi="Arial"/>
        </w:rPr>
        <w:t xml:space="preserve"> </w:t>
      </w:r>
      <w:r>
        <w:rPr>
          <w:rFonts w:ascii="Arial" w:hAnsi="Arial"/>
        </w:rPr>
        <w:t xml:space="preserve">وأثناء هذه المشاورات، حظيت </w:t>
      </w:r>
      <w:r w:rsidR="002455AD">
        <w:rPr>
          <w:rFonts w:ascii="Arial" w:hAnsi="Arial" w:hint="cs"/>
        </w:rPr>
        <w:t>إ</w:t>
      </w:r>
      <w:r w:rsidR="002455AD">
        <w:rPr>
          <w:rFonts w:ascii="Arial" w:hAnsi="Arial"/>
        </w:rPr>
        <w:t xml:space="preserve">ستراتيجية </w:t>
      </w:r>
      <w:r>
        <w:rPr>
          <w:rFonts w:ascii="Arial" w:hAnsi="Arial"/>
        </w:rPr>
        <w:t xml:space="preserve">المساعدة المقترحة بتأييد واسع النطاق. </w:t>
      </w:r>
    </w:p>
    <w:p w14:paraId="0F9707C2" w14:textId="77777777" w:rsidR="00C462A1" w:rsidRPr="00EB5A79" w:rsidRDefault="00C462A1" w:rsidP="00EB5A79">
      <w:pPr>
        <w:spacing w:after="0"/>
        <w:rPr>
          <w:rFonts w:ascii="Times New Roman" w:hAnsi="Times New Roman" w:cs="Times New Roman"/>
          <w:b/>
          <w:bCs/>
        </w:rPr>
      </w:pPr>
    </w:p>
    <w:p w14:paraId="30115560" w14:textId="77777777" w:rsidR="005E6FCA" w:rsidRPr="00932D71" w:rsidRDefault="00932D71" w:rsidP="00932D71">
      <w:pPr>
        <w:pStyle w:val="Heading2"/>
        <w:spacing w:before="0" w:line="240" w:lineRule="auto"/>
        <w:ind w:left="360"/>
        <w:rPr>
          <w:rFonts w:eastAsia="Arial"/>
          <w:b w:val="0"/>
          <w:bCs/>
        </w:rPr>
      </w:pPr>
      <w:bookmarkStart w:id="47" w:name="_Toc498096415"/>
      <w:bookmarkStart w:id="48" w:name="_Toc500240974"/>
      <w:r w:rsidRPr="00932D71">
        <w:rPr>
          <w:rFonts w:hint="cs"/>
          <w:b w:val="0"/>
          <w:bCs/>
        </w:rPr>
        <w:t xml:space="preserve">حاء. </w:t>
      </w:r>
      <w:r w:rsidR="4F88A954" w:rsidRPr="00932D71">
        <w:rPr>
          <w:b w:val="0"/>
          <w:bCs/>
        </w:rPr>
        <w:t>المخاطر وإجراءات تخفيفها</w:t>
      </w:r>
      <w:bookmarkEnd w:id="47"/>
      <w:bookmarkEnd w:id="48"/>
    </w:p>
    <w:p w14:paraId="24050AAF" w14:textId="77777777" w:rsidR="005E6FCA" w:rsidRPr="00CF2133" w:rsidRDefault="005E6FCA" w:rsidP="00EB5A79">
      <w:pPr>
        <w:pStyle w:val="ListParagraph"/>
        <w:spacing w:after="0"/>
        <w:rPr>
          <w:rFonts w:ascii="Times New Roman" w:hAnsi="Times New Roman" w:cs="Times New Roman"/>
          <w:b/>
          <w:iCs/>
        </w:rPr>
      </w:pPr>
    </w:p>
    <w:p w14:paraId="7077A800" w14:textId="77777777" w:rsidR="00CF2133" w:rsidRPr="00E22A49" w:rsidRDefault="4F88A954" w:rsidP="002455AD">
      <w:pPr>
        <w:pStyle w:val="ListParagraph"/>
        <w:numPr>
          <w:ilvl w:val="0"/>
          <w:numId w:val="6"/>
        </w:numPr>
        <w:spacing w:after="0" w:line="240" w:lineRule="auto"/>
        <w:jc w:val="both"/>
        <w:rPr>
          <w:rFonts w:ascii="Arial" w:eastAsia="Arial" w:hAnsi="Arial" w:cs="Arial"/>
        </w:rPr>
      </w:pPr>
      <w:r>
        <w:t xml:space="preserve">تمثل </w:t>
      </w:r>
      <w:r w:rsidR="002455AD">
        <w:t>ال</w:t>
      </w:r>
      <w:r w:rsidR="002455AD">
        <w:rPr>
          <w:rFonts w:hint="cs"/>
        </w:rPr>
        <w:t>إ</w:t>
      </w:r>
      <w:r w:rsidR="002455AD">
        <w:t xml:space="preserve">ستراتيجية </w:t>
      </w:r>
      <w:r>
        <w:t xml:space="preserve">المقترحة تحولًا جوهريًا في الاهتمام وتخصيص الموارد للقطاع </w:t>
      </w:r>
      <w:r w:rsidR="00932D71">
        <w:rPr>
          <w:rFonts w:hint="cs"/>
        </w:rPr>
        <w:t>الخاص،</w:t>
      </w:r>
      <w:r>
        <w:t xml:space="preserve"> وقد يواجه هذا التحول مقاومة من أصحاب مصلحة محددين، من بينهم أطراف من السلطة الفلسطينية.</w:t>
      </w:r>
      <w:r w:rsidR="00022F13">
        <w:t xml:space="preserve"> </w:t>
      </w:r>
      <w:r>
        <w:rPr>
          <w:rFonts w:ascii="Arial" w:hAnsi="Arial"/>
        </w:rPr>
        <w:t xml:space="preserve">ومن الأهمية بمكان إجراء مشاورات وثيقة بشأن تصميم هذه </w:t>
      </w:r>
      <w:r w:rsidR="002455AD">
        <w:rPr>
          <w:rFonts w:ascii="Arial" w:hAnsi="Arial"/>
        </w:rPr>
        <w:t>ال</w:t>
      </w:r>
      <w:r w:rsidR="002455AD">
        <w:rPr>
          <w:rFonts w:ascii="Arial" w:hAnsi="Arial" w:hint="cs"/>
        </w:rPr>
        <w:t>إ</w:t>
      </w:r>
      <w:r w:rsidR="002455AD">
        <w:rPr>
          <w:rFonts w:ascii="Arial" w:hAnsi="Arial"/>
        </w:rPr>
        <w:t xml:space="preserve">ستراتيجية </w:t>
      </w:r>
      <w:r>
        <w:rPr>
          <w:rFonts w:ascii="Arial" w:hAnsi="Arial"/>
        </w:rPr>
        <w:t xml:space="preserve">وخلال تنفيذها للتخفيف من هذه المخاطر. </w:t>
      </w:r>
    </w:p>
    <w:p w14:paraId="3974EC54" w14:textId="77777777" w:rsidR="00E22A49" w:rsidRDefault="00E22A49" w:rsidP="00E22A49">
      <w:pPr>
        <w:spacing w:after="0" w:line="240" w:lineRule="auto"/>
        <w:jc w:val="both"/>
        <w:rPr>
          <w:rFonts w:ascii="Times New Roman" w:eastAsia="Cambria" w:hAnsi="Times New Roman" w:cs="Times New Roman"/>
        </w:rPr>
      </w:pPr>
    </w:p>
    <w:p w14:paraId="559B34BF" w14:textId="77777777" w:rsidR="00E22A49" w:rsidRPr="00E22A49" w:rsidRDefault="00E22A49" w:rsidP="00E22A49">
      <w:pPr>
        <w:spacing w:after="0" w:line="240" w:lineRule="auto"/>
        <w:jc w:val="center"/>
        <w:rPr>
          <w:rFonts w:ascii="Arial" w:eastAsia="Arial" w:hAnsi="Arial" w:cs="Arial"/>
        </w:rPr>
      </w:pPr>
      <w:r>
        <w:rPr>
          <w:rFonts w:ascii="Arial" w:hAnsi="Arial"/>
        </w:rPr>
        <w:t>الجدول 5.</w:t>
      </w:r>
      <w:r w:rsidR="00022F13">
        <w:rPr>
          <w:rFonts w:ascii="Arial" w:hAnsi="Arial"/>
        </w:rPr>
        <w:t xml:space="preserve"> </w:t>
      </w:r>
      <w:r>
        <w:rPr>
          <w:rFonts w:ascii="Arial" w:hAnsi="Arial"/>
        </w:rPr>
        <w:t>تصنيف المخاطر</w:t>
      </w:r>
    </w:p>
    <w:p w14:paraId="3E43623F" w14:textId="77777777" w:rsidR="00806FBD" w:rsidRPr="000E326F" w:rsidRDefault="00806FBD" w:rsidP="00806FBD">
      <w:pPr>
        <w:pStyle w:val="ListParagraph"/>
        <w:spacing w:after="0" w:line="240" w:lineRule="auto"/>
        <w:rPr>
          <w:rFonts w:cstheme="minorHAnsi"/>
        </w:rPr>
      </w:pPr>
    </w:p>
    <w:tbl>
      <w:tblPr>
        <w:bidiVisual/>
        <w:tblW w:w="0" w:type="auto"/>
        <w:tblInd w:w="535" w:type="dxa"/>
        <w:tblLayout w:type="fixed"/>
        <w:tblCellMar>
          <w:left w:w="0" w:type="dxa"/>
          <w:right w:w="0" w:type="dxa"/>
        </w:tblCellMar>
        <w:tblLook w:val="0000" w:firstRow="0" w:lastRow="0" w:firstColumn="0" w:lastColumn="0" w:noHBand="0" w:noVBand="0"/>
      </w:tblPr>
      <w:tblGrid>
        <w:gridCol w:w="6390"/>
        <w:gridCol w:w="2070"/>
      </w:tblGrid>
      <w:tr w:rsidR="00806FBD" w:rsidRPr="000E326F" w14:paraId="1A1A5B52"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3A1CE314" w14:textId="77777777" w:rsidR="00806FBD" w:rsidRPr="00806FBD" w:rsidRDefault="00806FBD" w:rsidP="00C9565F">
            <w:pPr>
              <w:widowControl w:val="0"/>
              <w:autoSpaceDE w:val="0"/>
              <w:autoSpaceDN w:val="0"/>
              <w:adjustRightInd w:val="0"/>
              <w:spacing w:after="0" w:line="240" w:lineRule="auto"/>
              <w:ind w:right="-20" w:firstLine="88"/>
              <w:rPr>
                <w:rFonts w:ascii="Arial" w:hAnsi="Arial" w:cs="Arial"/>
              </w:rPr>
            </w:pPr>
            <w:r>
              <w:rPr>
                <w:rFonts w:ascii="Arial" w:hAnsi="Arial"/>
                <w:b/>
                <w:bCs/>
                <w:spacing w:val="-1"/>
              </w:rPr>
              <w:t>فئات المخاطر</w:t>
            </w:r>
          </w:p>
        </w:tc>
        <w:tc>
          <w:tcPr>
            <w:tcW w:w="2070" w:type="dxa"/>
            <w:tcBorders>
              <w:top w:val="single" w:sz="4" w:space="0" w:color="000000"/>
              <w:left w:val="single" w:sz="4" w:space="0" w:color="000000"/>
              <w:bottom w:val="single" w:sz="4" w:space="0" w:color="000000"/>
              <w:right w:val="single" w:sz="4" w:space="0" w:color="000000"/>
            </w:tcBorders>
          </w:tcPr>
          <w:p w14:paraId="01404817" w14:textId="77777777" w:rsidR="00806FBD" w:rsidRPr="00806FBD" w:rsidRDefault="00806FBD" w:rsidP="00C9565F">
            <w:pPr>
              <w:widowControl w:val="0"/>
              <w:autoSpaceDE w:val="0"/>
              <w:autoSpaceDN w:val="0"/>
              <w:adjustRightInd w:val="0"/>
              <w:spacing w:after="0" w:line="240" w:lineRule="auto"/>
              <w:ind w:right="-20"/>
              <w:jc w:val="center"/>
              <w:rPr>
                <w:rFonts w:ascii="Arial" w:hAnsi="Arial" w:cs="Arial"/>
              </w:rPr>
            </w:pPr>
            <w:r>
              <w:rPr>
                <w:rFonts w:ascii="Arial" w:hAnsi="Arial"/>
                <w:b/>
                <w:bCs/>
                <w:spacing w:val="-1"/>
              </w:rPr>
              <w:t>التصنيف (مرتفعة أو جوهرية أو متوسطة أو منخفضة)</w:t>
            </w:r>
          </w:p>
        </w:tc>
      </w:tr>
      <w:tr w:rsidR="00806FBD" w:rsidRPr="000E326F" w14:paraId="5B6FC968"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002E1EC7" w14:textId="77777777" w:rsidR="00806FBD" w:rsidRPr="00806FBD" w:rsidRDefault="00806FBD" w:rsidP="00C9565F">
            <w:pPr>
              <w:widowControl w:val="0"/>
              <w:autoSpaceDE w:val="0"/>
              <w:autoSpaceDN w:val="0"/>
              <w:adjustRightInd w:val="0"/>
              <w:spacing w:after="0" w:line="240" w:lineRule="auto"/>
              <w:ind w:right="-20" w:firstLine="88"/>
              <w:rPr>
                <w:rFonts w:ascii="Arial" w:hAnsi="Arial" w:cs="Arial"/>
              </w:rPr>
            </w:pPr>
            <w:r>
              <w:rPr>
                <w:rFonts w:ascii="Arial" w:hAnsi="Arial"/>
              </w:rPr>
              <w:t>1.</w:t>
            </w:r>
            <w:r w:rsidR="00022F13">
              <w:rPr>
                <w:rFonts w:ascii="Arial" w:hAnsi="Arial"/>
              </w:rPr>
              <w:t xml:space="preserve"> </w:t>
            </w:r>
            <w:r>
              <w:rPr>
                <w:rFonts w:ascii="Arial" w:hAnsi="Arial"/>
              </w:rPr>
              <w:t>المخاطر السياسية ونظام الإدارة الرشيدة والحوكمة</w:t>
            </w:r>
          </w:p>
        </w:tc>
        <w:tc>
          <w:tcPr>
            <w:tcW w:w="2070" w:type="dxa"/>
            <w:tcBorders>
              <w:top w:val="single" w:sz="4" w:space="0" w:color="000000"/>
              <w:left w:val="single" w:sz="4" w:space="0" w:color="000000"/>
              <w:bottom w:val="single" w:sz="4" w:space="0" w:color="000000"/>
              <w:right w:val="single" w:sz="4" w:space="0" w:color="000000"/>
            </w:tcBorders>
          </w:tcPr>
          <w:p w14:paraId="045F69F0"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 xml:space="preserve">مرتفعة </w:t>
            </w:r>
          </w:p>
        </w:tc>
      </w:tr>
      <w:tr w:rsidR="00806FBD" w:rsidRPr="000E326F" w14:paraId="6774FA26"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6A8E8799" w14:textId="77777777" w:rsidR="00806FBD" w:rsidRPr="00806FBD" w:rsidRDefault="00806FBD" w:rsidP="00C9565F">
            <w:pPr>
              <w:widowControl w:val="0"/>
              <w:autoSpaceDE w:val="0"/>
              <w:autoSpaceDN w:val="0"/>
              <w:adjustRightInd w:val="0"/>
              <w:spacing w:after="0" w:line="240" w:lineRule="auto"/>
              <w:ind w:right="-20" w:firstLine="88"/>
              <w:rPr>
                <w:rFonts w:ascii="Arial" w:hAnsi="Arial" w:cs="Arial"/>
              </w:rPr>
            </w:pPr>
            <w:r>
              <w:rPr>
                <w:rFonts w:ascii="Arial" w:hAnsi="Arial"/>
              </w:rPr>
              <w:t>2.</w:t>
            </w:r>
            <w:r w:rsidR="00022F13">
              <w:rPr>
                <w:rFonts w:ascii="Arial" w:hAnsi="Arial"/>
              </w:rPr>
              <w:t xml:space="preserve"> </w:t>
            </w:r>
            <w:r w:rsidR="00644EF7">
              <w:rPr>
                <w:rFonts w:ascii="Arial" w:hAnsi="Arial"/>
              </w:rPr>
              <w:t xml:space="preserve">مخاطر </w:t>
            </w:r>
            <w:r>
              <w:rPr>
                <w:rFonts w:ascii="Arial" w:hAnsi="Arial"/>
              </w:rPr>
              <w:t>الاقتصاد الكلي</w:t>
            </w:r>
          </w:p>
        </w:tc>
        <w:tc>
          <w:tcPr>
            <w:tcW w:w="2070" w:type="dxa"/>
            <w:tcBorders>
              <w:top w:val="single" w:sz="4" w:space="0" w:color="000000"/>
              <w:left w:val="single" w:sz="4" w:space="0" w:color="000000"/>
              <w:bottom w:val="single" w:sz="4" w:space="0" w:color="000000"/>
              <w:right w:val="single" w:sz="4" w:space="0" w:color="000000"/>
            </w:tcBorders>
          </w:tcPr>
          <w:p w14:paraId="78F4EEAA"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مرتفعة</w:t>
            </w:r>
          </w:p>
        </w:tc>
      </w:tr>
      <w:tr w:rsidR="00806FBD" w:rsidRPr="000E326F" w14:paraId="358120DF"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0DAD7087" w14:textId="77777777" w:rsidR="00806FBD" w:rsidRPr="00806FBD" w:rsidRDefault="00806FBD" w:rsidP="002455AD">
            <w:pPr>
              <w:widowControl w:val="0"/>
              <w:autoSpaceDE w:val="0"/>
              <w:autoSpaceDN w:val="0"/>
              <w:adjustRightInd w:val="0"/>
              <w:spacing w:after="0" w:line="240" w:lineRule="auto"/>
              <w:ind w:right="-20" w:firstLine="88"/>
              <w:rPr>
                <w:rFonts w:ascii="Arial" w:hAnsi="Arial" w:cs="Arial"/>
              </w:rPr>
            </w:pPr>
            <w:r>
              <w:rPr>
                <w:rFonts w:ascii="Arial" w:hAnsi="Arial"/>
              </w:rPr>
              <w:t>3.</w:t>
            </w:r>
            <w:r w:rsidR="00022F13">
              <w:rPr>
                <w:rFonts w:ascii="Arial" w:hAnsi="Arial"/>
              </w:rPr>
              <w:t xml:space="preserve"> </w:t>
            </w:r>
            <w:r>
              <w:rPr>
                <w:rFonts w:ascii="Arial" w:hAnsi="Arial"/>
              </w:rPr>
              <w:t xml:space="preserve">مخاطر </w:t>
            </w:r>
            <w:r w:rsidR="002455AD">
              <w:rPr>
                <w:rFonts w:ascii="Arial" w:hAnsi="Arial"/>
              </w:rPr>
              <w:t>ال</w:t>
            </w:r>
            <w:r w:rsidR="002455AD">
              <w:rPr>
                <w:rFonts w:ascii="Arial" w:hAnsi="Arial" w:hint="cs"/>
              </w:rPr>
              <w:t>إ</w:t>
            </w:r>
            <w:r w:rsidR="002455AD">
              <w:rPr>
                <w:rFonts w:ascii="Arial" w:hAnsi="Arial"/>
              </w:rPr>
              <w:t xml:space="preserve">ستراتيجيات </w:t>
            </w:r>
            <w:r>
              <w:rPr>
                <w:rFonts w:ascii="Arial" w:hAnsi="Arial"/>
              </w:rPr>
              <w:t>والسياسات القطاعية</w:t>
            </w:r>
          </w:p>
        </w:tc>
        <w:tc>
          <w:tcPr>
            <w:tcW w:w="2070" w:type="dxa"/>
            <w:tcBorders>
              <w:top w:val="single" w:sz="4" w:space="0" w:color="000000"/>
              <w:left w:val="single" w:sz="4" w:space="0" w:color="000000"/>
              <w:bottom w:val="single" w:sz="4" w:space="0" w:color="000000"/>
              <w:right w:val="single" w:sz="4" w:space="0" w:color="000000"/>
            </w:tcBorders>
          </w:tcPr>
          <w:p w14:paraId="51C2B406"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مرتفعة</w:t>
            </w:r>
          </w:p>
        </w:tc>
      </w:tr>
      <w:tr w:rsidR="00806FBD" w:rsidRPr="000E326F" w14:paraId="2770AF2F"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35D6EAEC" w14:textId="77777777" w:rsidR="00806FBD" w:rsidRPr="00806FBD" w:rsidRDefault="00806FBD" w:rsidP="00C9565F">
            <w:pPr>
              <w:widowControl w:val="0"/>
              <w:autoSpaceDE w:val="0"/>
              <w:autoSpaceDN w:val="0"/>
              <w:adjustRightInd w:val="0"/>
              <w:spacing w:after="0" w:line="240" w:lineRule="auto"/>
              <w:ind w:right="-20" w:firstLine="88"/>
              <w:rPr>
                <w:rFonts w:ascii="Arial" w:hAnsi="Arial" w:cs="Arial"/>
              </w:rPr>
            </w:pPr>
            <w:r>
              <w:rPr>
                <w:rFonts w:ascii="Arial" w:hAnsi="Arial"/>
              </w:rPr>
              <w:t>4.</w:t>
            </w:r>
            <w:r w:rsidR="00022F13">
              <w:rPr>
                <w:rFonts w:ascii="Arial" w:hAnsi="Arial"/>
              </w:rPr>
              <w:t xml:space="preserve"> </w:t>
            </w:r>
            <w:r>
              <w:rPr>
                <w:rFonts w:ascii="Arial" w:hAnsi="Arial"/>
              </w:rPr>
              <w:t>مخاطر التصميم الفني للمشروع أو البرنامج</w:t>
            </w:r>
          </w:p>
        </w:tc>
        <w:tc>
          <w:tcPr>
            <w:tcW w:w="2070" w:type="dxa"/>
            <w:tcBorders>
              <w:top w:val="single" w:sz="4" w:space="0" w:color="000000"/>
              <w:left w:val="single" w:sz="4" w:space="0" w:color="000000"/>
              <w:bottom w:val="single" w:sz="4" w:space="0" w:color="000000"/>
              <w:right w:val="single" w:sz="4" w:space="0" w:color="000000"/>
            </w:tcBorders>
          </w:tcPr>
          <w:p w14:paraId="10FF2665"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جوهرية</w:t>
            </w:r>
          </w:p>
        </w:tc>
      </w:tr>
      <w:tr w:rsidR="00806FBD" w:rsidRPr="000E326F" w14:paraId="53E5163F"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28FD6449" w14:textId="77777777" w:rsidR="00806FBD" w:rsidRPr="00806FBD" w:rsidRDefault="00806FBD" w:rsidP="00C9565F">
            <w:pPr>
              <w:widowControl w:val="0"/>
              <w:autoSpaceDE w:val="0"/>
              <w:autoSpaceDN w:val="0"/>
              <w:adjustRightInd w:val="0"/>
              <w:spacing w:after="0" w:line="240" w:lineRule="auto"/>
              <w:ind w:right="-20" w:firstLine="88"/>
              <w:rPr>
                <w:rFonts w:ascii="Arial" w:hAnsi="Arial" w:cs="Arial"/>
              </w:rPr>
            </w:pPr>
            <w:r>
              <w:rPr>
                <w:rFonts w:ascii="Arial" w:hAnsi="Arial"/>
              </w:rPr>
              <w:t>5.</w:t>
            </w:r>
            <w:r w:rsidR="00022F13">
              <w:rPr>
                <w:rFonts w:ascii="Arial" w:hAnsi="Arial"/>
              </w:rPr>
              <w:t xml:space="preserve"> </w:t>
            </w:r>
            <w:r>
              <w:rPr>
                <w:rFonts w:ascii="Arial" w:hAnsi="Arial"/>
              </w:rPr>
              <w:t>مخاطر القدرات المؤسسية للتنفيذ والاستدامة</w:t>
            </w:r>
          </w:p>
        </w:tc>
        <w:tc>
          <w:tcPr>
            <w:tcW w:w="2070" w:type="dxa"/>
            <w:tcBorders>
              <w:top w:val="single" w:sz="4" w:space="0" w:color="000000"/>
              <w:left w:val="single" w:sz="4" w:space="0" w:color="000000"/>
              <w:bottom w:val="single" w:sz="4" w:space="0" w:color="000000"/>
              <w:right w:val="single" w:sz="4" w:space="0" w:color="000000"/>
            </w:tcBorders>
          </w:tcPr>
          <w:p w14:paraId="1BFCFF91"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متوسطة</w:t>
            </w:r>
          </w:p>
        </w:tc>
      </w:tr>
      <w:tr w:rsidR="00806FBD" w:rsidRPr="000E326F" w14:paraId="46775726"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16934E0C" w14:textId="77777777" w:rsidR="00806FBD" w:rsidRPr="00806FBD" w:rsidRDefault="00806FBD" w:rsidP="00C9565F">
            <w:pPr>
              <w:widowControl w:val="0"/>
              <w:autoSpaceDE w:val="0"/>
              <w:autoSpaceDN w:val="0"/>
              <w:adjustRightInd w:val="0"/>
              <w:spacing w:after="0" w:line="240" w:lineRule="auto"/>
              <w:ind w:right="-20" w:firstLine="88"/>
              <w:rPr>
                <w:rFonts w:ascii="Arial" w:hAnsi="Arial" w:cs="Arial"/>
              </w:rPr>
            </w:pPr>
            <w:r>
              <w:rPr>
                <w:rFonts w:ascii="Arial" w:hAnsi="Arial"/>
              </w:rPr>
              <w:t>6.</w:t>
            </w:r>
            <w:r w:rsidR="00022F13">
              <w:rPr>
                <w:rFonts w:ascii="Arial" w:hAnsi="Arial"/>
              </w:rPr>
              <w:t xml:space="preserve"> </w:t>
            </w:r>
            <w:r>
              <w:rPr>
                <w:rFonts w:ascii="Arial" w:hAnsi="Arial"/>
              </w:rPr>
              <w:t>المخاطر الاستئمانية</w:t>
            </w:r>
          </w:p>
        </w:tc>
        <w:tc>
          <w:tcPr>
            <w:tcW w:w="2070" w:type="dxa"/>
            <w:tcBorders>
              <w:top w:val="single" w:sz="4" w:space="0" w:color="000000"/>
              <w:left w:val="single" w:sz="4" w:space="0" w:color="000000"/>
              <w:bottom w:val="single" w:sz="4" w:space="0" w:color="000000"/>
              <w:right w:val="single" w:sz="4" w:space="0" w:color="000000"/>
            </w:tcBorders>
          </w:tcPr>
          <w:p w14:paraId="2C25F010"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مرتفعة</w:t>
            </w:r>
          </w:p>
        </w:tc>
      </w:tr>
      <w:tr w:rsidR="00806FBD" w:rsidRPr="000E326F" w14:paraId="29E76FB5"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6B5735A1" w14:textId="77777777" w:rsidR="00806FBD" w:rsidRPr="00806FBD" w:rsidRDefault="00806FBD" w:rsidP="00C9565F">
            <w:pPr>
              <w:widowControl w:val="0"/>
              <w:autoSpaceDE w:val="0"/>
              <w:autoSpaceDN w:val="0"/>
              <w:adjustRightInd w:val="0"/>
              <w:spacing w:after="0" w:line="240" w:lineRule="auto"/>
              <w:ind w:right="-20" w:firstLine="88"/>
              <w:rPr>
                <w:rFonts w:ascii="Arial" w:hAnsi="Arial" w:cs="Arial"/>
              </w:rPr>
            </w:pPr>
            <w:r>
              <w:rPr>
                <w:rFonts w:ascii="Arial" w:hAnsi="Arial"/>
              </w:rPr>
              <w:t>7.</w:t>
            </w:r>
            <w:r w:rsidR="00022F13">
              <w:rPr>
                <w:rFonts w:ascii="Arial" w:hAnsi="Arial"/>
              </w:rPr>
              <w:t xml:space="preserve"> </w:t>
            </w:r>
            <w:r w:rsidR="00644EF7">
              <w:rPr>
                <w:rFonts w:ascii="Arial" w:hAnsi="Arial" w:hint="cs"/>
              </w:rPr>
              <w:t>ال</w:t>
            </w:r>
            <w:r w:rsidR="00644EF7">
              <w:rPr>
                <w:rFonts w:ascii="Arial" w:hAnsi="Arial"/>
              </w:rPr>
              <w:t xml:space="preserve">مخاطر </w:t>
            </w:r>
            <w:r>
              <w:rPr>
                <w:rFonts w:ascii="Arial" w:hAnsi="Arial"/>
              </w:rPr>
              <w:t>البيئية والاجتماعية</w:t>
            </w:r>
          </w:p>
        </w:tc>
        <w:tc>
          <w:tcPr>
            <w:tcW w:w="2070" w:type="dxa"/>
            <w:tcBorders>
              <w:top w:val="single" w:sz="4" w:space="0" w:color="000000"/>
              <w:left w:val="single" w:sz="4" w:space="0" w:color="000000"/>
              <w:bottom w:val="single" w:sz="4" w:space="0" w:color="000000"/>
              <w:right w:val="single" w:sz="4" w:space="0" w:color="000000"/>
            </w:tcBorders>
          </w:tcPr>
          <w:p w14:paraId="0BB13FC0"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جوهرية</w:t>
            </w:r>
          </w:p>
        </w:tc>
      </w:tr>
      <w:tr w:rsidR="00806FBD" w:rsidRPr="000E326F" w14:paraId="7D0ECD73"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2EB54D1E" w14:textId="77777777" w:rsidR="00806FBD" w:rsidRPr="00806FBD" w:rsidRDefault="00806FBD" w:rsidP="00C9565F">
            <w:pPr>
              <w:widowControl w:val="0"/>
              <w:autoSpaceDE w:val="0"/>
              <w:autoSpaceDN w:val="0"/>
              <w:adjustRightInd w:val="0"/>
              <w:spacing w:after="0" w:line="240" w:lineRule="auto"/>
              <w:ind w:right="-20" w:firstLine="88"/>
              <w:rPr>
                <w:rFonts w:ascii="Arial" w:hAnsi="Arial" w:cs="Arial"/>
              </w:rPr>
            </w:pPr>
            <w:r>
              <w:rPr>
                <w:rFonts w:ascii="Arial" w:hAnsi="Arial"/>
              </w:rPr>
              <w:t>8.</w:t>
            </w:r>
            <w:r w:rsidR="00644EF7">
              <w:rPr>
                <w:rFonts w:ascii="Arial" w:hAnsi="Arial" w:hint="cs"/>
              </w:rPr>
              <w:t xml:space="preserve"> </w:t>
            </w:r>
            <w:r w:rsidR="00644EF7">
              <w:rPr>
                <w:rFonts w:ascii="Arial" w:hAnsi="Arial"/>
              </w:rPr>
              <w:t>مخاطر</w:t>
            </w:r>
            <w:r w:rsidR="00022F13">
              <w:rPr>
                <w:rFonts w:ascii="Arial" w:hAnsi="Arial"/>
              </w:rPr>
              <w:t xml:space="preserve"> </w:t>
            </w:r>
            <w:r>
              <w:rPr>
                <w:rFonts w:ascii="Arial" w:hAnsi="Arial"/>
              </w:rPr>
              <w:t>أصحاب المصلحة</w:t>
            </w:r>
          </w:p>
        </w:tc>
        <w:tc>
          <w:tcPr>
            <w:tcW w:w="2070" w:type="dxa"/>
            <w:tcBorders>
              <w:top w:val="single" w:sz="4" w:space="0" w:color="000000"/>
              <w:left w:val="single" w:sz="4" w:space="0" w:color="000000"/>
              <w:bottom w:val="single" w:sz="4" w:space="0" w:color="000000"/>
              <w:right w:val="single" w:sz="4" w:space="0" w:color="000000"/>
            </w:tcBorders>
          </w:tcPr>
          <w:p w14:paraId="7C5C53FB"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جوهرية</w:t>
            </w:r>
          </w:p>
        </w:tc>
      </w:tr>
      <w:tr w:rsidR="00806FBD" w:rsidRPr="000E326F" w14:paraId="619231F0"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3BECABFD" w14:textId="77777777" w:rsidR="00806FBD" w:rsidRPr="00806FBD" w:rsidRDefault="00CA013E" w:rsidP="00C9565F">
            <w:pPr>
              <w:widowControl w:val="0"/>
              <w:autoSpaceDE w:val="0"/>
              <w:autoSpaceDN w:val="0"/>
              <w:adjustRightInd w:val="0"/>
              <w:spacing w:after="0" w:line="240" w:lineRule="auto"/>
              <w:ind w:right="-20" w:firstLine="88"/>
              <w:rPr>
                <w:rFonts w:ascii="Arial" w:hAnsi="Arial" w:cs="Arial"/>
              </w:rPr>
            </w:pPr>
            <w:r>
              <w:rPr>
                <w:rFonts w:ascii="Arial" w:hAnsi="Arial"/>
              </w:rPr>
              <w:t>9.</w:t>
            </w:r>
            <w:r w:rsidR="00022F13">
              <w:rPr>
                <w:rFonts w:ascii="Arial" w:hAnsi="Arial"/>
              </w:rPr>
              <w:t xml:space="preserve"> </w:t>
            </w:r>
            <w:r>
              <w:rPr>
                <w:rFonts w:ascii="Arial" w:hAnsi="Arial"/>
              </w:rPr>
              <w:t>مخاطر أخرى (الأوضاع الأمنية)</w:t>
            </w:r>
          </w:p>
        </w:tc>
        <w:tc>
          <w:tcPr>
            <w:tcW w:w="2070" w:type="dxa"/>
            <w:tcBorders>
              <w:top w:val="single" w:sz="4" w:space="0" w:color="000000"/>
              <w:left w:val="single" w:sz="4" w:space="0" w:color="000000"/>
              <w:bottom w:val="single" w:sz="4" w:space="0" w:color="000000"/>
              <w:right w:val="single" w:sz="4" w:space="0" w:color="000000"/>
            </w:tcBorders>
          </w:tcPr>
          <w:p w14:paraId="018EE274" w14:textId="77777777" w:rsidR="00806FBD"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مرتفعة</w:t>
            </w:r>
          </w:p>
        </w:tc>
      </w:tr>
      <w:tr w:rsidR="00CA013E" w:rsidRPr="000E326F" w14:paraId="026B1C30" w14:textId="77777777">
        <w:trPr>
          <w:trHeight w:hRule="exact" w:val="288"/>
        </w:trPr>
        <w:tc>
          <w:tcPr>
            <w:tcW w:w="6390" w:type="dxa"/>
            <w:tcBorders>
              <w:top w:val="single" w:sz="4" w:space="0" w:color="000000"/>
              <w:left w:val="single" w:sz="4" w:space="0" w:color="000000"/>
              <w:bottom w:val="single" w:sz="4" w:space="0" w:color="000000"/>
              <w:right w:val="single" w:sz="4" w:space="0" w:color="000000"/>
            </w:tcBorders>
          </w:tcPr>
          <w:p w14:paraId="4092AE10" w14:textId="77777777" w:rsidR="00CA013E" w:rsidRPr="00806FBD" w:rsidRDefault="00CA013E" w:rsidP="00C9565F">
            <w:pPr>
              <w:widowControl w:val="0"/>
              <w:autoSpaceDE w:val="0"/>
              <w:autoSpaceDN w:val="0"/>
              <w:adjustRightInd w:val="0"/>
              <w:spacing w:after="0" w:line="240" w:lineRule="auto"/>
              <w:ind w:right="-20" w:firstLine="88"/>
              <w:rPr>
                <w:rFonts w:ascii="Arial" w:hAnsi="Arial" w:cs="Arial"/>
                <w:b/>
                <w:bCs/>
              </w:rPr>
            </w:pPr>
            <w:r>
              <w:rPr>
                <w:rFonts w:ascii="Arial" w:hAnsi="Arial"/>
                <w:b/>
                <w:bCs/>
              </w:rPr>
              <w:t>التصنيف العام للمخاطر</w:t>
            </w:r>
          </w:p>
        </w:tc>
        <w:tc>
          <w:tcPr>
            <w:tcW w:w="2070" w:type="dxa"/>
            <w:tcBorders>
              <w:top w:val="single" w:sz="4" w:space="0" w:color="000000"/>
              <w:left w:val="single" w:sz="4" w:space="0" w:color="000000"/>
              <w:bottom w:val="single" w:sz="4" w:space="0" w:color="000000"/>
              <w:right w:val="single" w:sz="4" w:space="0" w:color="000000"/>
            </w:tcBorders>
          </w:tcPr>
          <w:p w14:paraId="562C7401" w14:textId="77777777" w:rsidR="00CA013E" w:rsidRPr="00806FBD" w:rsidRDefault="002F40DB" w:rsidP="00C9565F">
            <w:pPr>
              <w:widowControl w:val="0"/>
              <w:autoSpaceDE w:val="0"/>
              <w:autoSpaceDN w:val="0"/>
              <w:adjustRightInd w:val="0"/>
              <w:spacing w:after="0" w:line="240" w:lineRule="auto"/>
              <w:jc w:val="center"/>
              <w:rPr>
                <w:rFonts w:ascii="Arial" w:hAnsi="Arial" w:cs="Arial"/>
              </w:rPr>
            </w:pPr>
            <w:r>
              <w:rPr>
                <w:rFonts w:ascii="Arial" w:hAnsi="Arial"/>
              </w:rPr>
              <w:t>مرتفعة</w:t>
            </w:r>
          </w:p>
        </w:tc>
      </w:tr>
    </w:tbl>
    <w:p w14:paraId="62251E66" w14:textId="77777777" w:rsidR="00806FBD" w:rsidRPr="001113AD" w:rsidRDefault="00806FBD" w:rsidP="001113AD">
      <w:pPr>
        <w:pStyle w:val="ListParagraph"/>
        <w:spacing w:after="0" w:line="240" w:lineRule="auto"/>
        <w:ind w:left="0"/>
        <w:jc w:val="both"/>
        <w:rPr>
          <w:rFonts w:ascii="Times New Roman" w:eastAsia="Cambria" w:hAnsi="Times New Roman" w:cs="Times New Roman"/>
          <w:iCs/>
        </w:rPr>
      </w:pPr>
    </w:p>
    <w:p w14:paraId="450C1B67" w14:textId="77777777" w:rsidR="0055528D" w:rsidRPr="0096790B" w:rsidRDefault="4F88A954" w:rsidP="002455AD">
      <w:pPr>
        <w:pStyle w:val="ListParagraph"/>
        <w:numPr>
          <w:ilvl w:val="0"/>
          <w:numId w:val="6"/>
        </w:numPr>
        <w:spacing w:after="0" w:line="240" w:lineRule="auto"/>
        <w:jc w:val="both"/>
        <w:rPr>
          <w:rFonts w:ascii="Arial" w:eastAsia="Arial" w:hAnsi="Arial" w:cs="Arial"/>
        </w:rPr>
      </w:pPr>
      <w:r>
        <w:rPr>
          <w:b/>
          <w:bCs/>
        </w:rPr>
        <w:t xml:space="preserve">قد لا يحدث التوجه المتزايد لبرنامج مجموعة البنك الدولي نحو القطاع الخاص إلا بصورة تدريجية نظرًا لأن الإصلاحات القطاعية الداعمة قد تستغرق وقتًا في بيئة مقيدة للقدرات مع أخذ </w:t>
      </w:r>
      <w:r w:rsidR="002455AD">
        <w:rPr>
          <w:b/>
          <w:bCs/>
        </w:rPr>
        <w:t>اعتبارات الاقتصاد السياسي</w:t>
      </w:r>
      <w:r w:rsidR="002455AD">
        <w:rPr>
          <w:rFonts w:hint="cs"/>
          <w:b/>
          <w:bCs/>
        </w:rPr>
        <w:t xml:space="preserve"> </w:t>
      </w:r>
      <w:r>
        <w:rPr>
          <w:b/>
          <w:bCs/>
        </w:rPr>
        <w:t>في الحسبان.</w:t>
      </w:r>
      <w:r>
        <w:rPr>
          <w:rFonts w:ascii="Arial" w:hAnsi="Arial"/>
        </w:rPr>
        <w:t xml:space="preserve"> وهناك أيضًا مخاطر أن يظل نشاط القطاع الخاص م</w:t>
      </w:r>
      <w:r w:rsidR="002455AD">
        <w:rPr>
          <w:rFonts w:ascii="Arial" w:hAnsi="Arial" w:hint="cs"/>
        </w:rPr>
        <w:t>ُ</w:t>
      </w:r>
      <w:r>
        <w:rPr>
          <w:rFonts w:ascii="Arial" w:hAnsi="Arial"/>
        </w:rPr>
        <w:t>ركز</w:t>
      </w:r>
      <w:r w:rsidR="002455AD">
        <w:rPr>
          <w:rFonts w:ascii="Arial" w:hAnsi="Arial" w:hint="cs"/>
        </w:rPr>
        <w:t>ًا</w:t>
      </w:r>
      <w:r>
        <w:rPr>
          <w:rFonts w:ascii="Arial" w:hAnsi="Arial"/>
        </w:rPr>
        <w:t xml:space="preserve"> لدى عدد قليل من الأطراف.</w:t>
      </w:r>
      <w:r w:rsidR="00022F13">
        <w:rPr>
          <w:rFonts w:ascii="Arial" w:hAnsi="Arial"/>
        </w:rPr>
        <w:t xml:space="preserve"> </w:t>
      </w:r>
      <w:r>
        <w:rPr>
          <w:rFonts w:ascii="Arial" w:hAnsi="Arial"/>
        </w:rPr>
        <w:t>وقد تؤدي شبكة العلاقات/التربيطات التي تربط النخبة في القطاعين العام والخاص بصورة وثيقة معًا إلى الهيمنة مع تقويض الاشتمال الذي تسعى جهود مجموعة البنك الدولي بشأن تطوير القطاع الخاص إلى تحقيقه.</w:t>
      </w:r>
      <w:r w:rsidR="00022F13">
        <w:rPr>
          <w:rFonts w:ascii="Arial" w:hAnsi="Arial"/>
        </w:rPr>
        <w:t xml:space="preserve"> </w:t>
      </w:r>
      <w:r>
        <w:rPr>
          <w:rFonts w:ascii="Arial" w:hAnsi="Arial"/>
        </w:rPr>
        <w:t xml:space="preserve">ومن الضروري بناء تحالفات من أجل الإصلاح، وفي هذا الشأن، فإن إعداد منتدى لمناقشة تحسين بيئة أنشطة الأعمال يضم السلطة </w:t>
      </w:r>
      <w:r>
        <w:rPr>
          <w:rFonts w:ascii="Arial" w:hAnsi="Arial"/>
        </w:rPr>
        <w:lastRenderedPageBreak/>
        <w:t>الفلسطينية ومشاركين من جميع الأطياف الممثلة للقطاع الخاص يمكن أن يحافظ على هذا الزخم.</w:t>
      </w:r>
      <w:r w:rsidR="00022F13">
        <w:rPr>
          <w:rFonts w:ascii="Arial" w:hAnsi="Arial"/>
        </w:rPr>
        <w:t xml:space="preserve"> </w:t>
      </w:r>
      <w:r>
        <w:rPr>
          <w:rFonts w:ascii="Arial" w:hAnsi="Arial"/>
        </w:rPr>
        <w:t>وهناك مخاطر أخرى ألا وهي عدم وجود تمويل من المانحين أو نقص هذا التمويل قد يؤدي إلى تباطؤ التوجه المقترح نحو نشاط القطاع الخاص.</w:t>
      </w:r>
      <w:r w:rsidR="00022F13">
        <w:rPr>
          <w:rFonts w:ascii="Arial" w:hAnsi="Arial"/>
        </w:rPr>
        <w:t xml:space="preserve"> </w:t>
      </w:r>
      <w:r>
        <w:rPr>
          <w:rFonts w:ascii="Arial" w:hAnsi="Arial"/>
        </w:rPr>
        <w:t xml:space="preserve">ومن الممكن أن تساعد المشاركة المصممة بصورة مبتكرة، ووجود صندوق جيد التنفيذ لتعزيز القطاع الخاص، وتنسيق استباقي لجهود المانحين من خلال فريق عمل السلطة الفلسطينية المعني بالقطاع الخاص في تخفيف هذه المخاطر. </w:t>
      </w:r>
    </w:p>
    <w:p w14:paraId="7C8421EB" w14:textId="77777777" w:rsidR="0055528D" w:rsidRPr="0096790B" w:rsidRDefault="0055528D">
      <w:pPr>
        <w:spacing w:after="0" w:line="240" w:lineRule="auto"/>
        <w:jc w:val="both"/>
        <w:rPr>
          <w:rFonts w:ascii="Times New Roman" w:eastAsia="Cambria" w:hAnsi="Times New Roman" w:cs="Times New Roman"/>
          <w:iCs/>
        </w:rPr>
      </w:pPr>
    </w:p>
    <w:p w14:paraId="74163CF6" w14:textId="77777777" w:rsidR="005E6FCA" w:rsidRPr="0096790B" w:rsidRDefault="4F88A954" w:rsidP="002455AD">
      <w:pPr>
        <w:pStyle w:val="ListParagraph"/>
        <w:numPr>
          <w:ilvl w:val="0"/>
          <w:numId w:val="6"/>
        </w:numPr>
        <w:spacing w:after="0" w:line="240" w:lineRule="auto"/>
        <w:jc w:val="both"/>
        <w:rPr>
          <w:rFonts w:ascii="Arial" w:hAnsi="Arial" w:cs="Arial"/>
          <w:b/>
          <w:bCs/>
        </w:rPr>
      </w:pPr>
      <w:r>
        <w:rPr>
          <w:rFonts w:ascii="Arial" w:hAnsi="Arial"/>
          <w:b/>
          <w:bCs/>
        </w:rPr>
        <w:t>قد لا يتحسن بوتيرة سريعة حسب المطلوب موقف المالية العامة للسلطة الفلسطينية وبعض مجالات الإدارة المالية العامة، ما يضع مخاطر على ثقة القطاع الخاص التي تساعد مجموعة البنك الدولي في بنائها.</w:t>
      </w:r>
      <w:r w:rsidR="00022F13">
        <w:rPr>
          <w:rFonts w:ascii="Arial" w:hAnsi="Arial"/>
          <w:b/>
          <w:bCs/>
        </w:rPr>
        <w:t xml:space="preserve"> </w:t>
      </w:r>
      <w:r>
        <w:rPr>
          <w:rFonts w:ascii="Arial" w:hAnsi="Arial"/>
        </w:rPr>
        <w:t>ولا تزال السلطة الفلسطينية تعتمد على مستويات مرتفعة ولا يمكن التنبؤ بها من المعونات. ويمثل فتور همة المانحين وخفض المساعدات المقدمة مصدرًا جوهريًا للمخاطر التي تواجه الأوضاع المالية والاقتصادية للسلطة الفلسطينية.</w:t>
      </w:r>
      <w:r w:rsidR="00022F13">
        <w:rPr>
          <w:rFonts w:ascii="Arial" w:hAnsi="Arial"/>
        </w:rPr>
        <w:t xml:space="preserve"> </w:t>
      </w:r>
      <w:r>
        <w:rPr>
          <w:rFonts w:ascii="Arial" w:hAnsi="Arial"/>
        </w:rPr>
        <w:t>وتؤدي ضغوط المالية العامة إلى مخاطر تواجه عملية تقديم الخدمات العامة من جانب السلطة الفلسطينية، كما تؤدي إلى صعوبة القيام بالإصلاحات الهيكلية.</w:t>
      </w:r>
      <w:r w:rsidR="00022F13">
        <w:rPr>
          <w:rFonts w:ascii="Arial" w:hAnsi="Arial"/>
        </w:rPr>
        <w:t xml:space="preserve"> </w:t>
      </w:r>
      <w:r>
        <w:rPr>
          <w:rFonts w:ascii="Arial" w:hAnsi="Arial"/>
        </w:rPr>
        <w:t xml:space="preserve">وعلى الرغم من ضرورة الاستمرار في المساعدات المقدمة من المانحين على المدى المتوسط الذي تغطيه هذه </w:t>
      </w:r>
      <w:r w:rsidR="002455AD">
        <w:rPr>
          <w:rFonts w:ascii="Arial" w:hAnsi="Arial"/>
        </w:rPr>
        <w:t>ال</w:t>
      </w:r>
      <w:r w:rsidR="002455AD">
        <w:rPr>
          <w:rFonts w:ascii="Arial" w:hAnsi="Arial" w:hint="cs"/>
        </w:rPr>
        <w:t>إ</w:t>
      </w:r>
      <w:r w:rsidR="002455AD">
        <w:rPr>
          <w:rFonts w:ascii="Arial" w:hAnsi="Arial"/>
        </w:rPr>
        <w:t>ستراتيجية</w:t>
      </w:r>
      <w:r>
        <w:rPr>
          <w:rFonts w:ascii="Arial" w:hAnsi="Arial"/>
        </w:rPr>
        <w:t>، سيتم تخفيف هذه المخاطر من خلال المساندة التي يقدمها هذا البرنامج للإصلاحات التي تقوم بها السلطة الفلسطينية في تعزيز الإدارة الضريبية، وتقوية تخطيط الموازنة/الإنفاق، ووضع الأولويات وعمل التنسيقات بشأن الإدارة المالية العامة داخل السلطة الفلسطينية.</w:t>
      </w:r>
      <w:r w:rsidR="00022F13">
        <w:rPr>
          <w:rFonts w:ascii="Arial" w:hAnsi="Arial"/>
        </w:rPr>
        <w:t xml:space="preserve"> </w:t>
      </w:r>
      <w:r>
        <w:rPr>
          <w:rFonts w:ascii="Arial" w:hAnsi="Arial"/>
        </w:rPr>
        <w:t>ويقوم البنك الدولي حاليًا بإعداد عملية لتعزيز إدارة المالية العامة في الوقت نفسه مع مساعدة فنية، وقد لقي ذلك اهتمام</w:t>
      </w:r>
      <w:r w:rsidR="00644EF7">
        <w:rPr>
          <w:rFonts w:ascii="Arial" w:hAnsi="Arial" w:hint="cs"/>
        </w:rPr>
        <w:t>ًا</w:t>
      </w:r>
      <w:r>
        <w:rPr>
          <w:rFonts w:ascii="Arial" w:hAnsi="Arial"/>
        </w:rPr>
        <w:t xml:space="preserve"> من المانحين للمشاركة في تمويل هذه المنحة.</w:t>
      </w:r>
      <w:r w:rsidR="00022F13">
        <w:rPr>
          <w:rFonts w:ascii="Arial" w:hAnsi="Arial"/>
        </w:rPr>
        <w:t xml:space="preserve"> </w:t>
      </w:r>
      <w:r>
        <w:rPr>
          <w:rFonts w:ascii="Arial" w:hAnsi="Arial"/>
        </w:rPr>
        <w:t>وسيستمر البنك أيضًا في التشديد في جميع منتديات التنمية على ضرورة أن يستمر المانحون في تقديم المساندة، ويشمل ذلك إلى موازنة السلطة الفلسطينية.</w:t>
      </w:r>
      <w:r w:rsidR="00022F13">
        <w:rPr>
          <w:rFonts w:ascii="Arial" w:hAnsi="Arial"/>
        </w:rPr>
        <w:t xml:space="preserve"> </w:t>
      </w:r>
    </w:p>
    <w:p w14:paraId="142DAEAB" w14:textId="77777777" w:rsidR="00F720B9" w:rsidRPr="00F720B9" w:rsidRDefault="00F720B9" w:rsidP="00A63F6F">
      <w:pPr>
        <w:spacing w:after="0" w:line="240" w:lineRule="auto"/>
        <w:jc w:val="both"/>
        <w:rPr>
          <w:rFonts w:cs="Times New Roman"/>
          <w:b/>
          <w:bCs/>
        </w:rPr>
      </w:pPr>
    </w:p>
    <w:p w14:paraId="37928EFE" w14:textId="77777777" w:rsidR="005E6FCA" w:rsidRPr="005E6FCA" w:rsidRDefault="4F88A954" w:rsidP="00910065">
      <w:pPr>
        <w:pStyle w:val="ListParagraph"/>
        <w:numPr>
          <w:ilvl w:val="0"/>
          <w:numId w:val="6"/>
        </w:numPr>
        <w:spacing w:after="0" w:line="240" w:lineRule="auto"/>
        <w:jc w:val="both"/>
        <w:rPr>
          <w:rFonts w:ascii="Arial" w:eastAsia="Arial" w:hAnsi="Arial" w:cs="Arial"/>
        </w:rPr>
      </w:pPr>
      <w:r>
        <w:rPr>
          <w:rFonts w:ascii="Arial" w:hAnsi="Arial"/>
          <w:b/>
          <w:bCs/>
        </w:rPr>
        <w:t xml:space="preserve">أدى الحصار المستمر على غزة والسيطرة المحدودة للسلطة الكائنة في رام الله </w:t>
      </w:r>
      <w:r w:rsidR="00910065">
        <w:rPr>
          <w:rFonts w:ascii="Arial" w:hAnsi="Arial" w:hint="cs"/>
          <w:b/>
          <w:bCs/>
        </w:rPr>
        <w:t>على</w:t>
      </w:r>
      <w:r w:rsidR="00910065">
        <w:rPr>
          <w:rFonts w:ascii="Arial" w:hAnsi="Arial"/>
          <w:b/>
          <w:bCs/>
        </w:rPr>
        <w:t xml:space="preserve"> </w:t>
      </w:r>
      <w:r w:rsidR="00910065">
        <w:rPr>
          <w:rFonts w:ascii="Arial" w:hAnsi="Arial" w:hint="cs"/>
          <w:b/>
          <w:bCs/>
        </w:rPr>
        <w:t xml:space="preserve">قطاع </w:t>
      </w:r>
      <w:r>
        <w:rPr>
          <w:rFonts w:ascii="Arial" w:hAnsi="Arial"/>
          <w:b/>
          <w:bCs/>
        </w:rPr>
        <w:t>غزة إلى إعاقة المشروعات الاستثمارية عن تحقيق أهدافها.</w:t>
      </w:r>
      <w:r w:rsidR="00022F13">
        <w:rPr>
          <w:rFonts w:ascii="Arial" w:hAnsi="Arial"/>
          <w:b/>
          <w:bCs/>
        </w:rPr>
        <w:t xml:space="preserve"> </w:t>
      </w:r>
      <w:r>
        <w:rPr>
          <w:rFonts w:ascii="Arial" w:hAnsi="Arial"/>
        </w:rPr>
        <w:t>وسيتواصل البنك الدولي مع السلطات والجهات المعنية المجاورة لجلب المواد المطلوبة إلى غزة لتنفيذ المشروعات. وقد تأخر المشروع الطارئ لمعالجة مياه الصرف الصحي في شمال قطاع غزة كثيرًا بسبب صعوبة استيراد المواد اللازمة للمشروع المصنفة "للاستخدام المزدوج".</w:t>
      </w:r>
      <w:r w:rsidR="00022F13">
        <w:rPr>
          <w:rFonts w:ascii="Arial" w:hAnsi="Arial"/>
        </w:rPr>
        <w:t xml:space="preserve"> </w:t>
      </w:r>
      <w:r>
        <w:rPr>
          <w:rFonts w:ascii="Arial" w:hAnsi="Arial"/>
        </w:rPr>
        <w:t>ونظرًا لعدم سيطرة السلطة الفلسطينية على غزة، فإن ذلك يعوق إشراف البنك على المشروعات، كما حدث مؤخرًا في قطاع المياه.</w:t>
      </w:r>
      <w:r w:rsidR="00022F13">
        <w:rPr>
          <w:rFonts w:ascii="Arial" w:hAnsi="Arial"/>
        </w:rPr>
        <w:t xml:space="preserve"> </w:t>
      </w:r>
      <w:r>
        <w:rPr>
          <w:rFonts w:ascii="Arial" w:hAnsi="Arial"/>
        </w:rPr>
        <w:t>ويستلزم هذا جهود</w:t>
      </w:r>
      <w:r w:rsidR="00910065">
        <w:rPr>
          <w:rFonts w:ascii="Arial" w:hAnsi="Arial" w:hint="cs"/>
        </w:rPr>
        <w:t>ًا</w:t>
      </w:r>
      <w:r>
        <w:rPr>
          <w:rFonts w:ascii="Arial" w:hAnsi="Arial"/>
        </w:rPr>
        <w:t xml:space="preserve"> إشرافية إضافية لمشروعات البنك في غزة.</w:t>
      </w:r>
      <w:r w:rsidR="00022F13">
        <w:rPr>
          <w:rFonts w:ascii="Arial" w:hAnsi="Arial"/>
        </w:rPr>
        <w:t xml:space="preserve"> </w:t>
      </w:r>
      <w:r>
        <w:rPr>
          <w:rFonts w:ascii="Arial" w:hAnsi="Arial"/>
        </w:rPr>
        <w:t>وقد حدد فريق العمل المعني بالمخاطر في حافظة المشروعات مخاطر محددة تواجه أعمال التوريدات والتعاقدات والإدارة المالية.</w:t>
      </w:r>
      <w:r w:rsidR="00022F13">
        <w:rPr>
          <w:rFonts w:ascii="Arial" w:hAnsi="Arial"/>
        </w:rPr>
        <w:t xml:space="preserve"> </w:t>
      </w:r>
      <w:r>
        <w:rPr>
          <w:rFonts w:ascii="Arial" w:hAnsi="Arial"/>
        </w:rPr>
        <w:t xml:space="preserve">وقد </w:t>
      </w:r>
      <w:r w:rsidR="00910065">
        <w:rPr>
          <w:rFonts w:ascii="Arial" w:hAnsi="Arial" w:hint="cs"/>
        </w:rPr>
        <w:t>مثل</w:t>
      </w:r>
      <w:r w:rsidR="00910065">
        <w:rPr>
          <w:rFonts w:ascii="Arial" w:hAnsi="Arial"/>
        </w:rPr>
        <w:t xml:space="preserve"> </w:t>
      </w:r>
      <w:r>
        <w:rPr>
          <w:rFonts w:ascii="Arial" w:hAnsi="Arial"/>
        </w:rPr>
        <w:t>الحفاظ على جودة حافظة عمليات البنك الدولي الكائنة في غزة</w:t>
      </w:r>
      <w:r w:rsidR="00910065">
        <w:rPr>
          <w:rFonts w:ascii="Arial" w:hAnsi="Arial" w:hint="cs"/>
        </w:rPr>
        <w:t xml:space="preserve"> في صورة جيدة</w:t>
      </w:r>
      <w:r>
        <w:rPr>
          <w:rFonts w:ascii="Arial" w:hAnsi="Arial"/>
        </w:rPr>
        <w:t xml:space="preserve"> تحديًا، وقد يتطلب إشرافًا من جانب طرف ثالث أو تقليص المشروعات الاستثمارية في غزة. وإذا نجحت جهود المصالحة في الآونة الأخيرة، من الممكن زيادة أنشطة مجموعة البنك الدولي في غزة بصورة كبيرة على ضوء الاحتياجات الهائلة على أرض الواقع.</w:t>
      </w:r>
    </w:p>
    <w:p w14:paraId="0C847AF2" w14:textId="77777777" w:rsidR="005E6FCA" w:rsidRPr="005E6FCA" w:rsidRDefault="005E6FCA" w:rsidP="005E6FCA">
      <w:pPr>
        <w:pStyle w:val="ListParagraph"/>
        <w:rPr>
          <w:rFonts w:ascii="Times New Roman" w:hAnsi="Times New Roman" w:cs="Times New Roman"/>
          <w:b/>
        </w:rPr>
      </w:pPr>
    </w:p>
    <w:p w14:paraId="516D5321" w14:textId="77777777" w:rsidR="005E6FCA" w:rsidRPr="005E6FCA" w:rsidRDefault="4F88A954" w:rsidP="00BF4BE3">
      <w:pPr>
        <w:pStyle w:val="ListParagraph"/>
        <w:numPr>
          <w:ilvl w:val="0"/>
          <w:numId w:val="6"/>
        </w:numPr>
        <w:spacing w:after="0" w:line="240" w:lineRule="auto"/>
        <w:jc w:val="both"/>
        <w:rPr>
          <w:rFonts w:ascii="Arial" w:eastAsia="Arial" w:hAnsi="Arial" w:cs="Arial"/>
        </w:rPr>
      </w:pPr>
      <w:r>
        <w:rPr>
          <w:rFonts w:ascii="Arial" w:hAnsi="Arial"/>
          <w:b/>
          <w:bCs/>
        </w:rPr>
        <w:t>إذا تدهور الموقف الأمني بصورة كبيرة، سيعود البنك الدولي لمساندة العمليات الطارئة، وستعود مؤسسة التمويل الدولية للمشروعات الاستشارية وإدارة حافظة الاستثمارات الحالية.</w:t>
      </w:r>
      <w:r>
        <w:rPr>
          <w:rFonts w:ascii="Arial" w:hAnsi="Arial"/>
        </w:rPr>
        <w:t xml:space="preserve"> وستعتمد الإجراءات المتخذة على الصعوبات المحددة التي تتم مواجهتها، وستكون القرارات بالتشاور مع السلطة الفلسطينية وأصحاب المصلحة الآخرين.</w:t>
      </w:r>
      <w:r w:rsidR="00022F13">
        <w:rPr>
          <w:rFonts w:ascii="Arial" w:hAnsi="Arial"/>
        </w:rPr>
        <w:t xml:space="preserve"> </w:t>
      </w:r>
      <w:r>
        <w:rPr>
          <w:rFonts w:ascii="Arial" w:hAnsi="Arial"/>
        </w:rPr>
        <w:t>ولتخفيف المخاطر المتمثلة في وجود قناة واحدة من خلالها يتم تنفيذ المساعدة، سيعمل البنك الدولي مع السلطات المحلية والبلديات والمرافق والوسطاء الماليين والجمعيات الأهلية إذ سيقدم هؤلاء طرقًا إضافية للتنفيذ حتى يتنسى عدم المساس بتقديم الخدمات.</w:t>
      </w:r>
      <w:r w:rsidR="00022F13">
        <w:rPr>
          <w:rFonts w:ascii="Arial" w:hAnsi="Arial"/>
        </w:rPr>
        <w:t xml:space="preserve"> </w:t>
      </w:r>
      <w:r>
        <w:rPr>
          <w:rFonts w:ascii="Arial" w:hAnsi="Arial"/>
        </w:rPr>
        <w:t>وعلى جانب الوضع الأمني، نجد أن تصنيف التهديدات مرتفع بالنسبة للضفة الغربية ومرتفع للغاية في غزة.</w:t>
      </w:r>
      <w:r w:rsidR="00022F13">
        <w:rPr>
          <w:rFonts w:ascii="Arial" w:hAnsi="Arial"/>
        </w:rPr>
        <w:t xml:space="preserve"> </w:t>
      </w:r>
      <w:r>
        <w:rPr>
          <w:rFonts w:ascii="Arial" w:hAnsi="Arial"/>
          <w:color w:val="000000" w:themeColor="text1"/>
        </w:rPr>
        <w:t xml:space="preserve">ويقوم أخصائي الأمن المقيم بالتواصل دائمًا مع منظومة الأمن التابعة للأمم المتحدة. </w:t>
      </w:r>
      <w:r>
        <w:rPr>
          <w:rFonts w:ascii="Arial" w:hAnsi="Arial"/>
        </w:rPr>
        <w:t>وتجري مراجعة وتحديث خطة البرنامج الخاص بالاستجابة للطوارئ وضمان استمرار العمل بصورة دورية.</w:t>
      </w:r>
      <w:r>
        <w:rPr>
          <w:rFonts w:ascii="Arial" w:hAnsi="Arial"/>
          <w:color w:val="000000" w:themeColor="text1"/>
        </w:rPr>
        <w:t xml:space="preserve"> ويتم استخدام العربات المصفحة في سفريات بعثات وأفراد مجموعة البنك الدولي في الضفة الغربية، ويتم السفر داخل غزة باستخدام موكب مكون من سيارتين.</w:t>
      </w:r>
      <w:r w:rsidR="00022F13">
        <w:rPr>
          <w:rFonts w:ascii="Arial" w:hAnsi="Arial"/>
          <w:color w:val="000000" w:themeColor="text1"/>
        </w:rPr>
        <w:t xml:space="preserve"> </w:t>
      </w:r>
      <w:r>
        <w:rPr>
          <w:rFonts w:ascii="Arial" w:hAnsi="Arial"/>
        </w:rPr>
        <w:t xml:space="preserve">ولا يزال سيناريو التراجع الشديد في الوضع الأمني قائمًا. </w:t>
      </w:r>
    </w:p>
    <w:p w14:paraId="6A1B022F" w14:textId="77777777" w:rsidR="005E6FCA" w:rsidRPr="005E6FCA" w:rsidRDefault="005E6FCA" w:rsidP="005E6FCA">
      <w:pPr>
        <w:pStyle w:val="ListParagraph"/>
        <w:spacing w:after="0" w:line="240" w:lineRule="auto"/>
        <w:ind w:left="0"/>
        <w:jc w:val="both"/>
        <w:rPr>
          <w:rFonts w:ascii="Times New Roman" w:eastAsia="Cambria" w:hAnsi="Times New Roman" w:cs="Times New Roman"/>
          <w:iCs/>
        </w:rPr>
      </w:pPr>
    </w:p>
    <w:p w14:paraId="292FC62D" w14:textId="77777777" w:rsidR="00C67C9F" w:rsidRDefault="4F88A954" w:rsidP="00910065">
      <w:pPr>
        <w:pStyle w:val="ListParagraph"/>
        <w:numPr>
          <w:ilvl w:val="0"/>
          <w:numId w:val="6"/>
        </w:numPr>
        <w:spacing w:after="0" w:line="240" w:lineRule="auto"/>
        <w:jc w:val="both"/>
        <w:rPr>
          <w:rFonts w:ascii="Arial" w:hAnsi="Arial" w:cs="Arial"/>
        </w:rPr>
      </w:pPr>
      <w:r>
        <w:rPr>
          <w:rFonts w:ascii="Arial" w:hAnsi="Arial"/>
          <w:b/>
          <w:bCs/>
        </w:rPr>
        <w:t>سيعمل الاتفاق السياسي مع إسرائيل على زيادة الآفاق الاقتصادية والتخفيف من القيود التي تفرض تحديات على برنامج مجموعة البنك الدولي.</w:t>
      </w:r>
      <w:r w:rsidR="00022F13">
        <w:rPr>
          <w:rFonts w:ascii="Arial" w:hAnsi="Arial"/>
          <w:b/>
          <w:bCs/>
        </w:rPr>
        <w:t xml:space="preserve"> </w:t>
      </w:r>
      <w:r>
        <w:rPr>
          <w:rFonts w:ascii="Arial" w:hAnsi="Arial"/>
        </w:rPr>
        <w:t>وستتم الاستعانة بالخبرات والتجارب العالمية للبنك الدولي فيما يتعلق بأعمال التجديد بعد انتهاء الصراع لخدمة عملية تدعيم العملية التي ستكون هناك حاجة إليها على نحو أفضل.</w:t>
      </w:r>
      <w:r w:rsidR="00022F13">
        <w:rPr>
          <w:rFonts w:ascii="Arial" w:hAnsi="Arial"/>
        </w:rPr>
        <w:t xml:space="preserve"> </w:t>
      </w:r>
      <w:r>
        <w:rPr>
          <w:rFonts w:ascii="Arial" w:hAnsi="Arial"/>
        </w:rPr>
        <w:t>وفي ظل هذا السيناريو، من المرجح أن يتم تعزيز ثقة المستثمرين مع زيادة الاستثمارات المتدفقة إلى إعادة الإعمار والتنمية.</w:t>
      </w:r>
      <w:r w:rsidR="00022F13">
        <w:rPr>
          <w:rFonts w:ascii="Arial" w:hAnsi="Arial"/>
        </w:rPr>
        <w:t xml:space="preserve"> </w:t>
      </w:r>
      <w:r>
        <w:rPr>
          <w:rFonts w:ascii="Arial" w:hAnsi="Arial"/>
        </w:rPr>
        <w:t>وستكون هناك فرصة لزيادة مساندة البنك الدولي للضفة الغربية وغزة في مجالات مثل تقوية البلديات، والمياه، وتوليد الكهرباء، ومساندة ريادة الأعمال وخلق فرص العمل للمساعدة في الاستفادة من مزايا وموارد القطاع الخاص لتقريب الخدمات إلى الناس.</w:t>
      </w:r>
      <w:r w:rsidR="00022F13">
        <w:rPr>
          <w:rFonts w:ascii="Arial" w:hAnsi="Arial"/>
        </w:rPr>
        <w:t xml:space="preserve"> </w:t>
      </w:r>
      <w:r>
        <w:rPr>
          <w:rFonts w:ascii="Arial" w:hAnsi="Arial"/>
        </w:rPr>
        <w:t>وعلى نحو مماثل، ستعمل مؤسسة التمويل الدولية على تدعيم استثماراتها في جميع القطاعات، والعمل بصورة وثيقة مع البنك الدولي لضمان معالجة القيود الأساسية الخاصة بالسياسات التي تواجه القطاع الخاص من خلال الإصلاحات التي تقودها السلطة الفلسطينية.</w:t>
      </w:r>
      <w:r w:rsidR="00022F13">
        <w:rPr>
          <w:rFonts w:ascii="Arial" w:hAnsi="Arial"/>
        </w:rPr>
        <w:t xml:space="preserve"> </w:t>
      </w:r>
      <w:r>
        <w:rPr>
          <w:rFonts w:ascii="Arial" w:hAnsi="Arial"/>
        </w:rPr>
        <w:t>وسيساند البنك الدولي أيضًا الإصلاحات الهيكلية والقطاعية، وسيعمل على نقل عملية تقديم الخدمات لهيئات وجهات محايدة، مع وضع أولويات لاستخدام الموارد التي تتسم بالندرة لصالح الشرائح المستضعفة والمحرومة.</w:t>
      </w:r>
      <w:r w:rsidR="00022F13">
        <w:rPr>
          <w:rFonts w:ascii="Arial" w:hAnsi="Arial"/>
        </w:rPr>
        <w:t xml:space="preserve"> </w:t>
      </w:r>
      <w:r>
        <w:rPr>
          <w:rFonts w:ascii="Arial" w:hAnsi="Arial"/>
        </w:rPr>
        <w:t xml:space="preserve">وفي حالة حدوث تقدم في عملية السلام، ستتم مراجعة </w:t>
      </w:r>
      <w:r w:rsidR="00910065">
        <w:rPr>
          <w:rFonts w:ascii="Arial" w:hAnsi="Arial" w:hint="cs"/>
        </w:rPr>
        <w:t>إ</w:t>
      </w:r>
      <w:r w:rsidR="00910065">
        <w:rPr>
          <w:rFonts w:ascii="Arial" w:hAnsi="Arial"/>
        </w:rPr>
        <w:t xml:space="preserve">ستراتيجية </w:t>
      </w:r>
      <w:r>
        <w:rPr>
          <w:rFonts w:ascii="Arial" w:hAnsi="Arial"/>
        </w:rPr>
        <w:t xml:space="preserve">المساعدة المقترحة لتعزيز المزيد من نواتج التنمية. </w:t>
      </w:r>
    </w:p>
    <w:p w14:paraId="28D284EA" w14:textId="77777777" w:rsidR="001766AD" w:rsidRDefault="001766AD" w:rsidP="00C67C9F">
      <w:pPr>
        <w:pStyle w:val="ListParagraph"/>
        <w:spacing w:after="0" w:line="240" w:lineRule="auto"/>
        <w:ind w:left="0"/>
        <w:jc w:val="both"/>
        <w:rPr>
          <w:rFonts w:ascii="Times New Roman" w:hAnsi="Times New Roman" w:cs="Times New Roman"/>
        </w:rPr>
      </w:pPr>
    </w:p>
    <w:p w14:paraId="2F41D34F" w14:textId="77777777" w:rsidR="001766AD" w:rsidRDefault="001766AD">
      <w:pPr>
        <w:rPr>
          <w:rFonts w:ascii="Times New Roman" w:hAnsi="Times New Roman" w:cs="Times New Roman"/>
        </w:rPr>
        <w:sectPr w:rsidR="001766AD">
          <w:pgSz w:w="12240" w:h="15840"/>
          <w:pgMar w:top="1440" w:right="1440" w:bottom="1440" w:left="1440" w:header="720" w:footer="720" w:gutter="0"/>
          <w:pgNumType w:start="1"/>
          <w:cols w:space="720"/>
          <w:docGrid w:linePitch="360"/>
        </w:sectPr>
      </w:pPr>
    </w:p>
    <w:p w14:paraId="0B54506C" w14:textId="77777777" w:rsidR="005A774C" w:rsidRDefault="005A774C" w:rsidP="005A774C">
      <w:pPr>
        <w:rPr>
          <w:rFonts w:ascii="Times New Roman" w:hAnsi="Times New Roman" w:cs="Times New Roman"/>
        </w:rPr>
      </w:pPr>
    </w:p>
    <w:p w14:paraId="3C9E0717" w14:textId="77777777" w:rsidR="005A774C" w:rsidRPr="0087205C" w:rsidRDefault="005A774C" w:rsidP="005A774C">
      <w:pPr>
        <w:pStyle w:val="Heading2"/>
        <w:rPr>
          <w:rFonts w:cs="Times New Roman"/>
          <w:b w:val="0"/>
          <w:bCs/>
          <w:smallCaps w:val="0"/>
        </w:rPr>
      </w:pPr>
      <w:bookmarkStart w:id="49" w:name="_Toc498096416"/>
      <w:bookmarkStart w:id="50" w:name="_Toc500240975"/>
      <w:r w:rsidRPr="0087205C">
        <w:rPr>
          <w:rFonts w:cs="Times New Roman"/>
          <w:b w:val="0"/>
          <w:bCs/>
        </w:rPr>
        <w:t>الملحق 1 إطار رصد النتائج</w:t>
      </w:r>
      <w:bookmarkEnd w:id="49"/>
      <w:bookmarkEnd w:id="50"/>
    </w:p>
    <w:tbl>
      <w:tblPr>
        <w:tblStyle w:val="TableGrid"/>
        <w:bidiVisual/>
        <w:tblW w:w="12955" w:type="dxa"/>
        <w:tblLook w:val="04A0" w:firstRow="1" w:lastRow="0" w:firstColumn="1" w:lastColumn="0" w:noHBand="0" w:noVBand="1"/>
      </w:tblPr>
      <w:tblGrid>
        <w:gridCol w:w="8995"/>
        <w:gridCol w:w="3960"/>
      </w:tblGrid>
      <w:tr w:rsidR="005A774C" w:rsidRPr="00294AF8" w14:paraId="7FF8604E" w14:textId="77777777" w:rsidTr="002A3038">
        <w:trPr>
          <w:tblHeader/>
        </w:trPr>
        <w:tc>
          <w:tcPr>
            <w:tcW w:w="8995" w:type="dxa"/>
            <w:tcBorders>
              <w:bottom w:val="single" w:sz="4" w:space="0" w:color="auto"/>
            </w:tcBorders>
          </w:tcPr>
          <w:p w14:paraId="1582DE9E" w14:textId="77777777" w:rsidR="005A774C" w:rsidRPr="00294AF8" w:rsidRDefault="005A774C" w:rsidP="002A3038">
            <w:pPr>
              <w:jc w:val="center"/>
              <w:rPr>
                <w:rFonts w:ascii="Arial" w:eastAsia="Arial" w:hAnsi="Arial" w:cs="Arial"/>
                <w:b/>
                <w:sz w:val="20"/>
                <w:szCs w:val="20"/>
              </w:rPr>
            </w:pPr>
            <w:r>
              <w:rPr>
                <w:rFonts w:ascii="Arial" w:hAnsi="Arial"/>
                <w:b/>
                <w:bCs/>
                <w:sz w:val="20"/>
                <w:szCs w:val="20"/>
              </w:rPr>
              <w:t>مؤشرات النواتج</w:t>
            </w:r>
          </w:p>
        </w:tc>
        <w:tc>
          <w:tcPr>
            <w:tcW w:w="3960" w:type="dxa"/>
            <w:tcBorders>
              <w:bottom w:val="single" w:sz="4" w:space="0" w:color="auto"/>
            </w:tcBorders>
          </w:tcPr>
          <w:p w14:paraId="58A2FE08" w14:textId="77777777" w:rsidR="005A774C" w:rsidRPr="00294AF8" w:rsidRDefault="005A774C" w:rsidP="002A3038">
            <w:pPr>
              <w:jc w:val="center"/>
              <w:rPr>
                <w:rFonts w:ascii="Arial" w:eastAsia="Arial" w:hAnsi="Arial" w:cs="Arial"/>
                <w:b/>
                <w:sz w:val="20"/>
                <w:szCs w:val="20"/>
              </w:rPr>
            </w:pPr>
            <w:r>
              <w:rPr>
                <w:rFonts w:ascii="Arial" w:hAnsi="Arial"/>
                <w:b/>
                <w:bCs/>
                <w:sz w:val="20"/>
                <w:szCs w:val="20"/>
              </w:rPr>
              <w:t>برنامج مجموعة البنك الدولي</w:t>
            </w:r>
          </w:p>
        </w:tc>
      </w:tr>
      <w:tr w:rsidR="005A774C" w:rsidRPr="00294AF8" w14:paraId="5274456E" w14:textId="77777777" w:rsidTr="002A3038">
        <w:tc>
          <w:tcPr>
            <w:tcW w:w="12955" w:type="dxa"/>
            <w:gridSpan w:val="2"/>
            <w:shd w:val="clear" w:color="auto" w:fill="D9D9D9"/>
          </w:tcPr>
          <w:p w14:paraId="769383A6" w14:textId="77777777" w:rsidR="005A774C" w:rsidRDefault="005A774C" w:rsidP="002A3038">
            <w:pPr>
              <w:rPr>
                <w:rFonts w:ascii="Arial" w:eastAsia="Arial" w:hAnsi="Arial" w:cs="Arial"/>
                <w:b/>
              </w:rPr>
            </w:pPr>
            <w:r>
              <w:rPr>
                <w:rFonts w:ascii="Arial" w:hAnsi="Arial"/>
                <w:b/>
                <w:bCs/>
              </w:rPr>
              <w:t>الركيزة 1.</w:t>
            </w:r>
            <w:r>
              <w:rPr>
                <w:rFonts w:ascii="Arial" w:hAnsi="Arial"/>
                <w:b/>
                <w:bCs/>
                <w:sz w:val="20"/>
                <w:szCs w:val="20"/>
              </w:rPr>
              <w:t xml:space="preserve"> </w:t>
            </w:r>
            <w:r>
              <w:rPr>
                <w:rFonts w:ascii="Arial" w:hAnsi="Arial"/>
                <w:b/>
                <w:bCs/>
              </w:rPr>
              <w:t>تهيئة الظروف لزيادة استثمارات القطاع الخاص وخلق فرص عمل</w:t>
            </w:r>
          </w:p>
          <w:p w14:paraId="142E6620" w14:textId="77777777" w:rsidR="005A774C" w:rsidRPr="00294AF8" w:rsidRDefault="005A774C" w:rsidP="002A3038">
            <w:pPr>
              <w:rPr>
                <w:rFonts w:ascii="Arial" w:eastAsia="Arial" w:hAnsi="Arial" w:cs="Arial"/>
              </w:rPr>
            </w:pPr>
            <w:r>
              <w:rPr>
                <w:rFonts w:ascii="Arial" w:hAnsi="Arial"/>
              </w:rPr>
              <w:t>النواتج المقترحة: زيادة استثمارات القطاع الخاص وفرص العمل نتيجة الإصلاحات الأولية</w:t>
            </w:r>
          </w:p>
          <w:p w14:paraId="5310A5FA" w14:textId="77777777" w:rsidR="005A774C" w:rsidRPr="00424E42" w:rsidRDefault="005A774C" w:rsidP="002A3038">
            <w:pPr>
              <w:rPr>
                <w:rFonts w:ascii="Times New Roman" w:eastAsia="Calibri" w:hAnsi="Times New Roman" w:cs="Times New Roman"/>
                <w:sz w:val="10"/>
                <w:szCs w:val="10"/>
              </w:rPr>
            </w:pPr>
          </w:p>
          <w:p w14:paraId="40BC452E" w14:textId="77777777" w:rsidR="005A774C" w:rsidRDefault="005A774C" w:rsidP="002A3038">
            <w:pPr>
              <w:rPr>
                <w:rFonts w:ascii="Arial" w:eastAsia="Arial" w:hAnsi="Arial" w:cs="Arial"/>
                <w:sz w:val="20"/>
                <w:szCs w:val="20"/>
              </w:rPr>
            </w:pPr>
            <w:r>
              <w:rPr>
                <w:rFonts w:ascii="Arial" w:hAnsi="Arial"/>
                <w:sz w:val="20"/>
                <w:szCs w:val="20"/>
              </w:rPr>
              <w:t>تجري مساندة أولويات التنمية في أجندة السياسات الوطنية للسلطة الفلسطينية من خلال النواتج المقترحة في إطار الركيزة الأولى:</w:t>
            </w:r>
          </w:p>
          <w:p w14:paraId="11B6DBFE" w14:textId="77777777" w:rsidR="005A774C" w:rsidRDefault="005A774C" w:rsidP="002A3038">
            <w:pPr>
              <w:rPr>
                <w:rFonts w:ascii="Arial" w:eastAsia="Arial" w:hAnsi="Arial" w:cs="Arial"/>
                <w:i/>
                <w:iCs/>
                <w:sz w:val="20"/>
                <w:szCs w:val="20"/>
              </w:rPr>
            </w:pPr>
            <w:r>
              <w:rPr>
                <w:rFonts w:ascii="Arial" w:hAnsi="Arial"/>
                <w:sz w:val="20"/>
                <w:szCs w:val="20"/>
              </w:rPr>
              <w:t>الاستقلال الاقتصادي ــ يشمل ذلك السياسات</w:t>
            </w:r>
            <w:r w:rsidR="00BB230B">
              <w:rPr>
                <w:rFonts w:ascii="Arial" w:hAnsi="Arial" w:hint="cs"/>
                <w:sz w:val="20"/>
                <w:szCs w:val="20"/>
              </w:rPr>
              <w:t xml:space="preserve"> التالية</w:t>
            </w:r>
            <w:r>
              <w:rPr>
                <w:rFonts w:ascii="Arial" w:hAnsi="Arial"/>
                <w:sz w:val="20"/>
                <w:szCs w:val="20"/>
              </w:rPr>
              <w:t>:</w:t>
            </w:r>
            <w:r w:rsidR="00022F13">
              <w:rPr>
                <w:rFonts w:ascii="Arial" w:hAnsi="Arial"/>
                <w:sz w:val="20"/>
                <w:szCs w:val="20"/>
              </w:rPr>
              <w:t xml:space="preserve"> </w:t>
            </w:r>
            <w:r>
              <w:rPr>
                <w:rFonts w:ascii="Arial" w:hAnsi="Arial"/>
                <w:sz w:val="20"/>
                <w:szCs w:val="20"/>
              </w:rPr>
              <w:t>بناء الاقتصادي الفلسطيني في المستقبل، وخلق فرص العمل، والإدارة المالية العامة على نحو يتسم بالكفاءة، والانتقال من التعليم إلى العمل، وتحسين بيئة أنشطة الأعمال في فلسطين</w:t>
            </w:r>
          </w:p>
          <w:p w14:paraId="2F22506E" w14:textId="77777777" w:rsidR="005A774C" w:rsidRPr="002B580D" w:rsidRDefault="005A774C" w:rsidP="002A3038">
            <w:pPr>
              <w:rPr>
                <w:rFonts w:ascii="Times New Roman" w:eastAsia="Calibri" w:hAnsi="Times New Roman" w:cs="Times New Roman"/>
                <w:sz w:val="10"/>
                <w:szCs w:val="10"/>
              </w:rPr>
            </w:pPr>
          </w:p>
        </w:tc>
      </w:tr>
      <w:tr w:rsidR="005A774C" w:rsidRPr="00294AF8" w14:paraId="0CD94071" w14:textId="77777777" w:rsidTr="002A3038">
        <w:trPr>
          <w:trHeight w:val="1022"/>
        </w:trPr>
        <w:tc>
          <w:tcPr>
            <w:tcW w:w="8995" w:type="dxa"/>
          </w:tcPr>
          <w:p w14:paraId="51987303" w14:textId="77777777" w:rsidR="005A774C" w:rsidRPr="00FF3C01" w:rsidRDefault="005A774C" w:rsidP="002A3038">
            <w:pPr>
              <w:pStyle w:val="ListParagraph"/>
              <w:ind w:left="0"/>
              <w:jc w:val="center"/>
              <w:rPr>
                <w:rFonts w:ascii="Arial" w:eastAsia="Arial" w:hAnsi="Arial" w:cs="Arial"/>
                <w:sz w:val="20"/>
                <w:szCs w:val="20"/>
                <w:u w:val="single"/>
              </w:rPr>
            </w:pPr>
            <w:r>
              <w:rPr>
                <w:rFonts w:ascii="Arial" w:hAnsi="Arial"/>
                <w:sz w:val="20"/>
                <w:szCs w:val="20"/>
                <w:u w:val="single"/>
              </w:rPr>
              <w:t>تهيئة سياق داعم لاستثمارات القطاع الخاص</w:t>
            </w:r>
          </w:p>
          <w:p w14:paraId="60812310" w14:textId="77777777" w:rsidR="005A774C" w:rsidRPr="00FF3C01" w:rsidRDefault="005A774C" w:rsidP="002A3038">
            <w:pPr>
              <w:numPr>
                <w:ilvl w:val="0"/>
                <w:numId w:val="3"/>
              </w:numPr>
              <w:contextualSpacing/>
              <w:rPr>
                <w:rFonts w:ascii="Arial" w:eastAsia="Arial" w:hAnsi="Arial" w:cs="Arial"/>
                <w:sz w:val="20"/>
                <w:szCs w:val="20"/>
              </w:rPr>
            </w:pPr>
            <w:r>
              <w:rPr>
                <w:rFonts w:ascii="Arial" w:hAnsi="Arial"/>
                <w:sz w:val="20"/>
                <w:szCs w:val="20"/>
              </w:rPr>
              <w:t>متوسط عدد الأيام اللازمة للحصول على ترخيص ممارسة النشاط التجاري</w:t>
            </w:r>
          </w:p>
          <w:p w14:paraId="552B0902" w14:textId="77777777" w:rsidR="005A774C" w:rsidRPr="00FF3C01" w:rsidRDefault="005A774C" w:rsidP="002A3038">
            <w:pPr>
              <w:contextualSpacing/>
              <w:rPr>
                <w:rFonts w:ascii="Arial" w:eastAsia="Arial" w:hAnsi="Arial" w:cs="Arial"/>
                <w:sz w:val="20"/>
                <w:szCs w:val="20"/>
              </w:rPr>
            </w:pPr>
            <w:r>
              <w:rPr>
                <w:rFonts w:ascii="Arial" w:hAnsi="Arial"/>
                <w:sz w:val="20"/>
                <w:szCs w:val="20"/>
              </w:rPr>
              <w:t>خط الأساس: 36.00 (2017)</w:t>
            </w:r>
          </w:p>
          <w:p w14:paraId="6F0576A7" w14:textId="77777777" w:rsidR="005A774C" w:rsidRPr="00FF3C01" w:rsidRDefault="005A774C" w:rsidP="002A3038">
            <w:pPr>
              <w:contextualSpacing/>
              <w:rPr>
                <w:rFonts w:ascii="Arial" w:eastAsia="Arial" w:hAnsi="Arial" w:cs="Arial"/>
                <w:sz w:val="20"/>
                <w:szCs w:val="20"/>
                <w:u w:val="single"/>
              </w:rPr>
            </w:pPr>
            <w:r>
              <w:rPr>
                <w:rFonts w:ascii="Arial" w:hAnsi="Arial"/>
                <w:sz w:val="20"/>
                <w:szCs w:val="20"/>
              </w:rPr>
              <w:t>المستهدف:</w:t>
            </w:r>
            <w:r w:rsidR="00022F13">
              <w:rPr>
                <w:rFonts w:ascii="Arial" w:hAnsi="Arial"/>
                <w:sz w:val="20"/>
                <w:szCs w:val="20"/>
              </w:rPr>
              <w:t xml:space="preserve"> </w:t>
            </w:r>
            <w:r>
              <w:rPr>
                <w:rFonts w:ascii="Arial" w:hAnsi="Arial"/>
                <w:sz w:val="20"/>
                <w:szCs w:val="20"/>
              </w:rPr>
              <w:t>15.00 (2021)</w:t>
            </w:r>
          </w:p>
          <w:p w14:paraId="3FA5D835" w14:textId="77777777" w:rsidR="005A774C" w:rsidRPr="005F3D76" w:rsidRDefault="005A774C" w:rsidP="002A3038">
            <w:pPr>
              <w:contextualSpacing/>
              <w:rPr>
                <w:rFonts w:ascii="Times New Roman" w:eastAsia="Calibri" w:hAnsi="Times New Roman" w:cs="Times New Roman"/>
                <w:sz w:val="10"/>
                <w:szCs w:val="10"/>
                <w:u w:val="single"/>
              </w:rPr>
            </w:pPr>
          </w:p>
          <w:p w14:paraId="586446B0" w14:textId="77777777" w:rsidR="005A774C" w:rsidRPr="00FF3C01" w:rsidRDefault="005A774C" w:rsidP="00E95046">
            <w:pPr>
              <w:numPr>
                <w:ilvl w:val="0"/>
                <w:numId w:val="3"/>
              </w:numPr>
              <w:contextualSpacing/>
              <w:rPr>
                <w:rFonts w:ascii="Arial" w:eastAsia="Arial" w:hAnsi="Arial" w:cs="Arial"/>
                <w:color w:val="FF0000"/>
                <w:sz w:val="20"/>
                <w:szCs w:val="20"/>
              </w:rPr>
            </w:pPr>
            <w:r>
              <w:rPr>
                <w:rFonts w:ascii="Arial" w:hAnsi="Arial"/>
                <w:sz w:val="20"/>
                <w:szCs w:val="20"/>
              </w:rPr>
              <w:t xml:space="preserve">قامت وزارة الاقتصاد الوطني بإنشاء وتنفيذ سجل الأصول المنقولة الذي يسمح للشركات بالحصول على قروض وخدمات تمويل أخرى باستخدام الأصول المنقولة </w:t>
            </w:r>
            <w:r w:rsidR="00E95046">
              <w:rPr>
                <w:rFonts w:ascii="Arial" w:hAnsi="Arial" w:hint="cs"/>
                <w:sz w:val="20"/>
                <w:szCs w:val="20"/>
              </w:rPr>
              <w:t xml:space="preserve"> </w:t>
            </w:r>
          </w:p>
          <w:p w14:paraId="19F8BB30" w14:textId="77777777" w:rsidR="005A774C" w:rsidRPr="00FF3C01" w:rsidRDefault="005A774C" w:rsidP="002A3038">
            <w:pPr>
              <w:rPr>
                <w:rFonts w:ascii="Arial" w:eastAsia="Arial" w:hAnsi="Arial" w:cs="Arial"/>
                <w:sz w:val="20"/>
                <w:szCs w:val="20"/>
              </w:rPr>
            </w:pPr>
            <w:r>
              <w:rPr>
                <w:rFonts w:ascii="Arial" w:hAnsi="Arial"/>
                <w:sz w:val="20"/>
                <w:szCs w:val="20"/>
              </w:rPr>
              <w:t>خط الأساس: لا (2017)</w:t>
            </w:r>
          </w:p>
          <w:p w14:paraId="7631CD77" w14:textId="77777777" w:rsidR="005A774C" w:rsidRPr="00FF3C01" w:rsidRDefault="005A774C" w:rsidP="002A3038">
            <w:pPr>
              <w:rPr>
                <w:rFonts w:ascii="Arial" w:eastAsia="Arial" w:hAnsi="Arial" w:cs="Arial"/>
                <w:sz w:val="20"/>
                <w:szCs w:val="20"/>
              </w:rPr>
            </w:pPr>
            <w:r>
              <w:rPr>
                <w:rFonts w:ascii="Arial" w:hAnsi="Arial"/>
                <w:sz w:val="20"/>
                <w:szCs w:val="20"/>
              </w:rPr>
              <w:t>المستهدف:</w:t>
            </w:r>
            <w:r w:rsidR="00022F13">
              <w:rPr>
                <w:rFonts w:ascii="Arial" w:hAnsi="Arial"/>
                <w:sz w:val="20"/>
                <w:szCs w:val="20"/>
              </w:rPr>
              <w:t xml:space="preserve"> </w:t>
            </w:r>
            <w:r>
              <w:rPr>
                <w:rFonts w:ascii="Arial" w:hAnsi="Arial"/>
                <w:sz w:val="20"/>
                <w:szCs w:val="20"/>
              </w:rPr>
              <w:t>نعم (2018)</w:t>
            </w:r>
          </w:p>
          <w:p w14:paraId="6FA454CD" w14:textId="77777777" w:rsidR="005A774C" w:rsidRPr="005F3D76" w:rsidRDefault="005A774C" w:rsidP="002A3038">
            <w:pPr>
              <w:contextualSpacing/>
              <w:rPr>
                <w:rFonts w:ascii="Times New Roman" w:eastAsia="Calibri" w:hAnsi="Times New Roman" w:cs="Times New Roman"/>
                <w:sz w:val="10"/>
                <w:szCs w:val="10"/>
                <w:u w:val="single"/>
              </w:rPr>
            </w:pPr>
          </w:p>
          <w:p w14:paraId="0E561F02" w14:textId="77777777" w:rsidR="005A774C" w:rsidRPr="00FF3C01" w:rsidRDefault="005A774C" w:rsidP="002A3038">
            <w:pPr>
              <w:numPr>
                <w:ilvl w:val="0"/>
                <w:numId w:val="3"/>
              </w:numPr>
              <w:contextualSpacing/>
              <w:rPr>
                <w:rFonts w:ascii="Arial" w:eastAsia="Arial" w:hAnsi="Arial" w:cs="Arial"/>
                <w:sz w:val="20"/>
                <w:szCs w:val="20"/>
              </w:rPr>
            </w:pPr>
            <w:r>
              <w:rPr>
                <w:rFonts w:ascii="Arial" w:hAnsi="Arial"/>
                <w:sz w:val="20"/>
                <w:szCs w:val="20"/>
              </w:rPr>
              <w:t>فرص العمل التي تم إيجادها من خلال مساندة المشروع الثاني للتمويل لإيجاد فرص عمل (العدد)</w:t>
            </w:r>
          </w:p>
          <w:p w14:paraId="18F03DCF" w14:textId="77777777" w:rsidR="005A774C" w:rsidRPr="00FF3C01" w:rsidRDefault="005A774C" w:rsidP="002A3038">
            <w:pPr>
              <w:rPr>
                <w:rFonts w:ascii="Arial" w:eastAsia="Arial" w:hAnsi="Arial" w:cs="Arial"/>
                <w:sz w:val="20"/>
                <w:szCs w:val="20"/>
              </w:rPr>
            </w:pPr>
            <w:r>
              <w:rPr>
                <w:rFonts w:ascii="Arial" w:hAnsi="Arial"/>
                <w:sz w:val="20"/>
                <w:szCs w:val="20"/>
              </w:rPr>
              <w:t>خط الأساس: 0 (2017)</w:t>
            </w:r>
          </w:p>
          <w:p w14:paraId="537FFCE0" w14:textId="77777777" w:rsidR="005A774C" w:rsidRPr="00FF3C01" w:rsidRDefault="005A774C" w:rsidP="002A3038">
            <w:pPr>
              <w:contextualSpacing/>
              <w:rPr>
                <w:rFonts w:ascii="Arial" w:eastAsia="Arial" w:hAnsi="Arial" w:cs="Arial"/>
                <w:sz w:val="20"/>
                <w:szCs w:val="20"/>
              </w:rPr>
            </w:pPr>
            <w:r>
              <w:rPr>
                <w:rFonts w:ascii="Arial" w:hAnsi="Arial"/>
                <w:sz w:val="20"/>
                <w:szCs w:val="20"/>
              </w:rPr>
              <w:t>المستهدف: 1,300.00 (2021)</w:t>
            </w:r>
          </w:p>
          <w:p w14:paraId="7014EC92" w14:textId="77777777" w:rsidR="005A774C" w:rsidRPr="005F3D76" w:rsidRDefault="005A774C" w:rsidP="002A3038">
            <w:pPr>
              <w:contextualSpacing/>
              <w:rPr>
                <w:rFonts w:ascii="Times New Roman" w:eastAsia="Calibri" w:hAnsi="Times New Roman" w:cs="Times New Roman"/>
                <w:sz w:val="10"/>
                <w:szCs w:val="10"/>
                <w:u w:val="single"/>
              </w:rPr>
            </w:pPr>
          </w:p>
          <w:p w14:paraId="6DC49D04" w14:textId="77777777" w:rsidR="005A774C" w:rsidRPr="00FF3C01" w:rsidRDefault="005A774C" w:rsidP="002A3038">
            <w:pPr>
              <w:numPr>
                <w:ilvl w:val="0"/>
                <w:numId w:val="3"/>
              </w:numPr>
              <w:contextualSpacing/>
              <w:rPr>
                <w:rFonts w:ascii="Arial" w:eastAsia="Arial" w:hAnsi="Arial" w:cs="Arial"/>
                <w:sz w:val="20"/>
                <w:szCs w:val="20"/>
              </w:rPr>
            </w:pPr>
            <w:r>
              <w:rPr>
                <w:rFonts w:ascii="Arial" w:hAnsi="Arial"/>
                <w:sz w:val="20"/>
                <w:szCs w:val="20"/>
              </w:rPr>
              <w:t>الشركات الناشئة الجاهزة الاستثمار والتي قيد الحصول على المنح المناظرة لمنظومة العمل الحر (العدد)</w:t>
            </w:r>
          </w:p>
          <w:p w14:paraId="2AC88596" w14:textId="77777777" w:rsidR="005A774C" w:rsidRPr="00FF3C01" w:rsidRDefault="005A774C" w:rsidP="002A3038">
            <w:pPr>
              <w:rPr>
                <w:rFonts w:ascii="Arial" w:eastAsia="Arial" w:hAnsi="Arial" w:cs="Arial"/>
                <w:sz w:val="20"/>
                <w:szCs w:val="20"/>
              </w:rPr>
            </w:pPr>
            <w:r>
              <w:rPr>
                <w:rFonts w:ascii="Arial" w:hAnsi="Arial"/>
                <w:sz w:val="20"/>
                <w:szCs w:val="20"/>
              </w:rPr>
              <w:t>خط الأساس: 0.00 (2017)</w:t>
            </w:r>
          </w:p>
          <w:p w14:paraId="69B98AF4" w14:textId="77777777" w:rsidR="005A774C" w:rsidRPr="00FF3C01" w:rsidRDefault="005A774C" w:rsidP="002A3038">
            <w:pPr>
              <w:rPr>
                <w:rFonts w:ascii="Arial" w:eastAsia="Arial" w:hAnsi="Arial" w:cs="Arial"/>
                <w:sz w:val="20"/>
                <w:szCs w:val="20"/>
              </w:rPr>
            </w:pPr>
            <w:r>
              <w:rPr>
                <w:rFonts w:ascii="Arial" w:hAnsi="Arial"/>
                <w:sz w:val="20"/>
                <w:szCs w:val="20"/>
              </w:rPr>
              <w:t>المستهدف: 15.00 (2021)</w:t>
            </w:r>
          </w:p>
          <w:p w14:paraId="0E14AD14" w14:textId="77777777" w:rsidR="005A774C" w:rsidRPr="005F3D76" w:rsidRDefault="005A774C" w:rsidP="002A3038">
            <w:pPr>
              <w:contextualSpacing/>
              <w:rPr>
                <w:rFonts w:ascii="Times New Roman" w:eastAsia="Calibri" w:hAnsi="Times New Roman" w:cs="Times New Roman"/>
                <w:sz w:val="10"/>
                <w:szCs w:val="10"/>
                <w:u w:val="single"/>
              </w:rPr>
            </w:pPr>
          </w:p>
          <w:p w14:paraId="4A408419" w14:textId="77777777" w:rsidR="005A774C" w:rsidRPr="00FF3C01" w:rsidRDefault="005A774C" w:rsidP="002A3038">
            <w:pPr>
              <w:numPr>
                <w:ilvl w:val="0"/>
                <w:numId w:val="3"/>
              </w:numPr>
              <w:spacing w:line="252" w:lineRule="auto"/>
              <w:contextualSpacing/>
              <w:rPr>
                <w:rFonts w:ascii="Arial" w:hAnsi="Arial" w:cs="Arial"/>
                <w:sz w:val="20"/>
                <w:szCs w:val="20"/>
              </w:rPr>
            </w:pPr>
            <w:r>
              <w:rPr>
                <w:rFonts w:ascii="Arial" w:hAnsi="Arial"/>
                <w:sz w:val="20"/>
                <w:szCs w:val="20"/>
              </w:rPr>
              <w:t>حجم إجمالي التجارة (الواردات والصادرات) التي يساندها برنامج تمويل التجارة العالمية التابع لمؤسسة التمويل الدولية ــ استهداف المؤسسات الصغرى والصغيرة والمتوسطة بالدرجة الأولى (ملايين الدولارات)</w:t>
            </w:r>
          </w:p>
          <w:p w14:paraId="281896E3" w14:textId="77777777" w:rsidR="005A774C" w:rsidRPr="00FF3C01" w:rsidRDefault="005A774C" w:rsidP="002A3038">
            <w:pPr>
              <w:rPr>
                <w:rFonts w:ascii="Arial" w:hAnsi="Arial" w:cs="Arial"/>
                <w:sz w:val="20"/>
                <w:szCs w:val="20"/>
              </w:rPr>
            </w:pPr>
            <w:r>
              <w:rPr>
                <w:rFonts w:ascii="Arial" w:hAnsi="Arial"/>
                <w:sz w:val="20"/>
                <w:szCs w:val="20"/>
              </w:rPr>
              <w:t>خط الأساس: 11.2 (2017)</w:t>
            </w:r>
          </w:p>
          <w:p w14:paraId="52615A34" w14:textId="77777777" w:rsidR="005A774C" w:rsidRPr="00FF3C01" w:rsidRDefault="005A774C" w:rsidP="002A3038">
            <w:pPr>
              <w:rPr>
                <w:rFonts w:ascii="Arial" w:hAnsi="Arial" w:cs="Arial"/>
                <w:sz w:val="20"/>
                <w:szCs w:val="20"/>
              </w:rPr>
            </w:pPr>
            <w:r>
              <w:rPr>
                <w:rFonts w:ascii="Arial" w:hAnsi="Arial"/>
                <w:sz w:val="20"/>
                <w:szCs w:val="20"/>
              </w:rPr>
              <w:t>المستهدف: 14.00 (2021)</w:t>
            </w:r>
          </w:p>
          <w:p w14:paraId="7BCE71A0" w14:textId="77777777" w:rsidR="005A774C" w:rsidRPr="005F3D76" w:rsidRDefault="005A774C" w:rsidP="002A3038">
            <w:pPr>
              <w:contextualSpacing/>
              <w:rPr>
                <w:rFonts w:ascii="Times New Roman" w:eastAsia="Calibri" w:hAnsi="Times New Roman" w:cs="Times New Roman"/>
                <w:sz w:val="10"/>
                <w:szCs w:val="10"/>
                <w:u w:val="single"/>
              </w:rPr>
            </w:pPr>
          </w:p>
          <w:p w14:paraId="39EA072E" w14:textId="77777777" w:rsidR="005A774C" w:rsidRPr="00FF3C01" w:rsidRDefault="00BB230B" w:rsidP="002A3038">
            <w:pPr>
              <w:numPr>
                <w:ilvl w:val="0"/>
                <w:numId w:val="3"/>
              </w:numPr>
              <w:contextualSpacing/>
              <w:rPr>
                <w:rFonts w:ascii="Arial" w:eastAsia="Arial" w:hAnsi="Arial" w:cs="Arial"/>
                <w:sz w:val="20"/>
                <w:szCs w:val="20"/>
              </w:rPr>
            </w:pPr>
            <w:r>
              <w:rPr>
                <w:rFonts w:ascii="Arial" w:hAnsi="Arial" w:hint="cs"/>
                <w:sz w:val="20"/>
                <w:szCs w:val="20"/>
                <w:lang w:bidi="ar-EG"/>
              </w:rPr>
              <w:t>قيام</w:t>
            </w:r>
            <w:r w:rsidR="005A774C">
              <w:rPr>
                <w:rFonts w:ascii="Arial" w:hAnsi="Arial"/>
                <w:sz w:val="20"/>
                <w:szCs w:val="20"/>
              </w:rPr>
              <w:t xml:space="preserve"> البلديات والمجالس القروية بفتح حساب بنكي مستقل لإيداع الأموال المحصلة من فواتير الكهرباء لدفع مستحقات</w:t>
            </w:r>
            <w:r w:rsidR="00022F13">
              <w:rPr>
                <w:rFonts w:ascii="Arial" w:hAnsi="Arial"/>
                <w:sz w:val="20"/>
                <w:szCs w:val="20"/>
              </w:rPr>
              <w:t xml:space="preserve"> </w:t>
            </w:r>
            <w:r w:rsidR="005A774C">
              <w:rPr>
                <w:rFonts w:ascii="Arial" w:hAnsi="Arial"/>
                <w:sz w:val="20"/>
                <w:szCs w:val="20"/>
              </w:rPr>
              <w:t>شركة النقل الوطنية للكهرباء (نعم/لا)</w:t>
            </w:r>
          </w:p>
          <w:p w14:paraId="62223385" w14:textId="77777777" w:rsidR="005A774C" w:rsidRPr="00FF3C01" w:rsidRDefault="005A774C" w:rsidP="002A3038">
            <w:pPr>
              <w:rPr>
                <w:rFonts w:ascii="Arial" w:eastAsia="Arial" w:hAnsi="Arial" w:cs="Arial"/>
                <w:sz w:val="20"/>
                <w:szCs w:val="20"/>
              </w:rPr>
            </w:pPr>
            <w:r>
              <w:rPr>
                <w:rFonts w:ascii="Arial" w:hAnsi="Arial"/>
                <w:sz w:val="20"/>
                <w:szCs w:val="20"/>
              </w:rPr>
              <w:t>خط الأساس:</w:t>
            </w:r>
            <w:r>
              <w:rPr>
                <w:rFonts w:ascii="Arial" w:hAnsi="Arial"/>
                <w:color w:val="000000"/>
                <w:sz w:val="20"/>
                <w:szCs w:val="20"/>
              </w:rPr>
              <w:t xml:space="preserve"> </w:t>
            </w:r>
            <w:r>
              <w:rPr>
                <w:rFonts w:ascii="Arial" w:hAnsi="Arial"/>
                <w:sz w:val="20"/>
                <w:szCs w:val="20"/>
              </w:rPr>
              <w:t>لا (2017)</w:t>
            </w:r>
          </w:p>
          <w:p w14:paraId="551F5DEA" w14:textId="77777777" w:rsidR="005A774C" w:rsidRPr="00FF3C01" w:rsidRDefault="005A774C" w:rsidP="002A3038">
            <w:pPr>
              <w:autoSpaceDE w:val="0"/>
              <w:autoSpaceDN w:val="0"/>
              <w:adjustRightInd w:val="0"/>
              <w:rPr>
                <w:rFonts w:ascii="Arial" w:eastAsia="Arial" w:hAnsi="Arial" w:cs="Arial"/>
                <w:sz w:val="20"/>
                <w:szCs w:val="20"/>
              </w:rPr>
            </w:pPr>
            <w:r>
              <w:rPr>
                <w:rFonts w:ascii="Arial" w:hAnsi="Arial"/>
                <w:color w:val="000000"/>
                <w:sz w:val="20"/>
                <w:szCs w:val="20"/>
              </w:rPr>
              <w:t xml:space="preserve">المستهدف: </w:t>
            </w:r>
            <w:r>
              <w:t>نعم (2018)</w:t>
            </w:r>
          </w:p>
          <w:p w14:paraId="2F62C9BA" w14:textId="77777777" w:rsidR="005A774C" w:rsidRPr="005F3D76" w:rsidRDefault="005A774C" w:rsidP="002A3038">
            <w:pPr>
              <w:contextualSpacing/>
              <w:rPr>
                <w:rFonts w:ascii="Times New Roman" w:eastAsia="Calibri" w:hAnsi="Times New Roman" w:cs="Times New Roman"/>
                <w:sz w:val="10"/>
                <w:szCs w:val="10"/>
                <w:u w:val="single"/>
              </w:rPr>
            </w:pPr>
          </w:p>
          <w:p w14:paraId="7BE1B7BD" w14:textId="77777777" w:rsidR="005A774C" w:rsidRPr="00FF3C01" w:rsidRDefault="005A774C" w:rsidP="002A3038">
            <w:pPr>
              <w:numPr>
                <w:ilvl w:val="0"/>
                <w:numId w:val="3"/>
              </w:numPr>
              <w:contextualSpacing/>
              <w:rPr>
                <w:rFonts w:ascii="Arial" w:eastAsia="Arial" w:hAnsi="Arial" w:cs="Arial"/>
                <w:sz w:val="20"/>
                <w:szCs w:val="20"/>
              </w:rPr>
            </w:pPr>
            <w:r>
              <w:rPr>
                <w:rFonts w:ascii="Arial" w:hAnsi="Arial"/>
                <w:sz w:val="20"/>
                <w:szCs w:val="20"/>
              </w:rPr>
              <w:t>معدل تحصيل شركة النقل الوطنية للكهرباء من شركات التوزيع (النسبة المئوية)</w:t>
            </w:r>
          </w:p>
          <w:p w14:paraId="1D52BF54" w14:textId="77777777" w:rsidR="005A774C" w:rsidRPr="00FF3C01" w:rsidRDefault="005A774C" w:rsidP="002A3038">
            <w:pPr>
              <w:rPr>
                <w:rFonts w:ascii="Arial" w:eastAsia="Arial" w:hAnsi="Arial" w:cs="Arial"/>
                <w:sz w:val="20"/>
                <w:szCs w:val="20"/>
              </w:rPr>
            </w:pPr>
            <w:r>
              <w:rPr>
                <w:rFonts w:ascii="Arial" w:hAnsi="Arial"/>
                <w:sz w:val="20"/>
                <w:szCs w:val="20"/>
              </w:rPr>
              <w:t>خط الأساس:</w:t>
            </w:r>
            <w:r>
              <w:rPr>
                <w:rFonts w:ascii="Arial" w:hAnsi="Arial"/>
                <w:color w:val="000000"/>
                <w:sz w:val="20"/>
                <w:szCs w:val="20"/>
              </w:rPr>
              <w:t xml:space="preserve"> 0.00 </w:t>
            </w:r>
            <w:r>
              <w:rPr>
                <w:rFonts w:ascii="Arial" w:hAnsi="Arial"/>
                <w:sz w:val="20"/>
                <w:szCs w:val="20"/>
              </w:rPr>
              <w:t>(2017)</w:t>
            </w:r>
          </w:p>
          <w:p w14:paraId="0A82C220" w14:textId="77777777" w:rsidR="005A774C" w:rsidRPr="00FF3C01" w:rsidRDefault="005A774C" w:rsidP="002A3038">
            <w:pPr>
              <w:autoSpaceDE w:val="0"/>
              <w:autoSpaceDN w:val="0"/>
              <w:adjustRightInd w:val="0"/>
              <w:rPr>
                <w:rFonts w:ascii="Arial" w:eastAsia="Arial" w:hAnsi="Arial" w:cs="Arial"/>
                <w:sz w:val="20"/>
                <w:szCs w:val="20"/>
              </w:rPr>
            </w:pPr>
            <w:r>
              <w:rPr>
                <w:rFonts w:ascii="Arial" w:hAnsi="Arial"/>
                <w:color w:val="000000"/>
                <w:sz w:val="20"/>
                <w:szCs w:val="20"/>
              </w:rPr>
              <w:t xml:space="preserve">المستهدف: </w:t>
            </w:r>
            <w:r>
              <w:rPr>
                <w:rFonts w:ascii="Arial" w:hAnsi="Arial"/>
                <w:sz w:val="20"/>
                <w:szCs w:val="20"/>
              </w:rPr>
              <w:t>85.00 (2021)</w:t>
            </w:r>
          </w:p>
          <w:p w14:paraId="555DF979" w14:textId="77777777" w:rsidR="005A774C" w:rsidRDefault="005A774C" w:rsidP="002A3038">
            <w:pPr>
              <w:contextualSpacing/>
              <w:rPr>
                <w:rFonts w:ascii="Times New Roman" w:eastAsia="Calibri" w:hAnsi="Times New Roman" w:cs="Times New Roman"/>
                <w:sz w:val="10"/>
                <w:szCs w:val="10"/>
                <w:u w:val="single"/>
              </w:rPr>
            </w:pPr>
          </w:p>
          <w:p w14:paraId="11388B79" w14:textId="77777777" w:rsidR="005A774C" w:rsidRDefault="005A774C" w:rsidP="002A3038">
            <w:pPr>
              <w:contextualSpacing/>
              <w:rPr>
                <w:rFonts w:ascii="Times New Roman" w:eastAsia="Calibri" w:hAnsi="Times New Roman" w:cs="Times New Roman"/>
                <w:sz w:val="10"/>
                <w:szCs w:val="10"/>
                <w:u w:val="single"/>
              </w:rPr>
            </w:pPr>
          </w:p>
          <w:p w14:paraId="414B65BE" w14:textId="77777777" w:rsidR="005A774C" w:rsidRPr="005F3D76" w:rsidRDefault="005A774C" w:rsidP="002A3038">
            <w:pPr>
              <w:contextualSpacing/>
              <w:rPr>
                <w:rFonts w:ascii="Times New Roman" w:eastAsia="Calibri" w:hAnsi="Times New Roman" w:cs="Times New Roman"/>
                <w:sz w:val="10"/>
                <w:szCs w:val="10"/>
                <w:u w:val="single"/>
              </w:rPr>
            </w:pPr>
          </w:p>
          <w:p w14:paraId="048AFA20" w14:textId="77777777" w:rsidR="005A774C" w:rsidRPr="00FF3C01" w:rsidRDefault="005A774C" w:rsidP="002A3038">
            <w:pPr>
              <w:numPr>
                <w:ilvl w:val="0"/>
                <w:numId w:val="3"/>
              </w:numPr>
              <w:contextualSpacing/>
              <w:rPr>
                <w:rFonts w:ascii="Arial" w:eastAsia="Arial" w:hAnsi="Arial" w:cs="Arial"/>
                <w:sz w:val="20"/>
                <w:szCs w:val="20"/>
              </w:rPr>
            </w:pPr>
            <w:r>
              <w:rPr>
                <w:rFonts w:ascii="Arial" w:hAnsi="Arial"/>
                <w:sz w:val="20"/>
                <w:szCs w:val="20"/>
              </w:rPr>
              <w:lastRenderedPageBreak/>
              <w:t>عدد البلديات التي لديها فائض في العمليات والمشروعات وعدم زيادة في المتأخرات</w:t>
            </w:r>
          </w:p>
          <w:p w14:paraId="62AA57C4" w14:textId="77777777" w:rsidR="005A774C" w:rsidRPr="00FF3C01" w:rsidRDefault="005A774C" w:rsidP="002A3038">
            <w:pPr>
              <w:rPr>
                <w:rFonts w:ascii="Arial" w:eastAsia="Arial" w:hAnsi="Arial" w:cs="Arial"/>
                <w:sz w:val="20"/>
                <w:szCs w:val="20"/>
              </w:rPr>
            </w:pPr>
            <w:r>
              <w:rPr>
                <w:rFonts w:ascii="Arial" w:hAnsi="Arial"/>
                <w:sz w:val="20"/>
                <w:szCs w:val="20"/>
              </w:rPr>
              <w:t>خط الأساس:</w:t>
            </w:r>
            <w:r>
              <w:rPr>
                <w:rFonts w:ascii="Arial" w:hAnsi="Arial"/>
                <w:color w:val="000000"/>
                <w:sz w:val="20"/>
                <w:szCs w:val="20"/>
              </w:rPr>
              <w:t xml:space="preserve"> 40.00 </w:t>
            </w:r>
            <w:r>
              <w:rPr>
                <w:rFonts w:ascii="Arial" w:hAnsi="Arial"/>
                <w:sz w:val="20"/>
                <w:szCs w:val="20"/>
              </w:rPr>
              <w:t>(2017)</w:t>
            </w:r>
          </w:p>
          <w:p w14:paraId="3BF5F89C" w14:textId="77777777" w:rsidR="005A774C" w:rsidRPr="00FF3C01" w:rsidRDefault="005A774C" w:rsidP="002A3038">
            <w:pPr>
              <w:rPr>
                <w:rFonts w:ascii="Arial" w:eastAsia="Arial" w:hAnsi="Arial" w:cs="Arial"/>
                <w:sz w:val="20"/>
                <w:szCs w:val="20"/>
              </w:rPr>
            </w:pPr>
            <w:r>
              <w:rPr>
                <w:rFonts w:ascii="Arial" w:hAnsi="Arial"/>
                <w:color w:val="000000"/>
                <w:sz w:val="20"/>
                <w:szCs w:val="20"/>
              </w:rPr>
              <w:t>المستهدف:</w:t>
            </w:r>
            <w:r w:rsidR="00022F13">
              <w:rPr>
                <w:rFonts w:ascii="Arial" w:hAnsi="Arial"/>
                <w:color w:val="000000"/>
                <w:sz w:val="20"/>
                <w:szCs w:val="20"/>
              </w:rPr>
              <w:t xml:space="preserve"> </w:t>
            </w:r>
            <w:r>
              <w:rPr>
                <w:rFonts w:ascii="Arial" w:hAnsi="Arial"/>
                <w:color w:val="000000"/>
                <w:sz w:val="20"/>
                <w:szCs w:val="20"/>
              </w:rPr>
              <w:t xml:space="preserve">80.00 </w:t>
            </w:r>
            <w:r>
              <w:rPr>
                <w:rFonts w:ascii="Arial" w:hAnsi="Arial"/>
                <w:sz w:val="20"/>
                <w:szCs w:val="20"/>
              </w:rPr>
              <w:t>(2021)</w:t>
            </w:r>
          </w:p>
          <w:p w14:paraId="664F3C8E" w14:textId="77777777" w:rsidR="005A774C" w:rsidRPr="005F3D76" w:rsidRDefault="005A774C" w:rsidP="002A3038">
            <w:pPr>
              <w:contextualSpacing/>
              <w:rPr>
                <w:rFonts w:ascii="Times New Roman" w:eastAsia="Calibri" w:hAnsi="Times New Roman" w:cs="Times New Roman"/>
                <w:sz w:val="10"/>
                <w:szCs w:val="10"/>
                <w:u w:val="single"/>
              </w:rPr>
            </w:pPr>
          </w:p>
          <w:p w14:paraId="08D30328" w14:textId="77777777" w:rsidR="005A774C" w:rsidRPr="00FF3C01" w:rsidRDefault="005A774C" w:rsidP="002A3038">
            <w:pPr>
              <w:pStyle w:val="ListParagraph"/>
              <w:numPr>
                <w:ilvl w:val="0"/>
                <w:numId w:val="3"/>
              </w:numPr>
              <w:contextualSpacing w:val="0"/>
              <w:rPr>
                <w:rFonts w:ascii="Arial" w:hAnsi="Arial" w:cs="Arial"/>
                <w:sz w:val="20"/>
                <w:szCs w:val="20"/>
              </w:rPr>
            </w:pPr>
            <w:r>
              <w:rPr>
                <w:rFonts w:ascii="Arial" w:hAnsi="Arial"/>
                <w:sz w:val="20"/>
                <w:szCs w:val="20"/>
              </w:rPr>
              <w:t xml:space="preserve">قدرة توليد الكهرباء من مشروعات الطاقة المتجددة بمشاركة مجموعة البنك الدولي (عدد الميجاواط): </w:t>
            </w:r>
          </w:p>
          <w:p w14:paraId="222CDAC4" w14:textId="77777777" w:rsidR="005A774C" w:rsidRPr="00FF3C01" w:rsidRDefault="005A774C" w:rsidP="002A3038">
            <w:pPr>
              <w:rPr>
                <w:rFonts w:ascii="Arial" w:hAnsi="Arial" w:cs="Arial"/>
                <w:sz w:val="20"/>
                <w:szCs w:val="20"/>
              </w:rPr>
            </w:pPr>
            <w:r>
              <w:rPr>
                <w:rFonts w:ascii="Arial" w:hAnsi="Arial"/>
                <w:sz w:val="20"/>
                <w:szCs w:val="20"/>
              </w:rPr>
              <w:t>خط الأساس: 0 (2017)</w:t>
            </w:r>
          </w:p>
          <w:p w14:paraId="2DD164C0" w14:textId="77777777" w:rsidR="005A774C" w:rsidRPr="00FF3C01" w:rsidRDefault="005A774C" w:rsidP="002A3038">
            <w:pPr>
              <w:rPr>
                <w:rFonts w:ascii="Arial" w:hAnsi="Arial" w:cs="Arial"/>
                <w:sz w:val="20"/>
                <w:szCs w:val="20"/>
              </w:rPr>
            </w:pPr>
            <w:r>
              <w:rPr>
                <w:rFonts w:ascii="Arial" w:hAnsi="Arial"/>
                <w:sz w:val="20"/>
                <w:szCs w:val="20"/>
              </w:rPr>
              <w:t>المستهدف: [25</w:t>
            </w:r>
            <w:r w:rsidR="00022F13">
              <w:rPr>
                <w:rFonts w:ascii="Arial" w:hAnsi="Arial"/>
                <w:sz w:val="20"/>
                <w:szCs w:val="20"/>
              </w:rPr>
              <w:t xml:space="preserve"> </w:t>
            </w:r>
            <w:r>
              <w:rPr>
                <w:rFonts w:ascii="Arial" w:hAnsi="Arial"/>
                <w:sz w:val="20"/>
                <w:szCs w:val="20"/>
              </w:rPr>
              <w:t xml:space="preserve">ميجاواط: مشروع الطاقة الشمسية لمؤسسة التمويل الدولية + 7 </w:t>
            </w:r>
            <w:r w:rsidR="00BB230B">
              <w:rPr>
                <w:rFonts w:ascii="Arial" w:hAnsi="Arial" w:hint="cs"/>
                <w:sz w:val="20"/>
                <w:szCs w:val="20"/>
              </w:rPr>
              <w:t>ميجاواط:</w:t>
            </w:r>
            <w:r>
              <w:rPr>
                <w:rFonts w:ascii="Arial" w:hAnsi="Arial"/>
                <w:sz w:val="20"/>
                <w:szCs w:val="20"/>
              </w:rPr>
              <w:t xml:space="preserve"> مشروع الطاقة الشمسية للمؤسسة/البنك في المنطقة الصناعية بغزة] 32 ميجاواط (2021)</w:t>
            </w:r>
          </w:p>
          <w:p w14:paraId="5512E188" w14:textId="77777777" w:rsidR="005A774C" w:rsidRPr="005F3D76" w:rsidRDefault="005A774C" w:rsidP="002A3038">
            <w:pPr>
              <w:contextualSpacing/>
              <w:rPr>
                <w:rFonts w:ascii="Times New Roman" w:eastAsia="Calibri" w:hAnsi="Times New Roman" w:cs="Times New Roman"/>
                <w:sz w:val="10"/>
                <w:szCs w:val="10"/>
                <w:u w:val="single"/>
              </w:rPr>
            </w:pPr>
          </w:p>
          <w:p w14:paraId="5062F8B2" w14:textId="77777777" w:rsidR="005A774C" w:rsidRPr="00FF3C01" w:rsidRDefault="005A774C" w:rsidP="002A3038">
            <w:pPr>
              <w:numPr>
                <w:ilvl w:val="0"/>
                <w:numId w:val="3"/>
              </w:numPr>
              <w:spacing w:after="160" w:line="259" w:lineRule="auto"/>
              <w:contextualSpacing/>
              <w:rPr>
                <w:rFonts w:ascii="Arial" w:eastAsia="Arial" w:hAnsi="Arial" w:cs="Arial"/>
                <w:color w:val="FF0000"/>
                <w:sz w:val="20"/>
                <w:szCs w:val="20"/>
              </w:rPr>
            </w:pPr>
            <w:r>
              <w:rPr>
                <w:rFonts w:ascii="Arial" w:hAnsi="Arial"/>
                <w:sz w:val="20"/>
                <w:szCs w:val="20"/>
              </w:rPr>
              <w:t>حجم القروض القائمة للمؤسسات الصغرى والصغيرة والمتوسطة (ملايين الدولارات)</w:t>
            </w:r>
          </w:p>
          <w:p w14:paraId="7FEB99C7" w14:textId="77777777" w:rsidR="005A774C" w:rsidRPr="00FF3C01" w:rsidRDefault="005A774C" w:rsidP="002A3038">
            <w:pPr>
              <w:rPr>
                <w:rFonts w:ascii="Arial" w:eastAsia="Arial" w:hAnsi="Arial" w:cs="Arial"/>
                <w:sz w:val="20"/>
                <w:szCs w:val="20"/>
              </w:rPr>
            </w:pPr>
            <w:r>
              <w:rPr>
                <w:rFonts w:ascii="Arial" w:hAnsi="Arial"/>
                <w:sz w:val="20"/>
                <w:szCs w:val="20"/>
              </w:rPr>
              <w:t>خط الأساس: 349.00 (2017)</w:t>
            </w:r>
          </w:p>
          <w:p w14:paraId="0C7774B0" w14:textId="77777777" w:rsidR="005A774C" w:rsidRDefault="005A774C" w:rsidP="002A3038">
            <w:pPr>
              <w:rPr>
                <w:rFonts w:ascii="Arial" w:eastAsia="Arial" w:hAnsi="Arial" w:cs="Arial"/>
                <w:sz w:val="20"/>
                <w:szCs w:val="20"/>
              </w:rPr>
            </w:pPr>
            <w:r>
              <w:rPr>
                <w:rFonts w:ascii="Arial" w:hAnsi="Arial"/>
                <w:sz w:val="20"/>
                <w:szCs w:val="20"/>
              </w:rPr>
              <w:t>المستهدف:</w:t>
            </w:r>
            <w:r w:rsidR="00022F13">
              <w:rPr>
                <w:rFonts w:ascii="Arial" w:hAnsi="Arial"/>
                <w:sz w:val="20"/>
                <w:szCs w:val="20"/>
              </w:rPr>
              <w:t xml:space="preserve"> </w:t>
            </w:r>
            <w:r>
              <w:rPr>
                <w:rFonts w:ascii="Arial" w:hAnsi="Arial"/>
                <w:sz w:val="20"/>
                <w:szCs w:val="20"/>
              </w:rPr>
              <w:t>400.00 (2021)</w:t>
            </w:r>
          </w:p>
          <w:p w14:paraId="5DC42E1F" w14:textId="77777777" w:rsidR="005A774C" w:rsidRPr="00B846FA" w:rsidRDefault="005A774C" w:rsidP="002A3038">
            <w:pPr>
              <w:rPr>
                <w:rFonts w:ascii="Times New Roman" w:eastAsia="Calibri" w:hAnsi="Times New Roman" w:cs="Times New Roman"/>
                <w:sz w:val="10"/>
                <w:szCs w:val="10"/>
              </w:rPr>
            </w:pPr>
          </w:p>
        </w:tc>
        <w:tc>
          <w:tcPr>
            <w:tcW w:w="3960" w:type="dxa"/>
          </w:tcPr>
          <w:p w14:paraId="4A2A3F37" w14:textId="77777777" w:rsidR="005A774C" w:rsidRPr="00294AF8" w:rsidRDefault="005A774C" w:rsidP="002A3038">
            <w:pPr>
              <w:rPr>
                <w:rFonts w:ascii="Arial" w:eastAsia="Arial" w:hAnsi="Arial" w:cs="Arial"/>
                <w:sz w:val="20"/>
                <w:szCs w:val="20"/>
              </w:rPr>
            </w:pPr>
            <w:r>
              <w:rPr>
                <w:rFonts w:ascii="Arial" w:hAnsi="Arial"/>
                <w:sz w:val="20"/>
                <w:szCs w:val="20"/>
                <w:u w:val="single"/>
              </w:rPr>
              <w:lastRenderedPageBreak/>
              <w:t>القائم</w:t>
            </w:r>
          </w:p>
          <w:p w14:paraId="51C806A8" w14:textId="77777777" w:rsidR="005A774C" w:rsidRDefault="005A774C" w:rsidP="002A3038">
            <w:pPr>
              <w:rPr>
                <w:rFonts w:ascii="Arial" w:eastAsia="Arial" w:hAnsi="Arial" w:cs="Arial"/>
                <w:sz w:val="20"/>
                <w:szCs w:val="20"/>
              </w:rPr>
            </w:pPr>
            <w:r>
              <w:rPr>
                <w:rFonts w:ascii="Arial" w:hAnsi="Arial"/>
                <w:sz w:val="20"/>
                <w:szCs w:val="20"/>
              </w:rPr>
              <w:t>-- مساندة بنك الاستثمار الفلسطيني للمؤسسات الصغرى والصغيرة والمتوسطة (مؤسسة التمويل الدولية)</w:t>
            </w:r>
          </w:p>
          <w:p w14:paraId="01B44788" w14:textId="77777777" w:rsidR="005A774C" w:rsidRDefault="005A774C" w:rsidP="002A3038">
            <w:pPr>
              <w:rPr>
                <w:rFonts w:ascii="Arial" w:eastAsia="Arial" w:hAnsi="Arial" w:cs="Arial"/>
                <w:sz w:val="20"/>
                <w:szCs w:val="20"/>
              </w:rPr>
            </w:pPr>
            <w:r>
              <w:rPr>
                <w:rFonts w:ascii="Arial" w:hAnsi="Arial"/>
                <w:sz w:val="20"/>
                <w:szCs w:val="20"/>
              </w:rPr>
              <w:t>-- مشروع الانتقال من التعليم إلى العمل</w:t>
            </w:r>
          </w:p>
          <w:p w14:paraId="7C28E07A" w14:textId="77777777" w:rsidR="005A774C" w:rsidRDefault="005A774C" w:rsidP="002A3038">
            <w:pPr>
              <w:rPr>
                <w:rFonts w:ascii="Arial" w:eastAsia="Arial" w:hAnsi="Arial" w:cs="Arial"/>
                <w:sz w:val="20"/>
                <w:szCs w:val="20"/>
              </w:rPr>
            </w:pPr>
            <w:r>
              <w:rPr>
                <w:rFonts w:ascii="Arial" w:hAnsi="Arial"/>
                <w:sz w:val="20"/>
                <w:szCs w:val="20"/>
              </w:rPr>
              <w:t>-- مشروع تحسين أداء قطاع الكهرباء</w:t>
            </w:r>
          </w:p>
          <w:p w14:paraId="4738B1BE" w14:textId="77777777" w:rsidR="005A774C" w:rsidRPr="00294AF8" w:rsidRDefault="005A774C" w:rsidP="002A3038">
            <w:pPr>
              <w:rPr>
                <w:rFonts w:ascii="Arial" w:eastAsia="Arial" w:hAnsi="Arial" w:cs="Arial"/>
                <w:sz w:val="20"/>
                <w:szCs w:val="20"/>
              </w:rPr>
            </w:pPr>
            <w:r>
              <w:rPr>
                <w:rFonts w:ascii="Arial" w:hAnsi="Arial"/>
                <w:sz w:val="20"/>
                <w:szCs w:val="20"/>
              </w:rPr>
              <w:t xml:space="preserve">-- </w:t>
            </w:r>
            <w:r w:rsidR="00BB230B">
              <w:rPr>
                <w:rFonts w:ascii="Arial" w:hAnsi="Arial" w:hint="cs"/>
                <w:sz w:val="20"/>
                <w:szCs w:val="20"/>
              </w:rPr>
              <w:t xml:space="preserve">برنامج </w:t>
            </w:r>
            <w:r w:rsidRPr="00BB230B">
              <w:rPr>
                <w:rFonts w:ascii="Arial" w:hAnsi="Arial"/>
                <w:b/>
                <w:bCs/>
                <w:i/>
                <w:iCs/>
                <w:sz w:val="20"/>
                <w:szCs w:val="20"/>
              </w:rPr>
              <w:t>فاتن</w:t>
            </w:r>
            <w:r>
              <w:rPr>
                <w:rFonts w:ascii="Arial" w:hAnsi="Arial"/>
                <w:sz w:val="20"/>
                <w:szCs w:val="20"/>
              </w:rPr>
              <w:t xml:space="preserve"> ــ استثمارات تمويل أصغر (مؤسسة التمويل الدولية)</w:t>
            </w:r>
          </w:p>
          <w:p w14:paraId="65079585" w14:textId="77777777" w:rsidR="005A774C" w:rsidRPr="000E7287" w:rsidRDefault="005A774C" w:rsidP="002A3038">
            <w:pPr>
              <w:rPr>
                <w:rFonts w:ascii="Arial" w:eastAsia="Arial" w:hAnsi="Arial" w:cs="Arial"/>
                <w:sz w:val="20"/>
                <w:szCs w:val="20"/>
              </w:rPr>
            </w:pPr>
            <w:r>
              <w:rPr>
                <w:rFonts w:ascii="Arial" w:hAnsi="Arial"/>
                <w:sz w:val="20"/>
                <w:szCs w:val="20"/>
              </w:rPr>
              <w:t xml:space="preserve">-- </w:t>
            </w:r>
            <w:r w:rsidR="00AF61E9">
              <w:rPr>
                <w:rFonts w:ascii="Arial" w:hAnsi="Arial" w:hint="cs"/>
                <w:b/>
                <w:bCs/>
                <w:i/>
                <w:iCs/>
                <w:sz w:val="20"/>
                <w:szCs w:val="20"/>
              </w:rPr>
              <w:t xml:space="preserve">برنامج </w:t>
            </w:r>
            <w:r w:rsidRPr="00BB230B">
              <w:rPr>
                <w:rFonts w:ascii="Arial" w:hAnsi="Arial"/>
                <w:b/>
                <w:bCs/>
                <w:i/>
                <w:iCs/>
                <w:sz w:val="20"/>
                <w:szCs w:val="20"/>
              </w:rPr>
              <w:t>فلسطينية</w:t>
            </w:r>
            <w:r>
              <w:rPr>
                <w:rFonts w:ascii="Arial" w:hAnsi="Arial"/>
                <w:sz w:val="20"/>
                <w:szCs w:val="20"/>
              </w:rPr>
              <w:t xml:space="preserve"> لرائدات العمل الحر (مؤسسة التمويل الدولية)</w:t>
            </w:r>
          </w:p>
          <w:p w14:paraId="6F0004CD" w14:textId="77777777" w:rsidR="005A774C" w:rsidRPr="00294AF8" w:rsidRDefault="005A774C" w:rsidP="002A3038">
            <w:pPr>
              <w:rPr>
                <w:rFonts w:ascii="Arial" w:eastAsia="Arial" w:hAnsi="Arial" w:cs="Arial"/>
                <w:sz w:val="20"/>
                <w:szCs w:val="20"/>
              </w:rPr>
            </w:pPr>
            <w:r>
              <w:rPr>
                <w:rFonts w:ascii="Arial" w:hAnsi="Arial"/>
                <w:sz w:val="20"/>
                <w:szCs w:val="20"/>
              </w:rPr>
              <w:t>مشروعا التمويل الأول والثاني لإيجاد فرص عمل</w:t>
            </w:r>
          </w:p>
          <w:p w14:paraId="6EC5257B" w14:textId="77777777" w:rsidR="005A774C" w:rsidRDefault="005A774C" w:rsidP="002A3038">
            <w:pPr>
              <w:rPr>
                <w:rFonts w:ascii="Arial" w:eastAsia="Arial" w:hAnsi="Arial" w:cs="Arial"/>
                <w:sz w:val="20"/>
                <w:szCs w:val="20"/>
              </w:rPr>
            </w:pPr>
            <w:r>
              <w:rPr>
                <w:rFonts w:ascii="Arial" w:hAnsi="Arial"/>
                <w:sz w:val="20"/>
                <w:szCs w:val="20"/>
              </w:rPr>
              <w:t>ـ ـ برنامج تمويل التجارة العالمية (مؤسسة التمويل الدولية)</w:t>
            </w:r>
          </w:p>
          <w:p w14:paraId="1C3BC703" w14:textId="77777777" w:rsidR="005A774C" w:rsidRPr="00294AF8" w:rsidRDefault="005A774C" w:rsidP="002A3038">
            <w:pPr>
              <w:rPr>
                <w:rFonts w:ascii="Arial" w:eastAsia="Arial" w:hAnsi="Arial" w:cs="Arial"/>
                <w:sz w:val="20"/>
                <w:szCs w:val="20"/>
              </w:rPr>
            </w:pPr>
            <w:r>
              <w:rPr>
                <w:rFonts w:ascii="Arial" w:hAnsi="Arial"/>
                <w:sz w:val="20"/>
                <w:szCs w:val="20"/>
              </w:rPr>
              <w:t xml:space="preserve">ـ ـ صندوق </w:t>
            </w:r>
            <w:r w:rsidRPr="00BB230B">
              <w:rPr>
                <w:rFonts w:ascii="Arial" w:hAnsi="Arial"/>
                <w:b/>
                <w:bCs/>
                <w:i/>
                <w:iCs/>
                <w:sz w:val="20"/>
                <w:szCs w:val="20"/>
              </w:rPr>
              <w:t>ابتكار</w:t>
            </w:r>
            <w:r>
              <w:rPr>
                <w:rFonts w:ascii="Arial" w:hAnsi="Arial"/>
                <w:sz w:val="20"/>
                <w:szCs w:val="20"/>
              </w:rPr>
              <w:t xml:space="preserve"> لرواد العمل الحر من الشباب</w:t>
            </w:r>
            <w:r w:rsidR="00022F13">
              <w:rPr>
                <w:rFonts w:ascii="Arial" w:hAnsi="Arial"/>
                <w:sz w:val="20"/>
                <w:szCs w:val="20"/>
              </w:rPr>
              <w:t xml:space="preserve"> </w:t>
            </w:r>
            <w:r>
              <w:rPr>
                <w:rFonts w:ascii="Arial" w:hAnsi="Arial"/>
                <w:sz w:val="20"/>
                <w:szCs w:val="20"/>
              </w:rPr>
              <w:t>(مؤسسة التمويل الدولية)</w:t>
            </w:r>
          </w:p>
          <w:p w14:paraId="3C4E8426" w14:textId="77777777" w:rsidR="005A774C" w:rsidRDefault="005A774C" w:rsidP="002A3038">
            <w:pPr>
              <w:rPr>
                <w:rFonts w:ascii="Arial" w:eastAsia="Arial" w:hAnsi="Arial" w:cs="Arial"/>
                <w:sz w:val="20"/>
                <w:szCs w:val="20"/>
              </w:rPr>
            </w:pPr>
            <w:r>
              <w:rPr>
                <w:rFonts w:ascii="Arial" w:hAnsi="Arial"/>
                <w:sz w:val="20"/>
                <w:szCs w:val="20"/>
              </w:rPr>
              <w:t>ـ ـ مشروع التنمية الحضرية والمدن المتكاملة</w:t>
            </w:r>
          </w:p>
          <w:p w14:paraId="2B307947" w14:textId="77777777" w:rsidR="005A774C" w:rsidRPr="00294AF8" w:rsidRDefault="005A774C" w:rsidP="002A3038">
            <w:pPr>
              <w:rPr>
                <w:rFonts w:ascii="Arial" w:eastAsia="Arial" w:hAnsi="Arial" w:cs="Arial"/>
                <w:sz w:val="20"/>
                <w:szCs w:val="20"/>
              </w:rPr>
            </w:pPr>
            <w:r>
              <w:rPr>
                <w:rFonts w:ascii="Arial" w:hAnsi="Arial"/>
                <w:sz w:val="20"/>
                <w:szCs w:val="20"/>
              </w:rPr>
              <w:t>ـ ـ مشروع مسار إبراهيم الخليل</w:t>
            </w:r>
          </w:p>
          <w:p w14:paraId="7DA9599A" w14:textId="77777777" w:rsidR="005A774C" w:rsidRPr="00294AF8" w:rsidRDefault="005A774C" w:rsidP="002A3038">
            <w:pPr>
              <w:rPr>
                <w:rFonts w:ascii="Arial" w:eastAsia="Arial" w:hAnsi="Arial" w:cs="Arial"/>
                <w:sz w:val="20"/>
                <w:szCs w:val="20"/>
              </w:rPr>
            </w:pPr>
            <w:r>
              <w:rPr>
                <w:rFonts w:ascii="Arial" w:hAnsi="Arial"/>
                <w:sz w:val="20"/>
                <w:szCs w:val="20"/>
              </w:rPr>
              <w:t>ـ ـ تقييم المخاطر</w:t>
            </w:r>
          </w:p>
          <w:p w14:paraId="64DF6DB7" w14:textId="77777777" w:rsidR="005A774C" w:rsidRDefault="005A774C" w:rsidP="002A3038">
            <w:pPr>
              <w:rPr>
                <w:rFonts w:ascii="Arial" w:eastAsia="Arial" w:hAnsi="Arial" w:cs="Arial"/>
                <w:sz w:val="20"/>
                <w:szCs w:val="20"/>
              </w:rPr>
            </w:pPr>
            <w:r>
              <w:rPr>
                <w:rFonts w:ascii="Arial" w:hAnsi="Arial"/>
                <w:sz w:val="20"/>
                <w:szCs w:val="20"/>
              </w:rPr>
              <w:t>ـ ـ مشروع تحسين إعداد المعلمين</w:t>
            </w:r>
          </w:p>
          <w:p w14:paraId="6A810096" w14:textId="77777777" w:rsidR="005A774C" w:rsidRDefault="005A774C" w:rsidP="002A3038">
            <w:pPr>
              <w:rPr>
                <w:rFonts w:ascii="Arial" w:eastAsia="Arial" w:hAnsi="Arial" w:cs="Arial"/>
                <w:sz w:val="20"/>
                <w:szCs w:val="20"/>
              </w:rPr>
            </w:pPr>
            <w:r>
              <w:rPr>
                <w:rFonts w:ascii="Arial" w:hAnsi="Arial"/>
                <w:sz w:val="20"/>
                <w:szCs w:val="20"/>
              </w:rPr>
              <w:t>ـ ـ المشروع الثالث لتطوير البلديات</w:t>
            </w:r>
          </w:p>
          <w:p w14:paraId="7200650A" w14:textId="77777777" w:rsidR="005A774C" w:rsidRPr="00294AF8" w:rsidRDefault="005A774C" w:rsidP="002A3038">
            <w:pPr>
              <w:rPr>
                <w:rFonts w:ascii="Arial" w:eastAsia="Arial" w:hAnsi="Arial" w:cs="Arial"/>
                <w:sz w:val="20"/>
                <w:szCs w:val="20"/>
              </w:rPr>
            </w:pPr>
            <w:r>
              <w:rPr>
                <w:rFonts w:ascii="Arial" w:hAnsi="Arial"/>
                <w:sz w:val="20"/>
                <w:szCs w:val="20"/>
              </w:rPr>
              <w:t>مشروع الوطنية الفلسطينية للاتصالات (مؤسسة التمويل الدولية)</w:t>
            </w:r>
          </w:p>
          <w:p w14:paraId="143115B7" w14:textId="77777777" w:rsidR="005A774C" w:rsidRPr="00424E42" w:rsidRDefault="005A774C" w:rsidP="002A3038">
            <w:pPr>
              <w:rPr>
                <w:rFonts w:ascii="Times New Roman" w:eastAsia="Calibri" w:hAnsi="Times New Roman" w:cs="Times New Roman"/>
                <w:sz w:val="10"/>
                <w:szCs w:val="10"/>
                <w:u w:val="single"/>
              </w:rPr>
            </w:pPr>
          </w:p>
          <w:p w14:paraId="3A1AC24E" w14:textId="77777777" w:rsidR="005A774C" w:rsidRPr="00294AF8" w:rsidRDefault="005A774C" w:rsidP="002A3038">
            <w:pPr>
              <w:rPr>
                <w:rFonts w:ascii="Arial" w:eastAsia="Arial" w:hAnsi="Arial" w:cs="Arial"/>
                <w:sz w:val="20"/>
                <w:szCs w:val="20"/>
                <w:u w:val="single"/>
              </w:rPr>
            </w:pPr>
            <w:r>
              <w:rPr>
                <w:rFonts w:ascii="Arial" w:hAnsi="Arial"/>
                <w:sz w:val="20"/>
                <w:szCs w:val="20"/>
                <w:u w:val="single"/>
              </w:rPr>
              <w:t>المُخطَّط</w:t>
            </w:r>
          </w:p>
          <w:p w14:paraId="2F9D0659" w14:textId="77777777" w:rsidR="005A774C" w:rsidRDefault="005A774C" w:rsidP="002A3038">
            <w:pPr>
              <w:rPr>
                <w:rFonts w:ascii="Arial" w:eastAsia="Arial" w:hAnsi="Arial" w:cs="Arial"/>
                <w:sz w:val="20"/>
                <w:szCs w:val="20"/>
              </w:rPr>
            </w:pPr>
            <w:r>
              <w:rPr>
                <w:rFonts w:ascii="Arial" w:hAnsi="Arial"/>
                <w:sz w:val="20"/>
                <w:szCs w:val="20"/>
              </w:rPr>
              <w:t>-- الأعمال الاستشارية من بنك فلسطين لمساندة</w:t>
            </w:r>
            <w:r w:rsidR="00022F13">
              <w:rPr>
                <w:rFonts w:ascii="Arial" w:hAnsi="Arial"/>
                <w:sz w:val="20"/>
                <w:szCs w:val="20"/>
              </w:rPr>
              <w:t xml:space="preserve"> </w:t>
            </w:r>
            <w:r>
              <w:rPr>
                <w:rFonts w:ascii="Arial" w:hAnsi="Arial"/>
                <w:sz w:val="20"/>
                <w:szCs w:val="20"/>
              </w:rPr>
              <w:t>المؤسسات الصغرى والصغيرة والمتوسطة (مؤسسة التمويل الدولية)</w:t>
            </w:r>
          </w:p>
          <w:p w14:paraId="36096045" w14:textId="77777777" w:rsidR="005A774C" w:rsidRDefault="005A774C" w:rsidP="002A3038">
            <w:pPr>
              <w:rPr>
                <w:rFonts w:ascii="Arial" w:eastAsia="Arial" w:hAnsi="Arial" w:cs="Arial"/>
                <w:sz w:val="20"/>
                <w:szCs w:val="20"/>
              </w:rPr>
            </w:pPr>
            <w:r>
              <w:rPr>
                <w:rFonts w:ascii="Arial" w:hAnsi="Arial"/>
                <w:sz w:val="20"/>
                <w:szCs w:val="20"/>
              </w:rPr>
              <w:t>ـ ـ منحة السياسات لتحقيق استقرار المالية العامة وتهيئة بيئة أنشطة الأعمال</w:t>
            </w:r>
          </w:p>
          <w:p w14:paraId="20BF0C0A" w14:textId="77777777" w:rsidR="005A774C" w:rsidRDefault="005A774C" w:rsidP="002A3038">
            <w:pPr>
              <w:rPr>
                <w:rFonts w:ascii="Arial" w:eastAsia="Arial" w:hAnsi="Arial" w:cs="Arial"/>
                <w:sz w:val="20"/>
                <w:szCs w:val="20"/>
              </w:rPr>
            </w:pPr>
            <w:r>
              <w:rPr>
                <w:rFonts w:ascii="Arial" w:hAnsi="Arial"/>
                <w:sz w:val="20"/>
                <w:szCs w:val="20"/>
              </w:rPr>
              <w:t>ـ ـ تحسين الإدارة المالية العامة للسلطة الفلسطينية</w:t>
            </w:r>
          </w:p>
          <w:p w14:paraId="5C3D8E5C" w14:textId="77777777" w:rsidR="005A774C" w:rsidRDefault="005A774C" w:rsidP="002A3038">
            <w:pPr>
              <w:rPr>
                <w:rFonts w:ascii="Arial" w:eastAsia="Arial" w:hAnsi="Arial" w:cs="Arial"/>
                <w:sz w:val="20"/>
                <w:szCs w:val="20"/>
              </w:rPr>
            </w:pPr>
            <w:r>
              <w:rPr>
                <w:rFonts w:ascii="Arial" w:hAnsi="Arial"/>
                <w:sz w:val="20"/>
                <w:szCs w:val="20"/>
              </w:rPr>
              <w:t>ـ ـ التنمية المبتكرة للقطاع الخاص</w:t>
            </w:r>
          </w:p>
          <w:p w14:paraId="408B3823" w14:textId="77777777" w:rsidR="005A774C" w:rsidRDefault="005A774C" w:rsidP="002A3038">
            <w:pPr>
              <w:rPr>
                <w:rFonts w:ascii="Arial" w:eastAsia="Arial" w:hAnsi="Arial" w:cs="Arial"/>
                <w:sz w:val="20"/>
                <w:szCs w:val="20"/>
              </w:rPr>
            </w:pPr>
            <w:r>
              <w:rPr>
                <w:rFonts w:ascii="Arial" w:hAnsi="Arial"/>
                <w:sz w:val="20"/>
                <w:szCs w:val="20"/>
              </w:rPr>
              <w:t xml:space="preserve">ـ ـ المساعدة الفنية لتحليل أوضاع الأراضي </w:t>
            </w:r>
          </w:p>
          <w:p w14:paraId="37F572F4" w14:textId="77777777" w:rsidR="005A774C" w:rsidRDefault="005A774C" w:rsidP="002A3038">
            <w:pPr>
              <w:rPr>
                <w:rFonts w:ascii="Arial" w:eastAsia="Arial" w:hAnsi="Arial" w:cs="Arial"/>
                <w:sz w:val="20"/>
                <w:szCs w:val="20"/>
              </w:rPr>
            </w:pPr>
            <w:r>
              <w:rPr>
                <w:rFonts w:ascii="Arial" w:hAnsi="Arial"/>
                <w:sz w:val="20"/>
                <w:szCs w:val="20"/>
              </w:rPr>
              <w:t>ـ ـ صندوق تعزيز القطاع الخاص</w:t>
            </w:r>
          </w:p>
          <w:p w14:paraId="5E47C51E" w14:textId="77777777" w:rsidR="005A774C" w:rsidRDefault="005A774C" w:rsidP="002A3038">
            <w:pPr>
              <w:rPr>
                <w:rFonts w:ascii="Arial" w:eastAsia="Arial" w:hAnsi="Arial" w:cs="Arial"/>
                <w:sz w:val="20"/>
                <w:szCs w:val="20"/>
              </w:rPr>
            </w:pPr>
            <w:r>
              <w:rPr>
                <w:rFonts w:ascii="Arial" w:hAnsi="Arial"/>
                <w:sz w:val="20"/>
                <w:szCs w:val="20"/>
              </w:rPr>
              <w:lastRenderedPageBreak/>
              <w:t>الخدمات المصرفية للمشروعات الصغيرة والمتوسطة ــ خدمات استشارية للنساء مع بنك فلسطين (مؤسسة التمويل الدولية)</w:t>
            </w:r>
          </w:p>
          <w:p w14:paraId="0261FEDF" w14:textId="77777777" w:rsidR="005A774C" w:rsidRPr="00294AF8" w:rsidRDefault="005A774C" w:rsidP="002A3038">
            <w:pPr>
              <w:rPr>
                <w:rFonts w:ascii="Arial" w:eastAsia="Arial" w:hAnsi="Arial" w:cs="Arial"/>
                <w:sz w:val="20"/>
                <w:szCs w:val="20"/>
              </w:rPr>
            </w:pPr>
            <w:r>
              <w:rPr>
                <w:rFonts w:ascii="Arial" w:hAnsi="Arial"/>
                <w:sz w:val="20"/>
                <w:szCs w:val="20"/>
              </w:rPr>
              <w:t xml:space="preserve">ـ ـ برنامج تنمية وتطوير قطاع المياه </w:t>
            </w:r>
          </w:p>
          <w:p w14:paraId="047B64DE" w14:textId="77777777" w:rsidR="005A774C" w:rsidRPr="00294AF8" w:rsidRDefault="005A774C" w:rsidP="002A3038">
            <w:pPr>
              <w:rPr>
                <w:rFonts w:ascii="Times New Roman" w:eastAsia="Calibri" w:hAnsi="Times New Roman" w:cs="Times New Roman"/>
                <w:sz w:val="20"/>
                <w:szCs w:val="20"/>
              </w:rPr>
            </w:pPr>
          </w:p>
        </w:tc>
      </w:tr>
    </w:tbl>
    <w:p w14:paraId="0589E478" w14:textId="77777777" w:rsidR="005A774C" w:rsidRDefault="005A774C" w:rsidP="005A774C"/>
    <w:tbl>
      <w:tblPr>
        <w:tblStyle w:val="TableGrid"/>
        <w:bidiVisual/>
        <w:tblW w:w="12955" w:type="dxa"/>
        <w:tblLook w:val="04A0" w:firstRow="1" w:lastRow="0" w:firstColumn="1" w:lastColumn="0" w:noHBand="0" w:noVBand="1"/>
      </w:tblPr>
      <w:tblGrid>
        <w:gridCol w:w="8995"/>
        <w:gridCol w:w="3960"/>
      </w:tblGrid>
      <w:tr w:rsidR="005A774C" w:rsidRPr="00294AF8" w14:paraId="3973BB7E" w14:textId="77777777" w:rsidTr="002A3038">
        <w:trPr>
          <w:tblHeader/>
        </w:trPr>
        <w:tc>
          <w:tcPr>
            <w:tcW w:w="8995" w:type="dxa"/>
            <w:tcBorders>
              <w:bottom w:val="single" w:sz="4" w:space="0" w:color="auto"/>
            </w:tcBorders>
          </w:tcPr>
          <w:p w14:paraId="160E875F" w14:textId="77777777" w:rsidR="005A774C" w:rsidRPr="00294AF8" w:rsidRDefault="005A774C" w:rsidP="002A3038">
            <w:pPr>
              <w:jc w:val="center"/>
              <w:rPr>
                <w:rFonts w:ascii="Arial" w:eastAsia="Arial" w:hAnsi="Arial" w:cs="Arial"/>
                <w:b/>
                <w:sz w:val="20"/>
                <w:szCs w:val="20"/>
              </w:rPr>
            </w:pPr>
            <w:r>
              <w:rPr>
                <w:rFonts w:ascii="Arial" w:hAnsi="Arial"/>
                <w:b/>
                <w:bCs/>
                <w:sz w:val="20"/>
                <w:szCs w:val="20"/>
              </w:rPr>
              <w:t>مؤشرات النواتج</w:t>
            </w:r>
          </w:p>
        </w:tc>
        <w:tc>
          <w:tcPr>
            <w:tcW w:w="3960" w:type="dxa"/>
            <w:tcBorders>
              <w:bottom w:val="single" w:sz="4" w:space="0" w:color="auto"/>
            </w:tcBorders>
          </w:tcPr>
          <w:p w14:paraId="466C07CA" w14:textId="77777777" w:rsidR="005A774C" w:rsidRPr="00294AF8" w:rsidRDefault="005A774C" w:rsidP="002A3038">
            <w:pPr>
              <w:jc w:val="center"/>
              <w:rPr>
                <w:rFonts w:ascii="Arial" w:eastAsia="Arial" w:hAnsi="Arial" w:cs="Arial"/>
                <w:b/>
                <w:sz w:val="20"/>
                <w:szCs w:val="20"/>
              </w:rPr>
            </w:pPr>
            <w:r>
              <w:rPr>
                <w:rFonts w:ascii="Arial" w:hAnsi="Arial"/>
                <w:b/>
                <w:bCs/>
                <w:sz w:val="20"/>
                <w:szCs w:val="20"/>
              </w:rPr>
              <w:t>برنامج مجموعة البنك الدولي</w:t>
            </w:r>
          </w:p>
        </w:tc>
      </w:tr>
      <w:tr w:rsidR="005A774C" w:rsidRPr="00294AF8" w14:paraId="1787A4C9" w14:textId="77777777" w:rsidTr="002A3038">
        <w:tc>
          <w:tcPr>
            <w:tcW w:w="12955" w:type="dxa"/>
            <w:gridSpan w:val="2"/>
            <w:shd w:val="clear" w:color="auto" w:fill="D9D9D9"/>
          </w:tcPr>
          <w:p w14:paraId="27ECB089" w14:textId="77777777" w:rsidR="005A774C" w:rsidRDefault="005A774C" w:rsidP="002A3038">
            <w:pPr>
              <w:rPr>
                <w:rFonts w:ascii="Arial" w:eastAsia="Arial" w:hAnsi="Arial" w:cs="Arial"/>
                <w:b/>
              </w:rPr>
            </w:pPr>
            <w:r>
              <w:rPr>
                <w:rFonts w:ascii="Arial" w:hAnsi="Arial"/>
                <w:b/>
                <w:bCs/>
              </w:rPr>
              <w:t xml:space="preserve">الركيزة 2. صندوق تعزيز القطاع الخاص لتحقيق استثمارات هذا القطاع </w:t>
            </w:r>
          </w:p>
          <w:p w14:paraId="3E3D307E" w14:textId="77777777" w:rsidR="005A774C" w:rsidRPr="00294AF8" w:rsidRDefault="005A774C" w:rsidP="002A3038">
            <w:pPr>
              <w:rPr>
                <w:rFonts w:ascii="Arial" w:eastAsia="Arial" w:hAnsi="Arial" w:cs="Arial"/>
              </w:rPr>
            </w:pPr>
            <w:r>
              <w:rPr>
                <w:rFonts w:ascii="Arial" w:hAnsi="Arial"/>
              </w:rPr>
              <w:t>النواتج المقترحة: التمويل الذي تمت تعبئته من أجل استثمارات محددة ومعاملات مهيكلة</w:t>
            </w:r>
          </w:p>
          <w:p w14:paraId="4C7A1881" w14:textId="77777777" w:rsidR="005A774C" w:rsidRPr="00424E42" w:rsidRDefault="005A774C" w:rsidP="002A3038">
            <w:pPr>
              <w:rPr>
                <w:rFonts w:ascii="Times New Roman" w:eastAsia="Calibri" w:hAnsi="Times New Roman" w:cs="Times New Roman"/>
                <w:sz w:val="10"/>
                <w:szCs w:val="10"/>
              </w:rPr>
            </w:pPr>
          </w:p>
          <w:p w14:paraId="030AF8B0" w14:textId="77777777" w:rsidR="005A774C" w:rsidRDefault="005A774C" w:rsidP="002A3038">
            <w:pPr>
              <w:rPr>
                <w:rFonts w:ascii="Arial" w:eastAsia="Arial" w:hAnsi="Arial" w:cs="Arial"/>
                <w:sz w:val="20"/>
                <w:szCs w:val="20"/>
              </w:rPr>
            </w:pPr>
            <w:r>
              <w:rPr>
                <w:rFonts w:ascii="Arial" w:hAnsi="Arial"/>
                <w:sz w:val="20"/>
                <w:szCs w:val="20"/>
              </w:rPr>
              <w:t>تجري مساندة أولويات التنمية في أجندة السياسات الوطنية للسلطة الفلسطينية من خلال النواتج المقترحة في إطار الركيزة الأولى:</w:t>
            </w:r>
          </w:p>
          <w:p w14:paraId="56F33A06" w14:textId="77777777" w:rsidR="005A774C" w:rsidRDefault="005A774C" w:rsidP="002A3038">
            <w:pPr>
              <w:pStyle w:val="ListParagraph"/>
              <w:ind w:left="0"/>
              <w:rPr>
                <w:rFonts w:ascii="Arial" w:eastAsia="Arial" w:hAnsi="Arial" w:cs="Arial"/>
                <w:i/>
                <w:iCs/>
                <w:sz w:val="20"/>
                <w:szCs w:val="20"/>
              </w:rPr>
            </w:pPr>
            <w:r>
              <w:rPr>
                <w:rFonts w:ascii="Arial" w:hAnsi="Arial"/>
                <w:sz w:val="20"/>
                <w:szCs w:val="20"/>
              </w:rPr>
              <w:t>الاستقلال الاقتصادي ــ يشمل ذلك السياسات</w:t>
            </w:r>
            <w:r w:rsidR="00BB230B">
              <w:rPr>
                <w:rFonts w:ascii="Arial" w:hAnsi="Arial" w:hint="cs"/>
                <w:sz w:val="20"/>
                <w:szCs w:val="20"/>
              </w:rPr>
              <w:t xml:space="preserve"> التالية</w:t>
            </w:r>
            <w:r>
              <w:rPr>
                <w:rFonts w:ascii="Arial" w:hAnsi="Arial"/>
                <w:sz w:val="20"/>
                <w:szCs w:val="20"/>
              </w:rPr>
              <w:t>: بناء الاقتصادي الفلسطيني في المستقبل، وخلق فرص العمل، والانتقال من التعليم إلى العمل، وتحسين بيئة أنشطة الأعمال في فلسطين</w:t>
            </w:r>
          </w:p>
          <w:p w14:paraId="4C05D9F7" w14:textId="77777777" w:rsidR="005A774C" w:rsidRPr="002B580D" w:rsidRDefault="005A774C" w:rsidP="002A3038">
            <w:pPr>
              <w:pStyle w:val="ListParagraph"/>
              <w:ind w:left="0"/>
              <w:rPr>
                <w:rFonts w:ascii="Times New Roman" w:eastAsia="Calibri" w:hAnsi="Times New Roman" w:cs="Times New Roman"/>
                <w:sz w:val="10"/>
                <w:szCs w:val="10"/>
                <w:u w:val="single"/>
              </w:rPr>
            </w:pPr>
          </w:p>
        </w:tc>
      </w:tr>
      <w:tr w:rsidR="005A774C" w:rsidRPr="00294AF8" w14:paraId="273D374B" w14:textId="77777777" w:rsidTr="002A3038">
        <w:tc>
          <w:tcPr>
            <w:tcW w:w="8995" w:type="dxa"/>
            <w:tcBorders>
              <w:bottom w:val="single" w:sz="4" w:space="0" w:color="auto"/>
            </w:tcBorders>
          </w:tcPr>
          <w:p w14:paraId="49C97482" w14:textId="77777777" w:rsidR="005A774C" w:rsidRPr="00BA5EEE" w:rsidRDefault="005A774C" w:rsidP="002A3038">
            <w:pPr>
              <w:contextualSpacing/>
              <w:jc w:val="center"/>
              <w:rPr>
                <w:rFonts w:ascii="Arial" w:eastAsia="Arial" w:hAnsi="Arial" w:cs="Arial"/>
                <w:sz w:val="20"/>
                <w:szCs w:val="20"/>
                <w:u w:val="single"/>
              </w:rPr>
            </w:pPr>
            <w:r>
              <w:rPr>
                <w:rFonts w:ascii="Arial" w:hAnsi="Arial"/>
                <w:sz w:val="20"/>
                <w:szCs w:val="20"/>
                <w:u w:val="single"/>
              </w:rPr>
              <w:t>أدوات تخفيف المخاطر ومساندة المعاملات الإيضاحية</w:t>
            </w:r>
          </w:p>
          <w:p w14:paraId="50876FA0" w14:textId="77777777" w:rsidR="005A774C" w:rsidRPr="00CE5E01" w:rsidRDefault="005A774C" w:rsidP="002A3038">
            <w:pPr>
              <w:numPr>
                <w:ilvl w:val="0"/>
                <w:numId w:val="3"/>
              </w:numPr>
              <w:spacing w:line="254" w:lineRule="auto"/>
              <w:contextualSpacing/>
              <w:rPr>
                <w:rFonts w:asciiTheme="majorBidi" w:eastAsia="Arial" w:hAnsiTheme="majorBidi" w:cstheme="majorBidi"/>
                <w:color w:val="FF0000"/>
                <w:sz w:val="20"/>
                <w:szCs w:val="20"/>
              </w:rPr>
            </w:pPr>
            <w:r>
              <w:rPr>
                <w:rFonts w:asciiTheme="majorBidi" w:hAnsiTheme="majorBidi" w:cstheme="majorBidi"/>
                <w:sz w:val="20"/>
                <w:szCs w:val="20"/>
              </w:rPr>
              <w:t xml:space="preserve">تأسيس وتفعيل صندوق تعزيز القطاع الخاص (نعم/لا) </w:t>
            </w:r>
          </w:p>
          <w:p w14:paraId="76D22324" w14:textId="77777777" w:rsidR="005A774C" w:rsidRPr="00CE5E01" w:rsidRDefault="005A774C" w:rsidP="002A3038">
            <w:pPr>
              <w:rPr>
                <w:rFonts w:asciiTheme="majorBidi" w:eastAsia="Arial" w:hAnsiTheme="majorBidi" w:cstheme="majorBidi"/>
                <w:sz w:val="20"/>
                <w:szCs w:val="20"/>
              </w:rPr>
            </w:pPr>
            <w:r>
              <w:rPr>
                <w:rFonts w:asciiTheme="majorBidi" w:hAnsiTheme="majorBidi" w:cstheme="majorBidi"/>
                <w:sz w:val="20"/>
                <w:szCs w:val="20"/>
              </w:rPr>
              <w:t>خط الأساس: لا (2017)</w:t>
            </w:r>
          </w:p>
          <w:p w14:paraId="769B09FF" w14:textId="77777777" w:rsidR="005A774C" w:rsidRPr="00CE5E01" w:rsidRDefault="005A774C" w:rsidP="002A3038">
            <w:pPr>
              <w:rPr>
                <w:rFonts w:asciiTheme="majorBidi" w:eastAsia="Arial" w:hAnsiTheme="majorBidi" w:cstheme="majorBidi"/>
                <w:sz w:val="20"/>
                <w:szCs w:val="20"/>
              </w:rPr>
            </w:pPr>
            <w:r>
              <w:rPr>
                <w:rFonts w:asciiTheme="majorBidi" w:hAnsiTheme="majorBidi" w:cstheme="majorBidi"/>
                <w:sz w:val="20"/>
                <w:szCs w:val="20"/>
              </w:rPr>
              <w:t>المستهدف:</w:t>
            </w:r>
            <w:r w:rsidR="00022F13">
              <w:rPr>
                <w:rFonts w:asciiTheme="majorBidi" w:hAnsiTheme="majorBidi" w:cstheme="majorBidi"/>
                <w:sz w:val="20"/>
                <w:szCs w:val="20"/>
              </w:rPr>
              <w:t xml:space="preserve"> </w:t>
            </w:r>
            <w:r>
              <w:rPr>
                <w:rFonts w:asciiTheme="majorBidi" w:hAnsiTheme="majorBidi" w:cstheme="majorBidi"/>
                <w:sz w:val="20"/>
                <w:szCs w:val="20"/>
              </w:rPr>
              <w:t>نعم (2021)</w:t>
            </w:r>
          </w:p>
          <w:p w14:paraId="34DB6776" w14:textId="77777777" w:rsidR="005A774C" w:rsidRPr="00CE5E01" w:rsidRDefault="005A774C" w:rsidP="002A3038">
            <w:pPr>
              <w:contextualSpacing/>
              <w:rPr>
                <w:rFonts w:ascii="Times New Roman" w:eastAsia="Calibri" w:hAnsi="Times New Roman" w:cs="Times New Roman"/>
                <w:sz w:val="10"/>
                <w:szCs w:val="10"/>
                <w:u w:val="single"/>
              </w:rPr>
            </w:pPr>
          </w:p>
          <w:p w14:paraId="601CDC07" w14:textId="77777777" w:rsidR="005A774C" w:rsidRPr="00CE5E01" w:rsidRDefault="005A774C" w:rsidP="002A3038">
            <w:pPr>
              <w:contextualSpacing/>
              <w:rPr>
                <w:rFonts w:ascii="Times New Roman" w:eastAsia="Calibri" w:hAnsi="Times New Roman" w:cs="Times New Roman"/>
                <w:sz w:val="10"/>
                <w:szCs w:val="10"/>
                <w:u w:val="single"/>
              </w:rPr>
            </w:pPr>
          </w:p>
          <w:p w14:paraId="4E31E14B" w14:textId="77777777" w:rsidR="005A774C" w:rsidRPr="00CE5E01" w:rsidRDefault="005A774C" w:rsidP="002A3038">
            <w:pPr>
              <w:numPr>
                <w:ilvl w:val="0"/>
                <w:numId w:val="3"/>
              </w:numPr>
              <w:contextualSpacing/>
              <w:rPr>
                <w:rFonts w:ascii="Arial" w:eastAsia="Arial" w:hAnsi="Arial" w:cs="Arial"/>
                <w:sz w:val="20"/>
                <w:szCs w:val="20"/>
              </w:rPr>
            </w:pPr>
            <w:r>
              <w:rPr>
                <w:rFonts w:ascii="Arial" w:hAnsi="Arial"/>
                <w:sz w:val="20"/>
                <w:szCs w:val="20"/>
              </w:rPr>
              <w:t>قيام مؤسسة التمويل الدولية بتعبئة رؤوس أموال القطاع الخاص لتمويل شركات إنتاج الكهرباء المستقلة في جنين (نعم/لا)</w:t>
            </w:r>
          </w:p>
          <w:p w14:paraId="6A9CD189" w14:textId="77777777" w:rsidR="005A774C" w:rsidRPr="00CE5E01" w:rsidRDefault="005A774C" w:rsidP="002A3038">
            <w:pPr>
              <w:rPr>
                <w:rFonts w:ascii="Arial" w:eastAsia="Arial" w:hAnsi="Arial" w:cs="Arial"/>
                <w:sz w:val="20"/>
                <w:szCs w:val="20"/>
              </w:rPr>
            </w:pPr>
            <w:r>
              <w:rPr>
                <w:rFonts w:ascii="Arial" w:hAnsi="Arial"/>
                <w:sz w:val="20"/>
                <w:szCs w:val="20"/>
              </w:rPr>
              <w:t>خط الأساس: لا (2017)</w:t>
            </w:r>
          </w:p>
          <w:p w14:paraId="1D1F6610" w14:textId="77777777" w:rsidR="005A774C" w:rsidRPr="00CE5E01" w:rsidRDefault="005A774C" w:rsidP="002A3038">
            <w:pPr>
              <w:rPr>
                <w:rFonts w:ascii="Arial" w:eastAsia="Arial" w:hAnsi="Arial" w:cs="Arial"/>
                <w:sz w:val="20"/>
                <w:szCs w:val="20"/>
              </w:rPr>
            </w:pPr>
            <w:r>
              <w:rPr>
                <w:rFonts w:ascii="Arial" w:hAnsi="Arial"/>
                <w:sz w:val="20"/>
                <w:szCs w:val="20"/>
              </w:rPr>
              <w:t>المستهدف: نعم (2021)</w:t>
            </w:r>
          </w:p>
          <w:p w14:paraId="589B3FDD" w14:textId="77777777" w:rsidR="005A774C" w:rsidRPr="00CE5E01" w:rsidRDefault="005A774C" w:rsidP="002A3038">
            <w:pPr>
              <w:contextualSpacing/>
              <w:rPr>
                <w:rFonts w:ascii="Times New Roman" w:eastAsia="Calibri" w:hAnsi="Times New Roman" w:cs="Times New Roman"/>
                <w:sz w:val="10"/>
                <w:szCs w:val="10"/>
                <w:u w:val="single"/>
              </w:rPr>
            </w:pPr>
          </w:p>
          <w:p w14:paraId="56EDE922" w14:textId="77777777" w:rsidR="005A774C" w:rsidRPr="00CE5E01" w:rsidRDefault="005A774C" w:rsidP="002A3038">
            <w:pPr>
              <w:numPr>
                <w:ilvl w:val="0"/>
                <w:numId w:val="3"/>
              </w:numPr>
              <w:contextualSpacing/>
              <w:rPr>
                <w:rFonts w:ascii="Arial" w:eastAsia="Arial" w:hAnsi="Arial" w:cs="Arial"/>
                <w:color w:val="FF0000"/>
                <w:sz w:val="20"/>
                <w:szCs w:val="20"/>
              </w:rPr>
            </w:pPr>
            <w:r>
              <w:rPr>
                <w:rFonts w:ascii="Arial" w:hAnsi="Arial"/>
                <w:sz w:val="20"/>
                <w:szCs w:val="20"/>
              </w:rPr>
              <w:t xml:space="preserve">تعبئة تسهيلات التمويل المشترك للاستثمارات من أجل استثمارات القطاع الخاص في البنية التحتية (بملايين الدولارات) </w:t>
            </w:r>
          </w:p>
          <w:p w14:paraId="0015B41E" w14:textId="77777777" w:rsidR="005A774C" w:rsidRPr="00CE5E01" w:rsidRDefault="005A774C" w:rsidP="002A3038">
            <w:pPr>
              <w:rPr>
                <w:rFonts w:ascii="Arial" w:eastAsia="Arial" w:hAnsi="Arial" w:cs="Arial"/>
                <w:sz w:val="20"/>
                <w:szCs w:val="20"/>
              </w:rPr>
            </w:pPr>
            <w:r>
              <w:rPr>
                <w:rFonts w:ascii="Arial" w:hAnsi="Arial"/>
                <w:sz w:val="20"/>
                <w:szCs w:val="20"/>
              </w:rPr>
              <w:t>خط الأساس: 0.00 (2017)</w:t>
            </w:r>
          </w:p>
          <w:p w14:paraId="5BAB928D" w14:textId="77777777" w:rsidR="005A774C" w:rsidRPr="00CE5E01" w:rsidRDefault="005A774C" w:rsidP="002A3038">
            <w:pPr>
              <w:rPr>
                <w:rFonts w:ascii="Arial" w:eastAsia="Arial" w:hAnsi="Arial" w:cs="Arial"/>
                <w:sz w:val="20"/>
                <w:szCs w:val="20"/>
              </w:rPr>
            </w:pPr>
            <w:r>
              <w:rPr>
                <w:rFonts w:ascii="Arial" w:hAnsi="Arial"/>
                <w:sz w:val="20"/>
                <w:szCs w:val="20"/>
              </w:rPr>
              <w:t>المستهدف:</w:t>
            </w:r>
            <w:r w:rsidR="00022F13">
              <w:rPr>
                <w:rFonts w:ascii="Arial" w:hAnsi="Arial"/>
                <w:sz w:val="20"/>
                <w:szCs w:val="20"/>
              </w:rPr>
              <w:t xml:space="preserve"> </w:t>
            </w:r>
            <w:r>
              <w:rPr>
                <w:rFonts w:ascii="Arial" w:hAnsi="Arial"/>
                <w:sz w:val="20"/>
                <w:szCs w:val="20"/>
              </w:rPr>
              <w:t>3.00 (2021)</w:t>
            </w:r>
          </w:p>
          <w:p w14:paraId="60221924" w14:textId="77777777" w:rsidR="005A774C" w:rsidRPr="002B580D" w:rsidRDefault="005A774C" w:rsidP="002A3038">
            <w:pPr>
              <w:contextualSpacing/>
              <w:rPr>
                <w:rFonts w:ascii="Times New Roman" w:eastAsia="Calibri" w:hAnsi="Times New Roman" w:cs="Times New Roman"/>
                <w:sz w:val="10"/>
                <w:szCs w:val="10"/>
              </w:rPr>
            </w:pPr>
          </w:p>
        </w:tc>
        <w:tc>
          <w:tcPr>
            <w:tcW w:w="3960" w:type="dxa"/>
          </w:tcPr>
          <w:p w14:paraId="172B7377" w14:textId="77777777" w:rsidR="005A774C" w:rsidRPr="00294AF8" w:rsidRDefault="005A774C" w:rsidP="002A3038">
            <w:pPr>
              <w:rPr>
                <w:rFonts w:ascii="Arial" w:eastAsia="Arial" w:hAnsi="Arial" w:cs="Arial"/>
                <w:sz w:val="20"/>
                <w:szCs w:val="20"/>
              </w:rPr>
            </w:pPr>
            <w:r>
              <w:rPr>
                <w:rFonts w:ascii="Arial" w:hAnsi="Arial"/>
                <w:sz w:val="20"/>
                <w:szCs w:val="20"/>
                <w:u w:val="single"/>
              </w:rPr>
              <w:t>القائم</w:t>
            </w:r>
          </w:p>
          <w:p w14:paraId="78F95998" w14:textId="77777777" w:rsidR="005A774C" w:rsidRDefault="005A774C" w:rsidP="002A3038">
            <w:pPr>
              <w:rPr>
                <w:rFonts w:ascii="Arial" w:eastAsia="Arial" w:hAnsi="Arial" w:cs="Arial"/>
                <w:sz w:val="20"/>
                <w:szCs w:val="20"/>
              </w:rPr>
            </w:pPr>
            <w:r>
              <w:rPr>
                <w:rFonts w:ascii="Arial" w:hAnsi="Arial"/>
                <w:sz w:val="20"/>
                <w:szCs w:val="20"/>
              </w:rPr>
              <w:t>ـ ـ استثمارات في وحدات الخلايا الكهروضوئية في المناطق الصناعية بغزة</w:t>
            </w:r>
            <w:r w:rsidR="00022F13">
              <w:rPr>
                <w:rFonts w:ascii="Arial" w:hAnsi="Arial"/>
                <w:sz w:val="20"/>
                <w:szCs w:val="20"/>
              </w:rPr>
              <w:t xml:space="preserve"> </w:t>
            </w:r>
            <w:r w:rsidR="00BB230B">
              <w:rPr>
                <w:rFonts w:ascii="Arial" w:hAnsi="Arial" w:hint="cs"/>
                <w:sz w:val="20"/>
                <w:szCs w:val="20"/>
              </w:rPr>
              <w:t>ب</w:t>
            </w:r>
            <w:r>
              <w:rPr>
                <w:rFonts w:ascii="Arial" w:hAnsi="Arial"/>
                <w:sz w:val="20"/>
                <w:szCs w:val="20"/>
              </w:rPr>
              <w:t>قدرة 7 ميجاواط (مؤسسة التمويل الدولية والبنك الدولي)</w:t>
            </w:r>
          </w:p>
          <w:p w14:paraId="10EF135C" w14:textId="77777777" w:rsidR="005A774C" w:rsidRDefault="005A774C" w:rsidP="002A3038">
            <w:pPr>
              <w:rPr>
                <w:rFonts w:ascii="Arial" w:eastAsia="Arial" w:hAnsi="Arial" w:cs="Arial"/>
                <w:sz w:val="20"/>
                <w:szCs w:val="20"/>
              </w:rPr>
            </w:pPr>
            <w:r>
              <w:rPr>
                <w:rFonts w:ascii="Arial" w:hAnsi="Arial"/>
                <w:sz w:val="20"/>
                <w:szCs w:val="20"/>
              </w:rPr>
              <w:t>ـ ـ التمويل المختلط (مؤسسة التمويل الدولية)</w:t>
            </w:r>
          </w:p>
          <w:p w14:paraId="3EC65CB4" w14:textId="77777777" w:rsidR="005A774C" w:rsidRPr="00294AF8" w:rsidRDefault="005A774C" w:rsidP="002A3038">
            <w:pPr>
              <w:rPr>
                <w:rFonts w:ascii="Arial" w:eastAsia="Arial" w:hAnsi="Arial" w:cs="Arial"/>
                <w:sz w:val="20"/>
                <w:szCs w:val="20"/>
              </w:rPr>
            </w:pPr>
            <w:r>
              <w:rPr>
                <w:rFonts w:ascii="Arial" w:hAnsi="Arial"/>
                <w:sz w:val="20"/>
                <w:szCs w:val="20"/>
              </w:rPr>
              <w:t>مشروع التمويل الثاني لإيجاد فرص عمل (تمويل مشترك لاستثمارات البنك الدولي)</w:t>
            </w:r>
          </w:p>
          <w:p w14:paraId="5ADF4CA4" w14:textId="77777777" w:rsidR="005A774C" w:rsidRDefault="005A774C" w:rsidP="002A3038">
            <w:pPr>
              <w:rPr>
                <w:rFonts w:ascii="Arial" w:eastAsia="Arial" w:hAnsi="Arial" w:cs="Arial"/>
                <w:sz w:val="20"/>
                <w:szCs w:val="20"/>
              </w:rPr>
            </w:pPr>
            <w:r>
              <w:rPr>
                <w:rFonts w:ascii="Arial" w:hAnsi="Arial"/>
                <w:sz w:val="20"/>
                <w:szCs w:val="20"/>
              </w:rPr>
              <w:t>ـ ـ التأمين ضد المخاطر السياسية</w:t>
            </w:r>
          </w:p>
          <w:p w14:paraId="438C14F5" w14:textId="77777777" w:rsidR="005A774C" w:rsidRDefault="005A774C" w:rsidP="002A3038">
            <w:pPr>
              <w:rPr>
                <w:rFonts w:ascii="Arial" w:eastAsia="Arial" w:hAnsi="Arial" w:cs="Arial"/>
                <w:sz w:val="20"/>
                <w:szCs w:val="20"/>
              </w:rPr>
            </w:pPr>
            <w:r>
              <w:rPr>
                <w:rFonts w:ascii="Arial" w:hAnsi="Arial"/>
                <w:sz w:val="20"/>
                <w:szCs w:val="20"/>
              </w:rPr>
              <w:t>مشروع الوطنية الفلسطينية للاتصالات (مؤسسة التمويل الدولية)</w:t>
            </w:r>
          </w:p>
          <w:p w14:paraId="700CCBA0" w14:textId="77777777" w:rsidR="005A774C" w:rsidRPr="00424E42" w:rsidRDefault="005A774C" w:rsidP="002A3038">
            <w:pPr>
              <w:rPr>
                <w:rFonts w:ascii="Times New Roman" w:eastAsia="Calibri" w:hAnsi="Times New Roman" w:cs="Times New Roman"/>
                <w:sz w:val="10"/>
                <w:szCs w:val="10"/>
                <w:u w:val="single"/>
              </w:rPr>
            </w:pPr>
          </w:p>
          <w:p w14:paraId="35ECA40C" w14:textId="77777777" w:rsidR="005A774C" w:rsidRPr="00294AF8" w:rsidRDefault="005A774C" w:rsidP="002A3038">
            <w:pPr>
              <w:rPr>
                <w:rFonts w:ascii="Arial" w:eastAsia="Arial" w:hAnsi="Arial" w:cs="Arial"/>
                <w:sz w:val="20"/>
                <w:szCs w:val="20"/>
                <w:u w:val="single"/>
              </w:rPr>
            </w:pPr>
            <w:r>
              <w:rPr>
                <w:rFonts w:ascii="Arial" w:hAnsi="Arial"/>
                <w:sz w:val="20"/>
                <w:szCs w:val="20"/>
                <w:u w:val="single"/>
              </w:rPr>
              <w:t>المُخطَّط</w:t>
            </w:r>
          </w:p>
          <w:p w14:paraId="525E41FD" w14:textId="77777777" w:rsidR="005A774C" w:rsidRDefault="005A774C" w:rsidP="002A3038">
            <w:pPr>
              <w:rPr>
                <w:rFonts w:ascii="Arial" w:eastAsia="Arial" w:hAnsi="Arial" w:cs="Arial"/>
                <w:sz w:val="20"/>
                <w:szCs w:val="20"/>
              </w:rPr>
            </w:pPr>
            <w:r>
              <w:rPr>
                <w:rFonts w:ascii="Arial" w:hAnsi="Arial"/>
                <w:sz w:val="20"/>
                <w:szCs w:val="20"/>
              </w:rPr>
              <w:t>ـ ـ استثمارات في وحدات الخلايا الكهروضوئية في المناطق الصناعية بغزة</w:t>
            </w:r>
            <w:r w:rsidR="00022F13">
              <w:rPr>
                <w:rFonts w:ascii="Arial" w:hAnsi="Arial"/>
                <w:sz w:val="20"/>
                <w:szCs w:val="20"/>
              </w:rPr>
              <w:t xml:space="preserve"> </w:t>
            </w:r>
            <w:r w:rsidR="00BB230B">
              <w:rPr>
                <w:rFonts w:ascii="Arial" w:hAnsi="Arial" w:hint="cs"/>
                <w:sz w:val="20"/>
                <w:szCs w:val="20"/>
              </w:rPr>
              <w:t>ب</w:t>
            </w:r>
            <w:r>
              <w:rPr>
                <w:rFonts w:ascii="Arial" w:hAnsi="Arial"/>
                <w:sz w:val="20"/>
                <w:szCs w:val="20"/>
              </w:rPr>
              <w:t>قدرة 35 ميجاواط (مؤسسة التمويل الدولية)</w:t>
            </w:r>
          </w:p>
          <w:p w14:paraId="05167AC1" w14:textId="77777777" w:rsidR="005A774C" w:rsidRDefault="00BB230B" w:rsidP="002A3038">
            <w:pPr>
              <w:rPr>
                <w:rFonts w:ascii="Arial" w:eastAsia="Arial" w:hAnsi="Arial" w:cs="Arial"/>
                <w:sz w:val="20"/>
                <w:szCs w:val="20"/>
              </w:rPr>
            </w:pPr>
            <w:r>
              <w:rPr>
                <w:rFonts w:ascii="Arial" w:hAnsi="Arial" w:hint="cs"/>
                <w:sz w:val="20"/>
                <w:szCs w:val="20"/>
              </w:rPr>
              <w:t xml:space="preserve">ـ ـ </w:t>
            </w:r>
            <w:r w:rsidR="005A774C">
              <w:rPr>
                <w:rFonts w:ascii="Arial" w:hAnsi="Arial"/>
                <w:sz w:val="20"/>
                <w:szCs w:val="20"/>
              </w:rPr>
              <w:t xml:space="preserve">الصندوق العالمي المعني بتنمية مشاريع البنية التحتية </w:t>
            </w:r>
            <w:r w:rsidR="005A774C">
              <w:rPr>
                <w:rFonts w:ascii="Arial" w:hAnsi="Arial"/>
                <w:sz w:val="20"/>
                <w:szCs w:val="20"/>
                <w:rtl w:val="0"/>
              </w:rPr>
              <w:t>(</w:t>
            </w:r>
            <w:r w:rsidR="005A774C">
              <w:rPr>
                <w:rFonts w:ascii="Arial" w:hAnsi="Arial"/>
                <w:sz w:val="20"/>
                <w:rtl w:val="0"/>
              </w:rPr>
              <w:t>InfraVentures)</w:t>
            </w:r>
            <w:r w:rsidR="005A774C">
              <w:rPr>
                <w:rFonts w:ascii="Arial" w:hAnsi="Arial"/>
                <w:sz w:val="20"/>
                <w:szCs w:val="20"/>
              </w:rPr>
              <w:t xml:space="preserve"> ــ مؤسسة التمويل الدولية</w:t>
            </w:r>
          </w:p>
          <w:p w14:paraId="4A6FEA8C" w14:textId="77777777" w:rsidR="005A774C" w:rsidRDefault="00BB230B" w:rsidP="002A3038">
            <w:pPr>
              <w:rPr>
                <w:rFonts w:ascii="Arial" w:eastAsia="Arial" w:hAnsi="Arial" w:cs="Arial"/>
                <w:sz w:val="20"/>
                <w:szCs w:val="20"/>
              </w:rPr>
            </w:pPr>
            <w:r>
              <w:rPr>
                <w:rFonts w:ascii="Arial" w:hAnsi="Arial" w:hint="cs"/>
                <w:sz w:val="20"/>
                <w:szCs w:val="20"/>
              </w:rPr>
              <w:t xml:space="preserve">ـ ـ </w:t>
            </w:r>
            <w:r w:rsidR="005A774C">
              <w:rPr>
                <w:rFonts w:ascii="Arial" w:hAnsi="Arial"/>
                <w:sz w:val="20"/>
                <w:szCs w:val="20"/>
              </w:rPr>
              <w:t>محطة إنتاج الكهرباء المستقلة في جنين (مؤسسة التمويل الدولية)</w:t>
            </w:r>
          </w:p>
          <w:p w14:paraId="4285CBAF" w14:textId="77777777" w:rsidR="005A774C" w:rsidRDefault="005A774C" w:rsidP="002A3038">
            <w:pPr>
              <w:rPr>
                <w:rFonts w:ascii="Arial" w:eastAsia="Arial" w:hAnsi="Arial" w:cs="Arial"/>
                <w:sz w:val="20"/>
                <w:szCs w:val="20"/>
              </w:rPr>
            </w:pPr>
            <w:r>
              <w:rPr>
                <w:rFonts w:ascii="Arial" w:hAnsi="Arial"/>
                <w:sz w:val="20"/>
                <w:szCs w:val="20"/>
              </w:rPr>
              <w:t>ـ ـ صندوق تعزيز القطاع الخاص</w:t>
            </w:r>
          </w:p>
          <w:p w14:paraId="21E3D5B6" w14:textId="77777777" w:rsidR="005A774C" w:rsidRDefault="00BB230B" w:rsidP="002A3038">
            <w:pPr>
              <w:rPr>
                <w:rFonts w:ascii="Arial" w:eastAsia="Arial" w:hAnsi="Arial" w:cs="Arial"/>
                <w:sz w:val="20"/>
                <w:szCs w:val="20"/>
              </w:rPr>
            </w:pPr>
            <w:r>
              <w:rPr>
                <w:rFonts w:ascii="Arial" w:hAnsi="Arial" w:hint="cs"/>
                <w:sz w:val="20"/>
                <w:szCs w:val="20"/>
              </w:rPr>
              <w:lastRenderedPageBreak/>
              <w:t xml:space="preserve">ـ ـ </w:t>
            </w:r>
            <w:r w:rsidR="005A774C">
              <w:rPr>
                <w:rFonts w:ascii="Arial" w:hAnsi="Arial"/>
                <w:sz w:val="20"/>
                <w:szCs w:val="20"/>
              </w:rPr>
              <w:t>استثمارات عديدة ومشاركة في خدمات استشارية في مجال الطاقة المتجددة (مؤسسة التمويل الدولية)</w:t>
            </w:r>
          </w:p>
          <w:p w14:paraId="3C8A787D" w14:textId="77777777" w:rsidR="005A774C" w:rsidRPr="002B580D" w:rsidRDefault="005A774C" w:rsidP="002A3038">
            <w:pPr>
              <w:rPr>
                <w:rFonts w:ascii="Times New Roman" w:eastAsia="Calibri" w:hAnsi="Times New Roman" w:cs="Times New Roman"/>
                <w:sz w:val="10"/>
                <w:szCs w:val="10"/>
              </w:rPr>
            </w:pPr>
          </w:p>
        </w:tc>
      </w:tr>
    </w:tbl>
    <w:p w14:paraId="727EF097" w14:textId="77777777" w:rsidR="005A774C" w:rsidRDefault="005A774C" w:rsidP="005A774C">
      <w:r>
        <w:lastRenderedPageBreak/>
        <w:br w:type="page"/>
      </w:r>
    </w:p>
    <w:tbl>
      <w:tblPr>
        <w:tblStyle w:val="TableGrid"/>
        <w:bidiVisual/>
        <w:tblW w:w="13045" w:type="dxa"/>
        <w:tblLook w:val="04A0" w:firstRow="1" w:lastRow="0" w:firstColumn="1" w:lastColumn="0" w:noHBand="0" w:noVBand="1"/>
      </w:tblPr>
      <w:tblGrid>
        <w:gridCol w:w="8995"/>
        <w:gridCol w:w="4050"/>
      </w:tblGrid>
      <w:tr w:rsidR="005A774C" w:rsidRPr="00294AF8" w14:paraId="06AE9B45" w14:textId="77777777" w:rsidTr="002A3038">
        <w:trPr>
          <w:tblHeader/>
        </w:trPr>
        <w:tc>
          <w:tcPr>
            <w:tcW w:w="8995" w:type="dxa"/>
            <w:tcBorders>
              <w:bottom w:val="single" w:sz="4" w:space="0" w:color="auto"/>
            </w:tcBorders>
          </w:tcPr>
          <w:p w14:paraId="0AE0C17A" w14:textId="77777777" w:rsidR="005A774C" w:rsidRPr="00294AF8" w:rsidRDefault="005A774C" w:rsidP="002A3038">
            <w:pPr>
              <w:jc w:val="center"/>
              <w:rPr>
                <w:rFonts w:ascii="Arial" w:eastAsia="Arial" w:hAnsi="Arial" w:cs="Arial"/>
                <w:b/>
                <w:sz w:val="20"/>
                <w:szCs w:val="20"/>
              </w:rPr>
            </w:pPr>
            <w:r>
              <w:rPr>
                <w:rFonts w:ascii="Arial" w:hAnsi="Arial"/>
                <w:b/>
                <w:bCs/>
                <w:sz w:val="20"/>
                <w:szCs w:val="20"/>
              </w:rPr>
              <w:lastRenderedPageBreak/>
              <w:t>مؤشرات النواتج</w:t>
            </w:r>
          </w:p>
        </w:tc>
        <w:tc>
          <w:tcPr>
            <w:tcW w:w="4050" w:type="dxa"/>
            <w:tcBorders>
              <w:bottom w:val="single" w:sz="4" w:space="0" w:color="auto"/>
            </w:tcBorders>
          </w:tcPr>
          <w:p w14:paraId="6B6B1918" w14:textId="77777777" w:rsidR="005A774C" w:rsidRPr="00294AF8" w:rsidRDefault="005A774C" w:rsidP="002A3038">
            <w:pPr>
              <w:jc w:val="center"/>
              <w:rPr>
                <w:rFonts w:ascii="Arial" w:eastAsia="Arial" w:hAnsi="Arial" w:cs="Arial"/>
                <w:b/>
                <w:sz w:val="20"/>
                <w:szCs w:val="20"/>
              </w:rPr>
            </w:pPr>
            <w:r>
              <w:rPr>
                <w:rFonts w:ascii="Arial" w:hAnsi="Arial"/>
                <w:b/>
                <w:bCs/>
                <w:sz w:val="20"/>
                <w:szCs w:val="20"/>
              </w:rPr>
              <w:t>برنامج مجموعة البنك الدولي</w:t>
            </w:r>
          </w:p>
        </w:tc>
      </w:tr>
      <w:tr w:rsidR="005A774C" w:rsidRPr="00294AF8" w14:paraId="17068BC0" w14:textId="77777777" w:rsidTr="002A3038">
        <w:tc>
          <w:tcPr>
            <w:tcW w:w="13045" w:type="dxa"/>
            <w:gridSpan w:val="2"/>
            <w:shd w:val="clear" w:color="auto" w:fill="D9D9D9"/>
          </w:tcPr>
          <w:p w14:paraId="738748C1" w14:textId="77777777" w:rsidR="005A774C" w:rsidRPr="00F72564" w:rsidRDefault="005A774C" w:rsidP="002A3038">
            <w:pPr>
              <w:rPr>
                <w:rFonts w:ascii="Arial" w:eastAsia="Arial" w:hAnsi="Arial" w:cs="Arial"/>
                <w:b/>
              </w:rPr>
            </w:pPr>
            <w:r>
              <w:rPr>
                <w:rFonts w:ascii="Arial" w:hAnsi="Arial"/>
                <w:b/>
                <w:bCs/>
              </w:rPr>
              <w:t>الركيزة 3. تلبية احتياجات الشرائح المستضعفة والمحرومة وتعزيز المؤسسات من أجل تحسين الخدمات التي تستهدف المواطن</w:t>
            </w:r>
          </w:p>
          <w:p w14:paraId="27FF1824" w14:textId="77777777" w:rsidR="005A774C" w:rsidRPr="00F72564" w:rsidRDefault="005A774C" w:rsidP="002A3038">
            <w:pPr>
              <w:rPr>
                <w:rFonts w:ascii="Arial" w:eastAsia="Arial" w:hAnsi="Arial" w:cs="Arial"/>
                <w:b/>
              </w:rPr>
            </w:pPr>
            <w:r>
              <w:rPr>
                <w:rFonts w:ascii="Arial" w:hAnsi="Arial"/>
              </w:rPr>
              <w:t>النواتج المقترحة: حماية الشرائح المستضعفة والمحرومة وتعزيز بناء المؤسسات التي تستهدف المواطن</w:t>
            </w:r>
          </w:p>
          <w:p w14:paraId="004DD2A8" w14:textId="77777777" w:rsidR="005A774C" w:rsidRPr="00424E42" w:rsidRDefault="005A774C" w:rsidP="002A3038">
            <w:pPr>
              <w:rPr>
                <w:rFonts w:ascii="Times New Roman" w:eastAsia="Calibri" w:hAnsi="Times New Roman" w:cs="Times New Roman"/>
                <w:bCs/>
                <w:sz w:val="10"/>
                <w:szCs w:val="10"/>
              </w:rPr>
            </w:pPr>
          </w:p>
          <w:p w14:paraId="449725A3" w14:textId="77777777" w:rsidR="005A774C" w:rsidRPr="00294AF8" w:rsidRDefault="005A774C" w:rsidP="002A3038">
            <w:pPr>
              <w:rPr>
                <w:rFonts w:ascii="Arial" w:eastAsia="Arial" w:hAnsi="Arial" w:cs="Arial"/>
                <w:sz w:val="20"/>
                <w:szCs w:val="20"/>
              </w:rPr>
            </w:pPr>
            <w:r>
              <w:rPr>
                <w:rFonts w:ascii="Arial" w:hAnsi="Arial"/>
                <w:sz w:val="20"/>
                <w:szCs w:val="20"/>
              </w:rPr>
              <w:t>تجري مساندة أولويات التنمية في أجندة السياسات الوطنية للسلطة الفلسطينية من خلال النواتج المقترحة في إطار الركيزة الأولى:</w:t>
            </w:r>
          </w:p>
          <w:p w14:paraId="758BB74E" w14:textId="77777777" w:rsidR="005A774C" w:rsidRDefault="005A774C" w:rsidP="002A3038">
            <w:pPr>
              <w:numPr>
                <w:ilvl w:val="0"/>
                <w:numId w:val="2"/>
              </w:numPr>
              <w:contextualSpacing/>
              <w:rPr>
                <w:rFonts w:ascii="Arial" w:eastAsia="Arial" w:hAnsi="Arial" w:cs="Arial"/>
                <w:sz w:val="20"/>
                <w:szCs w:val="20"/>
              </w:rPr>
            </w:pPr>
            <w:r>
              <w:rPr>
                <w:rFonts w:ascii="Arial" w:hAnsi="Arial"/>
                <w:sz w:val="20"/>
                <w:szCs w:val="20"/>
              </w:rPr>
              <w:t xml:space="preserve">العدالة الاجتماعية وسيادة القانون ــ يشمل ذلك </w:t>
            </w:r>
            <w:r w:rsidR="007F0ED4">
              <w:rPr>
                <w:rFonts w:ascii="Arial" w:hAnsi="Arial" w:hint="cs"/>
                <w:sz w:val="20"/>
                <w:szCs w:val="20"/>
              </w:rPr>
              <w:t>ال</w:t>
            </w:r>
            <w:r>
              <w:rPr>
                <w:rFonts w:ascii="Arial" w:hAnsi="Arial"/>
                <w:sz w:val="20"/>
                <w:szCs w:val="20"/>
              </w:rPr>
              <w:t>سياسات</w:t>
            </w:r>
            <w:r w:rsidR="007F0ED4">
              <w:rPr>
                <w:rFonts w:ascii="Arial" w:hAnsi="Arial" w:hint="cs"/>
                <w:sz w:val="20"/>
                <w:szCs w:val="20"/>
              </w:rPr>
              <w:t xml:space="preserve"> التالية</w:t>
            </w:r>
            <w:r>
              <w:rPr>
                <w:rFonts w:ascii="Arial" w:hAnsi="Arial"/>
                <w:sz w:val="20"/>
                <w:szCs w:val="20"/>
              </w:rPr>
              <w:t>:</w:t>
            </w:r>
            <w:r w:rsidR="00022F13">
              <w:rPr>
                <w:rFonts w:ascii="Arial" w:hAnsi="Arial"/>
                <w:sz w:val="20"/>
                <w:szCs w:val="20"/>
              </w:rPr>
              <w:t xml:space="preserve"> </w:t>
            </w:r>
            <w:r>
              <w:rPr>
                <w:rFonts w:ascii="Arial" w:hAnsi="Arial"/>
                <w:sz w:val="20"/>
                <w:szCs w:val="20"/>
              </w:rPr>
              <w:t>الخلاص من الفقر وتعزيز الحماية الاجتماعية</w:t>
            </w:r>
          </w:p>
          <w:p w14:paraId="0C041271" w14:textId="77777777" w:rsidR="005A774C" w:rsidRDefault="005A774C" w:rsidP="002A3038">
            <w:pPr>
              <w:numPr>
                <w:ilvl w:val="0"/>
                <w:numId w:val="2"/>
              </w:numPr>
              <w:contextualSpacing/>
              <w:rPr>
                <w:rFonts w:ascii="Arial" w:eastAsia="Arial" w:hAnsi="Arial" w:cs="Arial"/>
                <w:sz w:val="20"/>
                <w:szCs w:val="20"/>
              </w:rPr>
            </w:pPr>
            <w:r>
              <w:rPr>
                <w:rFonts w:ascii="Arial" w:hAnsi="Arial"/>
                <w:sz w:val="20"/>
                <w:szCs w:val="20"/>
              </w:rPr>
              <w:t xml:space="preserve">الحكومة التي تركز على المواطن وتستهدفه ــ يشمل ذلك </w:t>
            </w:r>
            <w:r w:rsidR="007F0ED4">
              <w:rPr>
                <w:rFonts w:ascii="Arial" w:hAnsi="Arial" w:hint="cs"/>
                <w:sz w:val="20"/>
                <w:szCs w:val="20"/>
              </w:rPr>
              <w:t>ال</w:t>
            </w:r>
            <w:r>
              <w:rPr>
                <w:rFonts w:ascii="Arial" w:hAnsi="Arial"/>
                <w:sz w:val="20"/>
                <w:szCs w:val="20"/>
              </w:rPr>
              <w:t>سياسات</w:t>
            </w:r>
            <w:r w:rsidR="007F0ED4">
              <w:rPr>
                <w:rFonts w:ascii="Arial" w:hAnsi="Arial" w:hint="cs"/>
                <w:sz w:val="20"/>
                <w:szCs w:val="20"/>
              </w:rPr>
              <w:t xml:space="preserve"> </w:t>
            </w:r>
            <w:r w:rsidR="007F0ED4">
              <w:rPr>
                <w:rFonts w:ascii="Arial" w:hAnsi="Arial" w:hint="cs"/>
              </w:rPr>
              <w:t>التالية</w:t>
            </w:r>
            <w:r>
              <w:rPr>
                <w:rFonts w:ascii="Arial" w:hAnsi="Arial"/>
                <w:sz w:val="20"/>
                <w:szCs w:val="20"/>
              </w:rPr>
              <w:t>:</w:t>
            </w:r>
            <w:r w:rsidR="00022F13">
              <w:rPr>
                <w:rFonts w:ascii="Arial" w:hAnsi="Arial"/>
                <w:sz w:val="20"/>
                <w:szCs w:val="20"/>
              </w:rPr>
              <w:t xml:space="preserve"> </w:t>
            </w:r>
            <w:r>
              <w:rPr>
                <w:rFonts w:ascii="Arial" w:hAnsi="Arial"/>
                <w:sz w:val="20"/>
                <w:szCs w:val="20"/>
              </w:rPr>
              <w:t>أجهزة محلية مستجيبة وتحسين الخدمات المقدمة للمواطنين</w:t>
            </w:r>
          </w:p>
          <w:p w14:paraId="13442A22" w14:textId="77777777" w:rsidR="005A774C" w:rsidRPr="00CC68C8" w:rsidRDefault="005A774C" w:rsidP="002A3038">
            <w:pPr>
              <w:numPr>
                <w:ilvl w:val="0"/>
                <w:numId w:val="2"/>
              </w:numPr>
              <w:contextualSpacing/>
              <w:rPr>
                <w:rFonts w:ascii="Arial" w:eastAsia="Arial" w:hAnsi="Arial" w:cs="Arial"/>
                <w:sz w:val="20"/>
                <w:szCs w:val="20"/>
              </w:rPr>
            </w:pPr>
            <w:r>
              <w:rPr>
                <w:rFonts w:ascii="Arial" w:hAnsi="Arial"/>
                <w:sz w:val="20"/>
                <w:szCs w:val="20"/>
              </w:rPr>
              <w:t xml:space="preserve">حكومة فعالة ــ يشمل ذلك </w:t>
            </w:r>
            <w:r w:rsidR="007F0ED4">
              <w:rPr>
                <w:rFonts w:ascii="Arial" w:hAnsi="Arial" w:hint="cs"/>
                <w:sz w:val="20"/>
                <w:szCs w:val="20"/>
              </w:rPr>
              <w:t>ال</w:t>
            </w:r>
            <w:r>
              <w:rPr>
                <w:rFonts w:ascii="Arial" w:hAnsi="Arial"/>
                <w:sz w:val="20"/>
                <w:szCs w:val="20"/>
              </w:rPr>
              <w:t>سياسات</w:t>
            </w:r>
            <w:r w:rsidR="007F0ED4">
              <w:rPr>
                <w:rFonts w:ascii="Arial" w:hAnsi="Arial" w:hint="cs"/>
                <w:sz w:val="20"/>
                <w:szCs w:val="20"/>
              </w:rPr>
              <w:t xml:space="preserve"> </w:t>
            </w:r>
            <w:r w:rsidR="007F0ED4">
              <w:rPr>
                <w:rFonts w:ascii="Arial" w:hAnsi="Arial" w:hint="cs"/>
              </w:rPr>
              <w:t>التالية</w:t>
            </w:r>
            <w:r>
              <w:rPr>
                <w:rFonts w:ascii="Arial" w:hAnsi="Arial"/>
                <w:sz w:val="20"/>
                <w:szCs w:val="20"/>
              </w:rPr>
              <w:t>:</w:t>
            </w:r>
            <w:r w:rsidR="00022F13">
              <w:rPr>
                <w:rFonts w:ascii="Arial" w:hAnsi="Arial"/>
                <w:sz w:val="20"/>
                <w:szCs w:val="20"/>
              </w:rPr>
              <w:t xml:space="preserve"> </w:t>
            </w:r>
            <w:r>
              <w:rPr>
                <w:rFonts w:ascii="Arial" w:hAnsi="Arial"/>
                <w:sz w:val="20"/>
                <w:szCs w:val="20"/>
              </w:rPr>
              <w:t>تعزيز المساءلة والشفافية والإدارة المالية التي تتسم بالكفاءة والفاعلية</w:t>
            </w:r>
          </w:p>
          <w:p w14:paraId="39110CDB" w14:textId="77777777" w:rsidR="005A774C" w:rsidRPr="002B580D" w:rsidRDefault="005A774C" w:rsidP="002A3038">
            <w:pPr>
              <w:pStyle w:val="ListParagraph"/>
              <w:numPr>
                <w:ilvl w:val="0"/>
                <w:numId w:val="2"/>
              </w:numPr>
              <w:rPr>
                <w:rFonts w:ascii="Arial" w:eastAsia="Arial" w:hAnsi="Arial" w:cs="Arial"/>
                <w:sz w:val="20"/>
                <w:szCs w:val="20"/>
              </w:rPr>
            </w:pPr>
            <w:r>
              <w:rPr>
                <w:rFonts w:ascii="Arial" w:hAnsi="Arial"/>
                <w:sz w:val="20"/>
                <w:szCs w:val="20"/>
              </w:rPr>
              <w:t>التعليم الجيد للجميع ــ</w:t>
            </w:r>
            <w:r w:rsidR="00022F13">
              <w:rPr>
                <w:rFonts w:ascii="Arial" w:hAnsi="Arial"/>
                <w:sz w:val="20"/>
                <w:szCs w:val="20"/>
              </w:rPr>
              <w:t xml:space="preserve"> </w:t>
            </w:r>
            <w:r>
              <w:rPr>
                <w:rFonts w:ascii="Arial" w:hAnsi="Arial"/>
                <w:sz w:val="20"/>
                <w:szCs w:val="20"/>
              </w:rPr>
              <w:t xml:space="preserve">يشمل ذلك </w:t>
            </w:r>
            <w:r w:rsidR="007F0ED4">
              <w:rPr>
                <w:rFonts w:ascii="Arial" w:hAnsi="Arial" w:hint="cs"/>
                <w:sz w:val="20"/>
                <w:szCs w:val="20"/>
              </w:rPr>
              <w:t>ال</w:t>
            </w:r>
            <w:r>
              <w:rPr>
                <w:rFonts w:ascii="Arial" w:hAnsi="Arial"/>
                <w:sz w:val="20"/>
                <w:szCs w:val="20"/>
              </w:rPr>
              <w:t>سياسات</w:t>
            </w:r>
            <w:r w:rsidR="007F0ED4">
              <w:rPr>
                <w:rFonts w:ascii="Arial" w:hAnsi="Arial" w:hint="cs"/>
                <w:sz w:val="20"/>
                <w:szCs w:val="20"/>
              </w:rPr>
              <w:t xml:space="preserve"> التالية</w:t>
            </w:r>
            <w:r>
              <w:rPr>
                <w:rFonts w:ascii="Arial" w:hAnsi="Arial"/>
                <w:sz w:val="20"/>
                <w:szCs w:val="20"/>
              </w:rPr>
              <w:t>:</w:t>
            </w:r>
            <w:r w:rsidR="00022F13">
              <w:rPr>
                <w:rFonts w:ascii="Arial" w:hAnsi="Arial"/>
                <w:sz w:val="20"/>
                <w:szCs w:val="20"/>
              </w:rPr>
              <w:t xml:space="preserve"> </w:t>
            </w:r>
            <w:r>
              <w:rPr>
                <w:rFonts w:ascii="Arial" w:hAnsi="Arial"/>
                <w:i/>
                <w:iCs/>
                <w:sz w:val="20"/>
                <w:szCs w:val="20"/>
              </w:rPr>
              <w:t>من التعليم إلى العمل</w:t>
            </w:r>
          </w:p>
          <w:p w14:paraId="5E26F15E" w14:textId="77777777" w:rsidR="005A774C" w:rsidRPr="002B580D" w:rsidRDefault="005A774C" w:rsidP="002A3038">
            <w:pPr>
              <w:rPr>
                <w:rFonts w:ascii="Times New Roman" w:eastAsia="Calibri" w:hAnsi="Times New Roman" w:cs="Times New Roman"/>
                <w:sz w:val="20"/>
                <w:szCs w:val="20"/>
              </w:rPr>
            </w:pPr>
          </w:p>
        </w:tc>
      </w:tr>
      <w:tr w:rsidR="005A774C" w:rsidRPr="00294AF8" w14:paraId="4E9099BA" w14:textId="77777777" w:rsidTr="002A3038">
        <w:tc>
          <w:tcPr>
            <w:tcW w:w="8995" w:type="dxa"/>
            <w:tcBorders>
              <w:bottom w:val="single" w:sz="4" w:space="0" w:color="auto"/>
            </w:tcBorders>
          </w:tcPr>
          <w:p w14:paraId="712C0E1A" w14:textId="77777777" w:rsidR="005A774C" w:rsidRDefault="005A774C" w:rsidP="002A3038">
            <w:pPr>
              <w:contextualSpacing/>
              <w:jc w:val="center"/>
              <w:rPr>
                <w:rFonts w:ascii="Arial" w:eastAsia="Arial" w:hAnsi="Arial" w:cs="Arial"/>
                <w:sz w:val="20"/>
                <w:szCs w:val="20"/>
                <w:u w:val="single"/>
              </w:rPr>
            </w:pPr>
            <w:r>
              <w:rPr>
                <w:rFonts w:ascii="Arial" w:hAnsi="Arial"/>
                <w:sz w:val="20"/>
                <w:szCs w:val="20"/>
                <w:u w:val="single"/>
              </w:rPr>
              <w:t>موارد المانحين والموارد العامة النادرة للسلطة الفلسطينية المستثمرة في تقديم الخدمات وتعزيز المساءلة</w:t>
            </w:r>
          </w:p>
          <w:p w14:paraId="4225F4FB" w14:textId="77777777" w:rsidR="005A774C" w:rsidRPr="00294AF8" w:rsidRDefault="005A774C" w:rsidP="002A3038">
            <w:pPr>
              <w:pStyle w:val="ListParagraph"/>
              <w:numPr>
                <w:ilvl w:val="0"/>
                <w:numId w:val="3"/>
              </w:numPr>
              <w:autoSpaceDE w:val="0"/>
              <w:autoSpaceDN w:val="0"/>
              <w:adjustRightInd w:val="0"/>
              <w:rPr>
                <w:rFonts w:ascii="Arial" w:eastAsia="Arial" w:hAnsi="Arial" w:cs="Arial"/>
                <w:sz w:val="20"/>
                <w:szCs w:val="20"/>
              </w:rPr>
            </w:pPr>
            <w:r>
              <w:rPr>
                <w:rFonts w:ascii="Arial" w:hAnsi="Arial"/>
                <w:sz w:val="20"/>
                <w:szCs w:val="20"/>
              </w:rPr>
              <w:t>تحديد الشرائح الأشد فقرًا وحرمانًا من خلال التسجيل في السجل الاجتماعي (عدد الأسر المعيشية)</w:t>
            </w:r>
          </w:p>
          <w:p w14:paraId="45340CA3" w14:textId="77777777" w:rsidR="005A774C" w:rsidRPr="00294AF8" w:rsidRDefault="005A774C" w:rsidP="002A3038">
            <w:pPr>
              <w:contextualSpacing/>
              <w:rPr>
                <w:rFonts w:ascii="Arial" w:eastAsia="Arial" w:hAnsi="Arial" w:cs="Arial"/>
                <w:sz w:val="20"/>
                <w:szCs w:val="20"/>
              </w:rPr>
            </w:pPr>
            <w:r>
              <w:rPr>
                <w:rFonts w:ascii="Arial" w:hAnsi="Arial"/>
                <w:sz w:val="20"/>
                <w:szCs w:val="20"/>
              </w:rPr>
              <w:t>خط الأساس: 0.00 (2017)</w:t>
            </w:r>
          </w:p>
          <w:p w14:paraId="78D59FAE" w14:textId="77777777" w:rsidR="005A774C" w:rsidRDefault="005A774C" w:rsidP="002A3038">
            <w:pPr>
              <w:rPr>
                <w:rFonts w:ascii="Arial" w:eastAsia="Arial" w:hAnsi="Arial" w:cs="Arial"/>
                <w:sz w:val="20"/>
                <w:szCs w:val="20"/>
              </w:rPr>
            </w:pPr>
            <w:r>
              <w:rPr>
                <w:rFonts w:ascii="Arial" w:hAnsi="Arial"/>
                <w:sz w:val="20"/>
                <w:szCs w:val="20"/>
              </w:rPr>
              <w:t>المستهدف: 150,000.00 (2021)</w:t>
            </w:r>
          </w:p>
          <w:p w14:paraId="365BC794" w14:textId="77777777" w:rsidR="005A774C" w:rsidRPr="005F3D76" w:rsidRDefault="005A774C" w:rsidP="002A3038">
            <w:pPr>
              <w:contextualSpacing/>
              <w:rPr>
                <w:rFonts w:ascii="Times New Roman" w:eastAsia="Calibri" w:hAnsi="Times New Roman" w:cs="Times New Roman"/>
                <w:sz w:val="10"/>
                <w:szCs w:val="10"/>
                <w:u w:val="single"/>
              </w:rPr>
            </w:pPr>
          </w:p>
          <w:p w14:paraId="7A044BDC" w14:textId="77777777" w:rsidR="005A774C" w:rsidRPr="00294AF8" w:rsidRDefault="005A774C" w:rsidP="002A3038">
            <w:pPr>
              <w:pStyle w:val="ListParagraph"/>
              <w:numPr>
                <w:ilvl w:val="0"/>
                <w:numId w:val="3"/>
              </w:numPr>
              <w:autoSpaceDE w:val="0"/>
              <w:autoSpaceDN w:val="0"/>
              <w:adjustRightInd w:val="0"/>
              <w:rPr>
                <w:rFonts w:ascii="Arial" w:eastAsia="Arial" w:hAnsi="Arial" w:cs="Arial"/>
                <w:sz w:val="20"/>
                <w:szCs w:val="20"/>
              </w:rPr>
            </w:pPr>
            <w:r>
              <w:rPr>
                <w:rFonts w:ascii="Arial" w:hAnsi="Arial"/>
                <w:sz w:val="20"/>
                <w:szCs w:val="20"/>
              </w:rPr>
              <w:t>المنتفعون ببرامج شبكات الأمان الاجتماعي (عدد الأسر المعيشية)</w:t>
            </w:r>
          </w:p>
          <w:p w14:paraId="11DF219F" w14:textId="77777777" w:rsidR="005A774C" w:rsidRPr="00294AF8" w:rsidRDefault="005A774C" w:rsidP="002A3038">
            <w:pPr>
              <w:contextualSpacing/>
              <w:rPr>
                <w:rFonts w:ascii="Arial" w:eastAsia="Arial" w:hAnsi="Arial" w:cs="Arial"/>
                <w:sz w:val="20"/>
                <w:szCs w:val="20"/>
              </w:rPr>
            </w:pPr>
            <w:r>
              <w:rPr>
                <w:rFonts w:ascii="Arial" w:hAnsi="Arial"/>
                <w:sz w:val="20"/>
                <w:szCs w:val="20"/>
              </w:rPr>
              <w:t>خط الأساس: 0.00 (2017)</w:t>
            </w:r>
          </w:p>
          <w:p w14:paraId="38199D6A" w14:textId="77777777" w:rsidR="005A774C" w:rsidRDefault="005A774C" w:rsidP="002A3038">
            <w:pPr>
              <w:contextualSpacing/>
              <w:rPr>
                <w:rFonts w:ascii="Arial" w:eastAsia="Arial" w:hAnsi="Arial" w:cs="Arial"/>
                <w:sz w:val="20"/>
                <w:szCs w:val="20"/>
              </w:rPr>
            </w:pPr>
            <w:r>
              <w:rPr>
                <w:rFonts w:ascii="Arial" w:hAnsi="Arial"/>
                <w:sz w:val="20"/>
                <w:szCs w:val="20"/>
              </w:rPr>
              <w:t>المستهدف: [خدمات الإحالة] 15,000.00 (2021)</w:t>
            </w:r>
          </w:p>
          <w:p w14:paraId="49B8BE61" w14:textId="77777777" w:rsidR="005A774C" w:rsidRPr="00294AF8" w:rsidRDefault="005A774C" w:rsidP="002A3038">
            <w:pPr>
              <w:contextualSpacing/>
              <w:rPr>
                <w:rFonts w:ascii="Arial" w:eastAsia="Arial" w:hAnsi="Arial" w:cs="Arial"/>
                <w:sz w:val="20"/>
                <w:szCs w:val="20"/>
              </w:rPr>
            </w:pPr>
            <w:r>
              <w:rPr>
                <w:rFonts w:ascii="Arial" w:hAnsi="Arial"/>
                <w:sz w:val="20"/>
                <w:szCs w:val="20"/>
              </w:rPr>
              <w:t>المستهدف: [خدمات الاستشارات] 5,000.00 (2021)</w:t>
            </w:r>
          </w:p>
          <w:p w14:paraId="4F6C6508" w14:textId="77777777" w:rsidR="005A774C" w:rsidRPr="00B846FA" w:rsidRDefault="005A774C" w:rsidP="002A3038">
            <w:pPr>
              <w:rPr>
                <w:rFonts w:ascii="Times New Roman" w:eastAsia="Calibri" w:hAnsi="Times New Roman" w:cs="Times New Roman"/>
                <w:sz w:val="10"/>
                <w:szCs w:val="10"/>
              </w:rPr>
            </w:pPr>
          </w:p>
          <w:p w14:paraId="0C6CBCED" w14:textId="77777777" w:rsidR="005A774C" w:rsidRPr="00294AF8" w:rsidRDefault="005A774C" w:rsidP="002A3038">
            <w:pPr>
              <w:pStyle w:val="ListParagraph"/>
              <w:numPr>
                <w:ilvl w:val="0"/>
                <w:numId w:val="3"/>
              </w:numPr>
              <w:autoSpaceDE w:val="0"/>
              <w:autoSpaceDN w:val="0"/>
              <w:adjustRightInd w:val="0"/>
              <w:rPr>
                <w:rFonts w:ascii="Arial" w:eastAsia="Arial" w:hAnsi="Arial" w:cs="Arial"/>
                <w:sz w:val="20"/>
                <w:szCs w:val="20"/>
              </w:rPr>
            </w:pPr>
            <w:r>
              <w:rPr>
                <w:rFonts w:ascii="Arial" w:hAnsi="Arial"/>
                <w:sz w:val="20"/>
                <w:szCs w:val="20"/>
              </w:rPr>
              <w:t>المنتفعون بنظام إدارة الحالات (تحسين الاستهداف ونواتج التوظيف لبرنامج التحويلات النقدية للسلطة الفلسطينية) (عدد الأسر المعيشية)</w:t>
            </w:r>
          </w:p>
          <w:p w14:paraId="42987B7B" w14:textId="77777777" w:rsidR="005A774C" w:rsidRPr="00294AF8" w:rsidRDefault="005A774C" w:rsidP="002A3038">
            <w:pPr>
              <w:contextualSpacing/>
              <w:rPr>
                <w:rFonts w:ascii="Arial" w:eastAsia="Arial" w:hAnsi="Arial" w:cs="Arial"/>
                <w:sz w:val="20"/>
                <w:szCs w:val="20"/>
              </w:rPr>
            </w:pPr>
            <w:r>
              <w:rPr>
                <w:rFonts w:ascii="Arial" w:hAnsi="Arial"/>
                <w:sz w:val="20"/>
                <w:szCs w:val="20"/>
              </w:rPr>
              <w:t>خط الأساس: 0.00 (2017)</w:t>
            </w:r>
          </w:p>
          <w:p w14:paraId="6EC5FE0A" w14:textId="77777777" w:rsidR="005A774C" w:rsidRPr="00294AF8" w:rsidRDefault="005A774C" w:rsidP="002A3038">
            <w:pPr>
              <w:contextualSpacing/>
              <w:rPr>
                <w:rFonts w:ascii="Arial" w:eastAsia="Arial" w:hAnsi="Arial" w:cs="Arial"/>
                <w:sz w:val="20"/>
                <w:szCs w:val="20"/>
              </w:rPr>
            </w:pPr>
            <w:r>
              <w:rPr>
                <w:rFonts w:ascii="Arial" w:hAnsi="Arial"/>
                <w:sz w:val="20"/>
                <w:szCs w:val="20"/>
              </w:rPr>
              <w:t>المستهدف: 130.00 (2021)</w:t>
            </w:r>
          </w:p>
          <w:p w14:paraId="3CAFB61A" w14:textId="77777777" w:rsidR="005A774C" w:rsidRPr="00B846FA" w:rsidRDefault="005A774C" w:rsidP="002A3038">
            <w:pPr>
              <w:rPr>
                <w:rFonts w:ascii="Times New Roman" w:eastAsia="Calibri" w:hAnsi="Times New Roman" w:cs="Times New Roman"/>
                <w:sz w:val="10"/>
                <w:szCs w:val="10"/>
              </w:rPr>
            </w:pPr>
          </w:p>
          <w:p w14:paraId="3BE9CFA6" w14:textId="77777777" w:rsidR="005A774C" w:rsidRPr="00B846FA" w:rsidRDefault="005A774C" w:rsidP="002A3038">
            <w:pPr>
              <w:numPr>
                <w:ilvl w:val="0"/>
                <w:numId w:val="3"/>
              </w:numPr>
              <w:contextualSpacing/>
              <w:rPr>
                <w:rFonts w:ascii="Arial" w:eastAsia="Arial" w:hAnsi="Arial" w:cs="Arial"/>
                <w:sz w:val="20"/>
                <w:szCs w:val="20"/>
              </w:rPr>
            </w:pPr>
            <w:r>
              <w:rPr>
                <w:rFonts w:ascii="Arial" w:hAnsi="Arial"/>
                <w:sz w:val="20"/>
                <w:szCs w:val="20"/>
              </w:rPr>
              <w:t xml:space="preserve">المستفيدون من تحسين تقديم الخدمات ــ برنامج القرى الذي يسانده البنك الدولي (العدد) </w:t>
            </w:r>
          </w:p>
          <w:p w14:paraId="13CFE2BB" w14:textId="77777777" w:rsidR="005A774C" w:rsidRPr="00294AF8" w:rsidRDefault="005A774C" w:rsidP="002A3038">
            <w:pPr>
              <w:contextualSpacing/>
              <w:rPr>
                <w:rFonts w:ascii="Arial" w:eastAsia="Arial" w:hAnsi="Arial" w:cs="Arial"/>
                <w:sz w:val="20"/>
                <w:szCs w:val="20"/>
              </w:rPr>
            </w:pPr>
            <w:r>
              <w:rPr>
                <w:rFonts w:ascii="Arial" w:hAnsi="Arial"/>
                <w:sz w:val="20"/>
                <w:szCs w:val="20"/>
              </w:rPr>
              <w:t>خط الأساس: 0.00 (2017)</w:t>
            </w:r>
          </w:p>
          <w:p w14:paraId="2939E817" w14:textId="77777777" w:rsidR="005A774C" w:rsidRDefault="005A774C" w:rsidP="002A3038">
            <w:pPr>
              <w:contextualSpacing/>
              <w:rPr>
                <w:rFonts w:ascii="Arial" w:eastAsia="Arial" w:hAnsi="Arial" w:cs="Arial"/>
                <w:sz w:val="20"/>
                <w:szCs w:val="20"/>
              </w:rPr>
            </w:pPr>
            <w:r>
              <w:rPr>
                <w:rFonts w:ascii="Arial" w:hAnsi="Arial"/>
                <w:sz w:val="20"/>
                <w:szCs w:val="20"/>
              </w:rPr>
              <w:t>المستهدف: 350,000.00 (2021)</w:t>
            </w:r>
          </w:p>
          <w:p w14:paraId="2D899120" w14:textId="77777777" w:rsidR="005A774C" w:rsidRPr="002B580D" w:rsidRDefault="005A774C" w:rsidP="002A3038">
            <w:pPr>
              <w:contextualSpacing/>
              <w:rPr>
                <w:rFonts w:ascii="Times New Roman" w:eastAsia="Calibri" w:hAnsi="Times New Roman" w:cs="Times New Roman"/>
                <w:sz w:val="10"/>
                <w:szCs w:val="10"/>
              </w:rPr>
            </w:pPr>
          </w:p>
        </w:tc>
        <w:tc>
          <w:tcPr>
            <w:tcW w:w="4050" w:type="dxa"/>
          </w:tcPr>
          <w:p w14:paraId="11913924" w14:textId="77777777" w:rsidR="005A774C" w:rsidRPr="00294AF8" w:rsidRDefault="005A774C" w:rsidP="002A3038">
            <w:pPr>
              <w:rPr>
                <w:rFonts w:ascii="Arial" w:eastAsia="Arial" w:hAnsi="Arial" w:cs="Arial"/>
                <w:sz w:val="20"/>
                <w:szCs w:val="20"/>
                <w:u w:val="single"/>
              </w:rPr>
            </w:pPr>
            <w:r>
              <w:rPr>
                <w:rFonts w:ascii="Arial" w:hAnsi="Arial"/>
                <w:sz w:val="20"/>
                <w:szCs w:val="20"/>
                <w:u w:val="single"/>
              </w:rPr>
              <w:t>القائم:</w:t>
            </w:r>
          </w:p>
          <w:p w14:paraId="0B49DC9E" w14:textId="77777777" w:rsidR="005A774C" w:rsidRPr="00294AF8" w:rsidRDefault="005A774C" w:rsidP="002A3038">
            <w:pPr>
              <w:rPr>
                <w:rFonts w:ascii="Arial" w:eastAsia="Arial" w:hAnsi="Arial" w:cs="Arial"/>
                <w:sz w:val="20"/>
                <w:szCs w:val="20"/>
              </w:rPr>
            </w:pPr>
            <w:r>
              <w:rPr>
                <w:rFonts w:ascii="Arial" w:hAnsi="Arial"/>
                <w:sz w:val="20"/>
                <w:szCs w:val="20"/>
              </w:rPr>
              <w:t>ـ ـ إدارة المخلفات الصلبة في غزة</w:t>
            </w:r>
          </w:p>
          <w:p w14:paraId="2BA15844" w14:textId="77777777" w:rsidR="005A774C" w:rsidRPr="00294AF8" w:rsidRDefault="005A774C" w:rsidP="002A3038">
            <w:pPr>
              <w:rPr>
                <w:rFonts w:ascii="Arial" w:eastAsia="Arial" w:hAnsi="Arial" w:cs="Arial"/>
                <w:sz w:val="20"/>
                <w:szCs w:val="20"/>
              </w:rPr>
            </w:pPr>
            <w:r>
              <w:rPr>
                <w:rFonts w:ascii="Arial" w:hAnsi="Arial"/>
                <w:sz w:val="20"/>
                <w:szCs w:val="20"/>
              </w:rPr>
              <w:t>ـ ـ مشروع تدعيم قدرة النظام الصحي على الصمود</w:t>
            </w:r>
          </w:p>
          <w:p w14:paraId="67C3EB63" w14:textId="77777777" w:rsidR="005A774C" w:rsidRDefault="005A774C" w:rsidP="002A3038">
            <w:pPr>
              <w:rPr>
                <w:rFonts w:ascii="Arial" w:eastAsia="Arial" w:hAnsi="Arial" w:cs="Arial"/>
                <w:sz w:val="20"/>
                <w:szCs w:val="20"/>
              </w:rPr>
            </w:pPr>
            <w:r>
              <w:rPr>
                <w:rFonts w:ascii="Arial" w:hAnsi="Arial"/>
                <w:sz w:val="20"/>
                <w:szCs w:val="20"/>
              </w:rPr>
              <w:t xml:space="preserve">ـ ـ مشروع إدارة المياه العادمة الإقليمي في الخليل </w:t>
            </w:r>
          </w:p>
          <w:p w14:paraId="622A2821" w14:textId="77777777" w:rsidR="005A774C" w:rsidRDefault="005A774C" w:rsidP="002A3038">
            <w:pPr>
              <w:rPr>
                <w:rFonts w:ascii="Arial" w:eastAsia="Arial" w:hAnsi="Arial" w:cs="Arial"/>
                <w:sz w:val="20"/>
                <w:szCs w:val="20"/>
              </w:rPr>
            </w:pPr>
            <w:r>
              <w:rPr>
                <w:rFonts w:ascii="Arial" w:hAnsi="Arial"/>
                <w:sz w:val="20"/>
                <w:szCs w:val="20"/>
              </w:rPr>
              <w:t>ـ ـ مساندة الحوكمة على مستوى أجهزة الحكم المحلي وتحسين الخدمات</w:t>
            </w:r>
          </w:p>
          <w:p w14:paraId="06525ACD" w14:textId="77777777" w:rsidR="005A774C" w:rsidRPr="00294AF8" w:rsidRDefault="005A774C" w:rsidP="002A3038">
            <w:pPr>
              <w:rPr>
                <w:rFonts w:ascii="Arial" w:eastAsia="Arial" w:hAnsi="Arial" w:cs="Arial"/>
                <w:sz w:val="20"/>
                <w:szCs w:val="20"/>
              </w:rPr>
            </w:pPr>
            <w:r>
              <w:rPr>
                <w:rFonts w:ascii="Arial" w:hAnsi="Arial"/>
                <w:sz w:val="20"/>
                <w:szCs w:val="20"/>
              </w:rPr>
              <w:t xml:space="preserve">ـ ـ تحليل وتقارير أوضاع الفقر </w:t>
            </w:r>
          </w:p>
          <w:p w14:paraId="207211AA" w14:textId="77777777" w:rsidR="005A774C" w:rsidRDefault="005A774C" w:rsidP="002A3038">
            <w:pPr>
              <w:rPr>
                <w:rFonts w:ascii="Arial" w:eastAsia="Arial" w:hAnsi="Arial" w:cs="Arial"/>
                <w:sz w:val="20"/>
                <w:szCs w:val="20"/>
              </w:rPr>
            </w:pPr>
            <w:r>
              <w:rPr>
                <w:rFonts w:ascii="Arial" w:hAnsi="Arial"/>
                <w:sz w:val="20"/>
                <w:szCs w:val="20"/>
              </w:rPr>
              <w:t>ـ ـ مشروع تعزيز الحماية الاجتماعية</w:t>
            </w:r>
          </w:p>
          <w:p w14:paraId="531C5A28" w14:textId="77777777" w:rsidR="005A774C" w:rsidRDefault="005A774C" w:rsidP="002A3038">
            <w:pPr>
              <w:rPr>
                <w:rFonts w:ascii="Arial" w:eastAsia="Arial" w:hAnsi="Arial" w:cs="Arial"/>
                <w:sz w:val="20"/>
                <w:szCs w:val="20"/>
              </w:rPr>
            </w:pPr>
            <w:r>
              <w:rPr>
                <w:rFonts w:ascii="Arial" w:hAnsi="Arial"/>
                <w:sz w:val="20"/>
                <w:szCs w:val="20"/>
              </w:rPr>
              <w:t>ـ ـ مشروع تحسين إعداد المعلمين</w:t>
            </w:r>
          </w:p>
          <w:p w14:paraId="01BBA19A" w14:textId="77777777" w:rsidR="005A774C" w:rsidRDefault="005A774C" w:rsidP="002A3038">
            <w:pPr>
              <w:rPr>
                <w:rFonts w:ascii="Arial" w:eastAsia="Arial" w:hAnsi="Arial" w:cs="Arial"/>
                <w:sz w:val="20"/>
                <w:szCs w:val="20"/>
              </w:rPr>
            </w:pPr>
            <w:r>
              <w:rPr>
                <w:rFonts w:ascii="Arial" w:hAnsi="Arial"/>
                <w:sz w:val="20"/>
                <w:szCs w:val="20"/>
              </w:rPr>
              <w:t>ـ ـ المشروع الأول والثاني لتنمية البلديات</w:t>
            </w:r>
          </w:p>
          <w:p w14:paraId="16334818" w14:textId="77777777" w:rsidR="005A774C" w:rsidRPr="00424E42" w:rsidRDefault="005A774C" w:rsidP="002A3038">
            <w:pPr>
              <w:rPr>
                <w:rFonts w:ascii="Times New Roman" w:eastAsia="Calibri" w:hAnsi="Times New Roman" w:cs="Times New Roman"/>
                <w:sz w:val="10"/>
                <w:szCs w:val="10"/>
              </w:rPr>
            </w:pPr>
          </w:p>
          <w:p w14:paraId="48618E92" w14:textId="77777777" w:rsidR="005A774C" w:rsidRPr="00294AF8" w:rsidRDefault="005A774C" w:rsidP="002A3038">
            <w:pPr>
              <w:rPr>
                <w:rFonts w:ascii="Arial" w:eastAsia="Arial" w:hAnsi="Arial" w:cs="Arial"/>
                <w:sz w:val="20"/>
                <w:szCs w:val="20"/>
                <w:u w:val="single"/>
              </w:rPr>
            </w:pPr>
            <w:r>
              <w:rPr>
                <w:rFonts w:ascii="Arial" w:hAnsi="Arial"/>
                <w:sz w:val="20"/>
                <w:szCs w:val="20"/>
                <w:u w:val="single"/>
              </w:rPr>
              <w:t>المُخطَّط:</w:t>
            </w:r>
          </w:p>
          <w:p w14:paraId="61A75D50" w14:textId="77777777" w:rsidR="005A774C" w:rsidRDefault="005A774C" w:rsidP="002A3038">
            <w:pPr>
              <w:rPr>
                <w:rFonts w:ascii="Arial" w:eastAsia="Arial" w:hAnsi="Arial" w:cs="Arial"/>
                <w:sz w:val="20"/>
                <w:szCs w:val="20"/>
              </w:rPr>
            </w:pPr>
            <w:r>
              <w:rPr>
                <w:rFonts w:ascii="Arial" w:hAnsi="Arial"/>
                <w:sz w:val="20"/>
                <w:szCs w:val="20"/>
              </w:rPr>
              <w:t>ـ ـ الاشتمال الاجتماعي ــ الشرائح المهمشة</w:t>
            </w:r>
          </w:p>
          <w:p w14:paraId="6CB3C3F1" w14:textId="77777777" w:rsidR="005A774C" w:rsidRPr="00294AF8" w:rsidRDefault="005A774C" w:rsidP="002A3038">
            <w:pPr>
              <w:rPr>
                <w:rFonts w:ascii="Arial" w:eastAsia="Arial" w:hAnsi="Arial" w:cs="Arial"/>
                <w:sz w:val="20"/>
                <w:szCs w:val="20"/>
              </w:rPr>
            </w:pPr>
            <w:r>
              <w:rPr>
                <w:rFonts w:ascii="Arial" w:hAnsi="Arial"/>
                <w:sz w:val="20"/>
                <w:szCs w:val="20"/>
              </w:rPr>
              <w:t>ـ ـ برنامج تنمية وتطوير قطاع المياه</w:t>
            </w:r>
          </w:p>
          <w:p w14:paraId="4770D462" w14:textId="77777777" w:rsidR="005A774C" w:rsidRPr="00294AF8" w:rsidRDefault="005A774C" w:rsidP="002A3038">
            <w:pPr>
              <w:rPr>
                <w:rFonts w:ascii="Times New Roman" w:eastAsia="Calibri" w:hAnsi="Times New Roman" w:cs="Times New Roman"/>
                <w:sz w:val="20"/>
                <w:szCs w:val="20"/>
              </w:rPr>
            </w:pPr>
          </w:p>
        </w:tc>
      </w:tr>
    </w:tbl>
    <w:p w14:paraId="1C666484" w14:textId="77777777" w:rsidR="005A774C" w:rsidRDefault="005A774C" w:rsidP="005A774C"/>
    <w:p w14:paraId="1F2ADDAB" w14:textId="77777777" w:rsidR="005A774C" w:rsidRPr="00D14206" w:rsidRDefault="005A774C" w:rsidP="005A774C">
      <w:pPr>
        <w:pStyle w:val="ListParagraph"/>
        <w:spacing w:after="0" w:line="240" w:lineRule="auto"/>
        <w:ind w:left="0"/>
        <w:jc w:val="both"/>
        <w:rPr>
          <w:rFonts w:cs="Times New Roman"/>
        </w:rPr>
      </w:pPr>
    </w:p>
    <w:p w14:paraId="4A86A80F" w14:textId="77777777" w:rsidR="005A774C" w:rsidRDefault="005A774C" w:rsidP="005A774C">
      <w:pPr>
        <w:pStyle w:val="ListParagraph"/>
        <w:spacing w:after="0" w:line="240" w:lineRule="auto"/>
        <w:ind w:left="0"/>
        <w:jc w:val="both"/>
        <w:rPr>
          <w:rFonts w:cs="Times New Roman"/>
          <w:bCs/>
        </w:rPr>
      </w:pPr>
    </w:p>
    <w:p w14:paraId="2AEA3778" w14:textId="77777777" w:rsidR="005A774C" w:rsidRDefault="005A774C" w:rsidP="005A774C">
      <w:pPr>
        <w:pStyle w:val="ListParagraph"/>
        <w:spacing w:after="0" w:line="240" w:lineRule="auto"/>
        <w:ind w:left="0"/>
        <w:jc w:val="both"/>
        <w:rPr>
          <w:rFonts w:cs="Times New Roman"/>
          <w:bCs/>
        </w:rPr>
      </w:pPr>
    </w:p>
    <w:p w14:paraId="765EBF45" w14:textId="77777777" w:rsidR="005A774C" w:rsidRDefault="005A774C" w:rsidP="005A774C">
      <w:pPr>
        <w:pStyle w:val="ListParagraph"/>
        <w:spacing w:after="0" w:line="240" w:lineRule="auto"/>
        <w:ind w:left="0"/>
        <w:jc w:val="both"/>
        <w:rPr>
          <w:rFonts w:cs="Times New Roman"/>
          <w:bCs/>
        </w:rPr>
      </w:pPr>
    </w:p>
    <w:p w14:paraId="2BDCC19D" w14:textId="77777777" w:rsidR="005A774C" w:rsidRDefault="005A774C" w:rsidP="005A774C">
      <w:pPr>
        <w:rPr>
          <w:rFonts w:cs="Arial"/>
          <w:bCs/>
        </w:rPr>
      </w:pPr>
      <w:r>
        <w:br w:type="page"/>
      </w:r>
    </w:p>
    <w:p w14:paraId="4EFC6E23" w14:textId="77777777" w:rsidR="005A774C" w:rsidRPr="008C7C15" w:rsidRDefault="005A774C" w:rsidP="005A774C">
      <w:pPr>
        <w:keepNext/>
        <w:keepLines/>
        <w:spacing w:after="0" w:line="240" w:lineRule="auto"/>
        <w:jc w:val="center"/>
        <w:outlineLvl w:val="0"/>
        <w:rPr>
          <w:rFonts w:ascii="Arial" w:eastAsia="Arial" w:hAnsi="Arial" w:cs="Arial"/>
          <w:b/>
          <w:bCs/>
          <w:smallCaps/>
          <w:sz w:val="24"/>
          <w:szCs w:val="28"/>
        </w:rPr>
      </w:pPr>
      <w:bookmarkStart w:id="51" w:name="_Toc500240976"/>
      <w:bookmarkStart w:id="52" w:name="_Toc494980823"/>
      <w:r>
        <w:rPr>
          <w:rFonts w:ascii="Arial" w:hAnsi="Arial"/>
          <w:b/>
          <w:bCs/>
          <w:smallCaps/>
          <w:sz w:val="24"/>
          <w:szCs w:val="24"/>
        </w:rPr>
        <w:lastRenderedPageBreak/>
        <w:t>الملحق 2:</w:t>
      </w:r>
      <w:r w:rsidR="00022F13">
        <w:rPr>
          <w:rFonts w:ascii="Arial" w:hAnsi="Arial"/>
          <w:b/>
          <w:bCs/>
          <w:smallCaps/>
          <w:sz w:val="24"/>
          <w:szCs w:val="24"/>
        </w:rPr>
        <w:t xml:space="preserve"> </w:t>
      </w:r>
      <w:r>
        <w:rPr>
          <w:rFonts w:ascii="Arial" w:hAnsi="Arial"/>
          <w:b/>
          <w:bCs/>
          <w:smallCaps/>
          <w:sz w:val="24"/>
          <w:szCs w:val="24"/>
        </w:rPr>
        <w:t>أموال المانحين المكملة لمنح البنك الدولي</w:t>
      </w:r>
      <w:bookmarkEnd w:id="51"/>
      <w:r>
        <w:rPr>
          <w:rFonts w:ascii="Arial" w:hAnsi="Arial"/>
          <w:b/>
          <w:bCs/>
          <w:smallCaps/>
          <w:sz w:val="24"/>
          <w:szCs w:val="24"/>
        </w:rPr>
        <w:t xml:space="preserve"> </w:t>
      </w:r>
      <w:bookmarkEnd w:id="52"/>
    </w:p>
    <w:p w14:paraId="451A2735" w14:textId="77777777" w:rsidR="005A774C" w:rsidRPr="008C7C15" w:rsidRDefault="005A774C" w:rsidP="005A774C">
      <w:pPr>
        <w:spacing w:after="0" w:line="240" w:lineRule="auto"/>
        <w:jc w:val="both"/>
        <w:rPr>
          <w:rFonts w:ascii="Times New Roman" w:eastAsia="Calibri" w:hAnsi="Times New Roman" w:cs="Consolas"/>
          <w:iCs/>
        </w:rPr>
      </w:pPr>
    </w:p>
    <w:p w14:paraId="175EE4B6" w14:textId="77777777" w:rsidR="005A774C" w:rsidRDefault="005A774C" w:rsidP="005A774C">
      <w:pPr>
        <w:spacing w:after="0" w:line="240" w:lineRule="auto"/>
        <w:jc w:val="center"/>
        <w:rPr>
          <w:rFonts w:ascii="Arial" w:eastAsia="Arial" w:hAnsi="Arial" w:cs="Arial"/>
        </w:rPr>
      </w:pPr>
      <w:r>
        <w:rPr>
          <w:rFonts w:ascii="Arial" w:hAnsi="Arial"/>
        </w:rPr>
        <w:t>(يشمل ذلك التمويل المقدم من البنك</w:t>
      </w:r>
      <w:r w:rsidR="007F0ED4">
        <w:rPr>
          <w:rFonts w:ascii="Arial" w:hAnsi="Arial" w:hint="cs"/>
        </w:rPr>
        <w:t xml:space="preserve"> الدولي</w:t>
      </w:r>
      <w:r>
        <w:rPr>
          <w:rFonts w:ascii="Arial" w:hAnsi="Arial"/>
        </w:rPr>
        <w:t>، والتمويل المشترك مع المانحين، ومساهمات الصندوق الاستئماني</w:t>
      </w:r>
      <w:r w:rsidR="007F0ED4">
        <w:rPr>
          <w:rFonts w:ascii="Arial" w:hAnsi="Arial" w:hint="cs"/>
        </w:rPr>
        <w:t>،</w:t>
      </w:r>
      <w:r>
        <w:rPr>
          <w:rFonts w:ascii="Arial" w:hAnsi="Arial"/>
        </w:rPr>
        <w:t xml:space="preserve"> </w:t>
      </w:r>
      <w:r w:rsidR="007F0ED4">
        <w:rPr>
          <w:rFonts w:ascii="Arial" w:hAnsi="Arial" w:hint="cs"/>
        </w:rPr>
        <w:t>و</w:t>
      </w:r>
      <w:r>
        <w:rPr>
          <w:rFonts w:ascii="Arial" w:hAnsi="Arial"/>
        </w:rPr>
        <w:t>التمويل</w:t>
      </w:r>
      <w:r w:rsidR="007F0ED4">
        <w:rPr>
          <w:rFonts w:ascii="Arial" w:hAnsi="Arial" w:hint="cs"/>
        </w:rPr>
        <w:t xml:space="preserve"> </w:t>
      </w:r>
      <w:r>
        <w:rPr>
          <w:rFonts w:ascii="Arial" w:hAnsi="Arial"/>
        </w:rPr>
        <w:t>الموازي بحسب المبلغ (وفق ما أشار إليه رؤساء فرق العمل)</w:t>
      </w:r>
    </w:p>
    <w:p w14:paraId="2E78E665" w14:textId="77777777" w:rsidR="005A774C" w:rsidRDefault="005A774C" w:rsidP="005A774C">
      <w:pPr>
        <w:spacing w:after="0" w:line="240" w:lineRule="auto"/>
        <w:jc w:val="center"/>
        <w:rPr>
          <w:rFonts w:ascii="Arial" w:eastAsia="Arial" w:hAnsi="Arial" w:cs="Arial"/>
        </w:rPr>
      </w:pPr>
      <w:r>
        <w:rPr>
          <w:rFonts w:ascii="Arial" w:hAnsi="Arial"/>
        </w:rPr>
        <w:t xml:space="preserve"> (في 31 أكتوبر/تشرين الأول 2017)</w:t>
      </w:r>
    </w:p>
    <w:tbl>
      <w:tblPr>
        <w:bidiVisual/>
        <w:tblW w:w="12775" w:type="dxa"/>
        <w:tblLook w:val="04A0" w:firstRow="1" w:lastRow="0" w:firstColumn="1" w:lastColumn="0" w:noHBand="0" w:noVBand="1"/>
      </w:tblPr>
      <w:tblGrid>
        <w:gridCol w:w="1908"/>
        <w:gridCol w:w="2295"/>
        <w:gridCol w:w="4371"/>
        <w:gridCol w:w="2671"/>
        <w:gridCol w:w="1530"/>
      </w:tblGrid>
      <w:tr w:rsidR="005A774C" w:rsidRPr="008C7C15" w14:paraId="5EC0590D" w14:textId="77777777" w:rsidTr="002A3038">
        <w:trPr>
          <w:trHeight w:val="600"/>
          <w:tblHeader/>
        </w:trPr>
        <w:tc>
          <w:tcPr>
            <w:tcW w:w="1807" w:type="dxa"/>
            <w:tcBorders>
              <w:top w:val="single" w:sz="4" w:space="0" w:color="auto"/>
              <w:left w:val="single" w:sz="4" w:space="0" w:color="auto"/>
              <w:bottom w:val="single" w:sz="4" w:space="0" w:color="auto"/>
              <w:right w:val="single" w:sz="4" w:space="0" w:color="auto"/>
            </w:tcBorders>
            <w:shd w:val="clear" w:color="auto" w:fill="BDD7EE"/>
            <w:vAlign w:val="center"/>
          </w:tcPr>
          <w:p w14:paraId="6F2B8715" w14:textId="77777777" w:rsidR="005A774C" w:rsidRPr="008C7C15" w:rsidRDefault="005A774C" w:rsidP="002A3038">
            <w:pPr>
              <w:spacing w:after="0" w:line="240" w:lineRule="auto"/>
              <w:jc w:val="center"/>
              <w:rPr>
                <w:rFonts w:ascii="Arial" w:eastAsia="Arial" w:hAnsi="Arial" w:cs="Arial"/>
                <w:b/>
                <w:bCs/>
                <w:color w:val="000000"/>
                <w:sz w:val="18"/>
                <w:szCs w:val="18"/>
              </w:rPr>
            </w:pPr>
            <w:r>
              <w:rPr>
                <w:rFonts w:ascii="Arial" w:hAnsi="Arial"/>
                <w:b/>
                <w:bCs/>
                <w:color w:val="000000"/>
                <w:sz w:val="18"/>
                <w:szCs w:val="18"/>
              </w:rPr>
              <w:t>رقم الصندوق الاستئماني</w:t>
            </w:r>
          </w:p>
        </w:tc>
        <w:tc>
          <w:tcPr>
            <w:tcW w:w="2314" w:type="dxa"/>
            <w:tcBorders>
              <w:top w:val="single" w:sz="4" w:space="0" w:color="auto"/>
              <w:left w:val="nil"/>
              <w:bottom w:val="single" w:sz="4" w:space="0" w:color="auto"/>
              <w:right w:val="single" w:sz="4" w:space="0" w:color="auto"/>
            </w:tcBorders>
            <w:shd w:val="clear" w:color="auto" w:fill="BDD7EE"/>
            <w:vAlign w:val="center"/>
          </w:tcPr>
          <w:p w14:paraId="73EA1B06" w14:textId="77777777" w:rsidR="005A774C" w:rsidRPr="008C7C15" w:rsidRDefault="005A774C" w:rsidP="002A3038">
            <w:pPr>
              <w:spacing w:after="0" w:line="240" w:lineRule="auto"/>
              <w:jc w:val="center"/>
              <w:rPr>
                <w:rFonts w:ascii="Arial" w:eastAsia="Arial" w:hAnsi="Arial" w:cs="Arial"/>
                <w:b/>
                <w:bCs/>
                <w:color w:val="000000"/>
                <w:sz w:val="18"/>
                <w:szCs w:val="18"/>
              </w:rPr>
            </w:pPr>
            <w:r>
              <w:rPr>
                <w:rFonts w:ascii="Arial" w:hAnsi="Arial"/>
                <w:b/>
                <w:bCs/>
                <w:color w:val="000000"/>
                <w:sz w:val="18"/>
                <w:szCs w:val="18"/>
              </w:rPr>
              <w:t>اسم الصندوق الاستئماني</w:t>
            </w:r>
          </w:p>
        </w:tc>
        <w:tc>
          <w:tcPr>
            <w:tcW w:w="4424" w:type="dxa"/>
            <w:tcBorders>
              <w:top w:val="single" w:sz="4" w:space="0" w:color="auto"/>
              <w:left w:val="nil"/>
              <w:bottom w:val="single" w:sz="4" w:space="0" w:color="auto"/>
              <w:right w:val="single" w:sz="4" w:space="0" w:color="auto"/>
            </w:tcBorders>
            <w:shd w:val="clear" w:color="auto" w:fill="BDD7EE"/>
            <w:vAlign w:val="center"/>
          </w:tcPr>
          <w:p w14:paraId="771BB2AE" w14:textId="77777777" w:rsidR="005A774C" w:rsidRPr="008C7C15" w:rsidRDefault="005A774C" w:rsidP="002A3038">
            <w:pPr>
              <w:spacing w:after="0" w:line="240" w:lineRule="auto"/>
              <w:jc w:val="center"/>
              <w:rPr>
                <w:rFonts w:ascii="Arial" w:eastAsia="Arial" w:hAnsi="Arial" w:cs="Arial"/>
                <w:b/>
                <w:bCs/>
                <w:color w:val="000000"/>
                <w:sz w:val="18"/>
                <w:szCs w:val="18"/>
              </w:rPr>
            </w:pPr>
            <w:r>
              <w:rPr>
                <w:rFonts w:ascii="Arial" w:hAnsi="Arial"/>
                <w:b/>
                <w:bCs/>
                <w:color w:val="000000"/>
                <w:sz w:val="18"/>
                <w:szCs w:val="18"/>
              </w:rPr>
              <w:t>الوضعية/الهدف</w:t>
            </w:r>
          </w:p>
        </w:tc>
        <w:tc>
          <w:tcPr>
            <w:tcW w:w="2700" w:type="dxa"/>
            <w:tcBorders>
              <w:top w:val="single" w:sz="4" w:space="0" w:color="auto"/>
              <w:left w:val="nil"/>
              <w:bottom w:val="single" w:sz="4" w:space="0" w:color="auto"/>
              <w:right w:val="single" w:sz="4" w:space="0" w:color="auto"/>
            </w:tcBorders>
            <w:shd w:val="clear" w:color="auto" w:fill="BDD7EE"/>
            <w:vAlign w:val="center"/>
          </w:tcPr>
          <w:p w14:paraId="7CA2C700" w14:textId="77777777" w:rsidR="005A774C" w:rsidRPr="008C7C15" w:rsidRDefault="005A774C" w:rsidP="002A3038">
            <w:pPr>
              <w:spacing w:after="0" w:line="240" w:lineRule="auto"/>
              <w:jc w:val="center"/>
              <w:rPr>
                <w:rFonts w:ascii="Arial" w:eastAsia="Arial" w:hAnsi="Arial" w:cs="Arial"/>
                <w:b/>
                <w:bCs/>
                <w:color w:val="000000"/>
                <w:sz w:val="18"/>
                <w:szCs w:val="18"/>
              </w:rPr>
            </w:pPr>
            <w:r>
              <w:rPr>
                <w:rFonts w:ascii="Arial" w:hAnsi="Arial"/>
                <w:b/>
                <w:bCs/>
                <w:color w:val="000000"/>
                <w:sz w:val="18"/>
                <w:szCs w:val="18"/>
              </w:rPr>
              <w:t>الجهات المانحة</w:t>
            </w:r>
          </w:p>
        </w:tc>
        <w:tc>
          <w:tcPr>
            <w:tcW w:w="1530" w:type="dxa"/>
            <w:tcBorders>
              <w:top w:val="single" w:sz="4" w:space="0" w:color="auto"/>
              <w:left w:val="nil"/>
              <w:bottom w:val="single" w:sz="4" w:space="0" w:color="auto"/>
              <w:right w:val="single" w:sz="4" w:space="0" w:color="auto"/>
            </w:tcBorders>
            <w:shd w:val="clear" w:color="auto" w:fill="BDD7EE"/>
            <w:vAlign w:val="center"/>
          </w:tcPr>
          <w:p w14:paraId="0BB94CB4" w14:textId="77777777" w:rsidR="005A774C" w:rsidRPr="008C7C15" w:rsidRDefault="005A774C" w:rsidP="002A3038">
            <w:pPr>
              <w:spacing w:after="0" w:line="240" w:lineRule="auto"/>
              <w:jc w:val="center"/>
              <w:rPr>
                <w:rFonts w:ascii="Arial" w:eastAsia="Arial" w:hAnsi="Arial" w:cs="Arial"/>
                <w:b/>
                <w:bCs/>
                <w:color w:val="000000"/>
                <w:sz w:val="18"/>
                <w:szCs w:val="18"/>
              </w:rPr>
            </w:pPr>
            <w:r>
              <w:rPr>
                <w:rFonts w:ascii="Arial" w:hAnsi="Arial"/>
                <w:b/>
                <w:bCs/>
                <w:color w:val="000000"/>
                <w:sz w:val="18"/>
                <w:szCs w:val="18"/>
              </w:rPr>
              <w:t>صافي قيمة المنحة (دولار)</w:t>
            </w:r>
          </w:p>
        </w:tc>
      </w:tr>
      <w:tr w:rsidR="005A774C" w:rsidRPr="008C7C15" w14:paraId="44A6A74A" w14:textId="77777777" w:rsidTr="002A3038">
        <w:trPr>
          <w:trHeight w:val="948"/>
        </w:trPr>
        <w:tc>
          <w:tcPr>
            <w:tcW w:w="1807" w:type="dxa"/>
            <w:tcBorders>
              <w:top w:val="nil"/>
              <w:left w:val="single" w:sz="4" w:space="0" w:color="auto"/>
              <w:bottom w:val="single" w:sz="4" w:space="0" w:color="auto"/>
              <w:right w:val="single" w:sz="4" w:space="0" w:color="auto"/>
            </w:tcBorders>
            <w:vAlign w:val="center"/>
          </w:tcPr>
          <w:p w14:paraId="14252264"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TF071607/TF072593</w:t>
            </w:r>
          </w:p>
        </w:tc>
        <w:tc>
          <w:tcPr>
            <w:tcW w:w="2314" w:type="dxa"/>
            <w:tcBorders>
              <w:top w:val="nil"/>
              <w:left w:val="nil"/>
              <w:bottom w:val="single" w:sz="4" w:space="0" w:color="auto"/>
              <w:right w:val="single" w:sz="4" w:space="0" w:color="auto"/>
            </w:tcBorders>
            <w:vAlign w:val="center"/>
          </w:tcPr>
          <w:p w14:paraId="6FA5018F"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الصندوق الاستئماني متعدد المانحين للإصلاح</w:t>
            </w:r>
            <w:r w:rsidR="00022F13">
              <w:rPr>
                <w:rFonts w:ascii="Arial" w:hAnsi="Arial"/>
                <w:color w:val="000000"/>
                <w:sz w:val="18"/>
                <w:szCs w:val="18"/>
              </w:rPr>
              <w:t xml:space="preserve"> </w:t>
            </w:r>
            <w:r>
              <w:rPr>
                <w:rFonts w:ascii="Arial" w:hAnsi="Arial"/>
                <w:color w:val="000000"/>
                <w:sz w:val="18"/>
                <w:szCs w:val="18"/>
              </w:rPr>
              <w:t>والتنمية في فلسطين</w:t>
            </w:r>
          </w:p>
        </w:tc>
        <w:tc>
          <w:tcPr>
            <w:tcW w:w="4424" w:type="dxa"/>
            <w:tcBorders>
              <w:top w:val="nil"/>
              <w:left w:val="nil"/>
              <w:bottom w:val="single" w:sz="4" w:space="0" w:color="auto"/>
              <w:right w:val="single" w:sz="4" w:space="0" w:color="auto"/>
            </w:tcBorders>
            <w:vAlign w:val="center"/>
          </w:tcPr>
          <w:p w14:paraId="2839C3BC"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 xml:space="preserve">مساندة الموازنة من أجل الإصلاحات الحكومية </w:t>
            </w:r>
          </w:p>
        </w:tc>
        <w:tc>
          <w:tcPr>
            <w:tcW w:w="2700" w:type="dxa"/>
            <w:tcBorders>
              <w:top w:val="nil"/>
              <w:left w:val="nil"/>
              <w:bottom w:val="single" w:sz="4" w:space="0" w:color="auto"/>
              <w:right w:val="single" w:sz="4" w:space="0" w:color="auto"/>
            </w:tcBorders>
            <w:vAlign w:val="center"/>
          </w:tcPr>
          <w:p w14:paraId="4B16D5A5"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الوكالة الأسترالية للتنمية الدولية، والنرويج (وزارة الخارجية)، والمملكة المتحدة (وزارة التنمية الدولية البريطانية)، وفرنسا (وزارة الخارجية)، والكويت، واليابان.</w:t>
            </w:r>
            <w:r w:rsidR="00022F13">
              <w:rPr>
                <w:rFonts w:ascii="Arial" w:hAnsi="Arial"/>
                <w:color w:val="000000"/>
                <w:sz w:val="18"/>
                <w:szCs w:val="18"/>
              </w:rPr>
              <w:t xml:space="preserve"> </w:t>
            </w:r>
            <w:r>
              <w:rPr>
                <w:rFonts w:ascii="Arial" w:hAnsi="Arial"/>
                <w:color w:val="000000"/>
                <w:sz w:val="18"/>
                <w:szCs w:val="18"/>
              </w:rPr>
              <w:t>وكانت كندا (الوكالة الكندية للتنمية الدولية)، وفنلندا (وزارة الخارجية)، وبولندا جهات مانحة سابقة</w:t>
            </w:r>
          </w:p>
        </w:tc>
        <w:tc>
          <w:tcPr>
            <w:tcW w:w="1530" w:type="dxa"/>
            <w:tcBorders>
              <w:top w:val="nil"/>
              <w:left w:val="nil"/>
              <w:bottom w:val="single" w:sz="4" w:space="0" w:color="auto"/>
              <w:right w:val="single" w:sz="4" w:space="0" w:color="auto"/>
            </w:tcBorders>
            <w:vAlign w:val="center"/>
          </w:tcPr>
          <w:p w14:paraId="460EE652"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1,470,658,991</w:t>
            </w:r>
          </w:p>
        </w:tc>
      </w:tr>
      <w:tr w:rsidR="005A774C" w:rsidRPr="008C7C15" w14:paraId="0BE29BA8" w14:textId="77777777" w:rsidTr="002A3038">
        <w:trPr>
          <w:trHeight w:val="720"/>
        </w:trPr>
        <w:tc>
          <w:tcPr>
            <w:tcW w:w="1807" w:type="dxa"/>
            <w:tcBorders>
              <w:top w:val="nil"/>
              <w:left w:val="single" w:sz="4" w:space="0" w:color="auto"/>
              <w:bottom w:val="single" w:sz="4" w:space="0" w:color="auto"/>
              <w:right w:val="single" w:sz="4" w:space="0" w:color="auto"/>
            </w:tcBorders>
            <w:vAlign w:val="center"/>
          </w:tcPr>
          <w:p w14:paraId="486C9102"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TF071898/TF072778</w:t>
            </w:r>
          </w:p>
        </w:tc>
        <w:tc>
          <w:tcPr>
            <w:tcW w:w="2314" w:type="dxa"/>
            <w:tcBorders>
              <w:top w:val="nil"/>
              <w:left w:val="nil"/>
              <w:bottom w:val="single" w:sz="4" w:space="0" w:color="auto"/>
              <w:right w:val="single" w:sz="4" w:space="0" w:color="auto"/>
            </w:tcBorders>
            <w:vAlign w:val="center"/>
          </w:tcPr>
          <w:p w14:paraId="0803CC60"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الشراكة من أجل تطوير البنية التحتية ــ</w:t>
            </w:r>
            <w:r w:rsidR="00022F13">
              <w:rPr>
                <w:rFonts w:ascii="Arial" w:hAnsi="Arial"/>
                <w:color w:val="000000"/>
                <w:sz w:val="18"/>
                <w:szCs w:val="18"/>
              </w:rPr>
              <w:t xml:space="preserve"> </w:t>
            </w:r>
            <w:r>
              <w:rPr>
                <w:rFonts w:ascii="Arial" w:hAnsi="Arial"/>
                <w:color w:val="000000"/>
                <w:sz w:val="18"/>
                <w:szCs w:val="18"/>
              </w:rPr>
              <w:t>صندوق استئماني متعدد المانحين</w:t>
            </w:r>
          </w:p>
        </w:tc>
        <w:tc>
          <w:tcPr>
            <w:tcW w:w="4424" w:type="dxa"/>
            <w:tcBorders>
              <w:top w:val="nil"/>
              <w:left w:val="nil"/>
              <w:bottom w:val="single" w:sz="4" w:space="0" w:color="auto"/>
              <w:right w:val="single" w:sz="4" w:space="0" w:color="auto"/>
            </w:tcBorders>
            <w:vAlign w:val="center"/>
          </w:tcPr>
          <w:p w14:paraId="14C43FC4"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يقدم تمويلًا مشتركًا للمشروعات المرتبطة بإمدادات المياه والصرف الصحي والتنمية الحضرية والكهربة.</w:t>
            </w:r>
            <w:r w:rsidR="00022F13">
              <w:rPr>
                <w:rFonts w:ascii="Arial" w:hAnsi="Arial"/>
                <w:color w:val="000000"/>
                <w:sz w:val="18"/>
                <w:szCs w:val="18"/>
              </w:rPr>
              <w:t xml:space="preserve"> </w:t>
            </w:r>
            <w:r>
              <w:rPr>
                <w:rFonts w:ascii="Arial" w:hAnsi="Arial"/>
                <w:color w:val="000000"/>
                <w:sz w:val="18"/>
                <w:szCs w:val="18"/>
              </w:rPr>
              <w:t xml:space="preserve">كما يمول الأنشطة التحليلية والاستشارية. </w:t>
            </w:r>
          </w:p>
        </w:tc>
        <w:tc>
          <w:tcPr>
            <w:tcW w:w="2700" w:type="dxa"/>
            <w:tcBorders>
              <w:top w:val="nil"/>
              <w:left w:val="nil"/>
              <w:bottom w:val="single" w:sz="4" w:space="0" w:color="auto"/>
              <w:right w:val="single" w:sz="4" w:space="0" w:color="auto"/>
            </w:tcBorders>
            <w:vAlign w:val="center"/>
          </w:tcPr>
          <w:p w14:paraId="47CF0138"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كرواتيا، والدانمرك، وفنلندا، وفرنسا، وهولندا، والنرويج، والبرتغال، والسويد</w:t>
            </w:r>
          </w:p>
        </w:tc>
        <w:tc>
          <w:tcPr>
            <w:tcW w:w="1530" w:type="dxa"/>
            <w:tcBorders>
              <w:top w:val="nil"/>
              <w:left w:val="nil"/>
              <w:bottom w:val="single" w:sz="4" w:space="0" w:color="auto"/>
              <w:right w:val="single" w:sz="4" w:space="0" w:color="auto"/>
            </w:tcBorders>
            <w:vAlign w:val="center"/>
          </w:tcPr>
          <w:p w14:paraId="6B6E91F7"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137,485,067</w:t>
            </w:r>
          </w:p>
        </w:tc>
      </w:tr>
      <w:tr w:rsidR="005A774C" w:rsidRPr="008C7C15" w14:paraId="224496A1" w14:textId="77777777" w:rsidTr="002A3038">
        <w:trPr>
          <w:trHeight w:val="852"/>
        </w:trPr>
        <w:tc>
          <w:tcPr>
            <w:tcW w:w="1807" w:type="dxa"/>
            <w:tcBorders>
              <w:top w:val="nil"/>
              <w:left w:val="single" w:sz="4" w:space="0" w:color="auto"/>
              <w:bottom w:val="single" w:sz="4" w:space="0" w:color="auto"/>
              <w:right w:val="single" w:sz="4" w:space="0" w:color="auto"/>
            </w:tcBorders>
            <w:vAlign w:val="center"/>
          </w:tcPr>
          <w:p w14:paraId="0F7A374E"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غير متاح</w:t>
            </w:r>
          </w:p>
        </w:tc>
        <w:tc>
          <w:tcPr>
            <w:tcW w:w="2314" w:type="dxa"/>
            <w:tcBorders>
              <w:top w:val="nil"/>
              <w:left w:val="nil"/>
              <w:bottom w:val="single" w:sz="4" w:space="0" w:color="auto"/>
              <w:right w:val="single" w:sz="4" w:space="0" w:color="auto"/>
            </w:tcBorders>
            <w:vAlign w:val="center"/>
          </w:tcPr>
          <w:p w14:paraId="5EA85272"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تمويل مواز</w:t>
            </w:r>
          </w:p>
        </w:tc>
        <w:tc>
          <w:tcPr>
            <w:tcW w:w="4424" w:type="dxa"/>
            <w:tcBorders>
              <w:top w:val="nil"/>
              <w:left w:val="nil"/>
              <w:bottom w:val="single" w:sz="4" w:space="0" w:color="auto"/>
              <w:right w:val="single" w:sz="4" w:space="0" w:color="auto"/>
            </w:tcBorders>
            <w:vAlign w:val="center"/>
          </w:tcPr>
          <w:p w14:paraId="7A6FD892"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مساندة للحوكمة على مستوى أجهزة الحكم المحلي وتحسين الخدمات</w:t>
            </w:r>
          </w:p>
        </w:tc>
        <w:tc>
          <w:tcPr>
            <w:tcW w:w="2700" w:type="dxa"/>
            <w:tcBorders>
              <w:top w:val="nil"/>
              <w:left w:val="nil"/>
              <w:bottom w:val="single" w:sz="4" w:space="0" w:color="auto"/>
              <w:right w:val="single" w:sz="4" w:space="0" w:color="auto"/>
            </w:tcBorders>
            <w:vAlign w:val="center"/>
          </w:tcPr>
          <w:p w14:paraId="2FD44E3A"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 xml:space="preserve">ألمانيا (من خلال الوكالة الألمانية للتعاون الدولي وبنك التنمية الألماني)؛ وبلجيكا (مؤسسة التعاون الفني البلجيكية)؛ والاتحاد الأوروبي؛ والوكالة الفرنسية للتنمية؛ وبرنامج الأمم المتحدة الإنمائي (النمسا وإيطاليا والسويد)؛ وسويسرا (الوكالة السويسرية للتنمية والتعاون) </w:t>
            </w:r>
          </w:p>
        </w:tc>
        <w:tc>
          <w:tcPr>
            <w:tcW w:w="1530" w:type="dxa"/>
            <w:tcBorders>
              <w:top w:val="nil"/>
              <w:left w:val="nil"/>
              <w:bottom w:val="single" w:sz="4" w:space="0" w:color="auto"/>
              <w:right w:val="single" w:sz="4" w:space="0" w:color="auto"/>
            </w:tcBorders>
            <w:vAlign w:val="center"/>
          </w:tcPr>
          <w:p w14:paraId="7EC9E434"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44,000,000</w:t>
            </w:r>
          </w:p>
        </w:tc>
      </w:tr>
      <w:tr w:rsidR="005A774C" w:rsidRPr="008C7C15" w14:paraId="49E5C606"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3C535C28"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 </w:t>
            </w:r>
          </w:p>
        </w:tc>
        <w:tc>
          <w:tcPr>
            <w:tcW w:w="2314" w:type="dxa"/>
            <w:tcBorders>
              <w:top w:val="nil"/>
              <w:left w:val="nil"/>
              <w:bottom w:val="single" w:sz="4" w:space="0" w:color="auto"/>
              <w:right w:val="single" w:sz="4" w:space="0" w:color="auto"/>
            </w:tcBorders>
            <w:vAlign w:val="center"/>
          </w:tcPr>
          <w:p w14:paraId="650330D0"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مشروع إدارة المياه العادمة الإقليمي في الخليل</w:t>
            </w:r>
          </w:p>
        </w:tc>
        <w:tc>
          <w:tcPr>
            <w:tcW w:w="4424" w:type="dxa"/>
            <w:tcBorders>
              <w:top w:val="nil"/>
              <w:left w:val="nil"/>
              <w:bottom w:val="single" w:sz="4" w:space="0" w:color="auto"/>
              <w:right w:val="single" w:sz="4" w:space="0" w:color="auto"/>
            </w:tcBorders>
            <w:shd w:val="clear" w:color="auto" w:fill="FFFFFF"/>
            <w:vAlign w:val="center"/>
          </w:tcPr>
          <w:p w14:paraId="467483F0"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مساندة مشروع إدارة المياه العادمة الإقليمي في الخليل</w:t>
            </w:r>
          </w:p>
        </w:tc>
        <w:tc>
          <w:tcPr>
            <w:tcW w:w="2700" w:type="dxa"/>
            <w:tcBorders>
              <w:top w:val="nil"/>
              <w:left w:val="nil"/>
              <w:bottom w:val="single" w:sz="4" w:space="0" w:color="auto"/>
              <w:right w:val="single" w:sz="4" w:space="0" w:color="auto"/>
            </w:tcBorders>
            <w:vAlign w:val="center"/>
          </w:tcPr>
          <w:p w14:paraId="7EF668FF" w14:textId="77777777" w:rsidR="005A774C" w:rsidRPr="008C7C15" w:rsidRDefault="005A774C" w:rsidP="00E9149C">
            <w:pPr>
              <w:spacing w:after="0" w:line="240" w:lineRule="auto"/>
              <w:jc w:val="center"/>
              <w:rPr>
                <w:rFonts w:ascii="Arial" w:eastAsia="Arial" w:hAnsi="Arial" w:cs="Arial"/>
                <w:color w:val="000000"/>
                <w:sz w:val="18"/>
                <w:szCs w:val="18"/>
              </w:rPr>
            </w:pPr>
            <w:r>
              <w:rPr>
                <w:rFonts w:ascii="Arial" w:hAnsi="Arial"/>
                <w:color w:val="000000"/>
                <w:sz w:val="18"/>
                <w:szCs w:val="18"/>
              </w:rPr>
              <w:t xml:space="preserve">المفوضية الأوروبية وبنك التنمية </w:t>
            </w:r>
            <w:r w:rsidR="00E9149C">
              <w:rPr>
                <w:rFonts w:ascii="Arial" w:hAnsi="Arial"/>
                <w:color w:val="000000"/>
                <w:sz w:val="18"/>
                <w:szCs w:val="18"/>
              </w:rPr>
              <w:t>ال</w:t>
            </w:r>
            <w:r w:rsidR="00E9149C">
              <w:rPr>
                <w:rFonts w:ascii="Arial" w:hAnsi="Arial" w:hint="cs"/>
                <w:color w:val="000000"/>
                <w:sz w:val="18"/>
                <w:szCs w:val="18"/>
              </w:rPr>
              <w:t>آ</w:t>
            </w:r>
            <w:r w:rsidR="00E9149C">
              <w:rPr>
                <w:rFonts w:ascii="Arial" w:hAnsi="Arial"/>
                <w:color w:val="000000"/>
                <w:sz w:val="18"/>
                <w:szCs w:val="18"/>
              </w:rPr>
              <w:t>سيوي</w:t>
            </w:r>
          </w:p>
        </w:tc>
        <w:tc>
          <w:tcPr>
            <w:tcW w:w="1530" w:type="dxa"/>
            <w:tcBorders>
              <w:top w:val="nil"/>
              <w:left w:val="nil"/>
              <w:bottom w:val="single" w:sz="4" w:space="0" w:color="auto"/>
              <w:right w:val="single" w:sz="4" w:space="0" w:color="auto"/>
            </w:tcBorders>
            <w:vAlign w:val="center"/>
          </w:tcPr>
          <w:p w14:paraId="4E270488"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32,600,000</w:t>
            </w:r>
          </w:p>
        </w:tc>
      </w:tr>
      <w:tr w:rsidR="005A774C" w:rsidRPr="008C7C15" w14:paraId="6A03845A"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0EEAAE3F"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غير متاح</w:t>
            </w:r>
          </w:p>
        </w:tc>
        <w:tc>
          <w:tcPr>
            <w:tcW w:w="2314" w:type="dxa"/>
            <w:tcBorders>
              <w:top w:val="nil"/>
              <w:left w:val="nil"/>
              <w:bottom w:val="single" w:sz="4" w:space="0" w:color="auto"/>
              <w:right w:val="single" w:sz="4" w:space="0" w:color="auto"/>
            </w:tcBorders>
            <w:vAlign w:val="center"/>
          </w:tcPr>
          <w:p w14:paraId="5C2B6719"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 xml:space="preserve">تمويل موازٍ ــ المشروع الطارئ للكهرباء ومعالجة مياه الصرف الصحي في شمال قطاع غزة </w:t>
            </w:r>
          </w:p>
        </w:tc>
        <w:tc>
          <w:tcPr>
            <w:tcW w:w="4424" w:type="dxa"/>
            <w:tcBorders>
              <w:top w:val="nil"/>
              <w:left w:val="nil"/>
              <w:bottom w:val="single" w:sz="4" w:space="0" w:color="auto"/>
              <w:right w:val="single" w:sz="4" w:space="0" w:color="auto"/>
            </w:tcBorders>
            <w:vAlign w:val="center"/>
          </w:tcPr>
          <w:p w14:paraId="081F1D7A"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 xml:space="preserve">مساندة المشروع الطارئ للكهرباء ومعالجة مياه الصرف الصحي في شمال قطاع غزة </w:t>
            </w:r>
          </w:p>
        </w:tc>
        <w:tc>
          <w:tcPr>
            <w:tcW w:w="2700" w:type="dxa"/>
            <w:tcBorders>
              <w:top w:val="nil"/>
              <w:left w:val="nil"/>
              <w:bottom w:val="single" w:sz="4" w:space="0" w:color="auto"/>
              <w:right w:val="single" w:sz="4" w:space="0" w:color="auto"/>
            </w:tcBorders>
            <w:vAlign w:val="center"/>
          </w:tcPr>
          <w:p w14:paraId="2CBA7A4F"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 xml:space="preserve">بنك الاستثمار الأوروبي والبنك الأفريقي للتنمية </w:t>
            </w:r>
          </w:p>
        </w:tc>
        <w:tc>
          <w:tcPr>
            <w:tcW w:w="1530" w:type="dxa"/>
            <w:tcBorders>
              <w:top w:val="nil"/>
              <w:left w:val="nil"/>
              <w:bottom w:val="single" w:sz="4" w:space="0" w:color="auto"/>
              <w:right w:val="single" w:sz="4" w:space="0" w:color="auto"/>
            </w:tcBorders>
            <w:vAlign w:val="center"/>
          </w:tcPr>
          <w:p w14:paraId="08F2E9E4"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32,200,000</w:t>
            </w:r>
          </w:p>
        </w:tc>
      </w:tr>
      <w:tr w:rsidR="005A774C" w:rsidRPr="008C7C15" w14:paraId="7B82BD06"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23F95733"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غير متاح</w:t>
            </w:r>
          </w:p>
        </w:tc>
        <w:tc>
          <w:tcPr>
            <w:tcW w:w="2314" w:type="dxa"/>
            <w:tcBorders>
              <w:top w:val="nil"/>
              <w:left w:val="nil"/>
              <w:bottom w:val="single" w:sz="4" w:space="0" w:color="auto"/>
              <w:right w:val="single" w:sz="4" w:space="0" w:color="auto"/>
            </w:tcBorders>
            <w:vAlign w:val="center"/>
          </w:tcPr>
          <w:p w14:paraId="2F930596"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تمويل موازٍ ــ مشروع تدعيم قدرة النظام الصحي على الصمود</w:t>
            </w:r>
          </w:p>
        </w:tc>
        <w:tc>
          <w:tcPr>
            <w:tcW w:w="4424" w:type="dxa"/>
            <w:tcBorders>
              <w:top w:val="nil"/>
              <w:left w:val="nil"/>
              <w:bottom w:val="single" w:sz="4" w:space="0" w:color="auto"/>
              <w:right w:val="single" w:sz="4" w:space="0" w:color="auto"/>
            </w:tcBorders>
            <w:vAlign w:val="center"/>
          </w:tcPr>
          <w:p w14:paraId="364A1EF7"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مساندة مشروع تدعيم قدرة النظام الصحي على الصمود</w:t>
            </w:r>
          </w:p>
        </w:tc>
        <w:tc>
          <w:tcPr>
            <w:tcW w:w="2700" w:type="dxa"/>
            <w:tcBorders>
              <w:top w:val="nil"/>
              <w:left w:val="nil"/>
              <w:bottom w:val="single" w:sz="4" w:space="0" w:color="auto"/>
              <w:right w:val="single" w:sz="4" w:space="0" w:color="auto"/>
            </w:tcBorders>
            <w:vAlign w:val="center"/>
          </w:tcPr>
          <w:p w14:paraId="5492AA8B"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الاتحاد الأوروبي وفرنسا (الوكالة الفرنسية للتنمية)</w:t>
            </w:r>
          </w:p>
        </w:tc>
        <w:tc>
          <w:tcPr>
            <w:tcW w:w="1530" w:type="dxa"/>
            <w:tcBorders>
              <w:top w:val="nil"/>
              <w:left w:val="nil"/>
              <w:bottom w:val="single" w:sz="4" w:space="0" w:color="auto"/>
              <w:right w:val="single" w:sz="4" w:space="0" w:color="auto"/>
            </w:tcBorders>
            <w:vAlign w:val="center"/>
          </w:tcPr>
          <w:p w14:paraId="19A574E9"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15,000,000</w:t>
            </w:r>
          </w:p>
        </w:tc>
      </w:tr>
      <w:tr w:rsidR="005A774C" w:rsidRPr="008C7C15" w14:paraId="3FBA8529" w14:textId="77777777" w:rsidTr="002A3038">
        <w:trPr>
          <w:trHeight w:val="768"/>
        </w:trPr>
        <w:tc>
          <w:tcPr>
            <w:tcW w:w="1807" w:type="dxa"/>
            <w:tcBorders>
              <w:top w:val="nil"/>
              <w:left w:val="single" w:sz="4" w:space="0" w:color="auto"/>
              <w:bottom w:val="single" w:sz="4" w:space="0" w:color="auto"/>
              <w:right w:val="single" w:sz="4" w:space="0" w:color="auto"/>
            </w:tcBorders>
            <w:vAlign w:val="center"/>
          </w:tcPr>
          <w:p w14:paraId="619A79BA"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غير متاح</w:t>
            </w:r>
          </w:p>
        </w:tc>
        <w:tc>
          <w:tcPr>
            <w:tcW w:w="2314" w:type="dxa"/>
            <w:tcBorders>
              <w:top w:val="nil"/>
              <w:left w:val="nil"/>
              <w:bottom w:val="single" w:sz="4" w:space="0" w:color="auto"/>
              <w:right w:val="single" w:sz="4" w:space="0" w:color="auto"/>
            </w:tcBorders>
            <w:vAlign w:val="center"/>
          </w:tcPr>
          <w:p w14:paraId="7E3CB9CC"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 xml:space="preserve">تمويل موازٍ ــ المشروع الثاني لتنمية البلديات </w:t>
            </w:r>
          </w:p>
        </w:tc>
        <w:tc>
          <w:tcPr>
            <w:tcW w:w="4424" w:type="dxa"/>
            <w:tcBorders>
              <w:top w:val="nil"/>
              <w:left w:val="nil"/>
              <w:bottom w:val="single" w:sz="4" w:space="0" w:color="auto"/>
              <w:right w:val="single" w:sz="4" w:space="0" w:color="auto"/>
            </w:tcBorders>
            <w:vAlign w:val="center"/>
          </w:tcPr>
          <w:p w14:paraId="7AB0B028"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مساندة المشروع الثاني لتنمية البلديات</w:t>
            </w:r>
          </w:p>
        </w:tc>
        <w:tc>
          <w:tcPr>
            <w:tcW w:w="2700" w:type="dxa"/>
            <w:tcBorders>
              <w:top w:val="nil"/>
              <w:left w:val="nil"/>
              <w:bottom w:val="single" w:sz="4" w:space="0" w:color="auto"/>
              <w:right w:val="single" w:sz="4" w:space="0" w:color="auto"/>
            </w:tcBorders>
            <w:vAlign w:val="center"/>
          </w:tcPr>
          <w:p w14:paraId="6762E1D8" w14:textId="77777777" w:rsidR="005A774C" w:rsidRPr="008C7C15" w:rsidRDefault="005A774C" w:rsidP="00E9149C">
            <w:pPr>
              <w:spacing w:after="0" w:line="240" w:lineRule="auto"/>
              <w:jc w:val="center"/>
              <w:rPr>
                <w:rFonts w:ascii="Arial" w:eastAsia="Arial" w:hAnsi="Arial" w:cs="Arial"/>
                <w:color w:val="000000"/>
                <w:sz w:val="18"/>
                <w:szCs w:val="18"/>
              </w:rPr>
            </w:pPr>
            <w:r>
              <w:rPr>
                <w:rFonts w:ascii="Arial" w:hAnsi="Arial"/>
                <w:color w:val="000000"/>
                <w:sz w:val="18"/>
                <w:szCs w:val="18"/>
              </w:rPr>
              <w:t>ألمانيا (من خلال الوكالة الألمانية للتعاون الدولي وبنك التنمية الألماني)؛ وبلجيكا (مؤسسة التعاون الفني البلجيكية)؛ والاتحاد الأوروبي؛ وفرنسا (الوكالة الفرنسية للتنمية)؛ وسويسرا، وهولندا ــ</w:t>
            </w:r>
            <w:r w:rsidR="00022F13">
              <w:rPr>
                <w:rFonts w:ascii="Arial" w:hAnsi="Arial"/>
                <w:color w:val="000000"/>
                <w:sz w:val="18"/>
                <w:szCs w:val="18"/>
              </w:rPr>
              <w:t xml:space="preserve"> </w:t>
            </w:r>
            <w:r>
              <w:rPr>
                <w:rFonts w:ascii="Arial" w:hAnsi="Arial"/>
                <w:color w:val="000000"/>
                <w:sz w:val="18"/>
                <w:szCs w:val="18"/>
              </w:rPr>
              <w:t xml:space="preserve">(منظمة في </w:t>
            </w:r>
            <w:r w:rsidR="00E9149C">
              <w:rPr>
                <w:rFonts w:ascii="Arial" w:hAnsi="Arial" w:hint="cs"/>
                <w:color w:val="000000"/>
                <w:sz w:val="18"/>
                <w:szCs w:val="18"/>
              </w:rPr>
              <w:t>إن جي</w:t>
            </w:r>
            <w:r>
              <w:rPr>
                <w:rFonts w:ascii="Arial" w:hAnsi="Arial"/>
                <w:color w:val="000000"/>
                <w:sz w:val="18"/>
                <w:szCs w:val="18"/>
              </w:rPr>
              <w:t xml:space="preserve"> (</w:t>
            </w:r>
            <w:r w:rsidR="00E9149C">
              <w:rPr>
                <w:rFonts w:ascii="Arial" w:hAnsi="Arial"/>
                <w:color w:val="000000"/>
                <w:sz w:val="18"/>
                <w:rtl w:val="0"/>
              </w:rPr>
              <w:t>VNG</w:t>
            </w:r>
            <w:r>
              <w:rPr>
                <w:rFonts w:ascii="Arial" w:hAnsi="Arial"/>
                <w:color w:val="000000"/>
                <w:sz w:val="18"/>
                <w:szCs w:val="18"/>
              </w:rPr>
              <w:t>) الدولية)</w:t>
            </w:r>
          </w:p>
        </w:tc>
        <w:tc>
          <w:tcPr>
            <w:tcW w:w="1530" w:type="dxa"/>
            <w:tcBorders>
              <w:top w:val="nil"/>
              <w:left w:val="nil"/>
              <w:bottom w:val="single" w:sz="4" w:space="0" w:color="auto"/>
              <w:right w:val="single" w:sz="4" w:space="0" w:color="auto"/>
            </w:tcBorders>
            <w:vAlign w:val="center"/>
          </w:tcPr>
          <w:p w14:paraId="577F0A49"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17,800,000</w:t>
            </w:r>
          </w:p>
        </w:tc>
      </w:tr>
      <w:tr w:rsidR="005A774C" w:rsidRPr="008C7C15" w14:paraId="1CB2D05C"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71934C49"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غير متاح</w:t>
            </w:r>
          </w:p>
        </w:tc>
        <w:tc>
          <w:tcPr>
            <w:tcW w:w="2314" w:type="dxa"/>
            <w:tcBorders>
              <w:top w:val="nil"/>
              <w:left w:val="nil"/>
              <w:bottom w:val="single" w:sz="4" w:space="0" w:color="auto"/>
              <w:right w:val="single" w:sz="4" w:space="0" w:color="auto"/>
            </w:tcBorders>
            <w:vAlign w:val="center"/>
          </w:tcPr>
          <w:p w14:paraId="3AE276EB"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تمويل موازٍ ــ مشروع تحسين شبكات المياه والصرف الصحي</w:t>
            </w:r>
          </w:p>
        </w:tc>
        <w:tc>
          <w:tcPr>
            <w:tcW w:w="4424" w:type="dxa"/>
            <w:tcBorders>
              <w:top w:val="nil"/>
              <w:left w:val="nil"/>
              <w:bottom w:val="single" w:sz="4" w:space="0" w:color="auto"/>
              <w:right w:val="single" w:sz="4" w:space="0" w:color="auto"/>
            </w:tcBorders>
            <w:vAlign w:val="center"/>
          </w:tcPr>
          <w:p w14:paraId="1CF8EC84"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مساندة مشروع تحسين شبكات المياه والصرف الصحي</w:t>
            </w:r>
          </w:p>
        </w:tc>
        <w:tc>
          <w:tcPr>
            <w:tcW w:w="2700" w:type="dxa"/>
            <w:tcBorders>
              <w:top w:val="nil"/>
              <w:left w:val="nil"/>
              <w:bottom w:val="single" w:sz="4" w:space="0" w:color="auto"/>
              <w:right w:val="single" w:sz="4" w:space="0" w:color="auto"/>
            </w:tcBorders>
            <w:vAlign w:val="center"/>
          </w:tcPr>
          <w:p w14:paraId="149640F3" w14:textId="77777777" w:rsidR="005A774C" w:rsidRPr="008C7C15" w:rsidRDefault="005A774C" w:rsidP="00E9149C">
            <w:pPr>
              <w:spacing w:after="0" w:line="240" w:lineRule="auto"/>
              <w:jc w:val="center"/>
              <w:rPr>
                <w:rFonts w:ascii="Arial" w:eastAsia="Arial" w:hAnsi="Arial" w:cs="Arial"/>
                <w:color w:val="000000"/>
                <w:sz w:val="18"/>
                <w:szCs w:val="18"/>
              </w:rPr>
            </w:pPr>
            <w:r>
              <w:rPr>
                <w:rFonts w:ascii="Arial" w:hAnsi="Arial"/>
                <w:color w:val="000000"/>
                <w:sz w:val="18"/>
                <w:szCs w:val="18"/>
              </w:rPr>
              <w:t xml:space="preserve">البنك </w:t>
            </w:r>
            <w:r w:rsidR="00E9149C">
              <w:rPr>
                <w:rFonts w:ascii="Arial" w:hAnsi="Arial"/>
                <w:color w:val="000000"/>
                <w:sz w:val="18"/>
                <w:szCs w:val="18"/>
              </w:rPr>
              <w:t>ال</w:t>
            </w:r>
            <w:r w:rsidR="00E9149C">
              <w:rPr>
                <w:rFonts w:ascii="Arial" w:hAnsi="Arial" w:hint="cs"/>
                <w:color w:val="000000"/>
                <w:sz w:val="18"/>
                <w:szCs w:val="18"/>
              </w:rPr>
              <w:t>إ</w:t>
            </w:r>
            <w:r w:rsidR="00E9149C">
              <w:rPr>
                <w:rFonts w:ascii="Arial" w:hAnsi="Arial"/>
                <w:color w:val="000000"/>
                <w:sz w:val="18"/>
                <w:szCs w:val="18"/>
              </w:rPr>
              <w:t xml:space="preserve">سلامي </w:t>
            </w:r>
            <w:r>
              <w:rPr>
                <w:rFonts w:ascii="Arial" w:hAnsi="Arial"/>
                <w:color w:val="000000"/>
                <w:sz w:val="18"/>
                <w:szCs w:val="18"/>
              </w:rPr>
              <w:t>للتنمية</w:t>
            </w:r>
          </w:p>
        </w:tc>
        <w:tc>
          <w:tcPr>
            <w:tcW w:w="1530" w:type="dxa"/>
            <w:tcBorders>
              <w:top w:val="nil"/>
              <w:left w:val="nil"/>
              <w:bottom w:val="single" w:sz="4" w:space="0" w:color="auto"/>
              <w:right w:val="single" w:sz="4" w:space="0" w:color="auto"/>
            </w:tcBorders>
            <w:vAlign w:val="center"/>
          </w:tcPr>
          <w:p w14:paraId="63465835"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11,100,000</w:t>
            </w:r>
          </w:p>
        </w:tc>
      </w:tr>
      <w:tr w:rsidR="005A774C" w:rsidRPr="008C7C15" w14:paraId="4C9C70EE"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12F00A81"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lastRenderedPageBreak/>
              <w:t>غير متاح</w:t>
            </w:r>
          </w:p>
        </w:tc>
        <w:tc>
          <w:tcPr>
            <w:tcW w:w="2314" w:type="dxa"/>
            <w:tcBorders>
              <w:top w:val="nil"/>
              <w:left w:val="nil"/>
              <w:bottom w:val="single" w:sz="4" w:space="0" w:color="auto"/>
              <w:right w:val="single" w:sz="4" w:space="0" w:color="auto"/>
            </w:tcBorders>
            <w:vAlign w:val="center"/>
          </w:tcPr>
          <w:p w14:paraId="1DCFA95E"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تمويل موازٍ ــ مشروع إعادة تأهيل شبكة كهرباء غزة</w:t>
            </w:r>
          </w:p>
        </w:tc>
        <w:tc>
          <w:tcPr>
            <w:tcW w:w="4424" w:type="dxa"/>
            <w:tcBorders>
              <w:top w:val="nil"/>
              <w:left w:val="nil"/>
              <w:bottom w:val="single" w:sz="4" w:space="0" w:color="auto"/>
              <w:right w:val="single" w:sz="4" w:space="0" w:color="auto"/>
            </w:tcBorders>
            <w:vAlign w:val="center"/>
          </w:tcPr>
          <w:p w14:paraId="42A13EF5"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مساندة مشروع إعادة تأهيل شبكة كهرباء غزة</w:t>
            </w:r>
          </w:p>
        </w:tc>
        <w:tc>
          <w:tcPr>
            <w:tcW w:w="2700" w:type="dxa"/>
            <w:tcBorders>
              <w:top w:val="nil"/>
              <w:left w:val="nil"/>
              <w:bottom w:val="single" w:sz="4" w:space="0" w:color="auto"/>
              <w:right w:val="single" w:sz="4" w:space="0" w:color="auto"/>
            </w:tcBorders>
            <w:vAlign w:val="center"/>
          </w:tcPr>
          <w:p w14:paraId="3EF9259B" w14:textId="77777777" w:rsidR="005A774C" w:rsidRPr="008C7C15" w:rsidRDefault="005A774C" w:rsidP="00E9149C">
            <w:pPr>
              <w:spacing w:after="0" w:line="240" w:lineRule="auto"/>
              <w:jc w:val="center"/>
              <w:rPr>
                <w:rFonts w:ascii="Arial" w:eastAsia="Arial" w:hAnsi="Arial" w:cs="Arial"/>
                <w:color w:val="000000"/>
                <w:sz w:val="18"/>
                <w:szCs w:val="18"/>
              </w:rPr>
            </w:pPr>
            <w:r>
              <w:rPr>
                <w:rFonts w:ascii="Arial" w:hAnsi="Arial"/>
                <w:color w:val="000000"/>
                <w:sz w:val="18"/>
                <w:szCs w:val="18"/>
              </w:rPr>
              <w:t xml:space="preserve">البنك </w:t>
            </w:r>
            <w:r w:rsidR="00E9149C">
              <w:rPr>
                <w:rFonts w:ascii="Arial" w:hAnsi="Arial"/>
                <w:color w:val="000000"/>
                <w:sz w:val="18"/>
                <w:szCs w:val="18"/>
              </w:rPr>
              <w:t>ال</w:t>
            </w:r>
            <w:r w:rsidR="00E9149C">
              <w:rPr>
                <w:rFonts w:ascii="Arial" w:hAnsi="Arial" w:hint="cs"/>
                <w:color w:val="000000"/>
                <w:sz w:val="18"/>
                <w:szCs w:val="18"/>
              </w:rPr>
              <w:t>إ</w:t>
            </w:r>
            <w:r w:rsidR="00E9149C">
              <w:rPr>
                <w:rFonts w:ascii="Arial" w:hAnsi="Arial"/>
                <w:color w:val="000000"/>
                <w:sz w:val="18"/>
                <w:szCs w:val="18"/>
              </w:rPr>
              <w:t xml:space="preserve">سلامي </w:t>
            </w:r>
            <w:r>
              <w:rPr>
                <w:rFonts w:ascii="Arial" w:hAnsi="Arial"/>
                <w:color w:val="000000"/>
                <w:sz w:val="18"/>
                <w:szCs w:val="18"/>
              </w:rPr>
              <w:t>للتنمية</w:t>
            </w:r>
          </w:p>
        </w:tc>
        <w:tc>
          <w:tcPr>
            <w:tcW w:w="1530" w:type="dxa"/>
            <w:tcBorders>
              <w:top w:val="nil"/>
              <w:left w:val="nil"/>
              <w:bottom w:val="single" w:sz="4" w:space="0" w:color="auto"/>
              <w:right w:val="single" w:sz="4" w:space="0" w:color="auto"/>
            </w:tcBorders>
            <w:vAlign w:val="center"/>
          </w:tcPr>
          <w:p w14:paraId="772474A9"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8,000,000</w:t>
            </w:r>
          </w:p>
        </w:tc>
      </w:tr>
      <w:tr w:rsidR="005A774C" w:rsidRPr="008C7C15" w14:paraId="1D59BE55"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28A525EA"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TF057595</w:t>
            </w:r>
          </w:p>
        </w:tc>
        <w:tc>
          <w:tcPr>
            <w:tcW w:w="2314" w:type="dxa"/>
            <w:tcBorders>
              <w:top w:val="nil"/>
              <w:left w:val="nil"/>
              <w:bottom w:val="single" w:sz="4" w:space="0" w:color="auto"/>
              <w:right w:val="single" w:sz="4" w:space="0" w:color="auto"/>
            </w:tcBorders>
            <w:vAlign w:val="center"/>
          </w:tcPr>
          <w:p w14:paraId="62AC5879"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 xml:space="preserve">المشروع الطارئ لمعالجة مياه الصرف الصحي في شمال غزة </w:t>
            </w:r>
          </w:p>
        </w:tc>
        <w:tc>
          <w:tcPr>
            <w:tcW w:w="4424" w:type="dxa"/>
            <w:tcBorders>
              <w:top w:val="nil"/>
              <w:left w:val="nil"/>
              <w:bottom w:val="single" w:sz="4" w:space="0" w:color="auto"/>
              <w:right w:val="single" w:sz="4" w:space="0" w:color="auto"/>
            </w:tcBorders>
            <w:vAlign w:val="center"/>
          </w:tcPr>
          <w:p w14:paraId="08CB0B54"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 الإقفال.</w:t>
            </w:r>
            <w:r w:rsidR="00022F13">
              <w:rPr>
                <w:rFonts w:ascii="Arial" w:hAnsi="Arial"/>
                <w:color w:val="000000"/>
                <w:sz w:val="18"/>
                <w:szCs w:val="18"/>
              </w:rPr>
              <w:t xml:space="preserve"> </w:t>
            </w:r>
            <w:r>
              <w:rPr>
                <w:rFonts w:ascii="Arial" w:hAnsi="Arial"/>
                <w:color w:val="000000"/>
                <w:sz w:val="18"/>
                <w:szCs w:val="18"/>
              </w:rPr>
              <w:t xml:space="preserve">مساندة المشروع الطارئ لمعالجة مياه الصرف الصحي في شمال </w:t>
            </w:r>
            <w:r w:rsidR="00E9149C">
              <w:rPr>
                <w:rFonts w:ascii="Arial" w:hAnsi="Arial" w:hint="cs"/>
                <w:color w:val="000000"/>
                <w:sz w:val="18"/>
                <w:szCs w:val="18"/>
              </w:rPr>
              <w:t xml:space="preserve">قطاع </w:t>
            </w:r>
            <w:r>
              <w:rPr>
                <w:rFonts w:ascii="Arial" w:hAnsi="Arial"/>
                <w:color w:val="000000"/>
                <w:sz w:val="18"/>
                <w:szCs w:val="18"/>
              </w:rPr>
              <w:t>غزة</w:t>
            </w:r>
          </w:p>
        </w:tc>
        <w:tc>
          <w:tcPr>
            <w:tcW w:w="2700" w:type="dxa"/>
            <w:tcBorders>
              <w:top w:val="nil"/>
              <w:left w:val="nil"/>
              <w:bottom w:val="single" w:sz="4" w:space="0" w:color="auto"/>
              <w:right w:val="single" w:sz="4" w:space="0" w:color="auto"/>
            </w:tcBorders>
            <w:vAlign w:val="center"/>
          </w:tcPr>
          <w:p w14:paraId="707E422C"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مفوضية الاتحاد الأوروبي</w:t>
            </w:r>
          </w:p>
        </w:tc>
        <w:tc>
          <w:tcPr>
            <w:tcW w:w="1530" w:type="dxa"/>
            <w:tcBorders>
              <w:top w:val="nil"/>
              <w:left w:val="nil"/>
              <w:bottom w:val="single" w:sz="4" w:space="0" w:color="auto"/>
              <w:right w:val="single" w:sz="4" w:space="0" w:color="auto"/>
            </w:tcBorders>
            <w:vAlign w:val="center"/>
          </w:tcPr>
          <w:p w14:paraId="36BD75B7"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6,422,136</w:t>
            </w:r>
          </w:p>
        </w:tc>
      </w:tr>
      <w:tr w:rsidR="005A774C" w:rsidRPr="008C7C15" w14:paraId="2F6A0CB8"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16E775FC"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TF057109</w:t>
            </w:r>
          </w:p>
        </w:tc>
        <w:tc>
          <w:tcPr>
            <w:tcW w:w="2314" w:type="dxa"/>
            <w:tcBorders>
              <w:top w:val="nil"/>
              <w:left w:val="nil"/>
              <w:bottom w:val="single" w:sz="4" w:space="0" w:color="auto"/>
              <w:right w:val="single" w:sz="4" w:space="0" w:color="auto"/>
            </w:tcBorders>
            <w:vAlign w:val="center"/>
          </w:tcPr>
          <w:p w14:paraId="48A5F360"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الصندوق الاستئماني البلجيكي</w:t>
            </w:r>
            <w:r w:rsidR="00022F13">
              <w:rPr>
                <w:rFonts w:ascii="Arial" w:hAnsi="Arial"/>
                <w:color w:val="000000"/>
                <w:sz w:val="18"/>
                <w:szCs w:val="18"/>
              </w:rPr>
              <w:t xml:space="preserve"> </w:t>
            </w:r>
            <w:r>
              <w:rPr>
                <w:rFonts w:ascii="Arial" w:hAnsi="Arial"/>
                <w:color w:val="000000"/>
                <w:sz w:val="18"/>
                <w:szCs w:val="18"/>
              </w:rPr>
              <w:t>للمشروع الطارئ لمعالجة مياه الصرف الصحي في شمال قطاع غزة</w:t>
            </w:r>
            <w:r w:rsidR="00022F13">
              <w:rPr>
                <w:rFonts w:ascii="Arial" w:hAnsi="Arial"/>
                <w:color w:val="000000"/>
                <w:sz w:val="18"/>
                <w:szCs w:val="18"/>
              </w:rPr>
              <w:t xml:space="preserve"> </w:t>
            </w:r>
          </w:p>
        </w:tc>
        <w:tc>
          <w:tcPr>
            <w:tcW w:w="4424" w:type="dxa"/>
            <w:tcBorders>
              <w:top w:val="nil"/>
              <w:left w:val="nil"/>
              <w:bottom w:val="single" w:sz="4" w:space="0" w:color="auto"/>
              <w:right w:val="single" w:sz="4" w:space="0" w:color="auto"/>
            </w:tcBorders>
            <w:vAlign w:val="center"/>
          </w:tcPr>
          <w:p w14:paraId="217697DF"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 xml:space="preserve">مساندة المشروع الطارئ لمعالجة مياه الصرف الصحي في شمال </w:t>
            </w:r>
            <w:r w:rsidR="00E9149C">
              <w:rPr>
                <w:rFonts w:ascii="Arial" w:hAnsi="Arial" w:hint="cs"/>
                <w:color w:val="000000"/>
                <w:sz w:val="18"/>
                <w:szCs w:val="18"/>
              </w:rPr>
              <w:t xml:space="preserve">قطاع </w:t>
            </w:r>
            <w:r>
              <w:rPr>
                <w:rFonts w:ascii="Arial" w:hAnsi="Arial"/>
                <w:color w:val="000000"/>
                <w:sz w:val="18"/>
                <w:szCs w:val="18"/>
              </w:rPr>
              <w:t>غزة</w:t>
            </w:r>
          </w:p>
        </w:tc>
        <w:tc>
          <w:tcPr>
            <w:tcW w:w="2700" w:type="dxa"/>
            <w:tcBorders>
              <w:top w:val="nil"/>
              <w:left w:val="nil"/>
              <w:bottom w:val="single" w:sz="4" w:space="0" w:color="auto"/>
              <w:right w:val="single" w:sz="4" w:space="0" w:color="auto"/>
            </w:tcBorders>
            <w:vAlign w:val="center"/>
          </w:tcPr>
          <w:p w14:paraId="5DAD125D"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 xml:space="preserve">بلجيكا ــ الإدارة العامة للتعاون الإنمائي </w:t>
            </w:r>
          </w:p>
        </w:tc>
        <w:tc>
          <w:tcPr>
            <w:tcW w:w="1530" w:type="dxa"/>
            <w:tcBorders>
              <w:top w:val="nil"/>
              <w:left w:val="nil"/>
              <w:bottom w:val="single" w:sz="4" w:space="0" w:color="auto"/>
              <w:right w:val="single" w:sz="4" w:space="0" w:color="auto"/>
            </w:tcBorders>
            <w:vAlign w:val="center"/>
          </w:tcPr>
          <w:p w14:paraId="53A65725"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6,422,136</w:t>
            </w:r>
          </w:p>
        </w:tc>
      </w:tr>
      <w:tr w:rsidR="005A774C" w:rsidRPr="008C7C15" w14:paraId="1ED0FCB3"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1276C65D"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غير متاح</w:t>
            </w:r>
          </w:p>
        </w:tc>
        <w:tc>
          <w:tcPr>
            <w:tcW w:w="2314" w:type="dxa"/>
            <w:tcBorders>
              <w:top w:val="nil"/>
              <w:left w:val="nil"/>
              <w:bottom w:val="single" w:sz="4" w:space="0" w:color="auto"/>
              <w:right w:val="single" w:sz="4" w:space="0" w:color="auto"/>
            </w:tcBorders>
            <w:vAlign w:val="center"/>
          </w:tcPr>
          <w:p w14:paraId="71A49741"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تمويل موازٍ ــ</w:t>
            </w:r>
            <w:r w:rsidR="00022F13">
              <w:rPr>
                <w:rFonts w:ascii="Arial" w:hAnsi="Arial"/>
                <w:color w:val="000000"/>
                <w:sz w:val="18"/>
                <w:szCs w:val="18"/>
              </w:rPr>
              <w:t xml:space="preserve"> </w:t>
            </w:r>
            <w:r>
              <w:rPr>
                <w:rFonts w:ascii="Arial" w:hAnsi="Arial"/>
                <w:color w:val="000000"/>
                <w:sz w:val="18"/>
                <w:szCs w:val="18"/>
              </w:rPr>
              <w:t>المشروع الرابع للمنظمات غير الحكومية الفلسطينية</w:t>
            </w:r>
          </w:p>
        </w:tc>
        <w:tc>
          <w:tcPr>
            <w:tcW w:w="4424" w:type="dxa"/>
            <w:tcBorders>
              <w:top w:val="nil"/>
              <w:left w:val="nil"/>
              <w:bottom w:val="single" w:sz="4" w:space="0" w:color="auto"/>
              <w:right w:val="single" w:sz="4" w:space="0" w:color="auto"/>
            </w:tcBorders>
            <w:vAlign w:val="center"/>
          </w:tcPr>
          <w:p w14:paraId="524B7EAA"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مساندة</w:t>
            </w:r>
            <w:r w:rsidR="00022F13">
              <w:rPr>
                <w:rFonts w:ascii="Arial" w:hAnsi="Arial"/>
                <w:color w:val="000000"/>
                <w:sz w:val="18"/>
                <w:szCs w:val="18"/>
              </w:rPr>
              <w:t xml:space="preserve"> </w:t>
            </w:r>
            <w:r>
              <w:rPr>
                <w:rFonts w:ascii="Arial" w:hAnsi="Arial"/>
                <w:color w:val="000000"/>
                <w:sz w:val="18"/>
                <w:szCs w:val="18"/>
              </w:rPr>
              <w:t>المشروع الرابع للمنظمات غير الحكومية الفلسطينية</w:t>
            </w:r>
          </w:p>
        </w:tc>
        <w:tc>
          <w:tcPr>
            <w:tcW w:w="2700" w:type="dxa"/>
            <w:tcBorders>
              <w:top w:val="nil"/>
              <w:left w:val="nil"/>
              <w:bottom w:val="single" w:sz="4" w:space="0" w:color="auto"/>
              <w:right w:val="single" w:sz="4" w:space="0" w:color="auto"/>
            </w:tcBorders>
            <w:vAlign w:val="center"/>
          </w:tcPr>
          <w:p w14:paraId="354728E2"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الوكالة الفرنسية للتنمية</w:t>
            </w:r>
          </w:p>
        </w:tc>
        <w:tc>
          <w:tcPr>
            <w:tcW w:w="1530" w:type="dxa"/>
            <w:tcBorders>
              <w:top w:val="nil"/>
              <w:left w:val="nil"/>
              <w:bottom w:val="single" w:sz="4" w:space="0" w:color="auto"/>
              <w:right w:val="single" w:sz="4" w:space="0" w:color="auto"/>
            </w:tcBorders>
            <w:vAlign w:val="center"/>
          </w:tcPr>
          <w:p w14:paraId="05F839E0"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6,000,000</w:t>
            </w:r>
          </w:p>
        </w:tc>
      </w:tr>
      <w:tr w:rsidR="005A774C" w:rsidRPr="008C7C15" w14:paraId="44931467"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527B2CF4"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TF056186</w:t>
            </w:r>
          </w:p>
        </w:tc>
        <w:tc>
          <w:tcPr>
            <w:tcW w:w="2314" w:type="dxa"/>
            <w:tcBorders>
              <w:top w:val="nil"/>
              <w:left w:val="nil"/>
              <w:bottom w:val="single" w:sz="4" w:space="0" w:color="auto"/>
              <w:right w:val="single" w:sz="4" w:space="0" w:color="auto"/>
            </w:tcBorders>
            <w:vAlign w:val="center"/>
          </w:tcPr>
          <w:p w14:paraId="5A7862E2"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 xml:space="preserve">الصندوق الاستئماني السويدي للمشروع الطارئ لمعالجة مياه الصرف الصحي في شمال قطاع غزة </w:t>
            </w:r>
          </w:p>
        </w:tc>
        <w:tc>
          <w:tcPr>
            <w:tcW w:w="4424" w:type="dxa"/>
            <w:tcBorders>
              <w:top w:val="nil"/>
              <w:left w:val="nil"/>
              <w:bottom w:val="single" w:sz="4" w:space="0" w:color="auto"/>
              <w:right w:val="single" w:sz="4" w:space="0" w:color="auto"/>
            </w:tcBorders>
            <w:vAlign w:val="center"/>
          </w:tcPr>
          <w:p w14:paraId="57765490"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 الإقفال.</w:t>
            </w:r>
            <w:r w:rsidR="00022F13">
              <w:rPr>
                <w:rFonts w:ascii="Arial" w:hAnsi="Arial"/>
                <w:color w:val="000000"/>
                <w:sz w:val="18"/>
                <w:szCs w:val="18"/>
              </w:rPr>
              <w:t xml:space="preserve"> </w:t>
            </w:r>
            <w:r>
              <w:rPr>
                <w:rFonts w:ascii="Arial" w:hAnsi="Arial"/>
                <w:color w:val="000000"/>
                <w:sz w:val="18"/>
                <w:szCs w:val="18"/>
              </w:rPr>
              <w:t xml:space="preserve">مساندة المشروع الطارئ لمعالجة مياه الصرف الصحي في شمال </w:t>
            </w:r>
            <w:r w:rsidR="00E9149C">
              <w:rPr>
                <w:rFonts w:ascii="Arial" w:hAnsi="Arial" w:hint="cs"/>
                <w:color w:val="000000"/>
                <w:sz w:val="18"/>
                <w:szCs w:val="18"/>
              </w:rPr>
              <w:t xml:space="preserve">قطاع </w:t>
            </w:r>
            <w:r>
              <w:rPr>
                <w:rFonts w:ascii="Arial" w:hAnsi="Arial"/>
                <w:color w:val="000000"/>
                <w:sz w:val="18"/>
                <w:szCs w:val="18"/>
              </w:rPr>
              <w:t>غزة</w:t>
            </w:r>
          </w:p>
        </w:tc>
        <w:tc>
          <w:tcPr>
            <w:tcW w:w="2700" w:type="dxa"/>
            <w:tcBorders>
              <w:top w:val="nil"/>
              <w:left w:val="nil"/>
              <w:bottom w:val="single" w:sz="4" w:space="0" w:color="auto"/>
              <w:right w:val="single" w:sz="4" w:space="0" w:color="auto"/>
            </w:tcBorders>
            <w:vAlign w:val="center"/>
          </w:tcPr>
          <w:p w14:paraId="7196F7B2"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الوكالة السويدية للتنمية الدولية</w:t>
            </w:r>
          </w:p>
        </w:tc>
        <w:tc>
          <w:tcPr>
            <w:tcW w:w="1530" w:type="dxa"/>
            <w:tcBorders>
              <w:top w:val="nil"/>
              <w:left w:val="nil"/>
              <w:bottom w:val="single" w:sz="4" w:space="0" w:color="auto"/>
              <w:right w:val="single" w:sz="4" w:space="0" w:color="auto"/>
            </w:tcBorders>
            <w:vAlign w:val="center"/>
          </w:tcPr>
          <w:p w14:paraId="47A94A45"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4,942,904</w:t>
            </w:r>
          </w:p>
        </w:tc>
      </w:tr>
      <w:tr w:rsidR="005A774C" w:rsidRPr="008C7C15" w14:paraId="3125DC4A" w14:textId="77777777" w:rsidTr="002A3038">
        <w:trPr>
          <w:trHeight w:val="600"/>
        </w:trPr>
        <w:tc>
          <w:tcPr>
            <w:tcW w:w="1807" w:type="dxa"/>
            <w:tcBorders>
              <w:top w:val="nil"/>
              <w:left w:val="single" w:sz="4" w:space="0" w:color="auto"/>
              <w:bottom w:val="single" w:sz="4" w:space="0" w:color="auto"/>
              <w:right w:val="single" w:sz="4" w:space="0" w:color="auto"/>
            </w:tcBorders>
            <w:vAlign w:val="center"/>
          </w:tcPr>
          <w:p w14:paraId="59829D5E"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غير متاح</w:t>
            </w:r>
          </w:p>
        </w:tc>
        <w:tc>
          <w:tcPr>
            <w:tcW w:w="2314" w:type="dxa"/>
            <w:tcBorders>
              <w:top w:val="nil"/>
              <w:left w:val="nil"/>
              <w:bottom w:val="single" w:sz="4" w:space="0" w:color="auto"/>
              <w:right w:val="single" w:sz="4" w:space="0" w:color="auto"/>
            </w:tcBorders>
            <w:vAlign w:val="center"/>
          </w:tcPr>
          <w:p w14:paraId="02DBF2D9"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تمويل مواز</w:t>
            </w:r>
          </w:p>
        </w:tc>
        <w:tc>
          <w:tcPr>
            <w:tcW w:w="4424" w:type="dxa"/>
            <w:tcBorders>
              <w:top w:val="nil"/>
              <w:left w:val="nil"/>
              <w:bottom w:val="single" w:sz="4" w:space="0" w:color="auto"/>
              <w:right w:val="single" w:sz="4" w:space="0" w:color="auto"/>
            </w:tcBorders>
            <w:vAlign w:val="center"/>
          </w:tcPr>
          <w:p w14:paraId="4B001E30"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 الإقفال.</w:t>
            </w:r>
            <w:r w:rsidR="00022F13">
              <w:rPr>
                <w:rFonts w:ascii="Arial" w:hAnsi="Arial"/>
                <w:color w:val="000000"/>
                <w:sz w:val="18"/>
                <w:szCs w:val="18"/>
              </w:rPr>
              <w:t xml:space="preserve"> </w:t>
            </w:r>
            <w:r>
              <w:rPr>
                <w:rFonts w:ascii="Arial" w:hAnsi="Arial"/>
                <w:color w:val="000000"/>
                <w:sz w:val="18"/>
                <w:szCs w:val="18"/>
              </w:rPr>
              <w:t>مساندة مشروع إدارة المياه العادمة الإقليمي في الخليل.</w:t>
            </w:r>
          </w:p>
        </w:tc>
        <w:tc>
          <w:tcPr>
            <w:tcW w:w="2700" w:type="dxa"/>
            <w:tcBorders>
              <w:top w:val="nil"/>
              <w:left w:val="nil"/>
              <w:bottom w:val="single" w:sz="4" w:space="0" w:color="auto"/>
              <w:right w:val="single" w:sz="4" w:space="0" w:color="auto"/>
            </w:tcBorders>
            <w:vAlign w:val="center"/>
          </w:tcPr>
          <w:p w14:paraId="5E92E97C"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الوكالة الأمريكية للتنمية الدولية</w:t>
            </w:r>
          </w:p>
        </w:tc>
        <w:tc>
          <w:tcPr>
            <w:tcW w:w="1530" w:type="dxa"/>
            <w:tcBorders>
              <w:top w:val="nil"/>
              <w:left w:val="nil"/>
              <w:bottom w:val="single" w:sz="4" w:space="0" w:color="auto"/>
              <w:right w:val="single" w:sz="4" w:space="0" w:color="auto"/>
            </w:tcBorders>
            <w:vAlign w:val="center"/>
          </w:tcPr>
          <w:p w14:paraId="451426EB"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4,820,000</w:t>
            </w:r>
          </w:p>
        </w:tc>
      </w:tr>
      <w:tr w:rsidR="005A774C" w:rsidRPr="008C7C15" w14:paraId="7CC66E7E" w14:textId="77777777" w:rsidTr="002A3038">
        <w:trPr>
          <w:trHeight w:val="1416"/>
        </w:trPr>
        <w:tc>
          <w:tcPr>
            <w:tcW w:w="1807" w:type="dxa"/>
            <w:tcBorders>
              <w:top w:val="nil"/>
              <w:left w:val="single" w:sz="4" w:space="0" w:color="auto"/>
              <w:bottom w:val="single" w:sz="4" w:space="0" w:color="auto"/>
              <w:right w:val="single" w:sz="4" w:space="0" w:color="auto"/>
            </w:tcBorders>
            <w:vAlign w:val="center"/>
          </w:tcPr>
          <w:p w14:paraId="1480D156"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TF016302</w:t>
            </w:r>
          </w:p>
        </w:tc>
        <w:tc>
          <w:tcPr>
            <w:tcW w:w="2314" w:type="dxa"/>
            <w:tcBorders>
              <w:top w:val="nil"/>
              <w:left w:val="nil"/>
              <w:bottom w:val="single" w:sz="4" w:space="0" w:color="auto"/>
              <w:right w:val="single" w:sz="4" w:space="0" w:color="auto"/>
            </w:tcBorders>
            <w:vAlign w:val="center"/>
          </w:tcPr>
          <w:p w14:paraId="2CEB8A8A"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مسار إبراهيم الخليل</w:t>
            </w:r>
          </w:p>
        </w:tc>
        <w:tc>
          <w:tcPr>
            <w:tcW w:w="4424" w:type="dxa"/>
            <w:tcBorders>
              <w:top w:val="nil"/>
              <w:left w:val="nil"/>
              <w:bottom w:val="single" w:sz="4" w:space="0" w:color="auto"/>
              <w:right w:val="single" w:sz="4" w:space="0" w:color="auto"/>
            </w:tcBorders>
            <w:vAlign w:val="center"/>
          </w:tcPr>
          <w:p w14:paraId="632E8FBF"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المساهمة في خلق فرص العمل وتوفير مصادر دخل للبلدات والقرى المهمشة الواقعة على طول مسار إبراهيم الخليل</w:t>
            </w:r>
            <w:r w:rsidR="00022F13">
              <w:rPr>
                <w:rFonts w:ascii="Arial" w:hAnsi="Arial"/>
                <w:color w:val="000000"/>
                <w:sz w:val="18"/>
                <w:szCs w:val="18"/>
              </w:rPr>
              <w:t xml:space="preserve"> </w:t>
            </w:r>
            <w:r>
              <w:rPr>
                <w:rFonts w:ascii="Arial" w:hAnsi="Arial"/>
                <w:color w:val="000000"/>
                <w:sz w:val="18"/>
                <w:szCs w:val="18"/>
              </w:rPr>
              <w:t>في الضفة الغربية، مع التركيز بوجه خاص على النساء والشباب، واستخلاص الدروس المستفادة من الأنشطة التجريبية لخلق فرص العمل من خلال السياحة البديلة التي يمكن تطبيقها في أوضاع البلدان الهشة والمتأثرة بالصراعات.</w:t>
            </w:r>
          </w:p>
        </w:tc>
        <w:tc>
          <w:tcPr>
            <w:tcW w:w="2700" w:type="dxa"/>
            <w:tcBorders>
              <w:top w:val="nil"/>
              <w:left w:val="nil"/>
              <w:bottom w:val="single" w:sz="4" w:space="0" w:color="auto"/>
              <w:right w:val="single" w:sz="4" w:space="0" w:color="auto"/>
            </w:tcBorders>
            <w:vAlign w:val="center"/>
          </w:tcPr>
          <w:p w14:paraId="0C4D7465"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صندوق تقوية قدرات الدول وبناء السلام</w:t>
            </w:r>
          </w:p>
        </w:tc>
        <w:tc>
          <w:tcPr>
            <w:tcW w:w="1530" w:type="dxa"/>
            <w:tcBorders>
              <w:top w:val="nil"/>
              <w:left w:val="nil"/>
              <w:bottom w:val="single" w:sz="4" w:space="0" w:color="auto"/>
              <w:right w:val="single" w:sz="4" w:space="0" w:color="auto"/>
            </w:tcBorders>
            <w:vAlign w:val="center"/>
          </w:tcPr>
          <w:p w14:paraId="127710A6"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2,320,000</w:t>
            </w:r>
          </w:p>
        </w:tc>
      </w:tr>
      <w:tr w:rsidR="005A774C" w:rsidRPr="008C7C15" w14:paraId="0A65743D" w14:textId="77777777" w:rsidTr="002A3038">
        <w:trPr>
          <w:trHeight w:val="972"/>
        </w:trPr>
        <w:tc>
          <w:tcPr>
            <w:tcW w:w="1807" w:type="dxa"/>
            <w:tcBorders>
              <w:top w:val="nil"/>
              <w:left w:val="single" w:sz="4" w:space="0" w:color="auto"/>
              <w:bottom w:val="single" w:sz="4" w:space="0" w:color="auto"/>
              <w:right w:val="single" w:sz="4" w:space="0" w:color="auto"/>
            </w:tcBorders>
            <w:vAlign w:val="center"/>
          </w:tcPr>
          <w:p w14:paraId="6389CED5"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TF072213</w:t>
            </w:r>
          </w:p>
        </w:tc>
        <w:tc>
          <w:tcPr>
            <w:tcW w:w="2314" w:type="dxa"/>
            <w:tcBorders>
              <w:top w:val="nil"/>
              <w:left w:val="nil"/>
              <w:bottom w:val="single" w:sz="4" w:space="0" w:color="auto"/>
              <w:right w:val="single" w:sz="4" w:space="0" w:color="auto"/>
            </w:tcBorders>
            <w:vAlign w:val="center"/>
          </w:tcPr>
          <w:p w14:paraId="38D0B358"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الصندوق الاستئماني النرويجي لمساندة الضفة الغربية وقطاع غزة</w:t>
            </w:r>
          </w:p>
        </w:tc>
        <w:tc>
          <w:tcPr>
            <w:tcW w:w="4424" w:type="dxa"/>
            <w:tcBorders>
              <w:top w:val="nil"/>
              <w:left w:val="nil"/>
              <w:bottom w:val="single" w:sz="4" w:space="0" w:color="auto"/>
              <w:right w:val="single" w:sz="4" w:space="0" w:color="auto"/>
            </w:tcBorders>
            <w:vAlign w:val="center"/>
          </w:tcPr>
          <w:p w14:paraId="397D1B60"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أنشطة الصناديق لتعزيز قاعدة العمل التحليلي لمجتمع التنمية، وتقوية جهود تنسيق المانحين، ومساندة لجنة الاتصال الخاصة باعتبارها سكرتارية (أمانة عامة)</w:t>
            </w:r>
          </w:p>
        </w:tc>
        <w:tc>
          <w:tcPr>
            <w:tcW w:w="2700" w:type="dxa"/>
            <w:tcBorders>
              <w:top w:val="nil"/>
              <w:left w:val="nil"/>
              <w:bottom w:val="single" w:sz="4" w:space="0" w:color="auto"/>
              <w:right w:val="single" w:sz="4" w:space="0" w:color="auto"/>
            </w:tcBorders>
            <w:vAlign w:val="center"/>
          </w:tcPr>
          <w:p w14:paraId="0F8FF4A4"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النرويج</w:t>
            </w:r>
          </w:p>
        </w:tc>
        <w:tc>
          <w:tcPr>
            <w:tcW w:w="1530" w:type="dxa"/>
            <w:tcBorders>
              <w:top w:val="nil"/>
              <w:left w:val="nil"/>
              <w:bottom w:val="single" w:sz="4" w:space="0" w:color="auto"/>
              <w:right w:val="single" w:sz="4" w:space="0" w:color="auto"/>
            </w:tcBorders>
            <w:vAlign w:val="center"/>
          </w:tcPr>
          <w:p w14:paraId="20A8E4FD"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1,545,723</w:t>
            </w:r>
          </w:p>
        </w:tc>
      </w:tr>
      <w:tr w:rsidR="005A774C" w:rsidRPr="008C7C15" w14:paraId="30AB60FD" w14:textId="77777777" w:rsidTr="002A3038">
        <w:trPr>
          <w:trHeight w:val="708"/>
        </w:trPr>
        <w:tc>
          <w:tcPr>
            <w:tcW w:w="1807" w:type="dxa"/>
            <w:tcBorders>
              <w:top w:val="nil"/>
              <w:left w:val="single" w:sz="4" w:space="0" w:color="auto"/>
              <w:bottom w:val="single" w:sz="4" w:space="0" w:color="auto"/>
              <w:right w:val="single" w:sz="4" w:space="0" w:color="auto"/>
            </w:tcBorders>
            <w:vAlign w:val="center"/>
          </w:tcPr>
          <w:p w14:paraId="7128EFB8"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غير متاح</w:t>
            </w:r>
          </w:p>
        </w:tc>
        <w:tc>
          <w:tcPr>
            <w:tcW w:w="2314" w:type="dxa"/>
            <w:tcBorders>
              <w:top w:val="nil"/>
              <w:left w:val="nil"/>
              <w:bottom w:val="single" w:sz="4" w:space="0" w:color="auto"/>
              <w:right w:val="single" w:sz="4" w:space="0" w:color="auto"/>
            </w:tcBorders>
            <w:vAlign w:val="center"/>
          </w:tcPr>
          <w:p w14:paraId="4A816273"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تمويل موازٍ ــ مشروع بناء قدرات قطاع المياه في غزة</w:t>
            </w:r>
          </w:p>
        </w:tc>
        <w:tc>
          <w:tcPr>
            <w:tcW w:w="4424" w:type="dxa"/>
            <w:tcBorders>
              <w:top w:val="nil"/>
              <w:left w:val="nil"/>
              <w:bottom w:val="single" w:sz="4" w:space="0" w:color="auto"/>
              <w:right w:val="single" w:sz="4" w:space="0" w:color="auto"/>
            </w:tcBorders>
            <w:vAlign w:val="center"/>
          </w:tcPr>
          <w:p w14:paraId="60AAB250"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مساندة</w:t>
            </w:r>
            <w:r w:rsidR="00022F13">
              <w:rPr>
                <w:rFonts w:ascii="Arial" w:hAnsi="Arial"/>
                <w:color w:val="000000"/>
                <w:sz w:val="18"/>
                <w:szCs w:val="18"/>
              </w:rPr>
              <w:t xml:space="preserve"> </w:t>
            </w:r>
            <w:r>
              <w:rPr>
                <w:rFonts w:ascii="Arial" w:hAnsi="Arial"/>
                <w:color w:val="000000"/>
                <w:sz w:val="18"/>
                <w:szCs w:val="18"/>
              </w:rPr>
              <w:t>مشروع بناء قدرات قطاع المياه في غزة</w:t>
            </w:r>
          </w:p>
        </w:tc>
        <w:tc>
          <w:tcPr>
            <w:tcW w:w="2700" w:type="dxa"/>
            <w:tcBorders>
              <w:top w:val="nil"/>
              <w:left w:val="nil"/>
              <w:bottom w:val="single" w:sz="4" w:space="0" w:color="auto"/>
              <w:right w:val="single" w:sz="4" w:space="0" w:color="auto"/>
            </w:tcBorders>
            <w:vAlign w:val="center"/>
          </w:tcPr>
          <w:p w14:paraId="0F878D6B"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الوكالة الفرنسية للتنمية</w:t>
            </w:r>
          </w:p>
        </w:tc>
        <w:tc>
          <w:tcPr>
            <w:tcW w:w="1530" w:type="dxa"/>
            <w:tcBorders>
              <w:top w:val="nil"/>
              <w:left w:val="nil"/>
              <w:bottom w:val="single" w:sz="4" w:space="0" w:color="auto"/>
              <w:right w:val="single" w:sz="4" w:space="0" w:color="auto"/>
            </w:tcBorders>
            <w:vAlign w:val="center"/>
          </w:tcPr>
          <w:p w14:paraId="5E48F9FE"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1,400,000</w:t>
            </w:r>
          </w:p>
        </w:tc>
      </w:tr>
      <w:tr w:rsidR="005A774C" w:rsidRPr="008C7C15" w14:paraId="34EEA5F1" w14:textId="77777777" w:rsidTr="002A3038">
        <w:trPr>
          <w:trHeight w:val="708"/>
        </w:trPr>
        <w:tc>
          <w:tcPr>
            <w:tcW w:w="1807" w:type="dxa"/>
            <w:tcBorders>
              <w:top w:val="nil"/>
              <w:left w:val="single" w:sz="4" w:space="0" w:color="auto"/>
              <w:bottom w:val="single" w:sz="4" w:space="0" w:color="auto"/>
              <w:right w:val="single" w:sz="4" w:space="0" w:color="auto"/>
            </w:tcBorders>
            <w:vAlign w:val="center"/>
          </w:tcPr>
          <w:p w14:paraId="39B489F9"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TF014465</w:t>
            </w:r>
          </w:p>
        </w:tc>
        <w:tc>
          <w:tcPr>
            <w:tcW w:w="2314" w:type="dxa"/>
            <w:tcBorders>
              <w:top w:val="nil"/>
              <w:left w:val="nil"/>
              <w:bottom w:val="single" w:sz="4" w:space="0" w:color="auto"/>
              <w:right w:val="single" w:sz="4" w:space="0" w:color="auto"/>
            </w:tcBorders>
            <w:vAlign w:val="center"/>
          </w:tcPr>
          <w:p w14:paraId="5E1DFAE9" w14:textId="77777777" w:rsidR="005A774C" w:rsidRPr="008C7C15" w:rsidRDefault="005A774C" w:rsidP="009B1243">
            <w:pPr>
              <w:spacing w:after="0" w:line="240" w:lineRule="auto"/>
              <w:rPr>
                <w:rFonts w:ascii="Arial" w:eastAsia="Arial" w:hAnsi="Arial" w:cs="Arial"/>
                <w:color w:val="000000"/>
                <w:sz w:val="18"/>
                <w:szCs w:val="18"/>
              </w:rPr>
            </w:pPr>
            <w:r>
              <w:rPr>
                <w:rFonts w:ascii="Arial" w:hAnsi="Arial"/>
                <w:color w:val="000000"/>
                <w:sz w:val="18"/>
                <w:szCs w:val="18"/>
              </w:rPr>
              <w:t xml:space="preserve">الشراكة </w:t>
            </w:r>
            <w:r w:rsidR="009B1243">
              <w:rPr>
                <w:rFonts w:ascii="Arial" w:hAnsi="Arial"/>
                <w:color w:val="000000"/>
                <w:sz w:val="18"/>
                <w:szCs w:val="18"/>
              </w:rPr>
              <w:t>ال</w:t>
            </w:r>
            <w:r w:rsidR="009B1243">
              <w:rPr>
                <w:rFonts w:ascii="Arial" w:hAnsi="Arial" w:hint="cs"/>
                <w:color w:val="000000"/>
                <w:sz w:val="18"/>
                <w:szCs w:val="18"/>
              </w:rPr>
              <w:t>إ</w:t>
            </w:r>
            <w:r w:rsidR="009B1243">
              <w:rPr>
                <w:rFonts w:ascii="Arial" w:hAnsi="Arial"/>
                <w:color w:val="000000"/>
                <w:sz w:val="18"/>
                <w:szCs w:val="18"/>
              </w:rPr>
              <w:t xml:space="preserve">ستراتيجية </w:t>
            </w:r>
            <w:r>
              <w:rPr>
                <w:rFonts w:ascii="Arial" w:hAnsi="Arial"/>
                <w:color w:val="000000"/>
                <w:sz w:val="18"/>
                <w:szCs w:val="18"/>
              </w:rPr>
              <w:t xml:space="preserve">لمجموعة البنك الدولي بشأن الحوكمة ــ مستشار الحوكمة </w:t>
            </w:r>
          </w:p>
        </w:tc>
        <w:tc>
          <w:tcPr>
            <w:tcW w:w="4424" w:type="dxa"/>
            <w:tcBorders>
              <w:top w:val="nil"/>
              <w:left w:val="nil"/>
              <w:bottom w:val="single" w:sz="4" w:space="0" w:color="auto"/>
              <w:right w:val="single" w:sz="4" w:space="0" w:color="auto"/>
            </w:tcBorders>
            <w:vAlign w:val="center"/>
          </w:tcPr>
          <w:p w14:paraId="3F2F943C"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تم الإقفال.</w:t>
            </w:r>
            <w:r w:rsidR="00022F13">
              <w:rPr>
                <w:rFonts w:ascii="Arial" w:hAnsi="Arial"/>
                <w:color w:val="000000"/>
                <w:sz w:val="18"/>
                <w:szCs w:val="18"/>
              </w:rPr>
              <w:t xml:space="preserve"> </w:t>
            </w:r>
            <w:r>
              <w:rPr>
                <w:rFonts w:ascii="Arial" w:hAnsi="Arial"/>
                <w:color w:val="000000"/>
                <w:sz w:val="18"/>
                <w:szCs w:val="18"/>
              </w:rPr>
              <w:t xml:space="preserve">سيركز هذا النشاط على ثلاث ركائز أساسية: (1) تحسين وتحديث نظام الإدارة المالية العامة، وخاصة الاعتماد على تقييم الإنفاق العام والمساءلة المالية الذي تم إطلاقه أثناء الربع الأول 2013؛ (2) مساندة السلطة الفلسطينية في إعداد أجندة الحوكمة وفق تقرير البنك الدولي وخاصة ما يتعلق بحق الجمهور في الوصول إلى المعلومات والمشتريات والمناقصات الحكومية، ومكافحة الفساد؛ (3) مساندة السلطة الفلسطينية في إدارة أجندة إصلاح الخدمة المدنية من خلال الاعتماد على </w:t>
            </w:r>
            <w:r>
              <w:rPr>
                <w:rFonts w:ascii="Arial" w:hAnsi="Arial"/>
                <w:color w:val="000000"/>
                <w:sz w:val="18"/>
                <w:szCs w:val="18"/>
              </w:rPr>
              <w:lastRenderedPageBreak/>
              <w:t>النتائج الرئيسية والتوصيات التي وردت في تقرير البنك الدولي (2011)، ويشمل ذلك تحديث وتيسير الخدمة المدنية، ودمج إدارة الموارد البشرية مع أنظمة الرواتب.</w:t>
            </w:r>
            <w:r w:rsidR="00022F13">
              <w:rPr>
                <w:rFonts w:ascii="Arial" w:hAnsi="Arial"/>
                <w:color w:val="000000"/>
                <w:sz w:val="18"/>
                <w:szCs w:val="18"/>
              </w:rPr>
              <w:t xml:space="preserve"> </w:t>
            </w:r>
            <w:r>
              <w:rPr>
                <w:rFonts w:ascii="Arial" w:hAnsi="Arial"/>
                <w:color w:val="000000"/>
                <w:sz w:val="18"/>
                <w:szCs w:val="18"/>
              </w:rPr>
              <w:t xml:space="preserve">وسيعمل هذا النشاط أيضًا على رصد النتائج الخاصة بإنجازات السلطة الفلسطينية في هذه المجالات مقابل إطار النتائج. </w:t>
            </w:r>
          </w:p>
        </w:tc>
        <w:tc>
          <w:tcPr>
            <w:tcW w:w="2700" w:type="dxa"/>
            <w:tcBorders>
              <w:top w:val="nil"/>
              <w:left w:val="nil"/>
              <w:bottom w:val="single" w:sz="4" w:space="0" w:color="auto"/>
              <w:right w:val="single" w:sz="4" w:space="0" w:color="auto"/>
            </w:tcBorders>
            <w:vAlign w:val="center"/>
          </w:tcPr>
          <w:p w14:paraId="1F56A89A"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lastRenderedPageBreak/>
              <w:t>المملكة المتحدة ــ وزارة التنمية الدولية البريطانية</w:t>
            </w:r>
          </w:p>
        </w:tc>
        <w:tc>
          <w:tcPr>
            <w:tcW w:w="1530" w:type="dxa"/>
            <w:tcBorders>
              <w:top w:val="nil"/>
              <w:left w:val="nil"/>
              <w:bottom w:val="single" w:sz="4" w:space="0" w:color="auto"/>
              <w:right w:val="single" w:sz="4" w:space="0" w:color="auto"/>
            </w:tcBorders>
            <w:vAlign w:val="center"/>
          </w:tcPr>
          <w:p w14:paraId="5A8ED783"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725,000</w:t>
            </w:r>
          </w:p>
        </w:tc>
      </w:tr>
      <w:tr w:rsidR="005A774C" w:rsidRPr="008C7C15" w14:paraId="064678F7" w14:textId="77777777" w:rsidTr="002A3038">
        <w:trPr>
          <w:trHeight w:val="996"/>
        </w:trPr>
        <w:tc>
          <w:tcPr>
            <w:tcW w:w="1807" w:type="dxa"/>
            <w:tcBorders>
              <w:top w:val="nil"/>
              <w:left w:val="single" w:sz="4" w:space="0" w:color="auto"/>
              <w:bottom w:val="single" w:sz="4" w:space="0" w:color="auto"/>
              <w:right w:val="single" w:sz="4" w:space="0" w:color="auto"/>
            </w:tcBorders>
            <w:vAlign w:val="center"/>
          </w:tcPr>
          <w:p w14:paraId="4260D0DD"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TF0A2007</w:t>
            </w:r>
          </w:p>
        </w:tc>
        <w:tc>
          <w:tcPr>
            <w:tcW w:w="2314" w:type="dxa"/>
            <w:tcBorders>
              <w:top w:val="nil"/>
              <w:left w:val="nil"/>
              <w:bottom w:val="single" w:sz="4" w:space="0" w:color="auto"/>
              <w:right w:val="single" w:sz="4" w:space="0" w:color="auto"/>
            </w:tcBorders>
            <w:vAlign w:val="center"/>
          </w:tcPr>
          <w:p w14:paraId="17397E9C" w14:textId="77777777" w:rsidR="005A774C" w:rsidRPr="008C7C15" w:rsidRDefault="007F0ED4" w:rsidP="002A3038">
            <w:pPr>
              <w:spacing w:after="0" w:line="240" w:lineRule="auto"/>
              <w:rPr>
                <w:rFonts w:ascii="Arial" w:eastAsia="Arial" w:hAnsi="Arial" w:cs="Arial"/>
                <w:color w:val="000000"/>
                <w:sz w:val="18"/>
                <w:szCs w:val="18"/>
              </w:rPr>
            </w:pPr>
            <w:r>
              <w:rPr>
                <w:rFonts w:ascii="Arial" w:hAnsi="Arial" w:hint="cs"/>
                <w:color w:val="000000"/>
                <w:sz w:val="18"/>
                <w:szCs w:val="18"/>
                <w:lang w:bidi="ar-EG"/>
              </w:rPr>
              <w:t xml:space="preserve">بناء الدولة والسلام/ نشاط الرعاية الصحية </w:t>
            </w:r>
            <w:r w:rsidR="005A774C">
              <w:rPr>
                <w:rFonts w:ascii="Arial" w:hAnsi="Arial"/>
                <w:color w:val="000000"/>
                <w:sz w:val="18"/>
                <w:szCs w:val="18"/>
              </w:rPr>
              <w:t>ــ فلسطين</w:t>
            </w:r>
          </w:p>
        </w:tc>
        <w:tc>
          <w:tcPr>
            <w:tcW w:w="4424" w:type="dxa"/>
            <w:tcBorders>
              <w:top w:val="nil"/>
              <w:left w:val="nil"/>
              <w:bottom w:val="single" w:sz="4" w:space="0" w:color="auto"/>
              <w:right w:val="single" w:sz="4" w:space="0" w:color="auto"/>
            </w:tcBorders>
            <w:vAlign w:val="center"/>
          </w:tcPr>
          <w:p w14:paraId="13BAF5B9"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 xml:space="preserve">قائم. </w:t>
            </w:r>
            <w:r w:rsidR="007F0ED4">
              <w:rPr>
                <w:rFonts w:ascii="Arial" w:hAnsi="Arial" w:hint="cs"/>
                <w:color w:val="000000"/>
                <w:sz w:val="18"/>
                <w:szCs w:val="18"/>
              </w:rPr>
              <w:t>في إطار</w:t>
            </w:r>
            <w:r>
              <w:rPr>
                <w:rFonts w:ascii="Arial" w:hAnsi="Arial"/>
                <w:color w:val="000000"/>
                <w:sz w:val="18"/>
                <w:szCs w:val="18"/>
              </w:rPr>
              <w:t xml:space="preserve"> النهج البرامجي الذي يهدف إلى توسيع نطاق المعرفة العالمية ويتيح مساندة مباشرة لتعزيز المرونة والقدرة على المجابهة في تقديم الخدمات الصحية </w:t>
            </w:r>
          </w:p>
        </w:tc>
        <w:tc>
          <w:tcPr>
            <w:tcW w:w="2700" w:type="dxa"/>
            <w:tcBorders>
              <w:top w:val="nil"/>
              <w:left w:val="nil"/>
              <w:bottom w:val="single" w:sz="4" w:space="0" w:color="auto"/>
              <w:right w:val="single" w:sz="4" w:space="0" w:color="auto"/>
            </w:tcBorders>
            <w:vAlign w:val="center"/>
          </w:tcPr>
          <w:p w14:paraId="067185E3"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صندوق تقوية قدرات الدول وبناء السلام</w:t>
            </w:r>
          </w:p>
        </w:tc>
        <w:tc>
          <w:tcPr>
            <w:tcW w:w="1530" w:type="dxa"/>
            <w:tcBorders>
              <w:top w:val="nil"/>
              <w:left w:val="nil"/>
              <w:bottom w:val="single" w:sz="4" w:space="0" w:color="auto"/>
              <w:right w:val="single" w:sz="4" w:space="0" w:color="auto"/>
            </w:tcBorders>
            <w:vAlign w:val="center"/>
          </w:tcPr>
          <w:p w14:paraId="4C2A1A79"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400,000</w:t>
            </w:r>
          </w:p>
        </w:tc>
      </w:tr>
      <w:tr w:rsidR="005A774C" w:rsidRPr="008C7C15" w14:paraId="3FF9582F" w14:textId="77777777" w:rsidTr="002A3038">
        <w:trPr>
          <w:trHeight w:val="1236"/>
        </w:trPr>
        <w:tc>
          <w:tcPr>
            <w:tcW w:w="1807" w:type="dxa"/>
            <w:tcBorders>
              <w:top w:val="nil"/>
              <w:left w:val="single" w:sz="4" w:space="0" w:color="auto"/>
              <w:bottom w:val="single" w:sz="4" w:space="0" w:color="auto"/>
              <w:right w:val="single" w:sz="4" w:space="0" w:color="auto"/>
            </w:tcBorders>
            <w:noWrap/>
            <w:vAlign w:val="center"/>
          </w:tcPr>
          <w:p w14:paraId="589B4983"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TF0A2316</w:t>
            </w:r>
          </w:p>
        </w:tc>
        <w:tc>
          <w:tcPr>
            <w:tcW w:w="2314" w:type="dxa"/>
            <w:tcBorders>
              <w:top w:val="nil"/>
              <w:left w:val="nil"/>
              <w:bottom w:val="single" w:sz="4" w:space="0" w:color="auto"/>
              <w:right w:val="single" w:sz="4" w:space="0" w:color="auto"/>
            </w:tcBorders>
            <w:vAlign w:val="center"/>
          </w:tcPr>
          <w:p w14:paraId="585FFFC1"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تأمين الطاقة من أجل التنمية</w:t>
            </w:r>
          </w:p>
        </w:tc>
        <w:tc>
          <w:tcPr>
            <w:tcW w:w="4424" w:type="dxa"/>
            <w:tcBorders>
              <w:top w:val="nil"/>
              <w:left w:val="nil"/>
              <w:bottom w:val="single" w:sz="4" w:space="0" w:color="auto"/>
              <w:right w:val="single" w:sz="4" w:space="0" w:color="auto"/>
            </w:tcBorders>
            <w:vAlign w:val="center"/>
          </w:tcPr>
          <w:p w14:paraId="75E36ECB"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قائم.</w:t>
            </w:r>
            <w:r w:rsidR="00022F13">
              <w:rPr>
                <w:rFonts w:ascii="Arial" w:hAnsi="Arial"/>
                <w:color w:val="000000"/>
                <w:sz w:val="18"/>
                <w:szCs w:val="18"/>
              </w:rPr>
              <w:t xml:space="preserve"> </w:t>
            </w:r>
            <w:r>
              <w:rPr>
                <w:rFonts w:ascii="Arial" w:hAnsi="Arial"/>
                <w:color w:val="000000"/>
                <w:sz w:val="18"/>
                <w:szCs w:val="18"/>
              </w:rPr>
              <w:t>مساندة إعداد دراسة لتحديد سبل تحسين أمن الطاقة في الضفة الغربية وقطاع غزة، وتجهيز إمدادات الطاقة المتاحة لتعظيم الأثر الإنمائي في الوقت نفسه.</w:t>
            </w:r>
          </w:p>
        </w:tc>
        <w:tc>
          <w:tcPr>
            <w:tcW w:w="2700" w:type="dxa"/>
            <w:tcBorders>
              <w:top w:val="nil"/>
              <w:left w:val="nil"/>
              <w:bottom w:val="single" w:sz="4" w:space="0" w:color="auto"/>
              <w:right w:val="single" w:sz="4" w:space="0" w:color="auto"/>
            </w:tcBorders>
            <w:vAlign w:val="center"/>
          </w:tcPr>
          <w:p w14:paraId="311E603A"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 xml:space="preserve">برنامج المساعدة على إدارة قطاع الطاقة </w:t>
            </w:r>
          </w:p>
        </w:tc>
        <w:tc>
          <w:tcPr>
            <w:tcW w:w="1530" w:type="dxa"/>
            <w:tcBorders>
              <w:top w:val="nil"/>
              <w:left w:val="nil"/>
              <w:bottom w:val="single" w:sz="4" w:space="0" w:color="auto"/>
              <w:right w:val="single" w:sz="4" w:space="0" w:color="auto"/>
            </w:tcBorders>
            <w:noWrap/>
            <w:vAlign w:val="center"/>
          </w:tcPr>
          <w:p w14:paraId="755E5BEC"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350,000</w:t>
            </w:r>
          </w:p>
        </w:tc>
      </w:tr>
      <w:tr w:rsidR="005A774C" w:rsidRPr="008C7C15" w14:paraId="4FBA46B6" w14:textId="77777777" w:rsidTr="002A3038">
        <w:trPr>
          <w:trHeight w:val="1716"/>
        </w:trPr>
        <w:tc>
          <w:tcPr>
            <w:tcW w:w="1807" w:type="dxa"/>
            <w:tcBorders>
              <w:top w:val="nil"/>
              <w:left w:val="single" w:sz="4" w:space="0" w:color="auto"/>
              <w:bottom w:val="single" w:sz="4" w:space="0" w:color="auto"/>
              <w:right w:val="single" w:sz="4" w:space="0" w:color="auto"/>
            </w:tcBorders>
            <w:vAlign w:val="center"/>
          </w:tcPr>
          <w:p w14:paraId="5BB8C8D5"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TF0A1762</w:t>
            </w:r>
          </w:p>
        </w:tc>
        <w:tc>
          <w:tcPr>
            <w:tcW w:w="2314" w:type="dxa"/>
            <w:tcBorders>
              <w:top w:val="nil"/>
              <w:left w:val="nil"/>
              <w:bottom w:val="single" w:sz="4" w:space="0" w:color="auto"/>
              <w:right w:val="single" w:sz="4" w:space="0" w:color="auto"/>
            </w:tcBorders>
            <w:vAlign w:val="center"/>
          </w:tcPr>
          <w:p w14:paraId="5AFD7156"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 xml:space="preserve">المساعدة الفنية لوضع إطار مستدام لإقراض البلديات </w:t>
            </w:r>
          </w:p>
        </w:tc>
        <w:tc>
          <w:tcPr>
            <w:tcW w:w="4424" w:type="dxa"/>
            <w:tcBorders>
              <w:top w:val="nil"/>
              <w:left w:val="nil"/>
              <w:bottom w:val="single" w:sz="4" w:space="0" w:color="auto"/>
              <w:right w:val="single" w:sz="4" w:space="0" w:color="auto"/>
            </w:tcBorders>
            <w:vAlign w:val="center"/>
          </w:tcPr>
          <w:p w14:paraId="47F1E7E7"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 xml:space="preserve">قائم. تقديم المساعدة الفنية والمساندة الاستشارية للسلطة الفلسطينية وصندوق إقراض وتطوير البلديات لوضع إطار مستدام لإقراض البلديات، وتمكين صندوق إقراض وتطوير البلديات من دراسة جدوى إنشاء برنامج إقراض البلديات في الضفة الغربية وقطاع غزة. </w:t>
            </w:r>
          </w:p>
        </w:tc>
        <w:tc>
          <w:tcPr>
            <w:tcW w:w="2700" w:type="dxa"/>
            <w:tcBorders>
              <w:top w:val="nil"/>
              <w:left w:val="nil"/>
              <w:bottom w:val="single" w:sz="4" w:space="0" w:color="auto"/>
              <w:right w:val="single" w:sz="4" w:space="0" w:color="auto"/>
            </w:tcBorders>
            <w:vAlign w:val="center"/>
          </w:tcPr>
          <w:p w14:paraId="265A65D5"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برنامج التسهيلات الاستشارية للشراكة بين القطاعين العام والخاص في مجال البنية الأساسية</w:t>
            </w:r>
            <w:r w:rsidR="00022F13">
              <w:rPr>
                <w:rFonts w:ascii="Arial" w:hAnsi="Arial"/>
                <w:color w:val="000000"/>
                <w:sz w:val="18"/>
                <w:szCs w:val="18"/>
              </w:rPr>
              <w:t xml:space="preserve"> </w:t>
            </w:r>
            <w:r>
              <w:rPr>
                <w:rFonts w:ascii="Arial" w:hAnsi="Arial"/>
                <w:color w:val="000000"/>
                <w:sz w:val="18"/>
                <w:szCs w:val="18"/>
              </w:rPr>
              <w:t>(</w:t>
            </w:r>
            <w:r>
              <w:rPr>
                <w:rFonts w:ascii="Arial" w:hAnsi="Arial"/>
                <w:color w:val="000000"/>
                <w:sz w:val="18"/>
                <w:rtl w:val="0"/>
              </w:rPr>
              <w:t>PPIAF</w:t>
            </w:r>
            <w:r>
              <w:rPr>
                <w:rFonts w:ascii="Arial" w:hAnsi="Arial"/>
                <w:color w:val="000000"/>
                <w:sz w:val="18"/>
                <w:szCs w:val="18"/>
              </w:rPr>
              <w:t>)</w:t>
            </w:r>
          </w:p>
        </w:tc>
        <w:tc>
          <w:tcPr>
            <w:tcW w:w="1530" w:type="dxa"/>
            <w:tcBorders>
              <w:top w:val="nil"/>
              <w:left w:val="nil"/>
              <w:bottom w:val="single" w:sz="4" w:space="0" w:color="auto"/>
              <w:right w:val="single" w:sz="4" w:space="0" w:color="auto"/>
            </w:tcBorders>
            <w:vAlign w:val="center"/>
          </w:tcPr>
          <w:p w14:paraId="750158D8"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300,000</w:t>
            </w:r>
          </w:p>
        </w:tc>
      </w:tr>
      <w:tr w:rsidR="005A774C" w:rsidRPr="008C7C15" w14:paraId="1B55E409" w14:textId="77777777" w:rsidTr="002A3038">
        <w:trPr>
          <w:trHeight w:val="972"/>
        </w:trPr>
        <w:tc>
          <w:tcPr>
            <w:tcW w:w="1807" w:type="dxa"/>
            <w:tcBorders>
              <w:top w:val="nil"/>
              <w:left w:val="single" w:sz="4" w:space="0" w:color="auto"/>
              <w:bottom w:val="single" w:sz="4" w:space="0" w:color="auto"/>
              <w:right w:val="single" w:sz="4" w:space="0" w:color="auto"/>
            </w:tcBorders>
            <w:vAlign w:val="center"/>
          </w:tcPr>
          <w:p w14:paraId="383791DA"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color w:val="000000"/>
                <w:sz w:val="18"/>
                <w:rtl w:val="0"/>
              </w:rPr>
              <w:t>TF0A0416</w:t>
            </w:r>
          </w:p>
        </w:tc>
        <w:tc>
          <w:tcPr>
            <w:tcW w:w="2314" w:type="dxa"/>
            <w:tcBorders>
              <w:top w:val="nil"/>
              <w:left w:val="nil"/>
              <w:bottom w:val="single" w:sz="4" w:space="0" w:color="auto"/>
              <w:right w:val="single" w:sz="4" w:space="0" w:color="auto"/>
            </w:tcBorders>
            <w:vAlign w:val="center"/>
          </w:tcPr>
          <w:p w14:paraId="46E33AF3"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rtl w:val="0"/>
              </w:rPr>
              <w:t>WBAG #B049 Insurance Supervision</w:t>
            </w:r>
            <w:r>
              <w:rPr>
                <w:rFonts w:ascii="Arial" w:hAnsi="Arial"/>
                <w:color w:val="000000"/>
                <w:sz w:val="18"/>
                <w:szCs w:val="18"/>
              </w:rPr>
              <w:t xml:space="preserve"> ــ الضفة الغربية وقطاع غزة (#</w:t>
            </w:r>
            <w:r>
              <w:rPr>
                <w:rFonts w:ascii="Arial" w:hAnsi="Arial"/>
                <w:color w:val="000000"/>
                <w:sz w:val="18"/>
                <w:rtl w:val="0"/>
              </w:rPr>
              <w:t>B049)</w:t>
            </w:r>
            <w:r>
              <w:rPr>
                <w:rFonts w:ascii="Arial" w:hAnsi="Arial"/>
                <w:color w:val="000000"/>
                <w:sz w:val="18"/>
                <w:szCs w:val="18"/>
              </w:rPr>
              <w:t xml:space="preserve"> ــ الرقابة على التأمين</w:t>
            </w:r>
          </w:p>
        </w:tc>
        <w:tc>
          <w:tcPr>
            <w:tcW w:w="4424" w:type="dxa"/>
            <w:tcBorders>
              <w:top w:val="nil"/>
              <w:left w:val="nil"/>
              <w:bottom w:val="single" w:sz="4" w:space="0" w:color="auto"/>
              <w:right w:val="single" w:sz="4" w:space="0" w:color="auto"/>
            </w:tcBorders>
            <w:vAlign w:val="center"/>
          </w:tcPr>
          <w:p w14:paraId="1659658E" w14:textId="77777777" w:rsidR="005A774C" w:rsidRPr="008C7C15" w:rsidRDefault="005A774C" w:rsidP="002A3038">
            <w:pPr>
              <w:spacing w:after="0" w:line="240" w:lineRule="auto"/>
              <w:rPr>
                <w:rFonts w:ascii="Arial" w:eastAsia="Arial" w:hAnsi="Arial" w:cs="Arial"/>
                <w:color w:val="000000"/>
                <w:sz w:val="18"/>
                <w:szCs w:val="18"/>
              </w:rPr>
            </w:pPr>
            <w:r>
              <w:rPr>
                <w:rFonts w:ascii="Arial" w:hAnsi="Arial"/>
                <w:color w:val="000000"/>
                <w:sz w:val="18"/>
                <w:szCs w:val="18"/>
              </w:rPr>
              <w:t xml:space="preserve">قائم. تعزيز أساليب تنظيم التأمين والرقابة عليه بما يساعد على تشجيع أسواق التأمين التي تتسم بالكفاءة والعدالة والأمان والاستقرار لحماية وإفادة حملة الوثائق. </w:t>
            </w:r>
          </w:p>
        </w:tc>
        <w:tc>
          <w:tcPr>
            <w:tcW w:w="2700" w:type="dxa"/>
            <w:tcBorders>
              <w:top w:val="nil"/>
              <w:left w:val="nil"/>
              <w:bottom w:val="single" w:sz="4" w:space="0" w:color="auto"/>
              <w:right w:val="single" w:sz="4" w:space="0" w:color="auto"/>
            </w:tcBorders>
            <w:vAlign w:val="center"/>
          </w:tcPr>
          <w:p w14:paraId="7E99B3ED" w14:textId="77777777" w:rsidR="005A774C" w:rsidRPr="008C7C15" w:rsidRDefault="005A774C" w:rsidP="002A3038">
            <w:pPr>
              <w:spacing w:after="0" w:line="240" w:lineRule="auto"/>
              <w:jc w:val="center"/>
              <w:rPr>
                <w:rFonts w:ascii="Arial" w:eastAsia="Arial" w:hAnsi="Arial" w:cs="Arial"/>
                <w:color w:val="000000"/>
                <w:sz w:val="18"/>
                <w:szCs w:val="18"/>
              </w:rPr>
            </w:pPr>
            <w:r>
              <w:rPr>
                <w:rFonts w:ascii="Arial" w:hAnsi="Arial"/>
                <w:color w:val="000000"/>
                <w:sz w:val="18"/>
                <w:szCs w:val="18"/>
              </w:rPr>
              <w:t>مبادرة إصلاح وتدعيم القطاع المالي</w:t>
            </w:r>
          </w:p>
        </w:tc>
        <w:tc>
          <w:tcPr>
            <w:tcW w:w="1530" w:type="dxa"/>
            <w:tcBorders>
              <w:top w:val="nil"/>
              <w:left w:val="nil"/>
              <w:bottom w:val="single" w:sz="4" w:space="0" w:color="auto"/>
              <w:right w:val="single" w:sz="4" w:space="0" w:color="auto"/>
            </w:tcBorders>
            <w:vAlign w:val="center"/>
          </w:tcPr>
          <w:p w14:paraId="699885E7"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297,374</w:t>
            </w:r>
          </w:p>
        </w:tc>
      </w:tr>
      <w:tr w:rsidR="005A774C" w:rsidRPr="008C7C15" w14:paraId="72C46294" w14:textId="77777777" w:rsidTr="002A3038">
        <w:trPr>
          <w:trHeight w:val="972"/>
        </w:trPr>
        <w:tc>
          <w:tcPr>
            <w:tcW w:w="1807" w:type="dxa"/>
            <w:tcBorders>
              <w:top w:val="single" w:sz="4" w:space="0" w:color="auto"/>
              <w:left w:val="single" w:sz="4" w:space="0" w:color="auto"/>
              <w:bottom w:val="single" w:sz="4" w:space="0" w:color="auto"/>
              <w:right w:val="single" w:sz="4" w:space="0" w:color="auto"/>
            </w:tcBorders>
            <w:vAlign w:val="center"/>
          </w:tcPr>
          <w:p w14:paraId="4919DD13" w14:textId="77777777" w:rsidR="005A774C" w:rsidRPr="008C7C15" w:rsidRDefault="005A774C" w:rsidP="002A3038">
            <w:pPr>
              <w:spacing w:after="0" w:line="240" w:lineRule="auto"/>
              <w:rPr>
                <w:rFonts w:ascii="Arial" w:eastAsia="Arial" w:hAnsi="Arial" w:cs="Arial"/>
                <w:b/>
                <w:bCs/>
                <w:color w:val="000000"/>
                <w:sz w:val="18"/>
                <w:szCs w:val="18"/>
              </w:rPr>
            </w:pPr>
            <w:r>
              <w:rPr>
                <w:rFonts w:ascii="Arial" w:hAnsi="Arial"/>
                <w:b/>
                <w:bCs/>
                <w:color w:val="000000"/>
                <w:sz w:val="18"/>
                <w:szCs w:val="18"/>
              </w:rPr>
              <w:t>الإجمالي</w:t>
            </w:r>
          </w:p>
        </w:tc>
        <w:tc>
          <w:tcPr>
            <w:tcW w:w="2314" w:type="dxa"/>
            <w:tcBorders>
              <w:top w:val="single" w:sz="4" w:space="0" w:color="auto"/>
              <w:left w:val="nil"/>
              <w:bottom w:val="single" w:sz="4" w:space="0" w:color="auto"/>
              <w:right w:val="single" w:sz="4" w:space="0" w:color="auto"/>
            </w:tcBorders>
            <w:vAlign w:val="center"/>
          </w:tcPr>
          <w:p w14:paraId="0042F766" w14:textId="77777777" w:rsidR="005A774C" w:rsidRPr="008C7C15" w:rsidRDefault="005A774C" w:rsidP="002A3038">
            <w:pPr>
              <w:spacing w:after="0" w:line="240" w:lineRule="auto"/>
              <w:rPr>
                <w:rFonts w:ascii="Times New Roman" w:eastAsia="Times New Roman" w:hAnsi="Times New Roman" w:cs="Times New Roman"/>
                <w:color w:val="000000"/>
                <w:sz w:val="18"/>
                <w:szCs w:val="18"/>
              </w:rPr>
            </w:pPr>
          </w:p>
        </w:tc>
        <w:tc>
          <w:tcPr>
            <w:tcW w:w="4424" w:type="dxa"/>
            <w:tcBorders>
              <w:top w:val="single" w:sz="4" w:space="0" w:color="auto"/>
              <w:left w:val="nil"/>
              <w:bottom w:val="single" w:sz="4" w:space="0" w:color="auto"/>
              <w:right w:val="single" w:sz="4" w:space="0" w:color="auto"/>
            </w:tcBorders>
            <w:vAlign w:val="center"/>
          </w:tcPr>
          <w:p w14:paraId="2419C133" w14:textId="77777777" w:rsidR="005A774C" w:rsidRPr="008C7C15" w:rsidRDefault="005A774C" w:rsidP="002A3038">
            <w:pPr>
              <w:spacing w:after="0" w:line="240" w:lineRule="auto"/>
              <w:rPr>
                <w:rFonts w:ascii="Times New Roman" w:eastAsia="Times New Roman" w:hAnsi="Times New Roman" w:cs="Times New Roman"/>
                <w:color w:val="000000"/>
                <w:sz w:val="18"/>
                <w:szCs w:val="18"/>
              </w:rPr>
            </w:pPr>
          </w:p>
        </w:tc>
        <w:tc>
          <w:tcPr>
            <w:tcW w:w="2700" w:type="dxa"/>
            <w:tcBorders>
              <w:top w:val="single" w:sz="4" w:space="0" w:color="auto"/>
              <w:left w:val="nil"/>
              <w:bottom w:val="single" w:sz="4" w:space="0" w:color="auto"/>
              <w:right w:val="single" w:sz="4" w:space="0" w:color="auto"/>
            </w:tcBorders>
            <w:vAlign w:val="center"/>
          </w:tcPr>
          <w:p w14:paraId="0B157D66" w14:textId="77777777" w:rsidR="005A774C" w:rsidRPr="008C7C15" w:rsidRDefault="005A774C" w:rsidP="002A3038">
            <w:pPr>
              <w:spacing w:after="0" w:line="240" w:lineRule="auto"/>
              <w:jc w:val="center"/>
              <w:rPr>
                <w:rFonts w:ascii="Times New Roman" w:eastAsia="Times New Roman" w:hAnsi="Times New Roman" w:cs="Times New Roman"/>
                <w:color w:val="000000"/>
                <w:sz w:val="18"/>
                <w:szCs w:val="18"/>
              </w:rPr>
            </w:pPr>
          </w:p>
        </w:tc>
        <w:tc>
          <w:tcPr>
            <w:tcW w:w="1530" w:type="dxa"/>
            <w:tcBorders>
              <w:top w:val="single" w:sz="4" w:space="0" w:color="auto"/>
              <w:left w:val="nil"/>
              <w:bottom w:val="single" w:sz="4" w:space="0" w:color="auto"/>
              <w:right w:val="single" w:sz="4" w:space="0" w:color="auto"/>
            </w:tcBorders>
            <w:vAlign w:val="center"/>
          </w:tcPr>
          <w:p w14:paraId="527878F0" w14:textId="77777777" w:rsidR="005A774C" w:rsidRPr="008C7C15" w:rsidRDefault="005A774C" w:rsidP="002A3038">
            <w:pPr>
              <w:spacing w:after="0" w:line="240" w:lineRule="auto"/>
              <w:jc w:val="right"/>
              <w:rPr>
                <w:rFonts w:ascii="Arial" w:eastAsia="Arial" w:hAnsi="Arial" w:cs="Arial"/>
                <w:color w:val="000000"/>
                <w:sz w:val="18"/>
                <w:szCs w:val="18"/>
              </w:rPr>
            </w:pPr>
            <w:r>
              <w:rPr>
                <w:rFonts w:ascii="Arial" w:hAnsi="Arial"/>
                <w:color w:val="000000"/>
                <w:sz w:val="18"/>
                <w:szCs w:val="18"/>
              </w:rPr>
              <w:t>1,804,789,331</w:t>
            </w:r>
          </w:p>
        </w:tc>
      </w:tr>
    </w:tbl>
    <w:p w14:paraId="6B4A648C" w14:textId="77777777" w:rsidR="005A774C" w:rsidRPr="008C7C15" w:rsidRDefault="005A774C" w:rsidP="005A774C">
      <w:pPr>
        <w:spacing w:after="0" w:line="240" w:lineRule="auto"/>
        <w:rPr>
          <w:rFonts w:ascii="Calibri" w:eastAsia="Calibri" w:hAnsi="Calibri" w:cs="Arial"/>
        </w:rPr>
        <w:sectPr w:rsidR="005A774C" w:rsidRPr="008C7C15">
          <w:footerReference w:type="default" r:id="rId20"/>
          <w:pgSz w:w="15840" w:h="12240" w:orient="landscape"/>
          <w:pgMar w:top="1440" w:right="1440" w:bottom="1440" w:left="1440" w:header="720" w:footer="720" w:gutter="0"/>
          <w:cols w:space="720"/>
        </w:sectPr>
      </w:pPr>
    </w:p>
    <w:tbl>
      <w:tblPr>
        <w:bidiVisual/>
        <w:tblW w:w="9360" w:type="dxa"/>
        <w:tblLook w:val="04A0" w:firstRow="1" w:lastRow="0" w:firstColumn="1" w:lastColumn="0" w:noHBand="0" w:noVBand="1"/>
      </w:tblPr>
      <w:tblGrid>
        <w:gridCol w:w="4930"/>
        <w:gridCol w:w="876"/>
        <w:gridCol w:w="1428"/>
        <w:gridCol w:w="960"/>
        <w:gridCol w:w="850"/>
        <w:gridCol w:w="316"/>
      </w:tblGrid>
      <w:tr w:rsidR="005A774C" w:rsidRPr="008C7C15" w14:paraId="454DBCEC" w14:textId="77777777" w:rsidTr="002A3038">
        <w:trPr>
          <w:trHeight w:val="423"/>
        </w:trPr>
        <w:tc>
          <w:tcPr>
            <w:tcW w:w="9360" w:type="dxa"/>
            <w:gridSpan w:val="6"/>
            <w:shd w:val="clear" w:color="auto" w:fill="FFFFFF"/>
            <w:noWrap/>
            <w:vAlign w:val="center"/>
          </w:tcPr>
          <w:p w14:paraId="2000446D" w14:textId="77777777" w:rsidR="005A774C" w:rsidRPr="008C7C15" w:rsidRDefault="005A774C" w:rsidP="002A3038">
            <w:pPr>
              <w:keepNext/>
              <w:keepLines/>
              <w:spacing w:after="0" w:line="240" w:lineRule="auto"/>
              <w:jc w:val="center"/>
              <w:outlineLvl w:val="0"/>
              <w:rPr>
                <w:rFonts w:ascii="Arial" w:eastAsia="Arial" w:hAnsi="Arial" w:cs="Arial"/>
                <w:color w:val="333333"/>
                <w:szCs w:val="24"/>
              </w:rPr>
            </w:pPr>
            <w:bookmarkStart w:id="53" w:name="_Toc496110893"/>
            <w:bookmarkStart w:id="54" w:name="_Toc500240977"/>
            <w:r>
              <w:rPr>
                <w:rFonts w:ascii="Arial" w:hAnsi="Arial"/>
                <w:b/>
                <w:bCs/>
                <w:smallCaps/>
                <w:sz w:val="24"/>
                <w:szCs w:val="24"/>
              </w:rPr>
              <w:lastRenderedPageBreak/>
              <w:t>الملحق 3.</w:t>
            </w:r>
            <w:r w:rsidR="00022F13">
              <w:rPr>
                <w:rFonts w:ascii="Arial" w:hAnsi="Arial"/>
                <w:b/>
                <w:bCs/>
                <w:smallCaps/>
                <w:sz w:val="24"/>
                <w:szCs w:val="24"/>
              </w:rPr>
              <w:t xml:space="preserve"> </w:t>
            </w:r>
            <w:r>
              <w:rPr>
                <w:rFonts w:ascii="Arial" w:hAnsi="Arial"/>
                <w:b/>
                <w:bCs/>
                <w:smallCaps/>
                <w:sz w:val="24"/>
                <w:szCs w:val="24"/>
              </w:rPr>
              <w:t>مؤشرات مختارة* لأداء وإدارة حافظة مشروعات البنك</w:t>
            </w:r>
            <w:bookmarkEnd w:id="53"/>
            <w:bookmarkEnd w:id="54"/>
          </w:p>
        </w:tc>
      </w:tr>
      <w:tr w:rsidR="005A774C" w:rsidRPr="008C7C15" w14:paraId="38153403" w14:textId="77777777" w:rsidTr="002A3038">
        <w:trPr>
          <w:trHeight w:val="333"/>
        </w:trPr>
        <w:tc>
          <w:tcPr>
            <w:tcW w:w="9360" w:type="dxa"/>
            <w:gridSpan w:val="6"/>
            <w:shd w:val="clear" w:color="auto" w:fill="FFFFFF"/>
            <w:noWrap/>
            <w:vAlign w:val="center"/>
          </w:tcPr>
          <w:p w14:paraId="525593D5" w14:textId="77777777" w:rsidR="005A774C" w:rsidRPr="008C7C15" w:rsidRDefault="005A774C" w:rsidP="002A3038">
            <w:pPr>
              <w:spacing w:after="0" w:line="240" w:lineRule="auto"/>
              <w:jc w:val="center"/>
              <w:rPr>
                <w:rFonts w:ascii="Arial" w:eastAsia="Arial" w:hAnsi="Arial" w:cs="Arial"/>
                <w:b/>
                <w:bCs/>
                <w:i/>
                <w:iCs/>
                <w:color w:val="000000"/>
                <w:sz w:val="18"/>
                <w:szCs w:val="18"/>
              </w:rPr>
            </w:pPr>
            <w:r>
              <w:rPr>
                <w:rFonts w:ascii="Arial" w:hAnsi="Arial"/>
                <w:b/>
                <w:bCs/>
                <w:i/>
                <w:iCs/>
                <w:color w:val="000000"/>
                <w:sz w:val="18"/>
                <w:szCs w:val="18"/>
              </w:rPr>
              <w:t>(في 31 أكتوبر/تشرين الأول 2017)</w:t>
            </w:r>
          </w:p>
        </w:tc>
      </w:tr>
      <w:tr w:rsidR="005A774C" w:rsidRPr="008C7C15" w14:paraId="0EB06D00" w14:textId="77777777" w:rsidTr="002A3038">
        <w:trPr>
          <w:trHeight w:val="282"/>
        </w:trPr>
        <w:tc>
          <w:tcPr>
            <w:tcW w:w="4930" w:type="dxa"/>
            <w:shd w:val="clear" w:color="auto" w:fill="FFFFFF"/>
            <w:noWrap/>
            <w:vAlign w:val="bottom"/>
          </w:tcPr>
          <w:p w14:paraId="20792491" w14:textId="77777777" w:rsidR="005A774C" w:rsidRPr="008C7C15" w:rsidRDefault="005A774C" w:rsidP="002A3038">
            <w:pPr>
              <w:spacing w:after="0" w:line="240" w:lineRule="auto"/>
              <w:rPr>
                <w:rFonts w:ascii="Arial" w:eastAsia="Arial" w:hAnsi="Arial" w:cs="Arial"/>
                <w:color w:val="333333"/>
                <w:sz w:val="18"/>
                <w:szCs w:val="18"/>
              </w:rPr>
            </w:pPr>
            <w:r>
              <w:rPr>
                <w:rFonts w:ascii="Arial" w:hAnsi="Arial"/>
                <w:color w:val="333333"/>
                <w:sz w:val="18"/>
                <w:szCs w:val="18"/>
              </w:rPr>
              <w:t> </w:t>
            </w:r>
          </w:p>
        </w:tc>
        <w:tc>
          <w:tcPr>
            <w:tcW w:w="876" w:type="dxa"/>
            <w:shd w:val="clear" w:color="auto" w:fill="FFFFFF"/>
            <w:noWrap/>
            <w:vAlign w:val="bottom"/>
          </w:tcPr>
          <w:p w14:paraId="627CA178" w14:textId="77777777" w:rsidR="005A774C" w:rsidRPr="008C7C15" w:rsidRDefault="005A774C" w:rsidP="002A3038">
            <w:pPr>
              <w:spacing w:after="0" w:line="240" w:lineRule="auto"/>
              <w:rPr>
                <w:rFonts w:ascii="Arial" w:eastAsia="Arial" w:hAnsi="Arial" w:cs="Arial"/>
                <w:color w:val="333333"/>
                <w:sz w:val="18"/>
                <w:szCs w:val="18"/>
              </w:rPr>
            </w:pPr>
            <w:r>
              <w:rPr>
                <w:rFonts w:ascii="Arial" w:hAnsi="Arial"/>
                <w:color w:val="333333"/>
                <w:sz w:val="18"/>
                <w:szCs w:val="18"/>
              </w:rPr>
              <w:t> </w:t>
            </w:r>
          </w:p>
        </w:tc>
        <w:tc>
          <w:tcPr>
            <w:tcW w:w="1428" w:type="dxa"/>
            <w:shd w:val="clear" w:color="auto" w:fill="FFFFFF"/>
            <w:noWrap/>
            <w:vAlign w:val="bottom"/>
          </w:tcPr>
          <w:p w14:paraId="624B6DC8" w14:textId="77777777" w:rsidR="005A774C" w:rsidRPr="008C7C15" w:rsidRDefault="005A774C" w:rsidP="002A3038">
            <w:pPr>
              <w:spacing w:after="0" w:line="240" w:lineRule="auto"/>
              <w:ind w:left="338" w:right="54" w:hanging="338"/>
              <w:rPr>
                <w:rFonts w:ascii="Arial" w:eastAsia="Arial" w:hAnsi="Arial" w:cs="Arial"/>
                <w:color w:val="333333"/>
                <w:sz w:val="18"/>
                <w:szCs w:val="18"/>
              </w:rPr>
            </w:pPr>
            <w:r>
              <w:rPr>
                <w:rFonts w:ascii="Arial" w:hAnsi="Arial"/>
                <w:color w:val="333333"/>
                <w:sz w:val="18"/>
                <w:szCs w:val="18"/>
              </w:rPr>
              <w:t> </w:t>
            </w:r>
          </w:p>
        </w:tc>
        <w:tc>
          <w:tcPr>
            <w:tcW w:w="960" w:type="dxa"/>
            <w:shd w:val="clear" w:color="auto" w:fill="FFFFFF"/>
            <w:noWrap/>
            <w:vAlign w:val="bottom"/>
          </w:tcPr>
          <w:p w14:paraId="02BF6ECC" w14:textId="77777777" w:rsidR="005A774C" w:rsidRPr="008C7C15" w:rsidRDefault="005A774C" w:rsidP="002A3038">
            <w:pPr>
              <w:spacing w:after="0" w:line="240" w:lineRule="auto"/>
              <w:rPr>
                <w:rFonts w:ascii="Arial" w:eastAsia="Arial" w:hAnsi="Arial" w:cs="Arial"/>
                <w:color w:val="333333"/>
                <w:sz w:val="18"/>
                <w:szCs w:val="18"/>
              </w:rPr>
            </w:pPr>
            <w:r>
              <w:rPr>
                <w:rFonts w:ascii="Arial" w:hAnsi="Arial"/>
                <w:color w:val="333333"/>
                <w:sz w:val="18"/>
                <w:szCs w:val="18"/>
              </w:rPr>
              <w:t> </w:t>
            </w:r>
          </w:p>
        </w:tc>
        <w:tc>
          <w:tcPr>
            <w:tcW w:w="850" w:type="dxa"/>
            <w:shd w:val="clear" w:color="auto" w:fill="FFFFFF"/>
            <w:noWrap/>
            <w:vAlign w:val="bottom"/>
          </w:tcPr>
          <w:p w14:paraId="050A331F" w14:textId="77777777" w:rsidR="005A774C" w:rsidRPr="008C7C15" w:rsidRDefault="005A774C" w:rsidP="002A3038">
            <w:pPr>
              <w:spacing w:after="0" w:line="240" w:lineRule="auto"/>
              <w:rPr>
                <w:rFonts w:ascii="Arial" w:eastAsia="Arial" w:hAnsi="Arial" w:cs="Arial"/>
                <w:color w:val="333333"/>
                <w:sz w:val="18"/>
                <w:szCs w:val="18"/>
              </w:rPr>
            </w:pPr>
            <w:r>
              <w:rPr>
                <w:rFonts w:ascii="Arial" w:hAnsi="Arial"/>
                <w:color w:val="333333"/>
                <w:sz w:val="18"/>
                <w:szCs w:val="18"/>
              </w:rPr>
              <w:t> </w:t>
            </w:r>
          </w:p>
        </w:tc>
        <w:tc>
          <w:tcPr>
            <w:tcW w:w="316" w:type="dxa"/>
            <w:shd w:val="clear" w:color="auto" w:fill="FFFFFF"/>
            <w:noWrap/>
            <w:vAlign w:val="bottom"/>
          </w:tcPr>
          <w:p w14:paraId="7357E9C7" w14:textId="77777777" w:rsidR="005A774C" w:rsidRPr="008C7C15" w:rsidRDefault="005A774C" w:rsidP="002A3038">
            <w:pPr>
              <w:spacing w:after="0" w:line="240" w:lineRule="auto"/>
              <w:rPr>
                <w:rFonts w:ascii="Arial" w:eastAsia="Arial" w:hAnsi="Arial" w:cs="Arial"/>
                <w:color w:val="333333"/>
                <w:sz w:val="18"/>
                <w:szCs w:val="18"/>
              </w:rPr>
            </w:pPr>
            <w:r>
              <w:rPr>
                <w:rFonts w:ascii="Arial" w:hAnsi="Arial"/>
                <w:color w:val="333333"/>
                <w:sz w:val="18"/>
                <w:szCs w:val="18"/>
              </w:rPr>
              <w:t> </w:t>
            </w:r>
          </w:p>
        </w:tc>
      </w:tr>
      <w:tr w:rsidR="005A774C" w:rsidRPr="008C7C15" w14:paraId="61EB89B6" w14:textId="77777777" w:rsidTr="002A3038">
        <w:trPr>
          <w:trHeight w:val="396"/>
        </w:trPr>
        <w:tc>
          <w:tcPr>
            <w:tcW w:w="4930" w:type="dxa"/>
            <w:shd w:val="clear" w:color="auto" w:fill="FFFFFF"/>
            <w:noWrap/>
            <w:vAlign w:val="bottom"/>
          </w:tcPr>
          <w:p w14:paraId="21524AFB" w14:textId="77777777" w:rsidR="005A774C" w:rsidRPr="008C7C15" w:rsidRDefault="005A774C" w:rsidP="002A3038">
            <w:pPr>
              <w:spacing w:after="0" w:line="240" w:lineRule="auto"/>
              <w:rPr>
                <w:rFonts w:ascii="Arial" w:eastAsia="Arial" w:hAnsi="Arial" w:cs="Arial"/>
                <w:b/>
                <w:bCs/>
                <w:color w:val="000000"/>
                <w:sz w:val="20"/>
                <w:szCs w:val="20"/>
              </w:rPr>
            </w:pPr>
            <w:r>
              <w:rPr>
                <w:rFonts w:ascii="Arial" w:hAnsi="Arial"/>
                <w:b/>
                <w:bCs/>
                <w:color w:val="000000"/>
                <w:sz w:val="20"/>
                <w:szCs w:val="20"/>
              </w:rPr>
              <w:t>المؤشر</w:t>
            </w:r>
          </w:p>
        </w:tc>
        <w:tc>
          <w:tcPr>
            <w:tcW w:w="876" w:type="dxa"/>
            <w:shd w:val="clear" w:color="auto" w:fill="FFFFFF"/>
            <w:noWrap/>
            <w:vAlign w:val="center"/>
          </w:tcPr>
          <w:p w14:paraId="6D133894" w14:textId="77777777" w:rsidR="005A774C" w:rsidRPr="008C7C15" w:rsidRDefault="005A774C" w:rsidP="002A3038">
            <w:pPr>
              <w:spacing w:after="0" w:line="240" w:lineRule="auto"/>
              <w:jc w:val="center"/>
              <w:rPr>
                <w:rFonts w:ascii="Arial" w:eastAsia="Arial" w:hAnsi="Arial" w:cs="Arial"/>
                <w:b/>
                <w:bCs/>
                <w:color w:val="000000"/>
                <w:sz w:val="20"/>
                <w:szCs w:val="20"/>
              </w:rPr>
            </w:pPr>
            <w:r>
              <w:rPr>
                <w:rFonts w:ascii="Arial" w:hAnsi="Arial"/>
                <w:b/>
                <w:bCs/>
                <w:color w:val="000000"/>
                <w:sz w:val="20"/>
                <w:szCs w:val="20"/>
              </w:rPr>
              <w:t>السنة المالية 2015</w:t>
            </w:r>
          </w:p>
        </w:tc>
        <w:tc>
          <w:tcPr>
            <w:tcW w:w="1428" w:type="dxa"/>
            <w:shd w:val="clear" w:color="auto" w:fill="FFFFFF"/>
            <w:noWrap/>
            <w:vAlign w:val="center"/>
          </w:tcPr>
          <w:p w14:paraId="156E64DA" w14:textId="77777777" w:rsidR="005A774C" w:rsidRPr="008C7C15" w:rsidRDefault="005A774C" w:rsidP="002A3038">
            <w:pPr>
              <w:spacing w:after="0" w:line="240" w:lineRule="auto"/>
              <w:jc w:val="center"/>
              <w:rPr>
                <w:rFonts w:ascii="Arial" w:eastAsia="Arial" w:hAnsi="Arial" w:cs="Arial"/>
                <w:b/>
                <w:bCs/>
                <w:color w:val="000000"/>
                <w:sz w:val="20"/>
                <w:szCs w:val="20"/>
              </w:rPr>
            </w:pPr>
            <w:r>
              <w:rPr>
                <w:rFonts w:ascii="Arial" w:hAnsi="Arial"/>
                <w:b/>
                <w:bCs/>
                <w:color w:val="000000"/>
                <w:sz w:val="20"/>
                <w:szCs w:val="20"/>
              </w:rPr>
              <w:t>السنة المالية 2016</w:t>
            </w:r>
          </w:p>
        </w:tc>
        <w:tc>
          <w:tcPr>
            <w:tcW w:w="960" w:type="dxa"/>
            <w:shd w:val="clear" w:color="auto" w:fill="FFFFFF"/>
            <w:noWrap/>
            <w:vAlign w:val="center"/>
          </w:tcPr>
          <w:p w14:paraId="471FC601" w14:textId="77777777" w:rsidR="005A774C" w:rsidRPr="008C7C15" w:rsidRDefault="005A774C" w:rsidP="002A3038">
            <w:pPr>
              <w:spacing w:after="0" w:line="240" w:lineRule="auto"/>
              <w:jc w:val="center"/>
              <w:rPr>
                <w:rFonts w:ascii="Arial" w:eastAsia="Arial" w:hAnsi="Arial" w:cs="Arial"/>
                <w:b/>
                <w:bCs/>
                <w:color w:val="000000"/>
                <w:sz w:val="20"/>
                <w:szCs w:val="20"/>
              </w:rPr>
            </w:pPr>
            <w:r>
              <w:rPr>
                <w:rFonts w:ascii="Arial" w:hAnsi="Arial"/>
                <w:b/>
                <w:bCs/>
                <w:color w:val="000000"/>
                <w:sz w:val="20"/>
                <w:szCs w:val="20"/>
              </w:rPr>
              <w:t>السنة المالية 2017</w:t>
            </w:r>
          </w:p>
        </w:tc>
        <w:tc>
          <w:tcPr>
            <w:tcW w:w="1166" w:type="dxa"/>
            <w:gridSpan w:val="2"/>
            <w:shd w:val="clear" w:color="auto" w:fill="FFFFFF"/>
            <w:noWrap/>
            <w:vAlign w:val="center"/>
          </w:tcPr>
          <w:p w14:paraId="28FBE0CB" w14:textId="77777777" w:rsidR="005A774C" w:rsidRPr="008C7C15" w:rsidRDefault="005A774C" w:rsidP="002A3038">
            <w:pPr>
              <w:spacing w:after="0" w:line="240" w:lineRule="auto"/>
              <w:jc w:val="center"/>
              <w:rPr>
                <w:rFonts w:ascii="Arial" w:eastAsia="Arial" w:hAnsi="Arial" w:cs="Arial"/>
                <w:b/>
                <w:bCs/>
                <w:color w:val="000000"/>
                <w:sz w:val="20"/>
                <w:szCs w:val="20"/>
              </w:rPr>
            </w:pPr>
            <w:r>
              <w:rPr>
                <w:rFonts w:ascii="Arial" w:hAnsi="Arial"/>
                <w:b/>
                <w:bCs/>
                <w:color w:val="000000"/>
                <w:sz w:val="20"/>
                <w:szCs w:val="20"/>
              </w:rPr>
              <w:t>السنة المالية 2018</w:t>
            </w:r>
          </w:p>
        </w:tc>
      </w:tr>
      <w:tr w:rsidR="005A774C" w:rsidRPr="008C7C15" w14:paraId="6726DA6F" w14:textId="77777777" w:rsidTr="002A3038">
        <w:trPr>
          <w:trHeight w:val="396"/>
        </w:trPr>
        <w:tc>
          <w:tcPr>
            <w:tcW w:w="4930" w:type="dxa"/>
            <w:shd w:val="clear" w:color="auto" w:fill="FFFFFF"/>
            <w:noWrap/>
            <w:vAlign w:val="bottom"/>
          </w:tcPr>
          <w:p w14:paraId="240EED46" w14:textId="77777777" w:rsidR="005A774C" w:rsidRPr="008C7C15" w:rsidRDefault="005A774C" w:rsidP="002A3038">
            <w:pPr>
              <w:spacing w:after="0" w:line="240" w:lineRule="auto"/>
              <w:rPr>
                <w:rFonts w:ascii="Arial" w:eastAsia="Arial" w:hAnsi="Arial" w:cs="Arial"/>
                <w:b/>
                <w:bCs/>
                <w:color w:val="000000"/>
                <w:sz w:val="20"/>
                <w:szCs w:val="20"/>
              </w:rPr>
            </w:pPr>
            <w:r>
              <w:rPr>
                <w:rFonts w:ascii="Arial" w:hAnsi="Arial"/>
                <w:b/>
                <w:bCs/>
                <w:color w:val="000000"/>
                <w:sz w:val="20"/>
                <w:szCs w:val="20"/>
              </w:rPr>
              <w:t>تقييم الحافظة</w:t>
            </w:r>
          </w:p>
        </w:tc>
        <w:tc>
          <w:tcPr>
            <w:tcW w:w="876" w:type="dxa"/>
            <w:shd w:val="clear" w:color="auto" w:fill="FFFFFF"/>
            <w:noWrap/>
            <w:vAlign w:val="center"/>
          </w:tcPr>
          <w:p w14:paraId="6BB16E51"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428" w:type="dxa"/>
            <w:shd w:val="clear" w:color="auto" w:fill="FFFFFF"/>
            <w:noWrap/>
            <w:vAlign w:val="center"/>
          </w:tcPr>
          <w:p w14:paraId="10E21C1B"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960" w:type="dxa"/>
            <w:shd w:val="clear" w:color="auto" w:fill="FFFFFF"/>
            <w:noWrap/>
            <w:vAlign w:val="center"/>
          </w:tcPr>
          <w:p w14:paraId="4D5CE2E4"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166" w:type="dxa"/>
            <w:gridSpan w:val="2"/>
            <w:shd w:val="clear" w:color="auto" w:fill="FFFFFF"/>
            <w:noWrap/>
            <w:vAlign w:val="center"/>
          </w:tcPr>
          <w:p w14:paraId="7F792FAC"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3F28CEA0" w14:textId="77777777" w:rsidTr="002A3038">
        <w:trPr>
          <w:trHeight w:val="396"/>
        </w:trPr>
        <w:tc>
          <w:tcPr>
            <w:tcW w:w="4930" w:type="dxa"/>
            <w:shd w:val="clear" w:color="auto" w:fill="FFFFFF"/>
            <w:noWrap/>
            <w:vAlign w:val="bottom"/>
          </w:tcPr>
          <w:p w14:paraId="5896C564"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 xml:space="preserve">عدد المشروعات قيد التنفيذ </w:t>
            </w:r>
            <w:r>
              <w:rPr>
                <w:rFonts w:ascii="Arial" w:hAnsi="Arial"/>
                <w:color w:val="000000"/>
                <w:sz w:val="20"/>
                <w:szCs w:val="20"/>
                <w:vertAlign w:val="superscript"/>
              </w:rPr>
              <w:t>أ</w:t>
            </w:r>
          </w:p>
        </w:tc>
        <w:tc>
          <w:tcPr>
            <w:tcW w:w="876" w:type="dxa"/>
            <w:shd w:val="clear" w:color="auto" w:fill="FFFFFF"/>
            <w:noWrap/>
            <w:vAlign w:val="bottom"/>
          </w:tcPr>
          <w:p w14:paraId="2B1F6AD7"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17.0</w:t>
            </w:r>
          </w:p>
        </w:tc>
        <w:tc>
          <w:tcPr>
            <w:tcW w:w="1428" w:type="dxa"/>
            <w:shd w:val="clear" w:color="auto" w:fill="FFFFFF"/>
            <w:noWrap/>
            <w:vAlign w:val="bottom"/>
          </w:tcPr>
          <w:p w14:paraId="6F5287F4"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14.0</w:t>
            </w:r>
          </w:p>
        </w:tc>
        <w:tc>
          <w:tcPr>
            <w:tcW w:w="960" w:type="dxa"/>
            <w:shd w:val="clear" w:color="auto" w:fill="FFFFFF"/>
            <w:noWrap/>
            <w:vAlign w:val="bottom"/>
          </w:tcPr>
          <w:p w14:paraId="4C369147"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14.0</w:t>
            </w:r>
          </w:p>
        </w:tc>
        <w:tc>
          <w:tcPr>
            <w:tcW w:w="1166" w:type="dxa"/>
            <w:gridSpan w:val="2"/>
            <w:shd w:val="clear" w:color="auto" w:fill="FFFFFF"/>
            <w:noWrap/>
            <w:vAlign w:val="bottom"/>
          </w:tcPr>
          <w:p w14:paraId="64703186"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18.0</w:t>
            </w:r>
          </w:p>
        </w:tc>
      </w:tr>
      <w:tr w:rsidR="005A774C" w:rsidRPr="008C7C15" w14:paraId="70F38F5C" w14:textId="77777777" w:rsidTr="002A3038">
        <w:trPr>
          <w:trHeight w:val="396"/>
        </w:trPr>
        <w:tc>
          <w:tcPr>
            <w:tcW w:w="4930" w:type="dxa"/>
            <w:shd w:val="clear" w:color="auto" w:fill="FFFFFF"/>
            <w:noWrap/>
            <w:vAlign w:val="bottom"/>
          </w:tcPr>
          <w:p w14:paraId="1B8BAE03"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 xml:space="preserve">متوسط مدة التنفيذ (السنوات) </w:t>
            </w:r>
            <w:r>
              <w:rPr>
                <w:rFonts w:ascii="Arial" w:hAnsi="Arial"/>
                <w:color w:val="000000"/>
                <w:sz w:val="20"/>
                <w:szCs w:val="20"/>
                <w:vertAlign w:val="superscript"/>
              </w:rPr>
              <w:t>ب</w:t>
            </w:r>
          </w:p>
        </w:tc>
        <w:tc>
          <w:tcPr>
            <w:tcW w:w="876" w:type="dxa"/>
            <w:shd w:val="clear" w:color="auto" w:fill="FFFFFF"/>
            <w:noWrap/>
            <w:vAlign w:val="bottom"/>
          </w:tcPr>
          <w:p w14:paraId="589F736B"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3.9</w:t>
            </w:r>
          </w:p>
        </w:tc>
        <w:tc>
          <w:tcPr>
            <w:tcW w:w="1428" w:type="dxa"/>
            <w:shd w:val="clear" w:color="auto" w:fill="FFFFFF"/>
            <w:noWrap/>
            <w:vAlign w:val="bottom"/>
          </w:tcPr>
          <w:p w14:paraId="781BB0E6"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4.1</w:t>
            </w:r>
          </w:p>
        </w:tc>
        <w:tc>
          <w:tcPr>
            <w:tcW w:w="960" w:type="dxa"/>
            <w:shd w:val="clear" w:color="auto" w:fill="FFFFFF"/>
            <w:noWrap/>
            <w:vAlign w:val="bottom"/>
          </w:tcPr>
          <w:p w14:paraId="595E705F"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4.5</w:t>
            </w:r>
          </w:p>
        </w:tc>
        <w:tc>
          <w:tcPr>
            <w:tcW w:w="1166" w:type="dxa"/>
            <w:gridSpan w:val="2"/>
            <w:shd w:val="clear" w:color="auto" w:fill="FFFFFF"/>
            <w:noWrap/>
            <w:vAlign w:val="bottom"/>
          </w:tcPr>
          <w:p w14:paraId="1709E06E"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3.8</w:t>
            </w:r>
          </w:p>
        </w:tc>
      </w:tr>
      <w:tr w:rsidR="005A774C" w:rsidRPr="008C7C15" w14:paraId="68E32165" w14:textId="77777777" w:rsidTr="002A3038">
        <w:trPr>
          <w:trHeight w:val="396"/>
        </w:trPr>
        <w:tc>
          <w:tcPr>
            <w:tcW w:w="4930" w:type="dxa"/>
            <w:shd w:val="clear" w:color="auto" w:fill="FFFFFF"/>
            <w:noWrap/>
            <w:vAlign w:val="bottom"/>
          </w:tcPr>
          <w:p w14:paraId="4ACFAD7D"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 xml:space="preserve">نسبة المشروعات التي تعاني من مشاكل حسب العدد </w:t>
            </w:r>
            <w:r>
              <w:rPr>
                <w:rFonts w:ascii="Arial" w:hAnsi="Arial"/>
                <w:color w:val="000000"/>
                <w:sz w:val="20"/>
                <w:szCs w:val="20"/>
                <w:vertAlign w:val="superscript"/>
              </w:rPr>
              <w:t>أ</w:t>
            </w:r>
            <w:r w:rsidR="009B1243">
              <w:rPr>
                <w:rFonts w:ascii="Arial" w:eastAsia="Arial" w:hAnsi="Arial" w:cs="Arial" w:hint="cs"/>
                <w:color w:val="000000"/>
                <w:sz w:val="20"/>
                <w:szCs w:val="20"/>
              </w:rPr>
              <w:t>، ج</w:t>
            </w:r>
          </w:p>
        </w:tc>
        <w:tc>
          <w:tcPr>
            <w:tcW w:w="876" w:type="dxa"/>
            <w:shd w:val="clear" w:color="auto" w:fill="FFFFFF"/>
            <w:noWrap/>
            <w:vAlign w:val="bottom"/>
          </w:tcPr>
          <w:p w14:paraId="1C3F7200"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17.6</w:t>
            </w:r>
          </w:p>
        </w:tc>
        <w:tc>
          <w:tcPr>
            <w:tcW w:w="1428" w:type="dxa"/>
            <w:shd w:val="clear" w:color="auto" w:fill="FFFFFF"/>
            <w:noWrap/>
            <w:vAlign w:val="bottom"/>
          </w:tcPr>
          <w:p w14:paraId="49051875"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7.1</w:t>
            </w:r>
          </w:p>
        </w:tc>
        <w:tc>
          <w:tcPr>
            <w:tcW w:w="960" w:type="dxa"/>
            <w:shd w:val="clear" w:color="auto" w:fill="FFFFFF"/>
            <w:noWrap/>
            <w:vAlign w:val="bottom"/>
          </w:tcPr>
          <w:p w14:paraId="63880BA8"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21.4</w:t>
            </w:r>
          </w:p>
        </w:tc>
        <w:tc>
          <w:tcPr>
            <w:tcW w:w="1166" w:type="dxa"/>
            <w:gridSpan w:val="2"/>
            <w:shd w:val="clear" w:color="auto" w:fill="FFFFFF"/>
            <w:noWrap/>
            <w:vAlign w:val="bottom"/>
          </w:tcPr>
          <w:p w14:paraId="75340CFC"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16.7</w:t>
            </w:r>
          </w:p>
        </w:tc>
      </w:tr>
      <w:tr w:rsidR="005A774C" w:rsidRPr="008C7C15" w14:paraId="4EBBE84D" w14:textId="77777777" w:rsidTr="002A3038">
        <w:trPr>
          <w:trHeight w:val="396"/>
        </w:trPr>
        <w:tc>
          <w:tcPr>
            <w:tcW w:w="4930" w:type="dxa"/>
            <w:shd w:val="clear" w:color="auto" w:fill="FFFFFF"/>
            <w:noWrap/>
            <w:vAlign w:val="bottom"/>
          </w:tcPr>
          <w:p w14:paraId="6C8517A6"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 xml:space="preserve">نسبة المشروعات التي تعاني من مشاكل حسب العدد </w:t>
            </w:r>
            <w:r>
              <w:rPr>
                <w:rFonts w:ascii="Arial" w:hAnsi="Arial"/>
                <w:color w:val="000000"/>
                <w:sz w:val="20"/>
                <w:szCs w:val="20"/>
                <w:vertAlign w:val="superscript"/>
              </w:rPr>
              <w:t>أ</w:t>
            </w:r>
            <w:r w:rsidR="009B1243">
              <w:rPr>
                <w:rFonts w:ascii="Arial" w:eastAsia="Arial" w:hAnsi="Arial" w:cs="Arial" w:hint="cs"/>
                <w:color w:val="000000"/>
                <w:sz w:val="20"/>
                <w:szCs w:val="20"/>
              </w:rPr>
              <w:t>، ج</w:t>
            </w:r>
          </w:p>
        </w:tc>
        <w:tc>
          <w:tcPr>
            <w:tcW w:w="876" w:type="dxa"/>
            <w:shd w:val="clear" w:color="auto" w:fill="FFFFFF"/>
            <w:noWrap/>
            <w:vAlign w:val="bottom"/>
          </w:tcPr>
          <w:p w14:paraId="48E93417"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18.9</w:t>
            </w:r>
          </w:p>
        </w:tc>
        <w:tc>
          <w:tcPr>
            <w:tcW w:w="1428" w:type="dxa"/>
            <w:shd w:val="clear" w:color="auto" w:fill="FFFFFF"/>
            <w:noWrap/>
            <w:vAlign w:val="bottom"/>
          </w:tcPr>
          <w:p w14:paraId="358028B4"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17.3</w:t>
            </w:r>
          </w:p>
        </w:tc>
        <w:tc>
          <w:tcPr>
            <w:tcW w:w="960" w:type="dxa"/>
            <w:shd w:val="clear" w:color="auto" w:fill="FFFFFF"/>
            <w:noWrap/>
            <w:vAlign w:val="bottom"/>
          </w:tcPr>
          <w:p w14:paraId="10A64CC6"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8.7</w:t>
            </w:r>
          </w:p>
        </w:tc>
        <w:tc>
          <w:tcPr>
            <w:tcW w:w="1166" w:type="dxa"/>
            <w:gridSpan w:val="2"/>
            <w:shd w:val="clear" w:color="auto" w:fill="FFFFFF"/>
            <w:noWrap/>
            <w:vAlign w:val="bottom"/>
          </w:tcPr>
          <w:p w14:paraId="56DBF110"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12.3</w:t>
            </w:r>
          </w:p>
        </w:tc>
      </w:tr>
      <w:tr w:rsidR="005A774C" w:rsidRPr="008C7C15" w14:paraId="421DAD8D" w14:textId="77777777" w:rsidTr="002A3038">
        <w:trPr>
          <w:trHeight w:val="396"/>
        </w:trPr>
        <w:tc>
          <w:tcPr>
            <w:tcW w:w="4930" w:type="dxa"/>
            <w:shd w:val="clear" w:color="auto" w:fill="FFFFFF"/>
            <w:noWrap/>
            <w:vAlign w:val="bottom"/>
          </w:tcPr>
          <w:p w14:paraId="19CBA49F"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نسبة المشروعات التي تواجه مخاطر حسب العدد أ</w:t>
            </w:r>
            <w:r w:rsidR="009B1243">
              <w:rPr>
                <w:rFonts w:ascii="Arial" w:eastAsia="Arial" w:hAnsi="Arial" w:cs="Arial" w:hint="cs"/>
                <w:color w:val="000000"/>
                <w:sz w:val="20"/>
                <w:szCs w:val="20"/>
              </w:rPr>
              <w:t>، د</w:t>
            </w:r>
          </w:p>
        </w:tc>
        <w:tc>
          <w:tcPr>
            <w:tcW w:w="876" w:type="dxa"/>
            <w:shd w:val="clear" w:color="auto" w:fill="FFFFFF"/>
            <w:noWrap/>
            <w:vAlign w:val="bottom"/>
          </w:tcPr>
          <w:p w14:paraId="347728A7"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17.6</w:t>
            </w:r>
          </w:p>
        </w:tc>
        <w:tc>
          <w:tcPr>
            <w:tcW w:w="1428" w:type="dxa"/>
            <w:shd w:val="clear" w:color="auto" w:fill="FFFFFF"/>
            <w:noWrap/>
            <w:vAlign w:val="bottom"/>
          </w:tcPr>
          <w:p w14:paraId="5A5F4DAE"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35.7</w:t>
            </w:r>
          </w:p>
        </w:tc>
        <w:tc>
          <w:tcPr>
            <w:tcW w:w="960" w:type="dxa"/>
            <w:shd w:val="clear" w:color="auto" w:fill="FFFFFF"/>
            <w:noWrap/>
            <w:vAlign w:val="bottom"/>
          </w:tcPr>
          <w:p w14:paraId="15340333"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42.9</w:t>
            </w:r>
          </w:p>
        </w:tc>
        <w:tc>
          <w:tcPr>
            <w:tcW w:w="1166" w:type="dxa"/>
            <w:gridSpan w:val="2"/>
            <w:shd w:val="clear" w:color="auto" w:fill="FFFFFF"/>
            <w:noWrap/>
            <w:vAlign w:val="bottom"/>
          </w:tcPr>
          <w:p w14:paraId="076B8017"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33.3</w:t>
            </w:r>
          </w:p>
        </w:tc>
      </w:tr>
      <w:tr w:rsidR="005A774C" w:rsidRPr="008C7C15" w14:paraId="207799F5" w14:textId="77777777" w:rsidTr="002A3038">
        <w:trPr>
          <w:trHeight w:val="396"/>
        </w:trPr>
        <w:tc>
          <w:tcPr>
            <w:tcW w:w="4930" w:type="dxa"/>
            <w:shd w:val="clear" w:color="auto" w:fill="FFFFFF"/>
            <w:noWrap/>
            <w:vAlign w:val="bottom"/>
          </w:tcPr>
          <w:p w14:paraId="0797C0BC"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نسبة المشروعات التي تواجه مخاطر حسب المبلغ أ</w:t>
            </w:r>
            <w:r w:rsidR="009B1243">
              <w:rPr>
                <w:rFonts w:ascii="Arial" w:eastAsia="Arial" w:hAnsi="Arial" w:cs="Arial" w:hint="cs"/>
                <w:color w:val="000000"/>
                <w:sz w:val="20"/>
                <w:szCs w:val="20"/>
              </w:rPr>
              <w:t>، د</w:t>
            </w:r>
          </w:p>
        </w:tc>
        <w:tc>
          <w:tcPr>
            <w:tcW w:w="876" w:type="dxa"/>
            <w:shd w:val="clear" w:color="auto" w:fill="FFFFFF"/>
            <w:noWrap/>
            <w:vAlign w:val="bottom"/>
          </w:tcPr>
          <w:p w14:paraId="63C99CD9"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18.9</w:t>
            </w:r>
          </w:p>
        </w:tc>
        <w:tc>
          <w:tcPr>
            <w:tcW w:w="1428" w:type="dxa"/>
            <w:shd w:val="clear" w:color="auto" w:fill="FFFFFF"/>
            <w:noWrap/>
            <w:vAlign w:val="bottom"/>
          </w:tcPr>
          <w:p w14:paraId="489325A5"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46.4</w:t>
            </w:r>
          </w:p>
        </w:tc>
        <w:tc>
          <w:tcPr>
            <w:tcW w:w="960" w:type="dxa"/>
            <w:shd w:val="clear" w:color="auto" w:fill="FFFFFF"/>
            <w:noWrap/>
            <w:vAlign w:val="bottom"/>
          </w:tcPr>
          <w:p w14:paraId="50180B99"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29.8</w:t>
            </w:r>
          </w:p>
        </w:tc>
        <w:tc>
          <w:tcPr>
            <w:tcW w:w="1166" w:type="dxa"/>
            <w:gridSpan w:val="2"/>
            <w:shd w:val="clear" w:color="auto" w:fill="FFFFFF"/>
            <w:noWrap/>
            <w:vAlign w:val="bottom"/>
          </w:tcPr>
          <w:p w14:paraId="4581D28F"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31.2</w:t>
            </w:r>
          </w:p>
        </w:tc>
      </w:tr>
      <w:tr w:rsidR="005A774C" w:rsidRPr="008C7C15" w14:paraId="1BBC35CF" w14:textId="77777777" w:rsidTr="002A3038">
        <w:trPr>
          <w:trHeight w:val="396"/>
        </w:trPr>
        <w:tc>
          <w:tcPr>
            <w:tcW w:w="4930" w:type="dxa"/>
            <w:shd w:val="clear" w:color="auto" w:fill="FFFFFF"/>
            <w:noWrap/>
            <w:vAlign w:val="bottom"/>
          </w:tcPr>
          <w:p w14:paraId="275A15F6"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نسبة المنصرف في السنة المالية (%)</w:t>
            </w:r>
            <w:r w:rsidR="009B1243">
              <w:rPr>
                <w:rFonts w:ascii="Arial" w:eastAsia="Arial" w:hAnsi="Arial" w:cs="Arial" w:hint="cs"/>
                <w:color w:val="000000"/>
                <w:sz w:val="20"/>
                <w:szCs w:val="20"/>
              </w:rPr>
              <w:t xml:space="preserve"> ج</w:t>
            </w:r>
          </w:p>
        </w:tc>
        <w:tc>
          <w:tcPr>
            <w:tcW w:w="876" w:type="dxa"/>
            <w:shd w:val="clear" w:color="auto" w:fill="FFFFFF"/>
            <w:noWrap/>
            <w:vAlign w:val="bottom"/>
          </w:tcPr>
          <w:p w14:paraId="46093C8F"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29.8</w:t>
            </w:r>
          </w:p>
        </w:tc>
        <w:tc>
          <w:tcPr>
            <w:tcW w:w="1428" w:type="dxa"/>
            <w:shd w:val="clear" w:color="auto" w:fill="FFFFFF"/>
            <w:noWrap/>
            <w:vAlign w:val="bottom"/>
          </w:tcPr>
          <w:p w14:paraId="6B650AA5"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26.2</w:t>
            </w:r>
          </w:p>
        </w:tc>
        <w:tc>
          <w:tcPr>
            <w:tcW w:w="960" w:type="dxa"/>
            <w:shd w:val="clear" w:color="auto" w:fill="FFFFFF"/>
            <w:noWrap/>
            <w:vAlign w:val="bottom"/>
          </w:tcPr>
          <w:p w14:paraId="1E564DD6"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33.6</w:t>
            </w:r>
          </w:p>
        </w:tc>
        <w:tc>
          <w:tcPr>
            <w:tcW w:w="1166" w:type="dxa"/>
            <w:gridSpan w:val="2"/>
            <w:shd w:val="clear" w:color="auto" w:fill="FFFFFF"/>
            <w:noWrap/>
            <w:vAlign w:val="bottom"/>
          </w:tcPr>
          <w:p w14:paraId="6FF4C1D0"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14.8</w:t>
            </w:r>
          </w:p>
        </w:tc>
      </w:tr>
      <w:tr w:rsidR="005A774C" w:rsidRPr="008C7C15" w14:paraId="4774021F" w14:textId="77777777" w:rsidTr="002A3038">
        <w:trPr>
          <w:trHeight w:val="396"/>
        </w:trPr>
        <w:tc>
          <w:tcPr>
            <w:tcW w:w="4930" w:type="dxa"/>
            <w:shd w:val="clear" w:color="auto" w:fill="FFFFFF"/>
            <w:noWrap/>
            <w:vAlign w:val="bottom"/>
          </w:tcPr>
          <w:p w14:paraId="1E6919BF" w14:textId="77777777" w:rsidR="005A774C" w:rsidRPr="008C7C15" w:rsidRDefault="005A774C" w:rsidP="002A3038">
            <w:pPr>
              <w:spacing w:after="0" w:line="240" w:lineRule="auto"/>
              <w:rPr>
                <w:rFonts w:ascii="Arial" w:eastAsia="Arial" w:hAnsi="Arial" w:cs="Arial"/>
                <w:b/>
                <w:bCs/>
                <w:color w:val="000000"/>
                <w:sz w:val="20"/>
                <w:szCs w:val="20"/>
              </w:rPr>
            </w:pPr>
            <w:r>
              <w:rPr>
                <w:rFonts w:ascii="Arial" w:hAnsi="Arial"/>
                <w:b/>
                <w:bCs/>
                <w:color w:val="000000"/>
                <w:sz w:val="20"/>
                <w:szCs w:val="20"/>
              </w:rPr>
              <w:t>إدارة حافظة المشاريع</w:t>
            </w:r>
          </w:p>
        </w:tc>
        <w:tc>
          <w:tcPr>
            <w:tcW w:w="876" w:type="dxa"/>
            <w:shd w:val="clear" w:color="auto" w:fill="FFFFFF"/>
            <w:noWrap/>
            <w:vAlign w:val="center"/>
          </w:tcPr>
          <w:p w14:paraId="410D7C2B"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428" w:type="dxa"/>
            <w:shd w:val="clear" w:color="auto" w:fill="FFFFFF"/>
            <w:noWrap/>
            <w:vAlign w:val="center"/>
          </w:tcPr>
          <w:p w14:paraId="3D6157E9"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960" w:type="dxa"/>
            <w:shd w:val="clear" w:color="auto" w:fill="FFFFFF"/>
            <w:noWrap/>
            <w:vAlign w:val="center"/>
          </w:tcPr>
          <w:p w14:paraId="5A765AC3"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166" w:type="dxa"/>
            <w:gridSpan w:val="2"/>
            <w:shd w:val="clear" w:color="auto" w:fill="FFFFFF"/>
            <w:noWrap/>
            <w:vAlign w:val="center"/>
          </w:tcPr>
          <w:p w14:paraId="0984D1DF"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6A4CE425" w14:textId="77777777" w:rsidTr="002A3038">
        <w:trPr>
          <w:trHeight w:val="396"/>
        </w:trPr>
        <w:tc>
          <w:tcPr>
            <w:tcW w:w="4930" w:type="dxa"/>
            <w:shd w:val="clear" w:color="auto" w:fill="FFFFFF"/>
            <w:noWrap/>
            <w:vAlign w:val="bottom"/>
          </w:tcPr>
          <w:p w14:paraId="48823C3F"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استعراض أداء الحافظة للبلد المعني خلال السنة (نعم/لا)</w:t>
            </w:r>
          </w:p>
        </w:tc>
        <w:tc>
          <w:tcPr>
            <w:tcW w:w="876" w:type="dxa"/>
            <w:shd w:val="clear" w:color="auto" w:fill="FFFFFF"/>
            <w:noWrap/>
            <w:vAlign w:val="center"/>
          </w:tcPr>
          <w:p w14:paraId="474E26AF" w14:textId="77777777" w:rsidR="005A774C" w:rsidRPr="008C7C15" w:rsidRDefault="005A774C" w:rsidP="002A3038">
            <w:pPr>
              <w:spacing w:after="0" w:line="240" w:lineRule="auto"/>
              <w:jc w:val="center"/>
              <w:rPr>
                <w:rFonts w:ascii="Arial" w:eastAsia="Arial" w:hAnsi="Arial" w:cs="Arial"/>
                <w:color w:val="333333"/>
                <w:sz w:val="20"/>
                <w:szCs w:val="20"/>
              </w:rPr>
            </w:pPr>
            <w:r>
              <w:rPr>
                <w:rFonts w:ascii="Arial" w:hAnsi="Arial"/>
                <w:color w:val="333333"/>
                <w:sz w:val="20"/>
                <w:szCs w:val="20"/>
              </w:rPr>
              <w:t>نعم</w:t>
            </w:r>
          </w:p>
        </w:tc>
        <w:tc>
          <w:tcPr>
            <w:tcW w:w="1428" w:type="dxa"/>
            <w:shd w:val="clear" w:color="auto" w:fill="FFFFFF"/>
            <w:noWrap/>
            <w:vAlign w:val="center"/>
          </w:tcPr>
          <w:p w14:paraId="1C2EF3B3" w14:textId="77777777" w:rsidR="005A774C" w:rsidRPr="008C7C15" w:rsidRDefault="005A774C" w:rsidP="002A3038">
            <w:pPr>
              <w:spacing w:after="0" w:line="240" w:lineRule="auto"/>
              <w:jc w:val="center"/>
              <w:rPr>
                <w:rFonts w:ascii="Arial" w:eastAsia="Arial" w:hAnsi="Arial" w:cs="Arial"/>
                <w:color w:val="333333"/>
                <w:sz w:val="20"/>
                <w:szCs w:val="20"/>
              </w:rPr>
            </w:pPr>
            <w:r>
              <w:rPr>
                <w:rFonts w:ascii="Arial" w:hAnsi="Arial"/>
                <w:color w:val="333333"/>
                <w:sz w:val="20"/>
                <w:szCs w:val="20"/>
              </w:rPr>
              <w:t>نعم</w:t>
            </w:r>
          </w:p>
        </w:tc>
        <w:tc>
          <w:tcPr>
            <w:tcW w:w="960" w:type="dxa"/>
            <w:shd w:val="clear" w:color="auto" w:fill="FFFFFF"/>
            <w:noWrap/>
            <w:vAlign w:val="center"/>
          </w:tcPr>
          <w:p w14:paraId="5047D1A0" w14:textId="77777777" w:rsidR="005A774C" w:rsidRPr="008C7C15" w:rsidRDefault="005A774C" w:rsidP="002A3038">
            <w:pPr>
              <w:spacing w:after="0" w:line="240" w:lineRule="auto"/>
              <w:jc w:val="center"/>
              <w:rPr>
                <w:rFonts w:ascii="Arial" w:eastAsia="Arial" w:hAnsi="Arial" w:cs="Arial"/>
                <w:color w:val="333333"/>
                <w:sz w:val="20"/>
                <w:szCs w:val="20"/>
              </w:rPr>
            </w:pPr>
            <w:r>
              <w:rPr>
                <w:rFonts w:ascii="Arial" w:hAnsi="Arial"/>
                <w:color w:val="333333"/>
                <w:sz w:val="20"/>
                <w:szCs w:val="20"/>
              </w:rPr>
              <w:t>نعم</w:t>
            </w:r>
          </w:p>
        </w:tc>
        <w:tc>
          <w:tcPr>
            <w:tcW w:w="1166" w:type="dxa"/>
            <w:gridSpan w:val="2"/>
            <w:shd w:val="clear" w:color="auto" w:fill="FFFFFF"/>
            <w:noWrap/>
            <w:vAlign w:val="center"/>
          </w:tcPr>
          <w:p w14:paraId="6E41B86B" w14:textId="77777777" w:rsidR="005A774C" w:rsidRPr="008C7C15" w:rsidRDefault="005A774C" w:rsidP="002A3038">
            <w:pPr>
              <w:spacing w:after="0" w:line="240" w:lineRule="auto"/>
              <w:jc w:val="center"/>
              <w:rPr>
                <w:rFonts w:ascii="Arial" w:eastAsia="Arial" w:hAnsi="Arial" w:cs="Arial"/>
                <w:color w:val="333333"/>
                <w:sz w:val="20"/>
                <w:szCs w:val="20"/>
              </w:rPr>
            </w:pPr>
            <w:r>
              <w:rPr>
                <w:rFonts w:ascii="Arial" w:hAnsi="Arial"/>
                <w:color w:val="333333"/>
                <w:sz w:val="20"/>
                <w:szCs w:val="20"/>
              </w:rPr>
              <w:t>نعم</w:t>
            </w:r>
          </w:p>
        </w:tc>
      </w:tr>
      <w:tr w:rsidR="005A774C" w:rsidRPr="008C7C15" w14:paraId="4D66396F" w14:textId="77777777" w:rsidTr="002A3038">
        <w:trPr>
          <w:trHeight w:val="396"/>
        </w:trPr>
        <w:tc>
          <w:tcPr>
            <w:tcW w:w="4930" w:type="dxa"/>
            <w:shd w:val="clear" w:color="auto" w:fill="FFFFFF"/>
            <w:noWrap/>
            <w:vAlign w:val="bottom"/>
          </w:tcPr>
          <w:p w14:paraId="22D94246"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موارد الإشراف (الإجمالي بالدولار الأمريكي)</w:t>
            </w:r>
          </w:p>
        </w:tc>
        <w:tc>
          <w:tcPr>
            <w:tcW w:w="876" w:type="dxa"/>
            <w:shd w:val="clear" w:color="auto" w:fill="FFFFFF"/>
            <w:noWrap/>
            <w:vAlign w:val="center"/>
          </w:tcPr>
          <w:p w14:paraId="03D04150"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428" w:type="dxa"/>
            <w:shd w:val="clear" w:color="auto" w:fill="FFFFFF"/>
            <w:noWrap/>
            <w:vAlign w:val="center"/>
          </w:tcPr>
          <w:p w14:paraId="67665148"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960" w:type="dxa"/>
            <w:shd w:val="clear" w:color="auto" w:fill="FFFFFF"/>
            <w:noWrap/>
            <w:vAlign w:val="center"/>
          </w:tcPr>
          <w:p w14:paraId="5B493256"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166" w:type="dxa"/>
            <w:gridSpan w:val="2"/>
            <w:shd w:val="clear" w:color="auto" w:fill="FFFFFF"/>
            <w:noWrap/>
            <w:vAlign w:val="center"/>
          </w:tcPr>
          <w:p w14:paraId="221CFEC3"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207810E8" w14:textId="77777777" w:rsidTr="002A3038">
        <w:trPr>
          <w:trHeight w:val="396"/>
        </w:trPr>
        <w:tc>
          <w:tcPr>
            <w:tcW w:w="4930" w:type="dxa"/>
            <w:shd w:val="clear" w:color="auto" w:fill="FFFFFF"/>
            <w:noWrap/>
            <w:vAlign w:val="bottom"/>
          </w:tcPr>
          <w:p w14:paraId="65B632CF"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متوسط موارد الإشراف (دولار أمريكي/المشروع)</w:t>
            </w:r>
          </w:p>
        </w:tc>
        <w:tc>
          <w:tcPr>
            <w:tcW w:w="876" w:type="dxa"/>
            <w:shd w:val="clear" w:color="auto" w:fill="FFFFFF"/>
            <w:noWrap/>
            <w:vAlign w:val="center"/>
          </w:tcPr>
          <w:p w14:paraId="19C82716"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428" w:type="dxa"/>
            <w:shd w:val="clear" w:color="auto" w:fill="FFFFFF"/>
            <w:noWrap/>
            <w:vAlign w:val="center"/>
          </w:tcPr>
          <w:p w14:paraId="2E904272"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960" w:type="dxa"/>
            <w:shd w:val="clear" w:color="auto" w:fill="FFFFFF"/>
            <w:noWrap/>
            <w:vAlign w:val="center"/>
          </w:tcPr>
          <w:p w14:paraId="6F51E5E1"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166" w:type="dxa"/>
            <w:gridSpan w:val="2"/>
            <w:shd w:val="clear" w:color="auto" w:fill="FFFFFF"/>
            <w:noWrap/>
            <w:vAlign w:val="center"/>
          </w:tcPr>
          <w:p w14:paraId="33ECDA1B"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18938CF2" w14:textId="77777777" w:rsidTr="002A3038">
        <w:trPr>
          <w:trHeight w:val="567"/>
        </w:trPr>
        <w:tc>
          <w:tcPr>
            <w:tcW w:w="4930" w:type="dxa"/>
            <w:shd w:val="clear" w:color="auto" w:fill="FFFFFF"/>
            <w:noWrap/>
            <w:vAlign w:val="bottom"/>
          </w:tcPr>
          <w:p w14:paraId="392D589E"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876" w:type="dxa"/>
            <w:shd w:val="clear" w:color="auto" w:fill="FFFFFF"/>
            <w:noWrap/>
            <w:vAlign w:val="bottom"/>
          </w:tcPr>
          <w:p w14:paraId="1BAD720D"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428" w:type="dxa"/>
            <w:shd w:val="clear" w:color="auto" w:fill="FFFFFF"/>
            <w:noWrap/>
            <w:vAlign w:val="bottom"/>
          </w:tcPr>
          <w:p w14:paraId="67FD2F97"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960" w:type="dxa"/>
            <w:shd w:val="clear" w:color="auto" w:fill="FFFFFF"/>
            <w:noWrap/>
            <w:vAlign w:val="bottom"/>
          </w:tcPr>
          <w:p w14:paraId="7717B002"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850" w:type="dxa"/>
            <w:shd w:val="clear" w:color="auto" w:fill="FFFFFF"/>
            <w:noWrap/>
            <w:vAlign w:val="bottom"/>
          </w:tcPr>
          <w:p w14:paraId="62C83C1A"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316" w:type="dxa"/>
            <w:shd w:val="clear" w:color="auto" w:fill="FFFFFF"/>
            <w:noWrap/>
            <w:vAlign w:val="bottom"/>
          </w:tcPr>
          <w:p w14:paraId="36B6A98E"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1A8110A6" w14:textId="77777777" w:rsidTr="002A3038">
        <w:trPr>
          <w:trHeight w:val="390"/>
        </w:trPr>
        <w:tc>
          <w:tcPr>
            <w:tcW w:w="5806" w:type="dxa"/>
            <w:gridSpan w:val="2"/>
            <w:shd w:val="clear" w:color="auto" w:fill="FFFFFF"/>
            <w:noWrap/>
            <w:vAlign w:val="bottom"/>
          </w:tcPr>
          <w:p w14:paraId="6F92EA04" w14:textId="77777777" w:rsidR="005A774C" w:rsidRPr="008C7C15" w:rsidRDefault="005A774C" w:rsidP="002A3038">
            <w:pPr>
              <w:spacing w:after="0" w:line="240" w:lineRule="auto"/>
              <w:rPr>
                <w:rFonts w:ascii="Arial" w:eastAsia="Arial" w:hAnsi="Arial" w:cs="Arial"/>
                <w:b/>
                <w:bCs/>
                <w:color w:val="000000"/>
                <w:sz w:val="20"/>
                <w:szCs w:val="20"/>
              </w:rPr>
            </w:pPr>
            <w:r>
              <w:rPr>
                <w:rFonts w:ascii="Arial" w:hAnsi="Arial"/>
                <w:b/>
                <w:bCs/>
                <w:color w:val="000000"/>
                <w:sz w:val="20"/>
                <w:szCs w:val="20"/>
              </w:rPr>
              <w:t>بند إيضاحي</w:t>
            </w:r>
          </w:p>
        </w:tc>
        <w:tc>
          <w:tcPr>
            <w:tcW w:w="1428" w:type="dxa"/>
            <w:shd w:val="clear" w:color="auto" w:fill="FFFFFF"/>
            <w:noWrap/>
            <w:vAlign w:val="center"/>
          </w:tcPr>
          <w:p w14:paraId="72288DF1" w14:textId="77777777" w:rsidR="005A774C" w:rsidRPr="008C7C15" w:rsidRDefault="005A774C" w:rsidP="002A3038">
            <w:pPr>
              <w:spacing w:after="0" w:line="240" w:lineRule="auto"/>
              <w:rPr>
                <w:rFonts w:ascii="Arial" w:eastAsia="Arial" w:hAnsi="Arial" w:cs="Arial"/>
                <w:b/>
                <w:bCs/>
                <w:color w:val="000000"/>
                <w:sz w:val="20"/>
                <w:szCs w:val="20"/>
              </w:rPr>
            </w:pPr>
            <w:r>
              <w:rPr>
                <w:rFonts w:ascii="Arial" w:hAnsi="Arial"/>
                <w:b/>
                <w:bCs/>
                <w:color w:val="000000"/>
                <w:sz w:val="20"/>
                <w:szCs w:val="20"/>
              </w:rPr>
              <w:t>منذ السنة المالية 1980</w:t>
            </w:r>
          </w:p>
        </w:tc>
        <w:tc>
          <w:tcPr>
            <w:tcW w:w="1810" w:type="dxa"/>
            <w:gridSpan w:val="2"/>
            <w:shd w:val="clear" w:color="auto" w:fill="FFFFFF"/>
            <w:noWrap/>
            <w:vAlign w:val="center"/>
          </w:tcPr>
          <w:p w14:paraId="18DA455F" w14:textId="77777777" w:rsidR="005A774C" w:rsidRPr="008C7C15" w:rsidRDefault="005A774C" w:rsidP="002A3038">
            <w:pPr>
              <w:spacing w:after="0" w:line="240" w:lineRule="auto"/>
              <w:rPr>
                <w:rFonts w:ascii="Arial" w:eastAsia="Arial" w:hAnsi="Arial" w:cs="Arial"/>
                <w:b/>
                <w:bCs/>
                <w:color w:val="000000"/>
                <w:sz w:val="20"/>
                <w:szCs w:val="20"/>
              </w:rPr>
            </w:pPr>
            <w:r>
              <w:rPr>
                <w:rFonts w:ascii="Arial" w:hAnsi="Arial"/>
                <w:b/>
                <w:bCs/>
                <w:color w:val="000000"/>
                <w:sz w:val="20"/>
                <w:szCs w:val="20"/>
              </w:rPr>
              <w:t>آخر خمس سنوات مالية</w:t>
            </w:r>
          </w:p>
        </w:tc>
        <w:tc>
          <w:tcPr>
            <w:tcW w:w="316" w:type="dxa"/>
            <w:shd w:val="clear" w:color="auto" w:fill="FFFFFF"/>
            <w:noWrap/>
            <w:vAlign w:val="bottom"/>
          </w:tcPr>
          <w:p w14:paraId="08A419DE"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02FEE43D" w14:textId="77777777" w:rsidTr="002A3038">
        <w:trPr>
          <w:trHeight w:val="396"/>
        </w:trPr>
        <w:tc>
          <w:tcPr>
            <w:tcW w:w="5806" w:type="dxa"/>
            <w:gridSpan w:val="2"/>
            <w:shd w:val="clear" w:color="auto" w:fill="FFFFFF"/>
            <w:noWrap/>
            <w:vAlign w:val="bottom"/>
          </w:tcPr>
          <w:p w14:paraId="64687037"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تقييم إدارة تقييم العمليات للمشروع حسب العدد</w:t>
            </w:r>
          </w:p>
        </w:tc>
        <w:tc>
          <w:tcPr>
            <w:tcW w:w="1428" w:type="dxa"/>
            <w:shd w:val="clear" w:color="auto" w:fill="FFFFFF"/>
            <w:noWrap/>
            <w:vAlign w:val="bottom"/>
          </w:tcPr>
          <w:p w14:paraId="15A5EBDD"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51</w:t>
            </w:r>
          </w:p>
        </w:tc>
        <w:tc>
          <w:tcPr>
            <w:tcW w:w="1810" w:type="dxa"/>
            <w:gridSpan w:val="2"/>
            <w:shd w:val="clear" w:color="auto" w:fill="FFFFFF"/>
            <w:noWrap/>
            <w:vAlign w:val="bottom"/>
          </w:tcPr>
          <w:p w14:paraId="195636C2"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9</w:t>
            </w:r>
          </w:p>
        </w:tc>
        <w:tc>
          <w:tcPr>
            <w:tcW w:w="316" w:type="dxa"/>
            <w:shd w:val="clear" w:color="auto" w:fill="FFFFFF"/>
            <w:noWrap/>
            <w:vAlign w:val="bottom"/>
          </w:tcPr>
          <w:p w14:paraId="1B7F702B"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491B7F7F" w14:textId="77777777" w:rsidTr="002A3038">
        <w:trPr>
          <w:trHeight w:val="396"/>
        </w:trPr>
        <w:tc>
          <w:tcPr>
            <w:tcW w:w="5806" w:type="dxa"/>
            <w:gridSpan w:val="2"/>
            <w:shd w:val="clear" w:color="auto" w:fill="FFFFFF"/>
            <w:noWrap/>
            <w:vAlign w:val="bottom"/>
          </w:tcPr>
          <w:p w14:paraId="078697A2"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تقييم إدارة تقييم العمليات للمشروع حسب المبلغ (مليون دولار أمريكي)</w:t>
            </w:r>
          </w:p>
        </w:tc>
        <w:tc>
          <w:tcPr>
            <w:tcW w:w="1428" w:type="dxa"/>
            <w:shd w:val="clear" w:color="auto" w:fill="FFFFFF"/>
            <w:noWrap/>
            <w:vAlign w:val="bottom"/>
          </w:tcPr>
          <w:p w14:paraId="5173E06B"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0.0</w:t>
            </w:r>
          </w:p>
        </w:tc>
        <w:tc>
          <w:tcPr>
            <w:tcW w:w="1810" w:type="dxa"/>
            <w:gridSpan w:val="2"/>
            <w:shd w:val="clear" w:color="auto" w:fill="FFFFFF"/>
            <w:noWrap/>
            <w:vAlign w:val="bottom"/>
          </w:tcPr>
          <w:p w14:paraId="65754D0A"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0.0</w:t>
            </w:r>
          </w:p>
        </w:tc>
        <w:tc>
          <w:tcPr>
            <w:tcW w:w="316" w:type="dxa"/>
            <w:shd w:val="clear" w:color="auto" w:fill="FFFFFF"/>
            <w:noWrap/>
            <w:vAlign w:val="bottom"/>
          </w:tcPr>
          <w:p w14:paraId="601963EE"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6C0E4A0C" w14:textId="77777777" w:rsidTr="002A3038">
        <w:trPr>
          <w:trHeight w:val="396"/>
        </w:trPr>
        <w:tc>
          <w:tcPr>
            <w:tcW w:w="5806" w:type="dxa"/>
            <w:gridSpan w:val="2"/>
            <w:shd w:val="clear" w:color="auto" w:fill="FFFFFF"/>
            <w:noWrap/>
            <w:vAlign w:val="bottom"/>
          </w:tcPr>
          <w:p w14:paraId="3EF70367"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نسبة المشروعات التي قيمتها إدارة تقييم العمليات وحصلت على تقدير غير مرض أو غير مرض تماما حسب العدد</w:t>
            </w:r>
          </w:p>
        </w:tc>
        <w:tc>
          <w:tcPr>
            <w:tcW w:w="1428" w:type="dxa"/>
            <w:shd w:val="clear" w:color="auto" w:fill="FFFFFF"/>
            <w:noWrap/>
            <w:vAlign w:val="bottom"/>
          </w:tcPr>
          <w:p w14:paraId="254A5F36"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32.0</w:t>
            </w:r>
          </w:p>
        </w:tc>
        <w:tc>
          <w:tcPr>
            <w:tcW w:w="1810" w:type="dxa"/>
            <w:gridSpan w:val="2"/>
            <w:shd w:val="clear" w:color="auto" w:fill="FFFFFF"/>
            <w:noWrap/>
            <w:vAlign w:val="bottom"/>
          </w:tcPr>
          <w:p w14:paraId="31335776" w14:textId="77777777" w:rsidR="005A774C" w:rsidRPr="008C7C15" w:rsidRDefault="005A774C" w:rsidP="002A3038">
            <w:pPr>
              <w:spacing w:after="0" w:line="240" w:lineRule="auto"/>
              <w:jc w:val="center"/>
              <w:rPr>
                <w:rFonts w:ascii="Arial" w:eastAsia="Arial" w:hAnsi="Arial" w:cs="Arial"/>
                <w:color w:val="000000"/>
                <w:sz w:val="20"/>
                <w:szCs w:val="20"/>
              </w:rPr>
            </w:pPr>
            <w:r>
              <w:rPr>
                <w:rFonts w:ascii="Arial" w:hAnsi="Arial"/>
                <w:color w:val="000000"/>
                <w:sz w:val="20"/>
                <w:szCs w:val="20"/>
              </w:rPr>
              <w:t>44.4</w:t>
            </w:r>
          </w:p>
        </w:tc>
        <w:tc>
          <w:tcPr>
            <w:tcW w:w="316" w:type="dxa"/>
            <w:shd w:val="clear" w:color="auto" w:fill="FFFFFF"/>
            <w:noWrap/>
            <w:vAlign w:val="bottom"/>
          </w:tcPr>
          <w:p w14:paraId="19AF103A"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347926DB" w14:textId="77777777" w:rsidTr="002A3038">
        <w:trPr>
          <w:trHeight w:val="396"/>
        </w:trPr>
        <w:tc>
          <w:tcPr>
            <w:tcW w:w="5806" w:type="dxa"/>
            <w:gridSpan w:val="2"/>
            <w:shd w:val="clear" w:color="auto" w:fill="FFFFFF"/>
            <w:noWrap/>
            <w:vAlign w:val="bottom"/>
          </w:tcPr>
          <w:p w14:paraId="7B3BAB69"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نسبة المشروعات التي قيمتها إدارة تقييم العمليات وحصلت على تقدير غير مرض أو غير مرض تماما حسب المبلغ</w:t>
            </w:r>
          </w:p>
        </w:tc>
        <w:tc>
          <w:tcPr>
            <w:tcW w:w="1428" w:type="dxa"/>
            <w:shd w:val="clear" w:color="auto" w:fill="FFFFFF"/>
            <w:noWrap/>
            <w:vAlign w:val="bottom"/>
          </w:tcPr>
          <w:p w14:paraId="3B2BE17E" w14:textId="77777777" w:rsidR="005A774C" w:rsidRPr="008C7C15" w:rsidRDefault="005A774C" w:rsidP="002A3038">
            <w:pPr>
              <w:spacing w:after="0" w:line="240" w:lineRule="auto"/>
              <w:jc w:val="center"/>
              <w:rPr>
                <w:rFonts w:ascii="Times New Roman" w:eastAsia="Times New Roman" w:hAnsi="Times New Roman" w:cs="Times New Roman"/>
                <w:color w:val="000000"/>
                <w:sz w:val="20"/>
                <w:szCs w:val="20"/>
              </w:rPr>
            </w:pPr>
          </w:p>
        </w:tc>
        <w:tc>
          <w:tcPr>
            <w:tcW w:w="1810" w:type="dxa"/>
            <w:gridSpan w:val="2"/>
            <w:shd w:val="clear" w:color="auto" w:fill="FFFFFF"/>
            <w:noWrap/>
            <w:vAlign w:val="bottom"/>
          </w:tcPr>
          <w:p w14:paraId="1D766C7A" w14:textId="77777777" w:rsidR="005A774C" w:rsidRPr="008C7C15" w:rsidRDefault="005A774C" w:rsidP="002A3038">
            <w:pPr>
              <w:spacing w:after="0" w:line="240" w:lineRule="auto"/>
              <w:jc w:val="center"/>
              <w:rPr>
                <w:rFonts w:ascii="Times New Roman" w:eastAsia="Times New Roman" w:hAnsi="Times New Roman" w:cs="Times New Roman"/>
                <w:color w:val="000000"/>
                <w:sz w:val="20"/>
                <w:szCs w:val="20"/>
              </w:rPr>
            </w:pPr>
          </w:p>
        </w:tc>
        <w:tc>
          <w:tcPr>
            <w:tcW w:w="316" w:type="dxa"/>
            <w:shd w:val="clear" w:color="auto" w:fill="FFFFFF"/>
            <w:noWrap/>
            <w:vAlign w:val="bottom"/>
          </w:tcPr>
          <w:p w14:paraId="632C45A8"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50FC0C52" w14:textId="77777777" w:rsidTr="002A3038">
        <w:trPr>
          <w:trHeight w:val="282"/>
        </w:trPr>
        <w:tc>
          <w:tcPr>
            <w:tcW w:w="4930" w:type="dxa"/>
            <w:shd w:val="clear" w:color="auto" w:fill="FFFFFF"/>
            <w:noWrap/>
            <w:vAlign w:val="bottom"/>
          </w:tcPr>
          <w:p w14:paraId="26D47DD2"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876" w:type="dxa"/>
            <w:shd w:val="clear" w:color="auto" w:fill="FFFFFF"/>
            <w:noWrap/>
            <w:vAlign w:val="bottom"/>
          </w:tcPr>
          <w:p w14:paraId="40EBA819"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1428" w:type="dxa"/>
            <w:shd w:val="clear" w:color="auto" w:fill="FFFFFF"/>
            <w:noWrap/>
            <w:vAlign w:val="bottom"/>
          </w:tcPr>
          <w:p w14:paraId="2B9C9383"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960" w:type="dxa"/>
            <w:shd w:val="clear" w:color="auto" w:fill="FFFFFF"/>
            <w:noWrap/>
            <w:vAlign w:val="bottom"/>
          </w:tcPr>
          <w:p w14:paraId="30D3C68F"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850" w:type="dxa"/>
            <w:shd w:val="clear" w:color="auto" w:fill="FFFFFF"/>
            <w:noWrap/>
            <w:vAlign w:val="bottom"/>
          </w:tcPr>
          <w:p w14:paraId="477517BE"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c>
          <w:tcPr>
            <w:tcW w:w="316" w:type="dxa"/>
            <w:shd w:val="clear" w:color="auto" w:fill="FFFFFF"/>
            <w:noWrap/>
            <w:vAlign w:val="bottom"/>
          </w:tcPr>
          <w:p w14:paraId="721CABE9" w14:textId="77777777" w:rsidR="005A774C" w:rsidRPr="008C7C15" w:rsidRDefault="005A774C" w:rsidP="002A3038">
            <w:pPr>
              <w:spacing w:after="0" w:line="240" w:lineRule="auto"/>
              <w:rPr>
                <w:rFonts w:ascii="Arial" w:eastAsia="Arial" w:hAnsi="Arial" w:cs="Arial"/>
                <w:color w:val="333333"/>
                <w:sz w:val="20"/>
                <w:szCs w:val="20"/>
              </w:rPr>
            </w:pPr>
            <w:r>
              <w:rPr>
                <w:rFonts w:ascii="Arial" w:hAnsi="Arial"/>
                <w:color w:val="333333"/>
                <w:sz w:val="20"/>
                <w:szCs w:val="20"/>
              </w:rPr>
              <w:t> </w:t>
            </w:r>
          </w:p>
        </w:tc>
      </w:tr>
      <w:tr w:rsidR="005A774C" w:rsidRPr="008C7C15" w14:paraId="4BF823A5" w14:textId="77777777" w:rsidTr="002A3038">
        <w:trPr>
          <w:trHeight w:val="333"/>
        </w:trPr>
        <w:tc>
          <w:tcPr>
            <w:tcW w:w="9360" w:type="dxa"/>
            <w:gridSpan w:val="6"/>
            <w:shd w:val="clear" w:color="auto" w:fill="FFFFFF"/>
            <w:noWrap/>
            <w:vAlign w:val="bottom"/>
          </w:tcPr>
          <w:p w14:paraId="7071773C"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أ. كما هو موضح في التقرير السنوي عن أداء الحافظة (فيما عدا السنة المالية الحالية)</w:t>
            </w:r>
          </w:p>
        </w:tc>
      </w:tr>
      <w:tr w:rsidR="005A774C" w:rsidRPr="008C7C15" w14:paraId="00702AC8" w14:textId="77777777" w:rsidTr="002A3038">
        <w:trPr>
          <w:trHeight w:val="333"/>
        </w:trPr>
        <w:tc>
          <w:tcPr>
            <w:tcW w:w="9360" w:type="dxa"/>
            <w:gridSpan w:val="6"/>
            <w:shd w:val="clear" w:color="auto" w:fill="FFFFFF"/>
            <w:noWrap/>
            <w:vAlign w:val="bottom"/>
          </w:tcPr>
          <w:p w14:paraId="097C4BAF"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ب. متوسط عمر المشروعات في حافظة البنك الدولي الخاصة بالضفة الغربية و</w:t>
            </w:r>
            <w:r w:rsidR="009B1243">
              <w:rPr>
                <w:rFonts w:ascii="Arial" w:hAnsi="Arial" w:hint="cs"/>
                <w:color w:val="000000"/>
                <w:sz w:val="20"/>
                <w:szCs w:val="20"/>
              </w:rPr>
              <w:t xml:space="preserve">قطاع </w:t>
            </w:r>
            <w:r>
              <w:rPr>
                <w:rFonts w:ascii="Arial" w:hAnsi="Arial"/>
                <w:color w:val="000000"/>
                <w:sz w:val="20"/>
                <w:szCs w:val="20"/>
              </w:rPr>
              <w:t>غزة</w:t>
            </w:r>
          </w:p>
        </w:tc>
      </w:tr>
      <w:tr w:rsidR="005A774C" w:rsidRPr="008C7C15" w14:paraId="4A72B3F1" w14:textId="77777777" w:rsidTr="002A3038">
        <w:trPr>
          <w:trHeight w:val="333"/>
        </w:trPr>
        <w:tc>
          <w:tcPr>
            <w:tcW w:w="9360" w:type="dxa"/>
            <w:gridSpan w:val="6"/>
            <w:shd w:val="clear" w:color="auto" w:fill="FFFFFF"/>
            <w:noWrap/>
            <w:vAlign w:val="bottom"/>
          </w:tcPr>
          <w:p w14:paraId="6A25E297"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ج. نسبة المشروعات التي حصلت على تقدير غير مرض أو غير مرض تماما في أهداف التنمية و/أو التقدم المحرز في عملية التنفيذ.</w:t>
            </w:r>
          </w:p>
        </w:tc>
      </w:tr>
      <w:tr w:rsidR="005A774C" w:rsidRPr="008C7C15" w14:paraId="6ECAFF40" w14:textId="77777777" w:rsidTr="002A3038">
        <w:trPr>
          <w:trHeight w:val="333"/>
        </w:trPr>
        <w:tc>
          <w:tcPr>
            <w:tcW w:w="9360" w:type="dxa"/>
            <w:gridSpan w:val="6"/>
            <w:shd w:val="clear" w:color="auto" w:fill="FFFFFF"/>
            <w:noWrap/>
            <w:vAlign w:val="bottom"/>
          </w:tcPr>
          <w:p w14:paraId="2D6DF7DF"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د. كما هو محدد في برنامج تحسين الحافظة</w:t>
            </w:r>
          </w:p>
        </w:tc>
      </w:tr>
      <w:tr w:rsidR="005A774C" w:rsidRPr="008C7C15" w14:paraId="658E120F" w14:textId="77777777" w:rsidTr="002A3038">
        <w:trPr>
          <w:trHeight w:val="333"/>
        </w:trPr>
        <w:tc>
          <w:tcPr>
            <w:tcW w:w="9360" w:type="dxa"/>
            <w:gridSpan w:val="6"/>
            <w:shd w:val="clear" w:color="auto" w:fill="FFFFFF"/>
            <w:noWrap/>
            <w:vAlign w:val="bottom"/>
          </w:tcPr>
          <w:p w14:paraId="7CAF20E6"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هـ. نسبة المنصرف من حصيلة القرض خلال السنة إلى الرصيد غير المنصرف لحافظة البنك في بداية السنة</w:t>
            </w:r>
            <w:r w:rsidR="00455132">
              <w:rPr>
                <w:rFonts w:ascii="Arial" w:hAnsi="Arial" w:hint="cs"/>
                <w:color w:val="000000"/>
                <w:sz w:val="20"/>
                <w:szCs w:val="20"/>
              </w:rPr>
              <w:t>:</w:t>
            </w:r>
            <w:r>
              <w:rPr>
                <w:rFonts w:ascii="Arial" w:hAnsi="Arial"/>
                <w:color w:val="000000"/>
                <w:sz w:val="20"/>
                <w:szCs w:val="20"/>
              </w:rPr>
              <w:t xml:space="preserve"> مشروعات استثمارية فقط.</w:t>
            </w:r>
          </w:p>
        </w:tc>
      </w:tr>
      <w:tr w:rsidR="005A774C" w:rsidRPr="008C7C15" w14:paraId="40C8DE60" w14:textId="77777777" w:rsidTr="002A3038">
        <w:trPr>
          <w:trHeight w:val="792"/>
        </w:trPr>
        <w:tc>
          <w:tcPr>
            <w:tcW w:w="9360" w:type="dxa"/>
            <w:gridSpan w:val="6"/>
            <w:shd w:val="clear" w:color="auto" w:fill="FFFFFF"/>
            <w:vAlign w:val="center"/>
          </w:tcPr>
          <w:p w14:paraId="1657C90E" w14:textId="77777777" w:rsidR="005A774C" w:rsidRPr="008C7C15" w:rsidRDefault="005A774C" w:rsidP="002A3038">
            <w:pPr>
              <w:spacing w:after="0" w:line="240" w:lineRule="auto"/>
              <w:rPr>
                <w:rFonts w:ascii="Arial" w:eastAsia="Arial" w:hAnsi="Arial" w:cs="Arial"/>
                <w:color w:val="000000"/>
                <w:sz w:val="20"/>
                <w:szCs w:val="20"/>
              </w:rPr>
            </w:pPr>
            <w:r>
              <w:rPr>
                <w:rFonts w:ascii="Arial" w:hAnsi="Arial"/>
                <w:color w:val="000000"/>
                <w:sz w:val="20"/>
                <w:szCs w:val="20"/>
              </w:rPr>
              <w:t xml:space="preserve">* جميع المؤشرات هي لمشروعات جارية في الحافظة باستثناء نسبة الصرف، التي تتضمن جميع المشروعات الجارية وكذلك المشروعات التي خرجت أثناء السنة المالية. </w:t>
            </w:r>
          </w:p>
        </w:tc>
      </w:tr>
    </w:tbl>
    <w:p w14:paraId="7507DCDE" w14:textId="77777777" w:rsidR="005A774C" w:rsidRPr="008C7C15" w:rsidRDefault="005A774C" w:rsidP="005A774C">
      <w:pPr>
        <w:spacing w:line="256" w:lineRule="auto"/>
        <w:rPr>
          <w:rFonts w:ascii="Calibri" w:eastAsia="Calibri" w:hAnsi="Calibri" w:cs="Arial"/>
        </w:rPr>
      </w:pPr>
    </w:p>
    <w:p w14:paraId="49B1223D" w14:textId="77777777" w:rsidR="005A774C" w:rsidRDefault="005A774C" w:rsidP="005A774C">
      <w:pPr>
        <w:keepNext/>
        <w:keepLines/>
        <w:spacing w:after="0" w:line="240" w:lineRule="auto"/>
        <w:jc w:val="center"/>
        <w:outlineLvl w:val="0"/>
        <w:rPr>
          <w:rFonts w:ascii="Times New Roman Bold" w:eastAsia="Times New Roman" w:hAnsi="Times New Roman Bold" w:cs="Times New Roman"/>
          <w:b/>
          <w:bCs/>
          <w:smallCaps/>
          <w:sz w:val="24"/>
          <w:szCs w:val="28"/>
        </w:rPr>
        <w:sectPr w:rsidR="005A774C">
          <w:pgSz w:w="12240" w:h="15840"/>
          <w:pgMar w:top="1440" w:right="1440" w:bottom="1440" w:left="1440" w:header="720" w:footer="720" w:gutter="0"/>
          <w:cols w:space="720"/>
          <w:docGrid w:linePitch="360"/>
        </w:sectPr>
      </w:pPr>
    </w:p>
    <w:p w14:paraId="2B7B6616" w14:textId="77777777" w:rsidR="005A774C" w:rsidRPr="008C7C15" w:rsidRDefault="005A774C" w:rsidP="005A774C">
      <w:pPr>
        <w:keepNext/>
        <w:keepLines/>
        <w:spacing w:after="0" w:line="240" w:lineRule="auto"/>
        <w:jc w:val="center"/>
        <w:outlineLvl w:val="0"/>
        <w:rPr>
          <w:rFonts w:ascii="Arial" w:eastAsia="Arial" w:hAnsi="Arial" w:cs="Arial"/>
          <w:b/>
          <w:bCs/>
          <w:smallCaps/>
          <w:sz w:val="24"/>
          <w:szCs w:val="28"/>
        </w:rPr>
      </w:pPr>
      <w:bookmarkStart w:id="55" w:name="_Toc498096419"/>
      <w:bookmarkStart w:id="56" w:name="_Toc500240978"/>
      <w:r>
        <w:rPr>
          <w:rFonts w:ascii="Arial" w:hAnsi="Arial"/>
          <w:b/>
          <w:bCs/>
          <w:smallCaps/>
          <w:sz w:val="24"/>
          <w:szCs w:val="24"/>
        </w:rPr>
        <w:lastRenderedPageBreak/>
        <w:t>الملحق 4. حافظة عمليات البنك *</w:t>
      </w:r>
      <w:bookmarkEnd w:id="55"/>
      <w:bookmarkEnd w:id="56"/>
    </w:p>
    <w:tbl>
      <w:tblPr>
        <w:bidiVisual/>
        <w:tblW w:w="14220" w:type="dxa"/>
        <w:tblInd w:w="-30" w:type="dxa"/>
        <w:tblLayout w:type="fixed"/>
        <w:tblCellMar>
          <w:left w:w="30" w:type="dxa"/>
          <w:right w:w="30" w:type="dxa"/>
        </w:tblCellMar>
        <w:tblLook w:val="04A0" w:firstRow="1" w:lastRow="0" w:firstColumn="1" w:lastColumn="0" w:noHBand="0" w:noVBand="1"/>
      </w:tblPr>
      <w:tblGrid>
        <w:gridCol w:w="1004"/>
        <w:gridCol w:w="1004"/>
        <w:gridCol w:w="2959"/>
        <w:gridCol w:w="1093"/>
        <w:gridCol w:w="180"/>
        <w:gridCol w:w="1587"/>
        <w:gridCol w:w="840"/>
        <w:gridCol w:w="964"/>
        <w:gridCol w:w="852"/>
        <w:gridCol w:w="840"/>
        <w:gridCol w:w="1004"/>
        <w:gridCol w:w="890"/>
        <w:gridCol w:w="1003"/>
      </w:tblGrid>
      <w:tr w:rsidR="005A774C" w:rsidRPr="008C7C15" w14:paraId="69BF7108" w14:textId="77777777" w:rsidTr="002A3038">
        <w:trPr>
          <w:trHeight w:val="180"/>
        </w:trPr>
        <w:tc>
          <w:tcPr>
            <w:tcW w:w="4967" w:type="dxa"/>
            <w:gridSpan w:val="3"/>
            <w:shd w:val="solid" w:color="FFFFFF" w:fill="auto"/>
          </w:tcPr>
          <w:p w14:paraId="3808315C"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1273" w:type="dxa"/>
            <w:gridSpan w:val="2"/>
            <w:shd w:val="solid" w:color="FFFFFF" w:fill="auto"/>
          </w:tcPr>
          <w:p w14:paraId="2D5A6852"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1587" w:type="dxa"/>
            <w:shd w:val="solid" w:color="FFFFFF" w:fill="auto"/>
          </w:tcPr>
          <w:p w14:paraId="0060D9B9" w14:textId="77777777" w:rsidR="005A774C" w:rsidRPr="008C7C15" w:rsidRDefault="005A774C" w:rsidP="002A3038">
            <w:pPr>
              <w:autoSpaceDE w:val="0"/>
              <w:autoSpaceDN w:val="0"/>
              <w:adjustRightInd w:val="0"/>
              <w:spacing w:after="0" w:line="240" w:lineRule="auto"/>
              <w:rPr>
                <w:rFonts w:ascii="Arial" w:eastAsia="Arial" w:hAnsi="Arial" w:cs="Arial"/>
                <w:b/>
                <w:bCs/>
                <w:i/>
                <w:color w:val="000000"/>
                <w:sz w:val="18"/>
                <w:szCs w:val="18"/>
              </w:rPr>
            </w:pPr>
            <w:r>
              <w:rPr>
                <w:rFonts w:ascii="Arial" w:hAnsi="Arial"/>
                <w:b/>
                <w:bCs/>
                <w:i/>
                <w:iCs/>
                <w:color w:val="000000"/>
                <w:sz w:val="18"/>
                <w:szCs w:val="18"/>
              </w:rPr>
              <w:t>(في 31 أكتوبر/تشرين الأول 2017)</w:t>
            </w:r>
          </w:p>
        </w:tc>
        <w:tc>
          <w:tcPr>
            <w:tcW w:w="840" w:type="dxa"/>
            <w:shd w:val="solid" w:color="FFFFFF" w:fill="auto"/>
          </w:tcPr>
          <w:p w14:paraId="1E8D5012"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964" w:type="dxa"/>
            <w:shd w:val="solid" w:color="FFFFFF" w:fill="auto"/>
          </w:tcPr>
          <w:p w14:paraId="2E458F6B"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852" w:type="dxa"/>
            <w:shd w:val="solid" w:color="FFFFFF" w:fill="auto"/>
          </w:tcPr>
          <w:p w14:paraId="3D9BCBAC"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840" w:type="dxa"/>
            <w:shd w:val="solid" w:color="FFFFFF" w:fill="auto"/>
          </w:tcPr>
          <w:p w14:paraId="1CE14A1F"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1004" w:type="dxa"/>
            <w:shd w:val="solid" w:color="FFFFFF" w:fill="auto"/>
          </w:tcPr>
          <w:p w14:paraId="09E5496D"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890" w:type="dxa"/>
            <w:shd w:val="solid" w:color="FFFFFF" w:fill="auto"/>
          </w:tcPr>
          <w:p w14:paraId="3C3E9CFC"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1003" w:type="dxa"/>
            <w:shd w:val="solid" w:color="FFFFFF" w:fill="auto"/>
          </w:tcPr>
          <w:p w14:paraId="491946D7"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r>
      <w:tr w:rsidR="005A774C" w:rsidRPr="008C7C15" w14:paraId="74B5CE3F" w14:textId="77777777" w:rsidTr="002A3038">
        <w:trPr>
          <w:trHeight w:val="315"/>
        </w:trPr>
        <w:tc>
          <w:tcPr>
            <w:tcW w:w="2008" w:type="dxa"/>
            <w:gridSpan w:val="2"/>
            <w:tcBorders>
              <w:top w:val="nil"/>
              <w:left w:val="nil"/>
              <w:bottom w:val="single" w:sz="4" w:space="0" w:color="auto"/>
              <w:right w:val="nil"/>
            </w:tcBorders>
            <w:shd w:val="solid" w:color="FFFFFF" w:fill="auto"/>
          </w:tcPr>
          <w:p w14:paraId="70603252"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2959" w:type="dxa"/>
            <w:tcBorders>
              <w:top w:val="nil"/>
              <w:left w:val="nil"/>
              <w:bottom w:val="single" w:sz="4" w:space="0" w:color="auto"/>
              <w:right w:val="nil"/>
            </w:tcBorders>
            <w:shd w:val="solid" w:color="FFFFFF" w:fill="auto"/>
          </w:tcPr>
          <w:p w14:paraId="35775BA4"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1273" w:type="dxa"/>
            <w:gridSpan w:val="2"/>
            <w:tcBorders>
              <w:top w:val="nil"/>
              <w:left w:val="nil"/>
              <w:bottom w:val="single" w:sz="4" w:space="0" w:color="auto"/>
              <w:right w:val="nil"/>
            </w:tcBorders>
            <w:shd w:val="solid" w:color="FFFFFF" w:fill="auto"/>
          </w:tcPr>
          <w:p w14:paraId="3F037320"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1587" w:type="dxa"/>
            <w:tcBorders>
              <w:top w:val="nil"/>
              <w:left w:val="nil"/>
              <w:bottom w:val="single" w:sz="4" w:space="0" w:color="auto"/>
              <w:right w:val="nil"/>
            </w:tcBorders>
            <w:shd w:val="solid" w:color="FFFFFF" w:fill="auto"/>
          </w:tcPr>
          <w:p w14:paraId="02647695"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840" w:type="dxa"/>
            <w:tcBorders>
              <w:top w:val="nil"/>
              <w:left w:val="nil"/>
              <w:bottom w:val="single" w:sz="4" w:space="0" w:color="auto"/>
              <w:right w:val="nil"/>
            </w:tcBorders>
            <w:shd w:val="solid" w:color="FFFFFF" w:fill="auto"/>
          </w:tcPr>
          <w:p w14:paraId="6325F171"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964" w:type="dxa"/>
            <w:tcBorders>
              <w:top w:val="nil"/>
              <w:left w:val="nil"/>
              <w:bottom w:val="single" w:sz="4" w:space="0" w:color="auto"/>
              <w:right w:val="nil"/>
            </w:tcBorders>
            <w:shd w:val="solid" w:color="FFFFFF" w:fill="auto"/>
          </w:tcPr>
          <w:p w14:paraId="41AC688D"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852" w:type="dxa"/>
            <w:tcBorders>
              <w:top w:val="nil"/>
              <w:left w:val="nil"/>
              <w:bottom w:val="single" w:sz="4" w:space="0" w:color="auto"/>
              <w:right w:val="nil"/>
            </w:tcBorders>
            <w:shd w:val="solid" w:color="FFFFFF" w:fill="auto"/>
          </w:tcPr>
          <w:p w14:paraId="0E33B44E"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840" w:type="dxa"/>
            <w:tcBorders>
              <w:top w:val="nil"/>
              <w:left w:val="nil"/>
              <w:bottom w:val="single" w:sz="4" w:space="0" w:color="auto"/>
              <w:right w:val="nil"/>
            </w:tcBorders>
            <w:shd w:val="solid" w:color="FFFFFF" w:fill="auto"/>
          </w:tcPr>
          <w:p w14:paraId="7098C7F5"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1004" w:type="dxa"/>
            <w:tcBorders>
              <w:top w:val="nil"/>
              <w:left w:val="nil"/>
              <w:bottom w:val="single" w:sz="4" w:space="0" w:color="auto"/>
              <w:right w:val="nil"/>
            </w:tcBorders>
            <w:shd w:val="solid" w:color="FFFFFF" w:fill="auto"/>
          </w:tcPr>
          <w:p w14:paraId="303C07FA"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890" w:type="dxa"/>
            <w:tcBorders>
              <w:top w:val="nil"/>
              <w:left w:val="nil"/>
              <w:bottom w:val="single" w:sz="4" w:space="0" w:color="auto"/>
              <w:right w:val="nil"/>
            </w:tcBorders>
            <w:shd w:val="solid" w:color="FFFFFF" w:fill="auto"/>
          </w:tcPr>
          <w:p w14:paraId="0A0AD2F9"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c>
          <w:tcPr>
            <w:tcW w:w="1003" w:type="dxa"/>
            <w:shd w:val="solid" w:color="FFFFFF" w:fill="auto"/>
          </w:tcPr>
          <w:p w14:paraId="5C4C4311"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i/>
                <w:iCs/>
                <w:color w:val="000000"/>
                <w:sz w:val="18"/>
                <w:szCs w:val="18"/>
              </w:rPr>
            </w:pPr>
          </w:p>
        </w:tc>
      </w:tr>
      <w:tr w:rsidR="005A774C" w:rsidRPr="008C7C15" w14:paraId="5DCB1955" w14:textId="77777777" w:rsidTr="002A3038">
        <w:trPr>
          <w:trHeight w:val="290"/>
        </w:trPr>
        <w:tc>
          <w:tcPr>
            <w:tcW w:w="4967" w:type="dxa"/>
            <w:gridSpan w:val="3"/>
            <w:tcBorders>
              <w:top w:val="single" w:sz="4" w:space="0" w:color="auto"/>
              <w:left w:val="single" w:sz="6" w:space="0" w:color="auto"/>
              <w:bottom w:val="nil"/>
              <w:right w:val="nil"/>
            </w:tcBorders>
            <w:shd w:val="solid" w:color="FFFFFF" w:fill="auto"/>
          </w:tcPr>
          <w:p w14:paraId="7DB63660" w14:textId="77777777" w:rsidR="005A774C" w:rsidRPr="008C7C15" w:rsidRDefault="005A774C" w:rsidP="002A3038">
            <w:pPr>
              <w:autoSpaceDE w:val="0"/>
              <w:autoSpaceDN w:val="0"/>
              <w:adjustRightInd w:val="0"/>
              <w:spacing w:after="0" w:line="240" w:lineRule="auto"/>
              <w:rPr>
                <w:rFonts w:ascii="Arial" w:eastAsia="Arial" w:hAnsi="Arial" w:cs="Arial"/>
                <w:b/>
                <w:bCs/>
                <w:color w:val="000000"/>
              </w:rPr>
            </w:pPr>
            <w:r>
              <w:rPr>
                <w:rFonts w:ascii="Arial" w:hAnsi="Arial"/>
                <w:b/>
                <w:bCs/>
                <w:color w:val="000000"/>
              </w:rPr>
              <w:t>مشروعات جارية</w:t>
            </w:r>
          </w:p>
        </w:tc>
        <w:tc>
          <w:tcPr>
            <w:tcW w:w="2860" w:type="dxa"/>
            <w:gridSpan w:val="3"/>
            <w:tcBorders>
              <w:top w:val="single" w:sz="4" w:space="0" w:color="auto"/>
              <w:left w:val="nil"/>
              <w:bottom w:val="nil"/>
              <w:right w:val="nil"/>
            </w:tcBorders>
            <w:shd w:val="solid" w:color="FFFFFF" w:fill="auto"/>
          </w:tcPr>
          <w:p w14:paraId="52510BDE" w14:textId="77777777" w:rsidR="005A774C" w:rsidRPr="008C7C15" w:rsidRDefault="005A774C" w:rsidP="002A3038">
            <w:pPr>
              <w:autoSpaceDE w:val="0"/>
              <w:autoSpaceDN w:val="0"/>
              <w:adjustRightInd w:val="0"/>
              <w:spacing w:after="0" w:line="240" w:lineRule="auto"/>
              <w:jc w:val="center"/>
              <w:rPr>
                <w:rFonts w:ascii="Arial" w:eastAsia="Arial" w:hAnsi="Arial" w:cs="Arial"/>
                <w:b/>
                <w:bCs/>
                <w:color w:val="000000"/>
                <w:sz w:val="18"/>
                <w:szCs w:val="18"/>
                <w:u w:val="single"/>
              </w:rPr>
            </w:pPr>
            <w:r>
              <w:rPr>
                <w:rFonts w:ascii="Arial" w:hAnsi="Arial"/>
                <w:b/>
                <w:bCs/>
                <w:color w:val="000000"/>
                <w:sz w:val="18"/>
                <w:szCs w:val="18"/>
                <w:u w:val="single"/>
              </w:rPr>
              <w:t>التصنيفات الواردة في تقارير أوضاع التنفيذ</w:t>
            </w:r>
          </w:p>
        </w:tc>
        <w:tc>
          <w:tcPr>
            <w:tcW w:w="840" w:type="dxa"/>
            <w:tcBorders>
              <w:top w:val="single" w:sz="4" w:space="0" w:color="auto"/>
              <w:left w:val="nil"/>
              <w:bottom w:val="nil"/>
              <w:right w:val="nil"/>
            </w:tcBorders>
            <w:shd w:val="solid" w:color="FFFFFF" w:fill="auto"/>
          </w:tcPr>
          <w:p w14:paraId="0A411B65"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964" w:type="dxa"/>
            <w:tcBorders>
              <w:top w:val="single" w:sz="4" w:space="0" w:color="auto"/>
              <w:left w:val="nil"/>
              <w:bottom w:val="nil"/>
              <w:right w:val="nil"/>
            </w:tcBorders>
            <w:shd w:val="solid" w:color="FFFFFF" w:fill="auto"/>
          </w:tcPr>
          <w:p w14:paraId="7EC499B3"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852" w:type="dxa"/>
            <w:tcBorders>
              <w:top w:val="single" w:sz="4" w:space="0" w:color="auto"/>
              <w:left w:val="nil"/>
              <w:bottom w:val="nil"/>
              <w:right w:val="nil"/>
            </w:tcBorders>
            <w:shd w:val="solid" w:color="FFFFFF" w:fill="auto"/>
          </w:tcPr>
          <w:p w14:paraId="57496814"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840" w:type="dxa"/>
            <w:tcBorders>
              <w:top w:val="single" w:sz="4" w:space="0" w:color="auto"/>
              <w:left w:val="nil"/>
              <w:bottom w:val="nil"/>
              <w:right w:val="nil"/>
            </w:tcBorders>
            <w:shd w:val="solid" w:color="FFFFFF" w:fill="auto"/>
          </w:tcPr>
          <w:p w14:paraId="362AB171" w14:textId="77777777" w:rsidR="005A774C" w:rsidRPr="008C7C15"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18"/>
                <w:szCs w:val="18"/>
              </w:rPr>
            </w:pPr>
          </w:p>
        </w:tc>
        <w:tc>
          <w:tcPr>
            <w:tcW w:w="1894" w:type="dxa"/>
            <w:gridSpan w:val="2"/>
            <w:tcBorders>
              <w:top w:val="single" w:sz="4" w:space="0" w:color="auto"/>
              <w:left w:val="single" w:sz="6" w:space="0" w:color="auto"/>
              <w:bottom w:val="nil"/>
              <w:right w:val="single" w:sz="6" w:space="0" w:color="auto"/>
            </w:tcBorders>
            <w:shd w:val="solid" w:color="FFFFFF" w:fill="auto"/>
          </w:tcPr>
          <w:p w14:paraId="1EE5FE4A" w14:textId="77777777" w:rsidR="005A774C" w:rsidRPr="008C7C15" w:rsidRDefault="005A774C" w:rsidP="002A3038">
            <w:pPr>
              <w:autoSpaceDE w:val="0"/>
              <w:autoSpaceDN w:val="0"/>
              <w:adjustRightInd w:val="0"/>
              <w:spacing w:after="0" w:line="240" w:lineRule="auto"/>
              <w:jc w:val="center"/>
              <w:rPr>
                <w:rFonts w:ascii="Arial" w:eastAsia="Arial" w:hAnsi="Arial" w:cs="Arial"/>
                <w:b/>
                <w:bCs/>
                <w:color w:val="000000"/>
                <w:sz w:val="18"/>
                <w:szCs w:val="18"/>
              </w:rPr>
            </w:pPr>
            <w:r>
              <w:rPr>
                <w:rFonts w:ascii="Arial" w:hAnsi="Arial"/>
                <w:b/>
                <w:bCs/>
                <w:color w:val="000000"/>
                <w:sz w:val="18"/>
                <w:szCs w:val="18"/>
              </w:rPr>
              <w:t>الفرق في المبالغ المنصرفة</w:t>
            </w:r>
          </w:p>
          <w:p w14:paraId="7859263C" w14:textId="77777777" w:rsidR="005A774C" w:rsidRPr="008C7C15" w:rsidRDefault="005A774C" w:rsidP="0087205C">
            <w:pPr>
              <w:autoSpaceDE w:val="0"/>
              <w:autoSpaceDN w:val="0"/>
              <w:adjustRightInd w:val="0"/>
              <w:spacing w:after="0" w:line="240" w:lineRule="auto"/>
              <w:jc w:val="center"/>
              <w:rPr>
                <w:rFonts w:ascii="Arial" w:eastAsia="Arial" w:hAnsi="Arial" w:cs="Arial"/>
                <w:b/>
                <w:bCs/>
                <w:color w:val="000000"/>
                <w:sz w:val="18"/>
                <w:szCs w:val="18"/>
                <w:rtl w:val="0"/>
              </w:rPr>
            </w:pPr>
            <w:r>
              <w:rPr>
                <w:rFonts w:ascii="Arial" w:hAnsi="Arial"/>
                <w:b/>
                <w:bCs/>
                <w:color w:val="000000"/>
                <w:sz w:val="18"/>
                <w:szCs w:val="18"/>
              </w:rPr>
              <w:t>بين الفعلي</w:t>
            </w:r>
            <w:r w:rsidR="0087205C">
              <w:rPr>
                <w:rFonts w:ascii="Arial" w:hAnsi="Arial" w:hint="cs"/>
                <w:b/>
                <w:bCs/>
                <w:color w:val="000000"/>
                <w:sz w:val="18"/>
                <w:szCs w:val="18"/>
              </w:rPr>
              <w:t xml:space="preserve"> </w:t>
            </w:r>
          </w:p>
        </w:tc>
        <w:tc>
          <w:tcPr>
            <w:tcW w:w="1003" w:type="dxa"/>
            <w:shd w:val="solid" w:color="FFFFFF" w:fill="auto"/>
          </w:tcPr>
          <w:p w14:paraId="0F1CC555"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0ED99318" w14:textId="77777777" w:rsidTr="002A3038">
        <w:trPr>
          <w:trHeight w:val="290"/>
        </w:trPr>
        <w:tc>
          <w:tcPr>
            <w:tcW w:w="1004" w:type="dxa"/>
            <w:tcBorders>
              <w:top w:val="single" w:sz="4" w:space="0" w:color="auto"/>
              <w:left w:val="single" w:sz="6" w:space="0" w:color="auto"/>
              <w:bottom w:val="nil"/>
              <w:right w:val="nil"/>
            </w:tcBorders>
            <w:shd w:val="solid" w:color="FFFFFF" w:fill="auto"/>
          </w:tcPr>
          <w:p w14:paraId="5397A858"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7C222955" w14:textId="77777777" w:rsidR="005A774C" w:rsidRPr="0087205C" w:rsidRDefault="005A774C"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b/>
                <w:bCs/>
                <w:color w:val="000000"/>
                <w:sz w:val="20"/>
                <w:szCs w:val="20"/>
              </w:rPr>
              <w:t>الرقم التعريفي للمشروع</w:t>
            </w:r>
          </w:p>
        </w:tc>
        <w:tc>
          <w:tcPr>
            <w:tcW w:w="3963" w:type="dxa"/>
            <w:gridSpan w:val="2"/>
            <w:tcBorders>
              <w:top w:val="single" w:sz="4" w:space="0" w:color="auto"/>
              <w:left w:val="nil"/>
              <w:bottom w:val="nil"/>
              <w:right w:val="nil"/>
            </w:tcBorders>
            <w:shd w:val="solid" w:color="FFFFFF" w:fill="auto"/>
          </w:tcPr>
          <w:p w14:paraId="45989B43"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0A893D13" w14:textId="77777777" w:rsidR="005A774C" w:rsidRPr="0087205C" w:rsidRDefault="005A774C"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b/>
                <w:bCs/>
                <w:color w:val="000000"/>
                <w:sz w:val="20"/>
                <w:szCs w:val="20"/>
              </w:rPr>
              <w:t>اسم المشروع</w:t>
            </w:r>
          </w:p>
        </w:tc>
        <w:tc>
          <w:tcPr>
            <w:tcW w:w="1273" w:type="dxa"/>
            <w:gridSpan w:val="2"/>
            <w:tcBorders>
              <w:top w:val="single" w:sz="4" w:space="0" w:color="auto"/>
              <w:left w:val="nil"/>
              <w:bottom w:val="nil"/>
              <w:right w:val="nil"/>
            </w:tcBorders>
            <w:shd w:val="solid" w:color="FFFFFF" w:fill="auto"/>
          </w:tcPr>
          <w:p w14:paraId="4DF8AC50"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u w:val="single"/>
              </w:rPr>
            </w:pPr>
            <w:r w:rsidRPr="0087205C">
              <w:rPr>
                <w:rFonts w:ascii="Arial" w:hAnsi="Arial" w:hint="cs"/>
                <w:b/>
                <w:color w:val="000000"/>
                <w:sz w:val="20"/>
                <w:szCs w:val="20"/>
                <w:u w:val="single"/>
              </w:rPr>
              <w:t>الأهداف</w:t>
            </w:r>
          </w:p>
        </w:tc>
        <w:tc>
          <w:tcPr>
            <w:tcW w:w="1587" w:type="dxa"/>
            <w:tcBorders>
              <w:top w:val="single" w:sz="4" w:space="0" w:color="auto"/>
              <w:left w:val="nil"/>
              <w:bottom w:val="nil"/>
              <w:right w:val="nil"/>
            </w:tcBorders>
            <w:shd w:val="solid" w:color="FFFFFF" w:fill="auto"/>
          </w:tcPr>
          <w:p w14:paraId="57F74B8F"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u w:val="single"/>
              </w:rPr>
            </w:pPr>
            <w:r w:rsidRPr="0087205C">
              <w:rPr>
                <w:rFonts w:ascii="Arial" w:hAnsi="Arial" w:hint="cs"/>
                <w:b/>
                <w:color w:val="000000"/>
                <w:sz w:val="20"/>
                <w:szCs w:val="20"/>
                <w:u w:val="single"/>
              </w:rPr>
              <w:t>معدل سير</w:t>
            </w:r>
          </w:p>
        </w:tc>
        <w:tc>
          <w:tcPr>
            <w:tcW w:w="840" w:type="dxa"/>
            <w:tcBorders>
              <w:top w:val="single" w:sz="4" w:space="0" w:color="auto"/>
              <w:left w:val="nil"/>
              <w:bottom w:val="nil"/>
              <w:right w:val="nil"/>
            </w:tcBorders>
            <w:shd w:val="solid" w:color="FFFFFF" w:fill="auto"/>
          </w:tcPr>
          <w:p w14:paraId="451A8644" w14:textId="77777777" w:rsidR="005A774C" w:rsidRPr="0087205C" w:rsidRDefault="00932D71" w:rsidP="002A3038">
            <w:pPr>
              <w:autoSpaceDE w:val="0"/>
              <w:autoSpaceDN w:val="0"/>
              <w:adjustRightInd w:val="0"/>
              <w:spacing w:after="0" w:line="240" w:lineRule="auto"/>
              <w:jc w:val="center"/>
              <w:rPr>
                <w:rFonts w:ascii="Arial" w:hAnsi="Arial"/>
                <w:b/>
                <w:color w:val="000000"/>
                <w:sz w:val="20"/>
                <w:szCs w:val="20"/>
              </w:rPr>
            </w:pPr>
            <w:r w:rsidRPr="0087205C">
              <w:rPr>
                <w:rFonts w:ascii="Arial" w:hAnsi="Arial" w:hint="cs"/>
                <w:b/>
                <w:color w:val="000000"/>
                <w:sz w:val="20"/>
                <w:szCs w:val="20"/>
              </w:rPr>
              <w:t>السنة</w:t>
            </w:r>
          </w:p>
          <w:p w14:paraId="259DA5F6" w14:textId="77777777" w:rsidR="00932D71"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hint="cs"/>
                <w:b/>
                <w:color w:val="000000"/>
                <w:sz w:val="20"/>
                <w:szCs w:val="20"/>
              </w:rPr>
              <w:t>المالية</w:t>
            </w:r>
          </w:p>
        </w:tc>
        <w:tc>
          <w:tcPr>
            <w:tcW w:w="964" w:type="dxa"/>
            <w:tcBorders>
              <w:top w:val="single" w:sz="4" w:space="0" w:color="auto"/>
              <w:left w:val="nil"/>
              <w:bottom w:val="nil"/>
              <w:right w:val="nil"/>
            </w:tcBorders>
            <w:shd w:val="solid" w:color="FFFFFF" w:fill="auto"/>
          </w:tcPr>
          <w:p w14:paraId="2BF49E3E"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hint="cs"/>
                <w:b/>
                <w:color w:val="000000"/>
                <w:sz w:val="20"/>
                <w:szCs w:val="20"/>
              </w:rPr>
              <w:t>الارتباطات</w:t>
            </w:r>
          </w:p>
          <w:p w14:paraId="62677C20" w14:textId="77777777" w:rsidR="00932D71" w:rsidRPr="0087205C" w:rsidRDefault="00932D71" w:rsidP="002A3038">
            <w:pPr>
              <w:autoSpaceDE w:val="0"/>
              <w:autoSpaceDN w:val="0"/>
              <w:adjustRightInd w:val="0"/>
              <w:spacing w:after="0" w:line="240" w:lineRule="auto"/>
              <w:jc w:val="center"/>
              <w:rPr>
                <w:rFonts w:ascii="Arial" w:hAnsi="Arial"/>
                <w:b/>
                <w:color w:val="000000"/>
                <w:sz w:val="20"/>
                <w:szCs w:val="20"/>
              </w:rPr>
            </w:pPr>
            <w:r w:rsidRPr="0087205C">
              <w:rPr>
                <w:rFonts w:ascii="Arial" w:hAnsi="Arial" w:hint="cs"/>
                <w:b/>
                <w:color w:val="000000"/>
                <w:sz w:val="20"/>
                <w:szCs w:val="20"/>
              </w:rPr>
              <w:t>والمنح</w:t>
            </w:r>
          </w:p>
          <w:p w14:paraId="3711BC08"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hint="cs"/>
                <w:b/>
                <w:color w:val="000000"/>
                <w:sz w:val="20"/>
                <w:szCs w:val="20"/>
              </w:rPr>
              <w:t>بملايين</w:t>
            </w:r>
            <w:r w:rsidR="005A774C" w:rsidRPr="0087205C">
              <w:rPr>
                <w:rFonts w:ascii="Arial" w:hAnsi="Arial"/>
                <w:b/>
                <w:bCs/>
                <w:color w:val="000000"/>
                <w:sz w:val="20"/>
                <w:szCs w:val="20"/>
              </w:rPr>
              <w:t xml:space="preserve"> </w:t>
            </w:r>
          </w:p>
        </w:tc>
        <w:tc>
          <w:tcPr>
            <w:tcW w:w="852" w:type="dxa"/>
            <w:tcBorders>
              <w:top w:val="single" w:sz="4" w:space="0" w:color="auto"/>
              <w:left w:val="nil"/>
              <w:bottom w:val="nil"/>
              <w:right w:val="nil"/>
            </w:tcBorders>
            <w:shd w:val="solid" w:color="FFFFFF" w:fill="auto"/>
          </w:tcPr>
          <w:p w14:paraId="3E6741AB"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1A4F10E5"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hint="cs"/>
                <w:b/>
                <w:color w:val="000000"/>
                <w:sz w:val="20"/>
                <w:szCs w:val="20"/>
              </w:rPr>
              <w:t>ملغى</w:t>
            </w:r>
            <w:r w:rsidR="005A774C" w:rsidRPr="0087205C">
              <w:rPr>
                <w:rFonts w:ascii="Arial" w:hAnsi="Arial"/>
                <w:b/>
                <w:bCs/>
                <w:color w:val="000000"/>
                <w:sz w:val="20"/>
                <w:szCs w:val="20"/>
              </w:rPr>
              <w:t>.</w:t>
            </w:r>
          </w:p>
        </w:tc>
        <w:tc>
          <w:tcPr>
            <w:tcW w:w="840" w:type="dxa"/>
            <w:tcBorders>
              <w:top w:val="single" w:sz="4" w:space="0" w:color="auto"/>
              <w:left w:val="nil"/>
              <w:bottom w:val="nil"/>
              <w:right w:val="nil"/>
            </w:tcBorders>
            <w:shd w:val="solid" w:color="FFFFFF" w:fill="auto"/>
          </w:tcPr>
          <w:p w14:paraId="6647D783"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p w14:paraId="6D23B0E0"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hint="cs"/>
                <w:b/>
                <w:color w:val="000000"/>
                <w:sz w:val="20"/>
                <w:szCs w:val="20"/>
              </w:rPr>
              <w:t>غير منصرف</w:t>
            </w:r>
            <w:r w:rsidR="005A774C" w:rsidRPr="0087205C">
              <w:rPr>
                <w:rFonts w:ascii="Arial" w:hAnsi="Arial"/>
                <w:b/>
                <w:bCs/>
                <w:color w:val="000000"/>
                <w:sz w:val="20"/>
                <w:szCs w:val="20"/>
              </w:rPr>
              <w:t>.</w:t>
            </w:r>
          </w:p>
        </w:tc>
        <w:tc>
          <w:tcPr>
            <w:tcW w:w="1004" w:type="dxa"/>
            <w:tcBorders>
              <w:top w:val="single" w:sz="4" w:space="0" w:color="auto"/>
              <w:left w:val="single" w:sz="6" w:space="0" w:color="auto"/>
              <w:bottom w:val="nil"/>
              <w:right w:val="nil"/>
            </w:tcBorders>
            <w:shd w:val="solid" w:color="FFFFFF" w:fill="auto"/>
          </w:tcPr>
          <w:p w14:paraId="0D457DFC"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Times New Roman" w:eastAsia="Calibri" w:hAnsi="Times New Roman" w:cs="Times New Roman" w:hint="cs"/>
                <w:b/>
                <w:bCs/>
                <w:color w:val="000000"/>
                <w:sz w:val="20"/>
                <w:szCs w:val="20"/>
              </w:rPr>
              <w:t>الأصلي</w:t>
            </w:r>
          </w:p>
        </w:tc>
        <w:tc>
          <w:tcPr>
            <w:tcW w:w="890" w:type="dxa"/>
            <w:tcBorders>
              <w:top w:val="single" w:sz="4" w:space="0" w:color="auto"/>
              <w:left w:val="nil"/>
              <w:bottom w:val="nil"/>
              <w:right w:val="single" w:sz="6" w:space="0" w:color="auto"/>
            </w:tcBorders>
            <w:shd w:val="solid" w:color="FFFFFF" w:fill="auto"/>
          </w:tcPr>
          <w:p w14:paraId="3DFEE2B8" w14:textId="77777777" w:rsidR="005A774C" w:rsidRPr="0087205C" w:rsidRDefault="00932D71" w:rsidP="00304D00">
            <w:pPr>
              <w:autoSpaceDE w:val="0"/>
              <w:autoSpaceDN w:val="0"/>
              <w:adjustRightInd w:val="0"/>
              <w:spacing w:after="0" w:line="240" w:lineRule="auto"/>
              <w:rPr>
                <w:rFonts w:ascii="Arial" w:eastAsia="Arial" w:hAnsi="Arial" w:cs="Arial"/>
                <w:b/>
                <w:bCs/>
                <w:color w:val="000000"/>
                <w:sz w:val="20"/>
                <w:szCs w:val="20"/>
              </w:rPr>
            </w:pPr>
            <w:r w:rsidRPr="0087205C">
              <w:rPr>
                <w:rFonts w:ascii="Arial" w:hAnsi="Arial" w:hint="cs"/>
                <w:b/>
                <w:color w:val="000000"/>
                <w:sz w:val="20"/>
                <w:szCs w:val="20"/>
              </w:rPr>
              <w:t>ما تمت مراجعته</w:t>
            </w:r>
          </w:p>
          <w:p w14:paraId="764C9331"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hint="cs"/>
                <w:b/>
                <w:color w:val="000000"/>
                <w:sz w:val="20"/>
                <w:szCs w:val="20"/>
              </w:rPr>
              <w:t>رسميا</w:t>
            </w:r>
            <w:r w:rsidR="00821657" w:rsidRPr="0087205C">
              <w:rPr>
                <w:rFonts w:ascii="Arial" w:hAnsi="Arial"/>
                <w:b/>
                <w:bCs/>
                <w:color w:val="000000"/>
                <w:sz w:val="20"/>
                <w:szCs w:val="20"/>
              </w:rPr>
              <w:t>**</w:t>
            </w:r>
          </w:p>
        </w:tc>
        <w:tc>
          <w:tcPr>
            <w:tcW w:w="1003" w:type="dxa"/>
            <w:shd w:val="solid" w:color="FFFFFF" w:fill="auto"/>
          </w:tcPr>
          <w:p w14:paraId="72B7C3A5"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15C7ABF2" w14:textId="77777777" w:rsidTr="002A3038">
        <w:trPr>
          <w:trHeight w:val="81"/>
        </w:trPr>
        <w:tc>
          <w:tcPr>
            <w:tcW w:w="1004" w:type="dxa"/>
            <w:tcBorders>
              <w:top w:val="nil"/>
              <w:left w:val="single" w:sz="6" w:space="0" w:color="auto"/>
              <w:bottom w:val="nil"/>
              <w:right w:val="nil"/>
            </w:tcBorders>
            <w:shd w:val="solid" w:color="FFFFFF" w:fill="auto"/>
          </w:tcPr>
          <w:p w14:paraId="4BECC6D3"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004" w:type="dxa"/>
            <w:shd w:val="solid" w:color="FFFFFF" w:fill="auto"/>
          </w:tcPr>
          <w:p w14:paraId="559474F4"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2959" w:type="dxa"/>
            <w:shd w:val="solid" w:color="FFFFFF" w:fill="auto"/>
          </w:tcPr>
          <w:p w14:paraId="3B57887C"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3" w:type="dxa"/>
            <w:gridSpan w:val="2"/>
            <w:shd w:val="solid" w:color="FFFFFF" w:fill="auto"/>
          </w:tcPr>
          <w:p w14:paraId="281BE0B4"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u w:val="single"/>
              </w:rPr>
            </w:pPr>
            <w:r w:rsidRPr="0087205C">
              <w:rPr>
                <w:rFonts w:ascii="Arial" w:hAnsi="Arial" w:hint="cs"/>
                <w:b/>
                <w:color w:val="000000"/>
                <w:sz w:val="20"/>
                <w:szCs w:val="20"/>
                <w:u w:val="single"/>
              </w:rPr>
              <w:t>الإنمائية</w:t>
            </w:r>
          </w:p>
        </w:tc>
        <w:tc>
          <w:tcPr>
            <w:tcW w:w="1587" w:type="dxa"/>
            <w:shd w:val="solid" w:color="FFFFFF" w:fill="auto"/>
          </w:tcPr>
          <w:p w14:paraId="50882332"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u w:val="single"/>
              </w:rPr>
            </w:pPr>
            <w:r w:rsidRPr="0087205C">
              <w:rPr>
                <w:rFonts w:ascii="Arial" w:hAnsi="Arial" w:hint="cs"/>
                <w:b/>
                <w:color w:val="000000"/>
                <w:sz w:val="20"/>
                <w:szCs w:val="20"/>
                <w:u w:val="single"/>
              </w:rPr>
              <w:t>التنفيذ</w:t>
            </w:r>
          </w:p>
        </w:tc>
        <w:tc>
          <w:tcPr>
            <w:tcW w:w="840" w:type="dxa"/>
            <w:shd w:val="solid" w:color="FFFFFF" w:fill="auto"/>
          </w:tcPr>
          <w:p w14:paraId="11BB0BC9"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hint="cs"/>
                <w:b/>
                <w:color w:val="000000"/>
                <w:sz w:val="20"/>
                <w:szCs w:val="20"/>
              </w:rPr>
              <w:t>للموافقة</w:t>
            </w:r>
          </w:p>
        </w:tc>
        <w:tc>
          <w:tcPr>
            <w:tcW w:w="964" w:type="dxa"/>
            <w:shd w:val="solid" w:color="FFFFFF" w:fill="auto"/>
          </w:tcPr>
          <w:p w14:paraId="4FBFD098" w14:textId="77777777" w:rsidR="005A774C" w:rsidRPr="0087205C" w:rsidRDefault="00932D71"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hint="cs"/>
                <w:b/>
                <w:color w:val="000000"/>
                <w:sz w:val="20"/>
                <w:szCs w:val="20"/>
              </w:rPr>
              <w:t>الدولارات</w:t>
            </w:r>
          </w:p>
        </w:tc>
        <w:tc>
          <w:tcPr>
            <w:tcW w:w="852" w:type="dxa"/>
            <w:shd w:val="solid" w:color="FFFFFF" w:fill="auto"/>
          </w:tcPr>
          <w:p w14:paraId="0CB2485D"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40" w:type="dxa"/>
            <w:shd w:val="solid" w:color="FFFFFF" w:fill="auto"/>
          </w:tcPr>
          <w:p w14:paraId="2E8ED5E7"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004" w:type="dxa"/>
            <w:tcBorders>
              <w:top w:val="nil"/>
              <w:left w:val="single" w:sz="6" w:space="0" w:color="auto"/>
              <w:bottom w:val="nil"/>
              <w:right w:val="nil"/>
            </w:tcBorders>
            <w:shd w:val="solid" w:color="FFFFFF" w:fill="auto"/>
          </w:tcPr>
          <w:p w14:paraId="38B0C8A6" w14:textId="77777777" w:rsidR="005A774C" w:rsidRPr="0087205C" w:rsidRDefault="005A774C" w:rsidP="002A3038">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90" w:type="dxa"/>
            <w:tcBorders>
              <w:top w:val="nil"/>
              <w:left w:val="nil"/>
              <w:bottom w:val="nil"/>
              <w:right w:val="single" w:sz="6" w:space="0" w:color="auto"/>
            </w:tcBorders>
            <w:shd w:val="solid" w:color="FFFFFF" w:fill="auto"/>
          </w:tcPr>
          <w:p w14:paraId="710E57F3" w14:textId="77777777" w:rsidR="005A774C" w:rsidRPr="0087205C" w:rsidRDefault="00821657" w:rsidP="002A3038">
            <w:pPr>
              <w:autoSpaceDE w:val="0"/>
              <w:autoSpaceDN w:val="0"/>
              <w:adjustRightInd w:val="0"/>
              <w:spacing w:after="0" w:line="240" w:lineRule="auto"/>
              <w:jc w:val="center"/>
              <w:rPr>
                <w:rFonts w:ascii="Arial" w:eastAsia="Arial" w:hAnsi="Arial" w:cs="Arial"/>
                <w:b/>
                <w:bCs/>
                <w:color w:val="000000"/>
                <w:sz w:val="20"/>
                <w:szCs w:val="20"/>
              </w:rPr>
            </w:pPr>
            <w:r w:rsidRPr="0087205C">
              <w:rPr>
                <w:rFonts w:ascii="Arial" w:hAnsi="Arial"/>
                <w:b/>
                <w:bCs/>
                <w:color w:val="000000"/>
                <w:sz w:val="20"/>
                <w:szCs w:val="20"/>
              </w:rPr>
              <w:t>( أ)</w:t>
            </w:r>
          </w:p>
        </w:tc>
        <w:tc>
          <w:tcPr>
            <w:tcW w:w="1003" w:type="dxa"/>
            <w:shd w:val="solid" w:color="FFFFFF" w:fill="auto"/>
          </w:tcPr>
          <w:p w14:paraId="4E5108B3"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6E74CD81"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shd w:val="solid" w:color="FFFFFF" w:fill="auto"/>
          </w:tcPr>
          <w:p w14:paraId="281C327D"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P151089</w:t>
            </w:r>
          </w:p>
        </w:tc>
        <w:tc>
          <w:tcPr>
            <w:tcW w:w="3963" w:type="dxa"/>
            <w:gridSpan w:val="2"/>
            <w:tcBorders>
              <w:top w:val="single" w:sz="6" w:space="0" w:color="auto"/>
              <w:left w:val="single" w:sz="6" w:space="0" w:color="auto"/>
              <w:bottom w:val="single" w:sz="6" w:space="0" w:color="auto"/>
              <w:right w:val="single" w:sz="6" w:space="0" w:color="auto"/>
            </w:tcBorders>
            <w:shd w:val="solid" w:color="FFFFFF" w:fill="auto"/>
          </w:tcPr>
          <w:p w14:paraId="5CC9BB80"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التمويل لإيجاد فرص عمل</w:t>
            </w:r>
          </w:p>
        </w:tc>
        <w:tc>
          <w:tcPr>
            <w:tcW w:w="1273" w:type="dxa"/>
            <w:gridSpan w:val="2"/>
            <w:tcBorders>
              <w:top w:val="single" w:sz="6" w:space="0" w:color="auto"/>
              <w:left w:val="single" w:sz="6" w:space="0" w:color="auto"/>
              <w:bottom w:val="single" w:sz="6" w:space="0" w:color="auto"/>
              <w:right w:val="single" w:sz="6" w:space="0" w:color="auto"/>
            </w:tcBorders>
            <w:shd w:val="solid" w:color="FFFFFF" w:fill="auto"/>
          </w:tcPr>
          <w:p w14:paraId="422B1263"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 xml:space="preserve">مرض إلى حد ما </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096D4798"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40604DB6"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2016</w:t>
            </w:r>
          </w:p>
        </w:tc>
        <w:tc>
          <w:tcPr>
            <w:tcW w:w="964" w:type="dxa"/>
            <w:tcBorders>
              <w:top w:val="single" w:sz="6" w:space="0" w:color="auto"/>
              <w:left w:val="single" w:sz="6" w:space="0" w:color="auto"/>
              <w:bottom w:val="single" w:sz="6" w:space="0" w:color="auto"/>
              <w:right w:val="single" w:sz="6" w:space="0" w:color="auto"/>
            </w:tcBorders>
            <w:shd w:val="solid" w:color="FFFFFF" w:fill="auto"/>
          </w:tcPr>
          <w:p w14:paraId="4992217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5</w:t>
            </w:r>
          </w:p>
        </w:tc>
        <w:tc>
          <w:tcPr>
            <w:tcW w:w="852" w:type="dxa"/>
            <w:tcBorders>
              <w:top w:val="single" w:sz="6" w:space="0" w:color="auto"/>
              <w:left w:val="single" w:sz="6" w:space="0" w:color="auto"/>
              <w:bottom w:val="single" w:sz="6" w:space="0" w:color="auto"/>
              <w:right w:val="single" w:sz="6" w:space="0" w:color="auto"/>
            </w:tcBorders>
            <w:shd w:val="solid" w:color="FFFFFF" w:fill="auto"/>
          </w:tcPr>
          <w:p w14:paraId="061BF1F0"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791D2DC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4.2</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6F71D780"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7D6529E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2D0686F9"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5C133801"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shd w:val="solid" w:color="FFFFFF" w:fill="auto"/>
          </w:tcPr>
          <w:p w14:paraId="11FCBFE8"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P151089</w:t>
            </w:r>
          </w:p>
        </w:tc>
        <w:tc>
          <w:tcPr>
            <w:tcW w:w="3963" w:type="dxa"/>
            <w:gridSpan w:val="2"/>
            <w:tcBorders>
              <w:top w:val="single" w:sz="6" w:space="0" w:color="auto"/>
              <w:left w:val="single" w:sz="6" w:space="0" w:color="auto"/>
              <w:bottom w:val="single" w:sz="6" w:space="0" w:color="auto"/>
              <w:right w:val="single" w:sz="6" w:space="0" w:color="auto"/>
            </w:tcBorders>
            <w:shd w:val="solid" w:color="FFFFFF" w:fill="auto"/>
          </w:tcPr>
          <w:p w14:paraId="285AEC71"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مشروع التمويل الثاني لإيجاد فرص عمل</w:t>
            </w:r>
          </w:p>
        </w:tc>
        <w:tc>
          <w:tcPr>
            <w:tcW w:w="1273" w:type="dxa"/>
            <w:gridSpan w:val="2"/>
            <w:tcBorders>
              <w:top w:val="single" w:sz="6" w:space="0" w:color="auto"/>
              <w:left w:val="single" w:sz="6" w:space="0" w:color="auto"/>
              <w:bottom w:val="single" w:sz="6" w:space="0" w:color="auto"/>
              <w:right w:val="single" w:sz="6" w:space="0" w:color="auto"/>
            </w:tcBorders>
            <w:shd w:val="solid" w:color="FFFFFF" w:fill="auto"/>
          </w:tcPr>
          <w:p w14:paraId="432D77A1"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42532764"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0B1B013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2018</w:t>
            </w:r>
          </w:p>
        </w:tc>
        <w:tc>
          <w:tcPr>
            <w:tcW w:w="964" w:type="dxa"/>
            <w:tcBorders>
              <w:top w:val="single" w:sz="6" w:space="0" w:color="auto"/>
              <w:left w:val="single" w:sz="6" w:space="0" w:color="auto"/>
              <w:bottom w:val="single" w:sz="6" w:space="0" w:color="auto"/>
              <w:right w:val="single" w:sz="6" w:space="0" w:color="auto"/>
            </w:tcBorders>
            <w:shd w:val="solid" w:color="FFFFFF" w:fill="auto"/>
          </w:tcPr>
          <w:p w14:paraId="260B802A"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9.5</w:t>
            </w:r>
          </w:p>
        </w:tc>
        <w:tc>
          <w:tcPr>
            <w:tcW w:w="852" w:type="dxa"/>
            <w:tcBorders>
              <w:top w:val="single" w:sz="6" w:space="0" w:color="auto"/>
              <w:left w:val="single" w:sz="6" w:space="0" w:color="auto"/>
              <w:bottom w:val="single" w:sz="6" w:space="0" w:color="auto"/>
              <w:right w:val="single" w:sz="6" w:space="0" w:color="auto"/>
            </w:tcBorders>
            <w:shd w:val="solid" w:color="FFFFFF" w:fill="auto"/>
          </w:tcPr>
          <w:p w14:paraId="2240A08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245B29A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5859672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78D7E0B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0CD4D59A"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15D931FA"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shd w:val="solid" w:color="FFFFFF" w:fill="auto"/>
          </w:tcPr>
          <w:p w14:paraId="68586E01"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P148600</w:t>
            </w:r>
          </w:p>
        </w:tc>
        <w:tc>
          <w:tcPr>
            <w:tcW w:w="3963" w:type="dxa"/>
            <w:gridSpan w:val="2"/>
            <w:tcBorders>
              <w:top w:val="single" w:sz="6" w:space="0" w:color="auto"/>
              <w:left w:val="single" w:sz="6" w:space="0" w:color="auto"/>
              <w:bottom w:val="single" w:sz="6" w:space="0" w:color="auto"/>
              <w:right w:val="single" w:sz="6" w:space="0" w:color="auto"/>
            </w:tcBorders>
            <w:shd w:val="solid" w:color="FFFFFF" w:fill="auto"/>
          </w:tcPr>
          <w:p w14:paraId="23810EEE"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مشروع تحسين أداء قطاع الكهرباء</w:t>
            </w:r>
          </w:p>
        </w:tc>
        <w:tc>
          <w:tcPr>
            <w:tcW w:w="1273" w:type="dxa"/>
            <w:gridSpan w:val="2"/>
            <w:tcBorders>
              <w:top w:val="single" w:sz="6" w:space="0" w:color="auto"/>
              <w:left w:val="single" w:sz="6" w:space="0" w:color="auto"/>
              <w:bottom w:val="single" w:sz="6" w:space="0" w:color="auto"/>
              <w:right w:val="single" w:sz="6" w:space="0" w:color="auto"/>
            </w:tcBorders>
            <w:shd w:val="solid" w:color="FFFFFF" w:fill="auto"/>
          </w:tcPr>
          <w:p w14:paraId="29268FE3"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476ABF9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65460D8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2018</w:t>
            </w:r>
          </w:p>
        </w:tc>
        <w:tc>
          <w:tcPr>
            <w:tcW w:w="964" w:type="dxa"/>
            <w:tcBorders>
              <w:top w:val="single" w:sz="6" w:space="0" w:color="auto"/>
              <w:left w:val="single" w:sz="6" w:space="0" w:color="auto"/>
              <w:bottom w:val="single" w:sz="6" w:space="0" w:color="auto"/>
              <w:right w:val="single" w:sz="6" w:space="0" w:color="auto"/>
            </w:tcBorders>
            <w:shd w:val="solid" w:color="FFFFFF" w:fill="auto"/>
          </w:tcPr>
          <w:p w14:paraId="4B81DAE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4</w:t>
            </w:r>
          </w:p>
        </w:tc>
        <w:tc>
          <w:tcPr>
            <w:tcW w:w="852" w:type="dxa"/>
            <w:tcBorders>
              <w:top w:val="single" w:sz="6" w:space="0" w:color="auto"/>
              <w:left w:val="single" w:sz="6" w:space="0" w:color="auto"/>
              <w:bottom w:val="single" w:sz="6" w:space="0" w:color="auto"/>
              <w:right w:val="single" w:sz="6" w:space="0" w:color="auto"/>
            </w:tcBorders>
            <w:shd w:val="solid" w:color="FFFFFF" w:fill="auto"/>
          </w:tcPr>
          <w:p w14:paraId="4FB8524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6D39064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3FB3544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5DB5B48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1EDCC0B2"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379FDD19"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shd w:val="solid" w:color="FFFFFF" w:fill="auto"/>
          </w:tcPr>
          <w:p w14:paraId="485EF7F8"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P116199</w:t>
            </w:r>
          </w:p>
        </w:tc>
        <w:tc>
          <w:tcPr>
            <w:tcW w:w="3963" w:type="dxa"/>
            <w:gridSpan w:val="2"/>
            <w:tcBorders>
              <w:top w:val="single" w:sz="6" w:space="0" w:color="auto"/>
              <w:left w:val="single" w:sz="6" w:space="0" w:color="auto"/>
              <w:bottom w:val="single" w:sz="6" w:space="0" w:color="auto"/>
              <w:right w:val="single" w:sz="6" w:space="0" w:color="auto"/>
            </w:tcBorders>
            <w:shd w:val="solid" w:color="FFFFFF" w:fill="auto"/>
          </w:tcPr>
          <w:p w14:paraId="7E5BCF1D"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شبكة كهرباء غزة ــ</w:t>
            </w:r>
            <w:r w:rsidR="00022F13">
              <w:rPr>
                <w:rFonts w:ascii="Arial" w:hAnsi="Arial"/>
                <w:color w:val="000000"/>
                <w:sz w:val="18"/>
                <w:szCs w:val="18"/>
              </w:rPr>
              <w:t xml:space="preserve"> </w:t>
            </w:r>
            <w:r>
              <w:rPr>
                <w:rFonts w:ascii="Arial" w:hAnsi="Arial"/>
                <w:color w:val="000000"/>
                <w:sz w:val="18"/>
                <w:szCs w:val="18"/>
              </w:rPr>
              <w:t>محطة رحاب</w:t>
            </w:r>
          </w:p>
        </w:tc>
        <w:tc>
          <w:tcPr>
            <w:tcW w:w="1273" w:type="dxa"/>
            <w:gridSpan w:val="2"/>
            <w:tcBorders>
              <w:top w:val="single" w:sz="6" w:space="0" w:color="auto"/>
              <w:left w:val="single" w:sz="6" w:space="0" w:color="auto"/>
              <w:bottom w:val="single" w:sz="6" w:space="0" w:color="auto"/>
              <w:right w:val="single" w:sz="6" w:space="0" w:color="auto"/>
            </w:tcBorders>
            <w:shd w:val="solid" w:color="FFFFFF" w:fill="auto"/>
          </w:tcPr>
          <w:p w14:paraId="23258C90"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728E420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568919C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2012</w:t>
            </w:r>
          </w:p>
        </w:tc>
        <w:tc>
          <w:tcPr>
            <w:tcW w:w="964" w:type="dxa"/>
            <w:tcBorders>
              <w:top w:val="single" w:sz="6" w:space="0" w:color="auto"/>
              <w:left w:val="single" w:sz="6" w:space="0" w:color="auto"/>
              <w:bottom w:val="single" w:sz="6" w:space="0" w:color="auto"/>
              <w:right w:val="single" w:sz="6" w:space="0" w:color="auto"/>
            </w:tcBorders>
            <w:shd w:val="solid" w:color="FFFFFF" w:fill="auto"/>
          </w:tcPr>
          <w:p w14:paraId="64AFE474"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23</w:t>
            </w:r>
          </w:p>
        </w:tc>
        <w:tc>
          <w:tcPr>
            <w:tcW w:w="852" w:type="dxa"/>
            <w:tcBorders>
              <w:top w:val="single" w:sz="6" w:space="0" w:color="auto"/>
              <w:left w:val="single" w:sz="6" w:space="0" w:color="auto"/>
              <w:bottom w:val="single" w:sz="6" w:space="0" w:color="auto"/>
              <w:right w:val="single" w:sz="6" w:space="0" w:color="auto"/>
            </w:tcBorders>
            <w:shd w:val="solid" w:color="FFFFFF" w:fill="auto"/>
          </w:tcPr>
          <w:p w14:paraId="4ADC1034"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7766817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7</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3281A59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-8</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32BB941D"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-0.7</w:t>
            </w:r>
          </w:p>
        </w:tc>
        <w:tc>
          <w:tcPr>
            <w:tcW w:w="1003" w:type="dxa"/>
            <w:shd w:val="solid" w:color="FFFFFF" w:fill="auto"/>
          </w:tcPr>
          <w:p w14:paraId="612DDDB9"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1DBDBA79"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shd w:val="solid" w:color="FFFFFF" w:fill="auto"/>
          </w:tcPr>
          <w:p w14:paraId="0AF1C839"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P121648</w:t>
            </w:r>
          </w:p>
        </w:tc>
        <w:tc>
          <w:tcPr>
            <w:tcW w:w="3963" w:type="dxa"/>
            <w:gridSpan w:val="2"/>
            <w:tcBorders>
              <w:top w:val="single" w:sz="6" w:space="0" w:color="auto"/>
              <w:left w:val="single" w:sz="6" w:space="0" w:color="auto"/>
              <w:bottom w:val="single" w:sz="6" w:space="0" w:color="auto"/>
              <w:right w:val="single" w:sz="6" w:space="0" w:color="auto"/>
            </w:tcBorders>
            <w:shd w:val="solid" w:color="FFFFFF" w:fill="auto"/>
          </w:tcPr>
          <w:p w14:paraId="789AF8C3"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ـ ـ إدارة المخلفات الصلبة في غزة</w:t>
            </w:r>
          </w:p>
        </w:tc>
        <w:tc>
          <w:tcPr>
            <w:tcW w:w="1273" w:type="dxa"/>
            <w:gridSpan w:val="2"/>
            <w:tcBorders>
              <w:top w:val="single" w:sz="6" w:space="0" w:color="auto"/>
              <w:left w:val="single" w:sz="6" w:space="0" w:color="auto"/>
              <w:bottom w:val="single" w:sz="6" w:space="0" w:color="auto"/>
              <w:right w:val="single" w:sz="6" w:space="0" w:color="auto"/>
            </w:tcBorders>
            <w:shd w:val="solid" w:color="FFFFFF" w:fill="auto"/>
          </w:tcPr>
          <w:p w14:paraId="6C464AA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1587" w:type="dxa"/>
            <w:tcBorders>
              <w:top w:val="single" w:sz="6" w:space="0" w:color="auto"/>
              <w:left w:val="single" w:sz="6" w:space="0" w:color="auto"/>
              <w:bottom w:val="single" w:sz="6" w:space="0" w:color="auto"/>
              <w:right w:val="single" w:sz="6" w:space="0" w:color="auto"/>
            </w:tcBorders>
          </w:tcPr>
          <w:p w14:paraId="5FAB8FC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غير مرض إلى حد ما</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53B8E49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2014</w:t>
            </w:r>
          </w:p>
        </w:tc>
        <w:tc>
          <w:tcPr>
            <w:tcW w:w="964" w:type="dxa"/>
            <w:tcBorders>
              <w:top w:val="single" w:sz="6" w:space="0" w:color="auto"/>
              <w:left w:val="single" w:sz="6" w:space="0" w:color="auto"/>
              <w:bottom w:val="single" w:sz="6" w:space="0" w:color="auto"/>
              <w:right w:val="single" w:sz="6" w:space="0" w:color="auto"/>
            </w:tcBorders>
            <w:shd w:val="solid" w:color="FFFFFF" w:fill="auto"/>
          </w:tcPr>
          <w:p w14:paraId="77277B3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10</w:t>
            </w:r>
          </w:p>
        </w:tc>
        <w:tc>
          <w:tcPr>
            <w:tcW w:w="852" w:type="dxa"/>
            <w:tcBorders>
              <w:top w:val="single" w:sz="6" w:space="0" w:color="auto"/>
              <w:left w:val="single" w:sz="6" w:space="0" w:color="auto"/>
              <w:bottom w:val="single" w:sz="6" w:space="0" w:color="auto"/>
              <w:right w:val="single" w:sz="6" w:space="0" w:color="auto"/>
            </w:tcBorders>
            <w:shd w:val="solid" w:color="FFFFFF" w:fill="auto"/>
          </w:tcPr>
          <w:p w14:paraId="40AF6D9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250CD82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8.6</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78CD523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7.4</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77D8FAF3"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5A2021CE"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57AFD956"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shd w:val="solid" w:color="FFFFFF" w:fill="auto"/>
          </w:tcPr>
          <w:p w14:paraId="12A7773F"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lang w:bidi="ar-EG"/>
              </w:rPr>
            </w:pPr>
            <w:r>
              <w:rPr>
                <w:rFonts w:ascii="Arial" w:hAnsi="Arial"/>
                <w:color w:val="000000"/>
                <w:sz w:val="18"/>
                <w:rtl w:val="0"/>
              </w:rPr>
              <w:t>P074595</w:t>
            </w:r>
          </w:p>
        </w:tc>
        <w:tc>
          <w:tcPr>
            <w:tcW w:w="3963" w:type="dxa"/>
            <w:gridSpan w:val="2"/>
            <w:tcBorders>
              <w:top w:val="single" w:sz="6" w:space="0" w:color="auto"/>
              <w:left w:val="single" w:sz="6" w:space="0" w:color="auto"/>
              <w:bottom w:val="single" w:sz="6" w:space="0" w:color="auto"/>
              <w:right w:val="single" w:sz="6" w:space="0" w:color="auto"/>
            </w:tcBorders>
            <w:shd w:val="solid" w:color="FFFFFF" w:fill="auto"/>
          </w:tcPr>
          <w:p w14:paraId="3D9663B5"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 xml:space="preserve">المشروع الطارئ لمعالجة مياه الصرف الصحي في شمال </w:t>
            </w:r>
            <w:r w:rsidR="00FA5A6F">
              <w:rPr>
                <w:rFonts w:ascii="Arial" w:hAnsi="Arial" w:hint="cs"/>
                <w:color w:val="000000"/>
                <w:sz w:val="18"/>
                <w:szCs w:val="18"/>
              </w:rPr>
              <w:t xml:space="preserve">قطاع </w:t>
            </w:r>
            <w:r>
              <w:rPr>
                <w:rFonts w:ascii="Arial" w:hAnsi="Arial"/>
                <w:color w:val="000000"/>
                <w:sz w:val="18"/>
                <w:szCs w:val="18"/>
              </w:rPr>
              <w:t>غزة</w:t>
            </w:r>
          </w:p>
        </w:tc>
        <w:tc>
          <w:tcPr>
            <w:tcW w:w="1273" w:type="dxa"/>
            <w:gridSpan w:val="2"/>
            <w:tcBorders>
              <w:top w:val="single" w:sz="6" w:space="0" w:color="auto"/>
              <w:left w:val="single" w:sz="6" w:space="0" w:color="auto"/>
              <w:bottom w:val="single" w:sz="6" w:space="0" w:color="auto"/>
              <w:right w:val="single" w:sz="6" w:space="0" w:color="auto"/>
            </w:tcBorders>
            <w:shd w:val="solid" w:color="FFFFFF" w:fill="auto"/>
          </w:tcPr>
          <w:p w14:paraId="4D7BFCF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28A4138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398EEC2D"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2005</w:t>
            </w:r>
          </w:p>
        </w:tc>
        <w:tc>
          <w:tcPr>
            <w:tcW w:w="964" w:type="dxa"/>
            <w:tcBorders>
              <w:top w:val="single" w:sz="6" w:space="0" w:color="auto"/>
              <w:left w:val="single" w:sz="6" w:space="0" w:color="auto"/>
              <w:bottom w:val="single" w:sz="6" w:space="0" w:color="auto"/>
              <w:right w:val="single" w:sz="6" w:space="0" w:color="auto"/>
            </w:tcBorders>
            <w:shd w:val="solid" w:color="FFFFFF" w:fill="auto"/>
          </w:tcPr>
          <w:p w14:paraId="3B07600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29.8</w:t>
            </w:r>
          </w:p>
        </w:tc>
        <w:tc>
          <w:tcPr>
            <w:tcW w:w="852" w:type="dxa"/>
            <w:tcBorders>
              <w:top w:val="single" w:sz="6" w:space="0" w:color="auto"/>
              <w:left w:val="single" w:sz="6" w:space="0" w:color="auto"/>
              <w:bottom w:val="single" w:sz="6" w:space="0" w:color="auto"/>
              <w:right w:val="single" w:sz="6" w:space="0" w:color="auto"/>
            </w:tcBorders>
            <w:shd w:val="solid" w:color="FFFFFF" w:fill="auto"/>
          </w:tcPr>
          <w:p w14:paraId="24FBB2A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14:paraId="6702714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7.4</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63C0E093"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14.6</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7974462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-16.6</w:t>
            </w:r>
          </w:p>
        </w:tc>
        <w:tc>
          <w:tcPr>
            <w:tcW w:w="1003" w:type="dxa"/>
            <w:shd w:val="solid" w:color="FFFFFF" w:fill="auto"/>
          </w:tcPr>
          <w:p w14:paraId="7CB570A8"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228F811E"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10319F46"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P127163</w:t>
            </w:r>
          </w:p>
        </w:tc>
        <w:tc>
          <w:tcPr>
            <w:tcW w:w="3963" w:type="dxa"/>
            <w:gridSpan w:val="2"/>
            <w:tcBorders>
              <w:top w:val="single" w:sz="6" w:space="0" w:color="auto"/>
              <w:left w:val="single" w:sz="6" w:space="0" w:color="auto"/>
              <w:bottom w:val="single" w:sz="6" w:space="0" w:color="auto"/>
              <w:right w:val="single" w:sz="6" w:space="0" w:color="auto"/>
            </w:tcBorders>
          </w:tcPr>
          <w:p w14:paraId="5AB7EA8A"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المشروع الثاني لتنمية البلديات</w:t>
            </w:r>
          </w:p>
        </w:tc>
        <w:tc>
          <w:tcPr>
            <w:tcW w:w="1273" w:type="dxa"/>
            <w:gridSpan w:val="2"/>
            <w:tcBorders>
              <w:top w:val="single" w:sz="6" w:space="0" w:color="auto"/>
              <w:left w:val="single" w:sz="6" w:space="0" w:color="auto"/>
              <w:bottom w:val="single" w:sz="6" w:space="0" w:color="auto"/>
              <w:right w:val="single" w:sz="6" w:space="0" w:color="auto"/>
            </w:tcBorders>
          </w:tcPr>
          <w:p w14:paraId="5CAD8D1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tcPr>
          <w:p w14:paraId="090BA1B3"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840" w:type="dxa"/>
            <w:tcBorders>
              <w:top w:val="single" w:sz="6" w:space="0" w:color="auto"/>
              <w:left w:val="single" w:sz="6" w:space="0" w:color="auto"/>
              <w:bottom w:val="single" w:sz="6" w:space="0" w:color="auto"/>
              <w:right w:val="single" w:sz="6" w:space="0" w:color="auto"/>
            </w:tcBorders>
          </w:tcPr>
          <w:p w14:paraId="1E4715CA"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2013</w:t>
            </w:r>
          </w:p>
        </w:tc>
        <w:tc>
          <w:tcPr>
            <w:tcW w:w="964" w:type="dxa"/>
            <w:tcBorders>
              <w:top w:val="single" w:sz="6" w:space="0" w:color="auto"/>
              <w:left w:val="single" w:sz="6" w:space="0" w:color="auto"/>
              <w:bottom w:val="single" w:sz="6" w:space="0" w:color="auto"/>
              <w:right w:val="single" w:sz="6" w:space="0" w:color="auto"/>
            </w:tcBorders>
          </w:tcPr>
          <w:p w14:paraId="281B9DF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13</w:t>
            </w:r>
          </w:p>
        </w:tc>
        <w:tc>
          <w:tcPr>
            <w:tcW w:w="852" w:type="dxa"/>
            <w:tcBorders>
              <w:top w:val="single" w:sz="6" w:space="0" w:color="auto"/>
              <w:left w:val="single" w:sz="6" w:space="0" w:color="auto"/>
              <w:bottom w:val="single" w:sz="6" w:space="0" w:color="auto"/>
              <w:right w:val="single" w:sz="6" w:space="0" w:color="auto"/>
            </w:tcBorders>
          </w:tcPr>
          <w:p w14:paraId="4688777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7C5C869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.47</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04A4580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2.5</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2FD2B4A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--28.3</w:t>
            </w:r>
          </w:p>
        </w:tc>
        <w:tc>
          <w:tcPr>
            <w:tcW w:w="1003" w:type="dxa"/>
            <w:shd w:val="solid" w:color="FFFFFF" w:fill="auto"/>
          </w:tcPr>
          <w:p w14:paraId="416A3567"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395695ED"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7659276C"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P111394</w:t>
            </w:r>
          </w:p>
        </w:tc>
        <w:tc>
          <w:tcPr>
            <w:tcW w:w="3963" w:type="dxa"/>
            <w:gridSpan w:val="2"/>
            <w:tcBorders>
              <w:top w:val="single" w:sz="6" w:space="0" w:color="auto"/>
              <w:left w:val="single" w:sz="6" w:space="0" w:color="auto"/>
              <w:bottom w:val="single" w:sz="6" w:space="0" w:color="auto"/>
              <w:right w:val="single" w:sz="6" w:space="0" w:color="auto"/>
            </w:tcBorders>
          </w:tcPr>
          <w:p w14:paraId="554A5E08"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مشروع تحسين إعداد المعلمين</w:t>
            </w:r>
          </w:p>
        </w:tc>
        <w:tc>
          <w:tcPr>
            <w:tcW w:w="1273" w:type="dxa"/>
            <w:gridSpan w:val="2"/>
            <w:tcBorders>
              <w:top w:val="single" w:sz="6" w:space="0" w:color="auto"/>
              <w:left w:val="single" w:sz="6" w:space="0" w:color="auto"/>
              <w:bottom w:val="single" w:sz="6" w:space="0" w:color="auto"/>
              <w:right w:val="single" w:sz="6" w:space="0" w:color="auto"/>
            </w:tcBorders>
          </w:tcPr>
          <w:p w14:paraId="2106463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tcPr>
          <w:p w14:paraId="08C0F970"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840" w:type="dxa"/>
            <w:tcBorders>
              <w:top w:val="single" w:sz="6" w:space="0" w:color="auto"/>
              <w:left w:val="single" w:sz="6" w:space="0" w:color="auto"/>
              <w:bottom w:val="single" w:sz="6" w:space="0" w:color="auto"/>
              <w:right w:val="single" w:sz="6" w:space="0" w:color="auto"/>
            </w:tcBorders>
          </w:tcPr>
          <w:p w14:paraId="6E2DF36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2010</w:t>
            </w:r>
          </w:p>
        </w:tc>
        <w:tc>
          <w:tcPr>
            <w:tcW w:w="964" w:type="dxa"/>
            <w:tcBorders>
              <w:top w:val="single" w:sz="6" w:space="0" w:color="auto"/>
              <w:left w:val="single" w:sz="6" w:space="0" w:color="auto"/>
              <w:bottom w:val="single" w:sz="6" w:space="0" w:color="auto"/>
              <w:right w:val="single" w:sz="6" w:space="0" w:color="auto"/>
            </w:tcBorders>
          </w:tcPr>
          <w:p w14:paraId="73DFE60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8</w:t>
            </w:r>
          </w:p>
        </w:tc>
        <w:tc>
          <w:tcPr>
            <w:tcW w:w="852" w:type="dxa"/>
            <w:tcBorders>
              <w:top w:val="single" w:sz="6" w:space="0" w:color="auto"/>
              <w:left w:val="single" w:sz="6" w:space="0" w:color="auto"/>
              <w:bottom w:val="single" w:sz="6" w:space="0" w:color="auto"/>
              <w:right w:val="single" w:sz="6" w:space="0" w:color="auto"/>
            </w:tcBorders>
          </w:tcPr>
          <w:p w14:paraId="6F895191"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020B279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00FA3502"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19D031D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0.8</w:t>
            </w:r>
          </w:p>
        </w:tc>
        <w:tc>
          <w:tcPr>
            <w:tcW w:w="1003" w:type="dxa"/>
            <w:shd w:val="solid" w:color="FFFFFF" w:fill="auto"/>
          </w:tcPr>
          <w:p w14:paraId="63150B12"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64112BA3"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49C26FBA"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P159258</w:t>
            </w:r>
          </w:p>
        </w:tc>
        <w:tc>
          <w:tcPr>
            <w:tcW w:w="3963" w:type="dxa"/>
            <w:gridSpan w:val="2"/>
            <w:tcBorders>
              <w:top w:val="single" w:sz="6" w:space="0" w:color="auto"/>
              <w:left w:val="single" w:sz="6" w:space="0" w:color="auto"/>
              <w:bottom w:val="single" w:sz="6" w:space="0" w:color="auto"/>
              <w:right w:val="single" w:sz="6" w:space="0" w:color="auto"/>
            </w:tcBorders>
          </w:tcPr>
          <w:p w14:paraId="4345091D"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المشروع الثالث لتطوير البلديات</w:t>
            </w:r>
          </w:p>
        </w:tc>
        <w:tc>
          <w:tcPr>
            <w:tcW w:w="1273" w:type="dxa"/>
            <w:gridSpan w:val="2"/>
            <w:tcBorders>
              <w:top w:val="single" w:sz="6" w:space="0" w:color="auto"/>
              <w:left w:val="single" w:sz="6" w:space="0" w:color="auto"/>
              <w:bottom w:val="single" w:sz="6" w:space="0" w:color="auto"/>
              <w:right w:val="single" w:sz="6" w:space="0" w:color="auto"/>
            </w:tcBorders>
          </w:tcPr>
          <w:p w14:paraId="4A7B6F82"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w:t>
            </w:r>
          </w:p>
        </w:tc>
        <w:tc>
          <w:tcPr>
            <w:tcW w:w="1587" w:type="dxa"/>
            <w:tcBorders>
              <w:top w:val="single" w:sz="6" w:space="0" w:color="auto"/>
              <w:left w:val="single" w:sz="6" w:space="0" w:color="auto"/>
              <w:bottom w:val="single" w:sz="6" w:space="0" w:color="auto"/>
              <w:right w:val="single" w:sz="6" w:space="0" w:color="auto"/>
            </w:tcBorders>
          </w:tcPr>
          <w:p w14:paraId="7C719D1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w:t>
            </w:r>
          </w:p>
        </w:tc>
        <w:tc>
          <w:tcPr>
            <w:tcW w:w="840" w:type="dxa"/>
            <w:tcBorders>
              <w:top w:val="single" w:sz="6" w:space="0" w:color="auto"/>
              <w:left w:val="single" w:sz="6" w:space="0" w:color="auto"/>
              <w:bottom w:val="single" w:sz="6" w:space="0" w:color="auto"/>
              <w:right w:val="single" w:sz="6" w:space="0" w:color="auto"/>
            </w:tcBorders>
          </w:tcPr>
          <w:p w14:paraId="2DA5B8B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2018</w:t>
            </w:r>
          </w:p>
        </w:tc>
        <w:tc>
          <w:tcPr>
            <w:tcW w:w="964" w:type="dxa"/>
            <w:tcBorders>
              <w:top w:val="single" w:sz="6" w:space="0" w:color="auto"/>
              <w:left w:val="single" w:sz="6" w:space="0" w:color="auto"/>
              <w:bottom w:val="single" w:sz="6" w:space="0" w:color="auto"/>
              <w:right w:val="single" w:sz="6" w:space="0" w:color="auto"/>
            </w:tcBorders>
          </w:tcPr>
          <w:p w14:paraId="49ACAB2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16</w:t>
            </w:r>
          </w:p>
        </w:tc>
        <w:tc>
          <w:tcPr>
            <w:tcW w:w="852" w:type="dxa"/>
            <w:tcBorders>
              <w:top w:val="single" w:sz="6" w:space="0" w:color="auto"/>
              <w:left w:val="single" w:sz="6" w:space="0" w:color="auto"/>
              <w:bottom w:val="single" w:sz="6" w:space="0" w:color="auto"/>
              <w:right w:val="single" w:sz="6" w:space="0" w:color="auto"/>
            </w:tcBorders>
          </w:tcPr>
          <w:p w14:paraId="00300E5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4EA287B4"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4C3CE06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5679B9BD"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16D77E33"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6704730D"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01C40680"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P117443</w:t>
            </w:r>
          </w:p>
        </w:tc>
        <w:tc>
          <w:tcPr>
            <w:tcW w:w="3963" w:type="dxa"/>
            <w:gridSpan w:val="2"/>
            <w:tcBorders>
              <w:top w:val="single" w:sz="6" w:space="0" w:color="auto"/>
              <w:left w:val="single" w:sz="6" w:space="0" w:color="auto"/>
              <w:bottom w:val="single" w:sz="6" w:space="0" w:color="auto"/>
              <w:right w:val="single" w:sz="6" w:space="0" w:color="auto"/>
            </w:tcBorders>
          </w:tcPr>
          <w:p w14:paraId="583A20C2"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مشروع بناء قدرات قطاع المياه</w:t>
            </w:r>
          </w:p>
        </w:tc>
        <w:tc>
          <w:tcPr>
            <w:tcW w:w="1273" w:type="dxa"/>
            <w:gridSpan w:val="2"/>
            <w:tcBorders>
              <w:top w:val="single" w:sz="6" w:space="0" w:color="auto"/>
              <w:left w:val="single" w:sz="6" w:space="0" w:color="auto"/>
              <w:bottom w:val="single" w:sz="6" w:space="0" w:color="auto"/>
              <w:right w:val="single" w:sz="6" w:space="0" w:color="auto"/>
            </w:tcBorders>
          </w:tcPr>
          <w:p w14:paraId="49079E86"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1587" w:type="dxa"/>
            <w:tcBorders>
              <w:top w:val="single" w:sz="6" w:space="0" w:color="auto"/>
              <w:left w:val="single" w:sz="6" w:space="0" w:color="auto"/>
              <w:bottom w:val="single" w:sz="6" w:space="0" w:color="auto"/>
              <w:right w:val="single" w:sz="6" w:space="0" w:color="auto"/>
            </w:tcBorders>
          </w:tcPr>
          <w:p w14:paraId="445968AD"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840" w:type="dxa"/>
            <w:tcBorders>
              <w:top w:val="single" w:sz="6" w:space="0" w:color="auto"/>
              <w:left w:val="single" w:sz="6" w:space="0" w:color="auto"/>
              <w:bottom w:val="single" w:sz="6" w:space="0" w:color="auto"/>
              <w:right w:val="single" w:sz="6" w:space="0" w:color="auto"/>
            </w:tcBorders>
          </w:tcPr>
          <w:p w14:paraId="35118133"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2011</w:t>
            </w:r>
          </w:p>
        </w:tc>
        <w:tc>
          <w:tcPr>
            <w:tcW w:w="964" w:type="dxa"/>
            <w:tcBorders>
              <w:top w:val="single" w:sz="6" w:space="0" w:color="auto"/>
              <w:left w:val="single" w:sz="6" w:space="0" w:color="auto"/>
              <w:bottom w:val="single" w:sz="6" w:space="0" w:color="auto"/>
              <w:right w:val="single" w:sz="6" w:space="0" w:color="auto"/>
            </w:tcBorders>
          </w:tcPr>
          <w:p w14:paraId="7B965EE2"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3</w:t>
            </w:r>
          </w:p>
        </w:tc>
        <w:tc>
          <w:tcPr>
            <w:tcW w:w="852" w:type="dxa"/>
            <w:tcBorders>
              <w:top w:val="single" w:sz="6" w:space="0" w:color="auto"/>
              <w:left w:val="single" w:sz="6" w:space="0" w:color="auto"/>
              <w:bottom w:val="single" w:sz="6" w:space="0" w:color="auto"/>
              <w:right w:val="single" w:sz="6" w:space="0" w:color="auto"/>
            </w:tcBorders>
          </w:tcPr>
          <w:p w14:paraId="52C310B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2066209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08FE0DD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1565ACAD"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789E2BD5"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63B624D8"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30BEB07C"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P150481</w:t>
            </w:r>
          </w:p>
        </w:tc>
        <w:tc>
          <w:tcPr>
            <w:tcW w:w="3963" w:type="dxa"/>
            <w:gridSpan w:val="2"/>
            <w:tcBorders>
              <w:top w:val="single" w:sz="6" w:space="0" w:color="auto"/>
              <w:left w:val="single" w:sz="6" w:space="0" w:color="auto"/>
              <w:bottom w:val="single" w:sz="6" w:space="0" w:color="auto"/>
              <w:right w:val="single" w:sz="6" w:space="0" w:color="auto"/>
            </w:tcBorders>
          </w:tcPr>
          <w:p w14:paraId="1E855B11"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مشروع تدعيم قدرة النظام الصحي على الصمود</w:t>
            </w:r>
          </w:p>
        </w:tc>
        <w:tc>
          <w:tcPr>
            <w:tcW w:w="1273" w:type="dxa"/>
            <w:gridSpan w:val="2"/>
            <w:tcBorders>
              <w:top w:val="single" w:sz="6" w:space="0" w:color="auto"/>
              <w:left w:val="single" w:sz="6" w:space="0" w:color="auto"/>
              <w:bottom w:val="single" w:sz="6" w:space="0" w:color="auto"/>
              <w:right w:val="single" w:sz="6" w:space="0" w:color="auto"/>
            </w:tcBorders>
          </w:tcPr>
          <w:p w14:paraId="7D0362B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tcPr>
          <w:p w14:paraId="05EF8BA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840" w:type="dxa"/>
            <w:tcBorders>
              <w:top w:val="single" w:sz="6" w:space="0" w:color="auto"/>
              <w:left w:val="single" w:sz="6" w:space="0" w:color="auto"/>
              <w:bottom w:val="single" w:sz="6" w:space="0" w:color="auto"/>
              <w:right w:val="single" w:sz="6" w:space="0" w:color="auto"/>
            </w:tcBorders>
          </w:tcPr>
          <w:p w14:paraId="51CE73D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2015</w:t>
            </w:r>
          </w:p>
        </w:tc>
        <w:tc>
          <w:tcPr>
            <w:tcW w:w="964" w:type="dxa"/>
            <w:tcBorders>
              <w:top w:val="single" w:sz="6" w:space="0" w:color="auto"/>
              <w:left w:val="single" w:sz="6" w:space="0" w:color="auto"/>
              <w:bottom w:val="single" w:sz="6" w:space="0" w:color="auto"/>
              <w:right w:val="single" w:sz="6" w:space="0" w:color="auto"/>
            </w:tcBorders>
          </w:tcPr>
          <w:p w14:paraId="783EF2F1"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8.5</w:t>
            </w:r>
          </w:p>
        </w:tc>
        <w:tc>
          <w:tcPr>
            <w:tcW w:w="852" w:type="dxa"/>
            <w:tcBorders>
              <w:top w:val="single" w:sz="6" w:space="0" w:color="auto"/>
              <w:left w:val="single" w:sz="6" w:space="0" w:color="auto"/>
              <w:bottom w:val="single" w:sz="6" w:space="0" w:color="auto"/>
              <w:right w:val="single" w:sz="6" w:space="0" w:color="auto"/>
            </w:tcBorders>
          </w:tcPr>
          <w:p w14:paraId="21FB00B6"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3557150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4.5</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68CE1E8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46772133"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634185C8"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28E51DD8"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5DB04E7B"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P117449</w:t>
            </w:r>
          </w:p>
        </w:tc>
        <w:tc>
          <w:tcPr>
            <w:tcW w:w="3963" w:type="dxa"/>
            <w:gridSpan w:val="2"/>
            <w:tcBorders>
              <w:top w:val="single" w:sz="6" w:space="0" w:color="auto"/>
              <w:left w:val="single" w:sz="6" w:space="0" w:color="auto"/>
              <w:bottom w:val="single" w:sz="6" w:space="0" w:color="auto"/>
              <w:right w:val="single" w:sz="6" w:space="0" w:color="auto"/>
            </w:tcBorders>
          </w:tcPr>
          <w:p w14:paraId="4FBFA09F"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المشروع الأول لإدارة المياه العادمة الإقليمي في الخليل</w:t>
            </w:r>
          </w:p>
        </w:tc>
        <w:tc>
          <w:tcPr>
            <w:tcW w:w="1273" w:type="dxa"/>
            <w:gridSpan w:val="2"/>
            <w:tcBorders>
              <w:top w:val="single" w:sz="6" w:space="0" w:color="auto"/>
              <w:left w:val="single" w:sz="6" w:space="0" w:color="auto"/>
              <w:bottom w:val="single" w:sz="6" w:space="0" w:color="auto"/>
              <w:right w:val="single" w:sz="6" w:space="0" w:color="auto"/>
            </w:tcBorders>
          </w:tcPr>
          <w:p w14:paraId="0581C8B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1587" w:type="dxa"/>
            <w:tcBorders>
              <w:top w:val="single" w:sz="6" w:space="0" w:color="auto"/>
              <w:left w:val="single" w:sz="6" w:space="0" w:color="auto"/>
              <w:bottom w:val="single" w:sz="6" w:space="0" w:color="auto"/>
              <w:right w:val="single" w:sz="6" w:space="0" w:color="auto"/>
            </w:tcBorders>
          </w:tcPr>
          <w:p w14:paraId="5EFE8706"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غير مرض إلى حد ما</w:t>
            </w:r>
          </w:p>
        </w:tc>
        <w:tc>
          <w:tcPr>
            <w:tcW w:w="840" w:type="dxa"/>
            <w:tcBorders>
              <w:top w:val="single" w:sz="6" w:space="0" w:color="auto"/>
              <w:left w:val="single" w:sz="6" w:space="0" w:color="auto"/>
              <w:bottom w:val="single" w:sz="6" w:space="0" w:color="auto"/>
              <w:right w:val="single" w:sz="6" w:space="0" w:color="auto"/>
            </w:tcBorders>
          </w:tcPr>
          <w:p w14:paraId="658EC9E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2015</w:t>
            </w:r>
          </w:p>
        </w:tc>
        <w:tc>
          <w:tcPr>
            <w:tcW w:w="964" w:type="dxa"/>
            <w:tcBorders>
              <w:top w:val="single" w:sz="6" w:space="0" w:color="auto"/>
              <w:left w:val="single" w:sz="6" w:space="0" w:color="auto"/>
              <w:bottom w:val="single" w:sz="6" w:space="0" w:color="auto"/>
              <w:right w:val="single" w:sz="6" w:space="0" w:color="auto"/>
            </w:tcBorders>
          </w:tcPr>
          <w:p w14:paraId="31E4326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4.5</w:t>
            </w:r>
          </w:p>
        </w:tc>
        <w:tc>
          <w:tcPr>
            <w:tcW w:w="852" w:type="dxa"/>
            <w:tcBorders>
              <w:top w:val="single" w:sz="6" w:space="0" w:color="auto"/>
              <w:left w:val="single" w:sz="6" w:space="0" w:color="auto"/>
              <w:bottom w:val="single" w:sz="6" w:space="0" w:color="auto"/>
              <w:right w:val="single" w:sz="6" w:space="0" w:color="auto"/>
            </w:tcBorders>
          </w:tcPr>
          <w:p w14:paraId="1A6F7071"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403967A8"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3.8</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754A723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2.6</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440DA90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5B1AA97E"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13615B1E"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78B69D7D"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P150991</w:t>
            </w:r>
          </w:p>
        </w:tc>
        <w:tc>
          <w:tcPr>
            <w:tcW w:w="3963" w:type="dxa"/>
            <w:gridSpan w:val="2"/>
            <w:tcBorders>
              <w:top w:val="single" w:sz="6" w:space="0" w:color="auto"/>
              <w:left w:val="single" w:sz="6" w:space="0" w:color="auto"/>
              <w:bottom w:val="single" w:sz="6" w:space="0" w:color="auto"/>
              <w:right w:val="single" w:sz="6" w:space="0" w:color="auto"/>
            </w:tcBorders>
          </w:tcPr>
          <w:p w14:paraId="10C4C331"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مشروع التنمية الحضرية والمدن المتكاملة</w:t>
            </w:r>
          </w:p>
        </w:tc>
        <w:tc>
          <w:tcPr>
            <w:tcW w:w="1273" w:type="dxa"/>
            <w:gridSpan w:val="2"/>
            <w:tcBorders>
              <w:top w:val="single" w:sz="6" w:space="0" w:color="auto"/>
              <w:left w:val="single" w:sz="6" w:space="0" w:color="auto"/>
              <w:bottom w:val="single" w:sz="6" w:space="0" w:color="auto"/>
              <w:right w:val="single" w:sz="6" w:space="0" w:color="auto"/>
            </w:tcBorders>
          </w:tcPr>
          <w:p w14:paraId="6780EF2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1587" w:type="dxa"/>
            <w:tcBorders>
              <w:top w:val="single" w:sz="6" w:space="0" w:color="auto"/>
              <w:left w:val="single" w:sz="6" w:space="0" w:color="auto"/>
              <w:bottom w:val="single" w:sz="6" w:space="0" w:color="auto"/>
              <w:right w:val="single" w:sz="6" w:space="0" w:color="auto"/>
            </w:tcBorders>
          </w:tcPr>
          <w:p w14:paraId="5863F938"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إلى حد ما</w:t>
            </w:r>
          </w:p>
        </w:tc>
        <w:tc>
          <w:tcPr>
            <w:tcW w:w="840" w:type="dxa"/>
            <w:tcBorders>
              <w:top w:val="single" w:sz="6" w:space="0" w:color="auto"/>
              <w:left w:val="single" w:sz="6" w:space="0" w:color="auto"/>
              <w:bottom w:val="single" w:sz="6" w:space="0" w:color="auto"/>
              <w:right w:val="single" w:sz="6" w:space="0" w:color="auto"/>
            </w:tcBorders>
          </w:tcPr>
          <w:p w14:paraId="0E5CC6D1"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2017</w:t>
            </w:r>
          </w:p>
        </w:tc>
        <w:tc>
          <w:tcPr>
            <w:tcW w:w="964" w:type="dxa"/>
            <w:tcBorders>
              <w:top w:val="single" w:sz="6" w:space="0" w:color="auto"/>
              <w:left w:val="single" w:sz="6" w:space="0" w:color="auto"/>
              <w:bottom w:val="single" w:sz="6" w:space="0" w:color="auto"/>
              <w:right w:val="single" w:sz="6" w:space="0" w:color="auto"/>
            </w:tcBorders>
          </w:tcPr>
          <w:p w14:paraId="184401D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5</w:t>
            </w:r>
          </w:p>
        </w:tc>
        <w:tc>
          <w:tcPr>
            <w:tcW w:w="852" w:type="dxa"/>
            <w:tcBorders>
              <w:top w:val="single" w:sz="6" w:space="0" w:color="auto"/>
              <w:left w:val="single" w:sz="6" w:space="0" w:color="auto"/>
              <w:bottom w:val="single" w:sz="6" w:space="0" w:color="auto"/>
              <w:right w:val="single" w:sz="6" w:space="0" w:color="auto"/>
            </w:tcBorders>
          </w:tcPr>
          <w:p w14:paraId="04084F22"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4DD088A4"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4.5</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5416EBB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0.1</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0E5ED502"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671E604D"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3E20E713"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18F14C04"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P148896</w:t>
            </w:r>
          </w:p>
        </w:tc>
        <w:tc>
          <w:tcPr>
            <w:tcW w:w="3963" w:type="dxa"/>
            <w:gridSpan w:val="2"/>
            <w:tcBorders>
              <w:top w:val="single" w:sz="6" w:space="0" w:color="auto"/>
              <w:left w:val="single" w:sz="6" w:space="0" w:color="auto"/>
              <w:bottom w:val="single" w:sz="6" w:space="0" w:color="auto"/>
              <w:right w:val="single" w:sz="6" w:space="0" w:color="auto"/>
            </w:tcBorders>
          </w:tcPr>
          <w:p w14:paraId="7BFDFF2E"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الحوكمة على مستوى أجهزة الحكم المحلي وتحسين الخدمات</w:t>
            </w:r>
          </w:p>
        </w:tc>
        <w:tc>
          <w:tcPr>
            <w:tcW w:w="1273" w:type="dxa"/>
            <w:gridSpan w:val="2"/>
            <w:tcBorders>
              <w:top w:val="single" w:sz="6" w:space="0" w:color="auto"/>
              <w:left w:val="single" w:sz="6" w:space="0" w:color="auto"/>
              <w:bottom w:val="single" w:sz="6" w:space="0" w:color="auto"/>
              <w:right w:val="single" w:sz="6" w:space="0" w:color="auto"/>
            </w:tcBorders>
          </w:tcPr>
          <w:p w14:paraId="5A337DB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tcPr>
          <w:p w14:paraId="046AFF5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840" w:type="dxa"/>
            <w:tcBorders>
              <w:top w:val="single" w:sz="6" w:space="0" w:color="auto"/>
              <w:left w:val="single" w:sz="6" w:space="0" w:color="auto"/>
              <w:bottom w:val="single" w:sz="6" w:space="0" w:color="auto"/>
              <w:right w:val="single" w:sz="6" w:space="0" w:color="auto"/>
            </w:tcBorders>
          </w:tcPr>
          <w:p w14:paraId="17D2A458"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2016</w:t>
            </w:r>
          </w:p>
        </w:tc>
        <w:tc>
          <w:tcPr>
            <w:tcW w:w="964" w:type="dxa"/>
            <w:tcBorders>
              <w:top w:val="single" w:sz="6" w:space="0" w:color="auto"/>
              <w:left w:val="single" w:sz="6" w:space="0" w:color="auto"/>
              <w:bottom w:val="single" w:sz="6" w:space="0" w:color="auto"/>
              <w:right w:val="single" w:sz="6" w:space="0" w:color="auto"/>
            </w:tcBorders>
          </w:tcPr>
          <w:p w14:paraId="06F7817D"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5</w:t>
            </w:r>
          </w:p>
        </w:tc>
        <w:tc>
          <w:tcPr>
            <w:tcW w:w="852" w:type="dxa"/>
            <w:tcBorders>
              <w:top w:val="single" w:sz="6" w:space="0" w:color="auto"/>
              <w:left w:val="single" w:sz="6" w:space="0" w:color="auto"/>
              <w:bottom w:val="single" w:sz="6" w:space="0" w:color="auto"/>
              <w:right w:val="single" w:sz="6" w:space="0" w:color="auto"/>
            </w:tcBorders>
          </w:tcPr>
          <w:p w14:paraId="602F50C1"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1239ECB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4</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533B9BF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30DC6C3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13304703"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2B70FDC8"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0F4DAB75"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P160674</w:t>
            </w:r>
          </w:p>
        </w:tc>
        <w:tc>
          <w:tcPr>
            <w:tcW w:w="3963" w:type="dxa"/>
            <w:gridSpan w:val="2"/>
            <w:tcBorders>
              <w:top w:val="single" w:sz="6" w:space="0" w:color="auto"/>
              <w:left w:val="single" w:sz="6" w:space="0" w:color="auto"/>
              <w:bottom w:val="single" w:sz="6" w:space="0" w:color="auto"/>
              <w:right w:val="single" w:sz="6" w:space="0" w:color="auto"/>
            </w:tcBorders>
          </w:tcPr>
          <w:p w14:paraId="31B75C08"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مشروع تعزيز الحماية الاجتماعية</w:t>
            </w:r>
          </w:p>
        </w:tc>
        <w:tc>
          <w:tcPr>
            <w:tcW w:w="1273" w:type="dxa"/>
            <w:gridSpan w:val="2"/>
            <w:tcBorders>
              <w:top w:val="single" w:sz="6" w:space="0" w:color="auto"/>
              <w:left w:val="single" w:sz="6" w:space="0" w:color="auto"/>
              <w:bottom w:val="single" w:sz="6" w:space="0" w:color="auto"/>
              <w:right w:val="single" w:sz="6" w:space="0" w:color="auto"/>
            </w:tcBorders>
          </w:tcPr>
          <w:p w14:paraId="62525F0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w:t>
            </w:r>
          </w:p>
        </w:tc>
        <w:tc>
          <w:tcPr>
            <w:tcW w:w="1587" w:type="dxa"/>
            <w:tcBorders>
              <w:top w:val="single" w:sz="6" w:space="0" w:color="auto"/>
              <w:left w:val="single" w:sz="6" w:space="0" w:color="auto"/>
              <w:bottom w:val="single" w:sz="6" w:space="0" w:color="auto"/>
              <w:right w:val="single" w:sz="6" w:space="0" w:color="auto"/>
            </w:tcBorders>
          </w:tcPr>
          <w:p w14:paraId="0D15156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w:t>
            </w:r>
          </w:p>
        </w:tc>
        <w:tc>
          <w:tcPr>
            <w:tcW w:w="840" w:type="dxa"/>
            <w:tcBorders>
              <w:top w:val="single" w:sz="6" w:space="0" w:color="auto"/>
              <w:left w:val="single" w:sz="6" w:space="0" w:color="auto"/>
              <w:bottom w:val="single" w:sz="6" w:space="0" w:color="auto"/>
              <w:right w:val="single" w:sz="6" w:space="0" w:color="auto"/>
            </w:tcBorders>
          </w:tcPr>
          <w:p w14:paraId="7CE37D56"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2018</w:t>
            </w:r>
          </w:p>
        </w:tc>
        <w:tc>
          <w:tcPr>
            <w:tcW w:w="964" w:type="dxa"/>
            <w:tcBorders>
              <w:top w:val="single" w:sz="6" w:space="0" w:color="auto"/>
              <w:left w:val="single" w:sz="6" w:space="0" w:color="auto"/>
              <w:bottom w:val="single" w:sz="6" w:space="0" w:color="auto"/>
              <w:right w:val="single" w:sz="6" w:space="0" w:color="auto"/>
            </w:tcBorders>
          </w:tcPr>
          <w:p w14:paraId="3E4C59C8"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15</w:t>
            </w:r>
          </w:p>
        </w:tc>
        <w:tc>
          <w:tcPr>
            <w:tcW w:w="852" w:type="dxa"/>
            <w:tcBorders>
              <w:top w:val="single" w:sz="6" w:space="0" w:color="auto"/>
              <w:left w:val="single" w:sz="6" w:space="0" w:color="auto"/>
              <w:bottom w:val="single" w:sz="6" w:space="0" w:color="auto"/>
              <w:right w:val="single" w:sz="6" w:space="0" w:color="auto"/>
            </w:tcBorders>
          </w:tcPr>
          <w:p w14:paraId="121D2C2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04333CC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3CAFF7C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45C2A5A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5759CF42"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114543C8"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28C49D3A"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P119307</w:t>
            </w:r>
          </w:p>
        </w:tc>
        <w:tc>
          <w:tcPr>
            <w:tcW w:w="3963" w:type="dxa"/>
            <w:gridSpan w:val="2"/>
            <w:tcBorders>
              <w:top w:val="single" w:sz="6" w:space="0" w:color="auto"/>
              <w:left w:val="single" w:sz="6" w:space="0" w:color="auto"/>
              <w:bottom w:val="single" w:sz="6" w:space="0" w:color="auto"/>
              <w:right w:val="single" w:sz="6" w:space="0" w:color="auto"/>
            </w:tcBorders>
          </w:tcPr>
          <w:p w14:paraId="19D07D0F"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برنامج التحويلات النقدية</w:t>
            </w:r>
          </w:p>
        </w:tc>
        <w:tc>
          <w:tcPr>
            <w:tcW w:w="1273" w:type="dxa"/>
            <w:gridSpan w:val="2"/>
            <w:tcBorders>
              <w:top w:val="single" w:sz="6" w:space="0" w:color="auto"/>
              <w:left w:val="single" w:sz="6" w:space="0" w:color="auto"/>
              <w:bottom w:val="single" w:sz="6" w:space="0" w:color="auto"/>
              <w:right w:val="single" w:sz="6" w:space="0" w:color="auto"/>
            </w:tcBorders>
          </w:tcPr>
          <w:p w14:paraId="6E5A6AC2"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tcPr>
          <w:p w14:paraId="1DBE8B2A"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840" w:type="dxa"/>
            <w:tcBorders>
              <w:top w:val="single" w:sz="6" w:space="0" w:color="auto"/>
              <w:left w:val="single" w:sz="6" w:space="0" w:color="auto"/>
              <w:bottom w:val="single" w:sz="6" w:space="0" w:color="auto"/>
              <w:right w:val="single" w:sz="6" w:space="0" w:color="auto"/>
            </w:tcBorders>
          </w:tcPr>
          <w:p w14:paraId="31ED994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2011</w:t>
            </w:r>
          </w:p>
        </w:tc>
        <w:tc>
          <w:tcPr>
            <w:tcW w:w="964" w:type="dxa"/>
            <w:tcBorders>
              <w:top w:val="single" w:sz="6" w:space="0" w:color="auto"/>
              <w:left w:val="single" w:sz="6" w:space="0" w:color="auto"/>
              <w:bottom w:val="single" w:sz="6" w:space="0" w:color="auto"/>
              <w:right w:val="single" w:sz="6" w:space="0" w:color="auto"/>
            </w:tcBorders>
          </w:tcPr>
          <w:p w14:paraId="031F3761"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w:t>
            </w:r>
          </w:p>
        </w:tc>
        <w:tc>
          <w:tcPr>
            <w:tcW w:w="852" w:type="dxa"/>
            <w:tcBorders>
              <w:top w:val="single" w:sz="6" w:space="0" w:color="auto"/>
              <w:left w:val="single" w:sz="6" w:space="0" w:color="auto"/>
              <w:bottom w:val="single" w:sz="6" w:space="0" w:color="auto"/>
              <w:right w:val="single" w:sz="6" w:space="0" w:color="auto"/>
            </w:tcBorders>
          </w:tcPr>
          <w:p w14:paraId="5F9C493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09B2DAE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2D8447FA"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46CA11E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511E44E1"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3F968EEE"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2946138B"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P101289</w:t>
            </w:r>
          </w:p>
        </w:tc>
        <w:tc>
          <w:tcPr>
            <w:tcW w:w="3963" w:type="dxa"/>
            <w:gridSpan w:val="2"/>
            <w:tcBorders>
              <w:top w:val="single" w:sz="6" w:space="0" w:color="auto"/>
              <w:left w:val="single" w:sz="6" w:space="0" w:color="auto"/>
              <w:bottom w:val="single" w:sz="6" w:space="0" w:color="auto"/>
              <w:right w:val="single" w:sz="6" w:space="0" w:color="auto"/>
            </w:tcBorders>
          </w:tcPr>
          <w:p w14:paraId="006884B5"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تحسين إمدادات المياه وشبكات الصرف الصحي</w:t>
            </w:r>
          </w:p>
        </w:tc>
        <w:tc>
          <w:tcPr>
            <w:tcW w:w="1273" w:type="dxa"/>
            <w:gridSpan w:val="2"/>
            <w:tcBorders>
              <w:top w:val="single" w:sz="6" w:space="0" w:color="auto"/>
              <w:left w:val="single" w:sz="6" w:space="0" w:color="auto"/>
              <w:bottom w:val="single" w:sz="6" w:space="0" w:color="auto"/>
              <w:right w:val="single" w:sz="6" w:space="0" w:color="auto"/>
            </w:tcBorders>
          </w:tcPr>
          <w:p w14:paraId="44B7B2A0"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غير مرضٍ</w:t>
            </w:r>
          </w:p>
        </w:tc>
        <w:tc>
          <w:tcPr>
            <w:tcW w:w="1587" w:type="dxa"/>
            <w:tcBorders>
              <w:top w:val="single" w:sz="6" w:space="0" w:color="auto"/>
              <w:left w:val="single" w:sz="6" w:space="0" w:color="auto"/>
              <w:bottom w:val="single" w:sz="6" w:space="0" w:color="auto"/>
              <w:right w:val="single" w:sz="6" w:space="0" w:color="auto"/>
            </w:tcBorders>
          </w:tcPr>
          <w:p w14:paraId="564C77A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غير مرضٍ</w:t>
            </w:r>
          </w:p>
        </w:tc>
        <w:tc>
          <w:tcPr>
            <w:tcW w:w="840" w:type="dxa"/>
            <w:tcBorders>
              <w:top w:val="single" w:sz="6" w:space="0" w:color="auto"/>
              <w:left w:val="single" w:sz="6" w:space="0" w:color="auto"/>
              <w:bottom w:val="single" w:sz="6" w:space="0" w:color="auto"/>
              <w:right w:val="single" w:sz="6" w:space="0" w:color="auto"/>
            </w:tcBorders>
          </w:tcPr>
          <w:p w14:paraId="4E97D7A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2013</w:t>
            </w:r>
          </w:p>
        </w:tc>
        <w:tc>
          <w:tcPr>
            <w:tcW w:w="964" w:type="dxa"/>
            <w:tcBorders>
              <w:top w:val="single" w:sz="6" w:space="0" w:color="auto"/>
              <w:left w:val="single" w:sz="6" w:space="0" w:color="auto"/>
              <w:bottom w:val="single" w:sz="6" w:space="0" w:color="auto"/>
              <w:right w:val="single" w:sz="6" w:space="0" w:color="auto"/>
            </w:tcBorders>
          </w:tcPr>
          <w:p w14:paraId="3238F72A"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9.4</w:t>
            </w:r>
          </w:p>
        </w:tc>
        <w:tc>
          <w:tcPr>
            <w:tcW w:w="852" w:type="dxa"/>
            <w:tcBorders>
              <w:top w:val="single" w:sz="6" w:space="0" w:color="auto"/>
              <w:left w:val="single" w:sz="6" w:space="0" w:color="auto"/>
              <w:bottom w:val="single" w:sz="6" w:space="0" w:color="auto"/>
              <w:right w:val="single" w:sz="6" w:space="0" w:color="auto"/>
            </w:tcBorders>
          </w:tcPr>
          <w:p w14:paraId="4E6EC366"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w:t>
            </w:r>
          </w:p>
        </w:tc>
        <w:tc>
          <w:tcPr>
            <w:tcW w:w="840" w:type="dxa"/>
            <w:tcBorders>
              <w:top w:val="single" w:sz="6" w:space="0" w:color="auto"/>
              <w:left w:val="single" w:sz="6" w:space="0" w:color="auto"/>
              <w:bottom w:val="single" w:sz="6" w:space="0" w:color="auto"/>
              <w:right w:val="single" w:sz="6" w:space="0" w:color="auto"/>
            </w:tcBorders>
          </w:tcPr>
          <w:p w14:paraId="0A4B024A"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0.9</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7AA38960"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6EDA266D"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42011BDC"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056DAC77"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0DF6094B"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P129861</w:t>
            </w:r>
          </w:p>
        </w:tc>
        <w:tc>
          <w:tcPr>
            <w:tcW w:w="3963" w:type="dxa"/>
            <w:gridSpan w:val="2"/>
            <w:tcBorders>
              <w:top w:val="single" w:sz="6" w:space="0" w:color="auto"/>
              <w:left w:val="single" w:sz="6" w:space="0" w:color="auto"/>
              <w:bottom w:val="single" w:sz="6" w:space="0" w:color="auto"/>
              <w:right w:val="single" w:sz="6" w:space="0" w:color="auto"/>
            </w:tcBorders>
          </w:tcPr>
          <w:p w14:paraId="32CF4B01"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مشروع</w:t>
            </w:r>
            <w:r w:rsidR="00022F13">
              <w:rPr>
                <w:rFonts w:ascii="Arial" w:hAnsi="Arial"/>
                <w:color w:val="000000"/>
                <w:sz w:val="18"/>
                <w:szCs w:val="18"/>
              </w:rPr>
              <w:t xml:space="preserve"> </w:t>
            </w:r>
            <w:r>
              <w:rPr>
                <w:rFonts w:ascii="Arial" w:hAnsi="Arial"/>
                <w:color w:val="000000"/>
                <w:sz w:val="18"/>
                <w:szCs w:val="18"/>
              </w:rPr>
              <w:t>الانتقال من التعليم إلى العمل في الضفة الغربية وقطاع غزة</w:t>
            </w:r>
          </w:p>
        </w:tc>
        <w:tc>
          <w:tcPr>
            <w:tcW w:w="1273" w:type="dxa"/>
            <w:gridSpan w:val="2"/>
            <w:tcBorders>
              <w:top w:val="single" w:sz="6" w:space="0" w:color="auto"/>
              <w:left w:val="single" w:sz="6" w:space="0" w:color="auto"/>
              <w:bottom w:val="single" w:sz="6" w:space="0" w:color="auto"/>
              <w:right w:val="single" w:sz="6" w:space="0" w:color="auto"/>
            </w:tcBorders>
          </w:tcPr>
          <w:p w14:paraId="557D2726"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tcPr>
          <w:p w14:paraId="3D53C914"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840" w:type="dxa"/>
            <w:tcBorders>
              <w:top w:val="single" w:sz="6" w:space="0" w:color="auto"/>
              <w:left w:val="single" w:sz="6" w:space="0" w:color="auto"/>
              <w:bottom w:val="single" w:sz="6" w:space="0" w:color="auto"/>
              <w:right w:val="single" w:sz="6" w:space="0" w:color="auto"/>
            </w:tcBorders>
          </w:tcPr>
          <w:p w14:paraId="5255C9C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2012</w:t>
            </w:r>
          </w:p>
        </w:tc>
        <w:tc>
          <w:tcPr>
            <w:tcW w:w="964" w:type="dxa"/>
            <w:tcBorders>
              <w:top w:val="single" w:sz="6" w:space="0" w:color="auto"/>
              <w:left w:val="single" w:sz="6" w:space="0" w:color="auto"/>
              <w:bottom w:val="single" w:sz="6" w:space="0" w:color="auto"/>
              <w:right w:val="single" w:sz="6" w:space="0" w:color="auto"/>
            </w:tcBorders>
          </w:tcPr>
          <w:p w14:paraId="402B8687"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11.5</w:t>
            </w:r>
          </w:p>
        </w:tc>
        <w:tc>
          <w:tcPr>
            <w:tcW w:w="852" w:type="dxa"/>
            <w:tcBorders>
              <w:top w:val="single" w:sz="6" w:space="0" w:color="auto"/>
              <w:left w:val="single" w:sz="6" w:space="0" w:color="auto"/>
              <w:bottom w:val="single" w:sz="6" w:space="0" w:color="auto"/>
              <w:right w:val="single" w:sz="6" w:space="0" w:color="auto"/>
            </w:tcBorders>
          </w:tcPr>
          <w:p w14:paraId="60D4C6B4"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5DD7C32D"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5.1</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396782B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0.1</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530F945B"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17BB3F07"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0212B467"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5B7DF831"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P132268</w:t>
            </w:r>
          </w:p>
        </w:tc>
        <w:tc>
          <w:tcPr>
            <w:tcW w:w="3963" w:type="dxa"/>
            <w:gridSpan w:val="2"/>
            <w:tcBorders>
              <w:top w:val="single" w:sz="6" w:space="0" w:color="auto"/>
              <w:left w:val="single" w:sz="6" w:space="0" w:color="auto"/>
              <w:bottom w:val="single" w:sz="6" w:space="0" w:color="auto"/>
              <w:right w:val="single" w:sz="6" w:space="0" w:color="auto"/>
            </w:tcBorders>
          </w:tcPr>
          <w:p w14:paraId="0AA75B07"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 xml:space="preserve"> المشروع التجريبي على نهج المعونات المستندة إلى النواتج ــ مشروع إدارة المخلفات الصلبة في غزة </w:t>
            </w:r>
          </w:p>
        </w:tc>
        <w:tc>
          <w:tcPr>
            <w:tcW w:w="1273" w:type="dxa"/>
            <w:gridSpan w:val="2"/>
            <w:tcBorders>
              <w:top w:val="single" w:sz="6" w:space="0" w:color="auto"/>
              <w:left w:val="single" w:sz="6" w:space="0" w:color="auto"/>
              <w:bottom w:val="single" w:sz="6" w:space="0" w:color="auto"/>
              <w:right w:val="single" w:sz="6" w:space="0" w:color="auto"/>
            </w:tcBorders>
          </w:tcPr>
          <w:p w14:paraId="515BCC3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tcPr>
          <w:p w14:paraId="49B76946"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 للغاية</w:t>
            </w:r>
          </w:p>
        </w:tc>
        <w:tc>
          <w:tcPr>
            <w:tcW w:w="840" w:type="dxa"/>
            <w:tcBorders>
              <w:top w:val="single" w:sz="6" w:space="0" w:color="auto"/>
              <w:left w:val="single" w:sz="6" w:space="0" w:color="auto"/>
              <w:bottom w:val="single" w:sz="6" w:space="0" w:color="auto"/>
              <w:right w:val="single" w:sz="6" w:space="0" w:color="auto"/>
            </w:tcBorders>
          </w:tcPr>
          <w:p w14:paraId="1C4E7AD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2013</w:t>
            </w:r>
          </w:p>
        </w:tc>
        <w:tc>
          <w:tcPr>
            <w:tcW w:w="964" w:type="dxa"/>
            <w:tcBorders>
              <w:top w:val="single" w:sz="6" w:space="0" w:color="auto"/>
              <w:left w:val="single" w:sz="6" w:space="0" w:color="auto"/>
              <w:bottom w:val="single" w:sz="6" w:space="0" w:color="auto"/>
              <w:right w:val="single" w:sz="6" w:space="0" w:color="auto"/>
            </w:tcBorders>
          </w:tcPr>
          <w:p w14:paraId="09CB9733"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8.3</w:t>
            </w:r>
          </w:p>
        </w:tc>
        <w:tc>
          <w:tcPr>
            <w:tcW w:w="852" w:type="dxa"/>
            <w:tcBorders>
              <w:top w:val="single" w:sz="6" w:space="0" w:color="auto"/>
              <w:left w:val="single" w:sz="6" w:space="0" w:color="auto"/>
              <w:bottom w:val="single" w:sz="6" w:space="0" w:color="auto"/>
              <w:right w:val="single" w:sz="6" w:space="0" w:color="auto"/>
            </w:tcBorders>
          </w:tcPr>
          <w:p w14:paraId="62743420"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1F009D19" w14:textId="77777777" w:rsidR="005A774C"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75978A04" w14:textId="77777777" w:rsidR="005A774C"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5196B5A9"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1DC3F820"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5C1C964E" w14:textId="77777777" w:rsidTr="002A3038">
        <w:trPr>
          <w:trHeight w:val="288"/>
        </w:trPr>
        <w:tc>
          <w:tcPr>
            <w:tcW w:w="1004" w:type="dxa"/>
            <w:tcBorders>
              <w:top w:val="single" w:sz="6" w:space="0" w:color="auto"/>
              <w:left w:val="single" w:sz="6" w:space="0" w:color="auto"/>
              <w:bottom w:val="single" w:sz="6" w:space="0" w:color="auto"/>
              <w:right w:val="single" w:sz="6" w:space="0" w:color="auto"/>
            </w:tcBorders>
          </w:tcPr>
          <w:p w14:paraId="229F7F8E"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rtl w:val="0"/>
              </w:rPr>
              <w:t>P147235</w:t>
            </w:r>
          </w:p>
        </w:tc>
        <w:tc>
          <w:tcPr>
            <w:tcW w:w="3963" w:type="dxa"/>
            <w:gridSpan w:val="2"/>
            <w:tcBorders>
              <w:top w:val="single" w:sz="6" w:space="0" w:color="auto"/>
              <w:left w:val="single" w:sz="6" w:space="0" w:color="auto"/>
              <w:bottom w:val="single" w:sz="6" w:space="0" w:color="auto"/>
              <w:right w:val="single" w:sz="6" w:space="0" w:color="auto"/>
            </w:tcBorders>
          </w:tcPr>
          <w:p w14:paraId="5BED1D8A" w14:textId="77777777" w:rsidR="005A774C" w:rsidRPr="008C7C15" w:rsidRDefault="005A774C" w:rsidP="0087205C">
            <w:pPr>
              <w:autoSpaceDE w:val="0"/>
              <w:autoSpaceDN w:val="0"/>
              <w:adjustRightInd w:val="0"/>
              <w:spacing w:after="0" w:line="240" w:lineRule="auto"/>
              <w:rPr>
                <w:rFonts w:ascii="Arial" w:eastAsia="Arial" w:hAnsi="Arial" w:cs="Arial"/>
                <w:color w:val="000000"/>
                <w:sz w:val="18"/>
                <w:szCs w:val="18"/>
                <w:lang w:bidi="ar-EG"/>
              </w:rPr>
            </w:pPr>
            <w:r>
              <w:rPr>
                <w:rFonts w:ascii="Arial" w:hAnsi="Arial"/>
                <w:color w:val="000000"/>
                <w:sz w:val="18"/>
                <w:szCs w:val="18"/>
              </w:rPr>
              <w:t xml:space="preserve">مسار إبراهيم الخليل </w:t>
            </w:r>
            <w:r w:rsidR="0087205C">
              <w:rPr>
                <w:rFonts w:ascii="Arial" w:hAnsi="Arial" w:hint="cs"/>
                <w:color w:val="000000"/>
                <w:sz w:val="18"/>
                <w:szCs w:val="18"/>
              </w:rPr>
              <w:t xml:space="preserve"> </w:t>
            </w:r>
          </w:p>
        </w:tc>
        <w:tc>
          <w:tcPr>
            <w:tcW w:w="1273" w:type="dxa"/>
            <w:gridSpan w:val="2"/>
            <w:tcBorders>
              <w:top w:val="single" w:sz="6" w:space="0" w:color="auto"/>
              <w:left w:val="single" w:sz="6" w:space="0" w:color="auto"/>
              <w:bottom w:val="single" w:sz="6" w:space="0" w:color="auto"/>
              <w:right w:val="single" w:sz="6" w:space="0" w:color="auto"/>
            </w:tcBorders>
          </w:tcPr>
          <w:p w14:paraId="32931565"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1587" w:type="dxa"/>
            <w:tcBorders>
              <w:top w:val="single" w:sz="6" w:space="0" w:color="auto"/>
              <w:left w:val="single" w:sz="6" w:space="0" w:color="auto"/>
              <w:bottom w:val="single" w:sz="6" w:space="0" w:color="auto"/>
              <w:right w:val="single" w:sz="6" w:space="0" w:color="auto"/>
            </w:tcBorders>
          </w:tcPr>
          <w:p w14:paraId="4FA88A7F"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مرضِ</w:t>
            </w:r>
          </w:p>
        </w:tc>
        <w:tc>
          <w:tcPr>
            <w:tcW w:w="840" w:type="dxa"/>
            <w:tcBorders>
              <w:top w:val="single" w:sz="6" w:space="0" w:color="auto"/>
              <w:left w:val="single" w:sz="6" w:space="0" w:color="auto"/>
              <w:bottom w:val="single" w:sz="6" w:space="0" w:color="auto"/>
              <w:right w:val="single" w:sz="6" w:space="0" w:color="auto"/>
            </w:tcBorders>
          </w:tcPr>
          <w:p w14:paraId="0FD61CE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2014</w:t>
            </w:r>
          </w:p>
        </w:tc>
        <w:tc>
          <w:tcPr>
            <w:tcW w:w="964" w:type="dxa"/>
            <w:tcBorders>
              <w:top w:val="single" w:sz="6" w:space="0" w:color="auto"/>
              <w:left w:val="single" w:sz="6" w:space="0" w:color="auto"/>
              <w:bottom w:val="single" w:sz="6" w:space="0" w:color="auto"/>
              <w:right w:val="single" w:sz="6" w:space="0" w:color="auto"/>
            </w:tcBorders>
          </w:tcPr>
          <w:p w14:paraId="2420946E"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3.3</w:t>
            </w:r>
          </w:p>
        </w:tc>
        <w:tc>
          <w:tcPr>
            <w:tcW w:w="852" w:type="dxa"/>
            <w:tcBorders>
              <w:top w:val="single" w:sz="6" w:space="0" w:color="auto"/>
              <w:left w:val="single" w:sz="6" w:space="0" w:color="auto"/>
              <w:bottom w:val="single" w:sz="6" w:space="0" w:color="auto"/>
              <w:right w:val="single" w:sz="6" w:space="0" w:color="auto"/>
            </w:tcBorders>
          </w:tcPr>
          <w:p w14:paraId="10EAFBC2"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40" w:type="dxa"/>
            <w:tcBorders>
              <w:top w:val="single" w:sz="6" w:space="0" w:color="auto"/>
              <w:left w:val="single" w:sz="6" w:space="0" w:color="auto"/>
              <w:bottom w:val="single" w:sz="6" w:space="0" w:color="auto"/>
              <w:right w:val="single" w:sz="6" w:space="0" w:color="auto"/>
            </w:tcBorders>
          </w:tcPr>
          <w:p w14:paraId="21C8F302" w14:textId="77777777" w:rsidR="005A774C"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.6</w:t>
            </w:r>
          </w:p>
        </w:tc>
        <w:tc>
          <w:tcPr>
            <w:tcW w:w="1004" w:type="dxa"/>
            <w:tcBorders>
              <w:top w:val="single" w:sz="6" w:space="0" w:color="auto"/>
              <w:left w:val="single" w:sz="6" w:space="0" w:color="auto"/>
              <w:bottom w:val="single" w:sz="6" w:space="0" w:color="auto"/>
              <w:right w:val="single" w:sz="6" w:space="0" w:color="auto"/>
            </w:tcBorders>
            <w:shd w:val="solid" w:color="FFFFFF" w:fill="auto"/>
          </w:tcPr>
          <w:p w14:paraId="351F49AD" w14:textId="77777777" w:rsidR="005A774C"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890" w:type="dxa"/>
            <w:tcBorders>
              <w:top w:val="single" w:sz="6" w:space="0" w:color="auto"/>
              <w:left w:val="single" w:sz="6" w:space="0" w:color="auto"/>
              <w:bottom w:val="single" w:sz="6" w:space="0" w:color="auto"/>
              <w:right w:val="single" w:sz="6" w:space="0" w:color="auto"/>
            </w:tcBorders>
            <w:shd w:val="solid" w:color="FFFFFF" w:fill="auto"/>
          </w:tcPr>
          <w:p w14:paraId="0C5A434C" w14:textId="77777777" w:rsidR="005A774C" w:rsidRPr="008C7C15" w:rsidRDefault="005A774C" w:rsidP="002A3038">
            <w:pPr>
              <w:autoSpaceDE w:val="0"/>
              <w:autoSpaceDN w:val="0"/>
              <w:adjustRightInd w:val="0"/>
              <w:spacing w:after="0" w:line="240" w:lineRule="auto"/>
              <w:jc w:val="center"/>
              <w:rPr>
                <w:rFonts w:ascii="Arial" w:eastAsia="Arial" w:hAnsi="Arial" w:cs="Arial"/>
                <w:color w:val="000000"/>
                <w:sz w:val="18"/>
                <w:szCs w:val="18"/>
              </w:rPr>
            </w:pPr>
            <w:r>
              <w:rPr>
                <w:rFonts w:ascii="Arial" w:hAnsi="Arial"/>
                <w:color w:val="000000"/>
                <w:sz w:val="18"/>
                <w:szCs w:val="18"/>
              </w:rPr>
              <w:t>0</w:t>
            </w:r>
          </w:p>
        </w:tc>
        <w:tc>
          <w:tcPr>
            <w:tcW w:w="1003" w:type="dxa"/>
            <w:shd w:val="solid" w:color="FFFFFF" w:fill="auto"/>
          </w:tcPr>
          <w:p w14:paraId="7DD47F17"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7D66E333" w14:textId="77777777" w:rsidTr="002A3038">
        <w:trPr>
          <w:trHeight w:val="288"/>
        </w:trPr>
        <w:tc>
          <w:tcPr>
            <w:tcW w:w="2008" w:type="dxa"/>
            <w:gridSpan w:val="2"/>
            <w:tcBorders>
              <w:top w:val="nil"/>
              <w:left w:val="single" w:sz="6" w:space="0" w:color="auto"/>
              <w:bottom w:val="single" w:sz="12" w:space="0" w:color="000000"/>
              <w:right w:val="nil"/>
            </w:tcBorders>
            <w:shd w:val="solid" w:color="FFFFFF" w:fill="auto"/>
          </w:tcPr>
          <w:p w14:paraId="4FBF1F67" w14:textId="77777777" w:rsidR="005A774C" w:rsidRPr="008C7C15" w:rsidRDefault="005A774C" w:rsidP="002A3038">
            <w:pPr>
              <w:autoSpaceDE w:val="0"/>
              <w:autoSpaceDN w:val="0"/>
              <w:adjustRightInd w:val="0"/>
              <w:spacing w:after="0" w:line="240" w:lineRule="auto"/>
              <w:rPr>
                <w:rFonts w:ascii="Arial" w:eastAsia="Arial" w:hAnsi="Arial" w:cs="Arial"/>
                <w:b/>
                <w:bCs/>
                <w:color w:val="000000"/>
                <w:sz w:val="18"/>
                <w:szCs w:val="18"/>
              </w:rPr>
            </w:pPr>
            <w:r>
              <w:rPr>
                <w:rFonts w:ascii="Arial" w:hAnsi="Arial"/>
                <w:b/>
                <w:bCs/>
                <w:color w:val="000000"/>
                <w:sz w:val="18"/>
                <w:szCs w:val="18"/>
              </w:rPr>
              <w:t>النتيجة العامة</w:t>
            </w:r>
          </w:p>
        </w:tc>
        <w:tc>
          <w:tcPr>
            <w:tcW w:w="2959" w:type="dxa"/>
            <w:tcBorders>
              <w:top w:val="nil"/>
              <w:left w:val="nil"/>
              <w:bottom w:val="single" w:sz="12" w:space="0" w:color="000000"/>
              <w:right w:val="nil"/>
            </w:tcBorders>
            <w:shd w:val="solid" w:color="FFFFFF" w:fill="auto"/>
          </w:tcPr>
          <w:p w14:paraId="72248FED"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b/>
                <w:bCs/>
                <w:color w:val="000000"/>
                <w:sz w:val="18"/>
                <w:szCs w:val="18"/>
              </w:rPr>
            </w:pPr>
          </w:p>
        </w:tc>
        <w:tc>
          <w:tcPr>
            <w:tcW w:w="1273" w:type="dxa"/>
            <w:gridSpan w:val="2"/>
            <w:tcBorders>
              <w:top w:val="nil"/>
              <w:left w:val="nil"/>
              <w:bottom w:val="single" w:sz="12" w:space="0" w:color="000000"/>
              <w:right w:val="nil"/>
            </w:tcBorders>
            <w:shd w:val="solid" w:color="FFFFFF" w:fill="auto"/>
          </w:tcPr>
          <w:p w14:paraId="7FB26B4F"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b/>
                <w:bCs/>
                <w:color w:val="000000"/>
                <w:sz w:val="18"/>
                <w:szCs w:val="18"/>
              </w:rPr>
            </w:pPr>
          </w:p>
        </w:tc>
        <w:tc>
          <w:tcPr>
            <w:tcW w:w="1587" w:type="dxa"/>
            <w:tcBorders>
              <w:top w:val="nil"/>
              <w:left w:val="nil"/>
              <w:bottom w:val="single" w:sz="12" w:space="0" w:color="000000"/>
              <w:right w:val="nil"/>
            </w:tcBorders>
            <w:shd w:val="solid" w:color="FFFFFF" w:fill="auto"/>
          </w:tcPr>
          <w:p w14:paraId="7ACBAB69"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b/>
                <w:bCs/>
                <w:color w:val="000000"/>
                <w:sz w:val="18"/>
                <w:szCs w:val="18"/>
              </w:rPr>
            </w:pPr>
          </w:p>
        </w:tc>
        <w:tc>
          <w:tcPr>
            <w:tcW w:w="840" w:type="dxa"/>
            <w:tcBorders>
              <w:top w:val="nil"/>
              <w:left w:val="nil"/>
              <w:bottom w:val="single" w:sz="12" w:space="0" w:color="000000"/>
              <w:right w:val="nil"/>
            </w:tcBorders>
            <w:shd w:val="solid" w:color="FFFFFF" w:fill="auto"/>
          </w:tcPr>
          <w:p w14:paraId="727BC2C5"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b/>
                <w:bCs/>
                <w:color w:val="000000"/>
                <w:sz w:val="18"/>
                <w:szCs w:val="18"/>
              </w:rPr>
            </w:pPr>
          </w:p>
        </w:tc>
        <w:tc>
          <w:tcPr>
            <w:tcW w:w="964" w:type="dxa"/>
            <w:tcBorders>
              <w:top w:val="nil"/>
              <w:left w:val="nil"/>
              <w:bottom w:val="single" w:sz="12" w:space="0" w:color="000000"/>
              <w:right w:val="nil"/>
            </w:tcBorders>
            <w:shd w:val="solid" w:color="FFFFFF" w:fill="auto"/>
          </w:tcPr>
          <w:p w14:paraId="10EBE180" w14:textId="77777777" w:rsidR="005A774C" w:rsidRPr="008C7C15" w:rsidRDefault="005A774C" w:rsidP="002A3038">
            <w:pPr>
              <w:autoSpaceDE w:val="0"/>
              <w:autoSpaceDN w:val="0"/>
              <w:adjustRightInd w:val="0"/>
              <w:spacing w:after="0" w:line="240" w:lineRule="auto"/>
              <w:jc w:val="center"/>
              <w:rPr>
                <w:rFonts w:ascii="Arial" w:eastAsia="Arial" w:hAnsi="Arial" w:cs="Arial"/>
                <w:b/>
                <w:bCs/>
                <w:color w:val="000000"/>
                <w:sz w:val="18"/>
                <w:szCs w:val="18"/>
              </w:rPr>
            </w:pPr>
            <w:r>
              <w:rPr>
                <w:rFonts w:ascii="Arial" w:hAnsi="Arial"/>
                <w:b/>
                <w:bCs/>
                <w:color w:val="000000"/>
                <w:sz w:val="18"/>
                <w:szCs w:val="18"/>
              </w:rPr>
              <w:t>211.8</w:t>
            </w:r>
          </w:p>
        </w:tc>
        <w:tc>
          <w:tcPr>
            <w:tcW w:w="852" w:type="dxa"/>
            <w:tcBorders>
              <w:top w:val="nil"/>
              <w:left w:val="nil"/>
              <w:bottom w:val="single" w:sz="12" w:space="0" w:color="000000"/>
              <w:right w:val="nil"/>
            </w:tcBorders>
            <w:shd w:val="solid" w:color="FFFFFF" w:fill="auto"/>
          </w:tcPr>
          <w:p w14:paraId="4436AE90" w14:textId="77777777" w:rsidR="005A774C" w:rsidRPr="008C7C15" w:rsidRDefault="005A774C" w:rsidP="002A3038">
            <w:pPr>
              <w:autoSpaceDE w:val="0"/>
              <w:autoSpaceDN w:val="0"/>
              <w:adjustRightInd w:val="0"/>
              <w:spacing w:after="0" w:line="240" w:lineRule="auto"/>
              <w:jc w:val="center"/>
              <w:rPr>
                <w:rFonts w:ascii="Arial" w:eastAsia="Arial" w:hAnsi="Arial" w:cs="Arial"/>
                <w:b/>
                <w:bCs/>
                <w:color w:val="000000"/>
                <w:sz w:val="18"/>
                <w:szCs w:val="18"/>
              </w:rPr>
            </w:pPr>
            <w:r>
              <w:rPr>
                <w:rFonts w:ascii="Arial" w:hAnsi="Arial"/>
                <w:b/>
                <w:bCs/>
                <w:color w:val="000000"/>
                <w:sz w:val="18"/>
                <w:szCs w:val="18"/>
              </w:rPr>
              <w:t>1.0</w:t>
            </w:r>
          </w:p>
        </w:tc>
        <w:tc>
          <w:tcPr>
            <w:tcW w:w="840" w:type="dxa"/>
            <w:tcBorders>
              <w:top w:val="nil"/>
              <w:left w:val="nil"/>
              <w:bottom w:val="single" w:sz="12" w:space="0" w:color="000000"/>
              <w:right w:val="nil"/>
            </w:tcBorders>
            <w:shd w:val="solid" w:color="FFFFFF" w:fill="auto"/>
          </w:tcPr>
          <w:p w14:paraId="00D39399" w14:textId="77777777" w:rsidR="005A774C" w:rsidRPr="008C7C15" w:rsidRDefault="005A774C" w:rsidP="002A3038">
            <w:pPr>
              <w:autoSpaceDE w:val="0"/>
              <w:autoSpaceDN w:val="0"/>
              <w:adjustRightInd w:val="0"/>
              <w:spacing w:after="0" w:line="240" w:lineRule="auto"/>
              <w:jc w:val="center"/>
              <w:rPr>
                <w:rFonts w:ascii="Arial" w:eastAsia="Arial" w:hAnsi="Arial" w:cs="Arial"/>
                <w:b/>
                <w:bCs/>
                <w:color w:val="000000"/>
                <w:sz w:val="18"/>
                <w:szCs w:val="18"/>
              </w:rPr>
            </w:pPr>
            <w:r>
              <w:rPr>
                <w:rFonts w:ascii="Arial" w:hAnsi="Arial"/>
                <w:b/>
                <w:bCs/>
                <w:color w:val="000000"/>
                <w:sz w:val="18"/>
                <w:szCs w:val="18"/>
              </w:rPr>
              <w:t>53.1</w:t>
            </w:r>
          </w:p>
        </w:tc>
        <w:tc>
          <w:tcPr>
            <w:tcW w:w="1004" w:type="dxa"/>
            <w:tcBorders>
              <w:top w:val="nil"/>
              <w:left w:val="single" w:sz="6" w:space="0" w:color="auto"/>
              <w:bottom w:val="single" w:sz="12" w:space="0" w:color="000000"/>
              <w:right w:val="nil"/>
            </w:tcBorders>
            <w:shd w:val="solid" w:color="FFFFFF" w:fill="auto"/>
          </w:tcPr>
          <w:p w14:paraId="4FD1FA6C" w14:textId="77777777" w:rsidR="005A774C" w:rsidRPr="008C7C15" w:rsidRDefault="005A774C" w:rsidP="002A3038">
            <w:pPr>
              <w:autoSpaceDE w:val="0"/>
              <w:autoSpaceDN w:val="0"/>
              <w:adjustRightInd w:val="0"/>
              <w:spacing w:after="0" w:line="240" w:lineRule="auto"/>
              <w:jc w:val="center"/>
              <w:rPr>
                <w:rFonts w:ascii="Arial" w:eastAsia="Arial" w:hAnsi="Arial" w:cs="Arial"/>
                <w:b/>
                <w:bCs/>
                <w:color w:val="000000"/>
                <w:sz w:val="18"/>
                <w:szCs w:val="18"/>
              </w:rPr>
            </w:pPr>
            <w:r>
              <w:rPr>
                <w:rFonts w:ascii="Arial" w:hAnsi="Arial"/>
                <w:b/>
                <w:bCs/>
                <w:color w:val="000000"/>
                <w:sz w:val="18"/>
                <w:szCs w:val="18"/>
              </w:rPr>
              <w:t>11.2</w:t>
            </w:r>
          </w:p>
        </w:tc>
        <w:tc>
          <w:tcPr>
            <w:tcW w:w="890" w:type="dxa"/>
            <w:tcBorders>
              <w:top w:val="nil"/>
              <w:left w:val="nil"/>
              <w:bottom w:val="single" w:sz="12" w:space="0" w:color="000000"/>
              <w:right w:val="single" w:sz="6" w:space="0" w:color="auto"/>
            </w:tcBorders>
            <w:shd w:val="solid" w:color="FFFFFF" w:fill="auto"/>
          </w:tcPr>
          <w:p w14:paraId="4580D0A9" w14:textId="77777777" w:rsidR="005A774C" w:rsidRPr="008C7C15" w:rsidRDefault="005A774C" w:rsidP="002A3038">
            <w:pPr>
              <w:autoSpaceDE w:val="0"/>
              <w:autoSpaceDN w:val="0"/>
              <w:adjustRightInd w:val="0"/>
              <w:spacing w:after="0" w:line="240" w:lineRule="auto"/>
              <w:jc w:val="center"/>
              <w:rPr>
                <w:rFonts w:ascii="Arial" w:eastAsia="Arial" w:hAnsi="Arial" w:cs="Arial"/>
                <w:b/>
                <w:bCs/>
                <w:color w:val="000000"/>
                <w:sz w:val="18"/>
                <w:szCs w:val="18"/>
              </w:rPr>
            </w:pPr>
            <w:r>
              <w:rPr>
                <w:rFonts w:ascii="Arial" w:hAnsi="Arial"/>
                <w:b/>
                <w:bCs/>
                <w:color w:val="000000"/>
                <w:sz w:val="18"/>
                <w:szCs w:val="18"/>
              </w:rPr>
              <w:t>-43.5</w:t>
            </w:r>
          </w:p>
        </w:tc>
        <w:tc>
          <w:tcPr>
            <w:tcW w:w="1003" w:type="dxa"/>
            <w:shd w:val="solid" w:color="FFFFFF" w:fill="auto"/>
          </w:tcPr>
          <w:p w14:paraId="79D1B703"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13CB5C1A" w14:textId="77777777" w:rsidTr="002A3038">
        <w:trPr>
          <w:trHeight w:val="38"/>
        </w:trPr>
        <w:tc>
          <w:tcPr>
            <w:tcW w:w="1004" w:type="dxa"/>
            <w:shd w:val="solid" w:color="FFFFFF" w:fill="auto"/>
          </w:tcPr>
          <w:p w14:paraId="6F271821" w14:textId="77777777" w:rsidR="005A774C" w:rsidRPr="008C7C15" w:rsidRDefault="005A774C" w:rsidP="002A3038">
            <w:pPr>
              <w:autoSpaceDE w:val="0"/>
              <w:autoSpaceDN w:val="0"/>
              <w:adjustRightInd w:val="0"/>
              <w:spacing w:after="0" w:line="240" w:lineRule="auto"/>
              <w:jc w:val="right"/>
              <w:rPr>
                <w:rFonts w:ascii="Calibri" w:eastAsia="Calibri" w:hAnsi="Calibri" w:cs="Calibri"/>
                <w:b/>
                <w:bCs/>
                <w:color w:val="000000"/>
                <w:sz w:val="18"/>
                <w:szCs w:val="18"/>
              </w:rPr>
            </w:pPr>
          </w:p>
        </w:tc>
        <w:tc>
          <w:tcPr>
            <w:tcW w:w="1004" w:type="dxa"/>
            <w:shd w:val="solid" w:color="FFFFFF" w:fill="auto"/>
          </w:tcPr>
          <w:p w14:paraId="49D5ACE3" w14:textId="77777777" w:rsidR="005A774C" w:rsidRPr="008C7C15" w:rsidRDefault="005A774C" w:rsidP="002A3038">
            <w:pPr>
              <w:autoSpaceDE w:val="0"/>
              <w:autoSpaceDN w:val="0"/>
              <w:adjustRightInd w:val="0"/>
              <w:spacing w:after="0" w:line="240" w:lineRule="auto"/>
              <w:jc w:val="right"/>
              <w:rPr>
                <w:rFonts w:ascii="Calibri" w:eastAsia="Calibri" w:hAnsi="Calibri" w:cs="Calibri"/>
                <w:b/>
                <w:bCs/>
                <w:color w:val="000000"/>
                <w:sz w:val="18"/>
                <w:szCs w:val="18"/>
              </w:rPr>
            </w:pPr>
          </w:p>
        </w:tc>
        <w:tc>
          <w:tcPr>
            <w:tcW w:w="2959" w:type="dxa"/>
            <w:shd w:val="solid" w:color="FFFFFF" w:fill="auto"/>
          </w:tcPr>
          <w:p w14:paraId="255666E5" w14:textId="77777777" w:rsidR="005A774C" w:rsidRPr="008C7C15" w:rsidRDefault="005A774C" w:rsidP="002A3038">
            <w:pPr>
              <w:autoSpaceDE w:val="0"/>
              <w:autoSpaceDN w:val="0"/>
              <w:adjustRightInd w:val="0"/>
              <w:spacing w:after="0" w:line="240" w:lineRule="auto"/>
              <w:jc w:val="right"/>
              <w:rPr>
                <w:rFonts w:ascii="Calibri" w:eastAsia="Calibri" w:hAnsi="Calibri" w:cs="Calibri"/>
                <w:b/>
                <w:bCs/>
                <w:color w:val="000000"/>
                <w:sz w:val="18"/>
                <w:szCs w:val="18"/>
              </w:rPr>
            </w:pPr>
          </w:p>
        </w:tc>
        <w:tc>
          <w:tcPr>
            <w:tcW w:w="1273" w:type="dxa"/>
            <w:gridSpan w:val="2"/>
            <w:shd w:val="solid" w:color="FFFFFF" w:fill="auto"/>
          </w:tcPr>
          <w:p w14:paraId="7EB61E47" w14:textId="77777777" w:rsidR="005A774C" w:rsidRPr="008C7C15" w:rsidRDefault="005A774C" w:rsidP="002A3038">
            <w:pPr>
              <w:autoSpaceDE w:val="0"/>
              <w:autoSpaceDN w:val="0"/>
              <w:adjustRightInd w:val="0"/>
              <w:spacing w:after="0" w:line="240" w:lineRule="auto"/>
              <w:jc w:val="right"/>
              <w:rPr>
                <w:rFonts w:ascii="Calibri" w:eastAsia="Calibri" w:hAnsi="Calibri" w:cs="Calibri"/>
                <w:b/>
                <w:bCs/>
                <w:color w:val="000000"/>
                <w:sz w:val="18"/>
                <w:szCs w:val="18"/>
              </w:rPr>
            </w:pPr>
          </w:p>
        </w:tc>
        <w:tc>
          <w:tcPr>
            <w:tcW w:w="1587" w:type="dxa"/>
            <w:shd w:val="solid" w:color="FFFFFF" w:fill="auto"/>
          </w:tcPr>
          <w:p w14:paraId="2BB487C0" w14:textId="77777777" w:rsidR="005A774C" w:rsidRPr="008C7C15" w:rsidRDefault="005A774C" w:rsidP="002A3038">
            <w:pPr>
              <w:autoSpaceDE w:val="0"/>
              <w:autoSpaceDN w:val="0"/>
              <w:adjustRightInd w:val="0"/>
              <w:spacing w:after="0" w:line="240" w:lineRule="auto"/>
              <w:jc w:val="right"/>
              <w:rPr>
                <w:rFonts w:ascii="Calibri" w:eastAsia="Calibri" w:hAnsi="Calibri" w:cs="Calibri"/>
                <w:b/>
                <w:bCs/>
                <w:color w:val="000000"/>
                <w:sz w:val="18"/>
                <w:szCs w:val="18"/>
              </w:rPr>
            </w:pPr>
          </w:p>
        </w:tc>
        <w:tc>
          <w:tcPr>
            <w:tcW w:w="840" w:type="dxa"/>
            <w:shd w:val="solid" w:color="FFFFFF" w:fill="auto"/>
          </w:tcPr>
          <w:p w14:paraId="47C89143" w14:textId="77777777" w:rsidR="005A774C" w:rsidRPr="008C7C15" w:rsidRDefault="005A774C" w:rsidP="002A3038">
            <w:pPr>
              <w:autoSpaceDE w:val="0"/>
              <w:autoSpaceDN w:val="0"/>
              <w:adjustRightInd w:val="0"/>
              <w:spacing w:after="0" w:line="240" w:lineRule="auto"/>
              <w:jc w:val="right"/>
              <w:rPr>
                <w:rFonts w:ascii="Calibri" w:eastAsia="Calibri" w:hAnsi="Calibri" w:cs="Calibri"/>
                <w:b/>
                <w:bCs/>
                <w:color w:val="000000"/>
                <w:sz w:val="18"/>
                <w:szCs w:val="18"/>
              </w:rPr>
            </w:pPr>
          </w:p>
        </w:tc>
        <w:tc>
          <w:tcPr>
            <w:tcW w:w="964" w:type="dxa"/>
            <w:shd w:val="solid" w:color="FFFFFF" w:fill="auto"/>
          </w:tcPr>
          <w:p w14:paraId="7479A03D" w14:textId="77777777" w:rsidR="005A774C" w:rsidRPr="008C7C15" w:rsidRDefault="005A774C" w:rsidP="002A3038">
            <w:pPr>
              <w:autoSpaceDE w:val="0"/>
              <w:autoSpaceDN w:val="0"/>
              <w:adjustRightInd w:val="0"/>
              <w:spacing w:after="0" w:line="240" w:lineRule="auto"/>
              <w:jc w:val="center"/>
              <w:rPr>
                <w:rFonts w:ascii="Calibri" w:eastAsia="Calibri" w:hAnsi="Calibri" w:cs="Calibri"/>
                <w:color w:val="000000"/>
                <w:sz w:val="18"/>
                <w:szCs w:val="18"/>
              </w:rPr>
            </w:pPr>
          </w:p>
        </w:tc>
        <w:tc>
          <w:tcPr>
            <w:tcW w:w="852" w:type="dxa"/>
            <w:shd w:val="solid" w:color="FFFFFF" w:fill="auto"/>
          </w:tcPr>
          <w:p w14:paraId="79052963" w14:textId="77777777" w:rsidR="005A774C" w:rsidRPr="008C7C15" w:rsidRDefault="005A774C" w:rsidP="002A3038">
            <w:pPr>
              <w:autoSpaceDE w:val="0"/>
              <w:autoSpaceDN w:val="0"/>
              <w:adjustRightInd w:val="0"/>
              <w:spacing w:after="0" w:line="240" w:lineRule="auto"/>
              <w:jc w:val="center"/>
              <w:rPr>
                <w:rFonts w:ascii="Calibri" w:eastAsia="Calibri" w:hAnsi="Calibri" w:cs="Calibri"/>
                <w:b/>
                <w:bCs/>
                <w:color w:val="000000"/>
                <w:sz w:val="18"/>
                <w:szCs w:val="18"/>
              </w:rPr>
            </w:pPr>
          </w:p>
        </w:tc>
        <w:tc>
          <w:tcPr>
            <w:tcW w:w="840" w:type="dxa"/>
            <w:shd w:val="solid" w:color="FFFFFF" w:fill="auto"/>
          </w:tcPr>
          <w:p w14:paraId="5611A417" w14:textId="77777777" w:rsidR="005A774C" w:rsidRPr="008C7C15" w:rsidRDefault="005A774C" w:rsidP="002A3038">
            <w:pPr>
              <w:autoSpaceDE w:val="0"/>
              <w:autoSpaceDN w:val="0"/>
              <w:adjustRightInd w:val="0"/>
              <w:spacing w:after="0" w:line="240" w:lineRule="auto"/>
              <w:jc w:val="center"/>
              <w:rPr>
                <w:rFonts w:ascii="Calibri" w:eastAsia="Calibri" w:hAnsi="Calibri" w:cs="Calibri"/>
                <w:b/>
                <w:bCs/>
                <w:color w:val="000000"/>
                <w:sz w:val="18"/>
                <w:szCs w:val="18"/>
              </w:rPr>
            </w:pPr>
          </w:p>
        </w:tc>
        <w:tc>
          <w:tcPr>
            <w:tcW w:w="1004" w:type="dxa"/>
            <w:shd w:val="solid" w:color="FFFFFF" w:fill="auto"/>
          </w:tcPr>
          <w:p w14:paraId="7DD0DA32" w14:textId="77777777" w:rsidR="005A774C" w:rsidRPr="008C7C15" w:rsidRDefault="005A774C" w:rsidP="002A3038">
            <w:pPr>
              <w:autoSpaceDE w:val="0"/>
              <w:autoSpaceDN w:val="0"/>
              <w:adjustRightInd w:val="0"/>
              <w:spacing w:after="0" w:line="240" w:lineRule="auto"/>
              <w:jc w:val="center"/>
              <w:rPr>
                <w:rFonts w:ascii="Calibri" w:eastAsia="Calibri" w:hAnsi="Calibri" w:cs="Calibri"/>
                <w:b/>
                <w:bCs/>
                <w:color w:val="000000"/>
                <w:sz w:val="18"/>
                <w:szCs w:val="18"/>
              </w:rPr>
            </w:pPr>
          </w:p>
        </w:tc>
        <w:tc>
          <w:tcPr>
            <w:tcW w:w="890" w:type="dxa"/>
            <w:shd w:val="solid" w:color="FFFFFF" w:fill="auto"/>
          </w:tcPr>
          <w:p w14:paraId="504FBA2E" w14:textId="77777777" w:rsidR="005A774C" w:rsidRPr="008C7C15" w:rsidRDefault="005A774C" w:rsidP="002A3038">
            <w:pPr>
              <w:autoSpaceDE w:val="0"/>
              <w:autoSpaceDN w:val="0"/>
              <w:adjustRightInd w:val="0"/>
              <w:spacing w:after="0" w:line="240" w:lineRule="auto"/>
              <w:jc w:val="center"/>
              <w:rPr>
                <w:rFonts w:ascii="Calibri" w:eastAsia="Calibri" w:hAnsi="Calibri" w:cs="Calibri"/>
                <w:b/>
                <w:bCs/>
                <w:color w:val="000000"/>
                <w:sz w:val="18"/>
                <w:szCs w:val="18"/>
              </w:rPr>
            </w:pPr>
          </w:p>
        </w:tc>
        <w:tc>
          <w:tcPr>
            <w:tcW w:w="1003" w:type="dxa"/>
            <w:shd w:val="solid" w:color="FFFFFF" w:fill="auto"/>
          </w:tcPr>
          <w:p w14:paraId="1DA66708"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43063929" w14:textId="77777777" w:rsidTr="002A3038">
        <w:trPr>
          <w:trHeight w:val="252"/>
        </w:trPr>
        <w:tc>
          <w:tcPr>
            <w:tcW w:w="6060" w:type="dxa"/>
            <w:gridSpan w:val="4"/>
          </w:tcPr>
          <w:p w14:paraId="7B98FBC7" w14:textId="77777777" w:rsidR="005A774C"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lastRenderedPageBreak/>
              <w:t>* يشمل</w:t>
            </w:r>
            <w:r w:rsidR="00022F13">
              <w:rPr>
                <w:rFonts w:ascii="Arial" w:hAnsi="Arial"/>
                <w:color w:val="000000"/>
                <w:sz w:val="18"/>
                <w:szCs w:val="18"/>
              </w:rPr>
              <w:t xml:space="preserve"> </w:t>
            </w:r>
            <w:r>
              <w:rPr>
                <w:rFonts w:ascii="Arial" w:hAnsi="Arial"/>
                <w:color w:val="000000"/>
                <w:sz w:val="18"/>
                <w:szCs w:val="18"/>
              </w:rPr>
              <w:t>الصندوق الاستئماني لغزة والضفة الغربية، وصندوق تقوية قدرات الدول وبناء السلام، وبرنامج الشراكة العا</w:t>
            </w:r>
            <w:r w:rsidR="00455132">
              <w:rPr>
                <w:rFonts w:ascii="Arial" w:hAnsi="Arial"/>
                <w:color w:val="000000"/>
                <w:sz w:val="18"/>
                <w:szCs w:val="18"/>
              </w:rPr>
              <w:t>لمية للمعونات المرتبطة بالنواتج</w:t>
            </w:r>
            <w:r w:rsidR="00455132">
              <w:rPr>
                <w:rFonts w:ascii="Arial" w:hAnsi="Arial" w:hint="cs"/>
                <w:color w:val="000000"/>
                <w:sz w:val="18"/>
                <w:szCs w:val="18"/>
              </w:rPr>
              <w:t>،</w:t>
            </w:r>
            <w:r w:rsidR="00022F13">
              <w:rPr>
                <w:rFonts w:ascii="Arial" w:hAnsi="Arial"/>
                <w:color w:val="000000"/>
                <w:sz w:val="18"/>
                <w:szCs w:val="18"/>
              </w:rPr>
              <w:t xml:space="preserve"> </w:t>
            </w:r>
            <w:r w:rsidR="00455132">
              <w:rPr>
                <w:rFonts w:ascii="Arial" w:hAnsi="Arial" w:hint="cs"/>
                <w:color w:val="000000"/>
                <w:sz w:val="18"/>
                <w:szCs w:val="18"/>
              </w:rPr>
              <w:t>و</w:t>
            </w:r>
            <w:r>
              <w:rPr>
                <w:rFonts w:ascii="Arial" w:hAnsi="Arial"/>
                <w:color w:val="000000"/>
                <w:sz w:val="18"/>
                <w:szCs w:val="18"/>
              </w:rPr>
              <w:t xml:space="preserve">لا يوجد تمويل ثنائي مشترك آخر. </w:t>
            </w:r>
          </w:p>
          <w:p w14:paraId="36FFF32F" w14:textId="77777777" w:rsidR="005A774C" w:rsidRPr="008C7C15" w:rsidRDefault="005A774C" w:rsidP="002A3038">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 الأرقام في هذا العمود لا تبين المبالغ من الصندوق الاستئماني</w:t>
            </w:r>
            <w:r w:rsidR="00022F13">
              <w:rPr>
                <w:rFonts w:ascii="Arial" w:hAnsi="Arial"/>
                <w:color w:val="000000"/>
                <w:sz w:val="18"/>
                <w:szCs w:val="18"/>
              </w:rPr>
              <w:t xml:space="preserve"> </w:t>
            </w:r>
            <w:r>
              <w:rPr>
                <w:rFonts w:ascii="Arial" w:hAnsi="Arial"/>
                <w:color w:val="000000"/>
                <w:sz w:val="18"/>
                <w:szCs w:val="18"/>
              </w:rPr>
              <w:t xml:space="preserve">للشراكة من أجل البنية التحتية </w:t>
            </w:r>
          </w:p>
        </w:tc>
        <w:tc>
          <w:tcPr>
            <w:tcW w:w="1767" w:type="dxa"/>
            <w:gridSpan w:val="2"/>
            <w:shd w:val="solid" w:color="FFFFFF" w:fill="auto"/>
          </w:tcPr>
          <w:p w14:paraId="14212F83"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40" w:type="dxa"/>
            <w:shd w:val="solid" w:color="FFFFFF" w:fill="auto"/>
          </w:tcPr>
          <w:p w14:paraId="58287B79"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964" w:type="dxa"/>
            <w:shd w:val="solid" w:color="FFFFFF" w:fill="auto"/>
          </w:tcPr>
          <w:p w14:paraId="2415A45B"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52" w:type="dxa"/>
            <w:shd w:val="solid" w:color="FFFFFF" w:fill="auto"/>
          </w:tcPr>
          <w:p w14:paraId="6D4EF0E7"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40" w:type="dxa"/>
            <w:shd w:val="solid" w:color="FFFFFF" w:fill="auto"/>
          </w:tcPr>
          <w:p w14:paraId="087CB074"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1004" w:type="dxa"/>
            <w:shd w:val="solid" w:color="FFFFFF" w:fill="auto"/>
          </w:tcPr>
          <w:p w14:paraId="328A0039"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90" w:type="dxa"/>
            <w:shd w:val="solid" w:color="FFFFFF" w:fill="auto"/>
          </w:tcPr>
          <w:p w14:paraId="73375961"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1003" w:type="dxa"/>
            <w:shd w:val="solid" w:color="FFFFFF" w:fill="auto"/>
          </w:tcPr>
          <w:p w14:paraId="2D6CD3CD"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74174D8A" w14:textId="77777777" w:rsidTr="002A3038">
        <w:trPr>
          <w:trHeight w:val="180"/>
        </w:trPr>
        <w:tc>
          <w:tcPr>
            <w:tcW w:w="6060" w:type="dxa"/>
            <w:gridSpan w:val="4"/>
            <w:shd w:val="solid" w:color="FFFFFF" w:fill="auto"/>
          </w:tcPr>
          <w:p w14:paraId="60CBC3FE" w14:textId="77777777" w:rsidR="005A774C" w:rsidRPr="008C7C15" w:rsidRDefault="00821657" w:rsidP="002A3038">
            <w:pPr>
              <w:autoSpaceDE w:val="0"/>
              <w:autoSpaceDN w:val="0"/>
              <w:adjustRightInd w:val="0"/>
              <w:spacing w:after="0" w:line="240" w:lineRule="auto"/>
              <w:ind w:right="-1755"/>
              <w:rPr>
                <w:rFonts w:ascii="Arial" w:eastAsia="Arial" w:hAnsi="Arial" w:cs="Arial"/>
                <w:color w:val="000000"/>
                <w:sz w:val="18"/>
                <w:szCs w:val="18"/>
              </w:rPr>
            </w:pPr>
            <w:r>
              <w:rPr>
                <w:rFonts w:ascii="Arial" w:hAnsi="Arial"/>
                <w:color w:val="000000"/>
                <w:sz w:val="18"/>
                <w:szCs w:val="18"/>
              </w:rPr>
              <w:t>(أ) مبالغ الصرف المخططة حتى تاريخه ناقً</w:t>
            </w:r>
            <w:r w:rsidR="00455132">
              <w:rPr>
                <w:rFonts w:ascii="Arial" w:hAnsi="Arial" w:hint="cs"/>
                <w:color w:val="000000"/>
                <w:sz w:val="18"/>
                <w:szCs w:val="18"/>
              </w:rPr>
              <w:t>ص</w:t>
            </w:r>
            <w:r>
              <w:rPr>
                <w:rFonts w:ascii="Arial" w:hAnsi="Arial"/>
                <w:color w:val="000000"/>
                <w:sz w:val="18"/>
                <w:szCs w:val="18"/>
              </w:rPr>
              <w:t xml:space="preserve">ا منها ما تم صرفه فعليًا حتى تاريخه </w:t>
            </w:r>
            <w:r w:rsidR="00455132">
              <w:rPr>
                <w:rFonts w:ascii="Arial" w:hAnsi="Arial"/>
                <w:color w:val="000000"/>
                <w:sz w:val="18"/>
                <w:szCs w:val="18"/>
              </w:rPr>
              <w:t>بحسب التوقعات</w:t>
            </w:r>
            <w:r w:rsidR="00455132">
              <w:rPr>
                <w:rFonts w:ascii="Arial" w:hAnsi="Arial" w:hint="cs"/>
                <w:color w:val="000000"/>
                <w:sz w:val="18"/>
                <w:szCs w:val="18"/>
              </w:rPr>
              <w:t>.</w:t>
            </w:r>
          </w:p>
        </w:tc>
        <w:tc>
          <w:tcPr>
            <w:tcW w:w="1767" w:type="dxa"/>
            <w:gridSpan w:val="2"/>
            <w:shd w:val="solid" w:color="FFFFFF" w:fill="auto"/>
          </w:tcPr>
          <w:p w14:paraId="042AC8E9" w14:textId="77777777" w:rsidR="005A774C" w:rsidRPr="008C7C15" w:rsidRDefault="005A774C" w:rsidP="0087205C">
            <w:pPr>
              <w:autoSpaceDE w:val="0"/>
              <w:autoSpaceDN w:val="0"/>
              <w:adjustRightInd w:val="0"/>
              <w:spacing w:after="0" w:line="240" w:lineRule="auto"/>
              <w:rPr>
                <w:rFonts w:ascii="Arial" w:eastAsia="Arial" w:hAnsi="Arial" w:cs="Arial"/>
                <w:color w:val="000000"/>
                <w:sz w:val="18"/>
                <w:szCs w:val="18"/>
              </w:rPr>
            </w:pPr>
            <w:r>
              <w:rPr>
                <w:rFonts w:ascii="Arial" w:hAnsi="Arial"/>
                <w:color w:val="000000"/>
                <w:sz w:val="18"/>
                <w:szCs w:val="18"/>
              </w:rPr>
              <w:t>التقييم المسبق.</w:t>
            </w:r>
          </w:p>
        </w:tc>
        <w:tc>
          <w:tcPr>
            <w:tcW w:w="840" w:type="dxa"/>
            <w:shd w:val="solid" w:color="FFFFFF" w:fill="auto"/>
          </w:tcPr>
          <w:p w14:paraId="786A39C1"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964" w:type="dxa"/>
            <w:shd w:val="solid" w:color="FFFFFF" w:fill="auto"/>
          </w:tcPr>
          <w:p w14:paraId="1E369A46"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52" w:type="dxa"/>
            <w:shd w:val="solid" w:color="FFFFFF" w:fill="auto"/>
          </w:tcPr>
          <w:p w14:paraId="2FC93E55"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40" w:type="dxa"/>
            <w:shd w:val="solid" w:color="FFFFFF" w:fill="auto"/>
          </w:tcPr>
          <w:p w14:paraId="5669009E"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1004" w:type="dxa"/>
            <w:shd w:val="solid" w:color="FFFFFF" w:fill="auto"/>
          </w:tcPr>
          <w:p w14:paraId="1549A104"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90" w:type="dxa"/>
            <w:shd w:val="solid" w:color="FFFFFF" w:fill="auto"/>
          </w:tcPr>
          <w:p w14:paraId="44B2D458"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1003" w:type="dxa"/>
            <w:shd w:val="solid" w:color="FFFFFF" w:fill="auto"/>
          </w:tcPr>
          <w:p w14:paraId="1B890F29"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r w:rsidR="005A774C" w:rsidRPr="008C7C15" w14:paraId="7BFBD911" w14:textId="77777777" w:rsidTr="002A3038">
        <w:trPr>
          <w:trHeight w:val="341"/>
        </w:trPr>
        <w:tc>
          <w:tcPr>
            <w:tcW w:w="7827" w:type="dxa"/>
            <w:gridSpan w:val="6"/>
            <w:shd w:val="solid" w:color="FFFFFF" w:fill="auto"/>
          </w:tcPr>
          <w:p w14:paraId="3D06A96F" w14:textId="77777777" w:rsidR="005A774C" w:rsidRPr="008C7C15" w:rsidRDefault="005A774C" w:rsidP="002A3038">
            <w:pPr>
              <w:autoSpaceDE w:val="0"/>
              <w:autoSpaceDN w:val="0"/>
              <w:adjustRightInd w:val="0"/>
              <w:spacing w:after="0" w:line="240" w:lineRule="auto"/>
              <w:rPr>
                <w:rFonts w:ascii="Times New Roman" w:eastAsia="Calibri" w:hAnsi="Times New Roman" w:cs="Times New Roman"/>
                <w:color w:val="000000"/>
                <w:sz w:val="18"/>
                <w:szCs w:val="18"/>
              </w:rPr>
            </w:pPr>
          </w:p>
        </w:tc>
        <w:tc>
          <w:tcPr>
            <w:tcW w:w="840" w:type="dxa"/>
            <w:shd w:val="solid" w:color="FFFFFF" w:fill="auto"/>
          </w:tcPr>
          <w:p w14:paraId="439EDC5E"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964" w:type="dxa"/>
            <w:shd w:val="solid" w:color="FFFFFF" w:fill="auto"/>
          </w:tcPr>
          <w:p w14:paraId="4078E235"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52" w:type="dxa"/>
            <w:shd w:val="solid" w:color="FFFFFF" w:fill="auto"/>
          </w:tcPr>
          <w:p w14:paraId="788ADFD8"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40" w:type="dxa"/>
            <w:shd w:val="solid" w:color="FFFFFF" w:fill="auto"/>
          </w:tcPr>
          <w:p w14:paraId="02BA6473"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1004" w:type="dxa"/>
            <w:shd w:val="solid" w:color="FFFFFF" w:fill="auto"/>
          </w:tcPr>
          <w:p w14:paraId="43AC305F"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890" w:type="dxa"/>
            <w:shd w:val="solid" w:color="FFFFFF" w:fill="auto"/>
          </w:tcPr>
          <w:p w14:paraId="3FC886E1" w14:textId="77777777" w:rsidR="005A774C" w:rsidRPr="008C7C15" w:rsidRDefault="005A774C" w:rsidP="002A3038">
            <w:pPr>
              <w:autoSpaceDE w:val="0"/>
              <w:autoSpaceDN w:val="0"/>
              <w:adjustRightInd w:val="0"/>
              <w:spacing w:after="0" w:line="240" w:lineRule="auto"/>
              <w:jc w:val="right"/>
              <w:rPr>
                <w:rFonts w:ascii="Times New Roman" w:eastAsia="Calibri" w:hAnsi="Times New Roman" w:cs="Times New Roman"/>
                <w:color w:val="000000"/>
                <w:sz w:val="18"/>
                <w:szCs w:val="18"/>
              </w:rPr>
            </w:pPr>
          </w:p>
        </w:tc>
        <w:tc>
          <w:tcPr>
            <w:tcW w:w="1003" w:type="dxa"/>
            <w:shd w:val="solid" w:color="FFFFFF" w:fill="auto"/>
          </w:tcPr>
          <w:p w14:paraId="0AEB3278" w14:textId="77777777" w:rsidR="005A774C" w:rsidRPr="008C7C15" w:rsidRDefault="005A774C" w:rsidP="002A3038">
            <w:pPr>
              <w:autoSpaceDE w:val="0"/>
              <w:autoSpaceDN w:val="0"/>
              <w:adjustRightInd w:val="0"/>
              <w:spacing w:after="0" w:line="240" w:lineRule="auto"/>
              <w:jc w:val="right"/>
              <w:rPr>
                <w:rFonts w:ascii="Arial" w:eastAsia="Calibri" w:hAnsi="Arial" w:cs="Arial"/>
                <w:color w:val="000000"/>
                <w:sz w:val="18"/>
                <w:szCs w:val="18"/>
              </w:rPr>
            </w:pPr>
          </w:p>
        </w:tc>
      </w:tr>
    </w:tbl>
    <w:p w14:paraId="07C35937" w14:textId="77777777" w:rsidR="0087205C" w:rsidRDefault="0087205C" w:rsidP="005A774C">
      <w:pPr>
        <w:keepNext/>
        <w:keepLines/>
        <w:spacing w:after="0" w:line="240" w:lineRule="auto"/>
        <w:jc w:val="center"/>
        <w:outlineLvl w:val="0"/>
        <w:rPr>
          <w:rFonts w:ascii="Arial" w:hAnsi="Arial"/>
          <w:b/>
          <w:bCs/>
          <w:smallCaps/>
          <w:sz w:val="24"/>
          <w:szCs w:val="24"/>
        </w:rPr>
      </w:pPr>
      <w:bookmarkStart w:id="57" w:name="_Toc498096420"/>
      <w:bookmarkStart w:id="58" w:name="_Toc500240979"/>
    </w:p>
    <w:p w14:paraId="6C424627" w14:textId="77777777" w:rsidR="0087205C" w:rsidRDefault="0087205C">
      <w:pPr>
        <w:bidi w:val="0"/>
        <w:rPr>
          <w:rFonts w:ascii="Arial" w:hAnsi="Arial"/>
          <w:b/>
          <w:bCs/>
          <w:smallCaps/>
          <w:sz w:val="24"/>
          <w:szCs w:val="24"/>
        </w:rPr>
      </w:pPr>
      <w:r>
        <w:rPr>
          <w:rFonts w:ascii="Arial" w:hAnsi="Arial"/>
          <w:b/>
          <w:bCs/>
          <w:smallCaps/>
          <w:sz w:val="24"/>
          <w:szCs w:val="24"/>
        </w:rPr>
        <w:br w:type="page"/>
      </w:r>
    </w:p>
    <w:p w14:paraId="458A48B1" w14:textId="77777777" w:rsidR="005A774C" w:rsidRPr="008C7C15" w:rsidRDefault="005A774C" w:rsidP="005A774C">
      <w:pPr>
        <w:keepNext/>
        <w:keepLines/>
        <w:spacing w:after="0" w:line="240" w:lineRule="auto"/>
        <w:jc w:val="center"/>
        <w:outlineLvl w:val="0"/>
        <w:rPr>
          <w:rFonts w:ascii="Arial" w:eastAsia="Arial" w:hAnsi="Arial" w:cs="Arial"/>
          <w:b/>
          <w:bCs/>
          <w:smallCaps/>
          <w:sz w:val="24"/>
          <w:szCs w:val="28"/>
        </w:rPr>
      </w:pPr>
      <w:r>
        <w:rPr>
          <w:rFonts w:ascii="Arial" w:hAnsi="Arial"/>
          <w:b/>
          <w:bCs/>
          <w:smallCaps/>
          <w:sz w:val="24"/>
          <w:szCs w:val="24"/>
        </w:rPr>
        <w:lastRenderedPageBreak/>
        <w:t>الملحق 5.</w:t>
      </w:r>
      <w:r w:rsidR="00022F13">
        <w:rPr>
          <w:rFonts w:ascii="Arial" w:hAnsi="Arial"/>
          <w:b/>
          <w:bCs/>
          <w:smallCaps/>
          <w:sz w:val="24"/>
          <w:szCs w:val="24"/>
        </w:rPr>
        <w:t xml:space="preserve"> </w:t>
      </w:r>
      <w:r w:rsidR="00E95046">
        <w:rPr>
          <w:rFonts w:ascii="Arial" w:hAnsi="Arial" w:hint="cs"/>
          <w:b/>
          <w:bCs/>
          <w:smallCaps/>
          <w:sz w:val="24"/>
          <w:szCs w:val="24"/>
        </w:rPr>
        <w:t>حافظ</w:t>
      </w:r>
      <w:r w:rsidR="00E95046">
        <w:rPr>
          <w:rFonts w:ascii="Arial" w:hAnsi="Arial" w:hint="eastAsia"/>
          <w:b/>
          <w:bCs/>
          <w:smallCaps/>
          <w:sz w:val="24"/>
          <w:szCs w:val="24"/>
        </w:rPr>
        <w:t>ة</w:t>
      </w:r>
      <w:r>
        <w:rPr>
          <w:rFonts w:ascii="Arial" w:hAnsi="Arial"/>
          <w:b/>
          <w:bCs/>
          <w:smallCaps/>
          <w:sz w:val="24"/>
          <w:szCs w:val="24"/>
        </w:rPr>
        <w:t xml:space="preserve"> استثمارات مؤسسة التمويل الدولية القائمة التي تم </w:t>
      </w:r>
      <w:r w:rsidR="00455132">
        <w:rPr>
          <w:rFonts w:ascii="Arial" w:hAnsi="Arial" w:hint="cs"/>
          <w:b/>
          <w:bCs/>
          <w:smallCaps/>
          <w:sz w:val="24"/>
          <w:szCs w:val="24"/>
        </w:rPr>
        <w:t>الارتباط</w:t>
      </w:r>
      <w:r>
        <w:rPr>
          <w:rFonts w:ascii="Arial" w:hAnsi="Arial"/>
          <w:b/>
          <w:bCs/>
          <w:smallCaps/>
          <w:sz w:val="24"/>
          <w:szCs w:val="24"/>
        </w:rPr>
        <w:t xml:space="preserve"> بها وصرفها</w:t>
      </w:r>
      <w:bookmarkEnd w:id="57"/>
      <w:bookmarkEnd w:id="58"/>
    </w:p>
    <w:p w14:paraId="65139853" w14:textId="77777777" w:rsidR="005A774C" w:rsidRPr="008C7C15" w:rsidRDefault="005A774C" w:rsidP="005A774C">
      <w:pPr>
        <w:autoSpaceDE w:val="0"/>
        <w:autoSpaceDN w:val="0"/>
        <w:adjustRightInd w:val="0"/>
        <w:spacing w:after="0" w:line="240" w:lineRule="auto"/>
        <w:jc w:val="center"/>
        <w:rPr>
          <w:rFonts w:ascii="Arial" w:eastAsia="Arial" w:hAnsi="Arial" w:cs="Arial"/>
          <w:b/>
          <w:bCs/>
          <w:i/>
          <w:color w:val="000000"/>
          <w:sz w:val="18"/>
          <w:szCs w:val="18"/>
        </w:rPr>
      </w:pPr>
      <w:r>
        <w:rPr>
          <w:rFonts w:ascii="Arial" w:hAnsi="Arial"/>
          <w:b/>
          <w:bCs/>
          <w:i/>
          <w:iCs/>
          <w:color w:val="000000"/>
          <w:sz w:val="18"/>
          <w:szCs w:val="18"/>
        </w:rPr>
        <w:t>(في 31 أكتوبر/تشرين الأول 2017)</w:t>
      </w:r>
    </w:p>
    <w:p w14:paraId="3BC782D1" w14:textId="77777777" w:rsidR="005A774C" w:rsidRPr="008C7C15" w:rsidRDefault="005A774C" w:rsidP="005A774C">
      <w:pPr>
        <w:spacing w:line="240" w:lineRule="auto"/>
        <w:jc w:val="center"/>
        <w:rPr>
          <w:rFonts w:ascii="Arial" w:eastAsia="Arial" w:hAnsi="Arial" w:cs="Arial"/>
          <w:b/>
          <w:sz w:val="20"/>
          <w:szCs w:val="20"/>
        </w:rPr>
      </w:pPr>
      <w:r>
        <w:rPr>
          <w:rFonts w:ascii="Arial" w:hAnsi="Arial"/>
          <w:b/>
          <w:bCs/>
          <w:sz w:val="20"/>
          <w:szCs w:val="20"/>
        </w:rPr>
        <w:t>(مليون دولار)</w:t>
      </w:r>
    </w:p>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
        <w:gridCol w:w="2187"/>
        <w:gridCol w:w="657"/>
        <w:gridCol w:w="868"/>
        <w:gridCol w:w="871"/>
        <w:gridCol w:w="970"/>
        <w:gridCol w:w="1197"/>
        <w:gridCol w:w="265"/>
        <w:gridCol w:w="711"/>
        <w:gridCol w:w="782"/>
        <w:gridCol w:w="957"/>
        <w:gridCol w:w="970"/>
        <w:gridCol w:w="1197"/>
        <w:gridCol w:w="265"/>
      </w:tblGrid>
      <w:tr w:rsidR="005A774C" w:rsidRPr="008C7C15" w14:paraId="642E33BA" w14:textId="77777777" w:rsidTr="002A3038">
        <w:trPr>
          <w:trHeight w:val="396"/>
        </w:trPr>
        <w:tc>
          <w:tcPr>
            <w:tcW w:w="1053" w:type="dxa"/>
          </w:tcPr>
          <w:p w14:paraId="6FF25D85"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2187" w:type="dxa"/>
            <w:noWrap/>
          </w:tcPr>
          <w:p w14:paraId="3FFAB01A"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657" w:type="dxa"/>
            <w:noWrap/>
          </w:tcPr>
          <w:p w14:paraId="0F42A7CB"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868" w:type="dxa"/>
            <w:noWrap/>
          </w:tcPr>
          <w:p w14:paraId="0B2BE221"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871" w:type="dxa"/>
            <w:noWrap/>
          </w:tcPr>
          <w:p w14:paraId="2D8EB520"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970" w:type="dxa"/>
            <w:noWrap/>
          </w:tcPr>
          <w:p w14:paraId="56C75BC0"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1197" w:type="dxa"/>
            <w:noWrap/>
          </w:tcPr>
          <w:p w14:paraId="3917A766"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265" w:type="dxa"/>
            <w:noWrap/>
          </w:tcPr>
          <w:p w14:paraId="5B7DB4F1"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711" w:type="dxa"/>
            <w:noWrap/>
          </w:tcPr>
          <w:p w14:paraId="009366EF"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782" w:type="dxa"/>
            <w:noWrap/>
          </w:tcPr>
          <w:p w14:paraId="31E08916"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957" w:type="dxa"/>
            <w:noWrap/>
          </w:tcPr>
          <w:p w14:paraId="0DF7D58E"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970" w:type="dxa"/>
            <w:noWrap/>
          </w:tcPr>
          <w:p w14:paraId="77C86F47"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1197" w:type="dxa"/>
            <w:noWrap/>
          </w:tcPr>
          <w:p w14:paraId="5F61F250"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265" w:type="dxa"/>
            <w:noWrap/>
          </w:tcPr>
          <w:p w14:paraId="4B99BE81" w14:textId="77777777" w:rsidR="005A774C" w:rsidRPr="008C7C15" w:rsidRDefault="005A774C" w:rsidP="002A3038">
            <w:r>
              <w:t> </w:t>
            </w:r>
          </w:p>
        </w:tc>
      </w:tr>
      <w:tr w:rsidR="005A774C" w:rsidRPr="008C7C15" w14:paraId="3235240B" w14:textId="77777777" w:rsidTr="002A3038">
        <w:trPr>
          <w:trHeight w:val="405"/>
        </w:trPr>
        <w:tc>
          <w:tcPr>
            <w:tcW w:w="1053" w:type="dxa"/>
          </w:tcPr>
          <w:p w14:paraId="5B8350BE"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2187" w:type="dxa"/>
            <w:noWrap/>
          </w:tcPr>
          <w:p w14:paraId="57BD719F"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4563" w:type="dxa"/>
            <w:gridSpan w:val="5"/>
            <w:shd w:val="clear" w:color="auto" w:fill="DEEAF6" w:themeFill="accent1" w:themeFillTint="33"/>
            <w:noWrap/>
            <w:vAlign w:val="center"/>
          </w:tcPr>
          <w:p w14:paraId="19BCD07C" w14:textId="77777777" w:rsidR="005A774C" w:rsidRPr="008C7C15" w:rsidRDefault="005A774C" w:rsidP="002A3038">
            <w:pPr>
              <w:jc w:val="center"/>
              <w:rPr>
                <w:rFonts w:ascii="Arial" w:hAnsi="Arial"/>
                <w:b/>
                <w:bCs/>
                <w:sz w:val="18"/>
                <w:szCs w:val="18"/>
              </w:rPr>
            </w:pPr>
            <w:r>
              <w:rPr>
                <w:rFonts w:ascii="Arial" w:hAnsi="Arial"/>
                <w:b/>
                <w:bCs/>
                <w:sz w:val="18"/>
                <w:szCs w:val="18"/>
              </w:rPr>
              <w:t>ارتباطات</w:t>
            </w:r>
          </w:p>
        </w:tc>
        <w:tc>
          <w:tcPr>
            <w:tcW w:w="265" w:type="dxa"/>
            <w:noWrap/>
          </w:tcPr>
          <w:p w14:paraId="7B96D1DA" w14:textId="77777777" w:rsidR="005A774C" w:rsidRPr="008C7C15" w:rsidRDefault="005A774C" w:rsidP="002A3038">
            <w:pPr>
              <w:rPr>
                <w:rFonts w:ascii="Times New Roman" w:hAnsi="Times New Roman" w:cs="Times New Roman"/>
                <w:b/>
                <w:bCs/>
                <w:sz w:val="18"/>
                <w:szCs w:val="18"/>
                <w:u w:val="single"/>
              </w:rPr>
            </w:pPr>
          </w:p>
        </w:tc>
        <w:tc>
          <w:tcPr>
            <w:tcW w:w="4617" w:type="dxa"/>
            <w:gridSpan w:val="5"/>
            <w:shd w:val="clear" w:color="auto" w:fill="DEEAF6" w:themeFill="accent1" w:themeFillTint="33"/>
            <w:noWrap/>
            <w:vAlign w:val="center"/>
          </w:tcPr>
          <w:p w14:paraId="63FD89DC" w14:textId="77777777" w:rsidR="005A774C" w:rsidRPr="008C7C15" w:rsidRDefault="005A774C" w:rsidP="002A3038">
            <w:pPr>
              <w:jc w:val="center"/>
              <w:rPr>
                <w:rFonts w:ascii="Arial" w:hAnsi="Arial"/>
                <w:b/>
                <w:bCs/>
                <w:sz w:val="18"/>
                <w:szCs w:val="18"/>
              </w:rPr>
            </w:pPr>
            <w:r>
              <w:rPr>
                <w:rFonts w:ascii="Arial" w:hAnsi="Arial"/>
                <w:b/>
                <w:bCs/>
                <w:sz w:val="18"/>
                <w:szCs w:val="18"/>
              </w:rPr>
              <w:t>الاستثمارات القائمة التي تم صرفها</w:t>
            </w:r>
          </w:p>
        </w:tc>
        <w:tc>
          <w:tcPr>
            <w:tcW w:w="265" w:type="dxa"/>
            <w:noWrap/>
          </w:tcPr>
          <w:p w14:paraId="109EABE5" w14:textId="77777777" w:rsidR="005A774C" w:rsidRPr="008C7C15" w:rsidRDefault="005A774C" w:rsidP="002A3038">
            <w:r>
              <w:t> </w:t>
            </w:r>
          </w:p>
        </w:tc>
      </w:tr>
      <w:tr w:rsidR="005A774C" w:rsidRPr="008C7C15" w14:paraId="44C3BAD7" w14:textId="77777777" w:rsidTr="002A3038">
        <w:trPr>
          <w:trHeight w:val="681"/>
        </w:trPr>
        <w:tc>
          <w:tcPr>
            <w:tcW w:w="1053" w:type="dxa"/>
          </w:tcPr>
          <w:p w14:paraId="3BB48826" w14:textId="77777777" w:rsidR="005A774C" w:rsidRPr="008C7C15" w:rsidRDefault="005A774C" w:rsidP="002A3038">
            <w:pPr>
              <w:rPr>
                <w:rFonts w:ascii="Arial" w:hAnsi="Arial"/>
                <w:b/>
                <w:bCs/>
                <w:sz w:val="18"/>
                <w:szCs w:val="18"/>
              </w:rPr>
            </w:pPr>
            <w:r>
              <w:rPr>
                <w:rFonts w:ascii="Arial" w:hAnsi="Arial"/>
                <w:b/>
                <w:bCs/>
                <w:sz w:val="18"/>
                <w:szCs w:val="18"/>
              </w:rPr>
              <w:t>الموافقة الخاصة بالسنة المالية</w:t>
            </w:r>
          </w:p>
        </w:tc>
        <w:tc>
          <w:tcPr>
            <w:tcW w:w="2187" w:type="dxa"/>
            <w:noWrap/>
          </w:tcPr>
          <w:p w14:paraId="17D7DE97" w14:textId="77777777" w:rsidR="005A774C" w:rsidRPr="008C7C15" w:rsidRDefault="005A774C" w:rsidP="002A3038">
            <w:pPr>
              <w:rPr>
                <w:rFonts w:ascii="Arial" w:hAnsi="Arial"/>
                <w:b/>
                <w:bCs/>
                <w:sz w:val="18"/>
                <w:szCs w:val="18"/>
              </w:rPr>
            </w:pPr>
            <w:r>
              <w:rPr>
                <w:rFonts w:ascii="Arial" w:hAnsi="Arial"/>
                <w:b/>
                <w:bCs/>
                <w:sz w:val="18"/>
                <w:szCs w:val="18"/>
              </w:rPr>
              <w:t>الشركة</w:t>
            </w:r>
          </w:p>
        </w:tc>
        <w:tc>
          <w:tcPr>
            <w:tcW w:w="657" w:type="dxa"/>
            <w:noWrap/>
          </w:tcPr>
          <w:p w14:paraId="4F8316F4" w14:textId="77777777" w:rsidR="005A774C" w:rsidRPr="008C7C15" w:rsidRDefault="005A774C" w:rsidP="002A3038">
            <w:pPr>
              <w:rPr>
                <w:rFonts w:ascii="Arial" w:hAnsi="Arial"/>
                <w:b/>
                <w:bCs/>
                <w:sz w:val="18"/>
                <w:szCs w:val="18"/>
              </w:rPr>
            </w:pPr>
            <w:r>
              <w:rPr>
                <w:rFonts w:ascii="Arial" w:hAnsi="Arial"/>
                <w:b/>
                <w:bCs/>
                <w:sz w:val="18"/>
                <w:szCs w:val="18"/>
              </w:rPr>
              <w:t>قرض</w:t>
            </w:r>
          </w:p>
        </w:tc>
        <w:tc>
          <w:tcPr>
            <w:tcW w:w="868" w:type="dxa"/>
            <w:noWrap/>
          </w:tcPr>
          <w:p w14:paraId="73146F25" w14:textId="77777777" w:rsidR="005A774C" w:rsidRPr="008C7C15" w:rsidRDefault="005A774C" w:rsidP="002A3038">
            <w:pPr>
              <w:rPr>
                <w:rFonts w:ascii="Arial" w:hAnsi="Arial"/>
                <w:b/>
                <w:bCs/>
                <w:sz w:val="18"/>
                <w:szCs w:val="18"/>
              </w:rPr>
            </w:pPr>
            <w:r>
              <w:rPr>
                <w:rFonts w:ascii="Arial" w:hAnsi="Arial"/>
                <w:b/>
                <w:bCs/>
                <w:sz w:val="18"/>
                <w:szCs w:val="18"/>
              </w:rPr>
              <w:t>حقوق ملكية</w:t>
            </w:r>
          </w:p>
        </w:tc>
        <w:tc>
          <w:tcPr>
            <w:tcW w:w="871" w:type="dxa"/>
          </w:tcPr>
          <w:p w14:paraId="71F8DCD8" w14:textId="77777777" w:rsidR="005A774C" w:rsidRPr="008C7C15" w:rsidRDefault="005A774C" w:rsidP="002A3038">
            <w:pPr>
              <w:rPr>
                <w:rFonts w:ascii="Arial" w:hAnsi="Arial"/>
                <w:b/>
                <w:bCs/>
                <w:sz w:val="18"/>
                <w:szCs w:val="18"/>
              </w:rPr>
            </w:pPr>
            <w:r>
              <w:rPr>
                <w:rFonts w:ascii="Arial" w:hAnsi="Arial"/>
                <w:b/>
                <w:bCs/>
                <w:sz w:val="18"/>
                <w:szCs w:val="18"/>
              </w:rPr>
              <w:t>أشباه حقوق الملكية</w:t>
            </w:r>
          </w:p>
        </w:tc>
        <w:tc>
          <w:tcPr>
            <w:tcW w:w="970" w:type="dxa"/>
            <w:noWrap/>
          </w:tcPr>
          <w:p w14:paraId="733D34CA" w14:textId="77777777" w:rsidR="005A774C" w:rsidRPr="008C7C15" w:rsidRDefault="005A774C" w:rsidP="002A3038">
            <w:pPr>
              <w:rPr>
                <w:rFonts w:ascii="Arial" w:hAnsi="Arial"/>
                <w:b/>
                <w:bCs/>
                <w:sz w:val="18"/>
                <w:szCs w:val="18"/>
              </w:rPr>
            </w:pPr>
            <w:r>
              <w:rPr>
                <w:rFonts w:ascii="Arial" w:hAnsi="Arial"/>
                <w:b/>
                <w:bCs/>
                <w:sz w:val="18"/>
                <w:szCs w:val="18"/>
              </w:rPr>
              <w:t>*منحة/إدارة الموارد</w:t>
            </w:r>
          </w:p>
        </w:tc>
        <w:tc>
          <w:tcPr>
            <w:tcW w:w="1197" w:type="dxa"/>
            <w:noWrap/>
          </w:tcPr>
          <w:p w14:paraId="0E1F1FFF" w14:textId="77777777" w:rsidR="005A774C" w:rsidRPr="008C7C15" w:rsidRDefault="005A774C" w:rsidP="002A3038">
            <w:pPr>
              <w:rPr>
                <w:rFonts w:ascii="Arial" w:hAnsi="Arial"/>
                <w:b/>
                <w:bCs/>
                <w:sz w:val="18"/>
                <w:szCs w:val="18"/>
              </w:rPr>
            </w:pPr>
            <w:r>
              <w:rPr>
                <w:rFonts w:ascii="Arial" w:hAnsi="Arial"/>
                <w:b/>
                <w:bCs/>
                <w:sz w:val="18"/>
                <w:szCs w:val="18"/>
              </w:rPr>
              <w:t>مشترك، مشارك</w:t>
            </w:r>
          </w:p>
        </w:tc>
        <w:tc>
          <w:tcPr>
            <w:tcW w:w="265" w:type="dxa"/>
            <w:noWrap/>
          </w:tcPr>
          <w:p w14:paraId="5B1B41CB"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711" w:type="dxa"/>
            <w:noWrap/>
          </w:tcPr>
          <w:p w14:paraId="3FB7DF83" w14:textId="77777777" w:rsidR="005A774C" w:rsidRPr="008C7C15" w:rsidRDefault="005A774C" w:rsidP="002A3038">
            <w:pPr>
              <w:rPr>
                <w:rFonts w:ascii="Arial" w:hAnsi="Arial"/>
                <w:b/>
                <w:bCs/>
                <w:sz w:val="18"/>
                <w:szCs w:val="18"/>
              </w:rPr>
            </w:pPr>
            <w:r>
              <w:rPr>
                <w:rFonts w:ascii="Arial" w:hAnsi="Arial"/>
                <w:b/>
                <w:bCs/>
                <w:sz w:val="18"/>
                <w:szCs w:val="18"/>
              </w:rPr>
              <w:t>قرض</w:t>
            </w:r>
          </w:p>
        </w:tc>
        <w:tc>
          <w:tcPr>
            <w:tcW w:w="782" w:type="dxa"/>
            <w:noWrap/>
          </w:tcPr>
          <w:p w14:paraId="0C068B78" w14:textId="77777777" w:rsidR="005A774C" w:rsidRPr="008C7C15" w:rsidRDefault="005A774C" w:rsidP="002A3038">
            <w:pPr>
              <w:rPr>
                <w:rFonts w:ascii="Arial" w:hAnsi="Arial"/>
                <w:b/>
                <w:bCs/>
                <w:sz w:val="18"/>
                <w:szCs w:val="18"/>
              </w:rPr>
            </w:pPr>
            <w:r>
              <w:rPr>
                <w:rFonts w:ascii="Arial" w:hAnsi="Arial"/>
                <w:b/>
                <w:bCs/>
                <w:sz w:val="18"/>
                <w:szCs w:val="18"/>
              </w:rPr>
              <w:t>حقوق ملكية</w:t>
            </w:r>
          </w:p>
        </w:tc>
        <w:tc>
          <w:tcPr>
            <w:tcW w:w="957" w:type="dxa"/>
          </w:tcPr>
          <w:p w14:paraId="72213D21" w14:textId="77777777" w:rsidR="005A774C" w:rsidRPr="008C7C15" w:rsidRDefault="005A774C" w:rsidP="002A3038">
            <w:pPr>
              <w:rPr>
                <w:rFonts w:ascii="Arial" w:hAnsi="Arial"/>
                <w:b/>
                <w:bCs/>
                <w:sz w:val="18"/>
                <w:szCs w:val="18"/>
              </w:rPr>
            </w:pPr>
            <w:r>
              <w:rPr>
                <w:rFonts w:ascii="Arial" w:hAnsi="Arial"/>
                <w:b/>
                <w:bCs/>
                <w:sz w:val="18"/>
                <w:szCs w:val="18"/>
              </w:rPr>
              <w:t>أشباه حقوق الملكية</w:t>
            </w:r>
          </w:p>
        </w:tc>
        <w:tc>
          <w:tcPr>
            <w:tcW w:w="970" w:type="dxa"/>
            <w:noWrap/>
          </w:tcPr>
          <w:p w14:paraId="00330038" w14:textId="77777777" w:rsidR="005A774C" w:rsidRPr="008C7C15" w:rsidRDefault="005A774C" w:rsidP="002A3038">
            <w:pPr>
              <w:rPr>
                <w:rFonts w:ascii="Arial" w:hAnsi="Arial"/>
                <w:b/>
                <w:bCs/>
                <w:sz w:val="18"/>
                <w:szCs w:val="18"/>
              </w:rPr>
            </w:pPr>
            <w:r>
              <w:rPr>
                <w:rFonts w:ascii="Arial" w:hAnsi="Arial"/>
                <w:b/>
                <w:bCs/>
                <w:sz w:val="18"/>
                <w:szCs w:val="18"/>
              </w:rPr>
              <w:t>*منحة/إدارة الموارد</w:t>
            </w:r>
          </w:p>
        </w:tc>
        <w:tc>
          <w:tcPr>
            <w:tcW w:w="1197" w:type="dxa"/>
            <w:noWrap/>
          </w:tcPr>
          <w:p w14:paraId="3F9C271B" w14:textId="77777777" w:rsidR="005A774C" w:rsidRPr="008C7C15" w:rsidRDefault="005A774C" w:rsidP="0087205C">
            <w:pPr>
              <w:rPr>
                <w:rFonts w:ascii="Arial" w:hAnsi="Arial"/>
                <w:b/>
                <w:bCs/>
                <w:sz w:val="18"/>
                <w:szCs w:val="18"/>
              </w:rPr>
            </w:pPr>
            <w:r>
              <w:rPr>
                <w:rFonts w:ascii="Arial" w:hAnsi="Arial"/>
                <w:b/>
                <w:bCs/>
                <w:sz w:val="18"/>
                <w:szCs w:val="18"/>
              </w:rPr>
              <w:t>مشارك</w:t>
            </w:r>
            <w:r w:rsidR="00455132">
              <w:rPr>
                <w:rFonts w:ascii="Arial" w:hAnsi="Arial" w:hint="cs"/>
                <w:b/>
                <w:bCs/>
                <w:sz w:val="18"/>
                <w:szCs w:val="18"/>
              </w:rPr>
              <w:t xml:space="preserve"> </w:t>
            </w:r>
            <w:r w:rsidR="0087205C">
              <w:rPr>
                <w:rFonts w:ascii="Arial" w:hAnsi="Arial" w:hint="cs"/>
                <w:b/>
                <w:bCs/>
                <w:sz w:val="18"/>
                <w:szCs w:val="18"/>
              </w:rPr>
              <w:t xml:space="preserve"> </w:t>
            </w:r>
          </w:p>
        </w:tc>
        <w:tc>
          <w:tcPr>
            <w:tcW w:w="265" w:type="dxa"/>
            <w:noWrap/>
          </w:tcPr>
          <w:p w14:paraId="64950A94" w14:textId="77777777" w:rsidR="005A774C" w:rsidRPr="008C7C15" w:rsidRDefault="005A774C" w:rsidP="002A3038">
            <w:r>
              <w:t> </w:t>
            </w:r>
          </w:p>
        </w:tc>
      </w:tr>
      <w:tr w:rsidR="005A774C" w:rsidRPr="008C7C15" w14:paraId="0C5E022A" w14:textId="77777777" w:rsidTr="002A3038">
        <w:trPr>
          <w:gridAfter w:val="1"/>
          <w:wAfter w:w="265" w:type="dxa"/>
          <w:trHeight w:val="396"/>
        </w:trPr>
        <w:tc>
          <w:tcPr>
            <w:tcW w:w="1053" w:type="dxa"/>
          </w:tcPr>
          <w:p w14:paraId="23E3933D" w14:textId="77777777" w:rsidR="005A774C" w:rsidRPr="008C7C15" w:rsidRDefault="005A774C" w:rsidP="002A3038">
            <w:pPr>
              <w:rPr>
                <w:rFonts w:ascii="Arial" w:hAnsi="Arial"/>
                <w:sz w:val="18"/>
                <w:szCs w:val="18"/>
              </w:rPr>
            </w:pPr>
            <w:r>
              <w:rPr>
                <w:rFonts w:ascii="Arial" w:hAnsi="Arial"/>
                <w:sz w:val="18"/>
                <w:szCs w:val="18"/>
              </w:rPr>
              <w:t>السنة المالية 2014</w:t>
            </w:r>
          </w:p>
        </w:tc>
        <w:tc>
          <w:tcPr>
            <w:tcW w:w="2187" w:type="dxa"/>
            <w:noWrap/>
          </w:tcPr>
          <w:p w14:paraId="6C94496C" w14:textId="77777777" w:rsidR="005A774C" w:rsidRPr="008C7C15" w:rsidRDefault="005A774C" w:rsidP="002A3038">
            <w:pPr>
              <w:rPr>
                <w:rFonts w:ascii="Arial" w:hAnsi="Arial"/>
                <w:sz w:val="18"/>
                <w:szCs w:val="18"/>
              </w:rPr>
            </w:pPr>
            <w:r>
              <w:rPr>
                <w:rFonts w:ascii="Arial" w:hAnsi="Arial"/>
                <w:sz w:val="18"/>
                <w:szCs w:val="18"/>
              </w:rPr>
              <w:t>أبراج فلسطين</w:t>
            </w:r>
          </w:p>
        </w:tc>
        <w:tc>
          <w:tcPr>
            <w:tcW w:w="657" w:type="dxa"/>
            <w:noWrap/>
          </w:tcPr>
          <w:p w14:paraId="0FD1B244" w14:textId="77777777" w:rsidR="005A774C" w:rsidRPr="008C7C15" w:rsidRDefault="005A774C" w:rsidP="002A3038">
            <w:pPr>
              <w:rPr>
                <w:rFonts w:ascii="Arial" w:hAnsi="Arial"/>
                <w:sz w:val="18"/>
                <w:szCs w:val="18"/>
              </w:rPr>
            </w:pPr>
            <w:r>
              <w:rPr>
                <w:rFonts w:ascii="Arial" w:hAnsi="Arial"/>
                <w:sz w:val="18"/>
                <w:szCs w:val="18"/>
              </w:rPr>
              <w:t>0.00</w:t>
            </w:r>
          </w:p>
        </w:tc>
        <w:tc>
          <w:tcPr>
            <w:tcW w:w="868" w:type="dxa"/>
            <w:noWrap/>
          </w:tcPr>
          <w:p w14:paraId="7AB0A242" w14:textId="77777777" w:rsidR="005A774C" w:rsidRPr="008C7C15" w:rsidRDefault="005A774C" w:rsidP="002A3038">
            <w:pPr>
              <w:rPr>
                <w:rFonts w:ascii="Arial" w:hAnsi="Arial"/>
                <w:sz w:val="18"/>
                <w:szCs w:val="18"/>
              </w:rPr>
            </w:pPr>
            <w:r>
              <w:rPr>
                <w:rFonts w:ascii="Arial" w:hAnsi="Arial"/>
                <w:sz w:val="18"/>
                <w:szCs w:val="18"/>
              </w:rPr>
              <w:t>3.00</w:t>
            </w:r>
          </w:p>
        </w:tc>
        <w:tc>
          <w:tcPr>
            <w:tcW w:w="871" w:type="dxa"/>
            <w:noWrap/>
          </w:tcPr>
          <w:p w14:paraId="654DA9B9"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6F74FFD6"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7687A894"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4D5B2F13" w14:textId="77777777" w:rsidR="005A774C" w:rsidRPr="008C7C15" w:rsidRDefault="005A774C" w:rsidP="002A3038">
            <w:pPr>
              <w:rPr>
                <w:rFonts w:ascii="Times New Roman" w:hAnsi="Times New Roman" w:cs="Times New Roman"/>
                <w:sz w:val="18"/>
                <w:szCs w:val="18"/>
              </w:rPr>
            </w:pPr>
          </w:p>
        </w:tc>
        <w:tc>
          <w:tcPr>
            <w:tcW w:w="711" w:type="dxa"/>
            <w:noWrap/>
          </w:tcPr>
          <w:p w14:paraId="3E29C8BD" w14:textId="77777777" w:rsidR="005A774C" w:rsidRPr="008C7C15" w:rsidRDefault="005A774C" w:rsidP="002A3038">
            <w:pPr>
              <w:rPr>
                <w:rFonts w:ascii="Arial" w:hAnsi="Arial"/>
                <w:sz w:val="18"/>
                <w:szCs w:val="18"/>
              </w:rPr>
            </w:pPr>
            <w:r>
              <w:rPr>
                <w:rFonts w:ascii="Arial" w:hAnsi="Arial"/>
                <w:sz w:val="18"/>
                <w:szCs w:val="18"/>
              </w:rPr>
              <w:t>0.00</w:t>
            </w:r>
          </w:p>
        </w:tc>
        <w:tc>
          <w:tcPr>
            <w:tcW w:w="782" w:type="dxa"/>
            <w:noWrap/>
          </w:tcPr>
          <w:p w14:paraId="6406D685" w14:textId="77777777" w:rsidR="005A774C" w:rsidRPr="008C7C15" w:rsidRDefault="005A774C" w:rsidP="002A3038">
            <w:pPr>
              <w:rPr>
                <w:rFonts w:ascii="Arial" w:hAnsi="Arial"/>
                <w:sz w:val="18"/>
                <w:szCs w:val="18"/>
              </w:rPr>
            </w:pPr>
            <w:r>
              <w:rPr>
                <w:rFonts w:ascii="Arial" w:hAnsi="Arial"/>
                <w:sz w:val="18"/>
                <w:szCs w:val="18"/>
              </w:rPr>
              <w:t>0.50</w:t>
            </w:r>
          </w:p>
        </w:tc>
        <w:tc>
          <w:tcPr>
            <w:tcW w:w="957" w:type="dxa"/>
            <w:noWrap/>
          </w:tcPr>
          <w:p w14:paraId="7560A0AD"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1701106D"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1EDFD794" w14:textId="77777777" w:rsidR="005A774C" w:rsidRPr="008C7C15" w:rsidRDefault="005A774C" w:rsidP="002A3038">
            <w:pPr>
              <w:rPr>
                <w:rFonts w:ascii="Arial" w:hAnsi="Arial"/>
                <w:sz w:val="18"/>
                <w:szCs w:val="18"/>
              </w:rPr>
            </w:pPr>
            <w:r>
              <w:rPr>
                <w:rFonts w:ascii="Arial" w:hAnsi="Arial"/>
                <w:sz w:val="18"/>
                <w:szCs w:val="18"/>
              </w:rPr>
              <w:t>0.00</w:t>
            </w:r>
          </w:p>
        </w:tc>
      </w:tr>
      <w:tr w:rsidR="005A774C" w:rsidRPr="008C7C15" w14:paraId="53FA5795" w14:textId="77777777" w:rsidTr="002A3038">
        <w:trPr>
          <w:trHeight w:val="396"/>
        </w:trPr>
        <w:tc>
          <w:tcPr>
            <w:tcW w:w="1053" w:type="dxa"/>
          </w:tcPr>
          <w:p w14:paraId="0D85BDFB" w14:textId="77777777" w:rsidR="005A774C" w:rsidRDefault="00455132" w:rsidP="002A3038">
            <w:pPr>
              <w:rPr>
                <w:rFonts w:ascii="Arial" w:hAnsi="Arial"/>
                <w:sz w:val="18"/>
                <w:szCs w:val="18"/>
              </w:rPr>
            </w:pPr>
            <w:r>
              <w:rPr>
                <w:rFonts w:ascii="Arial" w:hAnsi="Arial"/>
                <w:sz w:val="18"/>
                <w:szCs w:val="18"/>
              </w:rPr>
              <w:t>السنة المالية</w:t>
            </w:r>
          </w:p>
          <w:p w14:paraId="5ED60CEA" w14:textId="77777777" w:rsidR="00455132" w:rsidRPr="008C7C15" w:rsidRDefault="00455132" w:rsidP="002A3038">
            <w:pPr>
              <w:rPr>
                <w:rFonts w:ascii="Arial" w:hAnsi="Arial"/>
                <w:sz w:val="18"/>
                <w:szCs w:val="18"/>
              </w:rPr>
            </w:pPr>
            <w:r>
              <w:rPr>
                <w:rFonts w:ascii="Arial" w:hAnsi="Arial" w:hint="cs"/>
                <w:sz w:val="18"/>
                <w:szCs w:val="18"/>
              </w:rPr>
              <w:t>2008</w:t>
            </w:r>
          </w:p>
        </w:tc>
        <w:tc>
          <w:tcPr>
            <w:tcW w:w="2187" w:type="dxa"/>
            <w:noWrap/>
          </w:tcPr>
          <w:p w14:paraId="54BA58D4" w14:textId="77777777" w:rsidR="005A774C" w:rsidRPr="008C7C15" w:rsidRDefault="005A774C" w:rsidP="002A3038">
            <w:pPr>
              <w:rPr>
                <w:rFonts w:ascii="Arial" w:hAnsi="Arial"/>
                <w:sz w:val="18"/>
                <w:szCs w:val="18"/>
              </w:rPr>
            </w:pPr>
            <w:r>
              <w:rPr>
                <w:rFonts w:ascii="Arial" w:hAnsi="Arial"/>
                <w:sz w:val="18"/>
                <w:szCs w:val="18"/>
              </w:rPr>
              <w:t>بنك فلسطين</w:t>
            </w:r>
          </w:p>
        </w:tc>
        <w:tc>
          <w:tcPr>
            <w:tcW w:w="657" w:type="dxa"/>
            <w:noWrap/>
          </w:tcPr>
          <w:p w14:paraId="0BEEA578" w14:textId="77777777" w:rsidR="005A774C" w:rsidRPr="008C7C15" w:rsidRDefault="005A774C" w:rsidP="002A3038">
            <w:pPr>
              <w:rPr>
                <w:rFonts w:ascii="Arial" w:hAnsi="Arial"/>
                <w:sz w:val="18"/>
                <w:szCs w:val="18"/>
              </w:rPr>
            </w:pPr>
            <w:r>
              <w:rPr>
                <w:rFonts w:ascii="Arial" w:hAnsi="Arial"/>
                <w:sz w:val="18"/>
                <w:szCs w:val="18"/>
              </w:rPr>
              <w:t>0.00</w:t>
            </w:r>
          </w:p>
        </w:tc>
        <w:tc>
          <w:tcPr>
            <w:tcW w:w="868" w:type="dxa"/>
            <w:noWrap/>
          </w:tcPr>
          <w:p w14:paraId="5D4EA803" w14:textId="77777777" w:rsidR="005A774C" w:rsidRPr="008C7C15" w:rsidRDefault="005A774C" w:rsidP="002A3038">
            <w:pPr>
              <w:rPr>
                <w:rFonts w:ascii="Arial" w:hAnsi="Arial"/>
                <w:sz w:val="18"/>
                <w:szCs w:val="18"/>
              </w:rPr>
            </w:pPr>
            <w:r>
              <w:rPr>
                <w:rFonts w:ascii="Arial" w:hAnsi="Arial"/>
                <w:sz w:val="18"/>
                <w:szCs w:val="18"/>
              </w:rPr>
              <w:t>11.44</w:t>
            </w:r>
          </w:p>
        </w:tc>
        <w:tc>
          <w:tcPr>
            <w:tcW w:w="871" w:type="dxa"/>
            <w:noWrap/>
          </w:tcPr>
          <w:p w14:paraId="2D905681"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15535D6B"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3A33A172"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69C56881" w14:textId="77777777" w:rsidR="005A774C" w:rsidRPr="008C7C15" w:rsidRDefault="005A774C" w:rsidP="002A3038">
            <w:pPr>
              <w:rPr>
                <w:rFonts w:ascii="Arial" w:hAnsi="Arial"/>
                <w:sz w:val="18"/>
                <w:szCs w:val="18"/>
              </w:rPr>
            </w:pPr>
            <w:r>
              <w:rPr>
                <w:rFonts w:ascii="Arial" w:hAnsi="Arial"/>
                <w:sz w:val="18"/>
                <w:szCs w:val="18"/>
              </w:rPr>
              <w:t> </w:t>
            </w:r>
          </w:p>
        </w:tc>
        <w:tc>
          <w:tcPr>
            <w:tcW w:w="711" w:type="dxa"/>
            <w:noWrap/>
          </w:tcPr>
          <w:p w14:paraId="554711C0" w14:textId="77777777" w:rsidR="005A774C" w:rsidRPr="008C7C15" w:rsidRDefault="005A774C" w:rsidP="002A3038">
            <w:pPr>
              <w:rPr>
                <w:rFonts w:ascii="Arial" w:hAnsi="Arial"/>
                <w:sz w:val="18"/>
                <w:szCs w:val="18"/>
              </w:rPr>
            </w:pPr>
            <w:r>
              <w:rPr>
                <w:rFonts w:ascii="Arial" w:hAnsi="Arial"/>
                <w:sz w:val="18"/>
                <w:szCs w:val="18"/>
              </w:rPr>
              <w:t>0.00</w:t>
            </w:r>
          </w:p>
        </w:tc>
        <w:tc>
          <w:tcPr>
            <w:tcW w:w="782" w:type="dxa"/>
            <w:noWrap/>
          </w:tcPr>
          <w:p w14:paraId="2280DA61" w14:textId="77777777" w:rsidR="005A774C" w:rsidRPr="008C7C15" w:rsidRDefault="005A774C" w:rsidP="002A3038">
            <w:pPr>
              <w:rPr>
                <w:rFonts w:ascii="Arial" w:hAnsi="Arial"/>
                <w:sz w:val="18"/>
                <w:szCs w:val="18"/>
              </w:rPr>
            </w:pPr>
            <w:r>
              <w:rPr>
                <w:rFonts w:ascii="Arial" w:hAnsi="Arial"/>
                <w:sz w:val="18"/>
                <w:szCs w:val="18"/>
              </w:rPr>
              <w:t>11.40</w:t>
            </w:r>
          </w:p>
        </w:tc>
        <w:tc>
          <w:tcPr>
            <w:tcW w:w="957" w:type="dxa"/>
            <w:noWrap/>
          </w:tcPr>
          <w:p w14:paraId="444676BB"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5E45C650"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35D5D7DC"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67C6E2DE" w14:textId="77777777" w:rsidR="005A774C" w:rsidRPr="008C7C15" w:rsidRDefault="005A774C" w:rsidP="002A3038">
            <w:r>
              <w:t> </w:t>
            </w:r>
          </w:p>
        </w:tc>
      </w:tr>
      <w:tr w:rsidR="005A774C" w:rsidRPr="008C7C15" w14:paraId="132B741D" w14:textId="77777777" w:rsidTr="002A3038">
        <w:trPr>
          <w:trHeight w:val="396"/>
        </w:trPr>
        <w:tc>
          <w:tcPr>
            <w:tcW w:w="1053" w:type="dxa"/>
          </w:tcPr>
          <w:p w14:paraId="45FECF69" w14:textId="77777777" w:rsidR="005A774C" w:rsidRPr="008C7C15" w:rsidRDefault="00455132" w:rsidP="002A3038">
            <w:pPr>
              <w:rPr>
                <w:rFonts w:ascii="Arial" w:hAnsi="Arial"/>
                <w:sz w:val="18"/>
                <w:szCs w:val="18"/>
              </w:rPr>
            </w:pPr>
            <w:r>
              <w:rPr>
                <w:rFonts w:ascii="Arial" w:hAnsi="Arial"/>
                <w:sz w:val="18"/>
                <w:szCs w:val="18"/>
              </w:rPr>
              <w:t>السنة المالية</w:t>
            </w:r>
            <w:r>
              <w:rPr>
                <w:rFonts w:ascii="Arial" w:hAnsi="Arial" w:hint="cs"/>
                <w:sz w:val="18"/>
                <w:szCs w:val="18"/>
              </w:rPr>
              <w:t xml:space="preserve"> 2016</w:t>
            </w:r>
          </w:p>
        </w:tc>
        <w:tc>
          <w:tcPr>
            <w:tcW w:w="2187" w:type="dxa"/>
            <w:noWrap/>
          </w:tcPr>
          <w:p w14:paraId="5B67D8A4" w14:textId="77777777" w:rsidR="005A774C" w:rsidRPr="008C7C15" w:rsidRDefault="005A774C" w:rsidP="002A3038">
            <w:pPr>
              <w:rPr>
                <w:rFonts w:ascii="Arial" w:hAnsi="Arial"/>
                <w:sz w:val="18"/>
                <w:szCs w:val="18"/>
              </w:rPr>
            </w:pPr>
            <w:r>
              <w:rPr>
                <w:rFonts w:ascii="Arial" w:hAnsi="Arial"/>
                <w:sz w:val="18"/>
                <w:szCs w:val="18"/>
              </w:rPr>
              <w:t>بنك فلسطين</w:t>
            </w:r>
          </w:p>
        </w:tc>
        <w:tc>
          <w:tcPr>
            <w:tcW w:w="657" w:type="dxa"/>
            <w:noWrap/>
          </w:tcPr>
          <w:p w14:paraId="39EF0231" w14:textId="77777777" w:rsidR="005A774C" w:rsidRPr="008C7C15" w:rsidRDefault="005A774C" w:rsidP="002A3038">
            <w:pPr>
              <w:rPr>
                <w:rFonts w:ascii="Arial" w:hAnsi="Arial"/>
                <w:sz w:val="18"/>
                <w:szCs w:val="18"/>
              </w:rPr>
            </w:pPr>
            <w:r>
              <w:rPr>
                <w:rFonts w:ascii="Arial" w:hAnsi="Arial"/>
                <w:sz w:val="18"/>
                <w:szCs w:val="18"/>
              </w:rPr>
              <w:t>0.00</w:t>
            </w:r>
          </w:p>
        </w:tc>
        <w:tc>
          <w:tcPr>
            <w:tcW w:w="868" w:type="dxa"/>
            <w:noWrap/>
          </w:tcPr>
          <w:p w14:paraId="2133D9E2" w14:textId="77777777" w:rsidR="005A774C" w:rsidRPr="008C7C15" w:rsidRDefault="005A774C" w:rsidP="002A3038">
            <w:pPr>
              <w:rPr>
                <w:rFonts w:ascii="Arial" w:hAnsi="Arial"/>
                <w:sz w:val="18"/>
                <w:szCs w:val="18"/>
              </w:rPr>
            </w:pPr>
            <w:r>
              <w:rPr>
                <w:rFonts w:ascii="Arial" w:hAnsi="Arial"/>
                <w:sz w:val="18"/>
                <w:szCs w:val="18"/>
              </w:rPr>
              <w:t>0.00</w:t>
            </w:r>
          </w:p>
        </w:tc>
        <w:tc>
          <w:tcPr>
            <w:tcW w:w="871" w:type="dxa"/>
            <w:noWrap/>
          </w:tcPr>
          <w:p w14:paraId="5D3A82E6" w14:textId="77777777" w:rsidR="005A774C" w:rsidRPr="008C7C15" w:rsidRDefault="005A774C" w:rsidP="002A3038">
            <w:pPr>
              <w:rPr>
                <w:rFonts w:ascii="Arial" w:hAnsi="Arial"/>
                <w:sz w:val="18"/>
                <w:szCs w:val="18"/>
              </w:rPr>
            </w:pPr>
            <w:r>
              <w:rPr>
                <w:rFonts w:ascii="Arial" w:hAnsi="Arial"/>
                <w:sz w:val="18"/>
                <w:szCs w:val="18"/>
              </w:rPr>
              <w:t>75.00</w:t>
            </w:r>
          </w:p>
        </w:tc>
        <w:tc>
          <w:tcPr>
            <w:tcW w:w="970" w:type="dxa"/>
            <w:noWrap/>
          </w:tcPr>
          <w:p w14:paraId="28BC9C8E"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66CEB5BF"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231F4923" w14:textId="77777777" w:rsidR="005A774C" w:rsidRPr="008C7C15" w:rsidRDefault="005A774C" w:rsidP="002A3038">
            <w:pPr>
              <w:rPr>
                <w:rFonts w:ascii="Arial" w:hAnsi="Arial"/>
                <w:sz w:val="18"/>
                <w:szCs w:val="18"/>
              </w:rPr>
            </w:pPr>
            <w:r>
              <w:rPr>
                <w:rFonts w:ascii="Arial" w:hAnsi="Arial"/>
                <w:sz w:val="18"/>
                <w:szCs w:val="18"/>
              </w:rPr>
              <w:t> </w:t>
            </w:r>
          </w:p>
        </w:tc>
        <w:tc>
          <w:tcPr>
            <w:tcW w:w="711" w:type="dxa"/>
            <w:noWrap/>
          </w:tcPr>
          <w:p w14:paraId="02459B03" w14:textId="77777777" w:rsidR="005A774C" w:rsidRPr="008C7C15" w:rsidRDefault="005A774C" w:rsidP="002A3038">
            <w:pPr>
              <w:rPr>
                <w:rFonts w:ascii="Arial" w:hAnsi="Arial"/>
                <w:sz w:val="18"/>
                <w:szCs w:val="18"/>
              </w:rPr>
            </w:pPr>
            <w:r>
              <w:rPr>
                <w:rFonts w:ascii="Arial" w:hAnsi="Arial"/>
                <w:sz w:val="18"/>
                <w:szCs w:val="18"/>
              </w:rPr>
              <w:t>0.00</w:t>
            </w:r>
          </w:p>
        </w:tc>
        <w:tc>
          <w:tcPr>
            <w:tcW w:w="782" w:type="dxa"/>
            <w:noWrap/>
          </w:tcPr>
          <w:p w14:paraId="435866A8" w14:textId="77777777" w:rsidR="005A774C" w:rsidRPr="008C7C15" w:rsidRDefault="005A774C" w:rsidP="002A3038">
            <w:pPr>
              <w:rPr>
                <w:rFonts w:ascii="Arial" w:hAnsi="Arial"/>
                <w:sz w:val="18"/>
                <w:szCs w:val="18"/>
              </w:rPr>
            </w:pPr>
            <w:r>
              <w:rPr>
                <w:rFonts w:ascii="Arial" w:hAnsi="Arial"/>
                <w:sz w:val="18"/>
                <w:szCs w:val="18"/>
              </w:rPr>
              <w:t>0.00</w:t>
            </w:r>
          </w:p>
        </w:tc>
        <w:tc>
          <w:tcPr>
            <w:tcW w:w="957" w:type="dxa"/>
            <w:noWrap/>
          </w:tcPr>
          <w:p w14:paraId="31670716" w14:textId="77777777" w:rsidR="005A774C" w:rsidRPr="008C7C15" w:rsidRDefault="005A774C" w:rsidP="002A3038">
            <w:pPr>
              <w:rPr>
                <w:rFonts w:ascii="Arial" w:hAnsi="Arial"/>
                <w:sz w:val="18"/>
                <w:szCs w:val="18"/>
              </w:rPr>
            </w:pPr>
            <w:r>
              <w:rPr>
                <w:rFonts w:ascii="Arial" w:hAnsi="Arial"/>
                <w:sz w:val="18"/>
                <w:szCs w:val="18"/>
              </w:rPr>
              <w:t>50.00</w:t>
            </w:r>
          </w:p>
        </w:tc>
        <w:tc>
          <w:tcPr>
            <w:tcW w:w="970" w:type="dxa"/>
            <w:noWrap/>
          </w:tcPr>
          <w:p w14:paraId="5887AF7B"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6863EF60"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5CE33314" w14:textId="77777777" w:rsidR="005A774C" w:rsidRPr="008C7C15" w:rsidRDefault="005A774C" w:rsidP="002A3038">
            <w:r>
              <w:t> </w:t>
            </w:r>
          </w:p>
        </w:tc>
      </w:tr>
      <w:tr w:rsidR="005A774C" w:rsidRPr="008C7C15" w14:paraId="005CD696" w14:textId="77777777" w:rsidTr="002A3038">
        <w:trPr>
          <w:trHeight w:val="396"/>
        </w:trPr>
        <w:tc>
          <w:tcPr>
            <w:tcW w:w="1053" w:type="dxa"/>
          </w:tcPr>
          <w:p w14:paraId="05123AF4" w14:textId="77777777" w:rsidR="005A774C" w:rsidRPr="008C7C15" w:rsidRDefault="005A774C" w:rsidP="002A3038">
            <w:pPr>
              <w:rPr>
                <w:rFonts w:ascii="Arial" w:hAnsi="Arial"/>
                <w:sz w:val="18"/>
                <w:szCs w:val="18"/>
              </w:rPr>
            </w:pPr>
            <w:r>
              <w:rPr>
                <w:rFonts w:ascii="Arial" w:hAnsi="Arial"/>
                <w:sz w:val="18"/>
                <w:szCs w:val="18"/>
              </w:rPr>
              <w:t>السنة المالية 2017</w:t>
            </w:r>
          </w:p>
        </w:tc>
        <w:tc>
          <w:tcPr>
            <w:tcW w:w="2187" w:type="dxa"/>
            <w:noWrap/>
          </w:tcPr>
          <w:p w14:paraId="276C61E2" w14:textId="77777777" w:rsidR="005A774C" w:rsidRDefault="005A774C" w:rsidP="002A3038">
            <w:pPr>
              <w:rPr>
                <w:rFonts w:ascii="Arial" w:hAnsi="Arial"/>
                <w:sz w:val="18"/>
                <w:szCs w:val="18"/>
              </w:rPr>
            </w:pPr>
            <w:r>
              <w:rPr>
                <w:rFonts w:ascii="Arial" w:hAnsi="Arial"/>
                <w:sz w:val="18"/>
                <w:szCs w:val="18"/>
              </w:rPr>
              <w:t xml:space="preserve">مؤسسة </w:t>
            </w:r>
            <w:r w:rsidRPr="00455132">
              <w:rPr>
                <w:rFonts w:ascii="Arial" w:hAnsi="Arial"/>
                <w:b/>
                <w:bCs/>
                <w:i/>
                <w:iCs/>
                <w:sz w:val="18"/>
                <w:szCs w:val="18"/>
              </w:rPr>
              <w:t>فاتن</w:t>
            </w:r>
            <w:r>
              <w:rPr>
                <w:rFonts w:ascii="Arial" w:hAnsi="Arial"/>
                <w:sz w:val="18"/>
                <w:szCs w:val="18"/>
              </w:rPr>
              <w:t xml:space="preserve"> </w:t>
            </w:r>
            <w:r w:rsidR="00932D71">
              <w:rPr>
                <w:rFonts w:ascii="Arial" w:hAnsi="Arial" w:hint="cs"/>
                <w:sz w:val="18"/>
                <w:szCs w:val="18"/>
              </w:rPr>
              <w:t>(الفلسطينية</w:t>
            </w:r>
            <w:r>
              <w:rPr>
                <w:rFonts w:ascii="Arial" w:hAnsi="Arial"/>
                <w:sz w:val="18"/>
                <w:szCs w:val="18"/>
              </w:rPr>
              <w:t xml:space="preserve"> للإقراض </w:t>
            </w:r>
            <w:r w:rsidR="00455132">
              <w:rPr>
                <w:rFonts w:ascii="Arial" w:hAnsi="Arial" w:hint="cs"/>
                <w:sz w:val="18"/>
                <w:szCs w:val="18"/>
              </w:rPr>
              <w:t>والتنمية)</w:t>
            </w:r>
          </w:p>
          <w:p w14:paraId="03F3DA45" w14:textId="77777777" w:rsidR="005A774C" w:rsidRPr="008C7C15" w:rsidRDefault="005A774C" w:rsidP="002A3038">
            <w:pPr>
              <w:rPr>
                <w:rFonts w:ascii="Times New Roman" w:hAnsi="Times New Roman" w:cs="Times New Roman"/>
                <w:sz w:val="18"/>
                <w:szCs w:val="18"/>
              </w:rPr>
            </w:pPr>
          </w:p>
        </w:tc>
        <w:tc>
          <w:tcPr>
            <w:tcW w:w="657" w:type="dxa"/>
            <w:noWrap/>
          </w:tcPr>
          <w:p w14:paraId="3D094143" w14:textId="77777777" w:rsidR="005A774C" w:rsidRPr="008C7C15" w:rsidRDefault="005A774C" w:rsidP="002A3038">
            <w:pPr>
              <w:rPr>
                <w:rFonts w:ascii="Arial" w:hAnsi="Arial"/>
                <w:sz w:val="18"/>
                <w:szCs w:val="18"/>
              </w:rPr>
            </w:pPr>
            <w:r>
              <w:rPr>
                <w:rFonts w:ascii="Arial" w:hAnsi="Arial"/>
                <w:sz w:val="18"/>
                <w:szCs w:val="18"/>
              </w:rPr>
              <w:t>2.50</w:t>
            </w:r>
          </w:p>
        </w:tc>
        <w:tc>
          <w:tcPr>
            <w:tcW w:w="868" w:type="dxa"/>
            <w:noWrap/>
          </w:tcPr>
          <w:p w14:paraId="27198A06" w14:textId="77777777" w:rsidR="005A774C" w:rsidRPr="008C7C15" w:rsidRDefault="005A774C" w:rsidP="002A3038">
            <w:pPr>
              <w:rPr>
                <w:rFonts w:ascii="Arial" w:hAnsi="Arial"/>
                <w:sz w:val="18"/>
                <w:szCs w:val="18"/>
              </w:rPr>
            </w:pPr>
            <w:r>
              <w:rPr>
                <w:rFonts w:ascii="Arial" w:hAnsi="Arial"/>
                <w:sz w:val="18"/>
                <w:szCs w:val="18"/>
              </w:rPr>
              <w:t>0.00</w:t>
            </w:r>
          </w:p>
        </w:tc>
        <w:tc>
          <w:tcPr>
            <w:tcW w:w="871" w:type="dxa"/>
            <w:noWrap/>
          </w:tcPr>
          <w:p w14:paraId="19D0C420"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7900BF16"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2CAFA96D"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6A038CF1" w14:textId="77777777" w:rsidR="005A774C" w:rsidRPr="008C7C15" w:rsidRDefault="005A774C" w:rsidP="002A3038">
            <w:pPr>
              <w:rPr>
                <w:rFonts w:ascii="Times New Roman" w:hAnsi="Times New Roman" w:cs="Times New Roman"/>
                <w:sz w:val="18"/>
                <w:szCs w:val="18"/>
              </w:rPr>
            </w:pPr>
          </w:p>
        </w:tc>
        <w:tc>
          <w:tcPr>
            <w:tcW w:w="711" w:type="dxa"/>
            <w:noWrap/>
          </w:tcPr>
          <w:p w14:paraId="2542EB4B" w14:textId="77777777" w:rsidR="005A774C" w:rsidRPr="008C7C15" w:rsidRDefault="005A774C" w:rsidP="002A3038">
            <w:pPr>
              <w:rPr>
                <w:rFonts w:ascii="Arial" w:hAnsi="Arial"/>
                <w:sz w:val="18"/>
                <w:szCs w:val="18"/>
              </w:rPr>
            </w:pPr>
            <w:r>
              <w:rPr>
                <w:rFonts w:ascii="Arial" w:hAnsi="Arial"/>
                <w:sz w:val="18"/>
                <w:szCs w:val="18"/>
              </w:rPr>
              <w:t>2.50</w:t>
            </w:r>
          </w:p>
        </w:tc>
        <w:tc>
          <w:tcPr>
            <w:tcW w:w="782" w:type="dxa"/>
            <w:noWrap/>
          </w:tcPr>
          <w:p w14:paraId="13496BC0" w14:textId="77777777" w:rsidR="005A774C" w:rsidRPr="008C7C15" w:rsidRDefault="005A774C" w:rsidP="002A3038">
            <w:pPr>
              <w:rPr>
                <w:rFonts w:ascii="Arial" w:hAnsi="Arial"/>
                <w:sz w:val="18"/>
                <w:szCs w:val="18"/>
              </w:rPr>
            </w:pPr>
            <w:r>
              <w:rPr>
                <w:rFonts w:ascii="Arial" w:hAnsi="Arial"/>
                <w:sz w:val="18"/>
                <w:szCs w:val="18"/>
              </w:rPr>
              <w:t>0.00</w:t>
            </w:r>
          </w:p>
        </w:tc>
        <w:tc>
          <w:tcPr>
            <w:tcW w:w="957" w:type="dxa"/>
            <w:noWrap/>
          </w:tcPr>
          <w:p w14:paraId="02B74D84"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4D256D3C"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2FDC7E0D"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38DC8EBE" w14:textId="77777777" w:rsidR="005A774C" w:rsidRPr="008C7C15" w:rsidRDefault="005A774C" w:rsidP="002A3038"/>
        </w:tc>
      </w:tr>
      <w:tr w:rsidR="005A774C" w:rsidRPr="008C7C15" w14:paraId="3FC47B43" w14:textId="77777777" w:rsidTr="002A3038">
        <w:trPr>
          <w:trHeight w:val="396"/>
        </w:trPr>
        <w:tc>
          <w:tcPr>
            <w:tcW w:w="1053" w:type="dxa"/>
          </w:tcPr>
          <w:p w14:paraId="04A0D784" w14:textId="77777777" w:rsidR="005A774C" w:rsidRPr="008C7C15" w:rsidRDefault="005A774C" w:rsidP="002A3038">
            <w:pPr>
              <w:rPr>
                <w:rFonts w:ascii="Arial" w:hAnsi="Arial"/>
                <w:sz w:val="18"/>
                <w:szCs w:val="18"/>
              </w:rPr>
            </w:pPr>
            <w:r>
              <w:rPr>
                <w:rFonts w:ascii="Arial" w:hAnsi="Arial"/>
                <w:sz w:val="18"/>
                <w:szCs w:val="18"/>
              </w:rPr>
              <w:t>السنة المالية 1997</w:t>
            </w:r>
          </w:p>
        </w:tc>
        <w:tc>
          <w:tcPr>
            <w:tcW w:w="2187" w:type="dxa"/>
            <w:noWrap/>
          </w:tcPr>
          <w:p w14:paraId="29789E13" w14:textId="77777777" w:rsidR="005A774C" w:rsidRPr="008C7C15" w:rsidRDefault="005A774C" w:rsidP="002A3038">
            <w:pPr>
              <w:rPr>
                <w:rFonts w:ascii="Arial" w:hAnsi="Arial"/>
                <w:sz w:val="18"/>
                <w:szCs w:val="18"/>
              </w:rPr>
            </w:pPr>
            <w:r>
              <w:rPr>
                <w:rFonts w:ascii="Arial" w:hAnsi="Arial"/>
                <w:sz w:val="18"/>
                <w:szCs w:val="18"/>
              </w:rPr>
              <w:t>سيف العربية للأسمنت</w:t>
            </w:r>
          </w:p>
        </w:tc>
        <w:tc>
          <w:tcPr>
            <w:tcW w:w="657" w:type="dxa"/>
            <w:noWrap/>
          </w:tcPr>
          <w:p w14:paraId="13550CD1" w14:textId="77777777" w:rsidR="005A774C" w:rsidRPr="008C7C15" w:rsidRDefault="005A774C" w:rsidP="002A3038">
            <w:pPr>
              <w:rPr>
                <w:rFonts w:ascii="Arial" w:hAnsi="Arial"/>
                <w:sz w:val="18"/>
                <w:szCs w:val="18"/>
              </w:rPr>
            </w:pPr>
            <w:r>
              <w:rPr>
                <w:rFonts w:ascii="Arial" w:hAnsi="Arial"/>
                <w:sz w:val="18"/>
                <w:szCs w:val="18"/>
              </w:rPr>
              <w:t>0.80</w:t>
            </w:r>
          </w:p>
        </w:tc>
        <w:tc>
          <w:tcPr>
            <w:tcW w:w="868" w:type="dxa"/>
            <w:noWrap/>
          </w:tcPr>
          <w:p w14:paraId="40D96D47" w14:textId="77777777" w:rsidR="005A774C" w:rsidRPr="008C7C15" w:rsidRDefault="005A774C" w:rsidP="002A3038">
            <w:pPr>
              <w:rPr>
                <w:rFonts w:ascii="Arial" w:hAnsi="Arial"/>
                <w:sz w:val="18"/>
                <w:szCs w:val="18"/>
              </w:rPr>
            </w:pPr>
            <w:r>
              <w:rPr>
                <w:rFonts w:ascii="Arial" w:hAnsi="Arial"/>
                <w:sz w:val="18"/>
                <w:szCs w:val="18"/>
              </w:rPr>
              <w:t>0.00</w:t>
            </w:r>
          </w:p>
        </w:tc>
        <w:tc>
          <w:tcPr>
            <w:tcW w:w="871" w:type="dxa"/>
            <w:noWrap/>
          </w:tcPr>
          <w:p w14:paraId="70421997"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32DCA174"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552AB2AF"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6215D1B8" w14:textId="77777777" w:rsidR="005A774C" w:rsidRPr="008C7C15" w:rsidRDefault="005A774C" w:rsidP="002A3038">
            <w:pPr>
              <w:rPr>
                <w:rFonts w:ascii="Arial" w:hAnsi="Arial"/>
                <w:sz w:val="18"/>
                <w:szCs w:val="18"/>
              </w:rPr>
            </w:pPr>
            <w:r>
              <w:rPr>
                <w:rFonts w:ascii="Arial" w:hAnsi="Arial"/>
                <w:sz w:val="18"/>
                <w:szCs w:val="18"/>
              </w:rPr>
              <w:t> </w:t>
            </w:r>
          </w:p>
        </w:tc>
        <w:tc>
          <w:tcPr>
            <w:tcW w:w="711" w:type="dxa"/>
            <w:noWrap/>
          </w:tcPr>
          <w:p w14:paraId="7A1B5A21" w14:textId="77777777" w:rsidR="005A774C" w:rsidRPr="008C7C15" w:rsidRDefault="005A774C" w:rsidP="002A3038">
            <w:pPr>
              <w:rPr>
                <w:rFonts w:ascii="Arial" w:hAnsi="Arial"/>
                <w:sz w:val="18"/>
                <w:szCs w:val="18"/>
              </w:rPr>
            </w:pPr>
            <w:r>
              <w:rPr>
                <w:rFonts w:ascii="Arial" w:hAnsi="Arial"/>
                <w:sz w:val="18"/>
                <w:szCs w:val="18"/>
              </w:rPr>
              <w:t>0.80</w:t>
            </w:r>
          </w:p>
        </w:tc>
        <w:tc>
          <w:tcPr>
            <w:tcW w:w="782" w:type="dxa"/>
            <w:noWrap/>
          </w:tcPr>
          <w:p w14:paraId="065D9F79" w14:textId="77777777" w:rsidR="005A774C" w:rsidRPr="008C7C15" w:rsidRDefault="005A774C" w:rsidP="002A3038">
            <w:pPr>
              <w:rPr>
                <w:rFonts w:ascii="Arial" w:hAnsi="Arial"/>
                <w:sz w:val="18"/>
                <w:szCs w:val="18"/>
              </w:rPr>
            </w:pPr>
            <w:r>
              <w:rPr>
                <w:rFonts w:ascii="Arial" w:hAnsi="Arial"/>
                <w:sz w:val="18"/>
                <w:szCs w:val="18"/>
              </w:rPr>
              <w:t>0.00</w:t>
            </w:r>
          </w:p>
        </w:tc>
        <w:tc>
          <w:tcPr>
            <w:tcW w:w="957" w:type="dxa"/>
            <w:noWrap/>
          </w:tcPr>
          <w:p w14:paraId="50BBA59F"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49CD953C"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6EE2FBC8"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14E21175" w14:textId="77777777" w:rsidR="005A774C" w:rsidRPr="008C7C15" w:rsidRDefault="005A774C" w:rsidP="002A3038">
            <w:r>
              <w:t> </w:t>
            </w:r>
          </w:p>
        </w:tc>
      </w:tr>
      <w:tr w:rsidR="005A774C" w:rsidRPr="008C7C15" w14:paraId="1E96808C" w14:textId="77777777" w:rsidTr="002A3038">
        <w:trPr>
          <w:trHeight w:val="396"/>
        </w:trPr>
        <w:tc>
          <w:tcPr>
            <w:tcW w:w="1053" w:type="dxa"/>
          </w:tcPr>
          <w:p w14:paraId="6FB9974C" w14:textId="77777777" w:rsidR="005A774C" w:rsidRPr="008C7C15" w:rsidRDefault="005A774C" w:rsidP="002A3038">
            <w:pPr>
              <w:rPr>
                <w:rFonts w:ascii="Arial" w:hAnsi="Arial"/>
                <w:sz w:val="18"/>
                <w:szCs w:val="18"/>
              </w:rPr>
            </w:pPr>
            <w:r>
              <w:rPr>
                <w:rFonts w:ascii="Arial" w:hAnsi="Arial"/>
                <w:sz w:val="18"/>
                <w:szCs w:val="18"/>
              </w:rPr>
              <w:t>السنة المالية 2011</w:t>
            </w:r>
          </w:p>
        </w:tc>
        <w:tc>
          <w:tcPr>
            <w:tcW w:w="2187" w:type="dxa"/>
            <w:noWrap/>
          </w:tcPr>
          <w:p w14:paraId="3DEE3645" w14:textId="77777777" w:rsidR="005A774C" w:rsidRDefault="005A774C" w:rsidP="002A3038">
            <w:pPr>
              <w:rPr>
                <w:rFonts w:ascii="Arial" w:hAnsi="Arial"/>
                <w:sz w:val="18"/>
                <w:szCs w:val="18"/>
              </w:rPr>
            </w:pPr>
            <w:r>
              <w:rPr>
                <w:rFonts w:ascii="Arial" w:hAnsi="Arial"/>
                <w:sz w:val="18"/>
                <w:szCs w:val="18"/>
              </w:rPr>
              <w:t>وطنية الضفة الغربية</w:t>
            </w:r>
          </w:p>
          <w:p w14:paraId="76A4D20D" w14:textId="77777777" w:rsidR="005A774C" w:rsidRPr="008C7C15" w:rsidRDefault="005A774C" w:rsidP="002A3038">
            <w:pPr>
              <w:rPr>
                <w:rFonts w:ascii="Times New Roman" w:hAnsi="Times New Roman" w:cs="Times New Roman"/>
                <w:sz w:val="18"/>
                <w:szCs w:val="18"/>
              </w:rPr>
            </w:pPr>
          </w:p>
        </w:tc>
        <w:tc>
          <w:tcPr>
            <w:tcW w:w="657" w:type="dxa"/>
            <w:noWrap/>
          </w:tcPr>
          <w:p w14:paraId="2C1B2686" w14:textId="77777777" w:rsidR="005A774C" w:rsidRPr="008C7C15" w:rsidRDefault="005A774C" w:rsidP="002A3038">
            <w:pPr>
              <w:rPr>
                <w:rFonts w:ascii="Arial" w:hAnsi="Arial"/>
                <w:sz w:val="18"/>
                <w:szCs w:val="18"/>
              </w:rPr>
            </w:pPr>
            <w:r>
              <w:rPr>
                <w:rFonts w:ascii="Arial" w:hAnsi="Arial"/>
                <w:sz w:val="18"/>
                <w:szCs w:val="18"/>
              </w:rPr>
              <w:t>0.00</w:t>
            </w:r>
          </w:p>
        </w:tc>
        <w:tc>
          <w:tcPr>
            <w:tcW w:w="868" w:type="dxa"/>
            <w:noWrap/>
          </w:tcPr>
          <w:p w14:paraId="28A1A871" w14:textId="77777777" w:rsidR="005A774C" w:rsidRPr="008C7C15" w:rsidRDefault="005A774C" w:rsidP="002A3038">
            <w:pPr>
              <w:rPr>
                <w:rFonts w:ascii="Arial" w:hAnsi="Arial"/>
                <w:sz w:val="18"/>
                <w:szCs w:val="18"/>
              </w:rPr>
            </w:pPr>
            <w:r>
              <w:rPr>
                <w:rFonts w:ascii="Arial" w:hAnsi="Arial"/>
                <w:sz w:val="18"/>
                <w:szCs w:val="18"/>
              </w:rPr>
              <w:t>3.40</w:t>
            </w:r>
          </w:p>
        </w:tc>
        <w:tc>
          <w:tcPr>
            <w:tcW w:w="871" w:type="dxa"/>
            <w:noWrap/>
          </w:tcPr>
          <w:p w14:paraId="5CC7AEA5"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7383E799"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2658DBDC"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39F74364" w14:textId="77777777" w:rsidR="005A774C" w:rsidRPr="008C7C15" w:rsidRDefault="005A774C" w:rsidP="002A3038">
            <w:pPr>
              <w:rPr>
                <w:rFonts w:ascii="Arial" w:hAnsi="Arial"/>
                <w:sz w:val="18"/>
                <w:szCs w:val="18"/>
              </w:rPr>
            </w:pPr>
            <w:r>
              <w:rPr>
                <w:rFonts w:ascii="Arial" w:hAnsi="Arial"/>
                <w:sz w:val="18"/>
                <w:szCs w:val="18"/>
              </w:rPr>
              <w:t> </w:t>
            </w:r>
          </w:p>
        </w:tc>
        <w:tc>
          <w:tcPr>
            <w:tcW w:w="711" w:type="dxa"/>
            <w:noWrap/>
          </w:tcPr>
          <w:p w14:paraId="5DE11D35" w14:textId="77777777" w:rsidR="005A774C" w:rsidRPr="008C7C15" w:rsidRDefault="005A774C" w:rsidP="002A3038">
            <w:pPr>
              <w:rPr>
                <w:rFonts w:ascii="Arial" w:hAnsi="Arial"/>
                <w:sz w:val="18"/>
                <w:szCs w:val="18"/>
              </w:rPr>
            </w:pPr>
            <w:r>
              <w:rPr>
                <w:rFonts w:ascii="Arial" w:hAnsi="Arial"/>
                <w:sz w:val="18"/>
                <w:szCs w:val="18"/>
              </w:rPr>
              <w:t>0.00</w:t>
            </w:r>
          </w:p>
        </w:tc>
        <w:tc>
          <w:tcPr>
            <w:tcW w:w="782" w:type="dxa"/>
            <w:noWrap/>
          </w:tcPr>
          <w:p w14:paraId="202A57D7" w14:textId="77777777" w:rsidR="005A774C" w:rsidRPr="008C7C15" w:rsidRDefault="005A774C" w:rsidP="002A3038">
            <w:pPr>
              <w:rPr>
                <w:rFonts w:ascii="Arial" w:hAnsi="Arial"/>
                <w:sz w:val="18"/>
                <w:szCs w:val="18"/>
              </w:rPr>
            </w:pPr>
            <w:r>
              <w:rPr>
                <w:rFonts w:ascii="Arial" w:hAnsi="Arial"/>
                <w:sz w:val="18"/>
                <w:szCs w:val="18"/>
              </w:rPr>
              <w:t>1.50</w:t>
            </w:r>
          </w:p>
        </w:tc>
        <w:tc>
          <w:tcPr>
            <w:tcW w:w="957" w:type="dxa"/>
            <w:noWrap/>
          </w:tcPr>
          <w:p w14:paraId="1378A7ED"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16CEFA41"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1D634A36" w14:textId="77777777" w:rsidR="005A774C" w:rsidRPr="008C7C15" w:rsidRDefault="005A774C" w:rsidP="002A3038">
            <w:pPr>
              <w:rPr>
                <w:rFonts w:ascii="Arial" w:hAnsi="Arial"/>
                <w:sz w:val="18"/>
                <w:szCs w:val="18"/>
              </w:rPr>
            </w:pPr>
            <w:r>
              <w:rPr>
                <w:rFonts w:ascii="Arial" w:hAnsi="Arial"/>
                <w:sz w:val="18"/>
                <w:szCs w:val="18"/>
              </w:rPr>
              <w:t>0.00</w:t>
            </w:r>
          </w:p>
        </w:tc>
        <w:tc>
          <w:tcPr>
            <w:tcW w:w="265" w:type="dxa"/>
            <w:noWrap/>
          </w:tcPr>
          <w:p w14:paraId="0522AEBF" w14:textId="77777777" w:rsidR="005A774C" w:rsidRPr="008C7C15" w:rsidRDefault="005A774C" w:rsidP="002A3038">
            <w:r>
              <w:t> </w:t>
            </w:r>
          </w:p>
        </w:tc>
      </w:tr>
      <w:tr w:rsidR="005A774C" w:rsidRPr="008C7C15" w14:paraId="7EF89466" w14:textId="77777777" w:rsidTr="002A3038">
        <w:trPr>
          <w:trHeight w:val="396"/>
        </w:trPr>
        <w:tc>
          <w:tcPr>
            <w:tcW w:w="1053" w:type="dxa"/>
          </w:tcPr>
          <w:p w14:paraId="0ECE4651" w14:textId="77777777" w:rsidR="005A774C" w:rsidRPr="008C7C15" w:rsidRDefault="005A774C" w:rsidP="002A3038">
            <w:pPr>
              <w:rPr>
                <w:rFonts w:ascii="Arial" w:hAnsi="Arial"/>
                <w:sz w:val="18"/>
                <w:szCs w:val="18"/>
              </w:rPr>
            </w:pPr>
            <w:r>
              <w:rPr>
                <w:rFonts w:ascii="Arial" w:hAnsi="Arial"/>
                <w:sz w:val="18"/>
                <w:szCs w:val="18"/>
              </w:rPr>
              <w:t>السنة المالية 2012</w:t>
            </w:r>
          </w:p>
        </w:tc>
        <w:tc>
          <w:tcPr>
            <w:tcW w:w="2187" w:type="dxa"/>
            <w:noWrap/>
          </w:tcPr>
          <w:p w14:paraId="1A6C4188" w14:textId="77777777" w:rsidR="005A774C" w:rsidRPr="008C7C15" w:rsidRDefault="005A774C" w:rsidP="002A3038">
            <w:pPr>
              <w:rPr>
                <w:rFonts w:ascii="Arial" w:hAnsi="Arial"/>
                <w:sz w:val="18"/>
                <w:szCs w:val="18"/>
              </w:rPr>
            </w:pPr>
            <w:r>
              <w:rPr>
                <w:rFonts w:ascii="Arial" w:hAnsi="Arial"/>
                <w:sz w:val="18"/>
                <w:szCs w:val="18"/>
              </w:rPr>
              <w:t>وطنية الضفة الغربية</w:t>
            </w:r>
          </w:p>
        </w:tc>
        <w:tc>
          <w:tcPr>
            <w:tcW w:w="657" w:type="dxa"/>
            <w:noWrap/>
          </w:tcPr>
          <w:p w14:paraId="461AC969" w14:textId="77777777" w:rsidR="005A774C" w:rsidRPr="008C7C15" w:rsidRDefault="005A774C" w:rsidP="002A3038">
            <w:pPr>
              <w:rPr>
                <w:rFonts w:ascii="Arial" w:hAnsi="Arial"/>
                <w:sz w:val="18"/>
                <w:szCs w:val="18"/>
              </w:rPr>
            </w:pPr>
            <w:r>
              <w:rPr>
                <w:rFonts w:ascii="Arial" w:hAnsi="Arial"/>
                <w:sz w:val="18"/>
                <w:szCs w:val="18"/>
              </w:rPr>
              <w:t>34.75</w:t>
            </w:r>
          </w:p>
        </w:tc>
        <w:tc>
          <w:tcPr>
            <w:tcW w:w="868" w:type="dxa"/>
            <w:noWrap/>
          </w:tcPr>
          <w:p w14:paraId="0CAD942B" w14:textId="77777777" w:rsidR="005A774C" w:rsidRPr="008C7C15" w:rsidRDefault="005A774C" w:rsidP="002A3038">
            <w:pPr>
              <w:rPr>
                <w:rFonts w:ascii="Arial" w:hAnsi="Arial"/>
                <w:sz w:val="18"/>
                <w:szCs w:val="18"/>
              </w:rPr>
            </w:pPr>
            <w:r>
              <w:rPr>
                <w:rFonts w:ascii="Arial" w:hAnsi="Arial"/>
                <w:sz w:val="18"/>
                <w:szCs w:val="18"/>
              </w:rPr>
              <w:t>0.00</w:t>
            </w:r>
          </w:p>
        </w:tc>
        <w:tc>
          <w:tcPr>
            <w:tcW w:w="871" w:type="dxa"/>
            <w:noWrap/>
          </w:tcPr>
          <w:p w14:paraId="7A19F2FC"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508BA4AF"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1839A039" w14:textId="77777777" w:rsidR="005A774C" w:rsidRPr="008C7C15" w:rsidRDefault="005A774C" w:rsidP="002A3038">
            <w:pPr>
              <w:rPr>
                <w:rFonts w:ascii="Arial" w:hAnsi="Arial"/>
                <w:sz w:val="18"/>
                <w:szCs w:val="18"/>
              </w:rPr>
            </w:pPr>
            <w:r>
              <w:rPr>
                <w:rFonts w:ascii="Arial" w:hAnsi="Arial"/>
                <w:sz w:val="18"/>
                <w:szCs w:val="18"/>
              </w:rPr>
              <w:t>6.95</w:t>
            </w:r>
          </w:p>
        </w:tc>
        <w:tc>
          <w:tcPr>
            <w:tcW w:w="265" w:type="dxa"/>
            <w:noWrap/>
          </w:tcPr>
          <w:p w14:paraId="75C46B98" w14:textId="77777777" w:rsidR="005A774C" w:rsidRPr="008C7C15" w:rsidRDefault="005A774C" w:rsidP="002A3038">
            <w:pPr>
              <w:rPr>
                <w:rFonts w:ascii="Arial" w:hAnsi="Arial"/>
                <w:sz w:val="18"/>
                <w:szCs w:val="18"/>
              </w:rPr>
            </w:pPr>
            <w:r>
              <w:rPr>
                <w:rFonts w:ascii="Arial" w:hAnsi="Arial"/>
                <w:sz w:val="18"/>
                <w:szCs w:val="18"/>
              </w:rPr>
              <w:t> </w:t>
            </w:r>
          </w:p>
        </w:tc>
        <w:tc>
          <w:tcPr>
            <w:tcW w:w="711" w:type="dxa"/>
            <w:noWrap/>
          </w:tcPr>
          <w:p w14:paraId="0B608B9A" w14:textId="77777777" w:rsidR="005A774C" w:rsidRPr="008C7C15" w:rsidRDefault="005A774C" w:rsidP="002A3038">
            <w:pPr>
              <w:rPr>
                <w:rFonts w:ascii="Arial" w:hAnsi="Arial"/>
                <w:sz w:val="18"/>
                <w:szCs w:val="18"/>
              </w:rPr>
            </w:pPr>
            <w:r>
              <w:rPr>
                <w:rFonts w:ascii="Arial" w:hAnsi="Arial"/>
                <w:sz w:val="18"/>
                <w:szCs w:val="18"/>
              </w:rPr>
              <w:t>19.50</w:t>
            </w:r>
          </w:p>
        </w:tc>
        <w:tc>
          <w:tcPr>
            <w:tcW w:w="782" w:type="dxa"/>
            <w:noWrap/>
          </w:tcPr>
          <w:p w14:paraId="11D83D48" w14:textId="77777777" w:rsidR="005A774C" w:rsidRPr="008C7C15" w:rsidRDefault="005A774C" w:rsidP="002A3038">
            <w:pPr>
              <w:rPr>
                <w:rFonts w:ascii="Arial" w:hAnsi="Arial"/>
                <w:sz w:val="18"/>
                <w:szCs w:val="18"/>
              </w:rPr>
            </w:pPr>
            <w:r>
              <w:rPr>
                <w:rFonts w:ascii="Arial" w:hAnsi="Arial"/>
                <w:sz w:val="18"/>
                <w:szCs w:val="18"/>
              </w:rPr>
              <w:t>0.00</w:t>
            </w:r>
          </w:p>
        </w:tc>
        <w:tc>
          <w:tcPr>
            <w:tcW w:w="957" w:type="dxa"/>
            <w:noWrap/>
          </w:tcPr>
          <w:p w14:paraId="2FB3BEAF" w14:textId="77777777" w:rsidR="005A774C" w:rsidRPr="008C7C15" w:rsidRDefault="005A774C" w:rsidP="002A3038">
            <w:pPr>
              <w:rPr>
                <w:rFonts w:ascii="Arial" w:hAnsi="Arial"/>
                <w:sz w:val="18"/>
                <w:szCs w:val="18"/>
              </w:rPr>
            </w:pPr>
            <w:r>
              <w:rPr>
                <w:rFonts w:ascii="Arial" w:hAnsi="Arial"/>
                <w:sz w:val="18"/>
                <w:szCs w:val="18"/>
              </w:rPr>
              <w:t>0.00</w:t>
            </w:r>
          </w:p>
        </w:tc>
        <w:tc>
          <w:tcPr>
            <w:tcW w:w="970" w:type="dxa"/>
            <w:noWrap/>
          </w:tcPr>
          <w:p w14:paraId="1DA71D03" w14:textId="77777777" w:rsidR="005A774C" w:rsidRPr="008C7C15" w:rsidRDefault="005A774C" w:rsidP="002A3038">
            <w:pPr>
              <w:rPr>
                <w:rFonts w:ascii="Arial" w:hAnsi="Arial"/>
                <w:sz w:val="18"/>
                <w:szCs w:val="18"/>
              </w:rPr>
            </w:pPr>
            <w:r>
              <w:rPr>
                <w:rFonts w:ascii="Arial" w:hAnsi="Arial"/>
                <w:sz w:val="18"/>
                <w:szCs w:val="18"/>
              </w:rPr>
              <w:t>0.00</w:t>
            </w:r>
          </w:p>
        </w:tc>
        <w:tc>
          <w:tcPr>
            <w:tcW w:w="1197" w:type="dxa"/>
            <w:noWrap/>
          </w:tcPr>
          <w:p w14:paraId="2F10C2F9" w14:textId="77777777" w:rsidR="005A774C" w:rsidRPr="008C7C15" w:rsidRDefault="005A774C" w:rsidP="002A3038">
            <w:pPr>
              <w:rPr>
                <w:rFonts w:ascii="Arial" w:hAnsi="Arial"/>
                <w:sz w:val="18"/>
                <w:szCs w:val="18"/>
              </w:rPr>
            </w:pPr>
            <w:r>
              <w:rPr>
                <w:rFonts w:ascii="Arial" w:hAnsi="Arial"/>
                <w:sz w:val="18"/>
                <w:szCs w:val="18"/>
              </w:rPr>
              <w:t>3.75</w:t>
            </w:r>
          </w:p>
        </w:tc>
        <w:tc>
          <w:tcPr>
            <w:tcW w:w="265" w:type="dxa"/>
            <w:noWrap/>
          </w:tcPr>
          <w:p w14:paraId="31149DDA" w14:textId="77777777" w:rsidR="005A774C" w:rsidRPr="008C7C15" w:rsidRDefault="005A774C" w:rsidP="002A3038">
            <w:r>
              <w:t> </w:t>
            </w:r>
          </w:p>
        </w:tc>
      </w:tr>
      <w:tr w:rsidR="005A774C" w:rsidRPr="008C7C15" w14:paraId="0EB28B22" w14:textId="77777777" w:rsidTr="002A3038">
        <w:trPr>
          <w:trHeight w:val="396"/>
        </w:trPr>
        <w:tc>
          <w:tcPr>
            <w:tcW w:w="1053" w:type="dxa"/>
          </w:tcPr>
          <w:p w14:paraId="216215F3" w14:textId="77777777" w:rsidR="005A774C" w:rsidRPr="008C7C15" w:rsidRDefault="005A774C" w:rsidP="002A3038">
            <w:pPr>
              <w:rPr>
                <w:rFonts w:ascii="Times New Roman" w:hAnsi="Times New Roman" w:cs="Times New Roman"/>
                <w:sz w:val="18"/>
                <w:szCs w:val="18"/>
              </w:rPr>
            </w:pPr>
          </w:p>
        </w:tc>
        <w:tc>
          <w:tcPr>
            <w:tcW w:w="2187" w:type="dxa"/>
            <w:noWrap/>
          </w:tcPr>
          <w:p w14:paraId="4AF0DFB9" w14:textId="77777777" w:rsidR="005A774C" w:rsidRPr="008C7C15" w:rsidRDefault="005A774C" w:rsidP="002A3038">
            <w:pPr>
              <w:rPr>
                <w:rFonts w:ascii="Times New Roman" w:hAnsi="Times New Roman" w:cs="Times New Roman"/>
                <w:sz w:val="18"/>
                <w:szCs w:val="18"/>
              </w:rPr>
            </w:pPr>
          </w:p>
        </w:tc>
        <w:tc>
          <w:tcPr>
            <w:tcW w:w="657" w:type="dxa"/>
            <w:noWrap/>
          </w:tcPr>
          <w:p w14:paraId="15C38AE2" w14:textId="77777777" w:rsidR="005A774C" w:rsidRPr="008C7C15" w:rsidRDefault="005A774C" w:rsidP="002A3038">
            <w:pPr>
              <w:rPr>
                <w:rFonts w:ascii="Times New Roman" w:hAnsi="Times New Roman" w:cs="Times New Roman"/>
                <w:sz w:val="18"/>
                <w:szCs w:val="18"/>
              </w:rPr>
            </w:pPr>
          </w:p>
        </w:tc>
        <w:tc>
          <w:tcPr>
            <w:tcW w:w="868" w:type="dxa"/>
            <w:noWrap/>
          </w:tcPr>
          <w:p w14:paraId="09B3CF4E" w14:textId="77777777" w:rsidR="005A774C" w:rsidRPr="008C7C15" w:rsidRDefault="005A774C" w:rsidP="002A3038">
            <w:pPr>
              <w:rPr>
                <w:rFonts w:ascii="Times New Roman" w:hAnsi="Times New Roman" w:cs="Times New Roman"/>
                <w:sz w:val="18"/>
                <w:szCs w:val="18"/>
              </w:rPr>
            </w:pPr>
          </w:p>
        </w:tc>
        <w:tc>
          <w:tcPr>
            <w:tcW w:w="871" w:type="dxa"/>
            <w:noWrap/>
          </w:tcPr>
          <w:p w14:paraId="52249696" w14:textId="77777777" w:rsidR="005A774C" w:rsidRPr="008C7C15" w:rsidRDefault="005A774C" w:rsidP="002A3038">
            <w:pPr>
              <w:rPr>
                <w:rFonts w:ascii="Times New Roman" w:hAnsi="Times New Roman" w:cs="Times New Roman"/>
                <w:sz w:val="18"/>
                <w:szCs w:val="18"/>
              </w:rPr>
            </w:pPr>
          </w:p>
        </w:tc>
        <w:tc>
          <w:tcPr>
            <w:tcW w:w="970" w:type="dxa"/>
            <w:noWrap/>
          </w:tcPr>
          <w:p w14:paraId="60B1DB9F" w14:textId="77777777" w:rsidR="005A774C" w:rsidRPr="008C7C15" w:rsidRDefault="005A774C" w:rsidP="002A3038">
            <w:pPr>
              <w:rPr>
                <w:rFonts w:ascii="Times New Roman" w:hAnsi="Times New Roman" w:cs="Times New Roman"/>
                <w:sz w:val="18"/>
                <w:szCs w:val="18"/>
              </w:rPr>
            </w:pPr>
          </w:p>
        </w:tc>
        <w:tc>
          <w:tcPr>
            <w:tcW w:w="1197" w:type="dxa"/>
            <w:noWrap/>
          </w:tcPr>
          <w:p w14:paraId="22434884" w14:textId="77777777" w:rsidR="005A774C" w:rsidRPr="008C7C15" w:rsidRDefault="005A774C" w:rsidP="002A3038">
            <w:pPr>
              <w:rPr>
                <w:rFonts w:ascii="Times New Roman" w:hAnsi="Times New Roman" w:cs="Times New Roman"/>
                <w:sz w:val="18"/>
                <w:szCs w:val="18"/>
              </w:rPr>
            </w:pPr>
          </w:p>
        </w:tc>
        <w:tc>
          <w:tcPr>
            <w:tcW w:w="265" w:type="dxa"/>
            <w:noWrap/>
          </w:tcPr>
          <w:p w14:paraId="0A41BD0F" w14:textId="77777777" w:rsidR="005A774C" w:rsidRPr="008C7C15" w:rsidRDefault="005A774C" w:rsidP="002A3038">
            <w:pPr>
              <w:rPr>
                <w:rFonts w:ascii="Times New Roman" w:hAnsi="Times New Roman" w:cs="Times New Roman"/>
                <w:sz w:val="18"/>
                <w:szCs w:val="18"/>
              </w:rPr>
            </w:pPr>
          </w:p>
        </w:tc>
        <w:tc>
          <w:tcPr>
            <w:tcW w:w="711" w:type="dxa"/>
            <w:noWrap/>
          </w:tcPr>
          <w:p w14:paraId="16FE9868" w14:textId="77777777" w:rsidR="005A774C" w:rsidRPr="008C7C15" w:rsidRDefault="005A774C" w:rsidP="002A3038">
            <w:pPr>
              <w:rPr>
                <w:rFonts w:ascii="Times New Roman" w:hAnsi="Times New Roman" w:cs="Times New Roman"/>
                <w:sz w:val="18"/>
                <w:szCs w:val="18"/>
              </w:rPr>
            </w:pPr>
          </w:p>
        </w:tc>
        <w:tc>
          <w:tcPr>
            <w:tcW w:w="782" w:type="dxa"/>
            <w:noWrap/>
          </w:tcPr>
          <w:p w14:paraId="40298AD9" w14:textId="77777777" w:rsidR="005A774C" w:rsidRPr="008C7C15" w:rsidRDefault="005A774C" w:rsidP="002A3038">
            <w:pPr>
              <w:rPr>
                <w:rFonts w:ascii="Times New Roman" w:hAnsi="Times New Roman" w:cs="Times New Roman"/>
                <w:sz w:val="18"/>
                <w:szCs w:val="18"/>
              </w:rPr>
            </w:pPr>
          </w:p>
        </w:tc>
        <w:tc>
          <w:tcPr>
            <w:tcW w:w="957" w:type="dxa"/>
            <w:noWrap/>
          </w:tcPr>
          <w:p w14:paraId="14C08219" w14:textId="77777777" w:rsidR="005A774C" w:rsidRPr="008C7C15" w:rsidRDefault="005A774C" w:rsidP="002A3038">
            <w:pPr>
              <w:rPr>
                <w:rFonts w:ascii="Times New Roman" w:hAnsi="Times New Roman" w:cs="Times New Roman"/>
                <w:sz w:val="18"/>
                <w:szCs w:val="18"/>
              </w:rPr>
            </w:pPr>
          </w:p>
        </w:tc>
        <w:tc>
          <w:tcPr>
            <w:tcW w:w="970" w:type="dxa"/>
            <w:noWrap/>
          </w:tcPr>
          <w:p w14:paraId="384BB5B3" w14:textId="77777777" w:rsidR="005A774C" w:rsidRPr="008C7C15" w:rsidRDefault="005A774C" w:rsidP="002A3038">
            <w:pPr>
              <w:rPr>
                <w:rFonts w:ascii="Times New Roman" w:hAnsi="Times New Roman" w:cs="Times New Roman"/>
                <w:sz w:val="18"/>
                <w:szCs w:val="18"/>
              </w:rPr>
            </w:pPr>
          </w:p>
        </w:tc>
        <w:tc>
          <w:tcPr>
            <w:tcW w:w="1197" w:type="dxa"/>
            <w:noWrap/>
          </w:tcPr>
          <w:p w14:paraId="4B866BD8" w14:textId="77777777" w:rsidR="005A774C" w:rsidRPr="008C7C15" w:rsidRDefault="005A774C" w:rsidP="002A3038">
            <w:pPr>
              <w:rPr>
                <w:rFonts w:ascii="Times New Roman" w:hAnsi="Times New Roman" w:cs="Times New Roman"/>
                <w:sz w:val="18"/>
                <w:szCs w:val="18"/>
              </w:rPr>
            </w:pPr>
          </w:p>
        </w:tc>
        <w:tc>
          <w:tcPr>
            <w:tcW w:w="265" w:type="dxa"/>
            <w:noWrap/>
          </w:tcPr>
          <w:p w14:paraId="7EE412CF" w14:textId="77777777" w:rsidR="005A774C" w:rsidRPr="008C7C15" w:rsidRDefault="005A774C" w:rsidP="002A3038"/>
        </w:tc>
      </w:tr>
      <w:tr w:rsidR="005A774C" w:rsidRPr="008C7C15" w14:paraId="3C181161" w14:textId="77777777" w:rsidTr="002A3038">
        <w:trPr>
          <w:trHeight w:val="396"/>
        </w:trPr>
        <w:tc>
          <w:tcPr>
            <w:tcW w:w="3240" w:type="dxa"/>
            <w:gridSpan w:val="2"/>
            <w:noWrap/>
          </w:tcPr>
          <w:p w14:paraId="72905B9C" w14:textId="77777777" w:rsidR="005A774C" w:rsidRPr="008C7C15" w:rsidRDefault="005A774C" w:rsidP="002A3038">
            <w:pPr>
              <w:rPr>
                <w:rFonts w:ascii="Arial" w:hAnsi="Arial"/>
                <w:b/>
                <w:bCs/>
                <w:sz w:val="18"/>
                <w:szCs w:val="18"/>
              </w:rPr>
            </w:pPr>
            <w:r>
              <w:rPr>
                <w:rFonts w:ascii="Arial" w:hAnsi="Arial"/>
                <w:b/>
                <w:bCs/>
                <w:sz w:val="18"/>
                <w:szCs w:val="18"/>
              </w:rPr>
              <w:t>إجمالي الحافظة:</w:t>
            </w:r>
          </w:p>
        </w:tc>
        <w:tc>
          <w:tcPr>
            <w:tcW w:w="657" w:type="dxa"/>
            <w:noWrap/>
          </w:tcPr>
          <w:p w14:paraId="27175BB8" w14:textId="77777777" w:rsidR="005A774C" w:rsidRPr="008C7C15" w:rsidRDefault="005A774C" w:rsidP="002A3038">
            <w:pPr>
              <w:rPr>
                <w:rFonts w:ascii="Arial" w:hAnsi="Arial"/>
                <w:b/>
                <w:bCs/>
                <w:sz w:val="18"/>
                <w:szCs w:val="18"/>
              </w:rPr>
            </w:pPr>
            <w:r>
              <w:rPr>
                <w:rFonts w:ascii="Arial" w:hAnsi="Arial"/>
                <w:b/>
                <w:bCs/>
                <w:sz w:val="18"/>
                <w:szCs w:val="18"/>
              </w:rPr>
              <w:t>38.05</w:t>
            </w:r>
          </w:p>
        </w:tc>
        <w:tc>
          <w:tcPr>
            <w:tcW w:w="868" w:type="dxa"/>
            <w:noWrap/>
          </w:tcPr>
          <w:p w14:paraId="462678FC" w14:textId="77777777" w:rsidR="005A774C" w:rsidRPr="008C7C15" w:rsidRDefault="00350F3E" w:rsidP="002A3038">
            <w:pPr>
              <w:rPr>
                <w:rFonts w:ascii="Arial" w:hAnsi="Arial"/>
                <w:b/>
                <w:bCs/>
                <w:sz w:val="18"/>
                <w:szCs w:val="18"/>
              </w:rPr>
            </w:pPr>
            <w:r w:rsidRPr="008C7C15">
              <w:rPr>
                <w:rFonts w:ascii="Times New Roman" w:hAnsi="Times New Roman" w:cs="Times New Roman"/>
                <w:b/>
                <w:bCs/>
                <w:sz w:val="18"/>
                <w:szCs w:val="18"/>
              </w:rPr>
              <w:fldChar w:fldCharType="begin"/>
            </w:r>
            <w:r w:rsidR="005A774C" w:rsidRPr="008C7C15">
              <w:rPr>
                <w:rFonts w:ascii="Times New Roman" w:hAnsi="Times New Roman" w:cs="Times New Roman"/>
                <w:b/>
                <w:bCs/>
                <w:sz w:val="18"/>
                <w:szCs w:val="18"/>
              </w:rPr>
              <w:instrText xml:space="preserve"> =SUM(ABOVE) </w:instrText>
            </w:r>
            <w:r w:rsidRPr="008C7C15">
              <w:rPr>
                <w:rFonts w:ascii="Times New Roman" w:hAnsi="Times New Roman" w:cs="Times New Roman"/>
                <w:b/>
                <w:bCs/>
                <w:sz w:val="18"/>
                <w:szCs w:val="18"/>
              </w:rPr>
              <w:fldChar w:fldCharType="separate"/>
            </w:r>
            <w:r w:rsidR="005A774C" w:rsidRPr="008C7C15">
              <w:rPr>
                <w:rFonts w:ascii="Times New Roman" w:hAnsi="Times New Roman" w:cs="Times New Roman"/>
                <w:b/>
                <w:bCs/>
                <w:noProof/>
                <w:sz w:val="18"/>
                <w:szCs w:val="18"/>
              </w:rPr>
              <w:t>17.84</w:t>
            </w:r>
            <w:r w:rsidRPr="008C7C15">
              <w:rPr>
                <w:rFonts w:ascii="Times New Roman" w:hAnsi="Times New Roman" w:cs="Times New Roman"/>
                <w:b/>
                <w:bCs/>
                <w:sz w:val="18"/>
                <w:szCs w:val="18"/>
              </w:rPr>
              <w:fldChar w:fldCharType="end"/>
            </w:r>
          </w:p>
        </w:tc>
        <w:tc>
          <w:tcPr>
            <w:tcW w:w="871" w:type="dxa"/>
            <w:noWrap/>
          </w:tcPr>
          <w:p w14:paraId="4CFC3EE7" w14:textId="77777777" w:rsidR="005A774C" w:rsidRPr="008C7C15" w:rsidRDefault="00350F3E" w:rsidP="002A3038">
            <w:pPr>
              <w:rPr>
                <w:rFonts w:ascii="Arial" w:hAnsi="Arial"/>
                <w:b/>
                <w:bCs/>
                <w:sz w:val="18"/>
                <w:szCs w:val="18"/>
              </w:rPr>
            </w:pPr>
            <w:r w:rsidRPr="008C7C15">
              <w:rPr>
                <w:rFonts w:ascii="Times New Roman" w:hAnsi="Times New Roman" w:cs="Times New Roman"/>
                <w:b/>
                <w:bCs/>
                <w:sz w:val="18"/>
                <w:szCs w:val="18"/>
              </w:rPr>
              <w:fldChar w:fldCharType="begin"/>
            </w:r>
            <w:r w:rsidR="005A774C" w:rsidRPr="008C7C15">
              <w:rPr>
                <w:rFonts w:ascii="Times New Roman" w:hAnsi="Times New Roman" w:cs="Times New Roman"/>
                <w:b/>
                <w:bCs/>
                <w:sz w:val="18"/>
                <w:szCs w:val="18"/>
              </w:rPr>
              <w:instrText xml:space="preserve"> =SUM(ABOVE) </w:instrText>
            </w:r>
            <w:r w:rsidRPr="008C7C15">
              <w:rPr>
                <w:rFonts w:ascii="Times New Roman" w:hAnsi="Times New Roman" w:cs="Times New Roman"/>
                <w:b/>
                <w:bCs/>
                <w:sz w:val="18"/>
                <w:szCs w:val="18"/>
              </w:rPr>
              <w:fldChar w:fldCharType="separate"/>
            </w:r>
            <w:r w:rsidR="005A774C" w:rsidRPr="008C7C15">
              <w:rPr>
                <w:rFonts w:ascii="Times New Roman" w:hAnsi="Times New Roman" w:cs="Times New Roman"/>
                <w:b/>
                <w:bCs/>
                <w:noProof/>
                <w:sz w:val="18"/>
                <w:szCs w:val="18"/>
              </w:rPr>
              <w:t>75</w:t>
            </w:r>
            <w:r w:rsidRPr="008C7C15">
              <w:rPr>
                <w:rFonts w:ascii="Times New Roman" w:hAnsi="Times New Roman" w:cs="Times New Roman"/>
                <w:b/>
                <w:bCs/>
                <w:sz w:val="18"/>
                <w:szCs w:val="18"/>
              </w:rPr>
              <w:fldChar w:fldCharType="end"/>
            </w:r>
            <w:r w:rsidR="005A774C">
              <w:rPr>
                <w:rFonts w:ascii="Arial" w:hAnsi="Arial"/>
                <w:b/>
                <w:bCs/>
                <w:sz w:val="18"/>
                <w:szCs w:val="18"/>
              </w:rPr>
              <w:t>.00</w:t>
            </w:r>
          </w:p>
        </w:tc>
        <w:tc>
          <w:tcPr>
            <w:tcW w:w="970" w:type="dxa"/>
            <w:noWrap/>
          </w:tcPr>
          <w:p w14:paraId="0405F837" w14:textId="77777777" w:rsidR="005A774C" w:rsidRPr="008C7C15" w:rsidRDefault="00350F3E" w:rsidP="002A3038">
            <w:pPr>
              <w:rPr>
                <w:rFonts w:ascii="Arial" w:hAnsi="Arial"/>
                <w:b/>
                <w:bCs/>
                <w:sz w:val="18"/>
                <w:szCs w:val="18"/>
              </w:rPr>
            </w:pPr>
            <w:r w:rsidRPr="008C7C15">
              <w:rPr>
                <w:rFonts w:ascii="Times New Roman" w:hAnsi="Times New Roman" w:cs="Times New Roman"/>
                <w:b/>
                <w:bCs/>
                <w:sz w:val="18"/>
                <w:szCs w:val="18"/>
              </w:rPr>
              <w:fldChar w:fldCharType="begin"/>
            </w:r>
            <w:r w:rsidR="005A774C" w:rsidRPr="008C7C15">
              <w:rPr>
                <w:rFonts w:ascii="Times New Roman" w:hAnsi="Times New Roman" w:cs="Times New Roman"/>
                <w:b/>
                <w:bCs/>
                <w:sz w:val="18"/>
                <w:szCs w:val="18"/>
              </w:rPr>
              <w:instrText xml:space="preserve"> =SUM(ABOVE) \# "0.00" </w:instrText>
            </w:r>
            <w:r w:rsidRPr="008C7C15">
              <w:rPr>
                <w:rFonts w:ascii="Times New Roman" w:hAnsi="Times New Roman" w:cs="Times New Roman"/>
                <w:b/>
                <w:bCs/>
                <w:sz w:val="18"/>
                <w:szCs w:val="18"/>
              </w:rPr>
              <w:fldChar w:fldCharType="separate"/>
            </w:r>
            <w:r w:rsidR="005A774C" w:rsidRPr="008C7C15">
              <w:rPr>
                <w:rFonts w:ascii="Times New Roman" w:hAnsi="Times New Roman" w:cs="Times New Roman"/>
                <w:b/>
                <w:bCs/>
                <w:noProof/>
                <w:sz w:val="18"/>
                <w:szCs w:val="18"/>
              </w:rPr>
              <w:t>0.00</w:t>
            </w:r>
            <w:r w:rsidRPr="008C7C15">
              <w:rPr>
                <w:rFonts w:ascii="Times New Roman" w:hAnsi="Times New Roman" w:cs="Times New Roman"/>
                <w:b/>
                <w:bCs/>
                <w:sz w:val="18"/>
                <w:szCs w:val="18"/>
              </w:rPr>
              <w:fldChar w:fldCharType="end"/>
            </w:r>
          </w:p>
        </w:tc>
        <w:tc>
          <w:tcPr>
            <w:tcW w:w="1197" w:type="dxa"/>
            <w:noWrap/>
          </w:tcPr>
          <w:p w14:paraId="741016B7" w14:textId="77777777" w:rsidR="005A774C" w:rsidRPr="008C7C15" w:rsidRDefault="005A774C" w:rsidP="002A3038">
            <w:pPr>
              <w:rPr>
                <w:rFonts w:ascii="Arial" w:hAnsi="Arial"/>
                <w:b/>
                <w:bCs/>
                <w:sz w:val="18"/>
                <w:szCs w:val="18"/>
              </w:rPr>
            </w:pPr>
            <w:r>
              <w:rPr>
                <w:rFonts w:ascii="Arial" w:hAnsi="Arial"/>
                <w:b/>
                <w:bCs/>
                <w:sz w:val="18"/>
                <w:szCs w:val="18"/>
              </w:rPr>
              <w:t>6.95</w:t>
            </w:r>
          </w:p>
        </w:tc>
        <w:tc>
          <w:tcPr>
            <w:tcW w:w="265" w:type="dxa"/>
            <w:noWrap/>
          </w:tcPr>
          <w:p w14:paraId="28446849" w14:textId="77777777" w:rsidR="005A774C" w:rsidRPr="008C7C15" w:rsidRDefault="005A774C" w:rsidP="002A3038">
            <w:pPr>
              <w:rPr>
                <w:rFonts w:ascii="Arial" w:hAnsi="Arial"/>
                <w:b/>
                <w:bCs/>
                <w:sz w:val="18"/>
                <w:szCs w:val="18"/>
              </w:rPr>
            </w:pPr>
            <w:r>
              <w:rPr>
                <w:rFonts w:ascii="Arial" w:hAnsi="Arial"/>
                <w:b/>
                <w:bCs/>
                <w:sz w:val="18"/>
                <w:szCs w:val="18"/>
              </w:rPr>
              <w:t> </w:t>
            </w:r>
          </w:p>
        </w:tc>
        <w:tc>
          <w:tcPr>
            <w:tcW w:w="711" w:type="dxa"/>
            <w:noWrap/>
          </w:tcPr>
          <w:p w14:paraId="63619175" w14:textId="77777777" w:rsidR="005A774C" w:rsidRPr="008C7C15" w:rsidRDefault="00350F3E" w:rsidP="002A3038">
            <w:pPr>
              <w:rPr>
                <w:rFonts w:ascii="Arial" w:hAnsi="Arial"/>
                <w:b/>
                <w:bCs/>
                <w:sz w:val="18"/>
                <w:szCs w:val="18"/>
              </w:rPr>
            </w:pPr>
            <w:r w:rsidRPr="008C7C15">
              <w:rPr>
                <w:rFonts w:ascii="Times New Roman" w:hAnsi="Times New Roman" w:cs="Times New Roman"/>
                <w:b/>
                <w:bCs/>
                <w:sz w:val="18"/>
                <w:szCs w:val="18"/>
              </w:rPr>
              <w:fldChar w:fldCharType="begin"/>
            </w:r>
            <w:r w:rsidR="005A774C" w:rsidRPr="008C7C15">
              <w:rPr>
                <w:rFonts w:ascii="Times New Roman" w:hAnsi="Times New Roman" w:cs="Times New Roman"/>
                <w:b/>
                <w:bCs/>
                <w:sz w:val="18"/>
                <w:szCs w:val="18"/>
              </w:rPr>
              <w:instrText xml:space="preserve"> =SUM(ABOVE) \# "0.00" </w:instrText>
            </w:r>
            <w:r w:rsidRPr="008C7C15">
              <w:rPr>
                <w:rFonts w:ascii="Times New Roman" w:hAnsi="Times New Roman" w:cs="Times New Roman"/>
                <w:b/>
                <w:bCs/>
                <w:sz w:val="18"/>
                <w:szCs w:val="18"/>
              </w:rPr>
              <w:fldChar w:fldCharType="separate"/>
            </w:r>
            <w:r w:rsidR="005A774C" w:rsidRPr="008C7C15">
              <w:rPr>
                <w:rFonts w:ascii="Times New Roman" w:hAnsi="Times New Roman" w:cs="Times New Roman"/>
                <w:b/>
                <w:bCs/>
                <w:noProof/>
                <w:sz w:val="18"/>
                <w:szCs w:val="18"/>
              </w:rPr>
              <w:t>22.80</w:t>
            </w:r>
            <w:r w:rsidRPr="008C7C15">
              <w:rPr>
                <w:rFonts w:ascii="Times New Roman" w:hAnsi="Times New Roman" w:cs="Times New Roman"/>
                <w:b/>
                <w:bCs/>
                <w:sz w:val="18"/>
                <w:szCs w:val="18"/>
              </w:rPr>
              <w:fldChar w:fldCharType="end"/>
            </w:r>
          </w:p>
        </w:tc>
        <w:tc>
          <w:tcPr>
            <w:tcW w:w="782" w:type="dxa"/>
            <w:noWrap/>
          </w:tcPr>
          <w:p w14:paraId="311626A6" w14:textId="77777777" w:rsidR="005A774C" w:rsidRPr="008C7C15" w:rsidRDefault="00350F3E" w:rsidP="002A3038">
            <w:pPr>
              <w:rPr>
                <w:rFonts w:ascii="Arial" w:hAnsi="Arial"/>
                <w:b/>
                <w:bCs/>
                <w:sz w:val="18"/>
                <w:szCs w:val="18"/>
              </w:rPr>
            </w:pPr>
            <w:r w:rsidRPr="008C7C15">
              <w:rPr>
                <w:rFonts w:ascii="Times New Roman" w:hAnsi="Times New Roman" w:cs="Times New Roman"/>
                <w:b/>
                <w:bCs/>
                <w:sz w:val="18"/>
                <w:szCs w:val="18"/>
              </w:rPr>
              <w:fldChar w:fldCharType="begin"/>
            </w:r>
            <w:r w:rsidR="005A774C" w:rsidRPr="008C7C15">
              <w:rPr>
                <w:rFonts w:ascii="Times New Roman" w:hAnsi="Times New Roman" w:cs="Times New Roman"/>
                <w:b/>
                <w:bCs/>
                <w:sz w:val="18"/>
                <w:szCs w:val="18"/>
              </w:rPr>
              <w:instrText xml:space="preserve"> =SUM(ABOVE) \# "0.00" </w:instrText>
            </w:r>
            <w:r w:rsidRPr="008C7C15">
              <w:rPr>
                <w:rFonts w:ascii="Times New Roman" w:hAnsi="Times New Roman" w:cs="Times New Roman"/>
                <w:b/>
                <w:bCs/>
                <w:sz w:val="18"/>
                <w:szCs w:val="18"/>
              </w:rPr>
              <w:fldChar w:fldCharType="separate"/>
            </w:r>
            <w:r w:rsidR="005A774C" w:rsidRPr="008C7C15">
              <w:rPr>
                <w:rFonts w:ascii="Times New Roman" w:hAnsi="Times New Roman" w:cs="Times New Roman"/>
                <w:b/>
                <w:bCs/>
                <w:noProof/>
                <w:sz w:val="18"/>
                <w:szCs w:val="18"/>
              </w:rPr>
              <w:t>13.40</w:t>
            </w:r>
            <w:r w:rsidRPr="008C7C15">
              <w:rPr>
                <w:rFonts w:ascii="Times New Roman" w:hAnsi="Times New Roman" w:cs="Times New Roman"/>
                <w:b/>
                <w:bCs/>
                <w:sz w:val="18"/>
                <w:szCs w:val="18"/>
              </w:rPr>
              <w:fldChar w:fldCharType="end"/>
            </w:r>
          </w:p>
        </w:tc>
        <w:tc>
          <w:tcPr>
            <w:tcW w:w="957" w:type="dxa"/>
            <w:noWrap/>
          </w:tcPr>
          <w:p w14:paraId="39D56C6C" w14:textId="77777777" w:rsidR="005A774C" w:rsidRPr="008C7C15" w:rsidRDefault="00350F3E" w:rsidP="002A3038">
            <w:pPr>
              <w:rPr>
                <w:rFonts w:ascii="Arial" w:hAnsi="Arial"/>
                <w:b/>
                <w:bCs/>
                <w:sz w:val="18"/>
                <w:szCs w:val="18"/>
              </w:rPr>
            </w:pPr>
            <w:r w:rsidRPr="008C7C15">
              <w:rPr>
                <w:rFonts w:ascii="Times New Roman" w:hAnsi="Times New Roman" w:cs="Times New Roman"/>
                <w:b/>
                <w:bCs/>
                <w:sz w:val="18"/>
                <w:szCs w:val="18"/>
              </w:rPr>
              <w:fldChar w:fldCharType="begin"/>
            </w:r>
            <w:r w:rsidR="005A774C" w:rsidRPr="008C7C15">
              <w:rPr>
                <w:rFonts w:ascii="Times New Roman" w:hAnsi="Times New Roman" w:cs="Times New Roman"/>
                <w:b/>
                <w:bCs/>
                <w:sz w:val="18"/>
                <w:szCs w:val="18"/>
              </w:rPr>
              <w:instrText xml:space="preserve"> =SUM(ABOVE) \# "0.00" </w:instrText>
            </w:r>
            <w:r w:rsidRPr="008C7C15">
              <w:rPr>
                <w:rFonts w:ascii="Times New Roman" w:hAnsi="Times New Roman" w:cs="Times New Roman"/>
                <w:b/>
                <w:bCs/>
                <w:sz w:val="18"/>
                <w:szCs w:val="18"/>
              </w:rPr>
              <w:fldChar w:fldCharType="separate"/>
            </w:r>
            <w:r w:rsidR="005A774C" w:rsidRPr="008C7C15">
              <w:rPr>
                <w:rFonts w:ascii="Times New Roman" w:hAnsi="Times New Roman" w:cs="Times New Roman"/>
                <w:b/>
                <w:bCs/>
                <w:noProof/>
                <w:sz w:val="18"/>
                <w:szCs w:val="18"/>
              </w:rPr>
              <w:t>50.00</w:t>
            </w:r>
            <w:r w:rsidRPr="008C7C15">
              <w:rPr>
                <w:rFonts w:ascii="Times New Roman" w:hAnsi="Times New Roman" w:cs="Times New Roman"/>
                <w:b/>
                <w:bCs/>
                <w:sz w:val="18"/>
                <w:szCs w:val="18"/>
              </w:rPr>
              <w:fldChar w:fldCharType="end"/>
            </w:r>
          </w:p>
        </w:tc>
        <w:tc>
          <w:tcPr>
            <w:tcW w:w="970" w:type="dxa"/>
            <w:noWrap/>
          </w:tcPr>
          <w:p w14:paraId="4BAD34F7" w14:textId="77777777" w:rsidR="005A774C" w:rsidRPr="008C7C15" w:rsidRDefault="00350F3E" w:rsidP="002A3038">
            <w:pPr>
              <w:rPr>
                <w:rFonts w:ascii="Arial" w:hAnsi="Arial"/>
                <w:b/>
                <w:bCs/>
                <w:sz w:val="18"/>
                <w:szCs w:val="18"/>
              </w:rPr>
            </w:pPr>
            <w:r w:rsidRPr="008C7C15">
              <w:rPr>
                <w:rFonts w:ascii="Times New Roman" w:hAnsi="Times New Roman" w:cs="Times New Roman"/>
                <w:b/>
                <w:bCs/>
                <w:sz w:val="18"/>
                <w:szCs w:val="18"/>
              </w:rPr>
              <w:fldChar w:fldCharType="begin"/>
            </w:r>
            <w:r w:rsidR="005A774C" w:rsidRPr="008C7C15">
              <w:rPr>
                <w:rFonts w:ascii="Times New Roman" w:hAnsi="Times New Roman" w:cs="Times New Roman"/>
                <w:b/>
                <w:bCs/>
                <w:sz w:val="18"/>
                <w:szCs w:val="18"/>
              </w:rPr>
              <w:instrText xml:space="preserve"> =SUM(ABOVE) \# "0.00" </w:instrText>
            </w:r>
            <w:r w:rsidRPr="008C7C15">
              <w:rPr>
                <w:rFonts w:ascii="Times New Roman" w:hAnsi="Times New Roman" w:cs="Times New Roman"/>
                <w:b/>
                <w:bCs/>
                <w:sz w:val="18"/>
                <w:szCs w:val="18"/>
              </w:rPr>
              <w:fldChar w:fldCharType="separate"/>
            </w:r>
            <w:r w:rsidR="005A774C" w:rsidRPr="008C7C15">
              <w:rPr>
                <w:rFonts w:ascii="Times New Roman" w:hAnsi="Times New Roman" w:cs="Times New Roman"/>
                <w:b/>
                <w:bCs/>
                <w:noProof/>
                <w:sz w:val="18"/>
                <w:szCs w:val="18"/>
              </w:rPr>
              <w:t>0.00</w:t>
            </w:r>
            <w:r w:rsidRPr="008C7C15">
              <w:rPr>
                <w:rFonts w:ascii="Times New Roman" w:hAnsi="Times New Roman" w:cs="Times New Roman"/>
                <w:b/>
                <w:bCs/>
                <w:sz w:val="18"/>
                <w:szCs w:val="18"/>
              </w:rPr>
              <w:fldChar w:fldCharType="end"/>
            </w:r>
          </w:p>
        </w:tc>
        <w:tc>
          <w:tcPr>
            <w:tcW w:w="1197" w:type="dxa"/>
            <w:noWrap/>
          </w:tcPr>
          <w:p w14:paraId="4ED5B761" w14:textId="77777777" w:rsidR="005A774C" w:rsidRPr="008C7C15" w:rsidRDefault="005A774C" w:rsidP="002A3038">
            <w:pPr>
              <w:rPr>
                <w:rFonts w:ascii="Arial" w:hAnsi="Arial"/>
                <w:b/>
                <w:bCs/>
                <w:sz w:val="18"/>
                <w:szCs w:val="18"/>
              </w:rPr>
            </w:pPr>
            <w:r>
              <w:rPr>
                <w:rFonts w:ascii="Arial" w:hAnsi="Arial"/>
                <w:b/>
                <w:bCs/>
                <w:sz w:val="18"/>
                <w:szCs w:val="18"/>
              </w:rPr>
              <w:t>3.75</w:t>
            </w:r>
          </w:p>
        </w:tc>
        <w:tc>
          <w:tcPr>
            <w:tcW w:w="265" w:type="dxa"/>
            <w:noWrap/>
          </w:tcPr>
          <w:p w14:paraId="77E8E14C" w14:textId="77777777" w:rsidR="005A774C" w:rsidRPr="008C7C15" w:rsidRDefault="005A774C" w:rsidP="002A3038">
            <w:r>
              <w:t> </w:t>
            </w:r>
          </w:p>
        </w:tc>
      </w:tr>
    </w:tbl>
    <w:p w14:paraId="025F77F4" w14:textId="77777777" w:rsidR="005A774C" w:rsidRDefault="005A774C" w:rsidP="005A774C">
      <w:pPr>
        <w:spacing w:line="256" w:lineRule="auto"/>
        <w:rPr>
          <w:rFonts w:ascii="Calibri" w:eastAsia="Calibri" w:hAnsi="Calibri" w:cs="Arial"/>
        </w:rPr>
      </w:pPr>
    </w:p>
    <w:p w14:paraId="23898A95" w14:textId="77777777" w:rsidR="00D706A6" w:rsidRDefault="00D706A6" w:rsidP="005A774C">
      <w:pPr>
        <w:spacing w:line="256" w:lineRule="auto"/>
        <w:rPr>
          <w:rFonts w:ascii="Calibri" w:eastAsia="Calibri" w:hAnsi="Calibri" w:cs="Arial"/>
        </w:rPr>
      </w:pPr>
    </w:p>
    <w:p w14:paraId="6E963FC9" w14:textId="77777777" w:rsidR="00D706A6" w:rsidRDefault="00D706A6" w:rsidP="005A774C">
      <w:pPr>
        <w:spacing w:line="256" w:lineRule="auto"/>
        <w:rPr>
          <w:rFonts w:ascii="Calibri" w:eastAsia="Calibri" w:hAnsi="Calibri" w:cs="Arial"/>
        </w:rPr>
      </w:pPr>
    </w:p>
    <w:p w14:paraId="1519E1B5" w14:textId="77777777" w:rsidR="005A774C" w:rsidRPr="008C7C15" w:rsidRDefault="005A774C" w:rsidP="005A774C">
      <w:pPr>
        <w:rPr>
          <w:rFonts w:ascii="Arial" w:eastAsia="Arial" w:hAnsi="Arial" w:cs="Arial"/>
        </w:rPr>
      </w:pPr>
      <w:r>
        <w:rPr>
          <w:rFonts w:ascii="Arial" w:hAnsi="Arial"/>
        </w:rPr>
        <w:t xml:space="preserve">* إدارة المخاطر/الضمانات </w:t>
      </w:r>
    </w:p>
    <w:p w14:paraId="1CF48E95" w14:textId="77777777" w:rsidR="005A774C" w:rsidRPr="008C7C15" w:rsidRDefault="005A774C" w:rsidP="005A774C">
      <w:pPr>
        <w:spacing w:after="0" w:line="240" w:lineRule="auto"/>
        <w:jc w:val="both"/>
        <w:rPr>
          <w:rFonts w:ascii="Times New Roman" w:eastAsia="Times New Roman" w:hAnsi="Times New Roman" w:cs="Times New Roman"/>
          <w:b/>
          <w:bCs/>
          <w:color w:val="000000"/>
          <w:sz w:val="24"/>
          <w:szCs w:val="24"/>
        </w:rPr>
      </w:pPr>
    </w:p>
    <w:p w14:paraId="6D0EBBF3" w14:textId="77777777" w:rsidR="005A774C" w:rsidRPr="00D14206" w:rsidRDefault="005A774C" w:rsidP="005A774C">
      <w:pPr>
        <w:pStyle w:val="ListParagraph"/>
        <w:spacing w:after="0" w:line="240" w:lineRule="auto"/>
        <w:ind w:left="0"/>
        <w:jc w:val="both"/>
        <w:rPr>
          <w:rFonts w:cs="Times New Roman"/>
        </w:rPr>
      </w:pPr>
    </w:p>
    <w:p w14:paraId="694D409A" w14:textId="77777777" w:rsidR="005A774C" w:rsidRDefault="005A774C" w:rsidP="005A774C">
      <w:pPr>
        <w:rPr>
          <w:rFonts w:cs="Arial"/>
          <w:bCs/>
        </w:rPr>
      </w:pPr>
      <w:r>
        <w:br w:type="page"/>
      </w:r>
    </w:p>
    <w:p w14:paraId="53B4405E" w14:textId="77777777" w:rsidR="005A774C" w:rsidRDefault="005A774C" w:rsidP="008C13D5">
      <w:pPr>
        <w:keepNext/>
        <w:keepLines/>
        <w:spacing w:after="0" w:line="240" w:lineRule="auto"/>
        <w:jc w:val="center"/>
        <w:outlineLvl w:val="0"/>
        <w:rPr>
          <w:rFonts w:ascii="Arial" w:eastAsia="Arial" w:hAnsi="Arial" w:cs="Arial"/>
          <w:b/>
          <w:bCs/>
          <w:smallCaps/>
          <w:sz w:val="24"/>
          <w:szCs w:val="28"/>
        </w:rPr>
      </w:pPr>
      <w:bookmarkStart w:id="59" w:name="_Toc500240980"/>
      <w:bookmarkStart w:id="60" w:name="_Toc498096421"/>
      <w:r>
        <w:rPr>
          <w:rFonts w:ascii="Arial" w:hAnsi="Arial"/>
          <w:b/>
          <w:bCs/>
          <w:smallCaps/>
          <w:sz w:val="24"/>
          <w:szCs w:val="24"/>
        </w:rPr>
        <w:lastRenderedPageBreak/>
        <w:t>الملحق 6.</w:t>
      </w:r>
      <w:r w:rsidR="00022F13">
        <w:rPr>
          <w:rFonts w:ascii="Arial" w:hAnsi="Arial"/>
          <w:b/>
          <w:bCs/>
          <w:smallCaps/>
          <w:sz w:val="24"/>
          <w:szCs w:val="24"/>
        </w:rPr>
        <w:t xml:space="preserve"> </w:t>
      </w:r>
      <w:r>
        <w:rPr>
          <w:rFonts w:ascii="Arial" w:hAnsi="Arial"/>
          <w:b/>
          <w:bCs/>
          <w:smallCaps/>
          <w:sz w:val="24"/>
          <w:szCs w:val="24"/>
        </w:rPr>
        <w:t xml:space="preserve">الضمانات القائمة المقدمة من الوكالة الدولية لضمان </w:t>
      </w:r>
      <w:r w:rsidR="000F7442">
        <w:rPr>
          <w:rFonts w:ascii="Arial" w:hAnsi="Arial" w:hint="cs"/>
          <w:b/>
          <w:bCs/>
          <w:smallCaps/>
          <w:sz w:val="24"/>
          <w:szCs w:val="24"/>
        </w:rPr>
        <w:t>الاستثمار</w:t>
      </w:r>
      <w:r>
        <w:rPr>
          <w:rFonts w:ascii="Arial" w:hAnsi="Arial"/>
          <w:b/>
          <w:bCs/>
          <w:smallCaps/>
          <w:sz w:val="24"/>
          <w:szCs w:val="24"/>
        </w:rPr>
        <w:t xml:space="preserve"> في الضفة الغربية وقطاع غزة</w:t>
      </w:r>
      <w:bookmarkEnd w:id="59"/>
      <w:r>
        <w:rPr>
          <w:rFonts w:ascii="Arial" w:hAnsi="Arial"/>
          <w:b/>
          <w:bCs/>
          <w:smallCaps/>
          <w:sz w:val="24"/>
          <w:szCs w:val="24"/>
        </w:rPr>
        <w:t xml:space="preserve"> </w:t>
      </w:r>
      <w:bookmarkEnd w:id="60"/>
    </w:p>
    <w:p w14:paraId="4516299E" w14:textId="77777777" w:rsidR="005A774C" w:rsidRDefault="005A774C" w:rsidP="005A774C">
      <w:pPr>
        <w:jc w:val="center"/>
        <w:rPr>
          <w:rFonts w:ascii="Arial" w:eastAsia="Arial" w:hAnsi="Arial" w:cs="Arial"/>
          <w:i/>
          <w:smallCaps/>
          <w:sz w:val="20"/>
          <w:szCs w:val="20"/>
        </w:rPr>
      </w:pPr>
      <w:r>
        <w:rPr>
          <w:rFonts w:ascii="Arial" w:hAnsi="Arial"/>
          <w:i/>
          <w:iCs/>
          <w:smallCaps/>
          <w:sz w:val="20"/>
          <w:szCs w:val="20"/>
        </w:rPr>
        <w:t>(</w:t>
      </w:r>
      <w:r>
        <w:rPr>
          <w:rFonts w:ascii="Arial" w:hAnsi="Arial"/>
          <w:i/>
          <w:iCs/>
          <w:sz w:val="20"/>
          <w:szCs w:val="20"/>
        </w:rPr>
        <w:t>في 31 أكتوبر/تشرين الأول 2017)</w:t>
      </w:r>
    </w:p>
    <w:p w14:paraId="7E477992" w14:textId="77777777" w:rsidR="005A774C" w:rsidRDefault="005A774C" w:rsidP="005A774C">
      <w:pPr>
        <w:jc w:val="center"/>
        <w:rPr>
          <w:rFonts w:ascii="Times New Roman" w:eastAsia="Times New Roman" w:hAnsi="Times New Roman" w:cs="Times New Roman"/>
          <w:i/>
          <w:smallCaps/>
          <w:sz w:val="20"/>
          <w:szCs w:val="20"/>
        </w:rPr>
      </w:pPr>
    </w:p>
    <w:p w14:paraId="170FDAD1" w14:textId="77777777" w:rsidR="005A774C" w:rsidRPr="00DB48C3" w:rsidRDefault="005A774C" w:rsidP="005A774C">
      <w:pPr>
        <w:jc w:val="center"/>
        <w:rPr>
          <w:rFonts w:ascii="Times New Roman" w:eastAsia="Times New Roman" w:hAnsi="Times New Roman" w:cs="Times New Roman"/>
          <w:i/>
          <w:smallCaps/>
          <w:sz w:val="20"/>
          <w:szCs w:val="20"/>
        </w:rPr>
      </w:pPr>
    </w:p>
    <w:tbl>
      <w:tblPr>
        <w:bidiVisual/>
        <w:tblW w:w="10795" w:type="dxa"/>
        <w:jc w:val="center"/>
        <w:tblLook w:val="04A0" w:firstRow="1" w:lastRow="0" w:firstColumn="1" w:lastColumn="0" w:noHBand="0" w:noVBand="1"/>
      </w:tblPr>
      <w:tblGrid>
        <w:gridCol w:w="4315"/>
        <w:gridCol w:w="2250"/>
        <w:gridCol w:w="1890"/>
        <w:gridCol w:w="2340"/>
      </w:tblGrid>
      <w:tr w:rsidR="005A774C" w:rsidRPr="007C51B8" w14:paraId="74DFA5A3" w14:textId="77777777" w:rsidTr="00824EBD">
        <w:trPr>
          <w:trHeight w:val="780"/>
          <w:jc w:val="center"/>
        </w:trPr>
        <w:tc>
          <w:tcPr>
            <w:tcW w:w="4315"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564A324E"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اسم المستثمر</w:t>
            </w:r>
          </w:p>
        </w:tc>
        <w:tc>
          <w:tcPr>
            <w:tcW w:w="2250" w:type="dxa"/>
            <w:tcBorders>
              <w:top w:val="single" w:sz="4" w:space="0" w:color="auto"/>
              <w:left w:val="nil"/>
              <w:bottom w:val="single" w:sz="4" w:space="0" w:color="auto"/>
              <w:right w:val="single" w:sz="4" w:space="0" w:color="auto"/>
            </w:tcBorders>
            <w:shd w:val="clear" w:color="000000" w:fill="9BC2E6"/>
            <w:noWrap/>
            <w:vAlign w:val="center"/>
            <w:hideMark/>
          </w:tcPr>
          <w:p w14:paraId="7778C4E2"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موقع المستثمر</w:t>
            </w:r>
          </w:p>
        </w:tc>
        <w:tc>
          <w:tcPr>
            <w:tcW w:w="1890" w:type="dxa"/>
            <w:tcBorders>
              <w:top w:val="single" w:sz="4" w:space="0" w:color="auto"/>
              <w:left w:val="nil"/>
              <w:bottom w:val="single" w:sz="4" w:space="0" w:color="auto"/>
              <w:right w:val="single" w:sz="4" w:space="0" w:color="auto"/>
            </w:tcBorders>
            <w:shd w:val="clear" w:color="000000" w:fill="9BC2E6"/>
            <w:noWrap/>
            <w:vAlign w:val="center"/>
            <w:hideMark/>
          </w:tcPr>
          <w:p w14:paraId="6F25F72D"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قطاع نشاط الأعمال</w:t>
            </w:r>
          </w:p>
        </w:tc>
        <w:tc>
          <w:tcPr>
            <w:tcW w:w="2340" w:type="dxa"/>
            <w:tcBorders>
              <w:top w:val="single" w:sz="4" w:space="0" w:color="auto"/>
              <w:left w:val="nil"/>
              <w:bottom w:val="single" w:sz="4" w:space="0" w:color="auto"/>
              <w:right w:val="single" w:sz="4" w:space="0" w:color="auto"/>
            </w:tcBorders>
            <w:shd w:val="clear" w:color="000000" w:fill="9BC2E6"/>
            <w:noWrap/>
            <w:vAlign w:val="center"/>
            <w:hideMark/>
          </w:tcPr>
          <w:p w14:paraId="1E887AE7"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الحد الأقصى (دولار)</w:t>
            </w:r>
          </w:p>
        </w:tc>
      </w:tr>
      <w:tr w:rsidR="005A774C" w:rsidRPr="007C51B8" w14:paraId="7C0653B4" w14:textId="77777777" w:rsidTr="00824EBD">
        <w:trPr>
          <w:trHeight w:val="559"/>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2E2677C"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شركة التدوير الفلسطينية ــ تدوير</w:t>
            </w:r>
          </w:p>
        </w:tc>
        <w:tc>
          <w:tcPr>
            <w:tcW w:w="2250" w:type="dxa"/>
            <w:tcBorders>
              <w:top w:val="nil"/>
              <w:left w:val="nil"/>
              <w:bottom w:val="single" w:sz="4" w:space="0" w:color="auto"/>
              <w:right w:val="single" w:sz="4" w:space="0" w:color="auto"/>
            </w:tcBorders>
            <w:shd w:val="clear" w:color="auto" w:fill="auto"/>
            <w:noWrap/>
            <w:vAlign w:val="center"/>
            <w:hideMark/>
          </w:tcPr>
          <w:p w14:paraId="02A8D0E6"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الضفة الغربية وقطاع غزة</w:t>
            </w:r>
          </w:p>
        </w:tc>
        <w:tc>
          <w:tcPr>
            <w:tcW w:w="1890" w:type="dxa"/>
            <w:tcBorders>
              <w:top w:val="nil"/>
              <w:left w:val="nil"/>
              <w:bottom w:val="single" w:sz="4" w:space="0" w:color="auto"/>
              <w:right w:val="single" w:sz="4" w:space="0" w:color="auto"/>
            </w:tcBorders>
            <w:shd w:val="clear" w:color="auto" w:fill="auto"/>
            <w:noWrap/>
            <w:vAlign w:val="center"/>
            <w:hideMark/>
          </w:tcPr>
          <w:p w14:paraId="2162BAA8"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الصناعات الزراعية</w:t>
            </w:r>
          </w:p>
        </w:tc>
        <w:tc>
          <w:tcPr>
            <w:tcW w:w="2340" w:type="dxa"/>
            <w:tcBorders>
              <w:top w:val="nil"/>
              <w:left w:val="nil"/>
              <w:bottom w:val="single" w:sz="4" w:space="0" w:color="auto"/>
              <w:right w:val="single" w:sz="4" w:space="0" w:color="auto"/>
            </w:tcBorders>
            <w:shd w:val="clear" w:color="auto" w:fill="auto"/>
            <w:noWrap/>
            <w:vAlign w:val="center"/>
            <w:hideMark/>
          </w:tcPr>
          <w:p w14:paraId="639F943A"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4,530,373</w:t>
            </w:r>
          </w:p>
        </w:tc>
      </w:tr>
      <w:tr w:rsidR="005A774C" w:rsidRPr="007C51B8" w14:paraId="3CAD7934" w14:textId="77777777" w:rsidTr="00824EBD">
        <w:trPr>
          <w:trHeight w:val="559"/>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9C60A0B"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 xml:space="preserve">شركة سراج لإدارة الصناديق </w:t>
            </w:r>
          </w:p>
        </w:tc>
        <w:tc>
          <w:tcPr>
            <w:tcW w:w="2250" w:type="dxa"/>
            <w:tcBorders>
              <w:top w:val="nil"/>
              <w:left w:val="nil"/>
              <w:bottom w:val="single" w:sz="4" w:space="0" w:color="auto"/>
              <w:right w:val="single" w:sz="4" w:space="0" w:color="auto"/>
            </w:tcBorders>
            <w:shd w:val="clear" w:color="auto" w:fill="auto"/>
            <w:noWrap/>
            <w:vAlign w:val="center"/>
            <w:hideMark/>
          </w:tcPr>
          <w:p w14:paraId="5D7BFFF7"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الضفة الغربية وقطاع غزة</w:t>
            </w:r>
          </w:p>
        </w:tc>
        <w:tc>
          <w:tcPr>
            <w:tcW w:w="1890" w:type="dxa"/>
            <w:tcBorders>
              <w:top w:val="nil"/>
              <w:left w:val="nil"/>
              <w:bottom w:val="single" w:sz="4" w:space="0" w:color="auto"/>
              <w:right w:val="single" w:sz="4" w:space="0" w:color="auto"/>
            </w:tcBorders>
            <w:shd w:val="clear" w:color="auto" w:fill="auto"/>
            <w:noWrap/>
            <w:vAlign w:val="center"/>
            <w:hideMark/>
          </w:tcPr>
          <w:p w14:paraId="79179ADE"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الصناعات التحويلية</w:t>
            </w:r>
          </w:p>
        </w:tc>
        <w:tc>
          <w:tcPr>
            <w:tcW w:w="2340" w:type="dxa"/>
            <w:tcBorders>
              <w:top w:val="nil"/>
              <w:left w:val="nil"/>
              <w:bottom w:val="single" w:sz="4" w:space="0" w:color="auto"/>
              <w:right w:val="single" w:sz="4" w:space="0" w:color="auto"/>
            </w:tcBorders>
            <w:shd w:val="clear" w:color="auto" w:fill="auto"/>
            <w:noWrap/>
            <w:vAlign w:val="center"/>
            <w:hideMark/>
          </w:tcPr>
          <w:p w14:paraId="199D2552"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1,950,534</w:t>
            </w:r>
          </w:p>
        </w:tc>
      </w:tr>
      <w:tr w:rsidR="005A774C" w:rsidRPr="007C51B8" w14:paraId="676F2DE9" w14:textId="77777777" w:rsidTr="00824EBD">
        <w:trPr>
          <w:trHeight w:val="559"/>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60FA57E"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 xml:space="preserve">شركة اليسر للاستثمارات </w:t>
            </w:r>
          </w:p>
        </w:tc>
        <w:tc>
          <w:tcPr>
            <w:tcW w:w="2250" w:type="dxa"/>
            <w:tcBorders>
              <w:top w:val="nil"/>
              <w:left w:val="nil"/>
              <w:bottom w:val="single" w:sz="4" w:space="0" w:color="auto"/>
              <w:right w:val="single" w:sz="4" w:space="0" w:color="auto"/>
            </w:tcBorders>
            <w:shd w:val="clear" w:color="auto" w:fill="auto"/>
            <w:noWrap/>
            <w:vAlign w:val="center"/>
            <w:hideMark/>
          </w:tcPr>
          <w:p w14:paraId="014CB84E"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الضفة الغربية وقطاع غزة</w:t>
            </w:r>
          </w:p>
        </w:tc>
        <w:tc>
          <w:tcPr>
            <w:tcW w:w="1890" w:type="dxa"/>
            <w:tcBorders>
              <w:top w:val="nil"/>
              <w:left w:val="nil"/>
              <w:bottom w:val="single" w:sz="4" w:space="0" w:color="auto"/>
              <w:right w:val="single" w:sz="4" w:space="0" w:color="auto"/>
            </w:tcBorders>
            <w:shd w:val="clear" w:color="auto" w:fill="auto"/>
            <w:noWrap/>
            <w:vAlign w:val="center"/>
            <w:hideMark/>
          </w:tcPr>
          <w:p w14:paraId="77474087"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الصناعات التحويلية</w:t>
            </w:r>
          </w:p>
        </w:tc>
        <w:tc>
          <w:tcPr>
            <w:tcW w:w="2340" w:type="dxa"/>
            <w:tcBorders>
              <w:top w:val="nil"/>
              <w:left w:val="nil"/>
              <w:bottom w:val="single" w:sz="4" w:space="0" w:color="auto"/>
              <w:right w:val="single" w:sz="4" w:space="0" w:color="auto"/>
            </w:tcBorders>
            <w:shd w:val="clear" w:color="auto" w:fill="auto"/>
            <w:noWrap/>
            <w:vAlign w:val="center"/>
            <w:hideMark/>
          </w:tcPr>
          <w:p w14:paraId="03838418"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11,835,000</w:t>
            </w:r>
          </w:p>
        </w:tc>
      </w:tr>
      <w:tr w:rsidR="005A774C" w:rsidRPr="007C51B8" w14:paraId="25035620" w14:textId="77777777" w:rsidTr="00824EBD">
        <w:trPr>
          <w:trHeight w:val="559"/>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F412F65"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 xml:space="preserve">أوسترهوف ــ هولمان بيو إنيرجي بي في </w:t>
            </w:r>
          </w:p>
        </w:tc>
        <w:tc>
          <w:tcPr>
            <w:tcW w:w="2250" w:type="dxa"/>
            <w:tcBorders>
              <w:top w:val="nil"/>
              <w:left w:val="nil"/>
              <w:bottom w:val="single" w:sz="4" w:space="0" w:color="auto"/>
              <w:right w:val="single" w:sz="4" w:space="0" w:color="auto"/>
            </w:tcBorders>
            <w:shd w:val="clear" w:color="auto" w:fill="auto"/>
            <w:noWrap/>
            <w:vAlign w:val="center"/>
            <w:hideMark/>
          </w:tcPr>
          <w:p w14:paraId="72C3F0CF"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هولندا</w:t>
            </w:r>
          </w:p>
        </w:tc>
        <w:tc>
          <w:tcPr>
            <w:tcW w:w="1890" w:type="dxa"/>
            <w:tcBorders>
              <w:top w:val="nil"/>
              <w:left w:val="nil"/>
              <w:bottom w:val="single" w:sz="4" w:space="0" w:color="auto"/>
              <w:right w:val="single" w:sz="4" w:space="0" w:color="auto"/>
            </w:tcBorders>
            <w:shd w:val="clear" w:color="auto" w:fill="auto"/>
            <w:noWrap/>
            <w:vAlign w:val="center"/>
            <w:hideMark/>
          </w:tcPr>
          <w:p w14:paraId="61FA1B1A"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الصناعات التحويلية</w:t>
            </w:r>
          </w:p>
        </w:tc>
        <w:tc>
          <w:tcPr>
            <w:tcW w:w="2340" w:type="dxa"/>
            <w:tcBorders>
              <w:top w:val="nil"/>
              <w:left w:val="nil"/>
              <w:bottom w:val="single" w:sz="4" w:space="0" w:color="auto"/>
              <w:right w:val="single" w:sz="4" w:space="0" w:color="auto"/>
            </w:tcBorders>
            <w:shd w:val="clear" w:color="auto" w:fill="auto"/>
            <w:noWrap/>
            <w:vAlign w:val="center"/>
            <w:hideMark/>
          </w:tcPr>
          <w:p w14:paraId="52EE8F7B"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769,854</w:t>
            </w:r>
          </w:p>
        </w:tc>
      </w:tr>
      <w:tr w:rsidR="005A774C" w:rsidRPr="007C51B8" w14:paraId="61F33FD8" w14:textId="77777777" w:rsidTr="00824EBD">
        <w:trPr>
          <w:trHeight w:val="559"/>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C0BC772"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التقنية العربية للوحات (شركة ذات مسؤولية محدودة)</w:t>
            </w:r>
          </w:p>
        </w:tc>
        <w:tc>
          <w:tcPr>
            <w:tcW w:w="2250" w:type="dxa"/>
            <w:tcBorders>
              <w:top w:val="nil"/>
              <w:left w:val="nil"/>
              <w:bottom w:val="single" w:sz="4" w:space="0" w:color="auto"/>
              <w:right w:val="single" w:sz="4" w:space="0" w:color="auto"/>
            </w:tcBorders>
            <w:shd w:val="clear" w:color="auto" w:fill="auto"/>
            <w:noWrap/>
            <w:vAlign w:val="center"/>
            <w:hideMark/>
          </w:tcPr>
          <w:p w14:paraId="3AEF0E45"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الإمارات</w:t>
            </w:r>
          </w:p>
        </w:tc>
        <w:tc>
          <w:tcPr>
            <w:tcW w:w="1890" w:type="dxa"/>
            <w:tcBorders>
              <w:top w:val="nil"/>
              <w:left w:val="nil"/>
              <w:bottom w:val="single" w:sz="4" w:space="0" w:color="auto"/>
              <w:right w:val="single" w:sz="4" w:space="0" w:color="auto"/>
            </w:tcBorders>
            <w:shd w:val="clear" w:color="auto" w:fill="auto"/>
            <w:noWrap/>
            <w:vAlign w:val="center"/>
            <w:hideMark/>
          </w:tcPr>
          <w:p w14:paraId="00034D34"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الصناعات التحويلية</w:t>
            </w:r>
          </w:p>
        </w:tc>
        <w:tc>
          <w:tcPr>
            <w:tcW w:w="2340" w:type="dxa"/>
            <w:tcBorders>
              <w:top w:val="nil"/>
              <w:left w:val="nil"/>
              <w:bottom w:val="single" w:sz="4" w:space="0" w:color="auto"/>
              <w:right w:val="single" w:sz="4" w:space="0" w:color="auto"/>
            </w:tcBorders>
            <w:shd w:val="clear" w:color="auto" w:fill="auto"/>
            <w:noWrap/>
            <w:vAlign w:val="center"/>
            <w:hideMark/>
          </w:tcPr>
          <w:p w14:paraId="19B57918"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628,452</w:t>
            </w:r>
          </w:p>
        </w:tc>
      </w:tr>
      <w:tr w:rsidR="005A774C" w:rsidRPr="007C51B8" w14:paraId="22CCB3A9" w14:textId="77777777" w:rsidTr="00824EBD">
        <w:trPr>
          <w:trHeight w:val="559"/>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BE53CFD"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شركة الجراشي للطباعة والتغليف</w:t>
            </w:r>
          </w:p>
        </w:tc>
        <w:tc>
          <w:tcPr>
            <w:tcW w:w="2250" w:type="dxa"/>
            <w:tcBorders>
              <w:top w:val="nil"/>
              <w:left w:val="nil"/>
              <w:bottom w:val="single" w:sz="4" w:space="0" w:color="auto"/>
              <w:right w:val="single" w:sz="4" w:space="0" w:color="auto"/>
            </w:tcBorders>
            <w:shd w:val="clear" w:color="auto" w:fill="auto"/>
            <w:noWrap/>
            <w:vAlign w:val="center"/>
            <w:hideMark/>
          </w:tcPr>
          <w:p w14:paraId="34618D47"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الضفة الغربية وقطاع غزة</w:t>
            </w:r>
          </w:p>
        </w:tc>
        <w:tc>
          <w:tcPr>
            <w:tcW w:w="1890" w:type="dxa"/>
            <w:tcBorders>
              <w:top w:val="nil"/>
              <w:left w:val="nil"/>
              <w:bottom w:val="single" w:sz="4" w:space="0" w:color="auto"/>
              <w:right w:val="single" w:sz="4" w:space="0" w:color="auto"/>
            </w:tcBorders>
            <w:shd w:val="clear" w:color="auto" w:fill="auto"/>
            <w:noWrap/>
            <w:vAlign w:val="center"/>
            <w:hideMark/>
          </w:tcPr>
          <w:p w14:paraId="1D75AEB1"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الصناعات التحويلية</w:t>
            </w:r>
          </w:p>
        </w:tc>
        <w:tc>
          <w:tcPr>
            <w:tcW w:w="2340" w:type="dxa"/>
            <w:tcBorders>
              <w:top w:val="nil"/>
              <w:left w:val="nil"/>
              <w:bottom w:val="single" w:sz="4" w:space="0" w:color="auto"/>
              <w:right w:val="single" w:sz="4" w:space="0" w:color="auto"/>
            </w:tcBorders>
            <w:shd w:val="clear" w:color="auto" w:fill="auto"/>
            <w:noWrap/>
            <w:vAlign w:val="center"/>
            <w:hideMark/>
          </w:tcPr>
          <w:p w14:paraId="46BB843B" w14:textId="77777777" w:rsidR="005A774C" w:rsidRPr="007C51B8" w:rsidRDefault="005A774C" w:rsidP="002A3038">
            <w:pPr>
              <w:spacing w:after="0" w:line="240" w:lineRule="auto"/>
              <w:jc w:val="center"/>
              <w:rPr>
                <w:rFonts w:ascii="Arial" w:eastAsia="Arial" w:hAnsi="Arial" w:cs="Arial"/>
                <w:color w:val="000000"/>
                <w:sz w:val="23"/>
                <w:szCs w:val="23"/>
              </w:rPr>
            </w:pPr>
            <w:r>
              <w:rPr>
                <w:rFonts w:ascii="Arial" w:hAnsi="Arial"/>
                <w:color w:val="000000"/>
                <w:sz w:val="23"/>
                <w:szCs w:val="23"/>
              </w:rPr>
              <w:t>942,678</w:t>
            </w:r>
          </w:p>
        </w:tc>
      </w:tr>
      <w:tr w:rsidR="005A774C" w:rsidRPr="007C51B8" w14:paraId="46768CD9" w14:textId="77777777" w:rsidTr="00824EBD">
        <w:trPr>
          <w:trHeight w:val="559"/>
          <w:jc w:val="center"/>
        </w:trPr>
        <w:tc>
          <w:tcPr>
            <w:tcW w:w="4315" w:type="dxa"/>
            <w:tcBorders>
              <w:top w:val="nil"/>
              <w:left w:val="single" w:sz="4" w:space="0" w:color="auto"/>
              <w:bottom w:val="single" w:sz="4" w:space="0" w:color="auto"/>
              <w:right w:val="single" w:sz="4" w:space="0" w:color="auto"/>
            </w:tcBorders>
            <w:shd w:val="clear" w:color="auto" w:fill="auto"/>
            <w:vAlign w:val="center"/>
          </w:tcPr>
          <w:p w14:paraId="22152746" w14:textId="77777777" w:rsidR="005A774C" w:rsidRPr="008A1F06" w:rsidRDefault="005A774C" w:rsidP="002A3038">
            <w:pPr>
              <w:spacing w:after="0" w:line="240" w:lineRule="auto"/>
              <w:rPr>
                <w:rFonts w:ascii="Arial" w:eastAsia="Arial" w:hAnsi="Arial" w:cs="Arial"/>
                <w:bCs/>
                <w:color w:val="000000"/>
                <w:sz w:val="23"/>
                <w:szCs w:val="23"/>
              </w:rPr>
            </w:pPr>
            <w:r>
              <w:rPr>
                <w:rFonts w:ascii="Arial" w:hAnsi="Arial"/>
                <w:color w:val="000000"/>
                <w:sz w:val="23"/>
                <w:szCs w:val="23"/>
              </w:rPr>
              <w:t xml:space="preserve">شركة أجروبال للاستثمارات </w:t>
            </w:r>
          </w:p>
        </w:tc>
        <w:tc>
          <w:tcPr>
            <w:tcW w:w="2250" w:type="dxa"/>
            <w:tcBorders>
              <w:top w:val="nil"/>
              <w:left w:val="nil"/>
              <w:bottom w:val="single" w:sz="4" w:space="0" w:color="auto"/>
              <w:right w:val="single" w:sz="4" w:space="0" w:color="auto"/>
            </w:tcBorders>
            <w:shd w:val="clear" w:color="auto" w:fill="auto"/>
            <w:noWrap/>
            <w:vAlign w:val="center"/>
          </w:tcPr>
          <w:p w14:paraId="209069D8"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الضفة الغربية وقطاع غزة</w:t>
            </w:r>
          </w:p>
        </w:tc>
        <w:tc>
          <w:tcPr>
            <w:tcW w:w="1890" w:type="dxa"/>
            <w:tcBorders>
              <w:top w:val="nil"/>
              <w:left w:val="nil"/>
              <w:bottom w:val="single" w:sz="4" w:space="0" w:color="auto"/>
              <w:right w:val="single" w:sz="4" w:space="0" w:color="auto"/>
            </w:tcBorders>
            <w:shd w:val="clear" w:color="auto" w:fill="auto"/>
            <w:noWrap/>
            <w:vAlign w:val="center"/>
          </w:tcPr>
          <w:p w14:paraId="5F394CE6"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الصناعات التحويلية</w:t>
            </w:r>
          </w:p>
        </w:tc>
        <w:tc>
          <w:tcPr>
            <w:tcW w:w="2340" w:type="dxa"/>
            <w:tcBorders>
              <w:top w:val="nil"/>
              <w:left w:val="nil"/>
              <w:bottom w:val="single" w:sz="4" w:space="0" w:color="auto"/>
              <w:right w:val="single" w:sz="4" w:space="0" w:color="auto"/>
            </w:tcBorders>
            <w:shd w:val="clear" w:color="auto" w:fill="auto"/>
            <w:noWrap/>
            <w:vAlign w:val="center"/>
          </w:tcPr>
          <w:p w14:paraId="3447EDB2" w14:textId="77777777" w:rsidR="005A774C" w:rsidRPr="008A1F06" w:rsidRDefault="005A774C" w:rsidP="002A3038">
            <w:pPr>
              <w:spacing w:after="0" w:line="240" w:lineRule="auto"/>
              <w:jc w:val="center"/>
              <w:rPr>
                <w:rFonts w:ascii="Arial" w:eastAsia="Arial" w:hAnsi="Arial" w:cs="Arial"/>
                <w:bCs/>
                <w:color w:val="000000"/>
                <w:sz w:val="23"/>
                <w:szCs w:val="23"/>
              </w:rPr>
            </w:pPr>
            <w:r>
              <w:rPr>
                <w:rFonts w:ascii="Arial" w:hAnsi="Arial"/>
                <w:color w:val="000000"/>
                <w:sz w:val="23"/>
                <w:szCs w:val="23"/>
              </w:rPr>
              <w:t>801,276</w:t>
            </w:r>
          </w:p>
        </w:tc>
      </w:tr>
      <w:tr w:rsidR="005A774C" w:rsidRPr="007C51B8" w14:paraId="7587533A" w14:textId="77777777" w:rsidTr="00824EBD">
        <w:trPr>
          <w:trHeight w:val="559"/>
          <w:jc w:val="center"/>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D0629BD" w14:textId="77777777" w:rsidR="005A774C" w:rsidRPr="007C51B8" w:rsidRDefault="005A774C" w:rsidP="002A3038">
            <w:pPr>
              <w:spacing w:after="0" w:line="240" w:lineRule="auto"/>
              <w:rPr>
                <w:rFonts w:ascii="Arial" w:eastAsia="Arial" w:hAnsi="Arial" w:cs="Arial"/>
                <w:b/>
                <w:bCs/>
                <w:color w:val="000000"/>
                <w:sz w:val="23"/>
                <w:szCs w:val="23"/>
              </w:rPr>
            </w:pPr>
            <w:r>
              <w:rPr>
                <w:rFonts w:ascii="Arial" w:hAnsi="Arial"/>
                <w:b/>
                <w:bCs/>
                <w:color w:val="000000"/>
                <w:sz w:val="23"/>
                <w:szCs w:val="23"/>
              </w:rPr>
              <w:t>الإجمالي</w:t>
            </w:r>
          </w:p>
        </w:tc>
        <w:tc>
          <w:tcPr>
            <w:tcW w:w="2250" w:type="dxa"/>
            <w:tcBorders>
              <w:top w:val="nil"/>
              <w:left w:val="nil"/>
              <w:bottom w:val="single" w:sz="4" w:space="0" w:color="auto"/>
              <w:right w:val="single" w:sz="4" w:space="0" w:color="auto"/>
            </w:tcBorders>
            <w:shd w:val="clear" w:color="auto" w:fill="auto"/>
            <w:noWrap/>
            <w:vAlign w:val="center"/>
            <w:hideMark/>
          </w:tcPr>
          <w:p w14:paraId="007C0763"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 </w:t>
            </w:r>
          </w:p>
        </w:tc>
        <w:tc>
          <w:tcPr>
            <w:tcW w:w="1890" w:type="dxa"/>
            <w:tcBorders>
              <w:top w:val="nil"/>
              <w:left w:val="nil"/>
              <w:bottom w:val="single" w:sz="4" w:space="0" w:color="auto"/>
              <w:right w:val="single" w:sz="4" w:space="0" w:color="auto"/>
            </w:tcBorders>
            <w:shd w:val="clear" w:color="auto" w:fill="auto"/>
            <w:noWrap/>
            <w:vAlign w:val="center"/>
            <w:hideMark/>
          </w:tcPr>
          <w:p w14:paraId="31341EA2" w14:textId="77777777" w:rsidR="005A774C" w:rsidRPr="007C51B8" w:rsidRDefault="005A774C" w:rsidP="002A3038">
            <w:pPr>
              <w:spacing w:after="0" w:line="240" w:lineRule="auto"/>
              <w:rPr>
                <w:rFonts w:ascii="Arial" w:eastAsia="Arial" w:hAnsi="Arial" w:cs="Arial"/>
                <w:color w:val="000000"/>
                <w:sz w:val="23"/>
                <w:szCs w:val="23"/>
              </w:rPr>
            </w:pPr>
            <w:r>
              <w:rPr>
                <w:rFonts w:ascii="Arial" w:hAnsi="Arial"/>
                <w:color w:val="000000"/>
                <w:sz w:val="23"/>
                <w:szCs w:val="23"/>
              </w:rPr>
              <w:t> </w:t>
            </w:r>
          </w:p>
        </w:tc>
        <w:tc>
          <w:tcPr>
            <w:tcW w:w="2340" w:type="dxa"/>
            <w:tcBorders>
              <w:top w:val="nil"/>
              <w:left w:val="nil"/>
              <w:bottom w:val="single" w:sz="4" w:space="0" w:color="auto"/>
              <w:right w:val="single" w:sz="4" w:space="0" w:color="auto"/>
            </w:tcBorders>
            <w:shd w:val="clear" w:color="auto" w:fill="auto"/>
            <w:noWrap/>
            <w:vAlign w:val="center"/>
            <w:hideMark/>
          </w:tcPr>
          <w:p w14:paraId="3787F323" w14:textId="77777777" w:rsidR="005A774C" w:rsidRPr="007C51B8" w:rsidRDefault="005A774C" w:rsidP="002A3038">
            <w:pPr>
              <w:spacing w:after="0" w:line="240" w:lineRule="auto"/>
              <w:jc w:val="center"/>
              <w:rPr>
                <w:rFonts w:ascii="Arial" w:eastAsia="Arial" w:hAnsi="Arial" w:cs="Arial"/>
                <w:b/>
                <w:bCs/>
                <w:color w:val="000000"/>
                <w:sz w:val="23"/>
                <w:szCs w:val="23"/>
              </w:rPr>
            </w:pPr>
            <w:r>
              <w:rPr>
                <w:rFonts w:ascii="Arial" w:hAnsi="Arial"/>
                <w:b/>
                <w:bCs/>
                <w:color w:val="000000"/>
                <w:sz w:val="23"/>
                <w:szCs w:val="23"/>
              </w:rPr>
              <w:t>21,458,167</w:t>
            </w:r>
          </w:p>
        </w:tc>
      </w:tr>
    </w:tbl>
    <w:p w14:paraId="6390C191" w14:textId="77777777" w:rsidR="00D14206" w:rsidRDefault="00D14206" w:rsidP="00824EBD">
      <w:pPr>
        <w:rPr>
          <w:rFonts w:cs="Times New Roman"/>
          <w:bCs/>
        </w:rPr>
      </w:pPr>
    </w:p>
    <w:sectPr w:rsidR="00D14206" w:rsidSect="0090657C">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F9849" w14:textId="77777777" w:rsidR="00205E55" w:rsidRDefault="00205E55" w:rsidP="00177415">
      <w:pPr>
        <w:spacing w:after="0" w:line="240" w:lineRule="auto"/>
      </w:pPr>
      <w:r>
        <w:separator/>
      </w:r>
    </w:p>
  </w:endnote>
  <w:endnote w:type="continuationSeparator" w:id="0">
    <w:p w14:paraId="3901D999" w14:textId="77777777" w:rsidR="00205E55" w:rsidRDefault="00205E55" w:rsidP="0017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08F2" w14:textId="77777777" w:rsidR="00205E55" w:rsidRDefault="00205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591526"/>
      <w:docPartObj>
        <w:docPartGallery w:val="Page Numbers (Bottom of Page)"/>
        <w:docPartUnique/>
      </w:docPartObj>
    </w:sdtPr>
    <w:sdtEndPr>
      <w:rPr>
        <w:noProof/>
      </w:rPr>
    </w:sdtEndPr>
    <w:sdtContent>
      <w:p w14:paraId="510DB1F6" w14:textId="77777777" w:rsidR="00205E55" w:rsidRDefault="00205E55">
        <w:pPr>
          <w:pStyle w:val="Footer"/>
          <w:jc w:val="center"/>
        </w:pPr>
        <w:r>
          <w:fldChar w:fldCharType="begin"/>
        </w:r>
        <w:r>
          <w:instrText xml:space="preserve"> </w:instrText>
        </w:r>
        <w:r>
          <w:rPr>
            <w:rtl w:val="0"/>
          </w:rPr>
          <w:instrText>PAGE   \* MERGEFORMAT</w:instrText>
        </w:r>
        <w:r>
          <w:instrText xml:space="preserve"> </w:instrText>
        </w:r>
        <w:r>
          <w:fldChar w:fldCharType="separate"/>
        </w:r>
        <w:r>
          <w:rPr>
            <w:noProof/>
          </w:rPr>
          <w:t>2</w:t>
        </w:r>
        <w:r>
          <w:rPr>
            <w:noProof/>
          </w:rPr>
          <w:fldChar w:fldCharType="end"/>
        </w:r>
      </w:p>
    </w:sdtContent>
  </w:sdt>
  <w:p w14:paraId="15710C4D" w14:textId="77777777" w:rsidR="00205E55" w:rsidRDefault="00205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ECD1" w14:textId="77777777" w:rsidR="00205E55" w:rsidRDefault="00205E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CE09" w14:textId="77777777" w:rsidR="00205E55" w:rsidRDefault="00205E55">
    <w:pPr>
      <w:pStyle w:val="Footer"/>
      <w:jc w:val="center"/>
    </w:pPr>
  </w:p>
  <w:p w14:paraId="7E491817" w14:textId="77777777" w:rsidR="00205E55" w:rsidRDefault="00205E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66258"/>
      <w:docPartObj>
        <w:docPartGallery w:val="Page Numbers (Bottom of Page)"/>
        <w:docPartUnique/>
      </w:docPartObj>
    </w:sdtPr>
    <w:sdtEndPr>
      <w:rPr>
        <w:noProof/>
      </w:rPr>
    </w:sdtEndPr>
    <w:sdtContent>
      <w:p w14:paraId="4270B171" w14:textId="639DADAF" w:rsidR="00205E55" w:rsidRDefault="00205E55">
        <w:pPr>
          <w:pStyle w:val="Footer"/>
          <w:jc w:val="center"/>
        </w:pPr>
        <w:r>
          <w:fldChar w:fldCharType="begin"/>
        </w:r>
        <w:r>
          <w:instrText xml:space="preserve"> PAGE   \* MERGEFORMAT </w:instrText>
        </w:r>
        <w:r>
          <w:fldChar w:fldCharType="separate"/>
        </w:r>
        <w:r w:rsidR="00054D28" w:rsidRPr="00054D28">
          <w:rPr>
            <w:rFonts w:ascii="Times New Roman" w:hAnsi="Times New Roman" w:cs="Times New Roman"/>
            <w:noProof/>
            <w:rtl w:val="0"/>
          </w:rPr>
          <w:t>ii</w:t>
        </w:r>
        <w:r>
          <w:rPr>
            <w:rFonts w:ascii="Times New Roman" w:hAnsi="Times New Roman" w:cs="Times New Roman"/>
            <w:noProof/>
          </w:rPr>
          <w:fldChar w:fldCharType="end"/>
        </w:r>
      </w:p>
    </w:sdtContent>
  </w:sdt>
  <w:p w14:paraId="78541822" w14:textId="77777777" w:rsidR="00205E55" w:rsidRDefault="00205E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6257"/>
      <w:docPartObj>
        <w:docPartGallery w:val="Page Numbers (Bottom of Page)"/>
        <w:docPartUnique/>
      </w:docPartObj>
    </w:sdtPr>
    <w:sdtEndPr>
      <w:rPr>
        <w:rFonts w:ascii="Times New Roman" w:hAnsi="Times New Roman" w:cs="Times New Roman"/>
        <w:noProof/>
      </w:rPr>
    </w:sdtEndPr>
    <w:sdtContent>
      <w:p w14:paraId="67269BC5" w14:textId="4B34B45F" w:rsidR="00205E55" w:rsidRPr="002D1F8A" w:rsidRDefault="00205E55">
        <w:pPr>
          <w:pStyle w:val="Footer"/>
          <w:jc w:val="center"/>
          <w:rPr>
            <w:rFonts w:ascii="Arial" w:hAnsi="Arial" w:cs="Arial"/>
          </w:rPr>
        </w:pPr>
        <w:r>
          <w:fldChar w:fldCharType="begin"/>
        </w:r>
        <w:r>
          <w:instrText xml:space="preserve"> PAGE   \* MERGEFORMAT </w:instrText>
        </w:r>
        <w:r>
          <w:fldChar w:fldCharType="separate"/>
        </w:r>
        <w:r w:rsidR="00054D28" w:rsidRPr="00054D28">
          <w:rPr>
            <w:rFonts w:ascii="Times New Roman" w:hAnsi="Times New Roman" w:cs="Times New Roman"/>
            <w:noProof/>
          </w:rPr>
          <w:t>32</w:t>
        </w:r>
        <w:r>
          <w:rPr>
            <w:rFonts w:ascii="Times New Roman" w:hAnsi="Times New Roman" w:cs="Times New Roman"/>
            <w:noProof/>
          </w:rPr>
          <w:fldChar w:fldCharType="end"/>
        </w:r>
      </w:p>
    </w:sdtContent>
  </w:sdt>
  <w:p w14:paraId="4F32CF60" w14:textId="77777777" w:rsidR="00205E55" w:rsidRDefault="00205E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3310"/>
      <w:docPartObj>
        <w:docPartGallery w:val="Page Numbers (Bottom of Page)"/>
        <w:docPartUnique/>
      </w:docPartObj>
    </w:sdtPr>
    <w:sdtEndPr>
      <w:rPr>
        <w:rFonts w:ascii="Times New Roman" w:hAnsi="Times New Roman" w:cs="Times New Roman"/>
        <w:noProof/>
      </w:rPr>
    </w:sdtEndPr>
    <w:sdtContent>
      <w:p w14:paraId="271CB4F7" w14:textId="21240EA4" w:rsidR="00205E55" w:rsidRPr="002D1F8A" w:rsidRDefault="00205E55">
        <w:pPr>
          <w:pStyle w:val="Footer"/>
          <w:jc w:val="center"/>
          <w:rPr>
            <w:rFonts w:ascii="Arial" w:hAnsi="Arial" w:cs="Arial"/>
          </w:rPr>
        </w:pPr>
        <w:r>
          <w:fldChar w:fldCharType="begin"/>
        </w:r>
        <w:r>
          <w:instrText xml:space="preserve"> PAGE   \* MERGEFORMAT </w:instrText>
        </w:r>
        <w:r>
          <w:fldChar w:fldCharType="separate"/>
        </w:r>
        <w:r w:rsidR="00054D28" w:rsidRPr="00054D28">
          <w:rPr>
            <w:rFonts w:ascii="Times New Roman" w:hAnsi="Times New Roman" w:cs="Times New Roman"/>
            <w:noProof/>
          </w:rPr>
          <w:t>36</w:t>
        </w:r>
        <w:r>
          <w:rPr>
            <w:rFonts w:ascii="Times New Roman" w:hAnsi="Times New Roman" w:cs="Times New Roman"/>
            <w:noProof/>
          </w:rPr>
          <w:fldChar w:fldCharType="end"/>
        </w:r>
      </w:p>
    </w:sdtContent>
  </w:sdt>
  <w:p w14:paraId="13573788" w14:textId="77777777" w:rsidR="00205E55" w:rsidRDefault="0020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210B" w14:textId="77777777" w:rsidR="00205E55" w:rsidRDefault="00205E55" w:rsidP="00177415">
      <w:pPr>
        <w:spacing w:after="0" w:line="240" w:lineRule="auto"/>
      </w:pPr>
      <w:r>
        <w:separator/>
      </w:r>
    </w:p>
  </w:footnote>
  <w:footnote w:type="continuationSeparator" w:id="0">
    <w:p w14:paraId="7DD26528" w14:textId="77777777" w:rsidR="00205E55" w:rsidRDefault="00205E55" w:rsidP="00177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84C3" w14:textId="77777777" w:rsidR="00205E55" w:rsidRDefault="00205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9578" w14:textId="77777777" w:rsidR="00205E55" w:rsidRDefault="00205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A7AE" w14:textId="77777777" w:rsidR="00205E55" w:rsidRDefault="00205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408"/>
    <w:multiLevelType w:val="hybridMultilevel"/>
    <w:tmpl w:val="CE8C6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B616F"/>
    <w:multiLevelType w:val="hybridMultilevel"/>
    <w:tmpl w:val="616A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E5CAC"/>
    <w:multiLevelType w:val="hybridMultilevel"/>
    <w:tmpl w:val="8B5E3792"/>
    <w:lvl w:ilvl="0" w:tplc="58D206A0">
      <w:start w:val="1"/>
      <w:numFmt w:val="decimal"/>
      <w:lvlText w:val="%1."/>
      <w:lvlJc w:val="left"/>
      <w:pPr>
        <w:ind w:left="0" w:firstLine="0"/>
      </w:pPr>
      <w:rPr>
        <w:rFonts w:ascii="Times New Roman" w:hAnsi="Times New Roman" w:hint="default"/>
        <w:b w:val="0"/>
        <w:bCs/>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153"/>
    <w:multiLevelType w:val="hybridMultilevel"/>
    <w:tmpl w:val="653AD35A"/>
    <w:lvl w:ilvl="0" w:tplc="04090015">
      <w:start w:val="1"/>
      <w:numFmt w:val="upperLetter"/>
      <w:lvlText w:val="%1."/>
      <w:lvlJc w:val="left"/>
      <w:pPr>
        <w:ind w:left="720" w:hanging="360"/>
      </w:pPr>
    </w:lvl>
    <w:lvl w:ilvl="1" w:tplc="C0643172">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D4E99"/>
    <w:multiLevelType w:val="hybridMultilevel"/>
    <w:tmpl w:val="B9E0396C"/>
    <w:lvl w:ilvl="0" w:tplc="04489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36ED9"/>
    <w:multiLevelType w:val="hybridMultilevel"/>
    <w:tmpl w:val="3C54E706"/>
    <w:lvl w:ilvl="0" w:tplc="8A34680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076A94"/>
    <w:multiLevelType w:val="multilevel"/>
    <w:tmpl w:val="D7AA3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B53D18"/>
    <w:multiLevelType w:val="hybridMultilevel"/>
    <w:tmpl w:val="3A1EF7D6"/>
    <w:lvl w:ilvl="0" w:tplc="ED58D52A">
      <w:start w:val="1"/>
      <w:numFmt w:val="decimal"/>
      <w:lvlText w:val="%1."/>
      <w:lvlJc w:val="left"/>
      <w:pPr>
        <w:ind w:left="0" w:firstLine="0"/>
      </w:pPr>
      <w:rPr>
        <w:rFonts w:ascii="Times New Roman" w:hAnsi="Times New Roman"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F3156"/>
    <w:multiLevelType w:val="hybridMultilevel"/>
    <w:tmpl w:val="C6FEA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A7439"/>
    <w:multiLevelType w:val="hybridMultilevel"/>
    <w:tmpl w:val="13A63052"/>
    <w:lvl w:ilvl="0" w:tplc="8176EBE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E1DD9"/>
    <w:multiLevelType w:val="hybridMultilevel"/>
    <w:tmpl w:val="9314C94E"/>
    <w:lvl w:ilvl="0" w:tplc="8A0447D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57132"/>
    <w:multiLevelType w:val="hybridMultilevel"/>
    <w:tmpl w:val="145E9D38"/>
    <w:lvl w:ilvl="0" w:tplc="3390A882">
      <w:start w:val="32"/>
      <w:numFmt w:val="decimal"/>
      <w:lvlText w:val="%1."/>
      <w:lvlJc w:val="left"/>
      <w:pPr>
        <w:ind w:left="0" w:firstLine="0"/>
      </w:pPr>
      <w:rPr>
        <w:rFonts w:ascii="Times New Roman" w:hAnsi="Times New Roman" w:hint="default"/>
        <w:b w:val="0"/>
        <w:bCs/>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26A9C"/>
    <w:multiLevelType w:val="hybridMultilevel"/>
    <w:tmpl w:val="9334AEE6"/>
    <w:lvl w:ilvl="0" w:tplc="38E05ECA">
      <w:start w:val="1"/>
      <w:numFmt w:val="arabicAbjad"/>
      <w:lvlText w:val="(%1)"/>
      <w:lvlJc w:val="left"/>
      <w:pPr>
        <w:ind w:left="0" w:firstLine="0"/>
      </w:pPr>
      <w:rPr>
        <w:rFonts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32EEC"/>
    <w:multiLevelType w:val="hybridMultilevel"/>
    <w:tmpl w:val="13B682AE"/>
    <w:lvl w:ilvl="0" w:tplc="02E8FE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7A6162"/>
    <w:multiLevelType w:val="hybridMultilevel"/>
    <w:tmpl w:val="5E9CEA62"/>
    <w:lvl w:ilvl="0" w:tplc="D07486C4">
      <w:start w:val="33"/>
      <w:numFmt w:val="decimal"/>
      <w:lvlText w:val="%1."/>
      <w:lvlJc w:val="left"/>
      <w:pPr>
        <w:ind w:left="0" w:firstLine="0"/>
      </w:pPr>
      <w:rPr>
        <w:rFonts w:ascii="Times New Roman" w:hAnsi="Times New Roman"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474DF"/>
    <w:multiLevelType w:val="hybridMultilevel"/>
    <w:tmpl w:val="A0CC5704"/>
    <w:lvl w:ilvl="0" w:tplc="ED58D52A">
      <w:start w:val="1"/>
      <w:numFmt w:val="decimal"/>
      <w:lvlText w:val="%1."/>
      <w:lvlJc w:val="left"/>
      <w:pPr>
        <w:ind w:left="0" w:firstLine="0"/>
      </w:pPr>
      <w:rPr>
        <w:rFonts w:ascii="Times New Roman" w:hAnsi="Times New Roman"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721C1"/>
    <w:multiLevelType w:val="hybridMultilevel"/>
    <w:tmpl w:val="453EE822"/>
    <w:lvl w:ilvl="0" w:tplc="720EEA0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F2EF5"/>
    <w:multiLevelType w:val="hybridMultilevel"/>
    <w:tmpl w:val="44608EA0"/>
    <w:lvl w:ilvl="0" w:tplc="04489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B52B0E"/>
    <w:multiLevelType w:val="hybridMultilevel"/>
    <w:tmpl w:val="E3060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01D79"/>
    <w:multiLevelType w:val="hybridMultilevel"/>
    <w:tmpl w:val="25524092"/>
    <w:lvl w:ilvl="0" w:tplc="942C013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31015"/>
    <w:multiLevelType w:val="hybridMultilevel"/>
    <w:tmpl w:val="EA847DC8"/>
    <w:lvl w:ilvl="0" w:tplc="029C584A">
      <w:start w:val="1"/>
      <w:numFmt w:val="bullet"/>
      <w:lvlText w:val=""/>
      <w:lvlJc w:val="left"/>
      <w:pPr>
        <w:ind w:left="0" w:firstLine="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D5729"/>
    <w:multiLevelType w:val="hybridMultilevel"/>
    <w:tmpl w:val="DF009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F0A47"/>
    <w:multiLevelType w:val="hybridMultilevel"/>
    <w:tmpl w:val="FF285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3136C"/>
    <w:multiLevelType w:val="hybridMultilevel"/>
    <w:tmpl w:val="60481BE4"/>
    <w:lvl w:ilvl="0" w:tplc="04489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5017C9"/>
    <w:multiLevelType w:val="hybridMultilevel"/>
    <w:tmpl w:val="21A8A02E"/>
    <w:lvl w:ilvl="0" w:tplc="04489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5"/>
  </w:num>
  <w:num w:numId="4">
    <w:abstractNumId w:val="16"/>
  </w:num>
  <w:num w:numId="5">
    <w:abstractNumId w:val="3"/>
  </w:num>
  <w:num w:numId="6">
    <w:abstractNumId w:val="15"/>
  </w:num>
  <w:num w:numId="7">
    <w:abstractNumId w:val="9"/>
  </w:num>
  <w:num w:numId="8">
    <w:abstractNumId w:val="19"/>
  </w:num>
  <w:num w:numId="9">
    <w:abstractNumId w:val="20"/>
  </w:num>
  <w:num w:numId="10">
    <w:abstractNumId w:val="1"/>
  </w:num>
  <w:num w:numId="11">
    <w:abstractNumId w:val="17"/>
  </w:num>
  <w:num w:numId="12">
    <w:abstractNumId w:val="2"/>
  </w:num>
  <w:num w:numId="13">
    <w:abstractNumId w:val="11"/>
  </w:num>
  <w:num w:numId="14">
    <w:abstractNumId w:val="7"/>
  </w:num>
  <w:num w:numId="15">
    <w:abstractNumId w:val="14"/>
  </w:num>
  <w:num w:numId="16">
    <w:abstractNumId w:val="4"/>
  </w:num>
  <w:num w:numId="17">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8"/>
  </w:num>
  <w:num w:numId="2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D2"/>
    <w:rsid w:val="000002E3"/>
    <w:rsid w:val="00003C90"/>
    <w:rsid w:val="00006596"/>
    <w:rsid w:val="00011F6F"/>
    <w:rsid w:val="0001269B"/>
    <w:rsid w:val="00014CF7"/>
    <w:rsid w:val="000151FE"/>
    <w:rsid w:val="00015C83"/>
    <w:rsid w:val="000161FA"/>
    <w:rsid w:val="00016AA6"/>
    <w:rsid w:val="00016FE7"/>
    <w:rsid w:val="0001797C"/>
    <w:rsid w:val="00017FB6"/>
    <w:rsid w:val="000205A8"/>
    <w:rsid w:val="00020657"/>
    <w:rsid w:val="00020A9D"/>
    <w:rsid w:val="000212EA"/>
    <w:rsid w:val="000227BD"/>
    <w:rsid w:val="00022F13"/>
    <w:rsid w:val="00026B6F"/>
    <w:rsid w:val="000276C7"/>
    <w:rsid w:val="00027936"/>
    <w:rsid w:val="0003130B"/>
    <w:rsid w:val="00031CFB"/>
    <w:rsid w:val="000323E0"/>
    <w:rsid w:val="00032966"/>
    <w:rsid w:val="00032AFD"/>
    <w:rsid w:val="000335DE"/>
    <w:rsid w:val="00033F47"/>
    <w:rsid w:val="0003491D"/>
    <w:rsid w:val="00034A5F"/>
    <w:rsid w:val="00037CDD"/>
    <w:rsid w:val="00040C62"/>
    <w:rsid w:val="0004112C"/>
    <w:rsid w:val="00043A7F"/>
    <w:rsid w:val="0004445D"/>
    <w:rsid w:val="0004488F"/>
    <w:rsid w:val="00044D7C"/>
    <w:rsid w:val="00045DBC"/>
    <w:rsid w:val="00046A5D"/>
    <w:rsid w:val="00050375"/>
    <w:rsid w:val="00050558"/>
    <w:rsid w:val="0005180A"/>
    <w:rsid w:val="0005277E"/>
    <w:rsid w:val="00053037"/>
    <w:rsid w:val="00053156"/>
    <w:rsid w:val="000539D7"/>
    <w:rsid w:val="00054D28"/>
    <w:rsid w:val="0005690C"/>
    <w:rsid w:val="00056ADE"/>
    <w:rsid w:val="0006298D"/>
    <w:rsid w:val="00062D16"/>
    <w:rsid w:val="000651E4"/>
    <w:rsid w:val="00065273"/>
    <w:rsid w:val="00066ACF"/>
    <w:rsid w:val="00072F1D"/>
    <w:rsid w:val="0007498F"/>
    <w:rsid w:val="00075F45"/>
    <w:rsid w:val="000768FF"/>
    <w:rsid w:val="00076E1A"/>
    <w:rsid w:val="00076F0E"/>
    <w:rsid w:val="00076F73"/>
    <w:rsid w:val="0007797C"/>
    <w:rsid w:val="00080625"/>
    <w:rsid w:val="0008074D"/>
    <w:rsid w:val="00081F7D"/>
    <w:rsid w:val="00082914"/>
    <w:rsid w:val="00086CB7"/>
    <w:rsid w:val="0008737C"/>
    <w:rsid w:val="0009034B"/>
    <w:rsid w:val="00090A92"/>
    <w:rsid w:val="00090DFF"/>
    <w:rsid w:val="0009234C"/>
    <w:rsid w:val="00092727"/>
    <w:rsid w:val="0009316F"/>
    <w:rsid w:val="00093441"/>
    <w:rsid w:val="000934BD"/>
    <w:rsid w:val="0009384E"/>
    <w:rsid w:val="00093A8C"/>
    <w:rsid w:val="000948E3"/>
    <w:rsid w:val="00094AEE"/>
    <w:rsid w:val="00094C29"/>
    <w:rsid w:val="00095B6A"/>
    <w:rsid w:val="000A0869"/>
    <w:rsid w:val="000A233D"/>
    <w:rsid w:val="000A3AD8"/>
    <w:rsid w:val="000A5405"/>
    <w:rsid w:val="000A5E4F"/>
    <w:rsid w:val="000A5EF3"/>
    <w:rsid w:val="000A6DEA"/>
    <w:rsid w:val="000B035A"/>
    <w:rsid w:val="000B20A0"/>
    <w:rsid w:val="000B2225"/>
    <w:rsid w:val="000B50E4"/>
    <w:rsid w:val="000B5338"/>
    <w:rsid w:val="000B5478"/>
    <w:rsid w:val="000B552A"/>
    <w:rsid w:val="000B6A6B"/>
    <w:rsid w:val="000C64F1"/>
    <w:rsid w:val="000C6525"/>
    <w:rsid w:val="000C6D2A"/>
    <w:rsid w:val="000C7859"/>
    <w:rsid w:val="000D0CC9"/>
    <w:rsid w:val="000D1EEE"/>
    <w:rsid w:val="000D4226"/>
    <w:rsid w:val="000D5B60"/>
    <w:rsid w:val="000D7444"/>
    <w:rsid w:val="000E013C"/>
    <w:rsid w:val="000E0358"/>
    <w:rsid w:val="000E0E62"/>
    <w:rsid w:val="000E387F"/>
    <w:rsid w:val="000E3E69"/>
    <w:rsid w:val="000E4166"/>
    <w:rsid w:val="000E44A0"/>
    <w:rsid w:val="000E4D44"/>
    <w:rsid w:val="000E64A9"/>
    <w:rsid w:val="000E65E6"/>
    <w:rsid w:val="000E6E9A"/>
    <w:rsid w:val="000E70B8"/>
    <w:rsid w:val="000E726F"/>
    <w:rsid w:val="000F0AEB"/>
    <w:rsid w:val="000F14CB"/>
    <w:rsid w:val="000F18AF"/>
    <w:rsid w:val="000F1EBB"/>
    <w:rsid w:val="000F33B5"/>
    <w:rsid w:val="000F3CCB"/>
    <w:rsid w:val="000F429C"/>
    <w:rsid w:val="000F4FDB"/>
    <w:rsid w:val="000F50AB"/>
    <w:rsid w:val="000F6E6D"/>
    <w:rsid w:val="000F7442"/>
    <w:rsid w:val="000F7924"/>
    <w:rsid w:val="001005F5"/>
    <w:rsid w:val="00100655"/>
    <w:rsid w:val="00101EAC"/>
    <w:rsid w:val="001023EC"/>
    <w:rsid w:val="00102A8D"/>
    <w:rsid w:val="00103B9B"/>
    <w:rsid w:val="0010487D"/>
    <w:rsid w:val="001050BB"/>
    <w:rsid w:val="001059CA"/>
    <w:rsid w:val="00107344"/>
    <w:rsid w:val="00110101"/>
    <w:rsid w:val="00110BFE"/>
    <w:rsid w:val="00110E92"/>
    <w:rsid w:val="001113AD"/>
    <w:rsid w:val="0011397F"/>
    <w:rsid w:val="00113D85"/>
    <w:rsid w:val="00114096"/>
    <w:rsid w:val="00114979"/>
    <w:rsid w:val="00114C1B"/>
    <w:rsid w:val="0011608A"/>
    <w:rsid w:val="00120D11"/>
    <w:rsid w:val="00123AB4"/>
    <w:rsid w:val="00123C1E"/>
    <w:rsid w:val="0012441F"/>
    <w:rsid w:val="00125741"/>
    <w:rsid w:val="0012738E"/>
    <w:rsid w:val="00127A76"/>
    <w:rsid w:val="00130FD1"/>
    <w:rsid w:val="00132195"/>
    <w:rsid w:val="0013426C"/>
    <w:rsid w:val="00135527"/>
    <w:rsid w:val="00135CD2"/>
    <w:rsid w:val="0013611F"/>
    <w:rsid w:val="001368A9"/>
    <w:rsid w:val="00136A58"/>
    <w:rsid w:val="00136EFA"/>
    <w:rsid w:val="00137AD2"/>
    <w:rsid w:val="0014178E"/>
    <w:rsid w:val="00141E02"/>
    <w:rsid w:val="00142DAE"/>
    <w:rsid w:val="00143893"/>
    <w:rsid w:val="00144611"/>
    <w:rsid w:val="00144DD5"/>
    <w:rsid w:val="00145258"/>
    <w:rsid w:val="001455F5"/>
    <w:rsid w:val="00145A3F"/>
    <w:rsid w:val="00145B20"/>
    <w:rsid w:val="001506E4"/>
    <w:rsid w:val="00150BE4"/>
    <w:rsid w:val="0015162F"/>
    <w:rsid w:val="001522A3"/>
    <w:rsid w:val="001536E7"/>
    <w:rsid w:val="00155C1F"/>
    <w:rsid w:val="00155E92"/>
    <w:rsid w:val="001560DB"/>
    <w:rsid w:val="00157B20"/>
    <w:rsid w:val="00160C28"/>
    <w:rsid w:val="00161DBA"/>
    <w:rsid w:val="001623AC"/>
    <w:rsid w:val="0016247B"/>
    <w:rsid w:val="00162A99"/>
    <w:rsid w:val="00162AD2"/>
    <w:rsid w:val="00164E69"/>
    <w:rsid w:val="00164E73"/>
    <w:rsid w:val="00165E90"/>
    <w:rsid w:val="00165FB2"/>
    <w:rsid w:val="00166140"/>
    <w:rsid w:val="00166C55"/>
    <w:rsid w:val="00167227"/>
    <w:rsid w:val="00167953"/>
    <w:rsid w:val="001705B3"/>
    <w:rsid w:val="0017197F"/>
    <w:rsid w:val="00172361"/>
    <w:rsid w:val="0017424E"/>
    <w:rsid w:val="00175A3D"/>
    <w:rsid w:val="001766AD"/>
    <w:rsid w:val="00176E23"/>
    <w:rsid w:val="00177415"/>
    <w:rsid w:val="001779D8"/>
    <w:rsid w:val="001800D2"/>
    <w:rsid w:val="001802FA"/>
    <w:rsid w:val="001804BA"/>
    <w:rsid w:val="001814FA"/>
    <w:rsid w:val="00181DB2"/>
    <w:rsid w:val="0018204B"/>
    <w:rsid w:val="0018320D"/>
    <w:rsid w:val="00183BD4"/>
    <w:rsid w:val="001854DE"/>
    <w:rsid w:val="0018584E"/>
    <w:rsid w:val="00185AFB"/>
    <w:rsid w:val="00185CA9"/>
    <w:rsid w:val="0018779D"/>
    <w:rsid w:val="00187A7E"/>
    <w:rsid w:val="001900E4"/>
    <w:rsid w:val="00190B72"/>
    <w:rsid w:val="0019125C"/>
    <w:rsid w:val="001913AB"/>
    <w:rsid w:val="00192C35"/>
    <w:rsid w:val="00193146"/>
    <w:rsid w:val="00194EE3"/>
    <w:rsid w:val="00195527"/>
    <w:rsid w:val="001960C7"/>
    <w:rsid w:val="001A0CF8"/>
    <w:rsid w:val="001A220C"/>
    <w:rsid w:val="001A320F"/>
    <w:rsid w:val="001A342F"/>
    <w:rsid w:val="001A4611"/>
    <w:rsid w:val="001A46D0"/>
    <w:rsid w:val="001A5432"/>
    <w:rsid w:val="001A58C4"/>
    <w:rsid w:val="001A58D2"/>
    <w:rsid w:val="001A6808"/>
    <w:rsid w:val="001A6954"/>
    <w:rsid w:val="001A78F8"/>
    <w:rsid w:val="001B3DD7"/>
    <w:rsid w:val="001B4B84"/>
    <w:rsid w:val="001B4C8D"/>
    <w:rsid w:val="001B5155"/>
    <w:rsid w:val="001B66B2"/>
    <w:rsid w:val="001B7897"/>
    <w:rsid w:val="001C20A9"/>
    <w:rsid w:val="001C30F0"/>
    <w:rsid w:val="001C35F7"/>
    <w:rsid w:val="001C3B43"/>
    <w:rsid w:val="001C4B70"/>
    <w:rsid w:val="001D1D78"/>
    <w:rsid w:val="001D3C38"/>
    <w:rsid w:val="001D5827"/>
    <w:rsid w:val="001D6308"/>
    <w:rsid w:val="001E02F6"/>
    <w:rsid w:val="001E3049"/>
    <w:rsid w:val="001E6367"/>
    <w:rsid w:val="001E674B"/>
    <w:rsid w:val="001E684E"/>
    <w:rsid w:val="001E7329"/>
    <w:rsid w:val="001E79ED"/>
    <w:rsid w:val="001E7E52"/>
    <w:rsid w:val="001F1A27"/>
    <w:rsid w:val="001F41D2"/>
    <w:rsid w:val="001F5091"/>
    <w:rsid w:val="001F5D80"/>
    <w:rsid w:val="00201ACE"/>
    <w:rsid w:val="002023F3"/>
    <w:rsid w:val="00202DE3"/>
    <w:rsid w:val="0020589D"/>
    <w:rsid w:val="00205E55"/>
    <w:rsid w:val="00206B35"/>
    <w:rsid w:val="00210067"/>
    <w:rsid w:val="00210A40"/>
    <w:rsid w:val="002111C7"/>
    <w:rsid w:val="00213CDA"/>
    <w:rsid w:val="00213D53"/>
    <w:rsid w:val="002150AB"/>
    <w:rsid w:val="00215918"/>
    <w:rsid w:val="0022107D"/>
    <w:rsid w:val="002217D7"/>
    <w:rsid w:val="00221A30"/>
    <w:rsid w:val="00222342"/>
    <w:rsid w:val="002244D1"/>
    <w:rsid w:val="0022466F"/>
    <w:rsid w:val="00224D57"/>
    <w:rsid w:val="00224E7E"/>
    <w:rsid w:val="00225814"/>
    <w:rsid w:val="0022581A"/>
    <w:rsid w:val="00226BA5"/>
    <w:rsid w:val="00227EF4"/>
    <w:rsid w:val="00227F02"/>
    <w:rsid w:val="002314D5"/>
    <w:rsid w:val="002319B8"/>
    <w:rsid w:val="00232D94"/>
    <w:rsid w:val="00233756"/>
    <w:rsid w:val="00240749"/>
    <w:rsid w:val="00241DDC"/>
    <w:rsid w:val="002421B0"/>
    <w:rsid w:val="00243019"/>
    <w:rsid w:val="0024301D"/>
    <w:rsid w:val="002430A3"/>
    <w:rsid w:val="0024398A"/>
    <w:rsid w:val="0024401F"/>
    <w:rsid w:val="002440F6"/>
    <w:rsid w:val="002455AD"/>
    <w:rsid w:val="002457A5"/>
    <w:rsid w:val="00245F8E"/>
    <w:rsid w:val="0025046F"/>
    <w:rsid w:val="002515DB"/>
    <w:rsid w:val="00252906"/>
    <w:rsid w:val="00253397"/>
    <w:rsid w:val="00253412"/>
    <w:rsid w:val="002548F0"/>
    <w:rsid w:val="00254C90"/>
    <w:rsid w:val="002550C8"/>
    <w:rsid w:val="00255AE6"/>
    <w:rsid w:val="002567B7"/>
    <w:rsid w:val="0025746C"/>
    <w:rsid w:val="00261199"/>
    <w:rsid w:val="00262CC3"/>
    <w:rsid w:val="002635A8"/>
    <w:rsid w:val="002638DB"/>
    <w:rsid w:val="002642D3"/>
    <w:rsid w:val="002651AF"/>
    <w:rsid w:val="00266254"/>
    <w:rsid w:val="00266CF0"/>
    <w:rsid w:val="00266F5C"/>
    <w:rsid w:val="00267384"/>
    <w:rsid w:val="00267B1B"/>
    <w:rsid w:val="002701A9"/>
    <w:rsid w:val="00270A3D"/>
    <w:rsid w:val="00270F77"/>
    <w:rsid w:val="002729D0"/>
    <w:rsid w:val="00272AB7"/>
    <w:rsid w:val="00274FF9"/>
    <w:rsid w:val="002756C9"/>
    <w:rsid w:val="002758A1"/>
    <w:rsid w:val="00275D08"/>
    <w:rsid w:val="00277232"/>
    <w:rsid w:val="002805C3"/>
    <w:rsid w:val="00282EAD"/>
    <w:rsid w:val="002830DB"/>
    <w:rsid w:val="00284EB6"/>
    <w:rsid w:val="002854EA"/>
    <w:rsid w:val="00285581"/>
    <w:rsid w:val="00286815"/>
    <w:rsid w:val="00286D4E"/>
    <w:rsid w:val="0028707B"/>
    <w:rsid w:val="0028724F"/>
    <w:rsid w:val="00287724"/>
    <w:rsid w:val="00290027"/>
    <w:rsid w:val="00290AC0"/>
    <w:rsid w:val="00290C73"/>
    <w:rsid w:val="002914B8"/>
    <w:rsid w:val="00291502"/>
    <w:rsid w:val="00291A95"/>
    <w:rsid w:val="00291B22"/>
    <w:rsid w:val="002944E6"/>
    <w:rsid w:val="00294990"/>
    <w:rsid w:val="00296F4D"/>
    <w:rsid w:val="002A1481"/>
    <w:rsid w:val="002A293A"/>
    <w:rsid w:val="002A3038"/>
    <w:rsid w:val="002A3AC2"/>
    <w:rsid w:val="002A42F0"/>
    <w:rsid w:val="002A6054"/>
    <w:rsid w:val="002A6644"/>
    <w:rsid w:val="002A6663"/>
    <w:rsid w:val="002A6EF3"/>
    <w:rsid w:val="002B0FA0"/>
    <w:rsid w:val="002B1225"/>
    <w:rsid w:val="002B2D7D"/>
    <w:rsid w:val="002B2F4F"/>
    <w:rsid w:val="002B3034"/>
    <w:rsid w:val="002B75EC"/>
    <w:rsid w:val="002B79A1"/>
    <w:rsid w:val="002C104D"/>
    <w:rsid w:val="002C201F"/>
    <w:rsid w:val="002C2094"/>
    <w:rsid w:val="002C3728"/>
    <w:rsid w:val="002C38E0"/>
    <w:rsid w:val="002C4CC0"/>
    <w:rsid w:val="002C5CD6"/>
    <w:rsid w:val="002D0579"/>
    <w:rsid w:val="002D0F53"/>
    <w:rsid w:val="002D0FCB"/>
    <w:rsid w:val="002D1AEB"/>
    <w:rsid w:val="002D1D8F"/>
    <w:rsid w:val="002D1F8A"/>
    <w:rsid w:val="002D2775"/>
    <w:rsid w:val="002D3140"/>
    <w:rsid w:val="002D4377"/>
    <w:rsid w:val="002D5402"/>
    <w:rsid w:val="002D755B"/>
    <w:rsid w:val="002D781C"/>
    <w:rsid w:val="002E16C6"/>
    <w:rsid w:val="002E1765"/>
    <w:rsid w:val="002E2C69"/>
    <w:rsid w:val="002E448C"/>
    <w:rsid w:val="002E477C"/>
    <w:rsid w:val="002E4DC5"/>
    <w:rsid w:val="002E6521"/>
    <w:rsid w:val="002F05ED"/>
    <w:rsid w:val="002F1F1A"/>
    <w:rsid w:val="002F2211"/>
    <w:rsid w:val="002F2A17"/>
    <w:rsid w:val="002F3694"/>
    <w:rsid w:val="002F40DB"/>
    <w:rsid w:val="002F5BE4"/>
    <w:rsid w:val="002F5C21"/>
    <w:rsid w:val="002F6B72"/>
    <w:rsid w:val="002F7CEC"/>
    <w:rsid w:val="002F7DAA"/>
    <w:rsid w:val="0030158E"/>
    <w:rsid w:val="003022F1"/>
    <w:rsid w:val="0030270F"/>
    <w:rsid w:val="00304D00"/>
    <w:rsid w:val="0030625F"/>
    <w:rsid w:val="00306FE8"/>
    <w:rsid w:val="0030738F"/>
    <w:rsid w:val="003111BA"/>
    <w:rsid w:val="00317122"/>
    <w:rsid w:val="0031730D"/>
    <w:rsid w:val="003178D8"/>
    <w:rsid w:val="00321BE9"/>
    <w:rsid w:val="0032333A"/>
    <w:rsid w:val="00323A96"/>
    <w:rsid w:val="0032501A"/>
    <w:rsid w:val="00326CAF"/>
    <w:rsid w:val="0032741E"/>
    <w:rsid w:val="00327F33"/>
    <w:rsid w:val="00330414"/>
    <w:rsid w:val="00330F3D"/>
    <w:rsid w:val="003311F6"/>
    <w:rsid w:val="00331CDC"/>
    <w:rsid w:val="003327A2"/>
    <w:rsid w:val="00332940"/>
    <w:rsid w:val="00332A70"/>
    <w:rsid w:val="00332B5E"/>
    <w:rsid w:val="003358C7"/>
    <w:rsid w:val="00336D1C"/>
    <w:rsid w:val="0034115C"/>
    <w:rsid w:val="00343BF8"/>
    <w:rsid w:val="00343E3E"/>
    <w:rsid w:val="003440D6"/>
    <w:rsid w:val="0034412F"/>
    <w:rsid w:val="00344F38"/>
    <w:rsid w:val="00345AB6"/>
    <w:rsid w:val="003465A5"/>
    <w:rsid w:val="003465F3"/>
    <w:rsid w:val="00346B69"/>
    <w:rsid w:val="00347DA5"/>
    <w:rsid w:val="0035082E"/>
    <w:rsid w:val="00350F3E"/>
    <w:rsid w:val="0035106E"/>
    <w:rsid w:val="00351F46"/>
    <w:rsid w:val="00352EB6"/>
    <w:rsid w:val="003531F4"/>
    <w:rsid w:val="00355FDD"/>
    <w:rsid w:val="00356975"/>
    <w:rsid w:val="0035697E"/>
    <w:rsid w:val="003569BE"/>
    <w:rsid w:val="00356D33"/>
    <w:rsid w:val="00360478"/>
    <w:rsid w:val="003604BD"/>
    <w:rsid w:val="003613C2"/>
    <w:rsid w:val="0036268B"/>
    <w:rsid w:val="00365AEF"/>
    <w:rsid w:val="00365CBA"/>
    <w:rsid w:val="00365CD3"/>
    <w:rsid w:val="00366BCB"/>
    <w:rsid w:val="003676FF"/>
    <w:rsid w:val="00372E6D"/>
    <w:rsid w:val="003737C9"/>
    <w:rsid w:val="003750E1"/>
    <w:rsid w:val="00376899"/>
    <w:rsid w:val="00377E6B"/>
    <w:rsid w:val="00377EC0"/>
    <w:rsid w:val="0038055D"/>
    <w:rsid w:val="0038064C"/>
    <w:rsid w:val="0038108B"/>
    <w:rsid w:val="0038467F"/>
    <w:rsid w:val="003846F0"/>
    <w:rsid w:val="003854CF"/>
    <w:rsid w:val="003859CC"/>
    <w:rsid w:val="00386545"/>
    <w:rsid w:val="00387C03"/>
    <w:rsid w:val="00391D35"/>
    <w:rsid w:val="003921F2"/>
    <w:rsid w:val="00393A40"/>
    <w:rsid w:val="00395187"/>
    <w:rsid w:val="003963C9"/>
    <w:rsid w:val="00397118"/>
    <w:rsid w:val="003A0DC0"/>
    <w:rsid w:val="003A19D5"/>
    <w:rsid w:val="003A1B85"/>
    <w:rsid w:val="003A21D0"/>
    <w:rsid w:val="003A254E"/>
    <w:rsid w:val="003A2B44"/>
    <w:rsid w:val="003A402B"/>
    <w:rsid w:val="003A48E4"/>
    <w:rsid w:val="003A66C6"/>
    <w:rsid w:val="003A7A73"/>
    <w:rsid w:val="003B0016"/>
    <w:rsid w:val="003B27CD"/>
    <w:rsid w:val="003B4D10"/>
    <w:rsid w:val="003B58DC"/>
    <w:rsid w:val="003B74C8"/>
    <w:rsid w:val="003C1D69"/>
    <w:rsid w:val="003C28A3"/>
    <w:rsid w:val="003C31CB"/>
    <w:rsid w:val="003C36FB"/>
    <w:rsid w:val="003C3FFC"/>
    <w:rsid w:val="003C466D"/>
    <w:rsid w:val="003C4B8E"/>
    <w:rsid w:val="003C7674"/>
    <w:rsid w:val="003D0A1B"/>
    <w:rsid w:val="003D0F16"/>
    <w:rsid w:val="003D1EE7"/>
    <w:rsid w:val="003D70F3"/>
    <w:rsid w:val="003D7936"/>
    <w:rsid w:val="003E034D"/>
    <w:rsid w:val="003E0A36"/>
    <w:rsid w:val="003E1F6A"/>
    <w:rsid w:val="003E291C"/>
    <w:rsid w:val="003E5128"/>
    <w:rsid w:val="003E62E4"/>
    <w:rsid w:val="003E6758"/>
    <w:rsid w:val="003E6AEE"/>
    <w:rsid w:val="003E6F4B"/>
    <w:rsid w:val="003E7665"/>
    <w:rsid w:val="003E7EB9"/>
    <w:rsid w:val="003F03FF"/>
    <w:rsid w:val="003F07FD"/>
    <w:rsid w:val="003F0A77"/>
    <w:rsid w:val="003F2D00"/>
    <w:rsid w:val="003F45E9"/>
    <w:rsid w:val="003F48E1"/>
    <w:rsid w:val="003F6545"/>
    <w:rsid w:val="003F66E4"/>
    <w:rsid w:val="003F6B53"/>
    <w:rsid w:val="003F6DB0"/>
    <w:rsid w:val="003F75D2"/>
    <w:rsid w:val="004002F3"/>
    <w:rsid w:val="00400BAF"/>
    <w:rsid w:val="0040108F"/>
    <w:rsid w:val="004014E0"/>
    <w:rsid w:val="00401BD5"/>
    <w:rsid w:val="004025A4"/>
    <w:rsid w:val="004027CE"/>
    <w:rsid w:val="00402B1D"/>
    <w:rsid w:val="0040377A"/>
    <w:rsid w:val="004061C6"/>
    <w:rsid w:val="00406BFA"/>
    <w:rsid w:val="004106DF"/>
    <w:rsid w:val="00410CC9"/>
    <w:rsid w:val="004111EC"/>
    <w:rsid w:val="00411895"/>
    <w:rsid w:val="00411C74"/>
    <w:rsid w:val="00411C80"/>
    <w:rsid w:val="00412198"/>
    <w:rsid w:val="00412EF1"/>
    <w:rsid w:val="0041391D"/>
    <w:rsid w:val="004146AC"/>
    <w:rsid w:val="00416E14"/>
    <w:rsid w:val="004173E1"/>
    <w:rsid w:val="004174D2"/>
    <w:rsid w:val="00420242"/>
    <w:rsid w:val="00420792"/>
    <w:rsid w:val="00422910"/>
    <w:rsid w:val="00423078"/>
    <w:rsid w:val="004254F4"/>
    <w:rsid w:val="00426689"/>
    <w:rsid w:val="0042701F"/>
    <w:rsid w:val="00427A42"/>
    <w:rsid w:val="0043060D"/>
    <w:rsid w:val="0043224D"/>
    <w:rsid w:val="004334D4"/>
    <w:rsid w:val="00434C8F"/>
    <w:rsid w:val="00440144"/>
    <w:rsid w:val="00440162"/>
    <w:rsid w:val="0044077B"/>
    <w:rsid w:val="00440A40"/>
    <w:rsid w:val="00440E61"/>
    <w:rsid w:val="004418EE"/>
    <w:rsid w:val="00441AF0"/>
    <w:rsid w:val="00443EC7"/>
    <w:rsid w:val="00445F47"/>
    <w:rsid w:val="00446516"/>
    <w:rsid w:val="00450002"/>
    <w:rsid w:val="004517E4"/>
    <w:rsid w:val="00451929"/>
    <w:rsid w:val="00452BCB"/>
    <w:rsid w:val="00452CBD"/>
    <w:rsid w:val="00453EA7"/>
    <w:rsid w:val="00454026"/>
    <w:rsid w:val="004547A9"/>
    <w:rsid w:val="004549D8"/>
    <w:rsid w:val="00455046"/>
    <w:rsid w:val="00455132"/>
    <w:rsid w:val="00455BCB"/>
    <w:rsid w:val="00455CCB"/>
    <w:rsid w:val="00455CD6"/>
    <w:rsid w:val="00455D90"/>
    <w:rsid w:val="004565A8"/>
    <w:rsid w:val="00457247"/>
    <w:rsid w:val="004605F0"/>
    <w:rsid w:val="004621FF"/>
    <w:rsid w:val="0046315E"/>
    <w:rsid w:val="004634BE"/>
    <w:rsid w:val="00463525"/>
    <w:rsid w:val="00463834"/>
    <w:rsid w:val="004645CE"/>
    <w:rsid w:val="00464F23"/>
    <w:rsid w:val="00465530"/>
    <w:rsid w:val="0046591C"/>
    <w:rsid w:val="00467A9C"/>
    <w:rsid w:val="00467F2E"/>
    <w:rsid w:val="0047287D"/>
    <w:rsid w:val="00476643"/>
    <w:rsid w:val="00476B43"/>
    <w:rsid w:val="00477EA4"/>
    <w:rsid w:val="004803C3"/>
    <w:rsid w:val="00480FC9"/>
    <w:rsid w:val="004810D1"/>
    <w:rsid w:val="00481292"/>
    <w:rsid w:val="00481FD2"/>
    <w:rsid w:val="00482A25"/>
    <w:rsid w:val="00483204"/>
    <w:rsid w:val="00483F14"/>
    <w:rsid w:val="00484C3A"/>
    <w:rsid w:val="00484EE9"/>
    <w:rsid w:val="004851DB"/>
    <w:rsid w:val="004864B3"/>
    <w:rsid w:val="004877E7"/>
    <w:rsid w:val="00490AA8"/>
    <w:rsid w:val="00492DE9"/>
    <w:rsid w:val="00493F94"/>
    <w:rsid w:val="00495AF9"/>
    <w:rsid w:val="004A044B"/>
    <w:rsid w:val="004A28F8"/>
    <w:rsid w:val="004A2BA2"/>
    <w:rsid w:val="004A4F55"/>
    <w:rsid w:val="004A5053"/>
    <w:rsid w:val="004A579E"/>
    <w:rsid w:val="004A58AF"/>
    <w:rsid w:val="004A5B19"/>
    <w:rsid w:val="004A6423"/>
    <w:rsid w:val="004A6AB9"/>
    <w:rsid w:val="004A6C1B"/>
    <w:rsid w:val="004B002F"/>
    <w:rsid w:val="004B2330"/>
    <w:rsid w:val="004B2B06"/>
    <w:rsid w:val="004B30D6"/>
    <w:rsid w:val="004B30DB"/>
    <w:rsid w:val="004B3136"/>
    <w:rsid w:val="004B3EFB"/>
    <w:rsid w:val="004B4216"/>
    <w:rsid w:val="004B4439"/>
    <w:rsid w:val="004B502B"/>
    <w:rsid w:val="004B5376"/>
    <w:rsid w:val="004B5EB2"/>
    <w:rsid w:val="004B5F21"/>
    <w:rsid w:val="004B63E7"/>
    <w:rsid w:val="004B6F7C"/>
    <w:rsid w:val="004B715B"/>
    <w:rsid w:val="004C0719"/>
    <w:rsid w:val="004C1FAB"/>
    <w:rsid w:val="004C33E4"/>
    <w:rsid w:val="004C4C6C"/>
    <w:rsid w:val="004C61D2"/>
    <w:rsid w:val="004C6B0F"/>
    <w:rsid w:val="004C7544"/>
    <w:rsid w:val="004D0426"/>
    <w:rsid w:val="004D5F87"/>
    <w:rsid w:val="004D5FCD"/>
    <w:rsid w:val="004D70E3"/>
    <w:rsid w:val="004E12CD"/>
    <w:rsid w:val="004E16BD"/>
    <w:rsid w:val="004E1A16"/>
    <w:rsid w:val="004E1DB8"/>
    <w:rsid w:val="004E366C"/>
    <w:rsid w:val="004E6B35"/>
    <w:rsid w:val="004E72BB"/>
    <w:rsid w:val="004E7CA9"/>
    <w:rsid w:val="004F1647"/>
    <w:rsid w:val="004F2A4D"/>
    <w:rsid w:val="004F3499"/>
    <w:rsid w:val="004F72AC"/>
    <w:rsid w:val="004F7469"/>
    <w:rsid w:val="004F7F01"/>
    <w:rsid w:val="00500282"/>
    <w:rsid w:val="00505AA2"/>
    <w:rsid w:val="00510A0E"/>
    <w:rsid w:val="00512059"/>
    <w:rsid w:val="005136AD"/>
    <w:rsid w:val="005138BE"/>
    <w:rsid w:val="00514A0A"/>
    <w:rsid w:val="00514CF2"/>
    <w:rsid w:val="005178CB"/>
    <w:rsid w:val="005200F7"/>
    <w:rsid w:val="00520801"/>
    <w:rsid w:val="00520C5A"/>
    <w:rsid w:val="00520D48"/>
    <w:rsid w:val="0052133A"/>
    <w:rsid w:val="0052291F"/>
    <w:rsid w:val="00522B7B"/>
    <w:rsid w:val="00523BBA"/>
    <w:rsid w:val="00523DCB"/>
    <w:rsid w:val="00524CC4"/>
    <w:rsid w:val="005259EA"/>
    <w:rsid w:val="005272F6"/>
    <w:rsid w:val="00530EDE"/>
    <w:rsid w:val="005316CE"/>
    <w:rsid w:val="00533926"/>
    <w:rsid w:val="005355EA"/>
    <w:rsid w:val="005401EE"/>
    <w:rsid w:val="00542540"/>
    <w:rsid w:val="005439F0"/>
    <w:rsid w:val="00543A23"/>
    <w:rsid w:val="00544700"/>
    <w:rsid w:val="005460FC"/>
    <w:rsid w:val="00546134"/>
    <w:rsid w:val="005466C5"/>
    <w:rsid w:val="00546CA7"/>
    <w:rsid w:val="005507B3"/>
    <w:rsid w:val="005516AA"/>
    <w:rsid w:val="0055262E"/>
    <w:rsid w:val="005548B3"/>
    <w:rsid w:val="0055528D"/>
    <w:rsid w:val="005627A3"/>
    <w:rsid w:val="00562B08"/>
    <w:rsid w:val="005634CF"/>
    <w:rsid w:val="00563AB9"/>
    <w:rsid w:val="005653DF"/>
    <w:rsid w:val="00570F9E"/>
    <w:rsid w:val="0057124D"/>
    <w:rsid w:val="00572039"/>
    <w:rsid w:val="00572795"/>
    <w:rsid w:val="00572F4B"/>
    <w:rsid w:val="00574536"/>
    <w:rsid w:val="00577B6B"/>
    <w:rsid w:val="0058044A"/>
    <w:rsid w:val="00580BA7"/>
    <w:rsid w:val="00581F78"/>
    <w:rsid w:val="00582A06"/>
    <w:rsid w:val="00583F6D"/>
    <w:rsid w:val="00584BBC"/>
    <w:rsid w:val="00586EA8"/>
    <w:rsid w:val="005906DA"/>
    <w:rsid w:val="00592C3E"/>
    <w:rsid w:val="00593149"/>
    <w:rsid w:val="00593DF6"/>
    <w:rsid w:val="00596DCB"/>
    <w:rsid w:val="005977FE"/>
    <w:rsid w:val="00597A3C"/>
    <w:rsid w:val="005A0F87"/>
    <w:rsid w:val="005A2053"/>
    <w:rsid w:val="005A26E6"/>
    <w:rsid w:val="005A5208"/>
    <w:rsid w:val="005A774C"/>
    <w:rsid w:val="005B1ED4"/>
    <w:rsid w:val="005B2DDD"/>
    <w:rsid w:val="005C07E0"/>
    <w:rsid w:val="005C19D6"/>
    <w:rsid w:val="005C1FE9"/>
    <w:rsid w:val="005C3A38"/>
    <w:rsid w:val="005C4CE0"/>
    <w:rsid w:val="005C5177"/>
    <w:rsid w:val="005C5882"/>
    <w:rsid w:val="005C69E1"/>
    <w:rsid w:val="005D010C"/>
    <w:rsid w:val="005D136D"/>
    <w:rsid w:val="005D3970"/>
    <w:rsid w:val="005D42FB"/>
    <w:rsid w:val="005D5B7E"/>
    <w:rsid w:val="005D5CC6"/>
    <w:rsid w:val="005E0757"/>
    <w:rsid w:val="005E42D6"/>
    <w:rsid w:val="005E43A1"/>
    <w:rsid w:val="005E4A9B"/>
    <w:rsid w:val="005E5B58"/>
    <w:rsid w:val="005E6F13"/>
    <w:rsid w:val="005E6FCA"/>
    <w:rsid w:val="005E7680"/>
    <w:rsid w:val="005E7D85"/>
    <w:rsid w:val="005E7F0E"/>
    <w:rsid w:val="005F0D5A"/>
    <w:rsid w:val="005F0F2E"/>
    <w:rsid w:val="005F102C"/>
    <w:rsid w:val="005F31C7"/>
    <w:rsid w:val="005F349D"/>
    <w:rsid w:val="005F50B4"/>
    <w:rsid w:val="005F5674"/>
    <w:rsid w:val="005F59C0"/>
    <w:rsid w:val="00600063"/>
    <w:rsid w:val="006000E6"/>
    <w:rsid w:val="0060053D"/>
    <w:rsid w:val="006018C6"/>
    <w:rsid w:val="0060287C"/>
    <w:rsid w:val="0060287D"/>
    <w:rsid w:val="0060308B"/>
    <w:rsid w:val="0060415B"/>
    <w:rsid w:val="00604216"/>
    <w:rsid w:val="00604D77"/>
    <w:rsid w:val="00605F19"/>
    <w:rsid w:val="006076AD"/>
    <w:rsid w:val="00607F65"/>
    <w:rsid w:val="006111B2"/>
    <w:rsid w:val="006115CD"/>
    <w:rsid w:val="00613216"/>
    <w:rsid w:val="00613625"/>
    <w:rsid w:val="00614BF6"/>
    <w:rsid w:val="006165CA"/>
    <w:rsid w:val="006168EB"/>
    <w:rsid w:val="00616F69"/>
    <w:rsid w:val="00617F86"/>
    <w:rsid w:val="00620C60"/>
    <w:rsid w:val="00622DA8"/>
    <w:rsid w:val="00625729"/>
    <w:rsid w:val="00625EBC"/>
    <w:rsid w:val="006267EB"/>
    <w:rsid w:val="00626C26"/>
    <w:rsid w:val="00631890"/>
    <w:rsid w:val="00632183"/>
    <w:rsid w:val="006347B7"/>
    <w:rsid w:val="006348E8"/>
    <w:rsid w:val="0063513D"/>
    <w:rsid w:val="0063538B"/>
    <w:rsid w:val="0063665B"/>
    <w:rsid w:val="006372ED"/>
    <w:rsid w:val="00637E98"/>
    <w:rsid w:val="006425FC"/>
    <w:rsid w:val="00644EF7"/>
    <w:rsid w:val="00645080"/>
    <w:rsid w:val="00645628"/>
    <w:rsid w:val="0064685C"/>
    <w:rsid w:val="006477B2"/>
    <w:rsid w:val="0065027F"/>
    <w:rsid w:val="00651630"/>
    <w:rsid w:val="00651A17"/>
    <w:rsid w:val="00651FB4"/>
    <w:rsid w:val="00652A63"/>
    <w:rsid w:val="00653777"/>
    <w:rsid w:val="00656850"/>
    <w:rsid w:val="006578E8"/>
    <w:rsid w:val="00661578"/>
    <w:rsid w:val="00661C8C"/>
    <w:rsid w:val="0066200C"/>
    <w:rsid w:val="006625A5"/>
    <w:rsid w:val="006634BD"/>
    <w:rsid w:val="00663BE6"/>
    <w:rsid w:val="00665F41"/>
    <w:rsid w:val="006667ED"/>
    <w:rsid w:val="00667453"/>
    <w:rsid w:val="0067106F"/>
    <w:rsid w:val="00671EA8"/>
    <w:rsid w:val="006727B1"/>
    <w:rsid w:val="00673B31"/>
    <w:rsid w:val="00673BD8"/>
    <w:rsid w:val="00674513"/>
    <w:rsid w:val="00674E63"/>
    <w:rsid w:val="006752FA"/>
    <w:rsid w:val="006760C5"/>
    <w:rsid w:val="0067632E"/>
    <w:rsid w:val="00676528"/>
    <w:rsid w:val="00676B3F"/>
    <w:rsid w:val="00677C01"/>
    <w:rsid w:val="00680E64"/>
    <w:rsid w:val="00681882"/>
    <w:rsid w:val="00681A93"/>
    <w:rsid w:val="00681C4B"/>
    <w:rsid w:val="0068306C"/>
    <w:rsid w:val="00683212"/>
    <w:rsid w:val="0068401B"/>
    <w:rsid w:val="0068681E"/>
    <w:rsid w:val="006868CE"/>
    <w:rsid w:val="00690050"/>
    <w:rsid w:val="00690ADA"/>
    <w:rsid w:val="00692346"/>
    <w:rsid w:val="006931EA"/>
    <w:rsid w:val="00693E4D"/>
    <w:rsid w:val="00695561"/>
    <w:rsid w:val="00695BD7"/>
    <w:rsid w:val="00697C26"/>
    <w:rsid w:val="00697DC2"/>
    <w:rsid w:val="006A0861"/>
    <w:rsid w:val="006A2643"/>
    <w:rsid w:val="006A4FC1"/>
    <w:rsid w:val="006A55FA"/>
    <w:rsid w:val="006A6360"/>
    <w:rsid w:val="006A6DAD"/>
    <w:rsid w:val="006B5400"/>
    <w:rsid w:val="006C0638"/>
    <w:rsid w:val="006C0F0D"/>
    <w:rsid w:val="006C1EB4"/>
    <w:rsid w:val="006C2AF3"/>
    <w:rsid w:val="006C6D6B"/>
    <w:rsid w:val="006C70A6"/>
    <w:rsid w:val="006C7430"/>
    <w:rsid w:val="006D01A8"/>
    <w:rsid w:val="006D0746"/>
    <w:rsid w:val="006D1283"/>
    <w:rsid w:val="006D2229"/>
    <w:rsid w:val="006D37F2"/>
    <w:rsid w:val="006D3C80"/>
    <w:rsid w:val="006D3EAB"/>
    <w:rsid w:val="006D449D"/>
    <w:rsid w:val="006D5DA6"/>
    <w:rsid w:val="006D713B"/>
    <w:rsid w:val="006E0307"/>
    <w:rsid w:val="006E0F49"/>
    <w:rsid w:val="006E18F1"/>
    <w:rsid w:val="006E29CB"/>
    <w:rsid w:val="006E469A"/>
    <w:rsid w:val="006E6758"/>
    <w:rsid w:val="006E710E"/>
    <w:rsid w:val="006F10BF"/>
    <w:rsid w:val="006F10E5"/>
    <w:rsid w:val="006F1B99"/>
    <w:rsid w:val="006F1BA4"/>
    <w:rsid w:val="006F1E20"/>
    <w:rsid w:val="006F3503"/>
    <w:rsid w:val="006F5286"/>
    <w:rsid w:val="006F5DC4"/>
    <w:rsid w:val="006F5DDF"/>
    <w:rsid w:val="006F658F"/>
    <w:rsid w:val="00700636"/>
    <w:rsid w:val="0070066C"/>
    <w:rsid w:val="00702F41"/>
    <w:rsid w:val="007034A8"/>
    <w:rsid w:val="007060F8"/>
    <w:rsid w:val="00707FD2"/>
    <w:rsid w:val="00711BF8"/>
    <w:rsid w:val="007143FE"/>
    <w:rsid w:val="00715B6F"/>
    <w:rsid w:val="00717E74"/>
    <w:rsid w:val="00721DF5"/>
    <w:rsid w:val="007238BC"/>
    <w:rsid w:val="00723A03"/>
    <w:rsid w:val="0072548E"/>
    <w:rsid w:val="0072625C"/>
    <w:rsid w:val="00727D31"/>
    <w:rsid w:val="00730953"/>
    <w:rsid w:val="0073098B"/>
    <w:rsid w:val="00732601"/>
    <w:rsid w:val="007342E9"/>
    <w:rsid w:val="00736624"/>
    <w:rsid w:val="00736B2A"/>
    <w:rsid w:val="00737318"/>
    <w:rsid w:val="007407EB"/>
    <w:rsid w:val="0074170C"/>
    <w:rsid w:val="00743D88"/>
    <w:rsid w:val="0074422F"/>
    <w:rsid w:val="00746267"/>
    <w:rsid w:val="00747D24"/>
    <w:rsid w:val="00753B27"/>
    <w:rsid w:val="00753FCA"/>
    <w:rsid w:val="00754623"/>
    <w:rsid w:val="00755E3E"/>
    <w:rsid w:val="007564A7"/>
    <w:rsid w:val="00760180"/>
    <w:rsid w:val="00760D9F"/>
    <w:rsid w:val="0076330A"/>
    <w:rsid w:val="0076397E"/>
    <w:rsid w:val="00764826"/>
    <w:rsid w:val="007669A3"/>
    <w:rsid w:val="007678B8"/>
    <w:rsid w:val="00771DF9"/>
    <w:rsid w:val="00772783"/>
    <w:rsid w:val="007737B9"/>
    <w:rsid w:val="007762FA"/>
    <w:rsid w:val="0077667A"/>
    <w:rsid w:val="0077688D"/>
    <w:rsid w:val="00776E6F"/>
    <w:rsid w:val="007774C2"/>
    <w:rsid w:val="00777D33"/>
    <w:rsid w:val="00782068"/>
    <w:rsid w:val="007822C6"/>
    <w:rsid w:val="0078408A"/>
    <w:rsid w:val="00784A20"/>
    <w:rsid w:val="007859C1"/>
    <w:rsid w:val="00787ECF"/>
    <w:rsid w:val="007951F6"/>
    <w:rsid w:val="00795E56"/>
    <w:rsid w:val="00796636"/>
    <w:rsid w:val="00797153"/>
    <w:rsid w:val="007A177B"/>
    <w:rsid w:val="007A18DB"/>
    <w:rsid w:val="007A2AA7"/>
    <w:rsid w:val="007A2E55"/>
    <w:rsid w:val="007A33EF"/>
    <w:rsid w:val="007A4A6B"/>
    <w:rsid w:val="007A4B71"/>
    <w:rsid w:val="007A6000"/>
    <w:rsid w:val="007A7B1B"/>
    <w:rsid w:val="007B17BF"/>
    <w:rsid w:val="007B2F48"/>
    <w:rsid w:val="007B3554"/>
    <w:rsid w:val="007B3AB3"/>
    <w:rsid w:val="007B3AED"/>
    <w:rsid w:val="007B3C4A"/>
    <w:rsid w:val="007B5E97"/>
    <w:rsid w:val="007B7081"/>
    <w:rsid w:val="007B78B8"/>
    <w:rsid w:val="007C0022"/>
    <w:rsid w:val="007C0C7D"/>
    <w:rsid w:val="007C1D5B"/>
    <w:rsid w:val="007C2372"/>
    <w:rsid w:val="007C4788"/>
    <w:rsid w:val="007C4D36"/>
    <w:rsid w:val="007C4EBE"/>
    <w:rsid w:val="007C52C9"/>
    <w:rsid w:val="007C5F41"/>
    <w:rsid w:val="007C6328"/>
    <w:rsid w:val="007C6960"/>
    <w:rsid w:val="007D1DA0"/>
    <w:rsid w:val="007D2323"/>
    <w:rsid w:val="007D647C"/>
    <w:rsid w:val="007D78CE"/>
    <w:rsid w:val="007D7CDB"/>
    <w:rsid w:val="007E04ED"/>
    <w:rsid w:val="007E15AF"/>
    <w:rsid w:val="007E1E69"/>
    <w:rsid w:val="007E3AEF"/>
    <w:rsid w:val="007E4A76"/>
    <w:rsid w:val="007E54B2"/>
    <w:rsid w:val="007E6046"/>
    <w:rsid w:val="007E651A"/>
    <w:rsid w:val="007E7C9E"/>
    <w:rsid w:val="007F0ED4"/>
    <w:rsid w:val="007F2F5F"/>
    <w:rsid w:val="007F4182"/>
    <w:rsid w:val="007F4612"/>
    <w:rsid w:val="007F6118"/>
    <w:rsid w:val="007F684B"/>
    <w:rsid w:val="007F7802"/>
    <w:rsid w:val="0080119B"/>
    <w:rsid w:val="008017BB"/>
    <w:rsid w:val="00801BD8"/>
    <w:rsid w:val="00802D79"/>
    <w:rsid w:val="00806A9A"/>
    <w:rsid w:val="00806FBD"/>
    <w:rsid w:val="008132A8"/>
    <w:rsid w:val="0081351B"/>
    <w:rsid w:val="00816952"/>
    <w:rsid w:val="00817ACF"/>
    <w:rsid w:val="00817EB4"/>
    <w:rsid w:val="00820A4A"/>
    <w:rsid w:val="00821657"/>
    <w:rsid w:val="0082172E"/>
    <w:rsid w:val="008218EF"/>
    <w:rsid w:val="00823629"/>
    <w:rsid w:val="00824B4E"/>
    <w:rsid w:val="00824EBD"/>
    <w:rsid w:val="008268D4"/>
    <w:rsid w:val="00827A13"/>
    <w:rsid w:val="0083079E"/>
    <w:rsid w:val="008314C9"/>
    <w:rsid w:val="008318CE"/>
    <w:rsid w:val="00833BA0"/>
    <w:rsid w:val="00833C3A"/>
    <w:rsid w:val="00833E21"/>
    <w:rsid w:val="00833F7A"/>
    <w:rsid w:val="008341FE"/>
    <w:rsid w:val="00836668"/>
    <w:rsid w:val="008368CA"/>
    <w:rsid w:val="00836FC3"/>
    <w:rsid w:val="00837BD4"/>
    <w:rsid w:val="0084070D"/>
    <w:rsid w:val="00841837"/>
    <w:rsid w:val="00841D3D"/>
    <w:rsid w:val="00843722"/>
    <w:rsid w:val="00844093"/>
    <w:rsid w:val="00844300"/>
    <w:rsid w:val="00850E9A"/>
    <w:rsid w:val="0085283D"/>
    <w:rsid w:val="00852FD8"/>
    <w:rsid w:val="008531A0"/>
    <w:rsid w:val="00853ABC"/>
    <w:rsid w:val="0085447B"/>
    <w:rsid w:val="008544EE"/>
    <w:rsid w:val="00856B4E"/>
    <w:rsid w:val="0085794A"/>
    <w:rsid w:val="00857F9C"/>
    <w:rsid w:val="008604EF"/>
    <w:rsid w:val="008630B0"/>
    <w:rsid w:val="00865D98"/>
    <w:rsid w:val="008668E7"/>
    <w:rsid w:val="00867FAF"/>
    <w:rsid w:val="0087061B"/>
    <w:rsid w:val="0087141E"/>
    <w:rsid w:val="00871589"/>
    <w:rsid w:val="0087205C"/>
    <w:rsid w:val="0087296F"/>
    <w:rsid w:val="00873CDC"/>
    <w:rsid w:val="00873EFE"/>
    <w:rsid w:val="00875B20"/>
    <w:rsid w:val="00875D4B"/>
    <w:rsid w:val="00876513"/>
    <w:rsid w:val="00876D2B"/>
    <w:rsid w:val="008770BB"/>
    <w:rsid w:val="00880772"/>
    <w:rsid w:val="00882C18"/>
    <w:rsid w:val="00883A6F"/>
    <w:rsid w:val="00886B67"/>
    <w:rsid w:val="0089028F"/>
    <w:rsid w:val="00890D6F"/>
    <w:rsid w:val="008911DF"/>
    <w:rsid w:val="008918F1"/>
    <w:rsid w:val="008921CF"/>
    <w:rsid w:val="0089224F"/>
    <w:rsid w:val="00892DFA"/>
    <w:rsid w:val="008941D6"/>
    <w:rsid w:val="008A000D"/>
    <w:rsid w:val="008A36A6"/>
    <w:rsid w:val="008A5797"/>
    <w:rsid w:val="008A5E3A"/>
    <w:rsid w:val="008B3E7F"/>
    <w:rsid w:val="008B4EAC"/>
    <w:rsid w:val="008B63C8"/>
    <w:rsid w:val="008C0333"/>
    <w:rsid w:val="008C13D5"/>
    <w:rsid w:val="008C3374"/>
    <w:rsid w:val="008C3D02"/>
    <w:rsid w:val="008C49E1"/>
    <w:rsid w:val="008C5461"/>
    <w:rsid w:val="008D0366"/>
    <w:rsid w:val="008D1176"/>
    <w:rsid w:val="008D2ED3"/>
    <w:rsid w:val="008D4678"/>
    <w:rsid w:val="008D4FE9"/>
    <w:rsid w:val="008D55DD"/>
    <w:rsid w:val="008D6429"/>
    <w:rsid w:val="008D68D2"/>
    <w:rsid w:val="008D7BC9"/>
    <w:rsid w:val="008E26BB"/>
    <w:rsid w:val="008E3D67"/>
    <w:rsid w:val="008E4AC6"/>
    <w:rsid w:val="008E5565"/>
    <w:rsid w:val="008E62A8"/>
    <w:rsid w:val="008E6CAB"/>
    <w:rsid w:val="008E6CB2"/>
    <w:rsid w:val="008F1EF1"/>
    <w:rsid w:val="008F3BA0"/>
    <w:rsid w:val="008F473E"/>
    <w:rsid w:val="008F585B"/>
    <w:rsid w:val="008F67FF"/>
    <w:rsid w:val="008F7E52"/>
    <w:rsid w:val="008F7EF3"/>
    <w:rsid w:val="00900A78"/>
    <w:rsid w:val="009010D5"/>
    <w:rsid w:val="00902865"/>
    <w:rsid w:val="00902BDE"/>
    <w:rsid w:val="00903D06"/>
    <w:rsid w:val="00904EB1"/>
    <w:rsid w:val="00905398"/>
    <w:rsid w:val="00905E6D"/>
    <w:rsid w:val="0090657C"/>
    <w:rsid w:val="00906AEA"/>
    <w:rsid w:val="009076D3"/>
    <w:rsid w:val="00907AB4"/>
    <w:rsid w:val="00907C22"/>
    <w:rsid w:val="00910065"/>
    <w:rsid w:val="009103E5"/>
    <w:rsid w:val="00910C1F"/>
    <w:rsid w:val="00917783"/>
    <w:rsid w:val="00920889"/>
    <w:rsid w:val="00920F65"/>
    <w:rsid w:val="0092376C"/>
    <w:rsid w:val="00924264"/>
    <w:rsid w:val="00924964"/>
    <w:rsid w:val="00926B40"/>
    <w:rsid w:val="00926BD8"/>
    <w:rsid w:val="009300D0"/>
    <w:rsid w:val="00930BFE"/>
    <w:rsid w:val="00930E6B"/>
    <w:rsid w:val="009313A1"/>
    <w:rsid w:val="00931B92"/>
    <w:rsid w:val="009324D1"/>
    <w:rsid w:val="00932C1C"/>
    <w:rsid w:val="00932D71"/>
    <w:rsid w:val="00933253"/>
    <w:rsid w:val="00933D9C"/>
    <w:rsid w:val="009346D2"/>
    <w:rsid w:val="00936269"/>
    <w:rsid w:val="009374F9"/>
    <w:rsid w:val="00937BD5"/>
    <w:rsid w:val="00937C92"/>
    <w:rsid w:val="00941E8C"/>
    <w:rsid w:val="00942515"/>
    <w:rsid w:val="009425B6"/>
    <w:rsid w:val="00942A03"/>
    <w:rsid w:val="00943183"/>
    <w:rsid w:val="009443AF"/>
    <w:rsid w:val="00944E76"/>
    <w:rsid w:val="009451CB"/>
    <w:rsid w:val="009458F3"/>
    <w:rsid w:val="00945B10"/>
    <w:rsid w:val="00947D9E"/>
    <w:rsid w:val="00950BDF"/>
    <w:rsid w:val="009526D4"/>
    <w:rsid w:val="009612F0"/>
    <w:rsid w:val="00964C1C"/>
    <w:rsid w:val="009654E8"/>
    <w:rsid w:val="00965548"/>
    <w:rsid w:val="00965C5F"/>
    <w:rsid w:val="00966FEC"/>
    <w:rsid w:val="00967862"/>
    <w:rsid w:val="0096790B"/>
    <w:rsid w:val="00974086"/>
    <w:rsid w:val="0097590E"/>
    <w:rsid w:val="00975DE1"/>
    <w:rsid w:val="00975DE8"/>
    <w:rsid w:val="00980556"/>
    <w:rsid w:val="00981247"/>
    <w:rsid w:val="009820A5"/>
    <w:rsid w:val="00983722"/>
    <w:rsid w:val="009848EA"/>
    <w:rsid w:val="00984CB9"/>
    <w:rsid w:val="00984E9F"/>
    <w:rsid w:val="00985325"/>
    <w:rsid w:val="00985FB9"/>
    <w:rsid w:val="009874F9"/>
    <w:rsid w:val="00987784"/>
    <w:rsid w:val="009905B5"/>
    <w:rsid w:val="00990BD8"/>
    <w:rsid w:val="00991433"/>
    <w:rsid w:val="0099227A"/>
    <w:rsid w:val="00993298"/>
    <w:rsid w:val="00993384"/>
    <w:rsid w:val="00995A5B"/>
    <w:rsid w:val="0099747A"/>
    <w:rsid w:val="009A35BC"/>
    <w:rsid w:val="009A73BA"/>
    <w:rsid w:val="009B0505"/>
    <w:rsid w:val="009B091D"/>
    <w:rsid w:val="009B1243"/>
    <w:rsid w:val="009B20B6"/>
    <w:rsid w:val="009B579D"/>
    <w:rsid w:val="009B6D86"/>
    <w:rsid w:val="009C007F"/>
    <w:rsid w:val="009C0885"/>
    <w:rsid w:val="009C1088"/>
    <w:rsid w:val="009C279D"/>
    <w:rsid w:val="009C2A46"/>
    <w:rsid w:val="009C34A4"/>
    <w:rsid w:val="009C3DAE"/>
    <w:rsid w:val="009C457C"/>
    <w:rsid w:val="009C510B"/>
    <w:rsid w:val="009C52A5"/>
    <w:rsid w:val="009C6DCE"/>
    <w:rsid w:val="009C789E"/>
    <w:rsid w:val="009C7FAF"/>
    <w:rsid w:val="009D0094"/>
    <w:rsid w:val="009D21E2"/>
    <w:rsid w:val="009D343C"/>
    <w:rsid w:val="009D3B13"/>
    <w:rsid w:val="009D462F"/>
    <w:rsid w:val="009D5FDC"/>
    <w:rsid w:val="009E03F0"/>
    <w:rsid w:val="009E2551"/>
    <w:rsid w:val="009E2909"/>
    <w:rsid w:val="009E6407"/>
    <w:rsid w:val="009F033A"/>
    <w:rsid w:val="009F072D"/>
    <w:rsid w:val="009F3780"/>
    <w:rsid w:val="009F4CC4"/>
    <w:rsid w:val="009F5636"/>
    <w:rsid w:val="009F798B"/>
    <w:rsid w:val="00A00B9F"/>
    <w:rsid w:val="00A02746"/>
    <w:rsid w:val="00A05BA2"/>
    <w:rsid w:val="00A07F6A"/>
    <w:rsid w:val="00A12528"/>
    <w:rsid w:val="00A1337F"/>
    <w:rsid w:val="00A1397D"/>
    <w:rsid w:val="00A15A4B"/>
    <w:rsid w:val="00A16116"/>
    <w:rsid w:val="00A169BA"/>
    <w:rsid w:val="00A17EE5"/>
    <w:rsid w:val="00A21792"/>
    <w:rsid w:val="00A224EF"/>
    <w:rsid w:val="00A22E57"/>
    <w:rsid w:val="00A22F4A"/>
    <w:rsid w:val="00A23100"/>
    <w:rsid w:val="00A2337C"/>
    <w:rsid w:val="00A23B50"/>
    <w:rsid w:val="00A23F21"/>
    <w:rsid w:val="00A271A4"/>
    <w:rsid w:val="00A27703"/>
    <w:rsid w:val="00A313B5"/>
    <w:rsid w:val="00A33D3B"/>
    <w:rsid w:val="00A345CC"/>
    <w:rsid w:val="00A349FA"/>
    <w:rsid w:val="00A357DF"/>
    <w:rsid w:val="00A36474"/>
    <w:rsid w:val="00A36B0C"/>
    <w:rsid w:val="00A3703C"/>
    <w:rsid w:val="00A37FB1"/>
    <w:rsid w:val="00A40521"/>
    <w:rsid w:val="00A40F36"/>
    <w:rsid w:val="00A41A16"/>
    <w:rsid w:val="00A41B31"/>
    <w:rsid w:val="00A4386C"/>
    <w:rsid w:val="00A43E5F"/>
    <w:rsid w:val="00A45D9A"/>
    <w:rsid w:val="00A4757D"/>
    <w:rsid w:val="00A47AFA"/>
    <w:rsid w:val="00A47D5B"/>
    <w:rsid w:val="00A51BAB"/>
    <w:rsid w:val="00A53702"/>
    <w:rsid w:val="00A54DA6"/>
    <w:rsid w:val="00A557C4"/>
    <w:rsid w:val="00A55A8F"/>
    <w:rsid w:val="00A57C82"/>
    <w:rsid w:val="00A57DEA"/>
    <w:rsid w:val="00A6033E"/>
    <w:rsid w:val="00A618C6"/>
    <w:rsid w:val="00A61A8D"/>
    <w:rsid w:val="00A62F40"/>
    <w:rsid w:val="00A6358C"/>
    <w:rsid w:val="00A63651"/>
    <w:rsid w:val="00A63673"/>
    <w:rsid w:val="00A639E0"/>
    <w:rsid w:val="00A63F6F"/>
    <w:rsid w:val="00A6738A"/>
    <w:rsid w:val="00A705DC"/>
    <w:rsid w:val="00A726B4"/>
    <w:rsid w:val="00A73D07"/>
    <w:rsid w:val="00A747D4"/>
    <w:rsid w:val="00A75615"/>
    <w:rsid w:val="00A75811"/>
    <w:rsid w:val="00A75E1A"/>
    <w:rsid w:val="00A7640D"/>
    <w:rsid w:val="00A7702A"/>
    <w:rsid w:val="00A7776E"/>
    <w:rsid w:val="00A77E58"/>
    <w:rsid w:val="00A80C17"/>
    <w:rsid w:val="00A8305B"/>
    <w:rsid w:val="00A83113"/>
    <w:rsid w:val="00A8535D"/>
    <w:rsid w:val="00A862AE"/>
    <w:rsid w:val="00A86877"/>
    <w:rsid w:val="00A86B55"/>
    <w:rsid w:val="00A93C05"/>
    <w:rsid w:val="00A951E3"/>
    <w:rsid w:val="00A9682D"/>
    <w:rsid w:val="00AA12D1"/>
    <w:rsid w:val="00AA18FB"/>
    <w:rsid w:val="00AA4458"/>
    <w:rsid w:val="00AA4D1E"/>
    <w:rsid w:val="00AA5D6C"/>
    <w:rsid w:val="00AA61E0"/>
    <w:rsid w:val="00AA69C6"/>
    <w:rsid w:val="00AA77BD"/>
    <w:rsid w:val="00AA7DA3"/>
    <w:rsid w:val="00AB2362"/>
    <w:rsid w:val="00AB40B4"/>
    <w:rsid w:val="00AB4622"/>
    <w:rsid w:val="00AB58A6"/>
    <w:rsid w:val="00AB5A8B"/>
    <w:rsid w:val="00AB61A0"/>
    <w:rsid w:val="00AC026C"/>
    <w:rsid w:val="00AC1FDE"/>
    <w:rsid w:val="00AC2000"/>
    <w:rsid w:val="00AC2CC1"/>
    <w:rsid w:val="00AC36C8"/>
    <w:rsid w:val="00AC3BAA"/>
    <w:rsid w:val="00AD0111"/>
    <w:rsid w:val="00AD0600"/>
    <w:rsid w:val="00AD115D"/>
    <w:rsid w:val="00AD1FD6"/>
    <w:rsid w:val="00AD2FE1"/>
    <w:rsid w:val="00AD31EC"/>
    <w:rsid w:val="00AD33A9"/>
    <w:rsid w:val="00AD4292"/>
    <w:rsid w:val="00AD4DCA"/>
    <w:rsid w:val="00AD5697"/>
    <w:rsid w:val="00AD5D4D"/>
    <w:rsid w:val="00AD7B93"/>
    <w:rsid w:val="00AD7C70"/>
    <w:rsid w:val="00AE296A"/>
    <w:rsid w:val="00AE3AD9"/>
    <w:rsid w:val="00AE4632"/>
    <w:rsid w:val="00AE5CC9"/>
    <w:rsid w:val="00AE6158"/>
    <w:rsid w:val="00AF1659"/>
    <w:rsid w:val="00AF1B1E"/>
    <w:rsid w:val="00AF30C2"/>
    <w:rsid w:val="00AF35F3"/>
    <w:rsid w:val="00AF44FA"/>
    <w:rsid w:val="00AF54B5"/>
    <w:rsid w:val="00AF61E9"/>
    <w:rsid w:val="00B00A5C"/>
    <w:rsid w:val="00B015CC"/>
    <w:rsid w:val="00B01B7B"/>
    <w:rsid w:val="00B01C15"/>
    <w:rsid w:val="00B022A2"/>
    <w:rsid w:val="00B03F45"/>
    <w:rsid w:val="00B05656"/>
    <w:rsid w:val="00B06C51"/>
    <w:rsid w:val="00B100CC"/>
    <w:rsid w:val="00B10DE8"/>
    <w:rsid w:val="00B11A6A"/>
    <w:rsid w:val="00B12BF4"/>
    <w:rsid w:val="00B12C62"/>
    <w:rsid w:val="00B151E8"/>
    <w:rsid w:val="00B15236"/>
    <w:rsid w:val="00B16FCA"/>
    <w:rsid w:val="00B17222"/>
    <w:rsid w:val="00B21172"/>
    <w:rsid w:val="00B211B4"/>
    <w:rsid w:val="00B248DB"/>
    <w:rsid w:val="00B24CF4"/>
    <w:rsid w:val="00B25CD2"/>
    <w:rsid w:val="00B25FD4"/>
    <w:rsid w:val="00B26B48"/>
    <w:rsid w:val="00B275A2"/>
    <w:rsid w:val="00B278CE"/>
    <w:rsid w:val="00B27E8E"/>
    <w:rsid w:val="00B3031E"/>
    <w:rsid w:val="00B31875"/>
    <w:rsid w:val="00B334F2"/>
    <w:rsid w:val="00B35409"/>
    <w:rsid w:val="00B359BE"/>
    <w:rsid w:val="00B35E94"/>
    <w:rsid w:val="00B364D1"/>
    <w:rsid w:val="00B3763E"/>
    <w:rsid w:val="00B40BB4"/>
    <w:rsid w:val="00B43029"/>
    <w:rsid w:val="00B44524"/>
    <w:rsid w:val="00B4497C"/>
    <w:rsid w:val="00B44A64"/>
    <w:rsid w:val="00B5020A"/>
    <w:rsid w:val="00B51295"/>
    <w:rsid w:val="00B512F2"/>
    <w:rsid w:val="00B51708"/>
    <w:rsid w:val="00B54129"/>
    <w:rsid w:val="00B611D6"/>
    <w:rsid w:val="00B6330B"/>
    <w:rsid w:val="00B64314"/>
    <w:rsid w:val="00B6638B"/>
    <w:rsid w:val="00B6695A"/>
    <w:rsid w:val="00B66C1F"/>
    <w:rsid w:val="00B708EF"/>
    <w:rsid w:val="00B71048"/>
    <w:rsid w:val="00B713D4"/>
    <w:rsid w:val="00B72DB2"/>
    <w:rsid w:val="00B733FF"/>
    <w:rsid w:val="00B74CE1"/>
    <w:rsid w:val="00B74D32"/>
    <w:rsid w:val="00B75122"/>
    <w:rsid w:val="00B76A54"/>
    <w:rsid w:val="00B77694"/>
    <w:rsid w:val="00B77E7D"/>
    <w:rsid w:val="00B846FA"/>
    <w:rsid w:val="00B85C8F"/>
    <w:rsid w:val="00B87B27"/>
    <w:rsid w:val="00B87CD3"/>
    <w:rsid w:val="00B91FC2"/>
    <w:rsid w:val="00B938F5"/>
    <w:rsid w:val="00B96329"/>
    <w:rsid w:val="00BA06AF"/>
    <w:rsid w:val="00BA1DD2"/>
    <w:rsid w:val="00BA324C"/>
    <w:rsid w:val="00BA3B15"/>
    <w:rsid w:val="00BA3E83"/>
    <w:rsid w:val="00BA4F01"/>
    <w:rsid w:val="00BA64D9"/>
    <w:rsid w:val="00BA7B70"/>
    <w:rsid w:val="00BA7E7E"/>
    <w:rsid w:val="00BB0447"/>
    <w:rsid w:val="00BB1DC4"/>
    <w:rsid w:val="00BB230B"/>
    <w:rsid w:val="00BB2B41"/>
    <w:rsid w:val="00BB3395"/>
    <w:rsid w:val="00BB6CF9"/>
    <w:rsid w:val="00BB7D52"/>
    <w:rsid w:val="00BC24F2"/>
    <w:rsid w:val="00BC2D22"/>
    <w:rsid w:val="00BC45C4"/>
    <w:rsid w:val="00BC5275"/>
    <w:rsid w:val="00BC5EA0"/>
    <w:rsid w:val="00BC6B37"/>
    <w:rsid w:val="00BC6D5B"/>
    <w:rsid w:val="00BC6D75"/>
    <w:rsid w:val="00BC6DD9"/>
    <w:rsid w:val="00BD043A"/>
    <w:rsid w:val="00BD1D6E"/>
    <w:rsid w:val="00BD29ED"/>
    <w:rsid w:val="00BD2C4B"/>
    <w:rsid w:val="00BD489F"/>
    <w:rsid w:val="00BD49B4"/>
    <w:rsid w:val="00BE0C04"/>
    <w:rsid w:val="00BE0D0C"/>
    <w:rsid w:val="00BE3FBF"/>
    <w:rsid w:val="00BE43C5"/>
    <w:rsid w:val="00BE54C0"/>
    <w:rsid w:val="00BE7539"/>
    <w:rsid w:val="00BE775A"/>
    <w:rsid w:val="00BF0C70"/>
    <w:rsid w:val="00BF3301"/>
    <w:rsid w:val="00BF4BE3"/>
    <w:rsid w:val="00BF5BC5"/>
    <w:rsid w:val="00BF5E8F"/>
    <w:rsid w:val="00BF65E5"/>
    <w:rsid w:val="00BF74E2"/>
    <w:rsid w:val="00BF7892"/>
    <w:rsid w:val="00BF7B70"/>
    <w:rsid w:val="00C015F8"/>
    <w:rsid w:val="00C0280E"/>
    <w:rsid w:val="00C0480C"/>
    <w:rsid w:val="00C04DC6"/>
    <w:rsid w:val="00C05334"/>
    <w:rsid w:val="00C059AF"/>
    <w:rsid w:val="00C06AC0"/>
    <w:rsid w:val="00C07630"/>
    <w:rsid w:val="00C1098E"/>
    <w:rsid w:val="00C114FF"/>
    <w:rsid w:val="00C117FA"/>
    <w:rsid w:val="00C11C5A"/>
    <w:rsid w:val="00C12463"/>
    <w:rsid w:val="00C147D0"/>
    <w:rsid w:val="00C14C0E"/>
    <w:rsid w:val="00C14C28"/>
    <w:rsid w:val="00C15E25"/>
    <w:rsid w:val="00C16D3F"/>
    <w:rsid w:val="00C1738A"/>
    <w:rsid w:val="00C25A2B"/>
    <w:rsid w:val="00C26085"/>
    <w:rsid w:val="00C26496"/>
    <w:rsid w:val="00C264AD"/>
    <w:rsid w:val="00C26577"/>
    <w:rsid w:val="00C2678C"/>
    <w:rsid w:val="00C26D0E"/>
    <w:rsid w:val="00C27F57"/>
    <w:rsid w:val="00C302A0"/>
    <w:rsid w:val="00C32DF2"/>
    <w:rsid w:val="00C3355D"/>
    <w:rsid w:val="00C34560"/>
    <w:rsid w:val="00C34E09"/>
    <w:rsid w:val="00C378D4"/>
    <w:rsid w:val="00C4073F"/>
    <w:rsid w:val="00C40C20"/>
    <w:rsid w:val="00C41ADC"/>
    <w:rsid w:val="00C42B2C"/>
    <w:rsid w:val="00C43AF4"/>
    <w:rsid w:val="00C44E5F"/>
    <w:rsid w:val="00C45B31"/>
    <w:rsid w:val="00C462A1"/>
    <w:rsid w:val="00C464EA"/>
    <w:rsid w:val="00C47067"/>
    <w:rsid w:val="00C47CCB"/>
    <w:rsid w:val="00C47FA1"/>
    <w:rsid w:val="00C511E9"/>
    <w:rsid w:val="00C52316"/>
    <w:rsid w:val="00C5237B"/>
    <w:rsid w:val="00C5252B"/>
    <w:rsid w:val="00C536E0"/>
    <w:rsid w:val="00C54E0B"/>
    <w:rsid w:val="00C55A13"/>
    <w:rsid w:val="00C568B8"/>
    <w:rsid w:val="00C57FFC"/>
    <w:rsid w:val="00C60594"/>
    <w:rsid w:val="00C61DC0"/>
    <w:rsid w:val="00C62425"/>
    <w:rsid w:val="00C647BD"/>
    <w:rsid w:val="00C64CC1"/>
    <w:rsid w:val="00C67C9F"/>
    <w:rsid w:val="00C67F6F"/>
    <w:rsid w:val="00C70AC6"/>
    <w:rsid w:val="00C728F7"/>
    <w:rsid w:val="00C74065"/>
    <w:rsid w:val="00C75436"/>
    <w:rsid w:val="00C75585"/>
    <w:rsid w:val="00C75C3B"/>
    <w:rsid w:val="00C77AC2"/>
    <w:rsid w:val="00C80530"/>
    <w:rsid w:val="00C80A66"/>
    <w:rsid w:val="00C81645"/>
    <w:rsid w:val="00C81F42"/>
    <w:rsid w:val="00C82A7B"/>
    <w:rsid w:val="00C82B23"/>
    <w:rsid w:val="00C843B8"/>
    <w:rsid w:val="00C85BF4"/>
    <w:rsid w:val="00C85EB2"/>
    <w:rsid w:val="00C864A1"/>
    <w:rsid w:val="00C873A4"/>
    <w:rsid w:val="00C87B16"/>
    <w:rsid w:val="00C87F29"/>
    <w:rsid w:val="00C90F49"/>
    <w:rsid w:val="00C93F03"/>
    <w:rsid w:val="00C9439D"/>
    <w:rsid w:val="00C9565F"/>
    <w:rsid w:val="00C97224"/>
    <w:rsid w:val="00C97554"/>
    <w:rsid w:val="00CA013E"/>
    <w:rsid w:val="00CA027F"/>
    <w:rsid w:val="00CA06FB"/>
    <w:rsid w:val="00CA1AB0"/>
    <w:rsid w:val="00CA1C62"/>
    <w:rsid w:val="00CA31AD"/>
    <w:rsid w:val="00CA3E3A"/>
    <w:rsid w:val="00CA4402"/>
    <w:rsid w:val="00CA6BCF"/>
    <w:rsid w:val="00CB0417"/>
    <w:rsid w:val="00CB0A8D"/>
    <w:rsid w:val="00CB1CF3"/>
    <w:rsid w:val="00CB2FFE"/>
    <w:rsid w:val="00CB307B"/>
    <w:rsid w:val="00CB3E61"/>
    <w:rsid w:val="00CB4855"/>
    <w:rsid w:val="00CB71B4"/>
    <w:rsid w:val="00CB7642"/>
    <w:rsid w:val="00CC420B"/>
    <w:rsid w:val="00CC58AD"/>
    <w:rsid w:val="00CC5B4E"/>
    <w:rsid w:val="00CC6469"/>
    <w:rsid w:val="00CC68C8"/>
    <w:rsid w:val="00CD0243"/>
    <w:rsid w:val="00CD185A"/>
    <w:rsid w:val="00CD2473"/>
    <w:rsid w:val="00CD3B57"/>
    <w:rsid w:val="00CD441B"/>
    <w:rsid w:val="00CD4CF7"/>
    <w:rsid w:val="00CD6215"/>
    <w:rsid w:val="00CE0533"/>
    <w:rsid w:val="00CE214D"/>
    <w:rsid w:val="00CE34C8"/>
    <w:rsid w:val="00CE3A72"/>
    <w:rsid w:val="00CE3FBA"/>
    <w:rsid w:val="00CE41BE"/>
    <w:rsid w:val="00CE5719"/>
    <w:rsid w:val="00CE63C5"/>
    <w:rsid w:val="00CE7A74"/>
    <w:rsid w:val="00CE7AB9"/>
    <w:rsid w:val="00CF14CC"/>
    <w:rsid w:val="00CF2133"/>
    <w:rsid w:val="00CF221E"/>
    <w:rsid w:val="00CF251B"/>
    <w:rsid w:val="00CF36E4"/>
    <w:rsid w:val="00CF50BE"/>
    <w:rsid w:val="00CF5E9F"/>
    <w:rsid w:val="00CF7CFB"/>
    <w:rsid w:val="00D02E16"/>
    <w:rsid w:val="00D03D5D"/>
    <w:rsid w:val="00D0404B"/>
    <w:rsid w:val="00D0661A"/>
    <w:rsid w:val="00D07353"/>
    <w:rsid w:val="00D073F0"/>
    <w:rsid w:val="00D07C02"/>
    <w:rsid w:val="00D11F2E"/>
    <w:rsid w:val="00D120C0"/>
    <w:rsid w:val="00D1368F"/>
    <w:rsid w:val="00D14206"/>
    <w:rsid w:val="00D144B0"/>
    <w:rsid w:val="00D145C0"/>
    <w:rsid w:val="00D16E9F"/>
    <w:rsid w:val="00D20389"/>
    <w:rsid w:val="00D20AE7"/>
    <w:rsid w:val="00D220A7"/>
    <w:rsid w:val="00D2287B"/>
    <w:rsid w:val="00D2392F"/>
    <w:rsid w:val="00D2421A"/>
    <w:rsid w:val="00D25DC4"/>
    <w:rsid w:val="00D26A87"/>
    <w:rsid w:val="00D30098"/>
    <w:rsid w:val="00D30BA4"/>
    <w:rsid w:val="00D31168"/>
    <w:rsid w:val="00D331E7"/>
    <w:rsid w:val="00D33492"/>
    <w:rsid w:val="00D34381"/>
    <w:rsid w:val="00D40BD0"/>
    <w:rsid w:val="00D41119"/>
    <w:rsid w:val="00D417B6"/>
    <w:rsid w:val="00D445DA"/>
    <w:rsid w:val="00D46E91"/>
    <w:rsid w:val="00D50DB9"/>
    <w:rsid w:val="00D50F24"/>
    <w:rsid w:val="00D551F1"/>
    <w:rsid w:val="00D56654"/>
    <w:rsid w:val="00D56B24"/>
    <w:rsid w:val="00D57856"/>
    <w:rsid w:val="00D57BD2"/>
    <w:rsid w:val="00D60639"/>
    <w:rsid w:val="00D628D8"/>
    <w:rsid w:val="00D62A03"/>
    <w:rsid w:val="00D6423F"/>
    <w:rsid w:val="00D65EBA"/>
    <w:rsid w:val="00D65FAD"/>
    <w:rsid w:val="00D662A3"/>
    <w:rsid w:val="00D66A0D"/>
    <w:rsid w:val="00D706A6"/>
    <w:rsid w:val="00D70C98"/>
    <w:rsid w:val="00D713D6"/>
    <w:rsid w:val="00D735F3"/>
    <w:rsid w:val="00D7627E"/>
    <w:rsid w:val="00D77BAA"/>
    <w:rsid w:val="00D77E0D"/>
    <w:rsid w:val="00D77FCE"/>
    <w:rsid w:val="00D8024B"/>
    <w:rsid w:val="00D8042D"/>
    <w:rsid w:val="00D806D7"/>
    <w:rsid w:val="00D80A39"/>
    <w:rsid w:val="00D81142"/>
    <w:rsid w:val="00D82257"/>
    <w:rsid w:val="00D8252E"/>
    <w:rsid w:val="00D8472B"/>
    <w:rsid w:val="00D84EE7"/>
    <w:rsid w:val="00D85433"/>
    <w:rsid w:val="00D85497"/>
    <w:rsid w:val="00D8614B"/>
    <w:rsid w:val="00D91230"/>
    <w:rsid w:val="00D92C13"/>
    <w:rsid w:val="00D94173"/>
    <w:rsid w:val="00D94648"/>
    <w:rsid w:val="00D9467D"/>
    <w:rsid w:val="00D95AE5"/>
    <w:rsid w:val="00D96079"/>
    <w:rsid w:val="00D961EE"/>
    <w:rsid w:val="00D9649B"/>
    <w:rsid w:val="00D96E69"/>
    <w:rsid w:val="00D97559"/>
    <w:rsid w:val="00DA0BF8"/>
    <w:rsid w:val="00DA11CE"/>
    <w:rsid w:val="00DA2038"/>
    <w:rsid w:val="00DA694B"/>
    <w:rsid w:val="00DB0278"/>
    <w:rsid w:val="00DB0C06"/>
    <w:rsid w:val="00DB3DDD"/>
    <w:rsid w:val="00DB4034"/>
    <w:rsid w:val="00DB44F5"/>
    <w:rsid w:val="00DB48C3"/>
    <w:rsid w:val="00DB6B99"/>
    <w:rsid w:val="00DC25A3"/>
    <w:rsid w:val="00DC4DA7"/>
    <w:rsid w:val="00DC4F2E"/>
    <w:rsid w:val="00DC6D17"/>
    <w:rsid w:val="00DD00DB"/>
    <w:rsid w:val="00DD0C7B"/>
    <w:rsid w:val="00DD272E"/>
    <w:rsid w:val="00DD2B2F"/>
    <w:rsid w:val="00DD3A63"/>
    <w:rsid w:val="00DD42C3"/>
    <w:rsid w:val="00DD49BB"/>
    <w:rsid w:val="00DD5129"/>
    <w:rsid w:val="00DD543F"/>
    <w:rsid w:val="00DD5BF0"/>
    <w:rsid w:val="00DD64D0"/>
    <w:rsid w:val="00DD751D"/>
    <w:rsid w:val="00DD7923"/>
    <w:rsid w:val="00DE09A5"/>
    <w:rsid w:val="00DE2C93"/>
    <w:rsid w:val="00DE40D2"/>
    <w:rsid w:val="00DE48E5"/>
    <w:rsid w:val="00DE5987"/>
    <w:rsid w:val="00DE59CA"/>
    <w:rsid w:val="00DE71FC"/>
    <w:rsid w:val="00DF0E55"/>
    <w:rsid w:val="00DF11AD"/>
    <w:rsid w:val="00DF17B9"/>
    <w:rsid w:val="00DF2954"/>
    <w:rsid w:val="00DF3BC8"/>
    <w:rsid w:val="00DF43AA"/>
    <w:rsid w:val="00DF72E3"/>
    <w:rsid w:val="00E013AC"/>
    <w:rsid w:val="00E02272"/>
    <w:rsid w:val="00E044E4"/>
    <w:rsid w:val="00E04BF9"/>
    <w:rsid w:val="00E117F8"/>
    <w:rsid w:val="00E11A5C"/>
    <w:rsid w:val="00E13A82"/>
    <w:rsid w:val="00E13DC2"/>
    <w:rsid w:val="00E1629B"/>
    <w:rsid w:val="00E20FC1"/>
    <w:rsid w:val="00E210D1"/>
    <w:rsid w:val="00E21833"/>
    <w:rsid w:val="00E221ED"/>
    <w:rsid w:val="00E22A49"/>
    <w:rsid w:val="00E2475C"/>
    <w:rsid w:val="00E24EE1"/>
    <w:rsid w:val="00E254AE"/>
    <w:rsid w:val="00E25AAE"/>
    <w:rsid w:val="00E30007"/>
    <w:rsid w:val="00E3160A"/>
    <w:rsid w:val="00E32378"/>
    <w:rsid w:val="00E33645"/>
    <w:rsid w:val="00E33ACC"/>
    <w:rsid w:val="00E35E35"/>
    <w:rsid w:val="00E36A07"/>
    <w:rsid w:val="00E374B0"/>
    <w:rsid w:val="00E40023"/>
    <w:rsid w:val="00E4145B"/>
    <w:rsid w:val="00E42C73"/>
    <w:rsid w:val="00E42DFF"/>
    <w:rsid w:val="00E43CB6"/>
    <w:rsid w:val="00E43EDD"/>
    <w:rsid w:val="00E4454B"/>
    <w:rsid w:val="00E44D50"/>
    <w:rsid w:val="00E46E87"/>
    <w:rsid w:val="00E47538"/>
    <w:rsid w:val="00E50E0F"/>
    <w:rsid w:val="00E51252"/>
    <w:rsid w:val="00E52232"/>
    <w:rsid w:val="00E53317"/>
    <w:rsid w:val="00E53F63"/>
    <w:rsid w:val="00E53FE3"/>
    <w:rsid w:val="00E54564"/>
    <w:rsid w:val="00E54F63"/>
    <w:rsid w:val="00E55C40"/>
    <w:rsid w:val="00E56B71"/>
    <w:rsid w:val="00E60171"/>
    <w:rsid w:val="00E60A23"/>
    <w:rsid w:val="00E61B9B"/>
    <w:rsid w:val="00E6261F"/>
    <w:rsid w:val="00E62F7E"/>
    <w:rsid w:val="00E63882"/>
    <w:rsid w:val="00E64B28"/>
    <w:rsid w:val="00E654D4"/>
    <w:rsid w:val="00E6656D"/>
    <w:rsid w:val="00E66A1B"/>
    <w:rsid w:val="00E67ECC"/>
    <w:rsid w:val="00E70797"/>
    <w:rsid w:val="00E70D1B"/>
    <w:rsid w:val="00E71397"/>
    <w:rsid w:val="00E72CD2"/>
    <w:rsid w:val="00E743D4"/>
    <w:rsid w:val="00E752B6"/>
    <w:rsid w:val="00E757DD"/>
    <w:rsid w:val="00E7633B"/>
    <w:rsid w:val="00E7666B"/>
    <w:rsid w:val="00E8010F"/>
    <w:rsid w:val="00E82133"/>
    <w:rsid w:val="00E822A8"/>
    <w:rsid w:val="00E83E83"/>
    <w:rsid w:val="00E853DD"/>
    <w:rsid w:val="00E86996"/>
    <w:rsid w:val="00E87D7E"/>
    <w:rsid w:val="00E90946"/>
    <w:rsid w:val="00E9149C"/>
    <w:rsid w:val="00E92A4A"/>
    <w:rsid w:val="00E92E22"/>
    <w:rsid w:val="00E93FBF"/>
    <w:rsid w:val="00E95046"/>
    <w:rsid w:val="00E96751"/>
    <w:rsid w:val="00E96D7B"/>
    <w:rsid w:val="00E97B3F"/>
    <w:rsid w:val="00EA031E"/>
    <w:rsid w:val="00EA15C1"/>
    <w:rsid w:val="00EA1EE2"/>
    <w:rsid w:val="00EA25DD"/>
    <w:rsid w:val="00EA262A"/>
    <w:rsid w:val="00EA2679"/>
    <w:rsid w:val="00EA3628"/>
    <w:rsid w:val="00EA6B46"/>
    <w:rsid w:val="00EA79D1"/>
    <w:rsid w:val="00EB27AD"/>
    <w:rsid w:val="00EB2D6B"/>
    <w:rsid w:val="00EB3ECA"/>
    <w:rsid w:val="00EB5450"/>
    <w:rsid w:val="00EB56B6"/>
    <w:rsid w:val="00EB5A79"/>
    <w:rsid w:val="00EB5C2E"/>
    <w:rsid w:val="00EB62E9"/>
    <w:rsid w:val="00EB7D8C"/>
    <w:rsid w:val="00EC1433"/>
    <w:rsid w:val="00EC3C0E"/>
    <w:rsid w:val="00EC4CC3"/>
    <w:rsid w:val="00EC504A"/>
    <w:rsid w:val="00EC6E98"/>
    <w:rsid w:val="00ED1451"/>
    <w:rsid w:val="00ED2627"/>
    <w:rsid w:val="00ED551B"/>
    <w:rsid w:val="00ED5CD3"/>
    <w:rsid w:val="00EE020E"/>
    <w:rsid w:val="00EE0EF8"/>
    <w:rsid w:val="00EE4F30"/>
    <w:rsid w:val="00EE52F7"/>
    <w:rsid w:val="00EE58B4"/>
    <w:rsid w:val="00EE7B30"/>
    <w:rsid w:val="00EF0C58"/>
    <w:rsid w:val="00EF1CAF"/>
    <w:rsid w:val="00EF28B8"/>
    <w:rsid w:val="00EF2DC4"/>
    <w:rsid w:val="00EF494D"/>
    <w:rsid w:val="00EF4BDE"/>
    <w:rsid w:val="00EF4DCE"/>
    <w:rsid w:val="00EF61E6"/>
    <w:rsid w:val="00EF7AA1"/>
    <w:rsid w:val="00EF7F12"/>
    <w:rsid w:val="00F01DB9"/>
    <w:rsid w:val="00F025EB"/>
    <w:rsid w:val="00F030BB"/>
    <w:rsid w:val="00F0339D"/>
    <w:rsid w:val="00F041F5"/>
    <w:rsid w:val="00F064CF"/>
    <w:rsid w:val="00F06BF0"/>
    <w:rsid w:val="00F0757E"/>
    <w:rsid w:val="00F10694"/>
    <w:rsid w:val="00F10DA2"/>
    <w:rsid w:val="00F123E6"/>
    <w:rsid w:val="00F12C03"/>
    <w:rsid w:val="00F156C4"/>
    <w:rsid w:val="00F158ED"/>
    <w:rsid w:val="00F16946"/>
    <w:rsid w:val="00F21C94"/>
    <w:rsid w:val="00F2326E"/>
    <w:rsid w:val="00F23E38"/>
    <w:rsid w:val="00F246F9"/>
    <w:rsid w:val="00F25D20"/>
    <w:rsid w:val="00F2770A"/>
    <w:rsid w:val="00F27C19"/>
    <w:rsid w:val="00F31946"/>
    <w:rsid w:val="00F31CB6"/>
    <w:rsid w:val="00F321E0"/>
    <w:rsid w:val="00F327A9"/>
    <w:rsid w:val="00F34AD2"/>
    <w:rsid w:val="00F35E46"/>
    <w:rsid w:val="00F361FC"/>
    <w:rsid w:val="00F410B9"/>
    <w:rsid w:val="00F41C89"/>
    <w:rsid w:val="00F424CF"/>
    <w:rsid w:val="00F43677"/>
    <w:rsid w:val="00F43F83"/>
    <w:rsid w:val="00F444BD"/>
    <w:rsid w:val="00F46907"/>
    <w:rsid w:val="00F46F04"/>
    <w:rsid w:val="00F47091"/>
    <w:rsid w:val="00F521FC"/>
    <w:rsid w:val="00F53341"/>
    <w:rsid w:val="00F5459B"/>
    <w:rsid w:val="00F56935"/>
    <w:rsid w:val="00F5706E"/>
    <w:rsid w:val="00F57E65"/>
    <w:rsid w:val="00F60C15"/>
    <w:rsid w:val="00F625A5"/>
    <w:rsid w:val="00F6344F"/>
    <w:rsid w:val="00F6669D"/>
    <w:rsid w:val="00F6683B"/>
    <w:rsid w:val="00F669C7"/>
    <w:rsid w:val="00F66D00"/>
    <w:rsid w:val="00F67CC6"/>
    <w:rsid w:val="00F67CE7"/>
    <w:rsid w:val="00F708D2"/>
    <w:rsid w:val="00F71E97"/>
    <w:rsid w:val="00F71ECF"/>
    <w:rsid w:val="00F720B9"/>
    <w:rsid w:val="00F7211A"/>
    <w:rsid w:val="00F72564"/>
    <w:rsid w:val="00F730C3"/>
    <w:rsid w:val="00F73B78"/>
    <w:rsid w:val="00F73FF1"/>
    <w:rsid w:val="00F7415D"/>
    <w:rsid w:val="00F7431B"/>
    <w:rsid w:val="00F747ED"/>
    <w:rsid w:val="00F76417"/>
    <w:rsid w:val="00F7759E"/>
    <w:rsid w:val="00F80575"/>
    <w:rsid w:val="00F80D3F"/>
    <w:rsid w:val="00F8107E"/>
    <w:rsid w:val="00F812D4"/>
    <w:rsid w:val="00F81804"/>
    <w:rsid w:val="00F82BA4"/>
    <w:rsid w:val="00F82F31"/>
    <w:rsid w:val="00F843B8"/>
    <w:rsid w:val="00F85F0C"/>
    <w:rsid w:val="00F86470"/>
    <w:rsid w:val="00F869A9"/>
    <w:rsid w:val="00F86D2D"/>
    <w:rsid w:val="00F90372"/>
    <w:rsid w:val="00F90668"/>
    <w:rsid w:val="00F914EC"/>
    <w:rsid w:val="00F93203"/>
    <w:rsid w:val="00F93BB9"/>
    <w:rsid w:val="00F944F3"/>
    <w:rsid w:val="00F94A4E"/>
    <w:rsid w:val="00F953C0"/>
    <w:rsid w:val="00F96D42"/>
    <w:rsid w:val="00F9759D"/>
    <w:rsid w:val="00FA0519"/>
    <w:rsid w:val="00FA2DB1"/>
    <w:rsid w:val="00FA3CD8"/>
    <w:rsid w:val="00FA3F37"/>
    <w:rsid w:val="00FA5A6F"/>
    <w:rsid w:val="00FA6169"/>
    <w:rsid w:val="00FA641D"/>
    <w:rsid w:val="00FA7C23"/>
    <w:rsid w:val="00FB03BA"/>
    <w:rsid w:val="00FB0D7F"/>
    <w:rsid w:val="00FB1A06"/>
    <w:rsid w:val="00FB279B"/>
    <w:rsid w:val="00FB28D9"/>
    <w:rsid w:val="00FB2DCF"/>
    <w:rsid w:val="00FB3207"/>
    <w:rsid w:val="00FB3904"/>
    <w:rsid w:val="00FB3DF9"/>
    <w:rsid w:val="00FB4301"/>
    <w:rsid w:val="00FB5538"/>
    <w:rsid w:val="00FB7794"/>
    <w:rsid w:val="00FB77E3"/>
    <w:rsid w:val="00FC0077"/>
    <w:rsid w:val="00FC0B53"/>
    <w:rsid w:val="00FC2458"/>
    <w:rsid w:val="00FC246F"/>
    <w:rsid w:val="00FC2DD6"/>
    <w:rsid w:val="00FC3178"/>
    <w:rsid w:val="00FC4C8A"/>
    <w:rsid w:val="00FC51F6"/>
    <w:rsid w:val="00FC7517"/>
    <w:rsid w:val="00FC76FC"/>
    <w:rsid w:val="00FD0059"/>
    <w:rsid w:val="00FD0164"/>
    <w:rsid w:val="00FD13EA"/>
    <w:rsid w:val="00FD18FB"/>
    <w:rsid w:val="00FD3653"/>
    <w:rsid w:val="00FD4079"/>
    <w:rsid w:val="00FD440A"/>
    <w:rsid w:val="00FD4567"/>
    <w:rsid w:val="00FD6D6D"/>
    <w:rsid w:val="00FE0540"/>
    <w:rsid w:val="00FE2E1D"/>
    <w:rsid w:val="00FE386F"/>
    <w:rsid w:val="00FF0746"/>
    <w:rsid w:val="00FF08A1"/>
    <w:rsid w:val="00FF1EED"/>
    <w:rsid w:val="00FF1F4C"/>
    <w:rsid w:val="00FF36D1"/>
    <w:rsid w:val="00FF3837"/>
    <w:rsid w:val="00FF45E9"/>
    <w:rsid w:val="00FF5CD0"/>
    <w:rsid w:val="00FF69C9"/>
    <w:rsid w:val="00FF7055"/>
    <w:rsid w:val="00FF751F"/>
    <w:rsid w:val="4F88A9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AFED610"/>
  <w15:docId w15:val="{2F64E698-4BE5-4AB9-A9D4-B5955040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2CBD"/>
    <w:pPr>
      <w:bidi/>
    </w:pPr>
    <w:rPr>
      <w:rtl/>
    </w:rPr>
  </w:style>
  <w:style w:type="paragraph" w:styleId="Heading1">
    <w:name w:val="heading 1"/>
    <w:basedOn w:val="Normal"/>
    <w:next w:val="Normal"/>
    <w:link w:val="Heading1Char"/>
    <w:uiPriority w:val="9"/>
    <w:qFormat/>
    <w:rsid w:val="00625729"/>
    <w:pPr>
      <w:keepNext/>
      <w:keepLines/>
      <w:spacing w:after="0"/>
      <w:jc w:val="center"/>
      <w:outlineLvl w:val="0"/>
    </w:pPr>
    <w:rPr>
      <w:rFonts w:ascii="Times New Roman" w:eastAsiaTheme="majorEastAsia" w:hAnsi="Times New Roman" w:cs="Times New Roman"/>
      <w:b/>
      <w:bCs/>
      <w:sz w:val="20"/>
      <w:szCs w:val="20"/>
    </w:rPr>
  </w:style>
  <w:style w:type="paragraph" w:styleId="Heading2">
    <w:name w:val="heading 2"/>
    <w:basedOn w:val="Normal"/>
    <w:next w:val="Normal"/>
    <w:link w:val="Heading2Char"/>
    <w:uiPriority w:val="9"/>
    <w:unhideWhenUsed/>
    <w:qFormat/>
    <w:rsid w:val="00CA1AB0"/>
    <w:pPr>
      <w:keepNext/>
      <w:keepLines/>
      <w:spacing w:before="40" w:after="0"/>
      <w:jc w:val="center"/>
      <w:outlineLvl w:val="1"/>
    </w:pPr>
    <w:rPr>
      <w:rFonts w:ascii="Times New Roman" w:eastAsiaTheme="majorEastAsia" w:hAnsi="Times New Roman" w:cstheme="majorBidi"/>
      <w:b/>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46D2"/>
    <w:pPr>
      <w:spacing w:after="0" w:line="240" w:lineRule="auto"/>
    </w:pPr>
    <w:rPr>
      <w:rFonts w:ascii="Times New Roman" w:hAnsi="Times New Roman" w:cs="Consolas"/>
      <w:szCs w:val="21"/>
    </w:rPr>
  </w:style>
  <w:style w:type="character" w:customStyle="1" w:styleId="PlainTextChar">
    <w:name w:val="Plain Text Char"/>
    <w:basedOn w:val="DefaultParagraphFont"/>
    <w:link w:val="PlainText"/>
    <w:uiPriority w:val="99"/>
    <w:rsid w:val="009346D2"/>
    <w:rPr>
      <w:rFonts w:ascii="Times New Roman" w:hAnsi="Times New Roman" w:cs="Consolas"/>
      <w:szCs w:val="21"/>
    </w:rPr>
  </w:style>
  <w:style w:type="table" w:styleId="TableGrid">
    <w:name w:val="Table Grid"/>
    <w:basedOn w:val="TableNormal"/>
    <w:uiPriority w:val="39"/>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415"/>
  </w:style>
  <w:style w:type="paragraph" w:styleId="Footer">
    <w:name w:val="footer"/>
    <w:basedOn w:val="Normal"/>
    <w:link w:val="FooterChar"/>
    <w:uiPriority w:val="99"/>
    <w:unhideWhenUsed/>
    <w:rsid w:val="00177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415"/>
  </w:style>
  <w:style w:type="paragraph" w:styleId="ListParagraph">
    <w:name w:val="List Paragraph"/>
    <w:aliases w:val="List Paragraph (numbered (a)),List_Paragraph,Multilevel para_II,List Paragraph1,Numbered List Paragraph,Main numbered paragraph,Numbered Paragraph,Bullets,References,123 List Paragraph,List Paragraph nowy,Liste 1,Bullet paras,lp1,Bullet1"/>
    <w:basedOn w:val="Normal"/>
    <w:link w:val="ListParagraphChar"/>
    <w:uiPriority w:val="34"/>
    <w:qFormat/>
    <w:rsid w:val="00853ABC"/>
    <w:pPr>
      <w:ind w:left="720"/>
      <w:contextualSpacing/>
    </w:pPr>
  </w:style>
  <w:style w:type="character" w:customStyle="1" w:styleId="ListParagraphChar">
    <w:name w:val="List Paragraph Char"/>
    <w:aliases w:val="List Paragraph (numbered (a)) Char,List_Paragraph Char,Multilevel para_II Char,List Paragraph1 Char,Numbered List Paragraph Char,Main numbered paragraph Char,Numbered Paragraph Char,Bullets Char,References Char,Liste 1 Char,lp1 Char"/>
    <w:basedOn w:val="DefaultParagraphFont"/>
    <w:link w:val="ListParagraph"/>
    <w:uiPriority w:val="34"/>
    <w:locked/>
    <w:rsid w:val="00232D94"/>
  </w:style>
  <w:style w:type="paragraph" w:styleId="BalloonText">
    <w:name w:val="Balloon Text"/>
    <w:basedOn w:val="Normal"/>
    <w:link w:val="BalloonTextChar"/>
    <w:uiPriority w:val="99"/>
    <w:semiHidden/>
    <w:unhideWhenUsed/>
    <w:rsid w:val="007E0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ED"/>
    <w:rPr>
      <w:rFonts w:ascii="Segoe UI" w:hAnsi="Segoe UI" w:cs="Segoe UI"/>
      <w:sz w:val="18"/>
      <w:szCs w:val="18"/>
    </w:rPr>
  </w:style>
  <w:style w:type="paragraph" w:styleId="FootnoteText">
    <w:name w:val="footnote text"/>
    <w:aliases w:val="ft,single space,footnote text,FOOTNOTES,fn,ADB,WB-Fußnotentext,Footnote,Fußnote,Geneva 9,Font: Geneva 9,Boston 10,f,Fußnotentextf,footnote text Char Char Char,footnote text Char Char,footnote text Char Char Char Char Char, Char Char Char"/>
    <w:basedOn w:val="Normal"/>
    <w:link w:val="FootnoteTextChar"/>
    <w:uiPriority w:val="99"/>
    <w:qFormat/>
    <w:rsid w:val="006425FC"/>
    <w:pPr>
      <w:spacing w:before="100" w:beforeAutospacing="1" w:after="100" w:afterAutospacing="1" w:line="240" w:lineRule="auto"/>
    </w:pPr>
    <w:rPr>
      <w:rFonts w:ascii="Times New Roman" w:eastAsia="Arial Unicode MS" w:hAnsi="Times New Roman" w:cs="Arial Unicode MS"/>
      <w:color w:val="000000"/>
      <w:sz w:val="20"/>
      <w:szCs w:val="24"/>
    </w:rPr>
  </w:style>
  <w:style w:type="character" w:customStyle="1" w:styleId="FootnoteTextChar">
    <w:name w:val="Footnote Text Char"/>
    <w:aliases w:val="ft Char,single space Char,footnote text Char,FOOTNOTES Char,fn Char,ADB Char,WB-Fußnotentext Char,Footnote Char,Fußnote Char,Geneva 9 Char,Font: Geneva 9 Char,Boston 10 Char,f Char,Fußnotentextf Char,footnote text Char Char Char Char"/>
    <w:basedOn w:val="DefaultParagraphFont"/>
    <w:link w:val="FootnoteText"/>
    <w:uiPriority w:val="99"/>
    <w:rsid w:val="006425FC"/>
    <w:rPr>
      <w:rFonts w:ascii="Times New Roman" w:eastAsia="Arial Unicode MS" w:hAnsi="Times New Roman" w:cs="Arial Unicode MS"/>
      <w:color w:val="000000"/>
      <w:sz w:val="20"/>
      <w:szCs w:val="24"/>
    </w:rPr>
  </w:style>
  <w:style w:type="character" w:styleId="FootnoteReference">
    <w:name w:val="footnote reference"/>
    <w:aliases w:val="ftref,referencia nota al pie,Ref,de nota al pie,16 Point,Superscript 6 Point,Footnote Reference Number,fr,Footnote Reference_LVL6,Footnote Reference_LVL61,Footnote Reference_LVL62,Footnote Reference_LVL63,Footnote Reference_LVL64,R"/>
    <w:basedOn w:val="DefaultParagraphFont"/>
    <w:link w:val="Char2"/>
    <w:uiPriority w:val="99"/>
    <w:qFormat/>
    <w:rsid w:val="006425FC"/>
    <w:rPr>
      <w:vertAlign w:val="superscript"/>
    </w:rPr>
  </w:style>
  <w:style w:type="paragraph" w:customStyle="1" w:styleId="Default">
    <w:name w:val="Default"/>
    <w:uiPriority w:val="99"/>
    <w:rsid w:val="006425FC"/>
    <w:pPr>
      <w:autoSpaceDE w:val="0"/>
      <w:autoSpaceDN w:val="0"/>
      <w:bidi/>
      <w:adjustRightInd w:val="0"/>
      <w:spacing w:after="0" w:line="240" w:lineRule="auto"/>
    </w:pPr>
    <w:rPr>
      <w:rFonts w:ascii="Times New Roman" w:hAnsi="Times New Roman" w:cs="Times New Roman"/>
      <w:color w:val="000000"/>
      <w:sz w:val="24"/>
      <w:szCs w:val="24"/>
      <w:rtl/>
    </w:rPr>
  </w:style>
  <w:style w:type="paragraph" w:customStyle="1" w:styleId="StyleParagraphNumberingCharCharCharJustified1">
    <w:name w:val="Style Paragraph Numbering Char Char Char + Justified1"/>
    <w:basedOn w:val="Normal"/>
    <w:uiPriority w:val="99"/>
    <w:rsid w:val="006425FC"/>
    <w:pPr>
      <w:tabs>
        <w:tab w:val="left" w:pos="720"/>
        <w:tab w:val="left" w:pos="1440"/>
        <w:tab w:val="left" w:pos="1800"/>
      </w:tabs>
      <w:spacing w:after="240" w:line="252" w:lineRule="auto"/>
      <w:ind w:firstLine="720"/>
      <w:jc w:val="both"/>
    </w:pPr>
    <w:rPr>
      <w:rFonts w:ascii="Times New Roman" w:eastAsia="Times New Roman" w:hAnsi="Times New Roman" w:cs="Times New Roman"/>
      <w:szCs w:val="24"/>
      <w:lang w:val="en-GB"/>
    </w:rPr>
  </w:style>
  <w:style w:type="paragraph" w:styleId="NormalWeb">
    <w:name w:val="Normal (Web)"/>
    <w:basedOn w:val="Normal"/>
    <w:uiPriority w:val="99"/>
    <w:semiHidden/>
    <w:unhideWhenUsed/>
    <w:rsid w:val="004E7C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39"/>
    <w:rsid w:val="006C2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C2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F3E"/>
    <w:rPr>
      <w:sz w:val="16"/>
      <w:szCs w:val="16"/>
    </w:rPr>
  </w:style>
  <w:style w:type="paragraph" w:styleId="CommentText">
    <w:name w:val="annotation text"/>
    <w:basedOn w:val="Normal"/>
    <w:link w:val="CommentTextChar"/>
    <w:uiPriority w:val="99"/>
    <w:semiHidden/>
    <w:unhideWhenUsed/>
    <w:rsid w:val="00350F3E"/>
    <w:pPr>
      <w:spacing w:line="240" w:lineRule="auto"/>
    </w:pPr>
    <w:rPr>
      <w:sz w:val="20"/>
      <w:szCs w:val="20"/>
    </w:rPr>
  </w:style>
  <w:style w:type="character" w:customStyle="1" w:styleId="CommentTextChar">
    <w:name w:val="Comment Text Char"/>
    <w:basedOn w:val="DefaultParagraphFont"/>
    <w:link w:val="CommentText"/>
    <w:uiPriority w:val="99"/>
    <w:rsid w:val="006D449D"/>
    <w:rPr>
      <w:sz w:val="20"/>
      <w:szCs w:val="20"/>
    </w:rPr>
  </w:style>
  <w:style w:type="paragraph" w:styleId="CommentSubject">
    <w:name w:val="annotation subject"/>
    <w:basedOn w:val="CommentText"/>
    <w:next w:val="CommentText"/>
    <w:link w:val="CommentSubjectChar"/>
    <w:uiPriority w:val="99"/>
    <w:semiHidden/>
    <w:unhideWhenUsed/>
    <w:rsid w:val="006D449D"/>
    <w:rPr>
      <w:b/>
      <w:bCs/>
    </w:rPr>
  </w:style>
  <w:style w:type="character" w:customStyle="1" w:styleId="CommentSubjectChar">
    <w:name w:val="Comment Subject Char"/>
    <w:basedOn w:val="CommentTextChar"/>
    <w:link w:val="CommentSubject"/>
    <w:uiPriority w:val="99"/>
    <w:semiHidden/>
    <w:rsid w:val="006D449D"/>
    <w:rPr>
      <w:b/>
      <w:bCs/>
      <w:sz w:val="20"/>
      <w:szCs w:val="20"/>
    </w:rPr>
  </w:style>
  <w:style w:type="table" w:customStyle="1" w:styleId="TableGrid41">
    <w:name w:val="Table Grid41"/>
    <w:basedOn w:val="TableNormal"/>
    <w:next w:val="TableGrid"/>
    <w:uiPriority w:val="39"/>
    <w:rsid w:val="0066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6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2D3"/>
    <w:rPr>
      <w:color w:val="0000FF"/>
      <w:u w:val="single"/>
    </w:rPr>
  </w:style>
  <w:style w:type="paragraph" w:styleId="Caption">
    <w:name w:val="caption"/>
    <w:basedOn w:val="Normal"/>
    <w:next w:val="Normal"/>
    <w:uiPriority w:val="35"/>
    <w:unhideWhenUsed/>
    <w:qFormat/>
    <w:rsid w:val="00E97B3F"/>
    <w:pPr>
      <w:spacing w:after="200" w:line="240" w:lineRule="auto"/>
    </w:pPr>
    <w:rPr>
      <w:i/>
      <w:iCs/>
      <w:color w:val="44546A" w:themeColor="text2"/>
      <w:sz w:val="18"/>
      <w:szCs w:val="18"/>
    </w:rPr>
  </w:style>
  <w:style w:type="paragraph" w:customStyle="1" w:styleId="Char2">
    <w:name w:val="Char2"/>
    <w:basedOn w:val="Normal"/>
    <w:link w:val="FootnoteReference"/>
    <w:uiPriority w:val="99"/>
    <w:rsid w:val="00E97B3F"/>
    <w:pPr>
      <w:spacing w:line="240" w:lineRule="exact"/>
      <w:jc w:val="both"/>
    </w:pPr>
    <w:rPr>
      <w:vertAlign w:val="superscript"/>
    </w:rPr>
  </w:style>
  <w:style w:type="paragraph" w:styleId="NoSpacing">
    <w:name w:val="No Spacing"/>
    <w:uiPriority w:val="1"/>
    <w:qFormat/>
    <w:rsid w:val="00B733FF"/>
    <w:pPr>
      <w:bidi/>
      <w:spacing w:after="0" w:line="240" w:lineRule="auto"/>
    </w:pPr>
    <w:rPr>
      <w:rtl/>
    </w:rPr>
  </w:style>
  <w:style w:type="table" w:customStyle="1" w:styleId="TableGrid1">
    <w:name w:val="Table Grid1"/>
    <w:basedOn w:val="TableNormal"/>
    <w:next w:val="TableGrid"/>
    <w:rsid w:val="004027C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5729"/>
    <w:rPr>
      <w:rFonts w:ascii="Times New Roman" w:eastAsiaTheme="majorEastAsia" w:hAnsi="Times New Roman" w:cs="Times New Roman"/>
      <w:b/>
      <w:bCs/>
      <w:sz w:val="20"/>
      <w:szCs w:val="20"/>
    </w:rPr>
  </w:style>
  <w:style w:type="paragraph" w:styleId="TOCHeading">
    <w:name w:val="TOC Heading"/>
    <w:basedOn w:val="Heading1"/>
    <w:next w:val="Normal"/>
    <w:uiPriority w:val="39"/>
    <w:unhideWhenUsed/>
    <w:qFormat/>
    <w:rsid w:val="004D5F87"/>
    <w:pPr>
      <w:outlineLvl w:val="9"/>
    </w:pPr>
  </w:style>
  <w:style w:type="paragraph" w:styleId="TOC2">
    <w:name w:val="toc 2"/>
    <w:basedOn w:val="Normal"/>
    <w:next w:val="Normal"/>
    <w:autoRedefine/>
    <w:uiPriority w:val="39"/>
    <w:unhideWhenUsed/>
    <w:rsid w:val="00304D00"/>
    <w:pPr>
      <w:tabs>
        <w:tab w:val="left" w:pos="660"/>
        <w:tab w:val="right" w:leader="dot" w:pos="9350"/>
      </w:tabs>
      <w:spacing w:after="100"/>
    </w:pPr>
  </w:style>
  <w:style w:type="paragraph" w:styleId="TOC1">
    <w:name w:val="toc 1"/>
    <w:basedOn w:val="Normal"/>
    <w:next w:val="Normal"/>
    <w:autoRedefine/>
    <w:uiPriority w:val="39"/>
    <w:unhideWhenUsed/>
    <w:rsid w:val="006348E8"/>
    <w:pPr>
      <w:tabs>
        <w:tab w:val="left" w:pos="440"/>
        <w:tab w:val="right" w:leader="dot" w:pos="9350"/>
      </w:tabs>
      <w:spacing w:after="100"/>
    </w:pPr>
    <w:rPr>
      <w:rFonts w:ascii="Times New Roman" w:hAnsi="Times New Roman"/>
    </w:rPr>
  </w:style>
  <w:style w:type="character" w:customStyle="1" w:styleId="Heading2Char">
    <w:name w:val="Heading 2 Char"/>
    <w:basedOn w:val="DefaultParagraphFont"/>
    <w:link w:val="Heading2"/>
    <w:uiPriority w:val="9"/>
    <w:rsid w:val="00CA1AB0"/>
    <w:rPr>
      <w:rFonts w:ascii="Times New Roman" w:eastAsiaTheme="majorEastAsia" w:hAnsi="Times New Roman" w:cstheme="majorBidi"/>
      <w:b/>
      <w:smallCaps/>
      <w:sz w:val="24"/>
      <w:szCs w:val="26"/>
    </w:rPr>
  </w:style>
  <w:style w:type="paragraph" w:styleId="TableofFigures">
    <w:name w:val="table of figures"/>
    <w:basedOn w:val="Normal"/>
    <w:next w:val="Normal"/>
    <w:uiPriority w:val="99"/>
    <w:unhideWhenUsed/>
    <w:rsid w:val="00B16FCA"/>
    <w:pPr>
      <w:spacing w:after="0"/>
    </w:pPr>
  </w:style>
  <w:style w:type="paragraph" w:styleId="Revision">
    <w:name w:val="Revision"/>
    <w:hidden/>
    <w:uiPriority w:val="99"/>
    <w:semiHidden/>
    <w:rsid w:val="003C4B8E"/>
    <w:pPr>
      <w:bidi/>
      <w:spacing w:after="0" w:line="240" w:lineRule="auto"/>
    </w:pPr>
    <w:rPr>
      <w:rtl/>
    </w:rPr>
  </w:style>
  <w:style w:type="numbering" w:customStyle="1" w:styleId="NoList1">
    <w:name w:val="No List1"/>
    <w:next w:val="NoList"/>
    <w:uiPriority w:val="99"/>
    <w:semiHidden/>
    <w:unhideWhenUsed/>
    <w:rsid w:val="005C5177"/>
  </w:style>
  <w:style w:type="character" w:styleId="FollowedHyperlink">
    <w:name w:val="FollowedHyperlink"/>
    <w:basedOn w:val="DefaultParagraphFont"/>
    <w:uiPriority w:val="99"/>
    <w:semiHidden/>
    <w:unhideWhenUsed/>
    <w:rsid w:val="005C5177"/>
    <w:rPr>
      <w:color w:val="954F72" w:themeColor="followedHyperlink"/>
      <w:u w:val="single"/>
    </w:rPr>
  </w:style>
  <w:style w:type="paragraph" w:customStyle="1" w:styleId="msonormal0">
    <w:name w:val="msonormal"/>
    <w:basedOn w:val="Normal"/>
    <w:uiPriority w:val="99"/>
    <w:semiHidden/>
    <w:rsid w:val="005C5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aliases w:val="ft Char1,single space Char1,footnote text Char1,FOOTNOTES Char1,fn Char1,ADB Char1,WB-Fußnotentext Char1,Footnote Char1,Fußnote Char1,Geneva 9 Char1,Font: Geneva 9 Char1,Boston 10 Char1,f Char1,Fußnotentextf Char1,Char Char Char Char"/>
    <w:basedOn w:val="DefaultParagraphFont"/>
    <w:uiPriority w:val="99"/>
    <w:semiHidden/>
    <w:rsid w:val="005C5177"/>
    <w:rPr>
      <w:rFonts w:ascii="Calibri" w:eastAsia="Calibri" w:hAnsi="Calibri" w:cs="Arial"/>
      <w:sz w:val="20"/>
      <w:szCs w:val="20"/>
    </w:rPr>
  </w:style>
  <w:style w:type="table" w:customStyle="1" w:styleId="TableGrid2">
    <w:name w:val="Table Grid2"/>
    <w:basedOn w:val="TableNormal"/>
    <w:next w:val="TableGrid"/>
    <w:uiPriority w:val="39"/>
    <w:rsid w:val="005C51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5C51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rsid w:val="005C51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rsid w:val="005C51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39"/>
    <w:rsid w:val="005C51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5C5177"/>
    <w:pPr>
      <w:spacing w:after="0" w:line="240" w:lineRule="auto"/>
    </w:pPr>
    <w:rPr>
      <w:rFonts w:ascii="Calibri" w:eastAsia="Calibri" w:hAnsi="Calibri" w:cs="Arial"/>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5C517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2A4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750">
      <w:bodyDiv w:val="1"/>
      <w:marLeft w:val="0"/>
      <w:marRight w:val="0"/>
      <w:marTop w:val="0"/>
      <w:marBottom w:val="0"/>
      <w:divBdr>
        <w:top w:val="none" w:sz="0" w:space="0" w:color="auto"/>
        <w:left w:val="none" w:sz="0" w:space="0" w:color="auto"/>
        <w:bottom w:val="none" w:sz="0" w:space="0" w:color="auto"/>
        <w:right w:val="none" w:sz="0" w:space="0" w:color="auto"/>
      </w:divBdr>
    </w:div>
    <w:div w:id="36660284">
      <w:bodyDiv w:val="1"/>
      <w:marLeft w:val="0"/>
      <w:marRight w:val="0"/>
      <w:marTop w:val="0"/>
      <w:marBottom w:val="0"/>
      <w:divBdr>
        <w:top w:val="none" w:sz="0" w:space="0" w:color="auto"/>
        <w:left w:val="none" w:sz="0" w:space="0" w:color="auto"/>
        <w:bottom w:val="none" w:sz="0" w:space="0" w:color="auto"/>
        <w:right w:val="none" w:sz="0" w:space="0" w:color="auto"/>
      </w:divBdr>
    </w:div>
    <w:div w:id="51541287">
      <w:bodyDiv w:val="1"/>
      <w:marLeft w:val="0"/>
      <w:marRight w:val="0"/>
      <w:marTop w:val="0"/>
      <w:marBottom w:val="0"/>
      <w:divBdr>
        <w:top w:val="none" w:sz="0" w:space="0" w:color="auto"/>
        <w:left w:val="none" w:sz="0" w:space="0" w:color="auto"/>
        <w:bottom w:val="none" w:sz="0" w:space="0" w:color="auto"/>
        <w:right w:val="none" w:sz="0" w:space="0" w:color="auto"/>
      </w:divBdr>
      <w:divsChild>
        <w:div w:id="498231233">
          <w:marLeft w:val="446"/>
          <w:marRight w:val="0"/>
          <w:marTop w:val="96"/>
          <w:marBottom w:val="120"/>
          <w:divBdr>
            <w:top w:val="none" w:sz="0" w:space="0" w:color="auto"/>
            <w:left w:val="none" w:sz="0" w:space="0" w:color="auto"/>
            <w:bottom w:val="none" w:sz="0" w:space="0" w:color="auto"/>
            <w:right w:val="none" w:sz="0" w:space="0" w:color="auto"/>
          </w:divBdr>
        </w:div>
      </w:divsChild>
    </w:div>
    <w:div w:id="71439166">
      <w:bodyDiv w:val="1"/>
      <w:marLeft w:val="0"/>
      <w:marRight w:val="0"/>
      <w:marTop w:val="0"/>
      <w:marBottom w:val="0"/>
      <w:divBdr>
        <w:top w:val="none" w:sz="0" w:space="0" w:color="auto"/>
        <w:left w:val="none" w:sz="0" w:space="0" w:color="auto"/>
        <w:bottom w:val="none" w:sz="0" w:space="0" w:color="auto"/>
        <w:right w:val="none" w:sz="0" w:space="0" w:color="auto"/>
      </w:divBdr>
    </w:div>
    <w:div w:id="86121588">
      <w:bodyDiv w:val="1"/>
      <w:marLeft w:val="0"/>
      <w:marRight w:val="0"/>
      <w:marTop w:val="0"/>
      <w:marBottom w:val="0"/>
      <w:divBdr>
        <w:top w:val="none" w:sz="0" w:space="0" w:color="auto"/>
        <w:left w:val="none" w:sz="0" w:space="0" w:color="auto"/>
        <w:bottom w:val="none" w:sz="0" w:space="0" w:color="auto"/>
        <w:right w:val="none" w:sz="0" w:space="0" w:color="auto"/>
      </w:divBdr>
    </w:div>
    <w:div w:id="102919542">
      <w:bodyDiv w:val="1"/>
      <w:marLeft w:val="0"/>
      <w:marRight w:val="0"/>
      <w:marTop w:val="0"/>
      <w:marBottom w:val="0"/>
      <w:divBdr>
        <w:top w:val="none" w:sz="0" w:space="0" w:color="auto"/>
        <w:left w:val="none" w:sz="0" w:space="0" w:color="auto"/>
        <w:bottom w:val="none" w:sz="0" w:space="0" w:color="auto"/>
        <w:right w:val="none" w:sz="0" w:space="0" w:color="auto"/>
      </w:divBdr>
    </w:div>
    <w:div w:id="150803051">
      <w:bodyDiv w:val="1"/>
      <w:marLeft w:val="0"/>
      <w:marRight w:val="0"/>
      <w:marTop w:val="0"/>
      <w:marBottom w:val="0"/>
      <w:divBdr>
        <w:top w:val="none" w:sz="0" w:space="0" w:color="auto"/>
        <w:left w:val="none" w:sz="0" w:space="0" w:color="auto"/>
        <w:bottom w:val="none" w:sz="0" w:space="0" w:color="auto"/>
        <w:right w:val="none" w:sz="0" w:space="0" w:color="auto"/>
      </w:divBdr>
    </w:div>
    <w:div w:id="254948290">
      <w:bodyDiv w:val="1"/>
      <w:marLeft w:val="0"/>
      <w:marRight w:val="0"/>
      <w:marTop w:val="0"/>
      <w:marBottom w:val="0"/>
      <w:divBdr>
        <w:top w:val="none" w:sz="0" w:space="0" w:color="auto"/>
        <w:left w:val="none" w:sz="0" w:space="0" w:color="auto"/>
        <w:bottom w:val="none" w:sz="0" w:space="0" w:color="auto"/>
        <w:right w:val="none" w:sz="0" w:space="0" w:color="auto"/>
      </w:divBdr>
    </w:div>
    <w:div w:id="394471295">
      <w:bodyDiv w:val="1"/>
      <w:marLeft w:val="0"/>
      <w:marRight w:val="0"/>
      <w:marTop w:val="0"/>
      <w:marBottom w:val="0"/>
      <w:divBdr>
        <w:top w:val="none" w:sz="0" w:space="0" w:color="auto"/>
        <w:left w:val="none" w:sz="0" w:space="0" w:color="auto"/>
        <w:bottom w:val="none" w:sz="0" w:space="0" w:color="auto"/>
        <w:right w:val="none" w:sz="0" w:space="0" w:color="auto"/>
      </w:divBdr>
    </w:div>
    <w:div w:id="762997127">
      <w:bodyDiv w:val="1"/>
      <w:marLeft w:val="0"/>
      <w:marRight w:val="0"/>
      <w:marTop w:val="0"/>
      <w:marBottom w:val="0"/>
      <w:divBdr>
        <w:top w:val="none" w:sz="0" w:space="0" w:color="auto"/>
        <w:left w:val="none" w:sz="0" w:space="0" w:color="auto"/>
        <w:bottom w:val="none" w:sz="0" w:space="0" w:color="auto"/>
        <w:right w:val="none" w:sz="0" w:space="0" w:color="auto"/>
      </w:divBdr>
    </w:div>
    <w:div w:id="831020952">
      <w:bodyDiv w:val="1"/>
      <w:marLeft w:val="0"/>
      <w:marRight w:val="0"/>
      <w:marTop w:val="0"/>
      <w:marBottom w:val="0"/>
      <w:divBdr>
        <w:top w:val="none" w:sz="0" w:space="0" w:color="auto"/>
        <w:left w:val="none" w:sz="0" w:space="0" w:color="auto"/>
        <w:bottom w:val="none" w:sz="0" w:space="0" w:color="auto"/>
        <w:right w:val="none" w:sz="0" w:space="0" w:color="auto"/>
      </w:divBdr>
    </w:div>
    <w:div w:id="926037618">
      <w:bodyDiv w:val="1"/>
      <w:marLeft w:val="0"/>
      <w:marRight w:val="0"/>
      <w:marTop w:val="0"/>
      <w:marBottom w:val="0"/>
      <w:divBdr>
        <w:top w:val="none" w:sz="0" w:space="0" w:color="auto"/>
        <w:left w:val="none" w:sz="0" w:space="0" w:color="auto"/>
        <w:bottom w:val="none" w:sz="0" w:space="0" w:color="auto"/>
        <w:right w:val="none" w:sz="0" w:space="0" w:color="auto"/>
      </w:divBdr>
    </w:div>
    <w:div w:id="932932288">
      <w:bodyDiv w:val="1"/>
      <w:marLeft w:val="0"/>
      <w:marRight w:val="0"/>
      <w:marTop w:val="0"/>
      <w:marBottom w:val="0"/>
      <w:divBdr>
        <w:top w:val="none" w:sz="0" w:space="0" w:color="auto"/>
        <w:left w:val="none" w:sz="0" w:space="0" w:color="auto"/>
        <w:bottom w:val="none" w:sz="0" w:space="0" w:color="auto"/>
        <w:right w:val="none" w:sz="0" w:space="0" w:color="auto"/>
      </w:divBdr>
    </w:div>
    <w:div w:id="1034617945">
      <w:bodyDiv w:val="1"/>
      <w:marLeft w:val="0"/>
      <w:marRight w:val="0"/>
      <w:marTop w:val="0"/>
      <w:marBottom w:val="0"/>
      <w:divBdr>
        <w:top w:val="none" w:sz="0" w:space="0" w:color="auto"/>
        <w:left w:val="none" w:sz="0" w:space="0" w:color="auto"/>
        <w:bottom w:val="none" w:sz="0" w:space="0" w:color="auto"/>
        <w:right w:val="none" w:sz="0" w:space="0" w:color="auto"/>
      </w:divBdr>
    </w:div>
    <w:div w:id="1046487371">
      <w:bodyDiv w:val="1"/>
      <w:marLeft w:val="0"/>
      <w:marRight w:val="0"/>
      <w:marTop w:val="0"/>
      <w:marBottom w:val="0"/>
      <w:divBdr>
        <w:top w:val="none" w:sz="0" w:space="0" w:color="auto"/>
        <w:left w:val="none" w:sz="0" w:space="0" w:color="auto"/>
        <w:bottom w:val="none" w:sz="0" w:space="0" w:color="auto"/>
        <w:right w:val="none" w:sz="0" w:space="0" w:color="auto"/>
      </w:divBdr>
    </w:div>
    <w:div w:id="1047952013">
      <w:bodyDiv w:val="1"/>
      <w:marLeft w:val="0"/>
      <w:marRight w:val="0"/>
      <w:marTop w:val="0"/>
      <w:marBottom w:val="0"/>
      <w:divBdr>
        <w:top w:val="none" w:sz="0" w:space="0" w:color="auto"/>
        <w:left w:val="none" w:sz="0" w:space="0" w:color="auto"/>
        <w:bottom w:val="none" w:sz="0" w:space="0" w:color="auto"/>
        <w:right w:val="none" w:sz="0" w:space="0" w:color="auto"/>
      </w:divBdr>
    </w:div>
    <w:div w:id="1058937242">
      <w:bodyDiv w:val="1"/>
      <w:marLeft w:val="0"/>
      <w:marRight w:val="0"/>
      <w:marTop w:val="0"/>
      <w:marBottom w:val="0"/>
      <w:divBdr>
        <w:top w:val="none" w:sz="0" w:space="0" w:color="auto"/>
        <w:left w:val="none" w:sz="0" w:space="0" w:color="auto"/>
        <w:bottom w:val="none" w:sz="0" w:space="0" w:color="auto"/>
        <w:right w:val="none" w:sz="0" w:space="0" w:color="auto"/>
      </w:divBdr>
    </w:div>
    <w:div w:id="1155030461">
      <w:bodyDiv w:val="1"/>
      <w:marLeft w:val="0"/>
      <w:marRight w:val="0"/>
      <w:marTop w:val="0"/>
      <w:marBottom w:val="0"/>
      <w:divBdr>
        <w:top w:val="none" w:sz="0" w:space="0" w:color="auto"/>
        <w:left w:val="none" w:sz="0" w:space="0" w:color="auto"/>
        <w:bottom w:val="none" w:sz="0" w:space="0" w:color="auto"/>
        <w:right w:val="none" w:sz="0" w:space="0" w:color="auto"/>
      </w:divBdr>
    </w:div>
    <w:div w:id="1155299379">
      <w:bodyDiv w:val="1"/>
      <w:marLeft w:val="0"/>
      <w:marRight w:val="0"/>
      <w:marTop w:val="0"/>
      <w:marBottom w:val="0"/>
      <w:divBdr>
        <w:top w:val="none" w:sz="0" w:space="0" w:color="auto"/>
        <w:left w:val="none" w:sz="0" w:space="0" w:color="auto"/>
        <w:bottom w:val="none" w:sz="0" w:space="0" w:color="auto"/>
        <w:right w:val="none" w:sz="0" w:space="0" w:color="auto"/>
      </w:divBdr>
      <w:divsChild>
        <w:div w:id="1590196491">
          <w:marLeft w:val="446"/>
          <w:marRight w:val="0"/>
          <w:marTop w:val="96"/>
          <w:marBottom w:val="120"/>
          <w:divBdr>
            <w:top w:val="none" w:sz="0" w:space="0" w:color="auto"/>
            <w:left w:val="none" w:sz="0" w:space="0" w:color="auto"/>
            <w:bottom w:val="none" w:sz="0" w:space="0" w:color="auto"/>
            <w:right w:val="none" w:sz="0" w:space="0" w:color="auto"/>
          </w:divBdr>
        </w:div>
      </w:divsChild>
    </w:div>
    <w:div w:id="1240291902">
      <w:bodyDiv w:val="1"/>
      <w:marLeft w:val="0"/>
      <w:marRight w:val="0"/>
      <w:marTop w:val="0"/>
      <w:marBottom w:val="0"/>
      <w:divBdr>
        <w:top w:val="none" w:sz="0" w:space="0" w:color="auto"/>
        <w:left w:val="none" w:sz="0" w:space="0" w:color="auto"/>
        <w:bottom w:val="none" w:sz="0" w:space="0" w:color="auto"/>
        <w:right w:val="none" w:sz="0" w:space="0" w:color="auto"/>
      </w:divBdr>
    </w:div>
    <w:div w:id="1266353527">
      <w:bodyDiv w:val="1"/>
      <w:marLeft w:val="0"/>
      <w:marRight w:val="0"/>
      <w:marTop w:val="0"/>
      <w:marBottom w:val="0"/>
      <w:divBdr>
        <w:top w:val="none" w:sz="0" w:space="0" w:color="auto"/>
        <w:left w:val="none" w:sz="0" w:space="0" w:color="auto"/>
        <w:bottom w:val="none" w:sz="0" w:space="0" w:color="auto"/>
        <w:right w:val="none" w:sz="0" w:space="0" w:color="auto"/>
      </w:divBdr>
    </w:div>
    <w:div w:id="1277443515">
      <w:bodyDiv w:val="1"/>
      <w:marLeft w:val="0"/>
      <w:marRight w:val="0"/>
      <w:marTop w:val="0"/>
      <w:marBottom w:val="0"/>
      <w:divBdr>
        <w:top w:val="none" w:sz="0" w:space="0" w:color="auto"/>
        <w:left w:val="none" w:sz="0" w:space="0" w:color="auto"/>
        <w:bottom w:val="none" w:sz="0" w:space="0" w:color="auto"/>
        <w:right w:val="none" w:sz="0" w:space="0" w:color="auto"/>
      </w:divBdr>
    </w:div>
    <w:div w:id="1310550040">
      <w:bodyDiv w:val="1"/>
      <w:marLeft w:val="0"/>
      <w:marRight w:val="0"/>
      <w:marTop w:val="0"/>
      <w:marBottom w:val="0"/>
      <w:divBdr>
        <w:top w:val="none" w:sz="0" w:space="0" w:color="auto"/>
        <w:left w:val="none" w:sz="0" w:space="0" w:color="auto"/>
        <w:bottom w:val="none" w:sz="0" w:space="0" w:color="auto"/>
        <w:right w:val="none" w:sz="0" w:space="0" w:color="auto"/>
      </w:divBdr>
    </w:div>
    <w:div w:id="1313369885">
      <w:bodyDiv w:val="1"/>
      <w:marLeft w:val="0"/>
      <w:marRight w:val="0"/>
      <w:marTop w:val="0"/>
      <w:marBottom w:val="0"/>
      <w:divBdr>
        <w:top w:val="none" w:sz="0" w:space="0" w:color="auto"/>
        <w:left w:val="none" w:sz="0" w:space="0" w:color="auto"/>
        <w:bottom w:val="none" w:sz="0" w:space="0" w:color="auto"/>
        <w:right w:val="none" w:sz="0" w:space="0" w:color="auto"/>
      </w:divBdr>
    </w:div>
    <w:div w:id="1327175232">
      <w:bodyDiv w:val="1"/>
      <w:marLeft w:val="0"/>
      <w:marRight w:val="0"/>
      <w:marTop w:val="0"/>
      <w:marBottom w:val="0"/>
      <w:divBdr>
        <w:top w:val="none" w:sz="0" w:space="0" w:color="auto"/>
        <w:left w:val="none" w:sz="0" w:space="0" w:color="auto"/>
        <w:bottom w:val="none" w:sz="0" w:space="0" w:color="auto"/>
        <w:right w:val="none" w:sz="0" w:space="0" w:color="auto"/>
      </w:divBdr>
    </w:div>
    <w:div w:id="1351449966">
      <w:bodyDiv w:val="1"/>
      <w:marLeft w:val="0"/>
      <w:marRight w:val="0"/>
      <w:marTop w:val="0"/>
      <w:marBottom w:val="0"/>
      <w:divBdr>
        <w:top w:val="none" w:sz="0" w:space="0" w:color="auto"/>
        <w:left w:val="none" w:sz="0" w:space="0" w:color="auto"/>
        <w:bottom w:val="none" w:sz="0" w:space="0" w:color="auto"/>
        <w:right w:val="none" w:sz="0" w:space="0" w:color="auto"/>
      </w:divBdr>
    </w:div>
    <w:div w:id="1362899109">
      <w:bodyDiv w:val="1"/>
      <w:marLeft w:val="0"/>
      <w:marRight w:val="0"/>
      <w:marTop w:val="0"/>
      <w:marBottom w:val="0"/>
      <w:divBdr>
        <w:top w:val="none" w:sz="0" w:space="0" w:color="auto"/>
        <w:left w:val="none" w:sz="0" w:space="0" w:color="auto"/>
        <w:bottom w:val="none" w:sz="0" w:space="0" w:color="auto"/>
        <w:right w:val="none" w:sz="0" w:space="0" w:color="auto"/>
      </w:divBdr>
    </w:div>
    <w:div w:id="1383627747">
      <w:bodyDiv w:val="1"/>
      <w:marLeft w:val="0"/>
      <w:marRight w:val="0"/>
      <w:marTop w:val="0"/>
      <w:marBottom w:val="0"/>
      <w:divBdr>
        <w:top w:val="none" w:sz="0" w:space="0" w:color="auto"/>
        <w:left w:val="none" w:sz="0" w:space="0" w:color="auto"/>
        <w:bottom w:val="none" w:sz="0" w:space="0" w:color="auto"/>
        <w:right w:val="none" w:sz="0" w:space="0" w:color="auto"/>
      </w:divBdr>
    </w:div>
    <w:div w:id="1404133824">
      <w:bodyDiv w:val="1"/>
      <w:marLeft w:val="0"/>
      <w:marRight w:val="0"/>
      <w:marTop w:val="0"/>
      <w:marBottom w:val="0"/>
      <w:divBdr>
        <w:top w:val="none" w:sz="0" w:space="0" w:color="auto"/>
        <w:left w:val="none" w:sz="0" w:space="0" w:color="auto"/>
        <w:bottom w:val="none" w:sz="0" w:space="0" w:color="auto"/>
        <w:right w:val="none" w:sz="0" w:space="0" w:color="auto"/>
      </w:divBdr>
    </w:div>
    <w:div w:id="1425298008">
      <w:bodyDiv w:val="1"/>
      <w:marLeft w:val="0"/>
      <w:marRight w:val="0"/>
      <w:marTop w:val="0"/>
      <w:marBottom w:val="0"/>
      <w:divBdr>
        <w:top w:val="none" w:sz="0" w:space="0" w:color="auto"/>
        <w:left w:val="none" w:sz="0" w:space="0" w:color="auto"/>
        <w:bottom w:val="none" w:sz="0" w:space="0" w:color="auto"/>
        <w:right w:val="none" w:sz="0" w:space="0" w:color="auto"/>
      </w:divBdr>
    </w:div>
    <w:div w:id="1439520244">
      <w:bodyDiv w:val="1"/>
      <w:marLeft w:val="0"/>
      <w:marRight w:val="0"/>
      <w:marTop w:val="0"/>
      <w:marBottom w:val="0"/>
      <w:divBdr>
        <w:top w:val="none" w:sz="0" w:space="0" w:color="auto"/>
        <w:left w:val="none" w:sz="0" w:space="0" w:color="auto"/>
        <w:bottom w:val="none" w:sz="0" w:space="0" w:color="auto"/>
        <w:right w:val="none" w:sz="0" w:space="0" w:color="auto"/>
      </w:divBdr>
    </w:div>
    <w:div w:id="1500730281">
      <w:bodyDiv w:val="1"/>
      <w:marLeft w:val="0"/>
      <w:marRight w:val="0"/>
      <w:marTop w:val="0"/>
      <w:marBottom w:val="0"/>
      <w:divBdr>
        <w:top w:val="none" w:sz="0" w:space="0" w:color="auto"/>
        <w:left w:val="none" w:sz="0" w:space="0" w:color="auto"/>
        <w:bottom w:val="none" w:sz="0" w:space="0" w:color="auto"/>
        <w:right w:val="none" w:sz="0" w:space="0" w:color="auto"/>
      </w:divBdr>
    </w:div>
    <w:div w:id="1525292931">
      <w:bodyDiv w:val="1"/>
      <w:marLeft w:val="0"/>
      <w:marRight w:val="0"/>
      <w:marTop w:val="0"/>
      <w:marBottom w:val="0"/>
      <w:divBdr>
        <w:top w:val="none" w:sz="0" w:space="0" w:color="auto"/>
        <w:left w:val="none" w:sz="0" w:space="0" w:color="auto"/>
        <w:bottom w:val="none" w:sz="0" w:space="0" w:color="auto"/>
        <w:right w:val="none" w:sz="0" w:space="0" w:color="auto"/>
      </w:divBdr>
    </w:div>
    <w:div w:id="1530685498">
      <w:bodyDiv w:val="1"/>
      <w:marLeft w:val="0"/>
      <w:marRight w:val="0"/>
      <w:marTop w:val="0"/>
      <w:marBottom w:val="0"/>
      <w:divBdr>
        <w:top w:val="none" w:sz="0" w:space="0" w:color="auto"/>
        <w:left w:val="none" w:sz="0" w:space="0" w:color="auto"/>
        <w:bottom w:val="none" w:sz="0" w:space="0" w:color="auto"/>
        <w:right w:val="none" w:sz="0" w:space="0" w:color="auto"/>
      </w:divBdr>
    </w:div>
    <w:div w:id="1618684867">
      <w:bodyDiv w:val="1"/>
      <w:marLeft w:val="0"/>
      <w:marRight w:val="0"/>
      <w:marTop w:val="0"/>
      <w:marBottom w:val="0"/>
      <w:divBdr>
        <w:top w:val="none" w:sz="0" w:space="0" w:color="auto"/>
        <w:left w:val="none" w:sz="0" w:space="0" w:color="auto"/>
        <w:bottom w:val="none" w:sz="0" w:space="0" w:color="auto"/>
        <w:right w:val="none" w:sz="0" w:space="0" w:color="auto"/>
      </w:divBdr>
      <w:divsChild>
        <w:div w:id="2037928191">
          <w:marLeft w:val="274"/>
          <w:marRight w:val="0"/>
          <w:marTop w:val="0"/>
          <w:marBottom w:val="0"/>
          <w:divBdr>
            <w:top w:val="none" w:sz="0" w:space="0" w:color="auto"/>
            <w:left w:val="none" w:sz="0" w:space="0" w:color="auto"/>
            <w:bottom w:val="none" w:sz="0" w:space="0" w:color="auto"/>
            <w:right w:val="none" w:sz="0" w:space="0" w:color="auto"/>
          </w:divBdr>
        </w:div>
      </w:divsChild>
    </w:div>
    <w:div w:id="1699240364">
      <w:bodyDiv w:val="1"/>
      <w:marLeft w:val="0"/>
      <w:marRight w:val="0"/>
      <w:marTop w:val="0"/>
      <w:marBottom w:val="0"/>
      <w:divBdr>
        <w:top w:val="none" w:sz="0" w:space="0" w:color="auto"/>
        <w:left w:val="none" w:sz="0" w:space="0" w:color="auto"/>
        <w:bottom w:val="none" w:sz="0" w:space="0" w:color="auto"/>
        <w:right w:val="none" w:sz="0" w:space="0" w:color="auto"/>
      </w:divBdr>
    </w:div>
    <w:div w:id="1777410686">
      <w:bodyDiv w:val="1"/>
      <w:marLeft w:val="0"/>
      <w:marRight w:val="0"/>
      <w:marTop w:val="0"/>
      <w:marBottom w:val="0"/>
      <w:divBdr>
        <w:top w:val="none" w:sz="0" w:space="0" w:color="auto"/>
        <w:left w:val="none" w:sz="0" w:space="0" w:color="auto"/>
        <w:bottom w:val="none" w:sz="0" w:space="0" w:color="auto"/>
        <w:right w:val="none" w:sz="0" w:space="0" w:color="auto"/>
      </w:divBdr>
    </w:div>
    <w:div w:id="1787919487">
      <w:bodyDiv w:val="1"/>
      <w:marLeft w:val="0"/>
      <w:marRight w:val="0"/>
      <w:marTop w:val="0"/>
      <w:marBottom w:val="0"/>
      <w:divBdr>
        <w:top w:val="none" w:sz="0" w:space="0" w:color="auto"/>
        <w:left w:val="none" w:sz="0" w:space="0" w:color="auto"/>
        <w:bottom w:val="none" w:sz="0" w:space="0" w:color="auto"/>
        <w:right w:val="none" w:sz="0" w:space="0" w:color="auto"/>
      </w:divBdr>
    </w:div>
    <w:div w:id="1820924500">
      <w:bodyDiv w:val="1"/>
      <w:marLeft w:val="0"/>
      <w:marRight w:val="0"/>
      <w:marTop w:val="0"/>
      <w:marBottom w:val="0"/>
      <w:divBdr>
        <w:top w:val="none" w:sz="0" w:space="0" w:color="auto"/>
        <w:left w:val="none" w:sz="0" w:space="0" w:color="auto"/>
        <w:bottom w:val="none" w:sz="0" w:space="0" w:color="auto"/>
        <w:right w:val="none" w:sz="0" w:space="0" w:color="auto"/>
      </w:divBdr>
      <w:divsChild>
        <w:div w:id="1626083474">
          <w:marLeft w:val="274"/>
          <w:marRight w:val="0"/>
          <w:marTop w:val="0"/>
          <w:marBottom w:val="0"/>
          <w:divBdr>
            <w:top w:val="none" w:sz="0" w:space="0" w:color="auto"/>
            <w:left w:val="none" w:sz="0" w:space="0" w:color="auto"/>
            <w:bottom w:val="none" w:sz="0" w:space="0" w:color="auto"/>
            <w:right w:val="none" w:sz="0" w:space="0" w:color="auto"/>
          </w:divBdr>
        </w:div>
        <w:div w:id="1530266452">
          <w:marLeft w:val="274"/>
          <w:marRight w:val="0"/>
          <w:marTop w:val="0"/>
          <w:marBottom w:val="0"/>
          <w:divBdr>
            <w:top w:val="none" w:sz="0" w:space="0" w:color="auto"/>
            <w:left w:val="none" w:sz="0" w:space="0" w:color="auto"/>
            <w:bottom w:val="none" w:sz="0" w:space="0" w:color="auto"/>
            <w:right w:val="none" w:sz="0" w:space="0" w:color="auto"/>
          </w:divBdr>
        </w:div>
        <w:div w:id="676156548">
          <w:marLeft w:val="274"/>
          <w:marRight w:val="0"/>
          <w:marTop w:val="0"/>
          <w:marBottom w:val="0"/>
          <w:divBdr>
            <w:top w:val="none" w:sz="0" w:space="0" w:color="auto"/>
            <w:left w:val="none" w:sz="0" w:space="0" w:color="auto"/>
            <w:bottom w:val="none" w:sz="0" w:space="0" w:color="auto"/>
            <w:right w:val="none" w:sz="0" w:space="0" w:color="auto"/>
          </w:divBdr>
        </w:div>
      </w:divsChild>
    </w:div>
    <w:div w:id="2036999135">
      <w:bodyDiv w:val="1"/>
      <w:marLeft w:val="0"/>
      <w:marRight w:val="0"/>
      <w:marTop w:val="0"/>
      <w:marBottom w:val="0"/>
      <w:divBdr>
        <w:top w:val="none" w:sz="0" w:space="0" w:color="auto"/>
        <w:left w:val="none" w:sz="0" w:space="0" w:color="auto"/>
        <w:bottom w:val="none" w:sz="0" w:space="0" w:color="auto"/>
        <w:right w:val="none" w:sz="0" w:space="0" w:color="auto"/>
      </w:divBdr>
    </w:div>
    <w:div w:id="20467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By xmlns="d6267e6a-bf3f-4308-983a-8e32ad3cd070">Teri Nachazel</SubmittedBy>
    <OtherTitle xmlns="ee363e03-ffe3-4ea8-891f-7c22e1e48952">Assistance Strategy FY18-21 for the West Bank and Gaza</OtherTitle>
    <InformationClassification xmlns="d6267e6a-bf3f-4308-983a-8e32ad3cd070">Public</InformationClassification>
    <AccesstoInformationPolicyException xmlns="d6267e6a-bf3f-4308-983a-8e32ad3cd070" xsi:nil="true"/>
    <DateSubmission xmlns="d6267e6a-bf3f-4308-983a-8e32ad3cd070">12/22/2017</DateSubmission>
    <ReportNumber xmlns="d6267e6a-bf3f-4308-983a-8e32ad3cd070">GZ-115201</ReportNumber>
    <Comment1 xmlns="d6267e6a-bf3f-4308-983a-8e32ad3cd070">This is the Arabic version of West Bank and Gaza Strategy.</Comment1>
    <IsitpartofaSeries xmlns="d6267e6a-bf3f-4308-983a-8e32ad3cd070">No</IsitpartofaSeries>
    <Languages xmlns="d6267e6a-bf3f-4308-983a-8e32ad3cd070">Arabic</Languages>
    <Document_x0020_Submission_x0020_Workflow xmlns="ee363e03-ffe3-4ea8-891f-7c22e1e48952">
      <Url xsi:nil="true"/>
      <Description xsi:nil="true"/>
    </Document_x0020_Submission_x0020_Workflow>
    <DocumentName xmlns="ee363e03-ffe3-4ea8-891f-7c22e1e48952">ArabicVersionGSDWestBankandGazaStrategyFY.docx</DocumentName>
    <SendMail xmlns="d6267e6a-bf3f-4308-983a-8e32ad3cd070">tnachazel@worldbank.org</SendMail>
    <ProjectIDNumber xmlns="d6267e6a-bf3f-4308-983a-8e32ad3cd070">P161682</ProjectIDNumber>
    <UserSubmittedAbstract xmlns="d6267e6a-bf3f-4308-983a-8e32ad3cd070">to be provided by GSD</UserSubmittedAbstract>
  </documentManagement>
</p:properties>
</file>

<file path=customXml/item2.xml><?xml version="1.0" encoding="utf-8"?>
<ct:contentTypeSchema xmlns:ct="http://schemas.microsoft.com/office/2006/metadata/contentType" xmlns:ma="http://schemas.microsoft.com/office/2006/metadata/properties/metaAttributes" ct:_="" ma:_="" ma:contentTypeName="Document_Submission" ma:contentTypeID="0x0101008431A1D8C2312847944FA20613D3A89100EB38AD71019081469B2AF86C0DFE710D" ma:contentTypeVersion="9" ma:contentTypeDescription="Document Submission Content Type" ma:contentTypeScope="" ma:versionID="7dfdafbe875c7dd473d1d0ef9d530909">
  <xsd:schema xmlns:xsd="http://www.w3.org/2001/XMLSchema" xmlns:xs="http://www.w3.org/2001/XMLSchema" xmlns:p="http://schemas.microsoft.com/office/2006/metadata/properties" xmlns:ns2="d6267e6a-bf3f-4308-983a-8e32ad3cd070" xmlns:ns3="ee363e03-ffe3-4ea8-891f-7c22e1e48952" targetNamespace="http://schemas.microsoft.com/office/2006/metadata/properties" ma:root="true" ma:fieldsID="e3f65101fc90e834a85ca790b1fdcaf5" ns2:_="" ns3:_="">
    <xsd:import namespace="d6267e6a-bf3f-4308-983a-8e32ad3cd070"/>
    <xsd:import namespace="ee363e03-ffe3-4ea8-891f-7c22e1e48952"/>
    <xsd:element name="properties">
      <xsd:complexType>
        <xsd:sequence>
          <xsd:element name="documentManagement">
            <xsd:complexType>
              <xsd:all>
                <xsd:element ref="ns2:AccesstoInformationPolicyException" minOccurs="0"/>
                <xsd:element ref="ns2:Comment1" minOccurs="0"/>
                <xsd:element ref="ns2:DateSubmission" minOccurs="0"/>
                <xsd:element ref="ns2:InformationClassification" minOccurs="0"/>
                <xsd:element ref="ns2:IsitpartofaSeries" minOccurs="0"/>
                <xsd:element ref="ns2:Languages" minOccurs="0"/>
                <xsd:element ref="ns2:ProjectIDNumber" minOccurs="0"/>
                <xsd:element ref="ns2:ReportNumber" minOccurs="0"/>
                <xsd:element ref="ns2:SendMail" minOccurs="0"/>
                <xsd:element ref="ns2:SubmittedBy" minOccurs="0"/>
                <xsd:element ref="ns2:UserSubmittedAbstract" minOccurs="0"/>
                <xsd:element ref="ns3:Document_x0020_Submission_x0020_Workflow" minOccurs="0"/>
                <xsd:element ref="ns3:DocumentName" minOccurs="0"/>
                <xsd:element ref="ns3:Other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67e6a-bf3f-4308-983a-8e32ad3cd070" elementFormDefault="qualified">
    <xsd:import namespace="http://schemas.microsoft.com/office/2006/documentManagement/types"/>
    <xsd:import namespace="http://schemas.microsoft.com/office/infopath/2007/PartnerControls"/>
    <xsd:element name="AccesstoInformationPolicyException" ma:index="8" nillable="true" ma:displayName="Access to Information Policy Exception" ma:internalName="AccesstoInformationPolicyException">
      <xsd:simpleType>
        <xsd:restriction base="dms:Text">
          <xsd:maxLength value="255"/>
        </xsd:restriction>
      </xsd:simpleType>
    </xsd:element>
    <xsd:element name="Comment1" ma:index="9" nillable="true" ma:displayName="Comment" ma:internalName="Comment1">
      <xsd:simpleType>
        <xsd:restriction base="dms:Note"/>
      </xsd:simpleType>
    </xsd:element>
    <xsd:element name="DateSubmission" ma:index="10" nillable="true" ma:displayName="Date of Submission" ma:internalName="DateSubmission">
      <xsd:simpleType>
        <xsd:restriction base="dms:Text">
          <xsd:maxLength value="255"/>
        </xsd:restriction>
      </xsd:simpleType>
    </xsd:element>
    <xsd:element name="InformationClassification" ma:index="11" nillable="true" ma:displayName="Information Classification" ma:internalName="InformationClassification">
      <xsd:simpleType>
        <xsd:restriction base="dms:Text">
          <xsd:maxLength value="255"/>
        </xsd:restriction>
      </xsd:simpleType>
    </xsd:element>
    <xsd:element name="IsitpartofaSeries" ma:index="12" nillable="true" ma:displayName="Is it part of a Series?" ma:internalName="IsitpartofaSeries">
      <xsd:simpleType>
        <xsd:restriction base="dms:Text">
          <xsd:maxLength value="255"/>
        </xsd:restriction>
      </xsd:simpleType>
    </xsd:element>
    <xsd:element name="Languages" ma:index="13" nillable="true" ma:displayName="Languages" ma:internalName="Languages">
      <xsd:simpleType>
        <xsd:restriction base="dms:Text">
          <xsd:maxLength value="255"/>
        </xsd:restriction>
      </xsd:simpleType>
    </xsd:element>
    <xsd:element name="ProjectIDNumber" ma:index="14" nillable="true" ma:displayName="Project ID Number" ma:internalName="ProjectIDNumber">
      <xsd:simpleType>
        <xsd:restriction base="dms:Text">
          <xsd:maxLength value="255"/>
        </xsd:restriction>
      </xsd:simpleType>
    </xsd:element>
    <xsd:element name="ReportNumber" ma:index="15" nillable="true" ma:displayName="Report Number" ma:internalName="ReportNumber" ma:readOnly="false">
      <xsd:simpleType>
        <xsd:restriction base="dms:Text">
          <xsd:maxLength value="255"/>
        </xsd:restriction>
      </xsd:simpleType>
    </xsd:element>
    <xsd:element name="SendMail" ma:index="16" nillable="true" ma:displayName="Send Mail" ma:internalName="SendMail" ma:readOnly="false">
      <xsd:simpleType>
        <xsd:restriction base="dms:Text">
          <xsd:maxLength value="255"/>
        </xsd:restriction>
      </xsd:simpleType>
    </xsd:element>
    <xsd:element name="SubmittedBy" ma:index="17" nillable="true" ma:displayName="Submitted By" ma:internalName="SubmittedBy" ma:readOnly="false">
      <xsd:simpleType>
        <xsd:restriction base="dms:Text">
          <xsd:maxLength value="255"/>
        </xsd:restriction>
      </xsd:simpleType>
    </xsd:element>
    <xsd:element name="UserSubmittedAbstract" ma:index="18" nillable="true" ma:displayName="User Submitted Abstract" ma:internalName="UserSubmittedAbstrac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363e03-ffe3-4ea8-891f-7c22e1e48952" elementFormDefault="qualified">
    <xsd:import namespace="http://schemas.microsoft.com/office/2006/documentManagement/types"/>
    <xsd:import namespace="http://schemas.microsoft.com/office/infopath/2007/PartnerControls"/>
    <xsd:element name="Document_x0020_Submission_x0020_Workflow" ma:index="19" nillable="true" ma:displayName="Document Submission Workflow" ma:internalName="Document_x0020_Submission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ocumentName" ma:index="20" nillable="true" ma:displayName="Document Name" ma:internalName="DocumentName">
      <xsd:simpleType>
        <xsd:restriction base="dms:Text">
          <xsd:maxLength value="255"/>
        </xsd:restriction>
      </xsd:simpleType>
    </xsd:element>
    <xsd:element name="OtherTitle" ma:index="21" nillable="true" ma:displayName="OtherTitle" ma:internalName="Other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A85D-5777-425A-BF98-B0BD16BF1407}">
  <ds:schemaRef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ee363e03-ffe3-4ea8-891f-7c22e1e48952"/>
    <ds:schemaRef ds:uri="d6267e6a-bf3f-4308-983a-8e32ad3cd070"/>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97DFDB52-9DE2-46D2-BBF6-F56D61F6F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67e6a-bf3f-4308-983a-8e32ad3cd070"/>
    <ds:schemaRef ds:uri="ee363e03-ffe3-4ea8-891f-7c22e1e4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33B41-8B20-4DAF-B8D8-CF5A980A6F80}">
  <ds:schemaRefs>
    <ds:schemaRef ds:uri="http://schemas.microsoft.com/sharepoint/v3/contenttype/forms"/>
  </ds:schemaRefs>
</ds:datastoreItem>
</file>

<file path=customXml/itemProps4.xml><?xml version="1.0" encoding="utf-8"?>
<ds:datastoreItem xmlns:ds="http://schemas.openxmlformats.org/officeDocument/2006/customXml" ds:itemID="{295FDDDF-AFD7-4ED1-B095-6965A681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16553</Words>
  <Characters>94356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22_12_2017_10_43_24_ArabicVersionGSDWestBankandGazaStrategyFY.docx</vt:lpstr>
    </vt:vector>
  </TitlesOfParts>
  <Company/>
  <LinksUpToDate>false</LinksUpToDate>
  <CharactersWithSpaces>110688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22_12_2017_10_43_24_ArabicVersionGSDWestBankandGazaStrategyFY.docx</dc:title>
  <dc:subject/>
  <dc:creator>Ranjana Mukherjee</dc:creator>
  <cp:keywords/>
  <dc:description/>
  <cp:lastModifiedBy>Andre E. Russo</cp:lastModifiedBy>
  <cp:revision>2</cp:revision>
  <cp:lastPrinted>2017-11-10T16:37:00Z</cp:lastPrinted>
  <dcterms:created xsi:type="dcterms:W3CDTF">2017-12-22T17:37:00Z</dcterms:created>
  <dcterms:modified xsi:type="dcterms:W3CDTF">2017-12-22T17:37:00Z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0x0101008431A1D8C2312847944FA20613D3A89100EB38AD71019081469B2AF86C0DFE710D</vt:lpwstr>
  </property>
  <property fmtid="{D5CDD505-2E9C-101B-9397-08002B2CF9AE}" pid="3" name="_dlc_DocIdItemGuid">
    <vt:lpwstr>0e0f6e0a-2c4b-4052-9fc9-29b021e6054d</vt:lpwstr>
  </property>
</Properties>
</file>