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4E68E23C" w14:textId="5938F912" w:rsidR="004E7CEA" w:rsidRPr="00C63608" w:rsidRDefault="003C01FB" w:rsidP="004E7CEA">
      <w:pPr>
        <w:spacing w:after="0"/>
        <w:jc w:val="center"/>
        <w:rPr>
          <w:rFonts w:cstheme="minorHAnsi"/>
          <w:b/>
          <w:color w:val="70AD47" w:themeColor="accent6"/>
          <w:sz w:val="40"/>
        </w:rPr>
      </w:pPr>
      <w:r w:rsidRPr="00C63608">
        <w:rPr>
          <w:rFonts w:cstheme="minorHAnsi"/>
          <w:b/>
          <w:color w:val="70AD47" w:themeColor="accent6"/>
          <w:sz w:val="40"/>
        </w:rPr>
        <w:t>D</w:t>
      </w:r>
      <w:r w:rsidR="00C63608">
        <w:rPr>
          <w:rFonts w:cstheme="minorHAnsi"/>
          <w:b/>
          <w:color w:val="70AD47" w:themeColor="accent6"/>
          <w:sz w:val="40"/>
        </w:rPr>
        <w:t>RAFT</w:t>
      </w:r>
    </w:p>
    <w:p w14:paraId="28BC0545" w14:textId="77777777" w:rsidR="000A0AEB" w:rsidRPr="00C63608" w:rsidRDefault="000A0AEB" w:rsidP="004E7CEA">
      <w:pPr>
        <w:spacing w:after="0"/>
        <w:jc w:val="center"/>
        <w:rPr>
          <w:rFonts w:cstheme="minorHAnsi"/>
          <w:b/>
          <w:color w:val="70AD47" w:themeColor="accent6"/>
          <w:sz w:val="40"/>
        </w:rPr>
      </w:pPr>
    </w:p>
    <w:p w14:paraId="1ECA7D20" w14:textId="592EE75A" w:rsidR="003C01FB" w:rsidRPr="00C63608" w:rsidRDefault="00180640" w:rsidP="004E7CEA">
      <w:pPr>
        <w:spacing w:after="0"/>
        <w:jc w:val="center"/>
        <w:rPr>
          <w:rFonts w:cstheme="minorHAnsi"/>
          <w:b/>
          <w:sz w:val="48"/>
        </w:rPr>
      </w:pPr>
      <w:r w:rsidRPr="00C63608">
        <w:rPr>
          <w:rFonts w:cstheme="minorHAnsi"/>
          <w:b/>
          <w:sz w:val="48"/>
          <w:u w:val="single"/>
        </w:rPr>
        <w:t>Borrower</w:t>
      </w:r>
      <w:r w:rsidR="003C01FB" w:rsidRPr="00C63608">
        <w:rPr>
          <w:rFonts w:cstheme="minorHAnsi"/>
          <w:b/>
          <w:sz w:val="48"/>
        </w:rPr>
        <w:t xml:space="preserve"> </w:t>
      </w:r>
    </w:p>
    <w:p w14:paraId="10BAD622" w14:textId="32205DA2" w:rsidR="003C01FB" w:rsidRPr="0029113F" w:rsidRDefault="000D0E29" w:rsidP="004E7CEA">
      <w:pPr>
        <w:spacing w:after="0"/>
        <w:jc w:val="center"/>
        <w:rPr>
          <w:rFonts w:cstheme="minorHAnsi"/>
          <w:b/>
          <w:sz w:val="40"/>
          <w:szCs w:val="40"/>
        </w:rPr>
      </w:pPr>
      <w:r w:rsidRPr="0029113F">
        <w:rPr>
          <w:rFonts w:cstheme="minorHAnsi"/>
          <w:b/>
          <w:sz w:val="40"/>
          <w:szCs w:val="40"/>
        </w:rPr>
        <w:t xml:space="preserve">Federal Ministry of Finance of </w:t>
      </w:r>
      <w:r w:rsidR="003C01FB" w:rsidRPr="0029113F">
        <w:rPr>
          <w:rFonts w:cstheme="minorHAnsi"/>
          <w:b/>
          <w:sz w:val="40"/>
          <w:szCs w:val="40"/>
        </w:rPr>
        <w:t>Somalia</w:t>
      </w:r>
    </w:p>
    <w:p w14:paraId="5F1C749E" w14:textId="77777777" w:rsidR="003C01FB" w:rsidRPr="00C63608" w:rsidRDefault="003C01FB" w:rsidP="004E7CEA">
      <w:pPr>
        <w:spacing w:after="0"/>
        <w:jc w:val="center"/>
        <w:rPr>
          <w:rFonts w:cstheme="minorHAnsi"/>
          <w:b/>
          <w:sz w:val="48"/>
        </w:rPr>
      </w:pPr>
    </w:p>
    <w:p w14:paraId="6677FC35" w14:textId="776E4068" w:rsidR="004E7CEA" w:rsidRPr="00C63608" w:rsidRDefault="00180640" w:rsidP="004E7CEA">
      <w:pPr>
        <w:spacing w:after="0"/>
        <w:jc w:val="center"/>
        <w:rPr>
          <w:rFonts w:cstheme="minorHAnsi"/>
          <w:b/>
          <w:sz w:val="48"/>
        </w:rPr>
      </w:pPr>
      <w:r w:rsidRPr="00C63608">
        <w:rPr>
          <w:rFonts w:cstheme="minorHAnsi"/>
          <w:b/>
          <w:sz w:val="48"/>
          <w:u w:val="single"/>
        </w:rPr>
        <w:t>Project Implementing Entity</w:t>
      </w:r>
    </w:p>
    <w:p w14:paraId="42F7D75C" w14:textId="669AD425" w:rsidR="003C01FB" w:rsidRPr="00C63608" w:rsidRDefault="00C63547" w:rsidP="003C01FB">
      <w:pPr>
        <w:spacing w:after="0"/>
        <w:jc w:val="center"/>
        <w:rPr>
          <w:rFonts w:cstheme="minorHAnsi"/>
          <w:b/>
          <w:sz w:val="48"/>
        </w:rPr>
      </w:pPr>
      <w:r w:rsidRPr="00C63547">
        <w:rPr>
          <w:rFonts w:cstheme="minorHAnsi"/>
          <w:b/>
          <w:sz w:val="40"/>
          <w:szCs w:val="40"/>
        </w:rPr>
        <w:t>Ministry of Planning, Investment &amp; Economic Development</w:t>
      </w:r>
    </w:p>
    <w:p w14:paraId="114DE885" w14:textId="79C2AF84" w:rsidR="003C01FB" w:rsidRPr="00C63608" w:rsidRDefault="003C01FB" w:rsidP="003C01FB">
      <w:pPr>
        <w:spacing w:after="0"/>
        <w:jc w:val="center"/>
        <w:rPr>
          <w:rFonts w:cstheme="minorHAnsi"/>
          <w:b/>
          <w:sz w:val="48"/>
        </w:rPr>
      </w:pPr>
    </w:p>
    <w:p w14:paraId="141038E6" w14:textId="77777777" w:rsidR="003C01FB" w:rsidRPr="00C63608" w:rsidRDefault="003C01FB" w:rsidP="003C01FB">
      <w:pPr>
        <w:spacing w:after="0"/>
        <w:jc w:val="center"/>
        <w:rPr>
          <w:rFonts w:cstheme="minorHAnsi"/>
          <w:b/>
          <w:sz w:val="48"/>
        </w:rPr>
      </w:pPr>
    </w:p>
    <w:p w14:paraId="241360E9" w14:textId="543471EE" w:rsidR="004E7CEA" w:rsidRPr="00C63608" w:rsidRDefault="00C63547" w:rsidP="004E7CEA">
      <w:pPr>
        <w:spacing w:after="0"/>
        <w:jc w:val="center"/>
        <w:rPr>
          <w:rFonts w:cstheme="minorHAnsi"/>
          <w:b/>
          <w:sz w:val="48"/>
        </w:rPr>
      </w:pPr>
      <w:r w:rsidRPr="00C63547">
        <w:rPr>
          <w:rFonts w:cstheme="minorHAnsi"/>
          <w:b/>
          <w:sz w:val="48"/>
          <w:u w:val="single"/>
        </w:rPr>
        <w:t xml:space="preserve">Somali Integrated Statistics and Economic Planning Capacity Building </w:t>
      </w:r>
      <w:r>
        <w:rPr>
          <w:rFonts w:cstheme="minorHAnsi"/>
          <w:b/>
          <w:sz w:val="48"/>
        </w:rPr>
        <w:t>(P171160</w:t>
      </w:r>
      <w:r w:rsidR="003C01FB" w:rsidRPr="00C63608">
        <w:rPr>
          <w:rFonts w:cstheme="minorHAnsi"/>
          <w:b/>
          <w:sz w:val="48"/>
        </w:rPr>
        <w:t>)</w:t>
      </w:r>
    </w:p>
    <w:p w14:paraId="16799474" w14:textId="77777777" w:rsidR="004E7CEA" w:rsidRPr="00C63608" w:rsidRDefault="004E7CEA" w:rsidP="004E7CEA">
      <w:pPr>
        <w:spacing w:after="0"/>
        <w:jc w:val="center"/>
        <w:rPr>
          <w:rFonts w:cstheme="minorHAnsi"/>
          <w:b/>
          <w:sz w:val="48"/>
        </w:rPr>
      </w:pPr>
    </w:p>
    <w:p w14:paraId="5140D665" w14:textId="78DDAE29" w:rsidR="004E7CEA" w:rsidRPr="00C63608" w:rsidRDefault="004E7CEA" w:rsidP="004E7CEA">
      <w:pPr>
        <w:spacing w:after="0"/>
        <w:jc w:val="center"/>
        <w:rPr>
          <w:rFonts w:cstheme="minorHAnsi"/>
          <w:b/>
          <w:color w:val="4472C4" w:themeColor="accent1"/>
          <w:sz w:val="48"/>
        </w:rPr>
      </w:pPr>
      <w:r w:rsidRPr="00C63608">
        <w:rPr>
          <w:rFonts w:cstheme="minorHAnsi"/>
          <w:b/>
          <w:color w:val="4472C4" w:themeColor="accent1"/>
          <w:sz w:val="48"/>
        </w:rPr>
        <w:t xml:space="preserve">ENVIRONMENTAL </w:t>
      </w:r>
      <w:r w:rsidR="003C323A">
        <w:rPr>
          <w:rFonts w:cstheme="minorHAnsi"/>
          <w:b/>
          <w:color w:val="4472C4" w:themeColor="accent1"/>
          <w:sz w:val="48"/>
        </w:rPr>
        <w:t xml:space="preserve">AND </w:t>
      </w:r>
      <w:r w:rsidRPr="00C63608">
        <w:rPr>
          <w:rFonts w:cstheme="minorHAnsi"/>
          <w:b/>
          <w:color w:val="4472C4" w:themeColor="accent1"/>
          <w:sz w:val="48"/>
        </w:rPr>
        <w:t xml:space="preserve">SOCIAL </w:t>
      </w:r>
    </w:p>
    <w:p w14:paraId="3F6DB9A2" w14:textId="77777777" w:rsidR="0075364D" w:rsidRPr="00C63608" w:rsidRDefault="004E7CEA" w:rsidP="004E7CEA">
      <w:pPr>
        <w:spacing w:after="0"/>
        <w:jc w:val="center"/>
        <w:rPr>
          <w:rFonts w:cstheme="minorHAnsi"/>
          <w:b/>
          <w:color w:val="4472C4" w:themeColor="accent1"/>
          <w:sz w:val="48"/>
        </w:rPr>
      </w:pPr>
      <w:r w:rsidRPr="00C63608">
        <w:rPr>
          <w:rFonts w:cstheme="minorHAnsi"/>
          <w:b/>
          <w:color w:val="4472C4" w:themeColor="accent1"/>
          <w:sz w:val="48"/>
        </w:rPr>
        <w:t xml:space="preserve">COMMITMENT PLAN (ESCP) </w:t>
      </w:r>
    </w:p>
    <w:p w14:paraId="6F7746A1" w14:textId="77777777" w:rsidR="000A0AEB" w:rsidRPr="00C63608" w:rsidRDefault="000A0AEB" w:rsidP="004E7CEA">
      <w:pPr>
        <w:spacing w:after="0"/>
        <w:jc w:val="center"/>
        <w:rPr>
          <w:rFonts w:cstheme="minorHAnsi"/>
          <w:b/>
          <w:color w:val="4472C4" w:themeColor="accent1"/>
          <w:sz w:val="48"/>
        </w:rPr>
      </w:pPr>
    </w:p>
    <w:p w14:paraId="4DDD72F7" w14:textId="729FC598" w:rsidR="0075364D" w:rsidRPr="00C63608" w:rsidRDefault="00A20994" w:rsidP="004E7CEA">
      <w:pPr>
        <w:spacing w:after="0"/>
        <w:jc w:val="center"/>
        <w:rPr>
          <w:rFonts w:cstheme="minorHAnsi"/>
          <w:b/>
          <w:sz w:val="48"/>
        </w:rPr>
      </w:pPr>
      <w:r>
        <w:rPr>
          <w:rFonts w:cstheme="minorHAnsi"/>
          <w:b/>
          <w:sz w:val="48"/>
        </w:rPr>
        <w:t>November</w:t>
      </w:r>
      <w:r w:rsidR="003C01FB" w:rsidRPr="00C63608">
        <w:rPr>
          <w:rFonts w:cstheme="minorHAnsi"/>
          <w:b/>
          <w:sz w:val="48"/>
        </w:rPr>
        <w:t>, 2019</w:t>
      </w:r>
      <w:r>
        <w:rPr>
          <w:rFonts w:cstheme="minorHAnsi"/>
          <w:b/>
          <w:sz w:val="48"/>
        </w:rPr>
        <w:t xml:space="preserve"> (DM Package)</w:t>
      </w:r>
    </w:p>
    <w:p w14:paraId="43905DE6" w14:textId="77777777" w:rsidR="00A54559" w:rsidRPr="00C63608" w:rsidRDefault="004E7CEA" w:rsidP="004E7CEA">
      <w:pPr>
        <w:spacing w:after="0"/>
        <w:jc w:val="center"/>
        <w:rPr>
          <w:rFonts w:cstheme="minorHAnsi"/>
          <w:sz w:val="44"/>
        </w:rPr>
      </w:pPr>
      <w:r w:rsidRPr="00C63608">
        <w:rPr>
          <w:rFonts w:cstheme="minorHAnsi"/>
          <w:sz w:val="44"/>
        </w:rPr>
        <w:br w:type="page"/>
      </w:r>
    </w:p>
    <w:p w14:paraId="146F172D" w14:textId="77777777" w:rsidR="000A0AEB" w:rsidRDefault="000A0AEB" w:rsidP="004E7CEA">
      <w:pPr>
        <w:spacing w:after="0"/>
        <w:jc w:val="center"/>
        <w:rPr>
          <w:rFonts w:ascii="Calibri" w:hAnsi="Calibri"/>
          <w:b/>
        </w:rPr>
      </w:pPr>
    </w:p>
    <w:p w14:paraId="7144172E" w14:textId="23ECE8E7" w:rsidR="003C01FB" w:rsidRDefault="00A54559" w:rsidP="004E7CEA">
      <w:pPr>
        <w:spacing w:after="0"/>
        <w:jc w:val="center"/>
        <w:rPr>
          <w:rFonts w:ascii="Calibri" w:hAnsi="Calibri"/>
          <w:b/>
        </w:rPr>
      </w:pPr>
      <w:r w:rsidRPr="00A54559">
        <w:rPr>
          <w:rFonts w:ascii="Calibri" w:hAnsi="Calibri"/>
          <w:b/>
        </w:rPr>
        <w:t>Borrower</w:t>
      </w:r>
      <w:r w:rsidR="003C01FB">
        <w:rPr>
          <w:rFonts w:ascii="Calibri" w:hAnsi="Calibri"/>
          <w:b/>
        </w:rPr>
        <w:t xml:space="preserve">: </w:t>
      </w:r>
      <w:r w:rsidR="000D0E29">
        <w:rPr>
          <w:rFonts w:ascii="Calibri" w:hAnsi="Calibri"/>
          <w:b/>
        </w:rPr>
        <w:t xml:space="preserve">Federal Ministry of Finance of </w:t>
      </w:r>
      <w:r w:rsidR="003C01FB">
        <w:rPr>
          <w:rFonts w:ascii="Calibri" w:hAnsi="Calibri"/>
          <w:b/>
        </w:rPr>
        <w:t>Somalia</w:t>
      </w:r>
    </w:p>
    <w:p w14:paraId="04D8CBEE" w14:textId="0A05D4CA" w:rsidR="00A54559" w:rsidRPr="00A54559" w:rsidRDefault="00A54559" w:rsidP="004E7CEA">
      <w:pPr>
        <w:spacing w:after="0"/>
        <w:jc w:val="center"/>
        <w:rPr>
          <w:rFonts w:ascii="Calibri" w:hAnsi="Calibri"/>
          <w:b/>
        </w:rPr>
      </w:pPr>
      <w:bookmarkStart w:id="0" w:name="_Hlk5882994"/>
      <w:r w:rsidRPr="00A54559">
        <w:rPr>
          <w:rFonts w:ascii="Calibri" w:hAnsi="Calibri"/>
          <w:b/>
        </w:rPr>
        <w:t>Project Implementing Entity</w:t>
      </w:r>
      <w:r w:rsidR="000D1296">
        <w:rPr>
          <w:rFonts w:ascii="Calibri" w:hAnsi="Calibri"/>
          <w:b/>
        </w:rPr>
        <w:t xml:space="preserve">: </w:t>
      </w:r>
      <w:r w:rsidR="00C63547" w:rsidRPr="00C63547">
        <w:rPr>
          <w:rFonts w:ascii="Calibri" w:hAnsi="Calibri"/>
          <w:b/>
        </w:rPr>
        <w:t>Ministry of Planning, Investment &amp; Economic Development</w:t>
      </w:r>
    </w:p>
    <w:bookmarkEnd w:id="0"/>
    <w:p w14:paraId="78652EDA" w14:textId="6D2CB6B8" w:rsidR="0046390A" w:rsidRDefault="00040743" w:rsidP="004E7CEA">
      <w:pPr>
        <w:spacing w:after="0"/>
        <w:jc w:val="center"/>
        <w:rPr>
          <w:rFonts w:ascii="Calibri" w:hAnsi="Calibri"/>
          <w:b/>
        </w:rPr>
      </w:pPr>
      <w:r>
        <w:rPr>
          <w:rFonts w:ascii="Calibri" w:hAnsi="Calibri"/>
          <w:b/>
        </w:rPr>
        <w:t xml:space="preserve">Project </w:t>
      </w:r>
      <w:r w:rsidR="00C16825">
        <w:rPr>
          <w:rFonts w:ascii="Calibri" w:hAnsi="Calibri"/>
          <w:b/>
        </w:rPr>
        <w:t>T</w:t>
      </w:r>
      <w:r>
        <w:rPr>
          <w:rFonts w:ascii="Calibri" w:hAnsi="Calibri"/>
          <w:b/>
        </w:rPr>
        <w:t>itle</w:t>
      </w:r>
      <w:r w:rsidR="000D1296">
        <w:rPr>
          <w:rFonts w:ascii="Calibri" w:hAnsi="Calibri"/>
          <w:b/>
        </w:rPr>
        <w:t xml:space="preserve">: </w:t>
      </w:r>
      <w:r w:rsidR="00C63547" w:rsidRPr="00C63547">
        <w:rPr>
          <w:rFonts w:ascii="Calibri" w:hAnsi="Calibri"/>
          <w:b/>
        </w:rPr>
        <w:t>Somali Integrated Statistics and Economic Planning Capacity Building (P171160)</w:t>
      </w:r>
    </w:p>
    <w:p w14:paraId="676AB218" w14:textId="77777777" w:rsidR="00C63547" w:rsidRPr="003B2CB5" w:rsidRDefault="00C63547" w:rsidP="004E7CEA">
      <w:pPr>
        <w:spacing w:after="0"/>
        <w:jc w:val="center"/>
        <w:rPr>
          <w:rFonts w:ascii="Calibri" w:hAnsi="Calibri"/>
          <w:i/>
          <w:iCs/>
        </w:rPr>
      </w:pPr>
    </w:p>
    <w:p w14:paraId="5CC35149" w14:textId="1371A0C6" w:rsidR="004E7CEA" w:rsidRPr="000A0AEB" w:rsidRDefault="000A0AEB" w:rsidP="004E7CEA">
      <w:pPr>
        <w:jc w:val="center"/>
        <w:rPr>
          <w:rFonts w:ascii="Calibri" w:hAnsi="Calibri"/>
          <w:b/>
          <w:iCs/>
        </w:rPr>
      </w:pPr>
      <w:r w:rsidRPr="000A0AEB">
        <w:rPr>
          <w:rFonts w:ascii="Calibri" w:hAnsi="Calibri"/>
          <w:b/>
          <w:iCs/>
        </w:rPr>
        <w:t>ENVIRONMENTAL AND SOCIAL COMMITMENT PLAN</w:t>
      </w:r>
      <w:r w:rsidR="000D1296">
        <w:rPr>
          <w:rFonts w:ascii="Calibri" w:hAnsi="Calibri"/>
          <w:b/>
          <w:iCs/>
        </w:rPr>
        <w:t xml:space="preserve"> (ESCP)</w:t>
      </w:r>
    </w:p>
    <w:p w14:paraId="4C125388" w14:textId="77777777" w:rsidR="000A0AEB" w:rsidRDefault="000A0AEB" w:rsidP="004E7CEA">
      <w:pPr>
        <w:jc w:val="center"/>
        <w:rPr>
          <w:rFonts w:ascii="Calibri" w:hAnsi="Calibri"/>
          <w:b/>
          <w:i/>
          <w:iCs/>
        </w:rPr>
      </w:pPr>
    </w:p>
    <w:p w14:paraId="761B6577" w14:textId="537E7C49" w:rsidR="004E7CEA" w:rsidRPr="00C16825" w:rsidRDefault="00433B66" w:rsidP="00001F04">
      <w:pPr>
        <w:pStyle w:val="ListParagraph"/>
        <w:numPr>
          <w:ilvl w:val="0"/>
          <w:numId w:val="16"/>
        </w:numPr>
        <w:rPr>
          <w:rFonts w:ascii="Calibri" w:hAnsi="Calibri"/>
        </w:rPr>
      </w:pPr>
      <w:r>
        <w:rPr>
          <w:rFonts w:ascii="Calibri" w:hAnsi="Calibri"/>
        </w:rPr>
        <w:t xml:space="preserve">The </w:t>
      </w:r>
      <w:r w:rsidR="000D0E29">
        <w:rPr>
          <w:rFonts w:ascii="Calibri" w:hAnsi="Calibri"/>
        </w:rPr>
        <w:t xml:space="preserve">Federal Government of </w:t>
      </w:r>
      <w:r w:rsidR="000D1296">
        <w:rPr>
          <w:rFonts w:ascii="Calibri" w:hAnsi="Calibri"/>
        </w:rPr>
        <w:t xml:space="preserve">Somalia </w:t>
      </w:r>
      <w:r w:rsidR="000D0E29">
        <w:rPr>
          <w:rFonts w:ascii="Calibri" w:hAnsi="Calibri"/>
        </w:rPr>
        <w:t xml:space="preserve">(FGS) </w:t>
      </w:r>
      <w:r w:rsidR="004E7CEA" w:rsidRPr="003B2CB5">
        <w:rPr>
          <w:rFonts w:ascii="Calibri" w:hAnsi="Calibri"/>
        </w:rPr>
        <w:t xml:space="preserve">is planning to </w:t>
      </w:r>
      <w:r w:rsidR="00B80C04">
        <w:rPr>
          <w:rFonts w:ascii="Calibri" w:hAnsi="Calibri"/>
        </w:rPr>
        <w:t xml:space="preserve">implement </w:t>
      </w:r>
      <w:r w:rsidR="008F1333">
        <w:rPr>
          <w:rFonts w:ascii="Calibri" w:hAnsi="Calibri"/>
        </w:rPr>
        <w:t xml:space="preserve">the </w:t>
      </w:r>
      <w:r w:rsidR="00001F04" w:rsidRPr="00001F04">
        <w:rPr>
          <w:rFonts w:ascii="Calibri" w:hAnsi="Calibri"/>
        </w:rPr>
        <w:t>Somali Integrated Statistics and Economic Planning Capacity Building</w:t>
      </w:r>
      <w:r w:rsidR="000D1296" w:rsidRPr="000D1296">
        <w:rPr>
          <w:rFonts w:ascii="Calibri" w:hAnsi="Calibri"/>
        </w:rPr>
        <w:t xml:space="preserve"> </w:t>
      </w:r>
      <w:r w:rsidR="004E7CEA">
        <w:rPr>
          <w:rFonts w:ascii="Calibri" w:hAnsi="Calibri"/>
        </w:rPr>
        <w:t>Project</w:t>
      </w:r>
      <w:r w:rsidR="004E7CEA" w:rsidRPr="003B2CB5">
        <w:rPr>
          <w:rFonts w:ascii="Calibri" w:hAnsi="Calibri"/>
        </w:rPr>
        <w:t xml:space="preserve"> (the </w:t>
      </w:r>
      <w:r w:rsidR="004E7CEA" w:rsidRPr="003B2CB5">
        <w:rPr>
          <w:rFonts w:ascii="Calibri" w:hAnsi="Calibri"/>
          <w:b/>
          <w:i/>
        </w:rPr>
        <w:t>Project</w:t>
      </w:r>
      <w:r w:rsidR="00D75D0E">
        <w:rPr>
          <w:rFonts w:ascii="Calibri" w:hAnsi="Calibri"/>
        </w:rPr>
        <w:t>)</w:t>
      </w:r>
      <w:r w:rsidR="004E7CEA" w:rsidRPr="003B2CB5">
        <w:rPr>
          <w:rFonts w:ascii="Calibri" w:hAnsi="Calibri"/>
        </w:rPr>
        <w:t xml:space="preserve">, with the involvement of </w:t>
      </w:r>
      <w:r w:rsidR="00001F04" w:rsidRPr="00001F04">
        <w:rPr>
          <w:rFonts w:ascii="Calibri" w:hAnsi="Calibri"/>
        </w:rPr>
        <w:t xml:space="preserve">Ministry of Planning, Investment &amp; Economic </w:t>
      </w:r>
      <w:r w:rsidR="005500A0" w:rsidRPr="00001F04">
        <w:rPr>
          <w:rFonts w:ascii="Calibri" w:hAnsi="Calibri"/>
        </w:rPr>
        <w:t>Development</w:t>
      </w:r>
      <w:r w:rsidR="005500A0">
        <w:rPr>
          <w:rFonts w:ascii="Calibri" w:hAnsi="Calibri"/>
        </w:rPr>
        <w:t>.</w:t>
      </w:r>
      <w:r w:rsidR="00C16825">
        <w:rPr>
          <w:rFonts w:ascii="Calibri" w:hAnsi="Calibri"/>
        </w:rPr>
        <w:t xml:space="preserve"> </w:t>
      </w:r>
      <w:r w:rsidR="00975431">
        <w:rPr>
          <w:rFonts w:ascii="Calibri" w:hAnsi="Calibri"/>
        </w:rPr>
        <w:t>The</w:t>
      </w:r>
      <w:r w:rsidR="000D1296">
        <w:rPr>
          <w:rFonts w:ascii="Calibri" w:hAnsi="Calibri"/>
        </w:rPr>
        <w:t xml:space="preserve"> World Bank</w:t>
      </w:r>
      <w:r w:rsidR="00975431">
        <w:rPr>
          <w:rFonts w:ascii="Calibri" w:hAnsi="Calibri"/>
        </w:rPr>
        <w:t xml:space="preserve"> </w:t>
      </w:r>
      <w:r w:rsidR="00B80C04" w:rsidRPr="00C16825">
        <w:rPr>
          <w:rFonts w:ascii="Calibri" w:hAnsi="Calibri"/>
        </w:rPr>
        <w:t xml:space="preserve">has agreed to provide </w:t>
      </w:r>
      <w:r w:rsidR="00C16825">
        <w:rPr>
          <w:rFonts w:ascii="Calibri" w:hAnsi="Calibri"/>
        </w:rPr>
        <w:t>financing</w:t>
      </w:r>
      <w:r w:rsidR="00E006D9">
        <w:rPr>
          <w:rFonts w:ascii="Calibri" w:hAnsi="Calibri"/>
        </w:rPr>
        <w:t xml:space="preserve"> </w:t>
      </w:r>
      <w:r w:rsidR="00B80C04" w:rsidRPr="00C16825">
        <w:rPr>
          <w:rFonts w:ascii="Calibri" w:hAnsi="Calibri"/>
        </w:rPr>
        <w:t xml:space="preserve">for the Project. </w:t>
      </w:r>
    </w:p>
    <w:p w14:paraId="14107700" w14:textId="22651E70" w:rsidR="004E7CEA" w:rsidRDefault="00433B66" w:rsidP="00F8178A">
      <w:pPr>
        <w:pStyle w:val="ListParagraph"/>
        <w:numPr>
          <w:ilvl w:val="0"/>
          <w:numId w:val="16"/>
        </w:numPr>
        <w:rPr>
          <w:rFonts w:ascii="Calibri" w:hAnsi="Calibri"/>
        </w:rPr>
      </w:pPr>
      <w:r>
        <w:rPr>
          <w:rFonts w:ascii="Calibri" w:hAnsi="Calibri"/>
        </w:rPr>
        <w:t xml:space="preserve">The </w:t>
      </w:r>
      <w:r w:rsidR="000D0E29">
        <w:rPr>
          <w:rFonts w:ascii="Calibri" w:hAnsi="Calibri"/>
        </w:rPr>
        <w:t>FGS</w:t>
      </w:r>
      <w:r w:rsidR="000D1296">
        <w:rPr>
          <w:rFonts w:ascii="Calibri" w:hAnsi="Calibri"/>
        </w:rPr>
        <w:t xml:space="preserve"> </w:t>
      </w:r>
      <w:r w:rsidR="004E7CEA"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004E7CEA" w:rsidRPr="003B2CB5">
        <w:rPr>
          <w:rFonts w:ascii="Calibri" w:hAnsi="Calibri"/>
        </w:rPr>
        <w:t xml:space="preserve">that the Project is </w:t>
      </w:r>
      <w:r w:rsidR="00B80C04">
        <w:rPr>
          <w:rFonts w:ascii="Calibri" w:hAnsi="Calibri"/>
        </w:rPr>
        <w:t xml:space="preserve">implemented in accordance with the </w:t>
      </w:r>
      <w:r w:rsidR="004E7CEA" w:rsidRPr="003B2CB5">
        <w:rPr>
          <w:rFonts w:ascii="Calibri" w:hAnsi="Calibri"/>
        </w:rPr>
        <w:t xml:space="preserve">World Bank Environmental and Social </w:t>
      </w:r>
      <w:r w:rsidR="00B80C04">
        <w:rPr>
          <w:rFonts w:ascii="Calibri" w:hAnsi="Calibri"/>
        </w:rPr>
        <w:t xml:space="preserve">Standards </w:t>
      </w:r>
      <w:r w:rsidR="004E7CEA">
        <w:rPr>
          <w:rFonts w:ascii="Calibri" w:hAnsi="Calibri"/>
        </w:rPr>
        <w:t>(</w:t>
      </w:r>
      <w:r w:rsidR="004E7CEA" w:rsidRPr="00963F83">
        <w:rPr>
          <w:rFonts w:ascii="Calibri" w:hAnsi="Calibri"/>
          <w:b/>
          <w:i/>
        </w:rPr>
        <w:t>ESSs</w:t>
      </w:r>
      <w:r w:rsidR="004E7CEA">
        <w:rPr>
          <w:rFonts w:ascii="Calibri" w:hAnsi="Calibri"/>
        </w:rPr>
        <w:t>)</w:t>
      </w:r>
      <w:r w:rsidR="004E7CEA" w:rsidRPr="003B2CB5">
        <w:rPr>
          <w:rFonts w:ascii="Calibri" w:hAnsi="Calibri"/>
        </w:rPr>
        <w:t>. This Environmental and Social Commitment Plan (</w:t>
      </w:r>
      <w:r w:rsidR="004E7CEA" w:rsidRPr="00963F83">
        <w:rPr>
          <w:rFonts w:ascii="Calibri" w:hAnsi="Calibri"/>
          <w:b/>
          <w:i/>
        </w:rPr>
        <w:t>ESCP</w:t>
      </w:r>
      <w:r w:rsidR="004E7CEA" w:rsidRPr="003B2CB5">
        <w:rPr>
          <w:rFonts w:ascii="Calibri" w:hAnsi="Calibri"/>
        </w:rPr>
        <w:t xml:space="preserve">) sets out a summary of the </w:t>
      </w:r>
      <w:r w:rsidR="00423785">
        <w:rPr>
          <w:rFonts w:ascii="Calibri" w:hAnsi="Calibri"/>
        </w:rPr>
        <w:t xml:space="preserve">material </w:t>
      </w:r>
      <w:r w:rsidR="004E7CEA" w:rsidRPr="003B2CB5">
        <w:rPr>
          <w:rFonts w:ascii="Calibri" w:hAnsi="Calibri"/>
        </w:rPr>
        <w:t xml:space="preserve">measures and actions. </w:t>
      </w:r>
    </w:p>
    <w:p w14:paraId="091B20EF" w14:textId="23637858" w:rsidR="000D1296" w:rsidRPr="005500A0" w:rsidRDefault="00001F04" w:rsidP="005500A0">
      <w:pPr>
        <w:pStyle w:val="ListParagraph"/>
        <w:numPr>
          <w:ilvl w:val="0"/>
          <w:numId w:val="16"/>
        </w:numPr>
        <w:rPr>
          <w:rFonts w:ascii="Calibri" w:hAnsi="Calibri"/>
        </w:rPr>
      </w:pPr>
      <w:r w:rsidRPr="00001F04">
        <w:rPr>
          <w:rFonts w:ascii="Calibri" w:hAnsi="Calibri"/>
        </w:rPr>
        <w:t>In particular, this ESCP requires compliance with the provisions set out in the Stakeholder Engagement P</w:t>
      </w:r>
      <w:r w:rsidR="005500A0">
        <w:rPr>
          <w:rFonts w:ascii="Calibri" w:hAnsi="Calibri"/>
        </w:rPr>
        <w:t xml:space="preserve">lan developed for this Project </w:t>
      </w:r>
      <w:r w:rsidRPr="00001F04">
        <w:rPr>
          <w:rFonts w:ascii="Calibri" w:hAnsi="Calibri"/>
        </w:rPr>
        <w:t>and Labor Management Procedures to be developed for the Project</w:t>
      </w:r>
    </w:p>
    <w:p w14:paraId="0538B76D" w14:textId="76363D3B" w:rsidR="004E7CEA" w:rsidRPr="003B2CB5" w:rsidRDefault="004E7CEA" w:rsidP="00F8178A">
      <w:pPr>
        <w:pStyle w:val="ListParagraph"/>
        <w:numPr>
          <w:ilvl w:val="0"/>
          <w:numId w:val="16"/>
        </w:numPr>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433B66">
        <w:rPr>
          <w:rFonts w:ascii="Calibri" w:hAnsi="Calibri"/>
        </w:rPr>
        <w:t>The FGS</w:t>
      </w:r>
      <w:r w:rsidR="007E4F9D">
        <w:rPr>
          <w:rFonts w:ascii="Calibri" w:hAnsi="Calibri"/>
        </w:rPr>
        <w:t xml:space="preserve"> 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536689">
        <w:rPr>
          <w:rFonts w:ascii="Calibri" w:hAnsi="Calibri"/>
        </w:rPr>
        <w:t xml:space="preserve">Ministry, </w:t>
      </w:r>
      <w:r w:rsidRPr="003B2CB5">
        <w:rPr>
          <w:rFonts w:ascii="Calibri" w:hAnsi="Calibri"/>
        </w:rPr>
        <w:t xml:space="preserve">agency or </w:t>
      </w:r>
      <w:r w:rsidR="00536689">
        <w:rPr>
          <w:rFonts w:ascii="Calibri" w:hAnsi="Calibri"/>
        </w:rPr>
        <w:t>uni</w:t>
      </w:r>
      <w:r w:rsidR="007E4F9D">
        <w:rPr>
          <w:rFonts w:ascii="Calibri" w:hAnsi="Calibri"/>
        </w:rPr>
        <w:t xml:space="preserve">t referenced in </w:t>
      </w:r>
      <w:r w:rsidR="003D34BC">
        <w:rPr>
          <w:rFonts w:ascii="Calibri" w:hAnsi="Calibri"/>
        </w:rPr>
        <w:t xml:space="preserve">point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6BE173E3" w14:textId="728DF9BF" w:rsidR="00747414" w:rsidRDefault="00536689" w:rsidP="00747414">
      <w:pPr>
        <w:pStyle w:val="ListParagraph"/>
        <w:numPr>
          <w:ilvl w:val="0"/>
          <w:numId w:val="16"/>
        </w:numPr>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to the </w:t>
      </w:r>
      <w:r w:rsidR="00C63608">
        <w:rPr>
          <w:rFonts w:ascii="Calibri" w:hAnsi="Calibri"/>
        </w:rPr>
        <w:t xml:space="preserve">Bank </w:t>
      </w:r>
      <w:r w:rsidR="004E7CEA" w:rsidRPr="003B2CB5">
        <w:rPr>
          <w:rFonts w:ascii="Calibri" w:hAnsi="Calibri"/>
        </w:rPr>
        <w:t xml:space="preserve">by </w:t>
      </w:r>
      <w:r w:rsidR="00433B66">
        <w:rPr>
          <w:rFonts w:ascii="Calibri" w:hAnsi="Calibri"/>
        </w:rPr>
        <w:t>the FGS</w:t>
      </w:r>
      <w:r w:rsidR="004E7CEA" w:rsidRPr="00305BCF">
        <w:rPr>
          <w:rFonts w:ascii="Calibri" w:hAnsi="Calibri"/>
        </w:rPr>
        <w:t xml:space="preserve"> </w:t>
      </w:r>
      <w:r w:rsidR="004E7CEA" w:rsidRPr="003B2CB5">
        <w:rPr>
          <w:rFonts w:ascii="Calibri" w:hAnsi="Calibri"/>
        </w:rPr>
        <w:t xml:space="preserve">as required by the ESCP and the </w:t>
      </w:r>
      <w:r w:rsidR="004E7CEA">
        <w:rPr>
          <w:rFonts w:ascii="Calibri" w:hAnsi="Calibri"/>
        </w:rPr>
        <w:t xml:space="preserve">conditions of the </w:t>
      </w:r>
      <w:r w:rsidR="004E7CEA" w:rsidRPr="003B2CB5">
        <w:rPr>
          <w:rFonts w:ascii="Calibri" w:hAnsi="Calibri"/>
        </w:rPr>
        <w:t xml:space="preserve">legal agreement, and </w:t>
      </w:r>
      <w:r w:rsidR="00423785">
        <w:rPr>
          <w:rFonts w:ascii="Calibri" w:hAnsi="Calibri"/>
        </w:rPr>
        <w:t xml:space="preserve">the </w:t>
      </w:r>
      <w:r w:rsidR="00C63608">
        <w:rPr>
          <w:rFonts w:ascii="Calibri" w:hAnsi="Calibri"/>
        </w:rPr>
        <w:t xml:space="preserve">Bank </w:t>
      </w:r>
      <w:r w:rsidR="00423785">
        <w:rPr>
          <w:rFonts w:ascii="Calibri" w:hAnsi="Calibri"/>
        </w:rPr>
        <w:t xml:space="preserve">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4327BA82" w14:textId="6A4A531B" w:rsidR="00F61F64" w:rsidRPr="004137A2" w:rsidRDefault="00E25210" w:rsidP="00F8178A">
      <w:pPr>
        <w:pStyle w:val="ListParagraph"/>
        <w:numPr>
          <w:ilvl w:val="0"/>
          <w:numId w:val="16"/>
        </w:numPr>
        <w:rPr>
          <w:rFonts w:ascii="Calibri" w:hAnsi="Calibri"/>
        </w:rPr>
      </w:pPr>
      <w:r w:rsidRPr="00B0387D">
        <w:rPr>
          <w:rFonts w:ascii="Calibri" w:hAnsi="Calibri"/>
        </w:rPr>
        <w:t xml:space="preserve">As agreed by the </w:t>
      </w:r>
      <w:r w:rsidR="00C63608">
        <w:rPr>
          <w:rFonts w:ascii="Calibri" w:hAnsi="Calibri"/>
        </w:rPr>
        <w:t xml:space="preserve">Bank </w:t>
      </w:r>
      <w:r w:rsidRPr="00B0387D">
        <w:rPr>
          <w:rFonts w:ascii="Calibri" w:hAnsi="Calibri"/>
        </w:rPr>
        <w:t xml:space="preserve">and </w:t>
      </w:r>
      <w:r w:rsidR="00433B66">
        <w:rPr>
          <w:rFonts w:ascii="Calibri" w:hAnsi="Calibri"/>
        </w:rPr>
        <w:t>the FGS</w:t>
      </w:r>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433B66">
        <w:rPr>
          <w:rFonts w:ascii="Calibri" w:hAnsi="Calibri"/>
        </w:rPr>
        <w:t>the FGS</w:t>
      </w:r>
      <w:r w:rsidR="004728A0">
        <w:rPr>
          <w:rFonts w:ascii="Calibri" w:hAnsi="Calibri"/>
        </w:rPr>
        <w:t xml:space="preserve"> </w:t>
      </w:r>
      <w:r w:rsidR="006F5362">
        <w:rPr>
          <w:rFonts w:ascii="Calibri" w:hAnsi="Calibri"/>
        </w:rPr>
        <w:t>will agree</w:t>
      </w:r>
      <w:r w:rsidR="002900CC">
        <w:rPr>
          <w:rFonts w:ascii="Calibri" w:hAnsi="Calibri"/>
        </w:rPr>
        <w:t xml:space="preserve"> </w:t>
      </w:r>
      <w:r w:rsidR="00A54559">
        <w:rPr>
          <w:rFonts w:ascii="Calibri" w:hAnsi="Calibri"/>
        </w:rPr>
        <w:t xml:space="preserve">to the </w:t>
      </w:r>
      <w:r w:rsidR="00620639">
        <w:rPr>
          <w:rFonts w:ascii="Calibri" w:hAnsi="Calibri"/>
        </w:rPr>
        <w:t xml:space="preserve">changes with the </w:t>
      </w:r>
      <w:r w:rsidR="00C63608">
        <w:rPr>
          <w:rFonts w:ascii="Calibri" w:hAnsi="Calibri"/>
        </w:rPr>
        <w:t xml:space="preserve">Bank </w:t>
      </w:r>
      <w:r w:rsidR="006F5362">
        <w:rPr>
          <w:rFonts w:ascii="Calibri" w:hAnsi="Calibri"/>
        </w:rPr>
        <w:t>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C63608">
        <w:rPr>
          <w:rFonts w:ascii="Calibri" w:hAnsi="Calibri"/>
        </w:rPr>
        <w:t xml:space="preserve">Bank </w:t>
      </w:r>
      <w:r w:rsidR="00561847" w:rsidRPr="006F0B0A">
        <w:rPr>
          <w:rFonts w:ascii="Calibri" w:hAnsi="Calibri"/>
        </w:rPr>
        <w:t xml:space="preserve">and the </w:t>
      </w:r>
      <w:r w:rsidR="00433B66">
        <w:rPr>
          <w:rFonts w:ascii="Calibri" w:hAnsi="Calibri"/>
        </w:rPr>
        <w:t>FGS</w:t>
      </w:r>
      <w:r w:rsidR="00561847" w:rsidRPr="006F0B0A">
        <w:rPr>
          <w:rFonts w:ascii="Calibri" w:hAnsi="Calibri"/>
        </w:rPr>
        <w:t>.</w:t>
      </w:r>
      <w:r w:rsidR="00561847">
        <w:rPr>
          <w:rFonts w:ascii="Calibri" w:hAnsi="Calibri"/>
        </w:rPr>
        <w:t xml:space="preserve"> </w:t>
      </w:r>
      <w:r w:rsidR="00433B66">
        <w:rPr>
          <w:rFonts w:ascii="Calibri" w:hAnsi="Calibri"/>
        </w:rPr>
        <w:t>The FGS</w:t>
      </w:r>
      <w:r w:rsidR="00301D4F" w:rsidRPr="004137A2">
        <w:rPr>
          <w:rFonts w:ascii="Calibri" w:hAnsi="Calibri"/>
        </w:rPr>
        <w:t xml:space="preserve"> 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w:t>
      </w:r>
    </w:p>
    <w:p w14:paraId="662AEE8E" w14:textId="49196979" w:rsidR="00561847" w:rsidRPr="00570B1A" w:rsidRDefault="00561847" w:rsidP="00561847">
      <w:pPr>
        <w:pStyle w:val="ListParagraph"/>
        <w:numPr>
          <w:ilvl w:val="0"/>
          <w:numId w:val="16"/>
        </w:numPr>
        <w:rPr>
          <w:rFonts w:ascii="Calibri" w:hAnsi="Calibri"/>
        </w:rPr>
        <w:sectPr w:rsidR="00561847" w:rsidRPr="00570B1A"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w:t>
      </w:r>
      <w:r w:rsidR="00433B66">
        <w:rPr>
          <w:rFonts w:ascii="Calibri" w:hAnsi="Calibri"/>
        </w:rPr>
        <w:t>the FGS</w:t>
      </w:r>
      <w:r w:rsidR="00301D4F">
        <w:rPr>
          <w:rFonts w:ascii="Calibri" w:hAnsi="Calibri"/>
        </w:rPr>
        <w:t xml:space="preserve">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implement actions and measures to </w:t>
      </w:r>
      <w:r>
        <w:rPr>
          <w:rFonts w:cstheme="minorHAnsi"/>
        </w:rPr>
        <w:t>address such</w:t>
      </w:r>
      <w:r w:rsidRPr="00570B1A">
        <w:rPr>
          <w:rFonts w:cstheme="minorHAnsi"/>
        </w:rPr>
        <w:t xml:space="preserve"> risks and impact</w:t>
      </w:r>
      <w:r>
        <w:rPr>
          <w:rFonts w:cstheme="minorHAnsi"/>
        </w:rPr>
        <w:t>s.</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45"/>
        <w:gridCol w:w="30"/>
        <w:gridCol w:w="3120"/>
      </w:tblGrid>
      <w:tr w:rsidR="00E35CB2" w:rsidRPr="00DE42B9" w14:paraId="2DB1785A" w14:textId="77777777" w:rsidTr="004D415E">
        <w:trPr>
          <w:trHeight w:val="917"/>
          <w:tblHeader/>
        </w:trPr>
        <w:tc>
          <w:tcPr>
            <w:tcW w:w="14485" w:type="dxa"/>
            <w:gridSpan w:val="8"/>
            <w:tcBorders>
              <w:bottom w:val="single" w:sz="18" w:space="0" w:color="auto"/>
            </w:tcBorders>
            <w:shd w:val="clear" w:color="auto" w:fill="D9D9D9" w:themeFill="background1" w:themeFillShade="D9"/>
          </w:tcPr>
          <w:p w14:paraId="0D36F011" w14:textId="78B86AB0" w:rsidR="00EA65AA" w:rsidRPr="00EA65AA" w:rsidRDefault="00EA65AA" w:rsidP="00EA65AA">
            <w:pPr>
              <w:jc w:val="both"/>
              <w:rPr>
                <w:rFonts w:cstheme="minorHAnsi"/>
                <w:b/>
                <w:sz w:val="24"/>
              </w:rPr>
            </w:pPr>
            <w:r w:rsidRPr="00EA65AA">
              <w:rPr>
                <w:rFonts w:cstheme="minorHAnsi"/>
                <w:b/>
                <w:sz w:val="24"/>
              </w:rPr>
              <w:lastRenderedPageBreak/>
              <w:t>SOMALI INTEGRATED STATISTICS AND ECONOMIC PLANNING CAPACITY BUILDING (P171160)</w:t>
            </w: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1B447E64" w14:textId="2CABB6F6" w:rsidR="003B5E96" w:rsidRPr="00DE42B9" w:rsidRDefault="00DA2634" w:rsidP="004D415E">
            <w:pPr>
              <w:jc w:val="both"/>
              <w:rPr>
                <w:rFonts w:cstheme="minorHAnsi"/>
                <w:sz w:val="24"/>
              </w:rPr>
            </w:pPr>
            <w:r>
              <w:rPr>
                <w:rFonts w:cstheme="minorHAnsi"/>
                <w:b/>
                <w:sz w:val="24"/>
              </w:rPr>
              <w:t xml:space="preserve">As of </w:t>
            </w:r>
            <w:r w:rsidR="00433B66">
              <w:rPr>
                <w:rFonts w:cstheme="minorHAnsi"/>
                <w:b/>
                <w:sz w:val="24"/>
              </w:rPr>
              <w:t>July 1</w:t>
            </w:r>
            <w:r w:rsidR="00861B8A">
              <w:rPr>
                <w:rFonts w:cstheme="minorHAnsi"/>
                <w:b/>
                <w:sz w:val="24"/>
              </w:rPr>
              <w:t>, 2019</w:t>
            </w:r>
          </w:p>
        </w:tc>
      </w:tr>
      <w:tr w:rsidR="009003C4" w:rsidRPr="00DE42B9" w14:paraId="09030FFB" w14:textId="77777777" w:rsidTr="004137A2">
        <w:trPr>
          <w:trHeight w:val="684"/>
          <w:tblHeader/>
        </w:trPr>
        <w:tc>
          <w:tcPr>
            <w:tcW w:w="6835" w:type="dxa"/>
            <w:gridSpan w:val="3"/>
            <w:tcBorders>
              <w:top w:val="single" w:sz="18" w:space="0" w:color="auto"/>
            </w:tcBorders>
          </w:tcPr>
          <w:p w14:paraId="0C62ED1D"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80" w:type="dxa"/>
            <w:gridSpan w:val="3"/>
            <w:tcBorders>
              <w:top w:val="single" w:sz="18" w:space="0" w:color="auto"/>
            </w:tcBorders>
          </w:tcPr>
          <w:p w14:paraId="26B7F86D"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20" w:type="dxa"/>
            <w:tcBorders>
              <w:top w:val="single" w:sz="18" w:space="0" w:color="auto"/>
            </w:tcBorders>
          </w:tcPr>
          <w:p w14:paraId="7AC22F88"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pPr>
              <w:rPr>
                <w:rFonts w:cstheme="minorHAnsi"/>
                <w:b/>
                <w:i/>
                <w:color w:val="70AD47" w:themeColor="accent6"/>
                <w:sz w:val="24"/>
              </w:rPr>
            </w:pPr>
          </w:p>
          <w:p w14:paraId="39EE60C4" w14:textId="77777777" w:rsidR="000A0AEB" w:rsidRPr="000A0AEB" w:rsidRDefault="000A0AEB">
            <w:pPr>
              <w:rPr>
                <w:rFonts w:cstheme="minorHAnsi"/>
                <w:b/>
                <w:i/>
                <w:color w:val="70AD47" w:themeColor="accent6"/>
                <w:sz w:val="24"/>
              </w:rPr>
            </w:pPr>
          </w:p>
        </w:tc>
      </w:tr>
      <w:tr w:rsidR="00E35CB2" w:rsidRPr="00DE42B9" w14:paraId="79AD48BD" w14:textId="77777777" w:rsidTr="00E85B0E">
        <w:tc>
          <w:tcPr>
            <w:tcW w:w="14485" w:type="dxa"/>
            <w:gridSpan w:val="8"/>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1722BA">
        <w:trPr>
          <w:trHeight w:val="683"/>
        </w:trPr>
        <w:tc>
          <w:tcPr>
            <w:tcW w:w="715" w:type="dxa"/>
            <w:tcBorders>
              <w:bottom w:val="single" w:sz="4" w:space="0" w:color="auto"/>
            </w:tcBorders>
          </w:tcPr>
          <w:p w14:paraId="07CC6849" w14:textId="4A3D4070" w:rsidR="00561847" w:rsidRPr="00DE42B9" w:rsidRDefault="007A3269" w:rsidP="00561847">
            <w:pPr>
              <w:jc w:val="center"/>
              <w:rPr>
                <w:rFonts w:cstheme="minorHAnsi"/>
              </w:rPr>
            </w:pPr>
            <w:r>
              <w:rPr>
                <w:rFonts w:cstheme="minorHAnsi"/>
              </w:rPr>
              <w:t>0.1</w:t>
            </w:r>
          </w:p>
        </w:tc>
        <w:tc>
          <w:tcPr>
            <w:tcW w:w="6120" w:type="dxa"/>
            <w:gridSpan w:val="2"/>
            <w:tcBorders>
              <w:bottom w:val="single" w:sz="4" w:space="0" w:color="auto"/>
            </w:tcBorders>
          </w:tcPr>
          <w:p w14:paraId="47C9621B" w14:textId="4DE1FA78" w:rsidR="00561847" w:rsidRPr="000B7699" w:rsidRDefault="000A0AEB" w:rsidP="00C57954">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w:t>
            </w:r>
            <w:r w:rsidR="00434370" w:rsidRPr="00434370">
              <w:rPr>
                <w:rFonts w:cstheme="minorHAnsi"/>
              </w:rPr>
              <w:t xml:space="preserve">Prepare and submit regular monitoring reports on the </w:t>
            </w:r>
            <w:r w:rsidR="00AA5592">
              <w:rPr>
                <w:rFonts w:cstheme="minorHAnsi"/>
              </w:rPr>
              <w:t>safeguard’s</w:t>
            </w:r>
            <w:r w:rsidR="00434370" w:rsidRPr="00434370">
              <w:rPr>
                <w:rFonts w:cstheme="minorHAnsi"/>
              </w:rPr>
              <w:t xml:space="preserve"> performance of the Project, including, inter alia, implementation of the ESCP, and any E&amp;S documentation prepared or to be prepared and implemented under the ESCP, in form and substance acceptable to the Association</w:t>
            </w:r>
            <w:r w:rsidR="00561847">
              <w:rPr>
                <w:rFonts w:cstheme="minorHAnsi"/>
              </w:rPr>
              <w:t>.</w:t>
            </w:r>
          </w:p>
        </w:tc>
        <w:tc>
          <w:tcPr>
            <w:tcW w:w="2250" w:type="dxa"/>
            <w:tcBorders>
              <w:bottom w:val="single" w:sz="4" w:space="0" w:color="auto"/>
            </w:tcBorders>
          </w:tcPr>
          <w:p w14:paraId="43154D1E" w14:textId="469FE849" w:rsidR="00434370" w:rsidRDefault="00434370" w:rsidP="00434370">
            <w:pPr>
              <w:rPr>
                <w:rFonts w:cstheme="minorHAnsi"/>
              </w:rPr>
            </w:pPr>
            <w:r>
              <w:rPr>
                <w:rFonts w:cstheme="minorHAnsi"/>
              </w:rPr>
              <w:t>Quarterly (every 3 months)</w:t>
            </w:r>
            <w:r w:rsidRPr="00434370">
              <w:rPr>
                <w:rFonts w:cstheme="minorHAnsi"/>
              </w:rPr>
              <w:t xml:space="preserve"> reports submitted to the Association throughout Project implementation.</w:t>
            </w:r>
          </w:p>
          <w:p w14:paraId="7F9F1474" w14:textId="77777777" w:rsidR="00434370" w:rsidRPr="00434370" w:rsidRDefault="00434370" w:rsidP="00434370">
            <w:pPr>
              <w:rPr>
                <w:rFonts w:cstheme="minorHAnsi"/>
              </w:rPr>
            </w:pPr>
          </w:p>
          <w:p w14:paraId="19A80186" w14:textId="6800E4AC" w:rsidR="005F13A2" w:rsidRPr="00837306" w:rsidRDefault="00434370" w:rsidP="00561847">
            <w:pPr>
              <w:rPr>
                <w:rFonts w:cstheme="minorHAnsi"/>
              </w:rPr>
            </w:pPr>
            <w:r w:rsidRPr="00434370">
              <w:rPr>
                <w:rFonts w:cstheme="minorHAnsi"/>
              </w:rPr>
              <w:t>Mid-term and completion reports will also be required at times determined during project implementation.</w:t>
            </w:r>
            <w:r w:rsidRPr="00434370" w:rsidDel="00434370">
              <w:rPr>
                <w:rFonts w:cstheme="minorHAnsi"/>
              </w:rPr>
              <w:t xml:space="preserve"> </w:t>
            </w:r>
          </w:p>
        </w:tc>
        <w:tc>
          <w:tcPr>
            <w:tcW w:w="2280" w:type="dxa"/>
            <w:gridSpan w:val="3"/>
            <w:tcBorders>
              <w:bottom w:val="single" w:sz="4" w:space="0" w:color="auto"/>
            </w:tcBorders>
          </w:tcPr>
          <w:p w14:paraId="6D40571E" w14:textId="15177697" w:rsidR="00561847" w:rsidRDefault="00861B8A" w:rsidP="00434370">
            <w:pPr>
              <w:rPr>
                <w:rFonts w:cstheme="minorHAnsi"/>
              </w:rPr>
            </w:pPr>
            <w:r w:rsidRPr="00837306">
              <w:rPr>
                <w:rFonts w:cstheme="minorHAnsi"/>
              </w:rPr>
              <w:t xml:space="preserve">Project Implementation Unit (PIU) </w:t>
            </w:r>
          </w:p>
          <w:p w14:paraId="2984175D" w14:textId="77777777" w:rsidR="00434370" w:rsidRDefault="00434370" w:rsidP="00434370">
            <w:pPr>
              <w:rPr>
                <w:rFonts w:cstheme="minorHAnsi"/>
              </w:rPr>
            </w:pPr>
          </w:p>
          <w:p w14:paraId="5D4F34D0" w14:textId="45D8DD57" w:rsidR="00434370" w:rsidRPr="00837306" w:rsidRDefault="00434370" w:rsidP="00434370">
            <w:pPr>
              <w:rPr>
                <w:rFonts w:cstheme="minorHAnsi"/>
              </w:rPr>
            </w:pPr>
            <w:r w:rsidRPr="005B24AC">
              <w:rPr>
                <w:rFonts w:cstheme="minorHAnsi"/>
              </w:rPr>
              <w:t>The cost of monitoring and reporting will be incorporated the overall Project management costs</w:t>
            </w:r>
          </w:p>
        </w:tc>
        <w:tc>
          <w:tcPr>
            <w:tcW w:w="3120" w:type="dxa"/>
            <w:tcBorders>
              <w:bottom w:val="single" w:sz="4" w:space="0" w:color="auto"/>
            </w:tcBorders>
          </w:tcPr>
          <w:p w14:paraId="0B9BF8AB" w14:textId="77777777" w:rsidR="00434370" w:rsidRDefault="00434370" w:rsidP="00561847">
            <w:pPr>
              <w:rPr>
                <w:rFonts w:cstheme="minorHAnsi"/>
              </w:rPr>
            </w:pPr>
            <w:r w:rsidRPr="00434370">
              <w:rPr>
                <w:rFonts w:cstheme="minorHAnsi"/>
              </w:rPr>
              <w:t xml:space="preserve">Throughout Project implementation </w:t>
            </w:r>
          </w:p>
          <w:p w14:paraId="772D3E76" w14:textId="77777777" w:rsidR="00434370" w:rsidRDefault="00434370" w:rsidP="00561847">
            <w:pPr>
              <w:rPr>
                <w:rFonts w:cstheme="minorHAnsi"/>
              </w:rPr>
            </w:pPr>
          </w:p>
          <w:p w14:paraId="42AA062D" w14:textId="00C741A0" w:rsidR="00561847" w:rsidRPr="00837306" w:rsidRDefault="00861B8A" w:rsidP="00561847">
            <w:pPr>
              <w:rPr>
                <w:rFonts w:cstheme="minorHAnsi"/>
              </w:rPr>
            </w:pPr>
            <w:r w:rsidRPr="00837306">
              <w:rPr>
                <w:rFonts w:cstheme="minorHAnsi"/>
              </w:rPr>
              <w:t xml:space="preserve">First reporting </w:t>
            </w:r>
            <w:r w:rsidR="003A6EE4" w:rsidRPr="00837306">
              <w:rPr>
                <w:rFonts w:cstheme="minorHAnsi"/>
              </w:rPr>
              <w:t xml:space="preserve">to complete </w:t>
            </w:r>
            <w:r w:rsidR="00C8758A">
              <w:rPr>
                <w:rFonts w:cstheme="minorHAnsi"/>
              </w:rPr>
              <w:t>with</w:t>
            </w:r>
            <w:r w:rsidR="003A6EE4" w:rsidRPr="00837306">
              <w:rPr>
                <w:rFonts w:cstheme="minorHAnsi"/>
              </w:rPr>
              <w:t xml:space="preserve">in </w:t>
            </w:r>
            <w:r w:rsidR="00EE2485">
              <w:rPr>
                <w:rFonts w:cstheme="minorHAnsi"/>
              </w:rPr>
              <w:t>three</w:t>
            </w:r>
            <w:r w:rsidRPr="00837306">
              <w:rPr>
                <w:rFonts w:cstheme="minorHAnsi"/>
              </w:rPr>
              <w:t xml:space="preserve"> months following the project effectiveness</w:t>
            </w:r>
          </w:p>
        </w:tc>
      </w:tr>
      <w:tr w:rsidR="001722BA" w:rsidRPr="00DE42B9" w14:paraId="60FD2891" w14:textId="77777777" w:rsidTr="001722BA">
        <w:trPr>
          <w:trHeight w:val="1538"/>
        </w:trPr>
        <w:tc>
          <w:tcPr>
            <w:tcW w:w="715" w:type="dxa"/>
            <w:tcBorders>
              <w:bottom w:val="single" w:sz="18" w:space="0" w:color="auto"/>
            </w:tcBorders>
          </w:tcPr>
          <w:p w14:paraId="2F05AFC3" w14:textId="5E4947AC" w:rsidR="000B7699" w:rsidRPr="00DE42B9" w:rsidRDefault="007A3269" w:rsidP="007C7248">
            <w:pPr>
              <w:jc w:val="center"/>
              <w:rPr>
                <w:rFonts w:cstheme="minorHAnsi"/>
              </w:rPr>
            </w:pPr>
            <w:r>
              <w:rPr>
                <w:rFonts w:cstheme="minorHAnsi"/>
              </w:rPr>
              <w:t>0.2</w:t>
            </w:r>
          </w:p>
        </w:tc>
        <w:tc>
          <w:tcPr>
            <w:tcW w:w="6120" w:type="dxa"/>
            <w:gridSpan w:val="2"/>
            <w:tcBorders>
              <w:bottom w:val="single" w:sz="18" w:space="0" w:color="auto"/>
            </w:tcBorders>
          </w:tcPr>
          <w:p w14:paraId="0834907A" w14:textId="09515806" w:rsidR="000B7699" w:rsidRPr="000B7699" w:rsidRDefault="000A0AEB" w:rsidP="00503F93">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r w:rsidR="00561847" w:rsidRPr="000B7699">
              <w:rPr>
                <w:rFonts w:asciiTheme="minorHAnsi" w:hAnsiTheme="minorHAnsi" w:cstheme="minorHAnsi"/>
                <w:bCs/>
                <w:szCs w:val="22"/>
              </w:rPr>
              <w:t>Promptly notify any incident or accident related or having an impact on the Project which has, or is likely to have,</w:t>
            </w:r>
            <w:r w:rsidR="00561847" w:rsidRPr="000B7699">
              <w:rPr>
                <w:rFonts w:asciiTheme="minorHAnsi" w:hAnsiTheme="minorHAnsi" w:cstheme="minorHAnsi"/>
                <w:szCs w:val="22"/>
              </w:rPr>
              <w:t xml:space="preserve"> a significant adverse effect on the environment, the affected communities, the public or workers</w:t>
            </w:r>
            <w:r w:rsidR="00561847">
              <w:rPr>
                <w:rFonts w:asciiTheme="minorHAnsi" w:hAnsiTheme="minorHAnsi" w:cstheme="minorHAnsi"/>
                <w:szCs w:val="22"/>
              </w:rPr>
              <w:t>.</w:t>
            </w:r>
            <w:r>
              <w:rPr>
                <w:rFonts w:asciiTheme="minorHAnsi" w:hAnsiTheme="minorHAnsi" w:cstheme="minorHAnsi"/>
                <w:szCs w:val="22"/>
              </w:rPr>
              <w:t xml:space="preserve"> P</w:t>
            </w:r>
            <w:r w:rsidR="00BC6863">
              <w:rPr>
                <w:rFonts w:asciiTheme="minorHAnsi" w:hAnsiTheme="minorHAnsi" w:cstheme="minorHAnsi"/>
                <w:szCs w:val="22"/>
              </w:rPr>
              <w:t xml:space="preserve">rovide sufficient detail regarding </w:t>
            </w:r>
            <w:r w:rsidR="003E1D7B">
              <w:rPr>
                <w:rFonts w:asciiTheme="minorHAnsi" w:hAnsiTheme="minorHAnsi" w:cstheme="minorHAnsi"/>
                <w:szCs w:val="22"/>
              </w:rPr>
              <w:t>the</w:t>
            </w:r>
            <w:r w:rsidR="00BC6863">
              <w:rPr>
                <w:rFonts w:asciiTheme="minorHAnsi" w:hAnsiTheme="minorHAnsi" w:cstheme="minorHAnsi"/>
                <w:szCs w:val="22"/>
              </w:rPr>
              <w:t xml:space="preserve"> incident or accident,</w:t>
            </w:r>
            <w:r>
              <w:rPr>
                <w:rFonts w:asciiTheme="minorHAnsi" w:hAnsiTheme="minorHAnsi" w:cstheme="minorHAnsi"/>
                <w:szCs w:val="22"/>
              </w:rPr>
              <w:t xml:space="preserve"> indicating</w:t>
            </w:r>
            <w:r w:rsidR="00BC6863" w:rsidRPr="00BC6863">
              <w:rPr>
                <w:rFonts w:asciiTheme="minorHAnsi" w:hAnsiTheme="minorHAnsi" w:cstheme="minorHAnsi"/>
                <w:szCs w:val="22"/>
              </w:rPr>
              <w:t xml:space="preserve"> immediate measures taken to address </w:t>
            </w:r>
            <w:r w:rsidR="00BC6863">
              <w:rPr>
                <w:rFonts w:asciiTheme="minorHAnsi" w:hAnsiTheme="minorHAnsi" w:cstheme="minorHAnsi"/>
                <w:szCs w:val="22"/>
              </w:rPr>
              <w:t>it</w:t>
            </w:r>
            <w:r w:rsidR="00BC6863" w:rsidRPr="00BC6863">
              <w:rPr>
                <w:rFonts w:asciiTheme="minorHAnsi" w:hAnsiTheme="minorHAnsi" w:cstheme="minorHAnsi"/>
                <w:szCs w:val="22"/>
              </w:rPr>
              <w:t xml:space="preserve">, and include information provided by </w:t>
            </w:r>
            <w:r w:rsidR="003E1D7B">
              <w:rPr>
                <w:rFonts w:asciiTheme="minorHAnsi" w:hAnsiTheme="minorHAnsi" w:cstheme="minorHAnsi"/>
                <w:szCs w:val="22"/>
              </w:rPr>
              <w:t>any contractor</w:t>
            </w:r>
            <w:r w:rsidR="00BC6863" w:rsidRPr="00BC6863">
              <w:rPr>
                <w:rFonts w:asciiTheme="minorHAnsi" w:hAnsiTheme="minorHAnsi" w:cstheme="minorHAnsi"/>
                <w:szCs w:val="22"/>
              </w:rPr>
              <w:t xml:space="preserve"> and supervising entity</w:t>
            </w:r>
            <w:r w:rsidR="003E1D7B">
              <w:rPr>
                <w:rFonts w:asciiTheme="minorHAnsi" w:hAnsiTheme="minorHAnsi" w:cstheme="minorHAnsi"/>
                <w:szCs w:val="22"/>
              </w:rPr>
              <w:t xml:space="preserve">, </w:t>
            </w:r>
            <w:r w:rsidR="00BC6863">
              <w:rPr>
                <w:rFonts w:asciiTheme="minorHAnsi" w:hAnsiTheme="minorHAnsi" w:cstheme="minorHAnsi"/>
                <w:szCs w:val="22"/>
              </w:rPr>
              <w:t>as appropriate</w:t>
            </w:r>
            <w:r w:rsidR="00BC6863" w:rsidRPr="00BC6863">
              <w:rPr>
                <w:rFonts w:asciiTheme="minorHAnsi" w:hAnsiTheme="minorHAnsi" w:cstheme="minorHAnsi"/>
                <w:szCs w:val="22"/>
              </w:rPr>
              <w:t>.</w:t>
            </w:r>
          </w:p>
        </w:tc>
        <w:tc>
          <w:tcPr>
            <w:tcW w:w="2250" w:type="dxa"/>
            <w:tcBorders>
              <w:bottom w:val="single" w:sz="18" w:space="0" w:color="auto"/>
            </w:tcBorders>
          </w:tcPr>
          <w:p w14:paraId="63975A7B" w14:textId="1DF23FC8" w:rsidR="000B7699" w:rsidRDefault="000B7699" w:rsidP="007C7248">
            <w:pPr>
              <w:rPr>
                <w:rFonts w:cstheme="minorHAnsi"/>
              </w:rPr>
            </w:pPr>
            <w:r w:rsidRPr="00837306">
              <w:rPr>
                <w:rFonts w:cstheme="minorHAnsi"/>
              </w:rPr>
              <w:t xml:space="preserve">Promptly after taking notice of the incident or accident. </w:t>
            </w:r>
          </w:p>
          <w:p w14:paraId="718595F3" w14:textId="2BEF38B2" w:rsidR="00434370" w:rsidRDefault="00434370" w:rsidP="007C7248">
            <w:pPr>
              <w:rPr>
                <w:rFonts w:cstheme="minorHAnsi"/>
              </w:rPr>
            </w:pPr>
          </w:p>
          <w:p w14:paraId="135ECFBF" w14:textId="7C922765" w:rsidR="00434370" w:rsidRPr="00837306" w:rsidRDefault="00434370" w:rsidP="007C7248">
            <w:pPr>
              <w:rPr>
                <w:rFonts w:cstheme="minorHAnsi"/>
              </w:rPr>
            </w:pPr>
            <w:r w:rsidRPr="00434370">
              <w:rPr>
                <w:rFonts w:cstheme="minorHAnsi"/>
              </w:rPr>
              <w:t>Any incident or accident shall be notified to the Association within 24 hours after taking note of the incident or accident</w:t>
            </w:r>
          </w:p>
          <w:p w14:paraId="4077096F" w14:textId="77777777" w:rsidR="000B7699" w:rsidRPr="00837306" w:rsidRDefault="000B7699" w:rsidP="007C7248">
            <w:pPr>
              <w:rPr>
                <w:rFonts w:cstheme="minorHAnsi"/>
              </w:rPr>
            </w:pPr>
          </w:p>
        </w:tc>
        <w:tc>
          <w:tcPr>
            <w:tcW w:w="2280" w:type="dxa"/>
            <w:gridSpan w:val="3"/>
            <w:tcBorders>
              <w:bottom w:val="single" w:sz="18" w:space="0" w:color="auto"/>
            </w:tcBorders>
          </w:tcPr>
          <w:p w14:paraId="770F6E26" w14:textId="68826A1E" w:rsidR="000B7699" w:rsidRDefault="00837306" w:rsidP="00434370">
            <w:pPr>
              <w:rPr>
                <w:rFonts w:cstheme="minorHAnsi"/>
              </w:rPr>
            </w:pPr>
            <w:r w:rsidRPr="00837306">
              <w:rPr>
                <w:rFonts w:cstheme="minorHAnsi"/>
              </w:rPr>
              <w:t xml:space="preserve">PIU </w:t>
            </w:r>
          </w:p>
          <w:p w14:paraId="41275AC3" w14:textId="77777777" w:rsidR="00434370" w:rsidRDefault="00434370" w:rsidP="00434370">
            <w:pPr>
              <w:rPr>
                <w:rFonts w:cstheme="minorHAnsi"/>
              </w:rPr>
            </w:pPr>
          </w:p>
          <w:p w14:paraId="31B1BE9E" w14:textId="646A2DCF" w:rsidR="00434370" w:rsidRPr="00837306" w:rsidRDefault="00434370" w:rsidP="00434370">
            <w:pPr>
              <w:rPr>
                <w:rFonts w:cstheme="minorHAnsi"/>
              </w:rPr>
            </w:pPr>
            <w:r w:rsidRPr="00434370">
              <w:rPr>
                <w:rFonts w:cstheme="minorHAnsi"/>
              </w:rPr>
              <w:t>Funding from Project Budget</w:t>
            </w:r>
          </w:p>
        </w:tc>
        <w:tc>
          <w:tcPr>
            <w:tcW w:w="3120" w:type="dxa"/>
            <w:tcBorders>
              <w:bottom w:val="single" w:sz="18" w:space="0" w:color="auto"/>
            </w:tcBorders>
          </w:tcPr>
          <w:p w14:paraId="0AEA7E55" w14:textId="1768FF69" w:rsidR="000B7699" w:rsidRPr="00837306" w:rsidRDefault="00837306" w:rsidP="00C16504">
            <w:pPr>
              <w:autoSpaceDE w:val="0"/>
              <w:autoSpaceDN w:val="0"/>
              <w:adjustRightInd w:val="0"/>
              <w:rPr>
                <w:rFonts w:cstheme="minorHAnsi"/>
              </w:rPr>
            </w:pPr>
            <w:r w:rsidRPr="00837306">
              <w:rPr>
                <w:rFonts w:cstheme="minorHAnsi"/>
              </w:rPr>
              <w:t>Promptly after taking notice of the incident or accident.</w:t>
            </w:r>
          </w:p>
        </w:tc>
      </w:tr>
      <w:tr w:rsidR="00561847" w:rsidRPr="00DE42B9" w14:paraId="000E4D72" w14:textId="77777777" w:rsidTr="00E85B0E">
        <w:trPr>
          <w:trHeight w:val="330"/>
        </w:trPr>
        <w:tc>
          <w:tcPr>
            <w:tcW w:w="14485" w:type="dxa"/>
            <w:gridSpan w:val="8"/>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8"/>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lastRenderedPageBreak/>
              <w:t>ESS 1:  ASSESSMENT AND MANAGEMENT OF ENVIRONMENTAL AND SOCIAL RISKS AND IMPACTS</w:t>
            </w:r>
          </w:p>
        </w:tc>
      </w:tr>
      <w:tr w:rsidR="00561847" w:rsidRPr="00DE42B9" w14:paraId="53FD2164" w14:textId="77777777" w:rsidTr="004137A2">
        <w:tc>
          <w:tcPr>
            <w:tcW w:w="715" w:type="dxa"/>
          </w:tcPr>
          <w:p w14:paraId="0D527BFF" w14:textId="77777777" w:rsidR="00561847" w:rsidRPr="00DE42B9" w:rsidRDefault="00561847" w:rsidP="00561847">
            <w:pPr>
              <w:jc w:val="center"/>
              <w:rPr>
                <w:rFonts w:cstheme="minorHAnsi"/>
              </w:rPr>
            </w:pPr>
            <w:r w:rsidRPr="00DE42B9">
              <w:rPr>
                <w:rFonts w:cstheme="minorHAnsi"/>
              </w:rPr>
              <w:t>1.1</w:t>
            </w:r>
          </w:p>
        </w:tc>
        <w:tc>
          <w:tcPr>
            <w:tcW w:w="6120" w:type="dxa"/>
            <w:gridSpan w:val="2"/>
          </w:tcPr>
          <w:p w14:paraId="1DAC63CA" w14:textId="2BB6DCC2" w:rsidR="00C8758A" w:rsidRDefault="000A0AEB" w:rsidP="00A25D44">
            <w:pPr>
              <w:rPr>
                <w:rFonts w:cstheme="minorHAnsi"/>
              </w:rPr>
            </w:pPr>
            <w:r w:rsidRPr="000A0AEB">
              <w:rPr>
                <w:rFonts w:cstheme="minorHAnsi"/>
                <w:b/>
                <w:color w:val="5B9BD5" w:themeColor="accent5"/>
              </w:rPr>
              <w:t>ORGANIZATIONAL STRUCTURE</w:t>
            </w:r>
            <w:r w:rsidR="00561847">
              <w:rPr>
                <w:rFonts w:cstheme="minorHAnsi"/>
              </w:rPr>
              <w:t xml:space="preserve">: </w:t>
            </w:r>
          </w:p>
          <w:p w14:paraId="213FC390" w14:textId="73AE678B" w:rsidR="00434370" w:rsidRDefault="00434370" w:rsidP="00A25D44">
            <w:pPr>
              <w:rPr>
                <w:rFonts w:cstheme="minorHAnsi"/>
              </w:rPr>
            </w:pPr>
            <w:r w:rsidRPr="00434370">
              <w:rPr>
                <w:rFonts w:cstheme="minorHAnsi"/>
              </w:rPr>
              <w:t>A Project implementation un</w:t>
            </w:r>
            <w:r>
              <w:rPr>
                <w:rFonts w:cstheme="minorHAnsi"/>
              </w:rPr>
              <w:t xml:space="preserve">it (PIU) will be set up at </w:t>
            </w:r>
            <w:proofErr w:type="spellStart"/>
            <w:r>
              <w:rPr>
                <w:rFonts w:cstheme="minorHAnsi"/>
              </w:rPr>
              <w:t>MoPIED</w:t>
            </w:r>
            <w:proofErr w:type="spellEnd"/>
            <w:r w:rsidRPr="00434370">
              <w:rPr>
                <w:rFonts w:cstheme="minorHAnsi"/>
              </w:rPr>
              <w:t>,</w:t>
            </w:r>
          </w:p>
          <w:p w14:paraId="028AD1FC" w14:textId="3EC64AFA" w:rsidR="00C8758A" w:rsidRPr="00BD2E82" w:rsidRDefault="005B24AC" w:rsidP="00BD2E82">
            <w:pPr>
              <w:pStyle w:val="ListParagraph"/>
              <w:numPr>
                <w:ilvl w:val="0"/>
                <w:numId w:val="21"/>
              </w:numPr>
              <w:spacing w:after="0"/>
              <w:rPr>
                <w:rFonts w:cstheme="minorHAnsi"/>
              </w:rPr>
            </w:pPr>
            <w:r>
              <w:rPr>
                <w:rFonts w:cstheme="minorHAnsi"/>
              </w:rPr>
              <w:t xml:space="preserve">M&amp;E will also oversee safeguard </w:t>
            </w:r>
          </w:p>
          <w:p w14:paraId="09F2428F" w14:textId="1879FA8C" w:rsidR="00561847" w:rsidRPr="00503F93" w:rsidRDefault="00561847" w:rsidP="00A25D44">
            <w:pPr>
              <w:rPr>
                <w:rFonts w:cstheme="minorHAnsi"/>
                <w:highlight w:val="yellow"/>
              </w:rPr>
            </w:pPr>
          </w:p>
        </w:tc>
        <w:tc>
          <w:tcPr>
            <w:tcW w:w="2250" w:type="dxa"/>
          </w:tcPr>
          <w:p w14:paraId="73AE939A" w14:textId="77777777" w:rsidR="00880C61" w:rsidRDefault="00880C61" w:rsidP="00880C61">
            <w:pPr>
              <w:pStyle w:val="ListParagraph"/>
              <w:numPr>
                <w:ilvl w:val="0"/>
                <w:numId w:val="21"/>
              </w:numPr>
              <w:spacing w:after="0"/>
              <w:ind w:left="331"/>
              <w:rPr>
                <w:rFonts w:cstheme="minorHAnsi"/>
              </w:rPr>
            </w:pPr>
            <w:r w:rsidRPr="00880C61">
              <w:rPr>
                <w:rFonts w:cstheme="minorHAnsi"/>
              </w:rPr>
              <w:t xml:space="preserve">PIU: </w:t>
            </w:r>
            <w:r w:rsidR="00BD2E82" w:rsidRPr="00880C61">
              <w:rPr>
                <w:rFonts w:cstheme="minorHAnsi"/>
              </w:rPr>
              <w:t>Prior to project effectiveness</w:t>
            </w:r>
          </w:p>
          <w:p w14:paraId="2DF01D26" w14:textId="06275AF7" w:rsidR="00561847" w:rsidRPr="005B24AC" w:rsidRDefault="00561847" w:rsidP="005B24AC">
            <w:pPr>
              <w:rPr>
                <w:rFonts w:cstheme="minorHAnsi"/>
              </w:rPr>
            </w:pPr>
          </w:p>
        </w:tc>
        <w:tc>
          <w:tcPr>
            <w:tcW w:w="2280" w:type="dxa"/>
            <w:gridSpan w:val="3"/>
          </w:tcPr>
          <w:p w14:paraId="6F9B134B" w14:textId="216EF37E" w:rsidR="00561847" w:rsidRPr="00DE42B9" w:rsidRDefault="00BD2E82" w:rsidP="005B24AC">
            <w:pPr>
              <w:rPr>
                <w:rFonts w:cstheme="minorHAnsi"/>
              </w:rPr>
            </w:pPr>
            <w:r w:rsidRPr="00837306">
              <w:rPr>
                <w:rFonts w:cstheme="minorHAnsi"/>
              </w:rPr>
              <w:t xml:space="preserve">PIU </w:t>
            </w:r>
          </w:p>
        </w:tc>
        <w:tc>
          <w:tcPr>
            <w:tcW w:w="3120" w:type="dxa"/>
          </w:tcPr>
          <w:p w14:paraId="2B4011F1" w14:textId="4AAE1F6D" w:rsidR="00880C61" w:rsidRPr="00BC781D" w:rsidRDefault="00880C61" w:rsidP="005B24AC">
            <w:pPr>
              <w:pStyle w:val="ListParagraph"/>
              <w:numPr>
                <w:ilvl w:val="0"/>
                <w:numId w:val="28"/>
              </w:numPr>
              <w:spacing w:after="0"/>
              <w:ind w:left="391"/>
            </w:pPr>
            <w:r>
              <w:t xml:space="preserve">PIU: </w:t>
            </w:r>
            <w:r w:rsidR="00BD2E82">
              <w:t>Project effectiveness date</w:t>
            </w:r>
          </w:p>
        </w:tc>
      </w:tr>
      <w:tr w:rsidR="0093258B" w:rsidRPr="00DE42B9" w14:paraId="406176E7" w14:textId="77777777" w:rsidTr="004137A2">
        <w:tc>
          <w:tcPr>
            <w:tcW w:w="715" w:type="dxa"/>
          </w:tcPr>
          <w:p w14:paraId="021B7FBA" w14:textId="568C2166" w:rsidR="0093258B" w:rsidRDefault="0093258B" w:rsidP="0093258B">
            <w:pPr>
              <w:jc w:val="center"/>
              <w:rPr>
                <w:rFonts w:cstheme="minorHAnsi"/>
              </w:rPr>
            </w:pPr>
            <w:r>
              <w:rPr>
                <w:rFonts w:cstheme="minorHAnsi"/>
              </w:rPr>
              <w:t>1.</w:t>
            </w:r>
            <w:r w:rsidR="004920B8">
              <w:rPr>
                <w:rFonts w:cstheme="minorHAnsi"/>
              </w:rPr>
              <w:t>3</w:t>
            </w:r>
          </w:p>
        </w:tc>
        <w:tc>
          <w:tcPr>
            <w:tcW w:w="6120" w:type="dxa"/>
            <w:gridSpan w:val="2"/>
          </w:tcPr>
          <w:p w14:paraId="59F59189" w14:textId="77777777" w:rsidR="000E0A4A" w:rsidRPr="000E0A4A" w:rsidRDefault="000E0A4A" w:rsidP="000E0A4A">
            <w:pPr>
              <w:rPr>
                <w:rFonts w:cstheme="minorHAnsi"/>
                <w:b/>
                <w:bCs/>
                <w:color w:val="5B9BD5" w:themeColor="accent5"/>
                <w:kern w:val="28"/>
              </w:rPr>
            </w:pPr>
            <w:r w:rsidRPr="000E0A4A">
              <w:rPr>
                <w:rFonts w:cstheme="minorHAnsi"/>
                <w:b/>
                <w:bCs/>
                <w:color w:val="5B9BD5" w:themeColor="accent5"/>
                <w:kern w:val="28"/>
              </w:rPr>
              <w:t>PERMIT, CONSENTS AND AUTHORIZATIONS:</w:t>
            </w:r>
          </w:p>
          <w:p w14:paraId="73FFC10F" w14:textId="05B03C43" w:rsidR="0093258B" w:rsidRPr="00D50975" w:rsidRDefault="000E0A4A" w:rsidP="000E0A4A">
            <w:pPr>
              <w:rPr>
                <w:rFonts w:cstheme="minorHAnsi"/>
                <w:b/>
                <w:bCs/>
                <w:i/>
                <w:kern w:val="28"/>
              </w:rPr>
            </w:pPr>
            <w:r w:rsidRPr="005500A0">
              <w:rPr>
                <w:rFonts w:cstheme="minorHAnsi"/>
                <w:bCs/>
                <w:color w:val="5B9BD5" w:themeColor="accent5"/>
                <w:kern w:val="28"/>
              </w:rPr>
              <w:t xml:space="preserve">Though none are anticipated, the project will obtain and thereafter comply with any permits, consents and authorizations that are required for the Project from relevant national </w:t>
            </w:r>
            <w:r w:rsidR="005500A0" w:rsidRPr="005500A0">
              <w:rPr>
                <w:rFonts w:cstheme="minorHAnsi"/>
                <w:bCs/>
                <w:color w:val="5B9BD5" w:themeColor="accent5"/>
                <w:kern w:val="28"/>
              </w:rPr>
              <w:t>authorities</w:t>
            </w:r>
            <w:r w:rsidR="005500A0" w:rsidRPr="000E0A4A">
              <w:rPr>
                <w:rFonts w:cstheme="minorHAnsi"/>
                <w:b/>
                <w:bCs/>
                <w:color w:val="5B9BD5" w:themeColor="accent5"/>
                <w:kern w:val="28"/>
              </w:rPr>
              <w:t>.</w:t>
            </w:r>
            <w:r w:rsidR="0093258B" w:rsidRPr="00D50975">
              <w:rPr>
                <w:rFonts w:cstheme="minorHAnsi"/>
                <w:bCs/>
                <w:kern w:val="28"/>
              </w:rPr>
              <w:t xml:space="preserve"> </w:t>
            </w:r>
          </w:p>
        </w:tc>
        <w:tc>
          <w:tcPr>
            <w:tcW w:w="2250" w:type="dxa"/>
          </w:tcPr>
          <w:p w14:paraId="359E6005" w14:textId="4A41AE28" w:rsidR="0093258B" w:rsidRPr="00D50975" w:rsidRDefault="000E0A4A" w:rsidP="0093258B">
            <w:pPr>
              <w:rPr>
                <w:rFonts w:cstheme="minorHAnsi"/>
              </w:rPr>
            </w:pPr>
            <w:r w:rsidRPr="000E0A4A">
              <w:rPr>
                <w:rFonts w:cstheme="minorHAnsi"/>
              </w:rPr>
              <w:t>All relevant permits, consents and authorizations: before commencement of related Project activities</w:t>
            </w:r>
          </w:p>
        </w:tc>
        <w:tc>
          <w:tcPr>
            <w:tcW w:w="2280" w:type="dxa"/>
            <w:gridSpan w:val="3"/>
          </w:tcPr>
          <w:p w14:paraId="17D670AB" w14:textId="29D0D04E" w:rsidR="0093258B" w:rsidRPr="00D50975" w:rsidRDefault="000E0A4A" w:rsidP="0093258B">
            <w:pPr>
              <w:rPr>
                <w:rFonts w:cstheme="minorHAnsi"/>
              </w:rPr>
            </w:pPr>
            <w:proofErr w:type="spellStart"/>
            <w:r>
              <w:rPr>
                <w:rFonts w:cstheme="minorHAnsi"/>
              </w:rPr>
              <w:t>MoPIED</w:t>
            </w:r>
            <w:proofErr w:type="spellEnd"/>
            <w:r w:rsidR="0093258B" w:rsidRPr="00D50975">
              <w:rPr>
                <w:rFonts w:cstheme="minorHAnsi"/>
              </w:rPr>
              <w:t xml:space="preserve"> </w:t>
            </w:r>
            <w:r w:rsidR="00660505">
              <w:rPr>
                <w:rFonts w:cstheme="minorHAnsi"/>
              </w:rPr>
              <w:t xml:space="preserve">, </w:t>
            </w:r>
            <w:r w:rsidR="00660505" w:rsidRPr="00660505">
              <w:rPr>
                <w:rFonts w:cstheme="minorHAnsi"/>
              </w:rPr>
              <w:t>Ministry of Planning and National Development Somaliland Central Statistics Department</w:t>
            </w:r>
          </w:p>
        </w:tc>
        <w:tc>
          <w:tcPr>
            <w:tcW w:w="3120" w:type="dxa"/>
          </w:tcPr>
          <w:p w14:paraId="18AD033A" w14:textId="56F8259D" w:rsidR="0093258B" w:rsidRPr="00D50975" w:rsidRDefault="000E0A4A" w:rsidP="000E0A4A">
            <w:pPr>
              <w:pStyle w:val="Normalbullettable"/>
            </w:pPr>
            <w:r w:rsidRPr="000E0A4A">
              <w:t>Securing permits as indicated and compliance with the permits throughout Project implementation</w:t>
            </w:r>
            <w:r w:rsidR="0093258B" w:rsidRPr="00D50975">
              <w:t>.</w:t>
            </w:r>
          </w:p>
        </w:tc>
      </w:tr>
      <w:tr w:rsidR="0093258B" w:rsidRPr="00DE42B9" w14:paraId="0EFB4494" w14:textId="77777777" w:rsidTr="00E85B0E">
        <w:tc>
          <w:tcPr>
            <w:tcW w:w="14485" w:type="dxa"/>
            <w:gridSpan w:val="8"/>
            <w:shd w:val="clear" w:color="auto" w:fill="F7CAAC" w:themeFill="accent2" w:themeFillTint="66"/>
          </w:tcPr>
          <w:p w14:paraId="761B438C" w14:textId="77777777" w:rsidR="0093258B" w:rsidRPr="00354AD9" w:rsidRDefault="0093258B" w:rsidP="0093258B">
            <w:pPr>
              <w:rPr>
                <w:rFonts w:cstheme="minorHAnsi"/>
                <w:b/>
                <w:sz w:val="24"/>
              </w:rPr>
            </w:pPr>
            <w:r w:rsidRPr="00354AD9">
              <w:rPr>
                <w:rFonts w:cstheme="minorHAnsi"/>
                <w:b/>
                <w:sz w:val="24"/>
              </w:rPr>
              <w:t xml:space="preserve">ESS 2:  LABOR AND WORKING CONDITIONS  </w:t>
            </w:r>
          </w:p>
        </w:tc>
      </w:tr>
      <w:tr w:rsidR="009D1D3B" w:rsidRPr="00DE42B9" w14:paraId="752A32E9" w14:textId="77777777" w:rsidTr="004137A2">
        <w:tc>
          <w:tcPr>
            <w:tcW w:w="715" w:type="dxa"/>
          </w:tcPr>
          <w:p w14:paraId="588298D6" w14:textId="77777777" w:rsidR="009D1D3B" w:rsidRPr="00DE42B9" w:rsidRDefault="009D1D3B" w:rsidP="009D1D3B">
            <w:pPr>
              <w:jc w:val="center"/>
              <w:rPr>
                <w:rFonts w:cstheme="minorHAnsi"/>
              </w:rPr>
            </w:pPr>
            <w:r w:rsidRPr="00DE42B9">
              <w:rPr>
                <w:rFonts w:cstheme="minorHAnsi"/>
              </w:rPr>
              <w:t>2.1</w:t>
            </w:r>
          </w:p>
        </w:tc>
        <w:tc>
          <w:tcPr>
            <w:tcW w:w="6120" w:type="dxa"/>
            <w:gridSpan w:val="2"/>
          </w:tcPr>
          <w:p w14:paraId="58A583AB" w14:textId="3099F39F" w:rsidR="009D1D3B" w:rsidRDefault="009D1D3B" w:rsidP="009D1D3B">
            <w:pPr>
              <w:rPr>
                <w:rFonts w:cstheme="minorHAnsi"/>
              </w:rPr>
            </w:pPr>
            <w:r w:rsidRPr="00DB0090">
              <w:rPr>
                <w:rFonts w:cstheme="minorHAnsi"/>
                <w:b/>
                <w:color w:val="5B9BD5" w:themeColor="accent5"/>
              </w:rPr>
              <w:t>LABOR MANAGEMENT PROCEDURES</w:t>
            </w:r>
            <w:r>
              <w:rPr>
                <w:rFonts w:cstheme="minorHAnsi"/>
                <w:b/>
                <w:color w:val="5B9BD5" w:themeColor="accent5"/>
              </w:rPr>
              <w:t xml:space="preserve"> (LMP)</w:t>
            </w:r>
            <w:r>
              <w:rPr>
                <w:rFonts w:cstheme="minorHAnsi"/>
              </w:rPr>
              <w:t xml:space="preserve">: </w:t>
            </w:r>
            <w:r w:rsidR="00F6505E">
              <w:rPr>
                <w:rFonts w:cstheme="minorHAnsi"/>
              </w:rPr>
              <w:t>C</w:t>
            </w:r>
            <w:r w:rsidR="004E2DA6">
              <w:rPr>
                <w:rFonts w:cstheme="minorHAnsi"/>
              </w:rPr>
              <w:t>o</w:t>
            </w:r>
            <w:r w:rsidR="00F6505E">
              <w:rPr>
                <w:rFonts w:cstheme="minorHAnsi"/>
              </w:rPr>
              <w:t xml:space="preserve">nsistent with </w:t>
            </w:r>
            <w:r w:rsidR="004E2DA6">
              <w:rPr>
                <w:rFonts w:cstheme="minorHAnsi"/>
              </w:rPr>
              <w:t>the LMP</w:t>
            </w:r>
            <w:r w:rsidR="00F6505E">
              <w:rPr>
                <w:rFonts w:cstheme="minorHAnsi"/>
              </w:rPr>
              <w:t xml:space="preserve"> and ESS2</w:t>
            </w:r>
            <w:r w:rsidR="004E2DA6">
              <w:rPr>
                <w:rFonts w:cstheme="minorHAnsi"/>
              </w:rPr>
              <w:t>, d</w:t>
            </w:r>
            <w:r>
              <w:rPr>
                <w:rFonts w:cstheme="minorHAnsi"/>
              </w:rPr>
              <w:t xml:space="preserve">evelop and implement </w:t>
            </w:r>
            <w:r w:rsidRPr="006110F8">
              <w:rPr>
                <w:rFonts w:cstheme="minorHAnsi"/>
              </w:rPr>
              <w:t>labor management procedures</w:t>
            </w:r>
            <w:r>
              <w:rPr>
                <w:rFonts w:cstheme="minorHAnsi"/>
              </w:rPr>
              <w:t xml:space="preserve"> to address labor risks, including </w:t>
            </w:r>
            <w:r w:rsidR="00815DEA">
              <w:rPr>
                <w:rFonts w:cstheme="minorHAnsi"/>
              </w:rPr>
              <w:t xml:space="preserve">(but not limited to) </w:t>
            </w:r>
            <w:r>
              <w:rPr>
                <w:rFonts w:cstheme="minorHAnsi"/>
              </w:rPr>
              <w:t>the following key mitigations:</w:t>
            </w:r>
          </w:p>
          <w:p w14:paraId="22854E92" w14:textId="391FC7BF" w:rsidR="00815DEA" w:rsidRDefault="009D1D3B" w:rsidP="009D1D3B">
            <w:pPr>
              <w:rPr>
                <w:rFonts w:cstheme="minorHAnsi"/>
              </w:rPr>
            </w:pPr>
            <w:r>
              <w:rPr>
                <w:rFonts w:cstheme="minorHAnsi"/>
              </w:rPr>
              <w:t>-Occupational, health and safety (OHS) measures;</w:t>
            </w:r>
          </w:p>
          <w:p w14:paraId="5A9FE7E4" w14:textId="77777777" w:rsidR="004920B8" w:rsidRDefault="009D1D3B" w:rsidP="009D1D3B">
            <w:pPr>
              <w:rPr>
                <w:rFonts w:cstheme="minorHAnsi"/>
              </w:rPr>
            </w:pPr>
            <w:r>
              <w:rPr>
                <w:rFonts w:cstheme="minorHAnsi"/>
              </w:rPr>
              <w:t>-Emergency preparedness and response;</w:t>
            </w:r>
          </w:p>
          <w:p w14:paraId="32C558B8" w14:textId="7C0F32C0" w:rsidR="009D1D3B" w:rsidRDefault="004920B8" w:rsidP="009D1D3B">
            <w:pPr>
              <w:rPr>
                <w:rFonts w:cstheme="minorHAnsi"/>
              </w:rPr>
            </w:pPr>
            <w:r>
              <w:rPr>
                <w:rFonts w:cstheme="minorHAnsi"/>
              </w:rPr>
              <w:t>-Grievance redress mechanism for project workers:</w:t>
            </w:r>
            <w:r w:rsidR="009D1D3B">
              <w:rPr>
                <w:rFonts w:cstheme="minorHAnsi"/>
              </w:rPr>
              <w:t xml:space="preserve">  </w:t>
            </w:r>
          </w:p>
          <w:p w14:paraId="252E36FD" w14:textId="0A07EEC6" w:rsidR="009D1D3B" w:rsidRPr="006110F8" w:rsidRDefault="009D1D3B" w:rsidP="009D1D3B">
            <w:pPr>
              <w:rPr>
                <w:rFonts w:cstheme="minorHAnsi"/>
              </w:rPr>
            </w:pPr>
            <w:r>
              <w:rPr>
                <w:rFonts w:cstheme="minorHAnsi"/>
              </w:rPr>
              <w:t xml:space="preserve">-Project workers training; </w:t>
            </w:r>
            <w:r w:rsidR="00FD7326">
              <w:rPr>
                <w:rFonts w:cstheme="minorHAnsi"/>
              </w:rPr>
              <w:t>and</w:t>
            </w:r>
          </w:p>
        </w:tc>
        <w:tc>
          <w:tcPr>
            <w:tcW w:w="2250" w:type="dxa"/>
          </w:tcPr>
          <w:p w14:paraId="79005B4D" w14:textId="5E7F4261" w:rsidR="009D1D3B" w:rsidRPr="000561A4" w:rsidRDefault="009D1D3B" w:rsidP="000E0A4A">
            <w:pPr>
              <w:rPr>
                <w:rFonts w:cstheme="minorHAnsi"/>
                <w:i/>
              </w:rPr>
            </w:pPr>
            <w:r>
              <w:rPr>
                <w:rFonts w:cstheme="minorHAnsi"/>
              </w:rPr>
              <w:t xml:space="preserve">Incorporation of relevant provisions of </w:t>
            </w:r>
            <w:r w:rsidR="00EF7278">
              <w:rPr>
                <w:rFonts w:cstheme="minorHAnsi"/>
              </w:rPr>
              <w:t>LMP</w:t>
            </w:r>
            <w:r>
              <w:rPr>
                <w:rFonts w:cstheme="minorHAnsi"/>
              </w:rPr>
              <w:t xml:space="preserve"> into procurement documents </w:t>
            </w:r>
            <w:r w:rsidR="006667F1">
              <w:rPr>
                <w:rFonts w:cstheme="minorHAnsi"/>
              </w:rPr>
              <w:t xml:space="preserve">(including in the form of contractor’s LMP) </w:t>
            </w:r>
          </w:p>
        </w:tc>
        <w:tc>
          <w:tcPr>
            <w:tcW w:w="2280" w:type="dxa"/>
            <w:gridSpan w:val="3"/>
          </w:tcPr>
          <w:p w14:paraId="1DBB9F8C" w14:textId="6B591768" w:rsidR="009D1D3B" w:rsidRPr="00DE42B9" w:rsidRDefault="009D1D3B" w:rsidP="000E0A4A">
            <w:pPr>
              <w:rPr>
                <w:rFonts w:cstheme="minorHAnsi"/>
              </w:rPr>
            </w:pPr>
            <w:r w:rsidRPr="004D415E">
              <w:rPr>
                <w:rFonts w:cstheme="minorHAnsi"/>
              </w:rPr>
              <w:t xml:space="preserve">PIU </w:t>
            </w:r>
          </w:p>
        </w:tc>
        <w:tc>
          <w:tcPr>
            <w:tcW w:w="3120" w:type="dxa"/>
          </w:tcPr>
          <w:p w14:paraId="41E47A07" w14:textId="52920153" w:rsidR="009D1D3B" w:rsidRPr="00E409D3" w:rsidRDefault="009D1D3B" w:rsidP="003C323A">
            <w:pPr>
              <w:pStyle w:val="Normalbullettable"/>
            </w:pPr>
            <w:r>
              <w:t>Ongoing monitoring and enforcement</w:t>
            </w:r>
            <w:r w:rsidR="007A3269">
              <w:t>.</w:t>
            </w:r>
          </w:p>
        </w:tc>
      </w:tr>
      <w:tr w:rsidR="009D1D3B" w:rsidRPr="00DE42B9" w14:paraId="4CE7BF19" w14:textId="77777777" w:rsidTr="00E85B0E">
        <w:tc>
          <w:tcPr>
            <w:tcW w:w="14485" w:type="dxa"/>
            <w:gridSpan w:val="8"/>
            <w:shd w:val="clear" w:color="auto" w:fill="F7CAAC" w:themeFill="accent2" w:themeFillTint="66"/>
          </w:tcPr>
          <w:p w14:paraId="3EE406DA" w14:textId="77777777" w:rsidR="009D1D3B" w:rsidRPr="00DE42B9" w:rsidRDefault="009D1D3B" w:rsidP="009D1D3B">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0E0A4A" w:rsidRPr="00DE42B9" w14:paraId="516C5B4F" w14:textId="77777777" w:rsidTr="005500A0">
        <w:tc>
          <w:tcPr>
            <w:tcW w:w="715" w:type="dxa"/>
            <w:shd w:val="clear" w:color="auto" w:fill="FFFFFF" w:themeFill="background1"/>
          </w:tcPr>
          <w:p w14:paraId="7F2F9D30" w14:textId="7553AC23" w:rsidR="000E0A4A" w:rsidRPr="00EF5930" w:rsidRDefault="000E0A4A" w:rsidP="009D1D3B">
            <w:pPr>
              <w:rPr>
                <w:rFonts w:cstheme="minorHAnsi"/>
              </w:rPr>
            </w:pPr>
            <w:r>
              <w:rPr>
                <w:rFonts w:cstheme="minorHAnsi"/>
              </w:rPr>
              <w:t>3.1</w:t>
            </w:r>
          </w:p>
        </w:tc>
        <w:tc>
          <w:tcPr>
            <w:tcW w:w="6120" w:type="dxa"/>
            <w:gridSpan w:val="2"/>
            <w:shd w:val="clear" w:color="auto" w:fill="FFFFFF" w:themeFill="background1"/>
          </w:tcPr>
          <w:p w14:paraId="60AE3ED6" w14:textId="6DCDA480" w:rsidR="000E0A4A" w:rsidRPr="00EF5930" w:rsidRDefault="00C57954" w:rsidP="00C57954">
            <w:pPr>
              <w:rPr>
                <w:rFonts w:cstheme="minorHAnsi"/>
              </w:rPr>
            </w:pPr>
            <w:r w:rsidRPr="00C57954">
              <w:rPr>
                <w:rFonts w:cstheme="minorHAnsi"/>
              </w:rPr>
              <w:t>This standard is not relevant for the Project</w:t>
            </w:r>
          </w:p>
        </w:tc>
        <w:tc>
          <w:tcPr>
            <w:tcW w:w="2250" w:type="dxa"/>
            <w:shd w:val="clear" w:color="auto" w:fill="FFFFFF" w:themeFill="background1"/>
          </w:tcPr>
          <w:p w14:paraId="17AD7016" w14:textId="61047AC6" w:rsidR="000E0A4A" w:rsidRPr="00EF5930" w:rsidRDefault="000E0A4A" w:rsidP="009D1D3B">
            <w:pPr>
              <w:rPr>
                <w:rFonts w:cstheme="minorHAnsi"/>
              </w:rPr>
            </w:pPr>
          </w:p>
        </w:tc>
        <w:tc>
          <w:tcPr>
            <w:tcW w:w="2250" w:type="dxa"/>
            <w:gridSpan w:val="2"/>
            <w:shd w:val="clear" w:color="auto" w:fill="FFFFFF" w:themeFill="background1"/>
          </w:tcPr>
          <w:p w14:paraId="73B1B562" w14:textId="0772FA99" w:rsidR="000E0A4A" w:rsidRPr="00EF5930" w:rsidRDefault="000E0A4A" w:rsidP="009D1D3B">
            <w:pPr>
              <w:rPr>
                <w:rFonts w:cstheme="minorHAnsi"/>
              </w:rPr>
            </w:pPr>
          </w:p>
        </w:tc>
        <w:tc>
          <w:tcPr>
            <w:tcW w:w="3150" w:type="dxa"/>
            <w:gridSpan w:val="2"/>
            <w:shd w:val="clear" w:color="auto" w:fill="FFFFFF" w:themeFill="background1"/>
          </w:tcPr>
          <w:p w14:paraId="6D8CE64F" w14:textId="63607B9C" w:rsidR="000E0A4A" w:rsidRPr="00EF5930" w:rsidRDefault="000E0A4A" w:rsidP="009D1D3B">
            <w:pPr>
              <w:rPr>
                <w:rFonts w:cstheme="minorHAnsi"/>
              </w:rPr>
            </w:pPr>
          </w:p>
        </w:tc>
      </w:tr>
      <w:tr w:rsidR="009D1D3B" w:rsidRPr="00DE42B9" w14:paraId="35F5AE43" w14:textId="77777777" w:rsidTr="00E85B0E">
        <w:tc>
          <w:tcPr>
            <w:tcW w:w="14485" w:type="dxa"/>
            <w:gridSpan w:val="8"/>
            <w:shd w:val="clear" w:color="auto" w:fill="F7CAAC" w:themeFill="accent2" w:themeFillTint="66"/>
          </w:tcPr>
          <w:p w14:paraId="71B488EC" w14:textId="77777777" w:rsidR="009D1D3B" w:rsidRPr="00DE42B9" w:rsidRDefault="009D1D3B" w:rsidP="009D1D3B">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4920B8" w:rsidRPr="00DE42B9" w14:paraId="2C5FD333" w14:textId="77777777" w:rsidTr="004920B8">
        <w:tc>
          <w:tcPr>
            <w:tcW w:w="14485" w:type="dxa"/>
            <w:gridSpan w:val="8"/>
            <w:shd w:val="clear" w:color="auto" w:fill="FFFFFF" w:themeFill="background1"/>
          </w:tcPr>
          <w:p w14:paraId="6952E674" w14:textId="793B2DEA" w:rsidR="004920B8" w:rsidRPr="00EF5930" w:rsidRDefault="004920B8" w:rsidP="009D1D3B">
            <w:pPr>
              <w:rPr>
                <w:rFonts w:cstheme="minorHAnsi"/>
              </w:rPr>
            </w:pPr>
            <w:r w:rsidRPr="00EF5930">
              <w:rPr>
                <w:rFonts w:cstheme="minorHAnsi"/>
              </w:rPr>
              <w:t xml:space="preserve">Relevant provisions on ESS4 </w:t>
            </w:r>
            <w:r w:rsidR="0087579B">
              <w:rPr>
                <w:rFonts w:cstheme="minorHAnsi"/>
              </w:rPr>
              <w:t>will be addressed</w:t>
            </w:r>
            <w:r w:rsidR="00C57954">
              <w:rPr>
                <w:rFonts w:cstheme="minorHAnsi"/>
              </w:rPr>
              <w:t xml:space="preserve"> in SEP and LMP</w:t>
            </w:r>
          </w:p>
        </w:tc>
      </w:tr>
      <w:tr w:rsidR="009D1D3B" w:rsidRPr="006D16F0" w14:paraId="1E030C72" w14:textId="77777777" w:rsidTr="004137A2">
        <w:tc>
          <w:tcPr>
            <w:tcW w:w="715" w:type="dxa"/>
          </w:tcPr>
          <w:p w14:paraId="11A17E3C" w14:textId="345C6CF0" w:rsidR="009D1D3B" w:rsidRPr="006D16F0" w:rsidRDefault="009D1D3B" w:rsidP="009D1D3B">
            <w:pPr>
              <w:jc w:val="center"/>
              <w:rPr>
                <w:rFonts w:cstheme="minorHAnsi"/>
              </w:rPr>
            </w:pPr>
            <w:r>
              <w:rPr>
                <w:rFonts w:cstheme="minorHAnsi"/>
              </w:rPr>
              <w:t>4.</w:t>
            </w:r>
            <w:r w:rsidR="004920B8">
              <w:rPr>
                <w:rFonts w:cstheme="minorHAnsi"/>
              </w:rPr>
              <w:t>1</w:t>
            </w:r>
          </w:p>
        </w:tc>
        <w:tc>
          <w:tcPr>
            <w:tcW w:w="6120" w:type="dxa"/>
            <w:gridSpan w:val="2"/>
          </w:tcPr>
          <w:p w14:paraId="367FCBC2" w14:textId="77777777" w:rsidR="002A61E8" w:rsidRPr="003C323A" w:rsidRDefault="009D1D3B" w:rsidP="009D1D3B">
            <w:pPr>
              <w:rPr>
                <w:rFonts w:cstheme="minorHAnsi"/>
              </w:rPr>
            </w:pPr>
            <w:r w:rsidRPr="003C323A">
              <w:rPr>
                <w:rFonts w:cstheme="minorHAnsi"/>
                <w:b/>
                <w:color w:val="5B9BD5" w:themeColor="accent5"/>
              </w:rPr>
              <w:t>GBV AND SEA RISKS</w:t>
            </w:r>
            <w:r w:rsidRPr="003C323A">
              <w:rPr>
                <w:rFonts w:cstheme="minorHAnsi"/>
              </w:rPr>
              <w:t xml:space="preserve">: </w:t>
            </w:r>
          </w:p>
          <w:p w14:paraId="00D1D151" w14:textId="77777777" w:rsidR="00C57954" w:rsidRDefault="00C57954" w:rsidP="00C57954">
            <w:pPr>
              <w:rPr>
                <w:rFonts w:cstheme="minorHAnsi"/>
              </w:rPr>
            </w:pPr>
            <w:r w:rsidRPr="00C57954">
              <w:rPr>
                <w:rFonts w:cstheme="minorHAnsi"/>
              </w:rPr>
              <w:t xml:space="preserve">GBV risks under the project are anticipated to be low. While contextual risk of GBV, it is not anticipated that project activities </w:t>
            </w:r>
            <w:r w:rsidRPr="00C57954">
              <w:rPr>
                <w:rFonts w:cstheme="minorHAnsi"/>
              </w:rPr>
              <w:lastRenderedPageBreak/>
              <w:t xml:space="preserve">will contribute to or worsen existing risks; the number of enumerators entering a given community to undertake survey work will be likely be low, with limited impact </w:t>
            </w:r>
            <w:r>
              <w:rPr>
                <w:rFonts w:cstheme="minorHAnsi"/>
              </w:rPr>
              <w:t>community or household dynamics.</w:t>
            </w:r>
            <w:r w:rsidRPr="00C57954">
              <w:rPr>
                <w:rFonts w:cstheme="minorHAnsi"/>
              </w:rPr>
              <w:t xml:space="preserve"> Basic mitigati</w:t>
            </w:r>
            <w:r>
              <w:rPr>
                <w:rFonts w:cstheme="minorHAnsi"/>
              </w:rPr>
              <w:t>on measures will be undertaken including;</w:t>
            </w:r>
          </w:p>
          <w:p w14:paraId="4D41FA68" w14:textId="77777777" w:rsidR="00C57954" w:rsidRPr="00C57954" w:rsidRDefault="00C57954" w:rsidP="00C57954">
            <w:pPr>
              <w:pStyle w:val="ListParagraph"/>
              <w:numPr>
                <w:ilvl w:val="0"/>
                <w:numId w:val="28"/>
              </w:numPr>
              <w:spacing w:after="0"/>
              <w:rPr>
                <w:rFonts w:cstheme="minorHAnsi"/>
              </w:rPr>
            </w:pPr>
            <w:r w:rsidRPr="00C57954">
              <w:rPr>
                <w:rFonts w:cstheme="minorHAnsi"/>
              </w:rPr>
              <w:t xml:space="preserve">enumerators sign Codes of Conduct and receive </w:t>
            </w:r>
          </w:p>
          <w:p w14:paraId="25718B14" w14:textId="77777777" w:rsidR="00C57954" w:rsidRPr="00C57954" w:rsidRDefault="00C57954" w:rsidP="00C57954">
            <w:pPr>
              <w:pStyle w:val="ListParagraph"/>
              <w:numPr>
                <w:ilvl w:val="0"/>
                <w:numId w:val="28"/>
              </w:numPr>
              <w:spacing w:after="0"/>
              <w:rPr>
                <w:rFonts w:cstheme="minorHAnsi"/>
              </w:rPr>
            </w:pPr>
            <w:r w:rsidRPr="00C57954">
              <w:rPr>
                <w:rFonts w:cstheme="minorHAnsi"/>
              </w:rPr>
              <w:t xml:space="preserve">basic training on expected behavior and consequences for breach of the code. </w:t>
            </w:r>
          </w:p>
          <w:p w14:paraId="55644DCA" w14:textId="4C939093" w:rsidR="00C57954" w:rsidRPr="00C57954" w:rsidRDefault="00C57954" w:rsidP="00C57954">
            <w:pPr>
              <w:pStyle w:val="ListParagraph"/>
              <w:numPr>
                <w:ilvl w:val="0"/>
                <w:numId w:val="28"/>
              </w:numPr>
              <w:spacing w:after="0"/>
              <w:rPr>
                <w:rFonts w:cstheme="minorHAnsi"/>
              </w:rPr>
            </w:pPr>
            <w:r w:rsidRPr="00C57954">
              <w:rPr>
                <w:rFonts w:cstheme="minorHAnsi"/>
              </w:rPr>
              <w:t xml:space="preserve">GBV-sensitive GBV measures for a </w:t>
            </w:r>
            <w:r w:rsidR="00AA5592" w:rsidRPr="00C57954">
              <w:rPr>
                <w:rFonts w:cstheme="minorHAnsi"/>
              </w:rPr>
              <w:t>complaint’s</w:t>
            </w:r>
            <w:r w:rsidRPr="00C57954">
              <w:rPr>
                <w:rFonts w:cstheme="minorHAnsi"/>
              </w:rPr>
              <w:t xml:space="preserve"> mechanism will be explored and where feasible, </w:t>
            </w:r>
          </w:p>
          <w:p w14:paraId="3CB7999F" w14:textId="1AF8C9D9" w:rsidR="009D1D3B" w:rsidRPr="00C57954" w:rsidRDefault="00C57954" w:rsidP="00C57954">
            <w:pPr>
              <w:pStyle w:val="ListParagraph"/>
              <w:numPr>
                <w:ilvl w:val="0"/>
                <w:numId w:val="28"/>
              </w:numPr>
              <w:spacing w:after="0"/>
              <w:rPr>
                <w:rFonts w:cstheme="minorHAnsi"/>
              </w:rPr>
            </w:pPr>
            <w:r w:rsidRPr="00C57954">
              <w:rPr>
                <w:rFonts w:cstheme="minorHAnsi"/>
              </w:rPr>
              <w:t xml:space="preserve">GBV service providers will be identified in areas of implementation in advance of survey activities.  </w:t>
            </w:r>
          </w:p>
        </w:tc>
        <w:tc>
          <w:tcPr>
            <w:tcW w:w="2250" w:type="dxa"/>
          </w:tcPr>
          <w:p w14:paraId="6A8D3E1A" w14:textId="3212FDF8" w:rsidR="009D1D3B" w:rsidRPr="00D50975" w:rsidRDefault="00971975" w:rsidP="00C57954">
            <w:pPr>
              <w:rPr>
                <w:rFonts w:cstheme="minorHAnsi"/>
              </w:rPr>
            </w:pPr>
            <w:r>
              <w:rPr>
                <w:rFonts w:cstheme="minorHAnsi"/>
              </w:rPr>
              <w:lastRenderedPageBreak/>
              <w:t>GBV-related provisions</w:t>
            </w:r>
            <w:r w:rsidR="008B6501">
              <w:rPr>
                <w:rFonts w:cstheme="minorHAnsi"/>
              </w:rPr>
              <w:t xml:space="preserve"> prior to </w:t>
            </w:r>
            <w:r w:rsidR="004F5467">
              <w:rPr>
                <w:rFonts w:cstheme="minorHAnsi"/>
              </w:rPr>
              <w:lastRenderedPageBreak/>
              <w:t>project works commencement</w:t>
            </w:r>
            <w:r w:rsidR="008B6501" w:rsidRPr="004D415E">
              <w:rPr>
                <w:rFonts w:cstheme="minorHAnsi"/>
              </w:rPr>
              <w:t>.</w:t>
            </w:r>
          </w:p>
        </w:tc>
        <w:tc>
          <w:tcPr>
            <w:tcW w:w="2280" w:type="dxa"/>
            <w:gridSpan w:val="3"/>
          </w:tcPr>
          <w:p w14:paraId="47946760" w14:textId="4DD45684" w:rsidR="009D1D3B" w:rsidRPr="00D50975" w:rsidRDefault="000674E4" w:rsidP="004F5467">
            <w:pPr>
              <w:rPr>
                <w:rFonts w:cstheme="minorHAnsi"/>
              </w:rPr>
            </w:pPr>
            <w:r w:rsidRPr="00D50975">
              <w:rPr>
                <w:rFonts w:cstheme="minorHAnsi"/>
              </w:rPr>
              <w:lastRenderedPageBreak/>
              <w:t xml:space="preserve">PIU </w:t>
            </w:r>
          </w:p>
        </w:tc>
        <w:tc>
          <w:tcPr>
            <w:tcW w:w="3120" w:type="dxa"/>
          </w:tcPr>
          <w:p w14:paraId="234EB85A" w14:textId="7B37184A" w:rsidR="009D1D3B" w:rsidRPr="00D50975" w:rsidRDefault="004F5467" w:rsidP="00971975">
            <w:pPr>
              <w:pStyle w:val="ListParagraph"/>
              <w:numPr>
                <w:ilvl w:val="0"/>
                <w:numId w:val="23"/>
              </w:numPr>
              <w:spacing w:after="0"/>
              <w:ind w:left="394"/>
            </w:pPr>
            <w:r w:rsidRPr="004F5467">
              <w:rPr>
                <w:rFonts w:cstheme="minorHAnsi"/>
              </w:rPr>
              <w:t>Within the specified timeframe and throughout Project implementation</w:t>
            </w:r>
            <w:r w:rsidR="00971975">
              <w:t>.</w:t>
            </w:r>
          </w:p>
        </w:tc>
      </w:tr>
      <w:tr w:rsidR="004F5467" w:rsidRPr="006D16F0" w14:paraId="72E5F5DC" w14:textId="77777777" w:rsidTr="004137A2">
        <w:tc>
          <w:tcPr>
            <w:tcW w:w="715" w:type="dxa"/>
          </w:tcPr>
          <w:p w14:paraId="1D85B504" w14:textId="0082E5E3" w:rsidR="004F5467" w:rsidRDefault="004F5467" w:rsidP="009D1D3B">
            <w:pPr>
              <w:jc w:val="center"/>
              <w:rPr>
                <w:rFonts w:cstheme="minorHAnsi"/>
              </w:rPr>
            </w:pPr>
            <w:r>
              <w:rPr>
                <w:rFonts w:cstheme="minorHAnsi"/>
              </w:rPr>
              <w:t>4.2</w:t>
            </w:r>
          </w:p>
        </w:tc>
        <w:tc>
          <w:tcPr>
            <w:tcW w:w="6120" w:type="dxa"/>
            <w:gridSpan w:val="2"/>
          </w:tcPr>
          <w:p w14:paraId="56F277D6" w14:textId="77777777" w:rsidR="004F5467" w:rsidRPr="004F5467" w:rsidRDefault="004F5467" w:rsidP="004F5467">
            <w:pPr>
              <w:rPr>
                <w:rFonts w:cstheme="minorHAnsi"/>
                <w:b/>
                <w:color w:val="5B9BD5" w:themeColor="accent5"/>
              </w:rPr>
            </w:pPr>
            <w:r w:rsidRPr="004F5467">
              <w:rPr>
                <w:rFonts w:cstheme="minorHAnsi"/>
                <w:b/>
                <w:color w:val="5B9BD5" w:themeColor="accent5"/>
              </w:rPr>
              <w:t>SECURITY PERSONNEL.</w:t>
            </w:r>
          </w:p>
          <w:p w14:paraId="5A0E75FC" w14:textId="77777777" w:rsidR="00EA65AA" w:rsidRDefault="004F5467" w:rsidP="00EA65AA">
            <w:pPr>
              <w:rPr>
                <w:rFonts w:cstheme="minorHAnsi"/>
                <w:color w:val="5B9BD5" w:themeColor="accent5"/>
              </w:rPr>
            </w:pPr>
            <w:r>
              <w:rPr>
                <w:rFonts w:cstheme="minorHAnsi"/>
                <w:color w:val="5B9BD5" w:themeColor="accent5"/>
              </w:rPr>
              <w:t xml:space="preserve">Security personnel to be deployed as part of project </w:t>
            </w:r>
            <w:r w:rsidR="005500A0">
              <w:rPr>
                <w:rFonts w:cstheme="minorHAnsi"/>
                <w:color w:val="5B9BD5" w:themeColor="accent5"/>
              </w:rPr>
              <w:t>personnel</w:t>
            </w:r>
            <w:r>
              <w:rPr>
                <w:rFonts w:cstheme="minorHAnsi"/>
                <w:color w:val="5B9BD5" w:themeColor="accent5"/>
              </w:rPr>
              <w:t xml:space="preserve"> must adopt</w:t>
            </w:r>
            <w:r w:rsidRPr="005500A0">
              <w:rPr>
                <w:rFonts w:cstheme="minorHAnsi"/>
                <w:color w:val="5B9BD5" w:themeColor="accent5"/>
              </w:rPr>
              <w:t xml:space="preserve"> o</w:t>
            </w:r>
            <w:r w:rsidR="00EA65AA">
              <w:rPr>
                <w:rFonts w:cstheme="minorHAnsi"/>
                <w:color w:val="5B9BD5" w:themeColor="accent5"/>
              </w:rPr>
              <w:t>f codes of conduct, GBV and SEA</w:t>
            </w:r>
            <w:r w:rsidRPr="005500A0">
              <w:rPr>
                <w:rFonts w:cstheme="minorHAnsi"/>
                <w:color w:val="5B9BD5" w:themeColor="accent5"/>
              </w:rPr>
              <w:t>.</w:t>
            </w:r>
          </w:p>
          <w:p w14:paraId="2D7E096F" w14:textId="0611203D" w:rsidR="004F5467" w:rsidRPr="003C323A" w:rsidRDefault="004F5467" w:rsidP="00EA65AA">
            <w:pPr>
              <w:rPr>
                <w:rFonts w:cstheme="minorHAnsi"/>
                <w:b/>
                <w:color w:val="5B9BD5" w:themeColor="accent5"/>
              </w:rPr>
            </w:pPr>
            <w:r w:rsidRPr="005500A0">
              <w:rPr>
                <w:rFonts w:cstheme="minorHAnsi"/>
                <w:color w:val="5B9BD5" w:themeColor="accent5"/>
              </w:rPr>
              <w:t xml:space="preserve"> The LMP will include provision for a Code of Conduct governing all security personnel hired to protect this Project</w:t>
            </w:r>
            <w:r w:rsidRPr="004F5467">
              <w:rPr>
                <w:rFonts w:cstheme="minorHAnsi"/>
                <w:b/>
                <w:color w:val="5B9BD5" w:themeColor="accent5"/>
              </w:rPr>
              <w:t>.</w:t>
            </w:r>
          </w:p>
        </w:tc>
        <w:tc>
          <w:tcPr>
            <w:tcW w:w="2250" w:type="dxa"/>
          </w:tcPr>
          <w:p w14:paraId="573CBCE4" w14:textId="71AEE397" w:rsidR="004F5467" w:rsidRDefault="004F5467" w:rsidP="004F5467">
            <w:pPr>
              <w:rPr>
                <w:rFonts w:cstheme="minorHAnsi"/>
              </w:rPr>
            </w:pPr>
            <w:r w:rsidRPr="004F5467">
              <w:rPr>
                <w:rFonts w:cstheme="minorHAnsi"/>
              </w:rPr>
              <w:t>Timeframe for preparation of the LMP indicated in action 2.1 above</w:t>
            </w:r>
          </w:p>
        </w:tc>
        <w:tc>
          <w:tcPr>
            <w:tcW w:w="2280" w:type="dxa"/>
            <w:gridSpan w:val="3"/>
          </w:tcPr>
          <w:p w14:paraId="5027614D" w14:textId="79FBDEB8" w:rsidR="004F5467" w:rsidRPr="00D50975" w:rsidRDefault="004F5467" w:rsidP="00EA65AA">
            <w:pPr>
              <w:rPr>
                <w:rFonts w:cstheme="minorHAnsi"/>
              </w:rPr>
            </w:pPr>
            <w:r>
              <w:rPr>
                <w:rFonts w:cstheme="minorHAnsi"/>
              </w:rPr>
              <w:t xml:space="preserve">PIU </w:t>
            </w:r>
          </w:p>
        </w:tc>
        <w:tc>
          <w:tcPr>
            <w:tcW w:w="3120" w:type="dxa"/>
          </w:tcPr>
          <w:p w14:paraId="11CCA516" w14:textId="2956C6F8" w:rsidR="004F5467" w:rsidRPr="004F5467" w:rsidRDefault="004F5467" w:rsidP="004F5467">
            <w:pPr>
              <w:pStyle w:val="ListParagraph"/>
              <w:numPr>
                <w:ilvl w:val="0"/>
                <w:numId w:val="23"/>
              </w:numPr>
              <w:spacing w:after="0"/>
              <w:rPr>
                <w:rFonts w:cstheme="minorHAnsi"/>
              </w:rPr>
            </w:pPr>
            <w:r w:rsidRPr="004F5467">
              <w:rPr>
                <w:rFonts w:cstheme="minorHAnsi"/>
              </w:rPr>
              <w:t>Throughout Project implementation</w:t>
            </w:r>
          </w:p>
        </w:tc>
      </w:tr>
      <w:tr w:rsidR="00EC4DE4" w:rsidRPr="006D16F0" w14:paraId="551ACF9D" w14:textId="77777777" w:rsidTr="004137A2">
        <w:tc>
          <w:tcPr>
            <w:tcW w:w="715" w:type="dxa"/>
          </w:tcPr>
          <w:p w14:paraId="1E704D53" w14:textId="07BFCEE5" w:rsidR="00EC4DE4" w:rsidRDefault="00EC4DE4" w:rsidP="00EC4DE4">
            <w:pPr>
              <w:jc w:val="center"/>
              <w:rPr>
                <w:rFonts w:cstheme="minorHAnsi"/>
              </w:rPr>
            </w:pPr>
            <w:r>
              <w:rPr>
                <w:rFonts w:cstheme="minorHAnsi"/>
              </w:rPr>
              <w:t>4.3</w:t>
            </w:r>
          </w:p>
        </w:tc>
        <w:tc>
          <w:tcPr>
            <w:tcW w:w="6120" w:type="dxa"/>
            <w:gridSpan w:val="2"/>
          </w:tcPr>
          <w:p w14:paraId="6470CFCD" w14:textId="77777777" w:rsidR="00EC4DE4" w:rsidRDefault="00EC4DE4" w:rsidP="00EC4DE4">
            <w:pPr>
              <w:rPr>
                <w:rFonts w:cstheme="minorHAnsi"/>
                <w:b/>
                <w:color w:val="5B9BD5" w:themeColor="accent5"/>
              </w:rPr>
            </w:pPr>
            <w:r>
              <w:rPr>
                <w:rFonts w:cstheme="minorHAnsi"/>
                <w:b/>
                <w:color w:val="5B9BD5" w:themeColor="accent5"/>
              </w:rPr>
              <w:t>Data Privacy and Confidentiality</w:t>
            </w:r>
          </w:p>
          <w:p w14:paraId="56E0D68B" w14:textId="77777777" w:rsidR="00EC4DE4" w:rsidRDefault="00EC4DE4" w:rsidP="00EC4DE4">
            <w:pPr>
              <w:rPr>
                <w:rFonts w:cstheme="minorHAnsi"/>
                <w:bCs/>
                <w:color w:val="5B9BD5" w:themeColor="accent5"/>
              </w:rPr>
            </w:pPr>
            <w:r>
              <w:rPr>
                <w:rFonts w:cstheme="minorHAnsi"/>
                <w:bCs/>
                <w:color w:val="5B9BD5" w:themeColor="accent5"/>
              </w:rPr>
              <w:t>S</w:t>
            </w:r>
            <w:r w:rsidRPr="005D0786">
              <w:rPr>
                <w:rFonts w:cstheme="minorHAnsi"/>
                <w:bCs/>
                <w:color w:val="5B9BD5" w:themeColor="accent5"/>
              </w:rPr>
              <w:t xml:space="preserve">tatistics authorities </w:t>
            </w:r>
            <w:r>
              <w:rPr>
                <w:rFonts w:cstheme="minorHAnsi"/>
                <w:bCs/>
                <w:color w:val="5B9BD5" w:themeColor="accent5"/>
              </w:rPr>
              <w:t>will</w:t>
            </w:r>
            <w:r w:rsidRPr="005D0786">
              <w:rPr>
                <w:rFonts w:cstheme="minorHAnsi"/>
                <w:bCs/>
                <w:color w:val="5B9BD5" w:themeColor="accent5"/>
              </w:rPr>
              <w:t xml:space="preserve"> set up a mechanism to strengthen coordination of statistical activities across the (NSS) by engaging all producers of official data. Sector Statistics Working Groups (SWGs) will be formed, where data producers will plan and coordinate policy and activities relating to their sectors. SWGs </w:t>
            </w:r>
            <w:r>
              <w:rPr>
                <w:rFonts w:cstheme="minorHAnsi"/>
                <w:bCs/>
                <w:color w:val="5B9BD5" w:themeColor="accent5"/>
              </w:rPr>
              <w:t>will</w:t>
            </w:r>
            <w:r w:rsidRPr="005D0786">
              <w:rPr>
                <w:rFonts w:cstheme="minorHAnsi"/>
                <w:bCs/>
                <w:color w:val="5B9BD5" w:themeColor="accent5"/>
              </w:rPr>
              <w:t xml:space="preserve"> ensure that statistic products based on administrative data systems are being produced and disseminated according to international best practice</w:t>
            </w:r>
          </w:p>
          <w:p w14:paraId="0A9381FE" w14:textId="77777777" w:rsidR="00EC4DE4" w:rsidRPr="005D0786" w:rsidRDefault="00EC4DE4" w:rsidP="00EC4DE4">
            <w:pPr>
              <w:pStyle w:val="ListParagraph"/>
              <w:numPr>
                <w:ilvl w:val="0"/>
                <w:numId w:val="29"/>
              </w:numPr>
              <w:spacing w:after="0"/>
              <w:rPr>
                <w:rFonts w:cstheme="minorHAnsi"/>
                <w:bCs/>
                <w:color w:val="5B9BD5" w:themeColor="accent5"/>
              </w:rPr>
            </w:pPr>
            <w:r w:rsidRPr="005D0786">
              <w:rPr>
                <w:rFonts w:cstheme="minorHAnsi"/>
                <w:bCs/>
                <w:color w:val="5B9BD5" w:themeColor="accent5"/>
              </w:rPr>
              <w:lastRenderedPageBreak/>
              <w:t>Code of Practice. This will be designed and promoted across the NSS to ensure that trustworthy statistics are produced across the NSS;</w:t>
            </w:r>
          </w:p>
          <w:p w14:paraId="57EEAB8A" w14:textId="77777777" w:rsidR="00EC4DE4" w:rsidRPr="005D0786" w:rsidRDefault="00EC4DE4" w:rsidP="00EC4DE4">
            <w:pPr>
              <w:pStyle w:val="ListParagraph"/>
              <w:numPr>
                <w:ilvl w:val="0"/>
                <w:numId w:val="29"/>
              </w:numPr>
              <w:spacing w:after="0"/>
              <w:rPr>
                <w:rFonts w:cstheme="minorHAnsi"/>
                <w:bCs/>
                <w:color w:val="5B9BD5" w:themeColor="accent5"/>
              </w:rPr>
            </w:pPr>
            <w:r w:rsidRPr="005D0786">
              <w:rPr>
                <w:rFonts w:cstheme="minorHAnsi"/>
                <w:bCs/>
                <w:color w:val="5B9BD5" w:themeColor="accent5"/>
              </w:rPr>
              <w:t>Sector Statistics Plans. Continue to encourage sectors which will not yet have them to design and implement these plans aligned to the NSDS;</w:t>
            </w:r>
          </w:p>
          <w:p w14:paraId="7A37A4CC" w14:textId="77777777" w:rsidR="00EC4DE4" w:rsidRPr="005D0786" w:rsidRDefault="00EC4DE4" w:rsidP="00EC4DE4">
            <w:pPr>
              <w:pStyle w:val="ListParagraph"/>
              <w:numPr>
                <w:ilvl w:val="0"/>
                <w:numId w:val="29"/>
              </w:numPr>
              <w:spacing w:after="0"/>
              <w:rPr>
                <w:rFonts w:cstheme="minorHAnsi"/>
                <w:bCs/>
                <w:color w:val="5B9BD5" w:themeColor="accent5"/>
              </w:rPr>
            </w:pPr>
            <w:r w:rsidRPr="005D0786">
              <w:rPr>
                <w:rFonts w:cstheme="minorHAnsi"/>
                <w:bCs/>
                <w:color w:val="5B9BD5" w:themeColor="accent5"/>
              </w:rPr>
              <w:t>Data anonymization and confidentiality must be assured at all stages of collection, storage, analysis</w:t>
            </w:r>
            <w:r>
              <w:rPr>
                <w:rFonts w:cstheme="minorHAnsi"/>
                <w:bCs/>
                <w:color w:val="5B9BD5" w:themeColor="accent5"/>
              </w:rPr>
              <w:t xml:space="preserve"> </w:t>
            </w:r>
            <w:r w:rsidRPr="005D0786">
              <w:rPr>
                <w:rFonts w:cstheme="minorHAnsi"/>
                <w:bCs/>
                <w:color w:val="5B9BD5" w:themeColor="accent5"/>
              </w:rPr>
              <w:t>and dissemination and should be carefully monitored and reported on</w:t>
            </w:r>
          </w:p>
          <w:p w14:paraId="5553313B" w14:textId="77777777" w:rsidR="00EC4DE4" w:rsidRPr="004F5467" w:rsidRDefault="00EC4DE4" w:rsidP="00EC4DE4">
            <w:pPr>
              <w:rPr>
                <w:rFonts w:cstheme="minorHAnsi"/>
                <w:b/>
                <w:color w:val="5B9BD5" w:themeColor="accent5"/>
              </w:rPr>
            </w:pPr>
          </w:p>
        </w:tc>
        <w:tc>
          <w:tcPr>
            <w:tcW w:w="2250" w:type="dxa"/>
          </w:tcPr>
          <w:p w14:paraId="73949A98" w14:textId="43BA13E1" w:rsidR="00EC4DE4" w:rsidRPr="004F5467" w:rsidRDefault="00EC4DE4" w:rsidP="00EC4DE4">
            <w:pPr>
              <w:rPr>
                <w:rFonts w:cstheme="minorHAnsi"/>
              </w:rPr>
            </w:pPr>
            <w:r>
              <w:rPr>
                <w:rFonts w:cstheme="minorHAnsi"/>
              </w:rPr>
              <w:lastRenderedPageBreak/>
              <w:t>After project effective and throughout project implementation to 2024</w:t>
            </w:r>
          </w:p>
        </w:tc>
        <w:tc>
          <w:tcPr>
            <w:tcW w:w="2280" w:type="dxa"/>
            <w:gridSpan w:val="3"/>
          </w:tcPr>
          <w:p w14:paraId="26FBA438" w14:textId="03EBC042" w:rsidR="00EC4DE4" w:rsidRDefault="00523AF1" w:rsidP="00EC4DE4">
            <w:pPr>
              <w:rPr>
                <w:rFonts w:cstheme="minorHAnsi"/>
              </w:rPr>
            </w:pPr>
            <w:r w:rsidRPr="00523AF1">
              <w:rPr>
                <w:rFonts w:cstheme="minorHAnsi"/>
              </w:rPr>
              <w:t>Ministry of Planning, Investment &amp; Economic Development</w:t>
            </w:r>
            <w:r w:rsidR="00660505">
              <w:rPr>
                <w:rFonts w:cstheme="minorHAnsi"/>
              </w:rPr>
              <w:t xml:space="preserve"> and </w:t>
            </w:r>
            <w:r w:rsidR="00660505" w:rsidRPr="00660505">
              <w:rPr>
                <w:rFonts w:cstheme="minorHAnsi"/>
              </w:rPr>
              <w:t>Ministry of Planning and National Development Somaliland Central Statistics Department</w:t>
            </w:r>
            <w:bookmarkStart w:id="1" w:name="_GoBack"/>
            <w:bookmarkEnd w:id="1"/>
          </w:p>
        </w:tc>
        <w:tc>
          <w:tcPr>
            <w:tcW w:w="3120" w:type="dxa"/>
          </w:tcPr>
          <w:p w14:paraId="1ED7BA82" w14:textId="1F4ED075" w:rsidR="00EC4DE4" w:rsidRPr="004F5467" w:rsidRDefault="00EC4DE4" w:rsidP="00EC4DE4">
            <w:pPr>
              <w:pStyle w:val="ListParagraph"/>
              <w:numPr>
                <w:ilvl w:val="0"/>
                <w:numId w:val="23"/>
              </w:numPr>
              <w:spacing w:after="0"/>
              <w:rPr>
                <w:rFonts w:cstheme="minorHAnsi"/>
              </w:rPr>
            </w:pPr>
            <w:r w:rsidRPr="005D0786">
              <w:rPr>
                <w:rFonts w:cstheme="minorHAnsi"/>
              </w:rPr>
              <w:t>Within the specified timeframe and throughout Project implementation</w:t>
            </w:r>
          </w:p>
        </w:tc>
      </w:tr>
      <w:tr w:rsidR="009D1D3B" w:rsidRPr="00DE42B9" w14:paraId="76ECD651" w14:textId="77777777" w:rsidTr="00E85B0E">
        <w:tc>
          <w:tcPr>
            <w:tcW w:w="14485" w:type="dxa"/>
            <w:gridSpan w:val="8"/>
            <w:shd w:val="clear" w:color="auto" w:fill="F7CAAC" w:themeFill="accent2" w:themeFillTint="66"/>
          </w:tcPr>
          <w:p w14:paraId="7A4CFF58" w14:textId="77777777" w:rsidR="009D1D3B" w:rsidRPr="00DE42B9" w:rsidRDefault="009D1D3B" w:rsidP="009D1D3B">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4F5467" w:rsidRPr="006D16F0" w14:paraId="4266758E" w14:textId="77777777" w:rsidTr="0088323F">
        <w:tc>
          <w:tcPr>
            <w:tcW w:w="14485" w:type="dxa"/>
            <w:gridSpan w:val="8"/>
          </w:tcPr>
          <w:p w14:paraId="45ED79CD" w14:textId="61C2CD11" w:rsidR="004F5467" w:rsidRPr="004F5467" w:rsidRDefault="004F5467" w:rsidP="004F5467">
            <w:pPr>
              <w:rPr>
                <w:lang w:val="en-GB"/>
              </w:rPr>
            </w:pPr>
            <w:r w:rsidRPr="004F5467">
              <w:rPr>
                <w:rFonts w:cstheme="minorHAnsi"/>
              </w:rPr>
              <w:t>This standard is not relevant for the Project</w:t>
            </w:r>
          </w:p>
        </w:tc>
      </w:tr>
      <w:tr w:rsidR="009D1D3B" w:rsidRPr="00DE42B9" w14:paraId="2C5D5033" w14:textId="77777777" w:rsidTr="00E85B0E">
        <w:tc>
          <w:tcPr>
            <w:tcW w:w="14485" w:type="dxa"/>
            <w:gridSpan w:val="8"/>
            <w:shd w:val="clear" w:color="auto" w:fill="F7CAAC" w:themeFill="accent2" w:themeFillTint="66"/>
          </w:tcPr>
          <w:p w14:paraId="42C5766F" w14:textId="77777777" w:rsidR="009D1D3B" w:rsidRPr="00DE42B9" w:rsidRDefault="009D1D3B" w:rsidP="009D1D3B">
            <w:pPr>
              <w:rPr>
                <w:rFonts w:cstheme="minorHAnsi"/>
                <w:b/>
                <w:sz w:val="24"/>
              </w:rPr>
            </w:pPr>
            <w:r w:rsidRPr="00DE42B9">
              <w:rPr>
                <w:rFonts w:cstheme="minorHAnsi"/>
                <w:b/>
                <w:sz w:val="24"/>
              </w:rPr>
              <w:t>ESS 6:  BIODIVERSITY CONSERVATION AND SUSTAINABLE MANAGEMENT OF LIVING NATURAL RESOURCES</w:t>
            </w:r>
          </w:p>
        </w:tc>
      </w:tr>
      <w:tr w:rsidR="00C663C3" w:rsidRPr="00DE42B9" w14:paraId="1454B54B" w14:textId="77777777" w:rsidTr="00C663C3">
        <w:tc>
          <w:tcPr>
            <w:tcW w:w="14485" w:type="dxa"/>
            <w:gridSpan w:val="8"/>
            <w:shd w:val="clear" w:color="auto" w:fill="FFFFFF" w:themeFill="background1"/>
          </w:tcPr>
          <w:p w14:paraId="11EEE1AF" w14:textId="5534343C" w:rsidR="00C663C3" w:rsidRPr="00EF5930" w:rsidRDefault="004F5467" w:rsidP="009D1D3B">
            <w:pPr>
              <w:rPr>
                <w:rFonts w:cstheme="minorHAnsi"/>
              </w:rPr>
            </w:pPr>
            <w:r w:rsidRPr="004F5467">
              <w:rPr>
                <w:rFonts w:cstheme="minorHAnsi"/>
              </w:rPr>
              <w:t>This standard is not relevant for the Project</w:t>
            </w:r>
          </w:p>
        </w:tc>
      </w:tr>
      <w:tr w:rsidR="002D7630" w:rsidRPr="00DE42B9" w14:paraId="6F0567D0" w14:textId="77777777" w:rsidTr="00E85B0E">
        <w:tc>
          <w:tcPr>
            <w:tcW w:w="14485" w:type="dxa"/>
            <w:gridSpan w:val="8"/>
            <w:shd w:val="clear" w:color="auto" w:fill="F7CAAC" w:themeFill="accent2" w:themeFillTint="66"/>
          </w:tcPr>
          <w:p w14:paraId="36CCEF4F" w14:textId="77777777" w:rsidR="002D7630" w:rsidRPr="004D415E" w:rsidRDefault="002D7630" w:rsidP="002D7630">
            <w:pPr>
              <w:widowControl w:val="0"/>
              <w:rPr>
                <w:rFonts w:cstheme="minorHAnsi"/>
                <w:b/>
                <w:sz w:val="24"/>
                <w:szCs w:val="24"/>
              </w:rPr>
            </w:pPr>
            <w:r w:rsidRPr="004D415E">
              <w:rPr>
                <w:rFonts w:cstheme="minorHAnsi"/>
                <w:b/>
                <w:sz w:val="24"/>
                <w:szCs w:val="24"/>
              </w:rPr>
              <w:t>ESS 7: INDIGENOUS PEOPLES/SUB-SAHARAN AFRICAN HISTORICALLY UNDERSERVED TRADITIONAL LOCAL COMMUNITIES</w:t>
            </w:r>
          </w:p>
        </w:tc>
      </w:tr>
      <w:tr w:rsidR="002D7630" w:rsidRPr="00DE42B9" w14:paraId="68F42771" w14:textId="77777777" w:rsidTr="004D415E">
        <w:trPr>
          <w:trHeight w:val="332"/>
        </w:trPr>
        <w:tc>
          <w:tcPr>
            <w:tcW w:w="14485" w:type="dxa"/>
            <w:gridSpan w:val="8"/>
          </w:tcPr>
          <w:p w14:paraId="000F6075" w14:textId="3F505BBD" w:rsidR="002D7630" w:rsidRPr="00DB5A5E" w:rsidRDefault="004F5467" w:rsidP="002D7630">
            <w:pPr>
              <w:rPr>
                <w:iCs/>
                <w:lang w:val="en-GB"/>
              </w:rPr>
            </w:pPr>
            <w:r w:rsidRPr="004F5467">
              <w:rPr>
                <w:iCs/>
                <w:lang w:val="en-GB"/>
              </w:rPr>
              <w:t>This standard is not relevant for the Project</w:t>
            </w:r>
          </w:p>
        </w:tc>
      </w:tr>
      <w:tr w:rsidR="002D7630" w:rsidRPr="00DE42B9" w14:paraId="7D22651D" w14:textId="77777777" w:rsidTr="00E85B0E">
        <w:tc>
          <w:tcPr>
            <w:tcW w:w="14485" w:type="dxa"/>
            <w:gridSpan w:val="8"/>
            <w:shd w:val="clear" w:color="auto" w:fill="F7CAAC" w:themeFill="accent2" w:themeFillTint="66"/>
          </w:tcPr>
          <w:p w14:paraId="08108747" w14:textId="77777777" w:rsidR="002D7630" w:rsidRPr="00DE42B9" w:rsidRDefault="002D7630" w:rsidP="002D7630">
            <w:pPr>
              <w:widowControl w:val="0"/>
              <w:rPr>
                <w:rFonts w:cstheme="minorHAnsi"/>
                <w:b/>
                <w:sz w:val="24"/>
              </w:rPr>
            </w:pPr>
            <w:r w:rsidRPr="00DE42B9">
              <w:rPr>
                <w:rFonts w:cstheme="minorHAnsi"/>
                <w:b/>
                <w:sz w:val="24"/>
              </w:rPr>
              <w:t>ESS 8: CULTURAL HERITAGE</w:t>
            </w:r>
          </w:p>
        </w:tc>
      </w:tr>
      <w:tr w:rsidR="00C663C3" w:rsidRPr="00DE42B9" w14:paraId="2BE2046C" w14:textId="77777777" w:rsidTr="00C663C3">
        <w:tc>
          <w:tcPr>
            <w:tcW w:w="14485" w:type="dxa"/>
            <w:gridSpan w:val="8"/>
            <w:shd w:val="clear" w:color="auto" w:fill="FFFFFF" w:themeFill="background1"/>
          </w:tcPr>
          <w:p w14:paraId="353ACD48" w14:textId="0692AC08" w:rsidR="00C663C3" w:rsidRPr="00EF5930" w:rsidRDefault="004F5467" w:rsidP="002D7630">
            <w:pPr>
              <w:widowControl w:val="0"/>
              <w:rPr>
                <w:rFonts w:cstheme="minorHAnsi"/>
              </w:rPr>
            </w:pPr>
            <w:r w:rsidRPr="004F5467">
              <w:rPr>
                <w:rFonts w:cstheme="minorHAnsi"/>
              </w:rPr>
              <w:t>This standard is not relevant for the Project</w:t>
            </w:r>
          </w:p>
        </w:tc>
      </w:tr>
      <w:tr w:rsidR="002D7630" w:rsidRPr="00DE42B9" w14:paraId="06519323" w14:textId="77777777" w:rsidTr="00E85B0E">
        <w:tc>
          <w:tcPr>
            <w:tcW w:w="14485" w:type="dxa"/>
            <w:gridSpan w:val="8"/>
            <w:shd w:val="clear" w:color="auto" w:fill="F7CAAC" w:themeFill="accent2" w:themeFillTint="66"/>
          </w:tcPr>
          <w:p w14:paraId="4D2B0452" w14:textId="77777777" w:rsidR="002D7630" w:rsidRPr="00DE42B9" w:rsidRDefault="002D7630" w:rsidP="002D7630">
            <w:pPr>
              <w:widowControl w:val="0"/>
              <w:rPr>
                <w:rFonts w:cstheme="minorHAnsi"/>
                <w:b/>
                <w:sz w:val="24"/>
              </w:rPr>
            </w:pPr>
            <w:r w:rsidRPr="00DE42B9">
              <w:rPr>
                <w:rFonts w:cstheme="minorHAnsi"/>
                <w:b/>
                <w:sz w:val="24"/>
              </w:rPr>
              <w:t>ESS 9: FINANCIAL INTERMEDIARIES</w:t>
            </w:r>
          </w:p>
        </w:tc>
      </w:tr>
      <w:tr w:rsidR="002D7630" w:rsidRPr="00DE42B9" w14:paraId="7B7FE3F8" w14:textId="77777777" w:rsidTr="00FF0347">
        <w:tc>
          <w:tcPr>
            <w:tcW w:w="14485" w:type="dxa"/>
            <w:gridSpan w:val="8"/>
          </w:tcPr>
          <w:p w14:paraId="1E2B3AEA" w14:textId="7E64DC93" w:rsidR="002D7630" w:rsidRPr="00DE42B9" w:rsidRDefault="004F5467" w:rsidP="002D7630">
            <w:pPr>
              <w:widowControl w:val="0"/>
              <w:rPr>
                <w:rFonts w:cstheme="minorHAnsi"/>
              </w:rPr>
            </w:pPr>
            <w:r w:rsidRPr="004F5467">
              <w:rPr>
                <w:iCs/>
                <w:lang w:val="en-GB"/>
              </w:rPr>
              <w:t>This standard is not relevant for the Project</w:t>
            </w:r>
          </w:p>
        </w:tc>
      </w:tr>
      <w:tr w:rsidR="002D7630" w:rsidRPr="00DE42B9" w14:paraId="7B8B068A" w14:textId="77777777" w:rsidTr="00E85B0E">
        <w:tc>
          <w:tcPr>
            <w:tcW w:w="14485" w:type="dxa"/>
            <w:gridSpan w:val="8"/>
            <w:shd w:val="clear" w:color="auto" w:fill="F7CAAC" w:themeFill="accent2" w:themeFillTint="66"/>
          </w:tcPr>
          <w:p w14:paraId="4594E110" w14:textId="77777777" w:rsidR="002D7630" w:rsidRPr="00DE42B9" w:rsidRDefault="002D7630" w:rsidP="002D7630">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2D7630" w:rsidRPr="00DE42B9" w14:paraId="046527AF" w14:textId="77777777" w:rsidTr="004137A2">
        <w:tc>
          <w:tcPr>
            <w:tcW w:w="715" w:type="dxa"/>
          </w:tcPr>
          <w:p w14:paraId="1F86D345" w14:textId="77777777" w:rsidR="002D7630" w:rsidRPr="00DE42B9" w:rsidRDefault="002D7630" w:rsidP="002D7630">
            <w:pPr>
              <w:pStyle w:val="Normal-PRsubhead"/>
              <w:rPr>
                <w:b/>
                <w:i/>
              </w:rPr>
            </w:pPr>
            <w:r w:rsidRPr="00DE42B9">
              <w:lastRenderedPageBreak/>
              <w:t>10.1</w:t>
            </w:r>
          </w:p>
        </w:tc>
        <w:tc>
          <w:tcPr>
            <w:tcW w:w="6120" w:type="dxa"/>
            <w:gridSpan w:val="2"/>
          </w:tcPr>
          <w:p w14:paraId="64B10C7E" w14:textId="788BE0BE" w:rsidR="002D7630" w:rsidRDefault="002D7630" w:rsidP="002D7630">
            <w:pPr>
              <w:pStyle w:val="Normal-PRsubhead"/>
            </w:pPr>
            <w:r w:rsidRPr="00662D45">
              <w:rPr>
                <w:b/>
                <w:color w:val="5B9BD5" w:themeColor="accent5"/>
              </w:rPr>
              <w:t>S</w:t>
            </w:r>
            <w:r w:rsidR="00496E1D">
              <w:rPr>
                <w:b/>
                <w:color w:val="5B9BD5" w:themeColor="accent5"/>
              </w:rPr>
              <w:t>TAKEHOLDER ENGAGEMENT PLAN (SEP)</w:t>
            </w:r>
            <w:r>
              <w:t xml:space="preserve">: </w:t>
            </w:r>
            <w:r w:rsidR="00EA65AA">
              <w:t xml:space="preserve">Consistent with the </w:t>
            </w:r>
            <w:r w:rsidR="00A331DF">
              <w:t>ESS10, p</w:t>
            </w:r>
            <w:r>
              <w:t>repare</w:t>
            </w:r>
            <w:r w:rsidR="00496E1D">
              <w:t xml:space="preserve">, </w:t>
            </w:r>
            <w:r>
              <w:t xml:space="preserve">disclose </w:t>
            </w:r>
            <w:r w:rsidR="00496E1D">
              <w:t xml:space="preserve">and implement </w:t>
            </w:r>
            <w:r w:rsidR="00A34829">
              <w:t>the</w:t>
            </w:r>
            <w:r>
              <w:t xml:space="preserve"> Stakeholder Engagement Plan (</w:t>
            </w:r>
            <w:r w:rsidRPr="0046130D">
              <w:rPr>
                <w:i/>
              </w:rPr>
              <w:t>SEP</w:t>
            </w:r>
            <w:r>
              <w:t>)</w:t>
            </w:r>
            <w:r w:rsidR="007A3269">
              <w:t>, including the project grievance mechanism</w:t>
            </w:r>
            <w:r>
              <w:t>.</w:t>
            </w:r>
            <w:r w:rsidR="00496E1D">
              <w:t xml:space="preserve"> </w:t>
            </w:r>
          </w:p>
          <w:p w14:paraId="05108556" w14:textId="3EE116D2" w:rsidR="004D741B" w:rsidRDefault="004D741B" w:rsidP="005500A0"/>
          <w:p w14:paraId="0090CFC5" w14:textId="77777777" w:rsidR="00EA65AA" w:rsidRDefault="00EA65AA" w:rsidP="005500A0">
            <w:pPr>
              <w:rPr>
                <w:lang w:val="en-GB"/>
              </w:rPr>
            </w:pPr>
          </w:p>
          <w:p w14:paraId="422E01C8" w14:textId="77777777" w:rsidR="00EA65AA" w:rsidRDefault="00EA65AA" w:rsidP="005500A0">
            <w:pPr>
              <w:rPr>
                <w:lang w:val="en-GB"/>
              </w:rPr>
            </w:pPr>
          </w:p>
          <w:p w14:paraId="5B0BCB9A" w14:textId="77777777" w:rsidR="00EA65AA" w:rsidRDefault="00EA65AA" w:rsidP="005500A0">
            <w:pPr>
              <w:rPr>
                <w:lang w:val="en-GB"/>
              </w:rPr>
            </w:pPr>
          </w:p>
          <w:p w14:paraId="1263D0B7" w14:textId="02964CC5" w:rsidR="004D741B" w:rsidRPr="005500A0" w:rsidRDefault="004D741B" w:rsidP="005500A0">
            <w:r w:rsidRPr="004D741B">
              <w:rPr>
                <w:lang w:val="en-GB"/>
              </w:rPr>
              <w:t>Establish, maintain and operate a grievance mechanism (GM) to ensure reception and timely response to any complaints made about the Project (including those from members of the communities, and other stakeholders), as described in the SEP</w:t>
            </w:r>
          </w:p>
        </w:tc>
        <w:tc>
          <w:tcPr>
            <w:tcW w:w="2250" w:type="dxa"/>
          </w:tcPr>
          <w:p w14:paraId="484A1AF9" w14:textId="43B69C33" w:rsidR="002D7630" w:rsidRDefault="00C663C3" w:rsidP="00BD0B05">
            <w:pPr>
              <w:widowControl w:val="0"/>
              <w:rPr>
                <w:rFonts w:cstheme="minorHAnsi"/>
              </w:rPr>
            </w:pPr>
            <w:r w:rsidRPr="004D415E">
              <w:rPr>
                <w:rFonts w:cstheme="minorHAnsi"/>
              </w:rPr>
              <w:t xml:space="preserve">Disclosure of the </w:t>
            </w:r>
            <w:r>
              <w:rPr>
                <w:rFonts w:cstheme="minorHAnsi"/>
              </w:rPr>
              <w:t>SEP</w:t>
            </w:r>
            <w:r w:rsidRPr="004D415E">
              <w:rPr>
                <w:rFonts w:cstheme="minorHAnsi"/>
              </w:rPr>
              <w:t xml:space="preserve"> </w:t>
            </w:r>
            <w:r w:rsidR="00A331DF">
              <w:rPr>
                <w:rFonts w:cstheme="minorHAnsi"/>
              </w:rPr>
              <w:t xml:space="preserve">following the clearance </w:t>
            </w:r>
            <w:r w:rsidRPr="004D415E">
              <w:rPr>
                <w:rFonts w:cstheme="minorHAnsi"/>
              </w:rPr>
              <w:t xml:space="preserve">by the Bank prior to commencement of </w:t>
            </w:r>
            <w:r w:rsidR="00EA65AA">
              <w:rPr>
                <w:rFonts w:cstheme="minorHAnsi"/>
              </w:rPr>
              <w:t>the project</w:t>
            </w:r>
            <w:r w:rsidRPr="004D415E">
              <w:rPr>
                <w:rFonts w:cstheme="minorHAnsi"/>
              </w:rPr>
              <w:t>.</w:t>
            </w:r>
            <w:r w:rsidDel="00C663C3">
              <w:rPr>
                <w:rFonts w:cstheme="minorHAnsi"/>
              </w:rPr>
              <w:t xml:space="preserve"> </w:t>
            </w:r>
          </w:p>
          <w:p w14:paraId="4A9E5AF8" w14:textId="77777777" w:rsidR="004D741B" w:rsidRDefault="004D741B" w:rsidP="00BD0B05">
            <w:pPr>
              <w:widowControl w:val="0"/>
              <w:rPr>
                <w:rFonts w:cstheme="minorHAnsi"/>
              </w:rPr>
            </w:pPr>
          </w:p>
          <w:p w14:paraId="3C18CFE2" w14:textId="77777777" w:rsidR="004D741B" w:rsidRDefault="004D741B" w:rsidP="00BD0B05">
            <w:pPr>
              <w:widowControl w:val="0"/>
              <w:rPr>
                <w:rFonts w:cstheme="minorHAnsi"/>
              </w:rPr>
            </w:pPr>
          </w:p>
          <w:p w14:paraId="1A4ABD5F" w14:textId="6D0EE75A" w:rsidR="004D741B" w:rsidRPr="005500A0" w:rsidRDefault="004D741B" w:rsidP="00BD0B05">
            <w:pPr>
              <w:widowControl w:val="0"/>
              <w:rPr>
                <w:rFonts w:cstheme="minorHAnsi"/>
              </w:rPr>
            </w:pPr>
            <w:r w:rsidRPr="005500A0">
              <w:rPr>
                <w:rFonts w:cstheme="minorHAnsi"/>
              </w:rPr>
              <w:t>GM to be established prior to commencement of Project activities and will be maintained and operated throughout Project implementation.</w:t>
            </w:r>
          </w:p>
        </w:tc>
        <w:tc>
          <w:tcPr>
            <w:tcW w:w="2280" w:type="dxa"/>
            <w:gridSpan w:val="3"/>
          </w:tcPr>
          <w:p w14:paraId="404FA487" w14:textId="5389DE6B" w:rsidR="002D7630" w:rsidRPr="00DE42B9" w:rsidRDefault="00496E1D" w:rsidP="004F5467">
            <w:pPr>
              <w:widowControl w:val="0"/>
              <w:rPr>
                <w:rFonts w:cstheme="minorHAnsi"/>
              </w:rPr>
            </w:pPr>
            <w:r w:rsidRPr="004D415E">
              <w:rPr>
                <w:rFonts w:cstheme="minorHAnsi"/>
              </w:rPr>
              <w:t xml:space="preserve">PIU </w:t>
            </w:r>
          </w:p>
        </w:tc>
        <w:tc>
          <w:tcPr>
            <w:tcW w:w="3120" w:type="dxa"/>
          </w:tcPr>
          <w:p w14:paraId="4A679FAA" w14:textId="77C9395F" w:rsidR="007A3269" w:rsidRPr="00DE42B9" w:rsidRDefault="003151A1" w:rsidP="003C323A">
            <w:pPr>
              <w:pStyle w:val="Normalbullettable"/>
            </w:pPr>
            <w:r w:rsidRPr="005500A0">
              <w:t xml:space="preserve">Ongoing </w:t>
            </w:r>
            <w:r w:rsidR="007A3269" w:rsidRPr="005500A0">
              <w:t xml:space="preserve">implementation </w:t>
            </w:r>
            <w:r w:rsidRPr="005500A0">
              <w:t>and monitoring</w:t>
            </w:r>
            <w:r w:rsidR="007A3269" w:rsidRPr="005500A0">
              <w:t>.</w:t>
            </w:r>
            <w:r w:rsidR="007A3269">
              <w:t xml:space="preserve">  </w:t>
            </w:r>
          </w:p>
        </w:tc>
      </w:tr>
      <w:tr w:rsidR="00F21D26" w:rsidRPr="00DE42B9" w14:paraId="4B0AAC59" w14:textId="77777777" w:rsidTr="004137A2">
        <w:tc>
          <w:tcPr>
            <w:tcW w:w="715" w:type="dxa"/>
          </w:tcPr>
          <w:p w14:paraId="4ADEE414" w14:textId="57FC8B72" w:rsidR="00F21D26" w:rsidRPr="00DE42B9" w:rsidRDefault="00F21D26" w:rsidP="002D7630">
            <w:pPr>
              <w:pStyle w:val="Normal-PRsubhead"/>
            </w:pPr>
            <w:r>
              <w:t>10.2</w:t>
            </w:r>
          </w:p>
        </w:tc>
        <w:tc>
          <w:tcPr>
            <w:tcW w:w="6120" w:type="dxa"/>
            <w:gridSpan w:val="2"/>
          </w:tcPr>
          <w:p w14:paraId="63E0BE7C" w14:textId="5E4048FE" w:rsidR="00F21D26" w:rsidRPr="00662D45" w:rsidRDefault="00F21D26" w:rsidP="00EA65AA">
            <w:pPr>
              <w:pStyle w:val="Normal-PRsubhead"/>
              <w:rPr>
                <w:b/>
                <w:color w:val="5B9BD5" w:themeColor="accent5"/>
              </w:rPr>
            </w:pPr>
            <w:r w:rsidRPr="00800443">
              <w:rPr>
                <w:color w:val="5B9BD5" w:themeColor="accent5"/>
              </w:rPr>
              <w:t xml:space="preserve">Conduct </w:t>
            </w:r>
            <w:r w:rsidR="00EA65AA">
              <w:rPr>
                <w:color w:val="5B9BD5" w:themeColor="accent5"/>
              </w:rPr>
              <w:t xml:space="preserve">stakeholder </w:t>
            </w:r>
            <w:r w:rsidRPr="00800443">
              <w:rPr>
                <w:color w:val="5B9BD5" w:themeColor="accent5"/>
              </w:rPr>
              <w:t xml:space="preserve">consultations to validate and seek </w:t>
            </w:r>
            <w:r w:rsidR="00EA65AA">
              <w:rPr>
                <w:color w:val="5B9BD5" w:themeColor="accent5"/>
              </w:rPr>
              <w:t>the views of stakeholders on SEP</w:t>
            </w:r>
            <w:r w:rsidRPr="00800443">
              <w:rPr>
                <w:color w:val="5B9BD5" w:themeColor="accent5"/>
              </w:rPr>
              <w:t xml:space="preserve"> and LMP</w:t>
            </w:r>
            <w:r w:rsidR="005C49A7" w:rsidRPr="00800443">
              <w:rPr>
                <w:color w:val="5B9BD5" w:themeColor="accent5"/>
              </w:rPr>
              <w:t>.</w:t>
            </w:r>
            <w:r w:rsidR="00800443">
              <w:rPr>
                <w:color w:val="5B9BD5" w:themeColor="accent5"/>
              </w:rPr>
              <w:t xml:space="preserve"> These instruments shall be duly updated and disclosed, following the public consultations. </w:t>
            </w:r>
          </w:p>
        </w:tc>
        <w:tc>
          <w:tcPr>
            <w:tcW w:w="2250" w:type="dxa"/>
          </w:tcPr>
          <w:p w14:paraId="3FF8987A" w14:textId="3EF2D46C" w:rsidR="00F21D26" w:rsidRPr="004D415E" w:rsidRDefault="00800443" w:rsidP="004D741B">
            <w:pPr>
              <w:widowControl w:val="0"/>
              <w:rPr>
                <w:rFonts w:cstheme="minorHAnsi"/>
              </w:rPr>
            </w:pPr>
            <w:r>
              <w:rPr>
                <w:rFonts w:cstheme="minorHAnsi"/>
              </w:rPr>
              <w:t>As soon as PIUs are fully staffed (p</w:t>
            </w:r>
            <w:r w:rsidRPr="00BD2E82">
              <w:rPr>
                <w:rFonts w:cstheme="minorHAnsi"/>
              </w:rPr>
              <w:t>rior to project effectiveness</w:t>
            </w:r>
            <w:r>
              <w:rPr>
                <w:rFonts w:cstheme="minorHAnsi"/>
              </w:rPr>
              <w:t>) and trained.</w:t>
            </w:r>
            <w:r w:rsidRPr="00BD2E82">
              <w:rPr>
                <w:rFonts w:cstheme="minorHAnsi"/>
              </w:rPr>
              <w:t xml:space="preserve">  </w:t>
            </w:r>
          </w:p>
        </w:tc>
        <w:tc>
          <w:tcPr>
            <w:tcW w:w="2280" w:type="dxa"/>
            <w:gridSpan w:val="3"/>
          </w:tcPr>
          <w:p w14:paraId="3EFE5CB5" w14:textId="77777777" w:rsidR="00F21D26" w:rsidRPr="004D415E" w:rsidRDefault="00F21D26" w:rsidP="002D7630">
            <w:pPr>
              <w:widowControl w:val="0"/>
              <w:rPr>
                <w:rFonts w:cstheme="minorHAnsi"/>
              </w:rPr>
            </w:pPr>
          </w:p>
        </w:tc>
        <w:tc>
          <w:tcPr>
            <w:tcW w:w="3120" w:type="dxa"/>
          </w:tcPr>
          <w:p w14:paraId="3F37642B" w14:textId="7235DA4F" w:rsidR="00F21D26" w:rsidRDefault="00800443" w:rsidP="005500A0">
            <w:pPr>
              <w:pStyle w:val="ListParagraph"/>
              <w:numPr>
                <w:ilvl w:val="0"/>
                <w:numId w:val="23"/>
              </w:numPr>
              <w:spacing w:after="0"/>
              <w:ind w:left="394"/>
            </w:pPr>
            <w:r w:rsidRPr="00EF5930">
              <w:rPr>
                <w:rFonts w:cstheme="minorHAnsi"/>
              </w:rPr>
              <w:t xml:space="preserve">Prior to commencement of </w:t>
            </w:r>
            <w:r w:rsidR="00A20994">
              <w:rPr>
                <w:rFonts w:cstheme="minorHAnsi"/>
              </w:rPr>
              <w:t>project</w:t>
            </w:r>
          </w:p>
        </w:tc>
      </w:tr>
      <w:tr w:rsidR="00AE719C" w:rsidRPr="00DE42B9" w14:paraId="02769A90" w14:textId="77777777" w:rsidTr="00E85B0E">
        <w:tc>
          <w:tcPr>
            <w:tcW w:w="14485" w:type="dxa"/>
            <w:gridSpan w:val="8"/>
            <w:tcBorders>
              <w:top w:val="double" w:sz="4" w:space="0" w:color="auto"/>
              <w:bottom w:val="single" w:sz="4" w:space="0" w:color="auto"/>
            </w:tcBorders>
            <w:shd w:val="clear" w:color="auto" w:fill="D9D9D9" w:themeFill="background1" w:themeFillShade="D9"/>
          </w:tcPr>
          <w:p w14:paraId="0F607509" w14:textId="77777777" w:rsidR="00AE719C" w:rsidRPr="00DE42B9" w:rsidRDefault="00AE719C" w:rsidP="00AE719C">
            <w:pPr>
              <w:widowControl w:val="0"/>
              <w:rPr>
                <w:rFonts w:cstheme="minorHAnsi"/>
                <w:b/>
              </w:rPr>
            </w:pPr>
            <w:r w:rsidRPr="00DE42B9">
              <w:rPr>
                <w:rFonts w:cstheme="minorHAnsi"/>
                <w:b/>
              </w:rPr>
              <w:t xml:space="preserve">Capacity Support </w:t>
            </w:r>
          </w:p>
        </w:tc>
      </w:tr>
      <w:tr w:rsidR="00AE719C" w:rsidRPr="00DE42B9" w14:paraId="4668352D" w14:textId="77777777" w:rsidTr="00E85B0E">
        <w:tc>
          <w:tcPr>
            <w:tcW w:w="5653" w:type="dxa"/>
            <w:gridSpan w:val="2"/>
            <w:tcBorders>
              <w:top w:val="single" w:sz="4" w:space="0" w:color="auto"/>
            </w:tcBorders>
          </w:tcPr>
          <w:p w14:paraId="1B1433F2" w14:textId="77777777" w:rsidR="00AE719C" w:rsidRPr="00662D45" w:rsidRDefault="00AE719C" w:rsidP="00AE719C">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3537" w:type="dxa"/>
            <w:gridSpan w:val="3"/>
            <w:tcBorders>
              <w:top w:val="single" w:sz="4" w:space="0" w:color="auto"/>
            </w:tcBorders>
          </w:tcPr>
          <w:p w14:paraId="71199624" w14:textId="77777777" w:rsidR="00AE719C" w:rsidRPr="00662D45" w:rsidRDefault="00AE719C" w:rsidP="00AE719C">
            <w:pPr>
              <w:widowControl w:val="0"/>
              <w:jc w:val="center"/>
              <w:rPr>
                <w:rFonts w:cstheme="minorHAnsi"/>
                <w:b/>
                <w:color w:val="70AD47" w:themeColor="accent6"/>
              </w:rPr>
            </w:pPr>
            <w:r>
              <w:rPr>
                <w:rFonts w:cstheme="minorHAnsi"/>
                <w:b/>
                <w:color w:val="70AD47" w:themeColor="accent6"/>
              </w:rPr>
              <w:t>Specify Targeted G</w:t>
            </w:r>
            <w:r w:rsidRPr="00662D45">
              <w:rPr>
                <w:rFonts w:cstheme="minorHAnsi"/>
                <w:b/>
                <w:color w:val="70AD47" w:themeColor="accent6"/>
              </w:rPr>
              <w:t>roups</w:t>
            </w:r>
            <w:r>
              <w:rPr>
                <w:rFonts w:cstheme="minorHAnsi"/>
                <w:b/>
                <w:color w:val="70AD47" w:themeColor="accent6"/>
              </w:rPr>
              <w:t xml:space="preserve"> and Timeframe for Delivery</w:t>
            </w:r>
          </w:p>
        </w:tc>
        <w:tc>
          <w:tcPr>
            <w:tcW w:w="5295" w:type="dxa"/>
            <w:gridSpan w:val="3"/>
            <w:tcBorders>
              <w:top w:val="single" w:sz="4" w:space="0" w:color="auto"/>
            </w:tcBorders>
          </w:tcPr>
          <w:p w14:paraId="7DA1E201" w14:textId="77777777" w:rsidR="00AE719C" w:rsidRPr="00662D45" w:rsidRDefault="00AE719C" w:rsidP="00AE719C">
            <w:pPr>
              <w:widowControl w:val="0"/>
              <w:jc w:val="center"/>
              <w:rPr>
                <w:rFonts w:cstheme="minorHAnsi"/>
                <w:b/>
                <w:color w:val="70AD47" w:themeColor="accent6"/>
              </w:rPr>
            </w:pPr>
            <w:r>
              <w:rPr>
                <w:rFonts w:cstheme="minorHAnsi"/>
                <w:b/>
                <w:color w:val="70AD47" w:themeColor="accent6"/>
              </w:rPr>
              <w:t>Specify Training Completed</w:t>
            </w:r>
          </w:p>
        </w:tc>
      </w:tr>
      <w:tr w:rsidR="00AE719C" w:rsidRPr="00DE42B9" w14:paraId="3F327103" w14:textId="77777777" w:rsidTr="00E85B0E">
        <w:tc>
          <w:tcPr>
            <w:tcW w:w="5653" w:type="dxa"/>
            <w:gridSpan w:val="2"/>
          </w:tcPr>
          <w:p w14:paraId="26CCE015" w14:textId="3F805387" w:rsidR="00AE719C" w:rsidRDefault="00AE719C" w:rsidP="00AE719C">
            <w:pPr>
              <w:widowControl w:val="0"/>
              <w:rPr>
                <w:rFonts w:cstheme="minorHAnsi"/>
              </w:rPr>
            </w:pPr>
            <w:r>
              <w:rPr>
                <w:rFonts w:cstheme="minorHAnsi"/>
              </w:rPr>
              <w:t xml:space="preserve">As example, training may be </w:t>
            </w:r>
            <w:r w:rsidR="000B5398">
              <w:rPr>
                <w:rFonts w:cstheme="minorHAnsi"/>
              </w:rPr>
              <w:t>provided i</w:t>
            </w:r>
            <w:r>
              <w:rPr>
                <w:rFonts w:cstheme="minorHAnsi"/>
              </w:rPr>
              <w:t>n:</w:t>
            </w:r>
          </w:p>
          <w:p w14:paraId="463EEF99" w14:textId="500CD2C0" w:rsidR="000B5398" w:rsidRDefault="000B5398" w:rsidP="00AE719C">
            <w:pPr>
              <w:pStyle w:val="ListParagraph"/>
              <w:widowControl w:val="0"/>
              <w:numPr>
                <w:ilvl w:val="0"/>
                <w:numId w:val="20"/>
              </w:numPr>
              <w:spacing w:after="0"/>
              <w:rPr>
                <w:rFonts w:cstheme="minorHAnsi"/>
              </w:rPr>
            </w:pPr>
            <w:r>
              <w:rPr>
                <w:rFonts w:cstheme="minorHAnsi"/>
              </w:rPr>
              <w:t>ESF in general</w:t>
            </w:r>
          </w:p>
          <w:p w14:paraId="528F21BF" w14:textId="1ECCA3DC" w:rsidR="000B5398" w:rsidRDefault="00EA65AA" w:rsidP="00AE719C">
            <w:pPr>
              <w:pStyle w:val="ListParagraph"/>
              <w:widowControl w:val="0"/>
              <w:numPr>
                <w:ilvl w:val="0"/>
                <w:numId w:val="20"/>
              </w:numPr>
              <w:spacing w:after="0"/>
              <w:rPr>
                <w:rFonts w:cstheme="minorHAnsi"/>
              </w:rPr>
            </w:pPr>
            <w:r>
              <w:rPr>
                <w:rFonts w:cstheme="minorHAnsi"/>
              </w:rPr>
              <w:t>Preparation of ES instruments</w:t>
            </w:r>
            <w:r w:rsidR="000B5398">
              <w:rPr>
                <w:rFonts w:cstheme="minorHAnsi"/>
              </w:rPr>
              <w:t xml:space="preserve">, SEP, LMP </w:t>
            </w:r>
          </w:p>
          <w:p w14:paraId="0F849F0A" w14:textId="37C1D6FE" w:rsidR="000B5398" w:rsidRDefault="000B5398" w:rsidP="000B5398">
            <w:pPr>
              <w:pStyle w:val="ListParagraph"/>
              <w:widowControl w:val="0"/>
              <w:numPr>
                <w:ilvl w:val="0"/>
                <w:numId w:val="20"/>
              </w:numPr>
              <w:spacing w:after="0"/>
              <w:rPr>
                <w:rFonts w:cstheme="minorHAnsi"/>
              </w:rPr>
            </w:pPr>
            <w:r>
              <w:rPr>
                <w:rFonts w:cstheme="minorHAnsi"/>
              </w:rPr>
              <w:t>Gender Based Violence</w:t>
            </w:r>
            <w:r w:rsidR="005A29B0">
              <w:rPr>
                <w:rFonts w:cstheme="minorHAnsi"/>
              </w:rPr>
              <w:t xml:space="preserve"> (GBV)</w:t>
            </w:r>
          </w:p>
          <w:p w14:paraId="0A642B7A" w14:textId="77777777" w:rsidR="00AE719C" w:rsidRDefault="000B5398" w:rsidP="000B5398">
            <w:pPr>
              <w:pStyle w:val="ListParagraph"/>
              <w:widowControl w:val="0"/>
              <w:numPr>
                <w:ilvl w:val="0"/>
                <w:numId w:val="20"/>
              </w:numPr>
              <w:spacing w:after="0"/>
              <w:rPr>
                <w:rFonts w:cstheme="minorHAnsi"/>
              </w:rPr>
            </w:pPr>
            <w:r w:rsidRPr="000B5398">
              <w:rPr>
                <w:rFonts w:cstheme="minorHAnsi"/>
              </w:rPr>
              <w:t>GRM</w:t>
            </w:r>
          </w:p>
          <w:p w14:paraId="7A3E0F29" w14:textId="77777777" w:rsidR="005A29B0" w:rsidRDefault="005A29B0" w:rsidP="000B5398">
            <w:pPr>
              <w:pStyle w:val="ListParagraph"/>
              <w:widowControl w:val="0"/>
              <w:numPr>
                <w:ilvl w:val="0"/>
                <w:numId w:val="20"/>
              </w:numPr>
              <w:spacing w:after="0"/>
              <w:rPr>
                <w:rFonts w:cstheme="minorHAnsi"/>
              </w:rPr>
            </w:pPr>
            <w:r>
              <w:rPr>
                <w:rFonts w:cstheme="minorHAnsi"/>
              </w:rPr>
              <w:lastRenderedPageBreak/>
              <w:t>Labor management</w:t>
            </w:r>
          </w:p>
          <w:p w14:paraId="0BE051D7" w14:textId="115C4363" w:rsidR="005A29B0" w:rsidRPr="000B5398" w:rsidRDefault="005A29B0" w:rsidP="000B5398">
            <w:pPr>
              <w:pStyle w:val="ListParagraph"/>
              <w:widowControl w:val="0"/>
              <w:numPr>
                <w:ilvl w:val="0"/>
                <w:numId w:val="20"/>
              </w:numPr>
              <w:spacing w:after="0"/>
              <w:rPr>
                <w:rFonts w:cstheme="minorHAnsi"/>
              </w:rPr>
            </w:pPr>
            <w:r>
              <w:rPr>
                <w:rFonts w:cstheme="minorHAnsi"/>
              </w:rPr>
              <w:t>Stakeholder eng</w:t>
            </w:r>
            <w:r w:rsidR="00D50975">
              <w:rPr>
                <w:rFonts w:cstheme="minorHAnsi"/>
              </w:rPr>
              <w:t>a</w:t>
            </w:r>
            <w:r>
              <w:rPr>
                <w:rFonts w:cstheme="minorHAnsi"/>
              </w:rPr>
              <w:t>gement</w:t>
            </w:r>
          </w:p>
        </w:tc>
        <w:tc>
          <w:tcPr>
            <w:tcW w:w="3537" w:type="dxa"/>
            <w:gridSpan w:val="3"/>
          </w:tcPr>
          <w:p w14:paraId="66B38296" w14:textId="1E0586DA" w:rsidR="005A29B0" w:rsidRPr="00D50975" w:rsidRDefault="005A29B0" w:rsidP="005A29B0">
            <w:pPr>
              <w:widowControl w:val="0"/>
              <w:rPr>
                <w:rFonts w:cstheme="minorHAnsi"/>
              </w:rPr>
            </w:pPr>
            <w:r w:rsidRPr="00D50975">
              <w:rPr>
                <w:rFonts w:cstheme="minorHAnsi"/>
              </w:rPr>
              <w:lastRenderedPageBreak/>
              <w:t>Targeted groups include the following. Timeframe TBD.</w:t>
            </w:r>
          </w:p>
          <w:p w14:paraId="6D814C4C" w14:textId="766C3A99" w:rsidR="00EA65AA" w:rsidRDefault="000B5398" w:rsidP="00EA65AA">
            <w:pPr>
              <w:pStyle w:val="ListParagraph"/>
              <w:widowControl w:val="0"/>
              <w:numPr>
                <w:ilvl w:val="0"/>
                <w:numId w:val="20"/>
              </w:numPr>
              <w:spacing w:after="0"/>
              <w:ind w:left="346"/>
              <w:rPr>
                <w:rFonts w:cstheme="minorHAnsi"/>
              </w:rPr>
            </w:pPr>
            <w:r w:rsidRPr="00D50975">
              <w:rPr>
                <w:rFonts w:cstheme="minorHAnsi"/>
              </w:rPr>
              <w:t xml:space="preserve">PIU </w:t>
            </w:r>
          </w:p>
          <w:p w14:paraId="1B949122" w14:textId="558BA16D" w:rsidR="00EA65AA" w:rsidRDefault="00EA65AA" w:rsidP="0092227B">
            <w:pPr>
              <w:pStyle w:val="ListParagraph"/>
              <w:widowControl w:val="0"/>
              <w:numPr>
                <w:ilvl w:val="0"/>
                <w:numId w:val="20"/>
              </w:numPr>
              <w:spacing w:after="0"/>
              <w:ind w:left="346"/>
              <w:rPr>
                <w:rFonts w:cstheme="minorHAnsi"/>
              </w:rPr>
            </w:pPr>
            <w:r>
              <w:rPr>
                <w:rFonts w:cstheme="minorHAnsi"/>
              </w:rPr>
              <w:t>Enumerators</w:t>
            </w:r>
          </w:p>
          <w:p w14:paraId="37B04C25" w14:textId="65AC3C5C" w:rsidR="005A29B0" w:rsidRPr="00D50975" w:rsidRDefault="005A29B0" w:rsidP="0092227B">
            <w:pPr>
              <w:pStyle w:val="ListParagraph"/>
              <w:widowControl w:val="0"/>
              <w:numPr>
                <w:ilvl w:val="0"/>
                <w:numId w:val="20"/>
              </w:numPr>
              <w:spacing w:after="0"/>
              <w:ind w:left="346"/>
              <w:rPr>
                <w:rFonts w:cstheme="minorHAnsi"/>
              </w:rPr>
            </w:pPr>
            <w:r w:rsidRPr="00D50975">
              <w:rPr>
                <w:rFonts w:cstheme="minorHAnsi"/>
              </w:rPr>
              <w:t>Affected communities</w:t>
            </w:r>
          </w:p>
        </w:tc>
        <w:tc>
          <w:tcPr>
            <w:tcW w:w="5295" w:type="dxa"/>
            <w:gridSpan w:val="3"/>
          </w:tcPr>
          <w:p w14:paraId="0165F346" w14:textId="6760500F" w:rsidR="00AE719C" w:rsidRPr="00F0322F" w:rsidRDefault="00F0322F" w:rsidP="00F0322F">
            <w:pPr>
              <w:widowControl w:val="0"/>
              <w:rPr>
                <w:rFonts w:cstheme="minorHAnsi"/>
              </w:rPr>
            </w:pPr>
            <w:r>
              <w:rPr>
                <w:rFonts w:cstheme="minorHAnsi"/>
              </w:rPr>
              <w:t>The Bank staff and consultants are providing trainings on relevant safeguards topics to targeted groups on an ongoing basis.</w:t>
            </w:r>
          </w:p>
        </w:tc>
      </w:tr>
    </w:tbl>
    <w:p w14:paraId="67532740" w14:textId="77777777" w:rsidR="00701091" w:rsidRDefault="00701091"/>
    <w:sectPr w:rsidR="00701091"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986E" w14:textId="77777777" w:rsidR="00112FB9" w:rsidRDefault="00112FB9" w:rsidP="00E35CB2">
      <w:pPr>
        <w:spacing w:after="0" w:line="240" w:lineRule="auto"/>
      </w:pPr>
      <w:r>
        <w:separator/>
      </w:r>
    </w:p>
  </w:endnote>
  <w:endnote w:type="continuationSeparator" w:id="0">
    <w:p w14:paraId="2511CDAE" w14:textId="77777777" w:rsidR="00112FB9" w:rsidRDefault="00112FB9"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20061E7" w:rsidR="00FF0347" w:rsidRDefault="00FF03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3DD9">
          <w:rPr>
            <w:noProof/>
          </w:rPr>
          <w:t>2</w:t>
        </w:r>
        <w:r>
          <w:rPr>
            <w:noProof/>
          </w:rPr>
          <w:fldChar w:fldCharType="end"/>
        </w:r>
        <w:r>
          <w:t xml:space="preserve"> | </w:t>
        </w:r>
        <w:r>
          <w:rPr>
            <w:color w:val="7F7F7F" w:themeColor="background1" w:themeShade="7F"/>
            <w:spacing w:val="60"/>
          </w:rPr>
          <w:t>Page</w:t>
        </w:r>
      </w:p>
    </w:sdtContent>
  </w:sdt>
  <w:p w14:paraId="4A153B37" w14:textId="77777777" w:rsidR="00FF0347" w:rsidRDefault="00FF0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5AF6BD52" w:rsidR="00FF0347" w:rsidRDefault="00FF03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3DD9">
          <w:rPr>
            <w:noProof/>
          </w:rPr>
          <w:t>7</w:t>
        </w:r>
        <w:r>
          <w:rPr>
            <w:noProof/>
          </w:rPr>
          <w:fldChar w:fldCharType="end"/>
        </w:r>
        <w:r>
          <w:t xml:space="preserve"> | </w:t>
        </w:r>
        <w:r>
          <w:rPr>
            <w:color w:val="7F7F7F" w:themeColor="background1" w:themeShade="7F"/>
            <w:spacing w:val="60"/>
          </w:rPr>
          <w:t>Page</w:t>
        </w:r>
      </w:p>
    </w:sdtContent>
  </w:sdt>
  <w:p w14:paraId="64B00D19" w14:textId="77777777" w:rsidR="00FF0347" w:rsidRDefault="00FF0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1D9F" w14:textId="77777777" w:rsidR="00112FB9" w:rsidRDefault="00112FB9" w:rsidP="00E35CB2">
      <w:pPr>
        <w:spacing w:after="0" w:line="240" w:lineRule="auto"/>
      </w:pPr>
      <w:r>
        <w:separator/>
      </w:r>
    </w:p>
  </w:footnote>
  <w:footnote w:type="continuationSeparator" w:id="0">
    <w:p w14:paraId="0E84C9EB" w14:textId="77777777" w:rsidR="00112FB9" w:rsidRDefault="00112FB9"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FF0347" w:rsidRDefault="00FF0347">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FF0347" w:rsidRDefault="00FF034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FF0347" w:rsidRDefault="00FF034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FF0347" w:rsidRPr="00506C68" w:rsidRDefault="00FF0347"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FF0347" w:rsidRDefault="00FF034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FF0347" w:rsidRDefault="00FF034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92AB579" w14:textId="79DB6AD4" w:rsidR="00FF0347" w:rsidRPr="00506C68" w:rsidRDefault="00FF0347"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w:t>
    </w:r>
  </w:p>
  <w:p w14:paraId="46808772" w14:textId="77777777" w:rsidR="00FF0347" w:rsidRPr="00AD0A1F" w:rsidRDefault="00FF0347"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FF0347" w:rsidRDefault="00FF0347">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FF0347" w:rsidRDefault="00FF034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FF0347" w:rsidRDefault="00FF034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0F878799" w:rsidR="00FF0347" w:rsidRDefault="00FF03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FF0347" w:rsidRPr="00506C68" w:rsidRDefault="00FF0347"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FF0347" w:rsidRDefault="00FF0347"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FF0347" w:rsidRDefault="00FF0347"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1D57E84" w14:textId="7ED32939" w:rsidR="00FF0347" w:rsidRPr="00AD0A1F" w:rsidRDefault="00FF0347" w:rsidP="004D415E">
    <w:pPr>
      <w:pStyle w:val="Header"/>
      <w:rPr>
        <w:rFonts w:cstheme="minorHAnsi"/>
        <w:b/>
        <w:color w:val="808080" w:themeColor="background1" w:themeShade="80"/>
        <w:sz w:val="24"/>
      </w:rPr>
    </w:pPr>
    <w:r w:rsidRPr="00506C68">
      <w:rPr>
        <w:rFonts w:cstheme="minorHAnsi"/>
        <w:b/>
        <w:color w:val="808080" w:themeColor="background1" w:themeShade="80"/>
        <w:sz w:val="16"/>
        <w:szCs w:val="16"/>
      </w:rPr>
      <w:t>ENVIRONMENTAL AND SOCIAL COMMITMENT PLAN (ESCP)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5A948A39" w:rsidR="00FF0347" w:rsidRDefault="00FF0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F52"/>
    <w:multiLevelType w:val="hybridMultilevel"/>
    <w:tmpl w:val="2E58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4AB1"/>
    <w:multiLevelType w:val="hybridMultilevel"/>
    <w:tmpl w:val="5372A0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A22269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717FF"/>
    <w:multiLevelType w:val="hybridMultilevel"/>
    <w:tmpl w:val="CAD01A92"/>
    <w:lvl w:ilvl="0" w:tplc="A6E0600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F383F"/>
    <w:multiLevelType w:val="hybridMultilevel"/>
    <w:tmpl w:val="8C7E4262"/>
    <w:lvl w:ilvl="0" w:tplc="33525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874A7"/>
    <w:multiLevelType w:val="hybridMultilevel"/>
    <w:tmpl w:val="1DB8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A2985"/>
    <w:multiLevelType w:val="hybridMultilevel"/>
    <w:tmpl w:val="00E4A7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4B3C"/>
    <w:multiLevelType w:val="hybridMultilevel"/>
    <w:tmpl w:val="4314BC8C"/>
    <w:lvl w:ilvl="0" w:tplc="B8B20BC6">
      <w:start w:val="1"/>
      <w:numFmt w:val="bullet"/>
      <w:pStyle w:val="Normal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8110A"/>
    <w:multiLevelType w:val="hybridMultilevel"/>
    <w:tmpl w:val="C61C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7F1C235B"/>
    <w:multiLevelType w:val="hybridMultilevel"/>
    <w:tmpl w:val="0E8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4"/>
  </w:num>
  <w:num w:numId="4">
    <w:abstractNumId w:val="21"/>
  </w:num>
  <w:num w:numId="5">
    <w:abstractNumId w:val="16"/>
  </w:num>
  <w:num w:numId="6">
    <w:abstractNumId w:val="27"/>
  </w:num>
  <w:num w:numId="7">
    <w:abstractNumId w:val="4"/>
  </w:num>
  <w:num w:numId="8">
    <w:abstractNumId w:val="11"/>
  </w:num>
  <w:num w:numId="9">
    <w:abstractNumId w:val="3"/>
  </w:num>
  <w:num w:numId="10">
    <w:abstractNumId w:val="18"/>
  </w:num>
  <w:num w:numId="11">
    <w:abstractNumId w:val="10"/>
  </w:num>
  <w:num w:numId="12">
    <w:abstractNumId w:val="7"/>
  </w:num>
  <w:num w:numId="13">
    <w:abstractNumId w:val="6"/>
  </w:num>
  <w:num w:numId="14">
    <w:abstractNumId w:val="20"/>
  </w:num>
  <w:num w:numId="15">
    <w:abstractNumId w:val="17"/>
  </w:num>
  <w:num w:numId="16">
    <w:abstractNumId w:val="26"/>
  </w:num>
  <w:num w:numId="17">
    <w:abstractNumId w:val="15"/>
  </w:num>
  <w:num w:numId="18">
    <w:abstractNumId w:val="2"/>
  </w:num>
  <w:num w:numId="19">
    <w:abstractNumId w:val="12"/>
  </w:num>
  <w:num w:numId="20">
    <w:abstractNumId w:val="5"/>
  </w:num>
  <w:num w:numId="21">
    <w:abstractNumId w:val="25"/>
  </w:num>
  <w:num w:numId="22">
    <w:abstractNumId w:val="22"/>
  </w:num>
  <w:num w:numId="23">
    <w:abstractNumId w:val="13"/>
  </w:num>
  <w:num w:numId="24">
    <w:abstractNumId w:val="28"/>
  </w:num>
  <w:num w:numId="25">
    <w:abstractNumId w:val="1"/>
  </w:num>
  <w:num w:numId="26">
    <w:abstractNumId w:val="19"/>
  </w:num>
  <w:num w:numId="27">
    <w:abstractNumId w:val="9"/>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1F04"/>
    <w:rsid w:val="00002B96"/>
    <w:rsid w:val="000034DD"/>
    <w:rsid w:val="00004283"/>
    <w:rsid w:val="00011EBF"/>
    <w:rsid w:val="000124AF"/>
    <w:rsid w:val="000132C7"/>
    <w:rsid w:val="00013663"/>
    <w:rsid w:val="00015A47"/>
    <w:rsid w:val="0001758C"/>
    <w:rsid w:val="00021A5C"/>
    <w:rsid w:val="00026C40"/>
    <w:rsid w:val="00033CA0"/>
    <w:rsid w:val="00040743"/>
    <w:rsid w:val="00044394"/>
    <w:rsid w:val="00047A48"/>
    <w:rsid w:val="000509E0"/>
    <w:rsid w:val="00051F1D"/>
    <w:rsid w:val="00053C5B"/>
    <w:rsid w:val="0005481F"/>
    <w:rsid w:val="000561A4"/>
    <w:rsid w:val="000622B8"/>
    <w:rsid w:val="00066E4A"/>
    <w:rsid w:val="000674E4"/>
    <w:rsid w:val="00071F61"/>
    <w:rsid w:val="00085C13"/>
    <w:rsid w:val="0009142C"/>
    <w:rsid w:val="000A0AEB"/>
    <w:rsid w:val="000A1E89"/>
    <w:rsid w:val="000A3764"/>
    <w:rsid w:val="000A38EB"/>
    <w:rsid w:val="000B0093"/>
    <w:rsid w:val="000B1513"/>
    <w:rsid w:val="000B5051"/>
    <w:rsid w:val="000B5398"/>
    <w:rsid w:val="000B6C87"/>
    <w:rsid w:val="000B7699"/>
    <w:rsid w:val="000C132B"/>
    <w:rsid w:val="000C42E8"/>
    <w:rsid w:val="000C71C4"/>
    <w:rsid w:val="000C7A0A"/>
    <w:rsid w:val="000D043C"/>
    <w:rsid w:val="000D0E29"/>
    <w:rsid w:val="000D1296"/>
    <w:rsid w:val="000D74BB"/>
    <w:rsid w:val="000E0A4A"/>
    <w:rsid w:val="000E7D87"/>
    <w:rsid w:val="000F0B2A"/>
    <w:rsid w:val="000F2E62"/>
    <w:rsid w:val="00100272"/>
    <w:rsid w:val="00112FB9"/>
    <w:rsid w:val="00113EF9"/>
    <w:rsid w:val="00134E29"/>
    <w:rsid w:val="00142B1E"/>
    <w:rsid w:val="001465A4"/>
    <w:rsid w:val="00146A78"/>
    <w:rsid w:val="00146AF0"/>
    <w:rsid w:val="00147DBF"/>
    <w:rsid w:val="00152CC3"/>
    <w:rsid w:val="001542A2"/>
    <w:rsid w:val="00154D0A"/>
    <w:rsid w:val="0016519A"/>
    <w:rsid w:val="00170978"/>
    <w:rsid w:val="001722BA"/>
    <w:rsid w:val="0017259D"/>
    <w:rsid w:val="001735CA"/>
    <w:rsid w:val="00173CE8"/>
    <w:rsid w:val="00175BD5"/>
    <w:rsid w:val="00180640"/>
    <w:rsid w:val="00181C52"/>
    <w:rsid w:val="001878F9"/>
    <w:rsid w:val="00194F3D"/>
    <w:rsid w:val="00197015"/>
    <w:rsid w:val="001A1149"/>
    <w:rsid w:val="001A3DD9"/>
    <w:rsid w:val="001A7BD5"/>
    <w:rsid w:val="001B452C"/>
    <w:rsid w:val="001D0495"/>
    <w:rsid w:val="001D2432"/>
    <w:rsid w:val="001D4EE0"/>
    <w:rsid w:val="001D78A8"/>
    <w:rsid w:val="001F05A7"/>
    <w:rsid w:val="001F4109"/>
    <w:rsid w:val="001F58D6"/>
    <w:rsid w:val="001F7710"/>
    <w:rsid w:val="002000B2"/>
    <w:rsid w:val="002034F1"/>
    <w:rsid w:val="002216CD"/>
    <w:rsid w:val="00223773"/>
    <w:rsid w:val="00244398"/>
    <w:rsid w:val="00246636"/>
    <w:rsid w:val="00253388"/>
    <w:rsid w:val="00256E8D"/>
    <w:rsid w:val="002645DA"/>
    <w:rsid w:val="00266460"/>
    <w:rsid w:val="00272CDD"/>
    <w:rsid w:val="00277733"/>
    <w:rsid w:val="00283AAA"/>
    <w:rsid w:val="002900CC"/>
    <w:rsid w:val="0029113F"/>
    <w:rsid w:val="0029168A"/>
    <w:rsid w:val="0029223F"/>
    <w:rsid w:val="0029535A"/>
    <w:rsid w:val="002A0C04"/>
    <w:rsid w:val="002A61E8"/>
    <w:rsid w:val="002B04DB"/>
    <w:rsid w:val="002C4801"/>
    <w:rsid w:val="002C5A09"/>
    <w:rsid w:val="002C7822"/>
    <w:rsid w:val="002D143A"/>
    <w:rsid w:val="002D36AF"/>
    <w:rsid w:val="002D5E3A"/>
    <w:rsid w:val="002D7630"/>
    <w:rsid w:val="002D7B18"/>
    <w:rsid w:val="002E1042"/>
    <w:rsid w:val="002E55FE"/>
    <w:rsid w:val="002E7419"/>
    <w:rsid w:val="002F0B51"/>
    <w:rsid w:val="002F64CF"/>
    <w:rsid w:val="00301D4F"/>
    <w:rsid w:val="00305BCF"/>
    <w:rsid w:val="00310A80"/>
    <w:rsid w:val="00312CC6"/>
    <w:rsid w:val="003151A1"/>
    <w:rsid w:val="00316E2F"/>
    <w:rsid w:val="003259FB"/>
    <w:rsid w:val="00325A2C"/>
    <w:rsid w:val="00331885"/>
    <w:rsid w:val="00332FCC"/>
    <w:rsid w:val="00347F05"/>
    <w:rsid w:val="00354AD9"/>
    <w:rsid w:val="003570EB"/>
    <w:rsid w:val="0036097D"/>
    <w:rsid w:val="00367F16"/>
    <w:rsid w:val="00375BD0"/>
    <w:rsid w:val="00390654"/>
    <w:rsid w:val="003921D5"/>
    <w:rsid w:val="00393373"/>
    <w:rsid w:val="003974D6"/>
    <w:rsid w:val="003A0119"/>
    <w:rsid w:val="003A6EE4"/>
    <w:rsid w:val="003B5E96"/>
    <w:rsid w:val="003C01FB"/>
    <w:rsid w:val="003C1D4C"/>
    <w:rsid w:val="003C2002"/>
    <w:rsid w:val="003C323A"/>
    <w:rsid w:val="003C4298"/>
    <w:rsid w:val="003D0405"/>
    <w:rsid w:val="003D34BC"/>
    <w:rsid w:val="003E1D7B"/>
    <w:rsid w:val="003F7918"/>
    <w:rsid w:val="00403D18"/>
    <w:rsid w:val="00404812"/>
    <w:rsid w:val="004137A2"/>
    <w:rsid w:val="0041418E"/>
    <w:rsid w:val="004173F6"/>
    <w:rsid w:val="0042015A"/>
    <w:rsid w:val="004222F1"/>
    <w:rsid w:val="00422BDD"/>
    <w:rsid w:val="00423785"/>
    <w:rsid w:val="00423CAC"/>
    <w:rsid w:val="00425CD3"/>
    <w:rsid w:val="0043065D"/>
    <w:rsid w:val="00433B26"/>
    <w:rsid w:val="00433B66"/>
    <w:rsid w:val="00434370"/>
    <w:rsid w:val="004365A2"/>
    <w:rsid w:val="004431D6"/>
    <w:rsid w:val="0044730F"/>
    <w:rsid w:val="0045080E"/>
    <w:rsid w:val="0046130D"/>
    <w:rsid w:val="0046390A"/>
    <w:rsid w:val="004650CC"/>
    <w:rsid w:val="0046582A"/>
    <w:rsid w:val="00466DB5"/>
    <w:rsid w:val="00471255"/>
    <w:rsid w:val="004728A0"/>
    <w:rsid w:val="00474BE5"/>
    <w:rsid w:val="0047550F"/>
    <w:rsid w:val="004909BA"/>
    <w:rsid w:val="004909FD"/>
    <w:rsid w:val="00491701"/>
    <w:rsid w:val="004920B8"/>
    <w:rsid w:val="00493FB9"/>
    <w:rsid w:val="00496E1D"/>
    <w:rsid w:val="004A0643"/>
    <w:rsid w:val="004A2647"/>
    <w:rsid w:val="004A7DCB"/>
    <w:rsid w:val="004B5968"/>
    <w:rsid w:val="004C681B"/>
    <w:rsid w:val="004D3A88"/>
    <w:rsid w:val="004D415E"/>
    <w:rsid w:val="004D65A4"/>
    <w:rsid w:val="004D741B"/>
    <w:rsid w:val="004D7C69"/>
    <w:rsid w:val="004E2DA6"/>
    <w:rsid w:val="004E51B0"/>
    <w:rsid w:val="004E5289"/>
    <w:rsid w:val="004E7CEA"/>
    <w:rsid w:val="004F5467"/>
    <w:rsid w:val="00503F93"/>
    <w:rsid w:val="00506C68"/>
    <w:rsid w:val="0051755A"/>
    <w:rsid w:val="00523AF1"/>
    <w:rsid w:val="0053072C"/>
    <w:rsid w:val="00536689"/>
    <w:rsid w:val="00545CB6"/>
    <w:rsid w:val="005500A0"/>
    <w:rsid w:val="0055127F"/>
    <w:rsid w:val="00560102"/>
    <w:rsid w:val="00561847"/>
    <w:rsid w:val="00561AFB"/>
    <w:rsid w:val="00570B1A"/>
    <w:rsid w:val="00575258"/>
    <w:rsid w:val="00576631"/>
    <w:rsid w:val="00593C8E"/>
    <w:rsid w:val="00597F36"/>
    <w:rsid w:val="005A11DD"/>
    <w:rsid w:val="005A144B"/>
    <w:rsid w:val="005A29B0"/>
    <w:rsid w:val="005B24AC"/>
    <w:rsid w:val="005B4E74"/>
    <w:rsid w:val="005B5951"/>
    <w:rsid w:val="005C4926"/>
    <w:rsid w:val="005C49A7"/>
    <w:rsid w:val="005C5F8B"/>
    <w:rsid w:val="005E2E4D"/>
    <w:rsid w:val="005E3DC1"/>
    <w:rsid w:val="005F13A2"/>
    <w:rsid w:val="005F1B0E"/>
    <w:rsid w:val="00606CA7"/>
    <w:rsid w:val="006110F8"/>
    <w:rsid w:val="00614E29"/>
    <w:rsid w:val="006175DC"/>
    <w:rsid w:val="00620639"/>
    <w:rsid w:val="00627DBD"/>
    <w:rsid w:val="00630C76"/>
    <w:rsid w:val="00644B85"/>
    <w:rsid w:val="006477C1"/>
    <w:rsid w:val="006520CE"/>
    <w:rsid w:val="00655E8D"/>
    <w:rsid w:val="00660505"/>
    <w:rsid w:val="00662D45"/>
    <w:rsid w:val="006667F1"/>
    <w:rsid w:val="00673BC8"/>
    <w:rsid w:val="00674602"/>
    <w:rsid w:val="00676E7B"/>
    <w:rsid w:val="006835E0"/>
    <w:rsid w:val="00692228"/>
    <w:rsid w:val="006942E0"/>
    <w:rsid w:val="00694763"/>
    <w:rsid w:val="00694921"/>
    <w:rsid w:val="006A497E"/>
    <w:rsid w:val="006B4A26"/>
    <w:rsid w:val="006B7A95"/>
    <w:rsid w:val="006C1B99"/>
    <w:rsid w:val="006D16F0"/>
    <w:rsid w:val="006D290E"/>
    <w:rsid w:val="006D3921"/>
    <w:rsid w:val="006D4DDB"/>
    <w:rsid w:val="006E5796"/>
    <w:rsid w:val="006E6F40"/>
    <w:rsid w:val="006F0B0A"/>
    <w:rsid w:val="006F0DF5"/>
    <w:rsid w:val="006F5362"/>
    <w:rsid w:val="006F620F"/>
    <w:rsid w:val="00701091"/>
    <w:rsid w:val="00717524"/>
    <w:rsid w:val="0072064C"/>
    <w:rsid w:val="0072141F"/>
    <w:rsid w:val="00721F4E"/>
    <w:rsid w:val="0073367A"/>
    <w:rsid w:val="0073471D"/>
    <w:rsid w:val="00734F89"/>
    <w:rsid w:val="0074136F"/>
    <w:rsid w:val="007443B5"/>
    <w:rsid w:val="00744980"/>
    <w:rsid w:val="00745F2D"/>
    <w:rsid w:val="00747414"/>
    <w:rsid w:val="00752D7A"/>
    <w:rsid w:val="0075364D"/>
    <w:rsid w:val="00754821"/>
    <w:rsid w:val="007548C5"/>
    <w:rsid w:val="00756E4A"/>
    <w:rsid w:val="007640AF"/>
    <w:rsid w:val="00764868"/>
    <w:rsid w:val="00767C2A"/>
    <w:rsid w:val="00777A2D"/>
    <w:rsid w:val="00781C28"/>
    <w:rsid w:val="0078416F"/>
    <w:rsid w:val="00784922"/>
    <w:rsid w:val="00784B19"/>
    <w:rsid w:val="00797A6E"/>
    <w:rsid w:val="007A3269"/>
    <w:rsid w:val="007A5C66"/>
    <w:rsid w:val="007B070B"/>
    <w:rsid w:val="007B4E9E"/>
    <w:rsid w:val="007B760C"/>
    <w:rsid w:val="007C1B7C"/>
    <w:rsid w:val="007C7248"/>
    <w:rsid w:val="007D1B44"/>
    <w:rsid w:val="007D2115"/>
    <w:rsid w:val="007D7377"/>
    <w:rsid w:val="007E135B"/>
    <w:rsid w:val="007E260E"/>
    <w:rsid w:val="007E2DAB"/>
    <w:rsid w:val="007E4F9D"/>
    <w:rsid w:val="007F118F"/>
    <w:rsid w:val="007F1DFF"/>
    <w:rsid w:val="00800443"/>
    <w:rsid w:val="00801E64"/>
    <w:rsid w:val="00815DEA"/>
    <w:rsid w:val="008170A6"/>
    <w:rsid w:val="00821252"/>
    <w:rsid w:val="00824684"/>
    <w:rsid w:val="008256E0"/>
    <w:rsid w:val="00827E50"/>
    <w:rsid w:val="00833FF4"/>
    <w:rsid w:val="00837306"/>
    <w:rsid w:val="0084174A"/>
    <w:rsid w:val="00846E08"/>
    <w:rsid w:val="00856BDC"/>
    <w:rsid w:val="00861B8A"/>
    <w:rsid w:val="0086245D"/>
    <w:rsid w:val="008629DB"/>
    <w:rsid w:val="00863160"/>
    <w:rsid w:val="00865A6D"/>
    <w:rsid w:val="0087579B"/>
    <w:rsid w:val="00880C61"/>
    <w:rsid w:val="00891DF6"/>
    <w:rsid w:val="00897826"/>
    <w:rsid w:val="008A40B6"/>
    <w:rsid w:val="008A6051"/>
    <w:rsid w:val="008A7CBE"/>
    <w:rsid w:val="008B3DA5"/>
    <w:rsid w:val="008B6501"/>
    <w:rsid w:val="008C061B"/>
    <w:rsid w:val="008C2C65"/>
    <w:rsid w:val="008D1770"/>
    <w:rsid w:val="008D307A"/>
    <w:rsid w:val="008D5356"/>
    <w:rsid w:val="008E2C79"/>
    <w:rsid w:val="008E4690"/>
    <w:rsid w:val="008E521F"/>
    <w:rsid w:val="008F1333"/>
    <w:rsid w:val="009003C4"/>
    <w:rsid w:val="0091111E"/>
    <w:rsid w:val="00915139"/>
    <w:rsid w:val="00915D58"/>
    <w:rsid w:val="0092227B"/>
    <w:rsid w:val="0093258B"/>
    <w:rsid w:val="00932721"/>
    <w:rsid w:val="009402D5"/>
    <w:rsid w:val="009428BB"/>
    <w:rsid w:val="00945B1A"/>
    <w:rsid w:val="0094668F"/>
    <w:rsid w:val="00950FFA"/>
    <w:rsid w:val="0095479C"/>
    <w:rsid w:val="00970E25"/>
    <w:rsid w:val="00971975"/>
    <w:rsid w:val="00975431"/>
    <w:rsid w:val="00977F66"/>
    <w:rsid w:val="009A005C"/>
    <w:rsid w:val="009A101B"/>
    <w:rsid w:val="009A2265"/>
    <w:rsid w:val="009A26FC"/>
    <w:rsid w:val="009A5BEE"/>
    <w:rsid w:val="009B570F"/>
    <w:rsid w:val="009D1D3B"/>
    <w:rsid w:val="009D2712"/>
    <w:rsid w:val="009D55D6"/>
    <w:rsid w:val="009D5996"/>
    <w:rsid w:val="009D603C"/>
    <w:rsid w:val="009D604F"/>
    <w:rsid w:val="009D7590"/>
    <w:rsid w:val="009E130C"/>
    <w:rsid w:val="009F425A"/>
    <w:rsid w:val="00A02166"/>
    <w:rsid w:val="00A026F5"/>
    <w:rsid w:val="00A027A6"/>
    <w:rsid w:val="00A16348"/>
    <w:rsid w:val="00A16ADC"/>
    <w:rsid w:val="00A20994"/>
    <w:rsid w:val="00A25D44"/>
    <w:rsid w:val="00A31E0E"/>
    <w:rsid w:val="00A331DF"/>
    <w:rsid w:val="00A34829"/>
    <w:rsid w:val="00A43131"/>
    <w:rsid w:val="00A54559"/>
    <w:rsid w:val="00A84233"/>
    <w:rsid w:val="00A92676"/>
    <w:rsid w:val="00A96418"/>
    <w:rsid w:val="00A97D95"/>
    <w:rsid w:val="00AA38EF"/>
    <w:rsid w:val="00AA5592"/>
    <w:rsid w:val="00AA5AD0"/>
    <w:rsid w:val="00AB4F98"/>
    <w:rsid w:val="00AB6811"/>
    <w:rsid w:val="00AB7057"/>
    <w:rsid w:val="00AC1B39"/>
    <w:rsid w:val="00AC3288"/>
    <w:rsid w:val="00AC7315"/>
    <w:rsid w:val="00AD0A1F"/>
    <w:rsid w:val="00AD1382"/>
    <w:rsid w:val="00AD3FD8"/>
    <w:rsid w:val="00AD53B9"/>
    <w:rsid w:val="00AE0947"/>
    <w:rsid w:val="00AE719C"/>
    <w:rsid w:val="00AF1482"/>
    <w:rsid w:val="00AF61CF"/>
    <w:rsid w:val="00B0144B"/>
    <w:rsid w:val="00B11FCA"/>
    <w:rsid w:val="00B1491E"/>
    <w:rsid w:val="00B16C76"/>
    <w:rsid w:val="00B174B9"/>
    <w:rsid w:val="00B2562A"/>
    <w:rsid w:val="00B31EF9"/>
    <w:rsid w:val="00B32660"/>
    <w:rsid w:val="00B35931"/>
    <w:rsid w:val="00B41459"/>
    <w:rsid w:val="00B46ABB"/>
    <w:rsid w:val="00B50AE3"/>
    <w:rsid w:val="00B532EE"/>
    <w:rsid w:val="00B54D83"/>
    <w:rsid w:val="00B75815"/>
    <w:rsid w:val="00B80C04"/>
    <w:rsid w:val="00B83090"/>
    <w:rsid w:val="00B84EE4"/>
    <w:rsid w:val="00B90BC9"/>
    <w:rsid w:val="00BA29B7"/>
    <w:rsid w:val="00BA481A"/>
    <w:rsid w:val="00BA5648"/>
    <w:rsid w:val="00BB2811"/>
    <w:rsid w:val="00BB4C26"/>
    <w:rsid w:val="00BC0427"/>
    <w:rsid w:val="00BC1463"/>
    <w:rsid w:val="00BC6863"/>
    <w:rsid w:val="00BC781D"/>
    <w:rsid w:val="00BD0B05"/>
    <w:rsid w:val="00BD1954"/>
    <w:rsid w:val="00BD2E82"/>
    <w:rsid w:val="00BD7D19"/>
    <w:rsid w:val="00BE75A2"/>
    <w:rsid w:val="00BF1C1A"/>
    <w:rsid w:val="00BF1DF5"/>
    <w:rsid w:val="00C00ED3"/>
    <w:rsid w:val="00C06379"/>
    <w:rsid w:val="00C070FD"/>
    <w:rsid w:val="00C103A2"/>
    <w:rsid w:val="00C12CFD"/>
    <w:rsid w:val="00C14AF4"/>
    <w:rsid w:val="00C16256"/>
    <w:rsid w:val="00C16504"/>
    <w:rsid w:val="00C16825"/>
    <w:rsid w:val="00C20147"/>
    <w:rsid w:val="00C2489F"/>
    <w:rsid w:val="00C25464"/>
    <w:rsid w:val="00C30900"/>
    <w:rsid w:val="00C42698"/>
    <w:rsid w:val="00C46C0A"/>
    <w:rsid w:val="00C57954"/>
    <w:rsid w:val="00C57AC0"/>
    <w:rsid w:val="00C63547"/>
    <w:rsid w:val="00C63608"/>
    <w:rsid w:val="00C63CF6"/>
    <w:rsid w:val="00C663C3"/>
    <w:rsid w:val="00C6704F"/>
    <w:rsid w:val="00C67EE5"/>
    <w:rsid w:val="00C80F67"/>
    <w:rsid w:val="00C84FEF"/>
    <w:rsid w:val="00C8758A"/>
    <w:rsid w:val="00C90384"/>
    <w:rsid w:val="00C90F2F"/>
    <w:rsid w:val="00C967C1"/>
    <w:rsid w:val="00CC3A9C"/>
    <w:rsid w:val="00CE4768"/>
    <w:rsid w:val="00CE6087"/>
    <w:rsid w:val="00CE6848"/>
    <w:rsid w:val="00CF23CD"/>
    <w:rsid w:val="00CF3D76"/>
    <w:rsid w:val="00D04179"/>
    <w:rsid w:val="00D06155"/>
    <w:rsid w:val="00D07F39"/>
    <w:rsid w:val="00D17940"/>
    <w:rsid w:val="00D17EE2"/>
    <w:rsid w:val="00D216D4"/>
    <w:rsid w:val="00D3010E"/>
    <w:rsid w:val="00D42B22"/>
    <w:rsid w:val="00D457EF"/>
    <w:rsid w:val="00D50750"/>
    <w:rsid w:val="00D50975"/>
    <w:rsid w:val="00D56321"/>
    <w:rsid w:val="00D67AF6"/>
    <w:rsid w:val="00D7098F"/>
    <w:rsid w:val="00D72118"/>
    <w:rsid w:val="00D75D0E"/>
    <w:rsid w:val="00D81BFA"/>
    <w:rsid w:val="00D9022A"/>
    <w:rsid w:val="00D95CAB"/>
    <w:rsid w:val="00DA2634"/>
    <w:rsid w:val="00DB0090"/>
    <w:rsid w:val="00DB3538"/>
    <w:rsid w:val="00DB47C3"/>
    <w:rsid w:val="00DB5A5E"/>
    <w:rsid w:val="00DC360B"/>
    <w:rsid w:val="00DC4BFA"/>
    <w:rsid w:val="00DC5239"/>
    <w:rsid w:val="00DC7129"/>
    <w:rsid w:val="00DD06EB"/>
    <w:rsid w:val="00DD7123"/>
    <w:rsid w:val="00DE0B7E"/>
    <w:rsid w:val="00DE1329"/>
    <w:rsid w:val="00DE2A24"/>
    <w:rsid w:val="00DE42B9"/>
    <w:rsid w:val="00DE53E3"/>
    <w:rsid w:val="00DF1413"/>
    <w:rsid w:val="00DF61F4"/>
    <w:rsid w:val="00DF776C"/>
    <w:rsid w:val="00E006D9"/>
    <w:rsid w:val="00E036F0"/>
    <w:rsid w:val="00E05CE7"/>
    <w:rsid w:val="00E11299"/>
    <w:rsid w:val="00E25210"/>
    <w:rsid w:val="00E30A99"/>
    <w:rsid w:val="00E30D99"/>
    <w:rsid w:val="00E311EC"/>
    <w:rsid w:val="00E326E6"/>
    <w:rsid w:val="00E32CD5"/>
    <w:rsid w:val="00E35CB2"/>
    <w:rsid w:val="00E409D3"/>
    <w:rsid w:val="00E4145D"/>
    <w:rsid w:val="00E44906"/>
    <w:rsid w:val="00E45FCF"/>
    <w:rsid w:val="00E53DFB"/>
    <w:rsid w:val="00E62ED1"/>
    <w:rsid w:val="00E6361B"/>
    <w:rsid w:val="00E636AE"/>
    <w:rsid w:val="00E63E39"/>
    <w:rsid w:val="00E64832"/>
    <w:rsid w:val="00E7050A"/>
    <w:rsid w:val="00E7276C"/>
    <w:rsid w:val="00E7510E"/>
    <w:rsid w:val="00E85A7E"/>
    <w:rsid w:val="00E85B0E"/>
    <w:rsid w:val="00E85F3D"/>
    <w:rsid w:val="00E90E81"/>
    <w:rsid w:val="00E97AE9"/>
    <w:rsid w:val="00EA65AA"/>
    <w:rsid w:val="00EB6019"/>
    <w:rsid w:val="00EC159D"/>
    <w:rsid w:val="00EC4DE4"/>
    <w:rsid w:val="00ED27EB"/>
    <w:rsid w:val="00ED3C4B"/>
    <w:rsid w:val="00ED68B3"/>
    <w:rsid w:val="00EE2438"/>
    <w:rsid w:val="00EE2485"/>
    <w:rsid w:val="00EE3003"/>
    <w:rsid w:val="00EE6503"/>
    <w:rsid w:val="00EF11F9"/>
    <w:rsid w:val="00EF1424"/>
    <w:rsid w:val="00EF1D69"/>
    <w:rsid w:val="00EF5930"/>
    <w:rsid w:val="00EF7278"/>
    <w:rsid w:val="00F0092F"/>
    <w:rsid w:val="00F01F48"/>
    <w:rsid w:val="00F0322F"/>
    <w:rsid w:val="00F04406"/>
    <w:rsid w:val="00F1216A"/>
    <w:rsid w:val="00F13697"/>
    <w:rsid w:val="00F21174"/>
    <w:rsid w:val="00F21D26"/>
    <w:rsid w:val="00F21FBE"/>
    <w:rsid w:val="00F31131"/>
    <w:rsid w:val="00F3794F"/>
    <w:rsid w:val="00F406AB"/>
    <w:rsid w:val="00F4087E"/>
    <w:rsid w:val="00F42BAA"/>
    <w:rsid w:val="00F43999"/>
    <w:rsid w:val="00F44929"/>
    <w:rsid w:val="00F4585F"/>
    <w:rsid w:val="00F56FA3"/>
    <w:rsid w:val="00F61F64"/>
    <w:rsid w:val="00F6505E"/>
    <w:rsid w:val="00F664BF"/>
    <w:rsid w:val="00F67BD9"/>
    <w:rsid w:val="00F71C4F"/>
    <w:rsid w:val="00F7249A"/>
    <w:rsid w:val="00F75863"/>
    <w:rsid w:val="00F77D17"/>
    <w:rsid w:val="00F8178A"/>
    <w:rsid w:val="00F82853"/>
    <w:rsid w:val="00F83A82"/>
    <w:rsid w:val="00F84CAC"/>
    <w:rsid w:val="00F90F65"/>
    <w:rsid w:val="00FA2C0C"/>
    <w:rsid w:val="00FA31D1"/>
    <w:rsid w:val="00FA3EB7"/>
    <w:rsid w:val="00FA7D0D"/>
    <w:rsid w:val="00FB0367"/>
    <w:rsid w:val="00FB0DA6"/>
    <w:rsid w:val="00FD6995"/>
    <w:rsid w:val="00FD7326"/>
    <w:rsid w:val="00FF0347"/>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AA"/>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3C323A"/>
    <w:pPr>
      <w:numPr>
        <w:numId w:val="22"/>
      </w:numPr>
      <w:tabs>
        <w:tab w:val="left" w:pos="0"/>
      </w:tabs>
      <w:spacing w:after="0" w:line="240" w:lineRule="auto"/>
      <w:ind w:left="393"/>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3A0119"/>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767C2A"/>
    <w:pPr>
      <w:suppressAutoHyphens/>
      <w:spacing w:after="0" w:line="240" w:lineRule="auto"/>
      <w:ind w:left="871" w:hanging="151"/>
      <w:jc w:val="both"/>
    </w:pPr>
    <w:rPr>
      <w:rFonts w:eastAsia="Calibri" w:cstheme="minorHAns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082F459DCA8E47ADDEDBCA389C2CC3" ma:contentTypeVersion="7" ma:contentTypeDescription="Create a new document." ma:contentTypeScope="" ma:versionID="65a02cad02c0a5f092a3d030e4259870">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IsDocumentTagged xmlns="32c064bd-4c64-4320-b7de-a92df0e05481" xsi:nil="true"/>
  </documentManagement>
</p:properties>
</file>

<file path=customXml/itemProps1.xml><?xml version="1.0" encoding="utf-8"?>
<ds:datastoreItem xmlns:ds="http://schemas.openxmlformats.org/officeDocument/2006/customXml" ds:itemID="{E3AD052A-F4D4-40AA-A058-A45AAE7D3ABA}">
  <ds:schemaRefs>
    <ds:schemaRef ds:uri="http://schemas.openxmlformats.org/officeDocument/2006/bibliography"/>
  </ds:schemaRefs>
</ds:datastoreItem>
</file>

<file path=customXml/itemProps2.xml><?xml version="1.0" encoding="utf-8"?>
<ds:datastoreItem xmlns:ds="http://schemas.openxmlformats.org/officeDocument/2006/customXml" ds:itemID="{1A41EBDB-D8B4-4442-B1D4-A783D16552AF}"/>
</file>

<file path=customXml/itemProps3.xml><?xml version="1.0" encoding="utf-8"?>
<ds:datastoreItem xmlns:ds="http://schemas.openxmlformats.org/officeDocument/2006/customXml" ds:itemID="{FD6CBEAB-9B9F-456A-A987-D77BAC769F4D}"/>
</file>

<file path=customXml/itemProps4.xml><?xml version="1.0" encoding="utf-8"?>
<ds:datastoreItem xmlns:ds="http://schemas.openxmlformats.org/officeDocument/2006/customXml" ds:itemID="{9E293B99-AF84-40B7-AAAF-93A8034FA134}"/>
</file>

<file path=docProps/app.xml><?xml version="1.0" encoding="utf-8"?>
<Properties xmlns="http://schemas.openxmlformats.org/officeDocument/2006/extended-properties" xmlns:vt="http://schemas.openxmlformats.org/officeDocument/2006/docPropsVTypes">
  <Template>Normal</Template>
  <TotalTime>6</TotalTime>
  <Pages>8</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Haroub</cp:lastModifiedBy>
  <cp:revision>5</cp:revision>
  <cp:lastPrinted>2019-07-01T18:07:00Z</cp:lastPrinted>
  <dcterms:created xsi:type="dcterms:W3CDTF">2019-11-22T07:42:00Z</dcterms:created>
  <dcterms:modified xsi:type="dcterms:W3CDTF">2019-11-26T07:13:00Z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0x010100F2082F459DCA8E47ADDEDBCA389C2CC3</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PRC0004120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P171160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APR:3.0,APR:4.0,APR:8.0</vt:lpwstr>
  </property>
  <property fmtid="{D5CDD505-2E9C-101B-9397-08002B2CF9AE}" pid="13" name="DisclosedVersion">
    <vt:lpwstr>APR:5.0,APR:9.0</vt:lpwstr>
  </property>
</Properties>
</file>