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F" w:rsidRDefault="00B71C8D" w:rsidP="004819F1">
      <w:pPr>
        <w:autoSpaceDE w:val="0"/>
        <w:autoSpaceDN w:val="0"/>
        <w:adjustRightInd w:val="0"/>
        <w:spacing w:line="240" w:lineRule="atLeast"/>
        <w:jc w:val="center"/>
        <w:rPr>
          <w:color w:val="000000"/>
          <w:sz w:val="28"/>
          <w:szCs w:val="28"/>
          <w:lang w:val="fr-FR"/>
        </w:rPr>
      </w:pPr>
      <w:r w:rsidRPr="00857EF9">
        <w:rPr>
          <w:color w:val="000000"/>
          <w:sz w:val="28"/>
          <w:szCs w:val="28"/>
          <w:lang w:val="fr-FR"/>
        </w:rPr>
        <w:t xml:space="preserve">Document de </w:t>
      </w:r>
    </w:p>
    <w:p w:rsidR="00B71C8D" w:rsidRPr="00857EF9" w:rsidRDefault="00B71C8D" w:rsidP="004819F1">
      <w:pPr>
        <w:autoSpaceDE w:val="0"/>
        <w:autoSpaceDN w:val="0"/>
        <w:adjustRightInd w:val="0"/>
        <w:spacing w:line="240" w:lineRule="atLeast"/>
        <w:jc w:val="center"/>
        <w:rPr>
          <w:color w:val="000000"/>
          <w:sz w:val="28"/>
          <w:szCs w:val="28"/>
          <w:lang w:val="fr-FR"/>
        </w:rPr>
      </w:pPr>
      <w:proofErr w:type="gramStart"/>
      <w:r w:rsidRPr="00857EF9">
        <w:rPr>
          <w:color w:val="000000"/>
          <w:sz w:val="28"/>
          <w:szCs w:val="28"/>
          <w:lang w:val="fr-FR"/>
        </w:rPr>
        <w:t>la</w:t>
      </w:r>
      <w:proofErr w:type="gramEnd"/>
      <w:r w:rsidRPr="00857EF9">
        <w:rPr>
          <w:color w:val="000000"/>
          <w:sz w:val="28"/>
          <w:szCs w:val="28"/>
          <w:lang w:val="fr-FR"/>
        </w:rPr>
        <w:t xml:space="preserve"> Banque mondiale</w:t>
      </w:r>
    </w:p>
    <w:p w:rsidR="00B71C8D" w:rsidRPr="00857EF9" w:rsidRDefault="00B71C8D" w:rsidP="00B71C8D">
      <w:pPr>
        <w:autoSpaceDE w:val="0"/>
        <w:autoSpaceDN w:val="0"/>
        <w:adjustRightInd w:val="0"/>
        <w:spacing w:line="240" w:lineRule="atLeast"/>
        <w:rPr>
          <w:color w:val="000000"/>
          <w:sz w:val="28"/>
          <w:szCs w:val="28"/>
          <w:lang w:val="fr-FR"/>
        </w:rPr>
      </w:pPr>
    </w:p>
    <w:p w:rsidR="00B71C8D" w:rsidRPr="00857EF9" w:rsidRDefault="00B71C8D" w:rsidP="00B71C8D">
      <w:pPr>
        <w:autoSpaceDE w:val="0"/>
        <w:autoSpaceDN w:val="0"/>
        <w:adjustRightInd w:val="0"/>
        <w:spacing w:line="240" w:lineRule="atLeast"/>
        <w:jc w:val="center"/>
        <w:rPr>
          <w:color w:val="000000"/>
          <w:sz w:val="28"/>
          <w:szCs w:val="28"/>
          <w:lang w:val="fr-FR"/>
        </w:rPr>
      </w:pPr>
      <w:r w:rsidRPr="00857EF9">
        <w:rPr>
          <w:color w:val="000000"/>
          <w:sz w:val="28"/>
          <w:szCs w:val="28"/>
          <w:lang w:val="fr-FR"/>
        </w:rPr>
        <w:t>RÉSERVÉ À L’USAGE OFFICIEL</w:t>
      </w:r>
    </w:p>
    <w:p w:rsidR="00B71C8D" w:rsidRPr="00857EF9" w:rsidRDefault="00B71C8D" w:rsidP="00B71C8D">
      <w:pPr>
        <w:autoSpaceDE w:val="0"/>
        <w:autoSpaceDN w:val="0"/>
        <w:adjustRightInd w:val="0"/>
        <w:spacing w:line="240" w:lineRule="atLeast"/>
        <w:rPr>
          <w:color w:val="000000"/>
          <w:sz w:val="28"/>
          <w:szCs w:val="28"/>
          <w:lang w:val="fr-FR"/>
        </w:rPr>
      </w:pPr>
    </w:p>
    <w:p w:rsidR="00B71C8D" w:rsidRPr="00857EF9" w:rsidRDefault="00B71C8D" w:rsidP="00B71C8D">
      <w:pPr>
        <w:autoSpaceDE w:val="0"/>
        <w:autoSpaceDN w:val="0"/>
        <w:adjustRightInd w:val="0"/>
        <w:spacing w:line="240" w:lineRule="atLeast"/>
        <w:jc w:val="right"/>
        <w:rPr>
          <w:color w:val="000000"/>
          <w:sz w:val="22"/>
          <w:szCs w:val="22"/>
          <w:lang w:val="fr-FR"/>
        </w:rPr>
      </w:pPr>
      <w:r w:rsidRPr="00857EF9">
        <w:rPr>
          <w:color w:val="000000"/>
          <w:sz w:val="22"/>
          <w:szCs w:val="22"/>
          <w:lang w:val="fr-FR"/>
        </w:rPr>
        <w:t>Rapport n°: 76790-HT</w:t>
      </w: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jc w:val="center"/>
        <w:rPr>
          <w:color w:val="000000"/>
          <w:szCs w:val="22"/>
          <w:lang w:val="fr-FR"/>
        </w:rPr>
      </w:pPr>
    </w:p>
    <w:p w:rsidR="00A3792F" w:rsidRDefault="00B71C8D" w:rsidP="00A3792F">
      <w:pPr>
        <w:autoSpaceDE w:val="0"/>
        <w:autoSpaceDN w:val="0"/>
        <w:adjustRightInd w:val="0"/>
        <w:spacing w:line="240" w:lineRule="atLeast"/>
        <w:jc w:val="center"/>
        <w:rPr>
          <w:caps/>
          <w:color w:val="000000"/>
          <w:szCs w:val="22"/>
          <w:lang w:val="fr-FR"/>
        </w:rPr>
      </w:pPr>
      <w:r w:rsidRPr="00857EF9">
        <w:rPr>
          <w:caps/>
          <w:color w:val="000000"/>
          <w:szCs w:val="22"/>
          <w:lang w:val="fr-FR"/>
        </w:rPr>
        <w:t>DOCUMENT D’ÉVALUATION DE PROJET CONCERNANT</w:t>
      </w:r>
    </w:p>
    <w:p w:rsidR="00A3792F" w:rsidRDefault="00A3792F" w:rsidP="00A3792F">
      <w:pPr>
        <w:autoSpaceDE w:val="0"/>
        <w:autoSpaceDN w:val="0"/>
        <w:adjustRightInd w:val="0"/>
        <w:spacing w:line="240" w:lineRule="atLeast"/>
        <w:jc w:val="center"/>
        <w:rPr>
          <w:caps/>
          <w:color w:val="000000"/>
          <w:szCs w:val="22"/>
          <w:lang w:val="fr-FR"/>
        </w:rPr>
      </w:pPr>
    </w:p>
    <w:p w:rsidR="00B71C8D" w:rsidRDefault="00B71C8D" w:rsidP="00A3792F">
      <w:pPr>
        <w:autoSpaceDE w:val="0"/>
        <w:autoSpaceDN w:val="0"/>
        <w:adjustRightInd w:val="0"/>
        <w:spacing w:line="240" w:lineRule="atLeast"/>
        <w:jc w:val="center"/>
        <w:rPr>
          <w:caps/>
          <w:color w:val="000000"/>
          <w:szCs w:val="22"/>
          <w:lang w:val="fr-FR"/>
        </w:rPr>
      </w:pPr>
      <w:r w:rsidRPr="00857EF9">
        <w:rPr>
          <w:caps/>
          <w:color w:val="000000"/>
          <w:szCs w:val="22"/>
          <w:lang w:val="fr-FR"/>
        </w:rPr>
        <w:t xml:space="preserve"> UNE PROPOSITION DE DON</w:t>
      </w:r>
    </w:p>
    <w:p w:rsidR="00A3792F" w:rsidRPr="00857EF9" w:rsidRDefault="00A3792F" w:rsidP="004819F1">
      <w:pPr>
        <w:autoSpaceDE w:val="0"/>
        <w:autoSpaceDN w:val="0"/>
        <w:adjustRightInd w:val="0"/>
        <w:spacing w:line="240" w:lineRule="atLeast"/>
        <w:jc w:val="center"/>
        <w:rPr>
          <w:caps/>
          <w:color w:val="000000"/>
          <w:szCs w:val="22"/>
          <w:lang w:val="fr-FR"/>
        </w:rPr>
      </w:pPr>
    </w:p>
    <w:p w:rsidR="00B71C8D" w:rsidRPr="00857EF9" w:rsidRDefault="00B71C8D" w:rsidP="00B71C8D">
      <w:pPr>
        <w:autoSpaceDE w:val="0"/>
        <w:autoSpaceDN w:val="0"/>
        <w:adjustRightInd w:val="0"/>
        <w:spacing w:line="240" w:lineRule="atLeast"/>
        <w:jc w:val="center"/>
        <w:rPr>
          <w:caps/>
          <w:color w:val="000000"/>
          <w:szCs w:val="22"/>
          <w:lang w:val="fr-FR"/>
        </w:rPr>
      </w:pPr>
    </w:p>
    <w:p w:rsidR="00B71C8D" w:rsidRPr="00857EF9" w:rsidRDefault="00B71C8D" w:rsidP="00B71C8D">
      <w:pPr>
        <w:autoSpaceDE w:val="0"/>
        <w:autoSpaceDN w:val="0"/>
        <w:adjustRightInd w:val="0"/>
        <w:spacing w:line="240" w:lineRule="atLeast"/>
        <w:jc w:val="center"/>
        <w:rPr>
          <w:caps/>
          <w:color w:val="000000"/>
          <w:szCs w:val="22"/>
          <w:lang w:val="fr-FR"/>
        </w:rPr>
      </w:pPr>
      <w:r w:rsidRPr="00857EF9">
        <w:rPr>
          <w:caps/>
          <w:color w:val="000000"/>
          <w:szCs w:val="22"/>
          <w:lang w:val="fr-FR"/>
        </w:rPr>
        <w:t>D'UN MONTANT DE 13,4 MILLIONS DE DTS</w:t>
      </w:r>
    </w:p>
    <w:p w:rsidR="00B71C8D" w:rsidRPr="00857EF9" w:rsidRDefault="00B71C8D" w:rsidP="00B71C8D">
      <w:pPr>
        <w:autoSpaceDE w:val="0"/>
        <w:autoSpaceDN w:val="0"/>
        <w:adjustRightInd w:val="0"/>
        <w:spacing w:line="240" w:lineRule="atLeast"/>
        <w:jc w:val="center"/>
        <w:rPr>
          <w:caps/>
          <w:color w:val="000000"/>
          <w:szCs w:val="22"/>
          <w:lang w:val="fr-FR"/>
        </w:rPr>
      </w:pPr>
      <w:r w:rsidRPr="00857EF9">
        <w:rPr>
          <w:caps/>
          <w:color w:val="000000"/>
          <w:szCs w:val="22"/>
          <w:lang w:val="fr-FR"/>
        </w:rPr>
        <w:t>(SOIT 20 MILLIONS DE DOLLARS)</w:t>
      </w:r>
    </w:p>
    <w:p w:rsidR="00B71C8D" w:rsidRPr="00857EF9" w:rsidRDefault="00B71C8D" w:rsidP="00B71C8D">
      <w:pPr>
        <w:autoSpaceDE w:val="0"/>
        <w:autoSpaceDN w:val="0"/>
        <w:adjustRightInd w:val="0"/>
        <w:spacing w:line="240" w:lineRule="atLeast"/>
        <w:jc w:val="center"/>
        <w:rPr>
          <w:caps/>
          <w:color w:val="000000"/>
          <w:szCs w:val="22"/>
          <w:lang w:val="fr-FR"/>
        </w:rPr>
      </w:pPr>
    </w:p>
    <w:p w:rsidR="00B71C8D" w:rsidRPr="00857EF9" w:rsidRDefault="00B71C8D" w:rsidP="004819F1">
      <w:pPr>
        <w:autoSpaceDE w:val="0"/>
        <w:autoSpaceDN w:val="0"/>
        <w:adjustRightInd w:val="0"/>
        <w:spacing w:line="240" w:lineRule="atLeast"/>
        <w:jc w:val="center"/>
        <w:rPr>
          <w:caps/>
          <w:color w:val="000000"/>
          <w:szCs w:val="22"/>
          <w:lang w:val="fr-FR"/>
        </w:rPr>
      </w:pPr>
      <w:r w:rsidRPr="00857EF9">
        <w:rPr>
          <w:caps/>
          <w:color w:val="000000"/>
          <w:szCs w:val="22"/>
          <w:lang w:val="fr-FR"/>
        </w:rPr>
        <w:t xml:space="preserve">À LA RÉPUBLIQUE </w:t>
      </w:r>
      <w:r w:rsidR="005A4E53" w:rsidRPr="00857EF9">
        <w:rPr>
          <w:caps/>
          <w:color w:val="000000"/>
          <w:szCs w:val="22"/>
          <w:lang w:val="fr-FR"/>
        </w:rPr>
        <w:t>D’HAÏTI</w:t>
      </w:r>
    </w:p>
    <w:p w:rsidR="00B71C8D" w:rsidRPr="00857EF9" w:rsidRDefault="00B71C8D" w:rsidP="00B71C8D">
      <w:pPr>
        <w:autoSpaceDE w:val="0"/>
        <w:autoSpaceDN w:val="0"/>
        <w:adjustRightInd w:val="0"/>
        <w:spacing w:line="240" w:lineRule="atLeast"/>
        <w:jc w:val="center"/>
        <w:rPr>
          <w:caps/>
          <w:color w:val="000000"/>
          <w:szCs w:val="22"/>
          <w:lang w:val="fr-FR"/>
        </w:rPr>
      </w:pPr>
    </w:p>
    <w:p w:rsidR="00A3792F" w:rsidRDefault="00B71C8D" w:rsidP="004819F1">
      <w:pPr>
        <w:autoSpaceDE w:val="0"/>
        <w:autoSpaceDN w:val="0"/>
        <w:adjustRightInd w:val="0"/>
        <w:spacing w:line="240" w:lineRule="atLeast"/>
        <w:jc w:val="center"/>
        <w:rPr>
          <w:caps/>
          <w:color w:val="000000"/>
          <w:szCs w:val="22"/>
          <w:lang w:val="fr-FR"/>
        </w:rPr>
      </w:pPr>
      <w:r w:rsidRPr="00857EF9">
        <w:rPr>
          <w:caps/>
          <w:color w:val="000000"/>
          <w:szCs w:val="22"/>
          <w:lang w:val="fr-FR"/>
        </w:rPr>
        <w:t>POUR UN</w:t>
      </w:r>
    </w:p>
    <w:p w:rsidR="00A3792F" w:rsidRDefault="00A3792F" w:rsidP="004819F1">
      <w:pPr>
        <w:autoSpaceDE w:val="0"/>
        <w:autoSpaceDN w:val="0"/>
        <w:adjustRightInd w:val="0"/>
        <w:spacing w:line="240" w:lineRule="atLeast"/>
        <w:jc w:val="center"/>
        <w:rPr>
          <w:caps/>
          <w:color w:val="000000"/>
          <w:szCs w:val="22"/>
          <w:lang w:val="fr-FR"/>
        </w:rPr>
      </w:pPr>
    </w:p>
    <w:p w:rsidR="00B71C8D" w:rsidRPr="00857EF9" w:rsidRDefault="00B71C8D" w:rsidP="004819F1">
      <w:pPr>
        <w:autoSpaceDE w:val="0"/>
        <w:autoSpaceDN w:val="0"/>
        <w:adjustRightInd w:val="0"/>
        <w:spacing w:line="240" w:lineRule="atLeast"/>
        <w:jc w:val="center"/>
        <w:rPr>
          <w:caps/>
          <w:color w:val="000000"/>
          <w:szCs w:val="22"/>
          <w:lang w:val="fr-FR"/>
        </w:rPr>
      </w:pPr>
      <w:r w:rsidRPr="00857EF9">
        <w:rPr>
          <w:caps/>
          <w:color w:val="000000"/>
          <w:szCs w:val="22"/>
          <w:lang w:val="fr-FR"/>
        </w:rPr>
        <w:t xml:space="preserve"> </w:t>
      </w:r>
      <w:r w:rsidRPr="00857EF9">
        <w:rPr>
          <w:lang w:val="fr-FR"/>
        </w:rPr>
        <w:t xml:space="preserve">PROJET DE DÉVELOPPEMENT DES </w:t>
      </w:r>
      <w:r w:rsidR="00A3792F" w:rsidRPr="00980D59">
        <w:rPr>
          <w:lang w:val="fr-FR"/>
        </w:rPr>
        <w:t>AFFAIRES</w:t>
      </w:r>
      <w:r w:rsidRPr="00857EF9">
        <w:rPr>
          <w:lang w:val="fr-FR"/>
        </w:rPr>
        <w:t xml:space="preserve"> ET DES INVESTISSEMENTS</w:t>
      </w: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112C86" w:rsidP="00B71C8D">
      <w:pPr>
        <w:autoSpaceDE w:val="0"/>
        <w:autoSpaceDN w:val="0"/>
        <w:adjustRightInd w:val="0"/>
        <w:spacing w:line="240" w:lineRule="atLeast"/>
        <w:jc w:val="center"/>
        <w:rPr>
          <w:color w:val="000000"/>
          <w:szCs w:val="22"/>
          <w:lang w:val="fr-FR"/>
        </w:rPr>
      </w:pPr>
      <w:r w:rsidRPr="00857EF9">
        <w:rPr>
          <w:color w:val="000000"/>
          <w:szCs w:val="22"/>
          <w:lang w:val="fr-FR"/>
        </w:rPr>
        <w:t>25 avril 2013</w:t>
      </w: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D11F0B" w:rsidP="00D11F0B">
      <w:pPr>
        <w:tabs>
          <w:tab w:val="left" w:pos="1725"/>
        </w:tabs>
        <w:autoSpaceDE w:val="0"/>
        <w:autoSpaceDN w:val="0"/>
        <w:adjustRightInd w:val="0"/>
        <w:spacing w:line="240" w:lineRule="atLeast"/>
        <w:rPr>
          <w:color w:val="000000"/>
          <w:szCs w:val="22"/>
          <w:lang w:val="fr-FR"/>
        </w:rPr>
      </w:pPr>
      <w:r w:rsidRPr="00857EF9">
        <w:rPr>
          <w:color w:val="000000"/>
          <w:szCs w:val="22"/>
          <w:lang w:val="fr-FR"/>
        </w:rPr>
        <w:tab/>
      </w: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jc w:val="center"/>
        <w:rPr>
          <w:color w:val="000000"/>
          <w:szCs w:val="22"/>
          <w:lang w:val="fr-FR"/>
        </w:rPr>
      </w:pPr>
    </w:p>
    <w:p w:rsidR="00B71C8D" w:rsidRPr="00857EF9" w:rsidRDefault="00B71C8D" w:rsidP="00B71C8D">
      <w:pPr>
        <w:autoSpaceDE w:val="0"/>
        <w:autoSpaceDN w:val="0"/>
        <w:adjustRightInd w:val="0"/>
        <w:spacing w:line="240" w:lineRule="atLeast"/>
        <w:rPr>
          <w:color w:val="000000"/>
          <w:szCs w:val="22"/>
          <w:lang w:val="fr-FR"/>
        </w:rPr>
      </w:pPr>
      <w:r w:rsidRPr="00857EF9">
        <w:rPr>
          <w:color w:val="000000"/>
          <w:szCs w:val="22"/>
          <w:lang w:val="fr-FR"/>
        </w:rPr>
        <w:t xml:space="preserve">Finances et développement du secteur privé </w:t>
      </w:r>
    </w:p>
    <w:p w:rsidR="00B71C8D" w:rsidRPr="00857EF9" w:rsidRDefault="00B71C8D" w:rsidP="00B71C8D">
      <w:pPr>
        <w:pStyle w:val="Style10"/>
        <w:kinsoku w:val="0"/>
        <w:autoSpaceDE/>
        <w:autoSpaceDN/>
        <w:adjustRightInd/>
        <w:rPr>
          <w:w w:val="105"/>
          <w:lang w:val="fr-FR"/>
        </w:rPr>
      </w:pPr>
      <w:r w:rsidRPr="00857EF9">
        <w:rPr>
          <w:w w:val="105"/>
          <w:lang w:val="fr-FR"/>
        </w:rPr>
        <w:t>Unité chargée des pays des Caraïbes</w:t>
      </w:r>
    </w:p>
    <w:p w:rsidR="00B71C8D" w:rsidRPr="00A3792F" w:rsidRDefault="00B71C8D" w:rsidP="00B71C8D">
      <w:pPr>
        <w:autoSpaceDE w:val="0"/>
        <w:autoSpaceDN w:val="0"/>
        <w:adjustRightInd w:val="0"/>
        <w:spacing w:line="240" w:lineRule="atLeast"/>
        <w:rPr>
          <w:color w:val="000000"/>
          <w:szCs w:val="22"/>
          <w:lang w:val="es-BO"/>
        </w:rPr>
      </w:pPr>
      <w:proofErr w:type="spellStart"/>
      <w:r w:rsidRPr="00A3792F">
        <w:rPr>
          <w:color w:val="000000"/>
          <w:szCs w:val="22"/>
          <w:lang w:val="es-BO"/>
        </w:rPr>
        <w:t>Région</w:t>
      </w:r>
      <w:proofErr w:type="spellEnd"/>
      <w:r w:rsidRPr="00A3792F">
        <w:rPr>
          <w:color w:val="000000"/>
          <w:szCs w:val="22"/>
          <w:lang w:val="es-BO"/>
        </w:rPr>
        <w:t xml:space="preserve"> </w:t>
      </w:r>
      <w:proofErr w:type="spellStart"/>
      <w:r w:rsidRPr="00A3792F">
        <w:rPr>
          <w:color w:val="000000"/>
          <w:szCs w:val="22"/>
          <w:lang w:val="es-BO"/>
        </w:rPr>
        <w:t>Amérique</w:t>
      </w:r>
      <w:proofErr w:type="spellEnd"/>
      <w:r w:rsidRPr="00A3792F">
        <w:rPr>
          <w:color w:val="000000"/>
          <w:szCs w:val="22"/>
          <w:lang w:val="es-BO"/>
        </w:rPr>
        <w:t xml:space="preserve"> </w:t>
      </w:r>
      <w:r w:rsidR="00A3792F" w:rsidRPr="00A3792F">
        <w:rPr>
          <w:color w:val="000000"/>
          <w:szCs w:val="22"/>
          <w:lang w:val="es-BO"/>
        </w:rPr>
        <w:t>L</w:t>
      </w:r>
      <w:r w:rsidRPr="00A3792F">
        <w:rPr>
          <w:color w:val="000000"/>
          <w:szCs w:val="22"/>
          <w:lang w:val="es-BO"/>
        </w:rPr>
        <w:t xml:space="preserve">atine et </w:t>
      </w:r>
      <w:proofErr w:type="spellStart"/>
      <w:r w:rsidRPr="00A3792F">
        <w:rPr>
          <w:color w:val="000000"/>
          <w:szCs w:val="22"/>
          <w:lang w:val="es-BO"/>
        </w:rPr>
        <w:t>Caraïbes</w:t>
      </w:r>
      <w:proofErr w:type="spellEnd"/>
    </w:p>
    <w:p w:rsidR="00B71C8D" w:rsidRPr="00A3792F" w:rsidRDefault="00B71C8D" w:rsidP="00B71C8D">
      <w:pPr>
        <w:autoSpaceDE w:val="0"/>
        <w:autoSpaceDN w:val="0"/>
        <w:adjustRightInd w:val="0"/>
        <w:spacing w:line="240" w:lineRule="atLeast"/>
        <w:rPr>
          <w:color w:val="000000"/>
          <w:szCs w:val="22"/>
          <w:lang w:val="es-BO"/>
        </w:rPr>
      </w:pPr>
    </w:p>
    <w:p w:rsidR="00B71C8D" w:rsidRPr="00A3792F" w:rsidRDefault="00B71C8D" w:rsidP="00B71C8D">
      <w:pPr>
        <w:autoSpaceDE w:val="0"/>
        <w:autoSpaceDN w:val="0"/>
        <w:adjustRightInd w:val="0"/>
        <w:spacing w:line="240" w:lineRule="atLeast"/>
        <w:jc w:val="center"/>
        <w:rPr>
          <w:color w:val="000000"/>
          <w:szCs w:val="22"/>
          <w:lang w:val="es-BO"/>
        </w:rPr>
      </w:pPr>
    </w:p>
    <w:p w:rsidR="00A3792F" w:rsidRPr="00A3792F" w:rsidRDefault="00A3792F" w:rsidP="00B71C8D">
      <w:pPr>
        <w:autoSpaceDE w:val="0"/>
        <w:autoSpaceDN w:val="0"/>
        <w:adjustRightInd w:val="0"/>
        <w:spacing w:line="240" w:lineRule="atLeast"/>
        <w:jc w:val="center"/>
        <w:rPr>
          <w:color w:val="000000"/>
          <w:szCs w:val="22"/>
          <w:lang w:val="es-BO"/>
        </w:rPr>
      </w:pPr>
    </w:p>
    <w:p w:rsidR="00A3792F" w:rsidRPr="00A3792F" w:rsidRDefault="00A3792F" w:rsidP="00B71C8D">
      <w:pPr>
        <w:autoSpaceDE w:val="0"/>
        <w:autoSpaceDN w:val="0"/>
        <w:adjustRightInd w:val="0"/>
        <w:spacing w:line="240" w:lineRule="atLeast"/>
        <w:jc w:val="center"/>
        <w:rPr>
          <w:color w:val="000000"/>
          <w:szCs w:val="22"/>
          <w:lang w:val="es-BO"/>
        </w:rPr>
      </w:pPr>
    </w:p>
    <w:p w:rsidR="00A3792F" w:rsidRPr="00A3792F" w:rsidRDefault="00A3792F" w:rsidP="00B71C8D">
      <w:pPr>
        <w:autoSpaceDE w:val="0"/>
        <w:autoSpaceDN w:val="0"/>
        <w:adjustRightInd w:val="0"/>
        <w:spacing w:line="240" w:lineRule="atLeast"/>
        <w:jc w:val="center"/>
        <w:rPr>
          <w:color w:val="000000"/>
          <w:szCs w:val="22"/>
          <w:lang w:val="es-BO"/>
        </w:rPr>
      </w:pPr>
    </w:p>
    <w:p w:rsidR="00B71C8D" w:rsidRPr="00A3792F" w:rsidRDefault="00B71C8D" w:rsidP="00B71C8D">
      <w:pPr>
        <w:autoSpaceDE w:val="0"/>
        <w:autoSpaceDN w:val="0"/>
        <w:adjustRightInd w:val="0"/>
        <w:spacing w:line="240" w:lineRule="atLeast"/>
        <w:jc w:val="center"/>
        <w:rPr>
          <w:color w:val="000000"/>
          <w:szCs w:val="22"/>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71C8D" w:rsidRPr="00113620" w:rsidTr="004E7A7F">
        <w:tc>
          <w:tcPr>
            <w:tcW w:w="9576" w:type="dxa"/>
          </w:tcPr>
          <w:p w:rsidR="00B71C8D" w:rsidRPr="00857EF9" w:rsidRDefault="00B30179" w:rsidP="00B71C8D">
            <w:pPr>
              <w:jc w:val="both"/>
              <w:rPr>
                <w:lang w:val="fr-FR"/>
              </w:rPr>
            </w:pPr>
            <w:r w:rsidRPr="00857EF9">
              <w:rPr>
                <w:lang w:val="fr-FR"/>
              </w:rPr>
              <w:t>Le présent document est rendu public avant son examen par le Conseil. Pour autant, il n’en découle aucune présomption de résultat. Il pourrait par ailleurs être mis à jour à la suite de son examen par le Conseil. Sa version actualisée serait ensuite rendue publique, en conformité avec la politique de la Banque en matière d’accès à l’information.</w:t>
            </w:r>
          </w:p>
        </w:tc>
      </w:tr>
    </w:tbl>
    <w:p w:rsidR="00B71C8D" w:rsidRPr="00857EF9" w:rsidRDefault="00B71C8D" w:rsidP="004E7A7F">
      <w:pPr>
        <w:rPr>
          <w:lang w:val="fr-FR"/>
        </w:rPr>
      </w:pPr>
    </w:p>
    <w:p w:rsidR="00B71C8D" w:rsidRPr="00857EF9" w:rsidRDefault="00B71C8D" w:rsidP="004E7A7F">
      <w:pPr>
        <w:autoSpaceDE w:val="0"/>
        <w:autoSpaceDN w:val="0"/>
        <w:adjustRightInd w:val="0"/>
        <w:spacing w:line="240" w:lineRule="atLeast"/>
        <w:jc w:val="center"/>
        <w:rPr>
          <w:color w:val="000000"/>
          <w:szCs w:val="22"/>
          <w:lang w:val="fr-FR"/>
        </w:rPr>
      </w:pPr>
      <w:r w:rsidRPr="00857EF9">
        <w:rPr>
          <w:lang w:val="fr-FR"/>
        </w:rPr>
        <w:br w:type="page"/>
      </w:r>
      <w:r w:rsidRPr="00857EF9">
        <w:rPr>
          <w:color w:val="000000"/>
          <w:szCs w:val="22"/>
          <w:lang w:val="fr-FR"/>
        </w:rPr>
        <w:lastRenderedPageBreak/>
        <w:t>ÉQUIVALENCES MONÉTAIRES</w:t>
      </w:r>
    </w:p>
    <w:p w:rsidR="00B71C8D" w:rsidRPr="00857EF9" w:rsidRDefault="00B71C8D" w:rsidP="004E7A7F">
      <w:pPr>
        <w:autoSpaceDE w:val="0"/>
        <w:autoSpaceDN w:val="0"/>
        <w:adjustRightInd w:val="0"/>
        <w:spacing w:line="240" w:lineRule="atLeast"/>
        <w:jc w:val="center"/>
        <w:rPr>
          <w:color w:val="000000"/>
          <w:szCs w:val="22"/>
          <w:lang w:val="fr-FR"/>
        </w:rPr>
      </w:pPr>
    </w:p>
    <w:p w:rsidR="00B71C8D" w:rsidRPr="00857EF9" w:rsidRDefault="00B71C8D" w:rsidP="004E7A7F">
      <w:pPr>
        <w:autoSpaceDE w:val="0"/>
        <w:autoSpaceDN w:val="0"/>
        <w:adjustRightInd w:val="0"/>
        <w:spacing w:after="120" w:line="240" w:lineRule="atLeast"/>
        <w:jc w:val="center"/>
        <w:rPr>
          <w:color w:val="000000"/>
          <w:szCs w:val="22"/>
          <w:lang w:val="fr-FR"/>
        </w:rPr>
      </w:pPr>
      <w:r w:rsidRPr="00857EF9">
        <w:rPr>
          <w:color w:val="000000"/>
          <w:szCs w:val="22"/>
          <w:lang w:val="fr-FR"/>
        </w:rPr>
        <w:t>(Taux de change en vigueur au 15 avril 2013)</w:t>
      </w:r>
    </w:p>
    <w:tbl>
      <w:tblPr>
        <w:tblW w:w="0" w:type="auto"/>
        <w:tblLook w:val="0000" w:firstRow="0" w:lastRow="0" w:firstColumn="0" w:lastColumn="0" w:noHBand="0" w:noVBand="0"/>
      </w:tblPr>
      <w:tblGrid>
        <w:gridCol w:w="4668"/>
        <w:gridCol w:w="360"/>
        <w:gridCol w:w="4548"/>
      </w:tblGrid>
      <w:tr w:rsidR="00B71C8D" w:rsidRPr="00A7289C" w:rsidTr="004E7A7F">
        <w:tc>
          <w:tcPr>
            <w:tcW w:w="4668" w:type="dxa"/>
          </w:tcPr>
          <w:p w:rsidR="00B71C8D" w:rsidRPr="00A7289C" w:rsidRDefault="00B71C8D" w:rsidP="00B71C8D">
            <w:pPr>
              <w:autoSpaceDE w:val="0"/>
              <w:autoSpaceDN w:val="0"/>
              <w:adjustRightInd w:val="0"/>
              <w:spacing w:line="240" w:lineRule="atLeast"/>
              <w:jc w:val="right"/>
              <w:rPr>
                <w:color w:val="000000"/>
                <w:szCs w:val="22"/>
              </w:rPr>
            </w:pPr>
            <w:proofErr w:type="spellStart"/>
            <w:r>
              <w:rPr>
                <w:color w:val="000000"/>
                <w:szCs w:val="22"/>
              </w:rPr>
              <w:t>Unité</w:t>
            </w:r>
            <w:proofErr w:type="spellEnd"/>
            <w:r>
              <w:rPr>
                <w:color w:val="000000"/>
                <w:szCs w:val="22"/>
              </w:rPr>
              <w:t xml:space="preserve"> </w:t>
            </w:r>
            <w:proofErr w:type="spellStart"/>
            <w:r>
              <w:rPr>
                <w:color w:val="000000"/>
                <w:szCs w:val="22"/>
              </w:rPr>
              <w:t>monétaire</w:t>
            </w:r>
            <w:proofErr w:type="spellEnd"/>
          </w:p>
        </w:tc>
        <w:tc>
          <w:tcPr>
            <w:tcW w:w="360" w:type="dxa"/>
          </w:tcPr>
          <w:p w:rsidR="00B71C8D" w:rsidRPr="00A7289C" w:rsidRDefault="00B71C8D" w:rsidP="00B71C8D">
            <w:pPr>
              <w:autoSpaceDE w:val="0"/>
              <w:autoSpaceDN w:val="0"/>
              <w:adjustRightInd w:val="0"/>
              <w:spacing w:line="240" w:lineRule="atLeast"/>
              <w:rPr>
                <w:color w:val="000000"/>
                <w:szCs w:val="22"/>
              </w:rPr>
            </w:pPr>
            <w:r>
              <w:rPr>
                <w:color w:val="000000"/>
                <w:szCs w:val="22"/>
              </w:rPr>
              <w:t>=</w:t>
            </w:r>
          </w:p>
        </w:tc>
        <w:tc>
          <w:tcPr>
            <w:tcW w:w="4548" w:type="dxa"/>
          </w:tcPr>
          <w:p w:rsidR="00B71C8D" w:rsidRPr="00A7289C" w:rsidRDefault="00B71C8D" w:rsidP="00B71C8D">
            <w:pPr>
              <w:autoSpaceDE w:val="0"/>
              <w:autoSpaceDN w:val="0"/>
              <w:adjustRightInd w:val="0"/>
              <w:spacing w:line="240" w:lineRule="atLeast"/>
              <w:rPr>
                <w:color w:val="000000"/>
                <w:szCs w:val="22"/>
              </w:rPr>
            </w:pPr>
            <w:r>
              <w:t xml:space="preserve">Gourde </w:t>
            </w:r>
            <w:proofErr w:type="spellStart"/>
            <w:r>
              <w:t>haïtienne</w:t>
            </w:r>
            <w:proofErr w:type="spellEnd"/>
          </w:p>
        </w:tc>
      </w:tr>
      <w:tr w:rsidR="00B71C8D" w:rsidRPr="00A7289C" w:rsidTr="004E7A7F">
        <w:trPr>
          <w:trHeight w:val="126"/>
        </w:trPr>
        <w:tc>
          <w:tcPr>
            <w:tcW w:w="4668" w:type="dxa"/>
          </w:tcPr>
          <w:p w:rsidR="00B71C8D" w:rsidRPr="00A7289C" w:rsidRDefault="006F1B7B" w:rsidP="00B71C8D">
            <w:pPr>
              <w:autoSpaceDE w:val="0"/>
              <w:autoSpaceDN w:val="0"/>
              <w:adjustRightInd w:val="0"/>
              <w:spacing w:line="240" w:lineRule="atLeast"/>
              <w:jc w:val="right"/>
              <w:rPr>
                <w:color w:val="000000"/>
                <w:szCs w:val="22"/>
              </w:rPr>
            </w:pPr>
            <w:r>
              <w:rPr>
                <w:color w:val="000000"/>
                <w:szCs w:val="22"/>
              </w:rPr>
              <w:t>1,00 </w:t>
            </w:r>
            <w:r w:rsidR="00B71C8D">
              <w:rPr>
                <w:color w:val="000000"/>
                <w:szCs w:val="22"/>
              </w:rPr>
              <w:t>HTG</w:t>
            </w:r>
          </w:p>
        </w:tc>
        <w:tc>
          <w:tcPr>
            <w:tcW w:w="360" w:type="dxa"/>
          </w:tcPr>
          <w:p w:rsidR="00B71C8D" w:rsidRPr="00A7289C" w:rsidRDefault="00B71C8D" w:rsidP="00B71C8D">
            <w:pPr>
              <w:autoSpaceDE w:val="0"/>
              <w:autoSpaceDN w:val="0"/>
              <w:adjustRightInd w:val="0"/>
              <w:spacing w:before="100" w:beforeAutospacing="1" w:after="100" w:afterAutospacing="1" w:line="240" w:lineRule="atLeast"/>
              <w:rPr>
                <w:color w:val="000000"/>
                <w:szCs w:val="22"/>
              </w:rPr>
            </w:pPr>
            <w:r>
              <w:rPr>
                <w:color w:val="000000"/>
                <w:szCs w:val="22"/>
              </w:rPr>
              <w:t>=</w:t>
            </w:r>
          </w:p>
        </w:tc>
        <w:tc>
          <w:tcPr>
            <w:tcW w:w="4548" w:type="dxa"/>
          </w:tcPr>
          <w:p w:rsidR="00B71C8D" w:rsidRPr="00A7289C" w:rsidRDefault="006F1B7B" w:rsidP="00215924">
            <w:pPr>
              <w:autoSpaceDE w:val="0"/>
              <w:autoSpaceDN w:val="0"/>
              <w:adjustRightInd w:val="0"/>
              <w:spacing w:before="100" w:beforeAutospacing="1" w:after="100" w:afterAutospacing="1" w:line="240" w:lineRule="atLeast"/>
              <w:rPr>
                <w:color w:val="000000"/>
                <w:szCs w:val="22"/>
              </w:rPr>
            </w:pPr>
            <w:r>
              <w:rPr>
                <w:color w:val="000000"/>
                <w:szCs w:val="22"/>
              </w:rPr>
              <w:t>0,02 </w:t>
            </w:r>
            <w:r w:rsidR="00B71C8D">
              <w:rPr>
                <w:color w:val="000000"/>
                <w:szCs w:val="22"/>
              </w:rPr>
              <w:t>USD</w:t>
            </w:r>
          </w:p>
        </w:tc>
      </w:tr>
      <w:tr w:rsidR="00B71C8D" w:rsidRPr="00A7289C" w:rsidTr="004E7A7F">
        <w:tc>
          <w:tcPr>
            <w:tcW w:w="4668" w:type="dxa"/>
          </w:tcPr>
          <w:p w:rsidR="00B71C8D" w:rsidRPr="00A7289C" w:rsidRDefault="00B71C8D" w:rsidP="00B71C8D">
            <w:pPr>
              <w:autoSpaceDE w:val="0"/>
              <w:autoSpaceDN w:val="0"/>
              <w:adjustRightInd w:val="0"/>
              <w:spacing w:before="100" w:beforeAutospacing="1" w:after="100" w:afterAutospacing="1" w:line="240" w:lineRule="atLeast"/>
              <w:jc w:val="right"/>
              <w:rPr>
                <w:color w:val="000000"/>
                <w:szCs w:val="22"/>
              </w:rPr>
            </w:pPr>
            <w:r>
              <w:rPr>
                <w:color w:val="000000"/>
                <w:szCs w:val="22"/>
              </w:rPr>
              <w:t>1,00 USD</w:t>
            </w:r>
          </w:p>
        </w:tc>
        <w:tc>
          <w:tcPr>
            <w:tcW w:w="360" w:type="dxa"/>
          </w:tcPr>
          <w:p w:rsidR="00B71C8D" w:rsidRPr="00A7289C" w:rsidRDefault="00B71C8D" w:rsidP="00B71C8D">
            <w:pPr>
              <w:autoSpaceDE w:val="0"/>
              <w:autoSpaceDN w:val="0"/>
              <w:adjustRightInd w:val="0"/>
              <w:spacing w:before="100" w:beforeAutospacing="1" w:after="100" w:afterAutospacing="1" w:line="240" w:lineRule="atLeast"/>
              <w:rPr>
                <w:color w:val="000000"/>
                <w:szCs w:val="22"/>
              </w:rPr>
            </w:pPr>
            <w:r>
              <w:rPr>
                <w:color w:val="000000"/>
                <w:szCs w:val="22"/>
              </w:rPr>
              <w:t>=</w:t>
            </w:r>
          </w:p>
        </w:tc>
        <w:tc>
          <w:tcPr>
            <w:tcW w:w="4548" w:type="dxa"/>
          </w:tcPr>
          <w:p w:rsidR="00B71C8D" w:rsidRPr="00A7289C" w:rsidRDefault="006F1B7B" w:rsidP="003F3540">
            <w:pPr>
              <w:autoSpaceDE w:val="0"/>
              <w:autoSpaceDN w:val="0"/>
              <w:adjustRightInd w:val="0"/>
              <w:spacing w:line="240" w:lineRule="atLeast"/>
              <w:rPr>
                <w:color w:val="000000"/>
                <w:szCs w:val="22"/>
              </w:rPr>
            </w:pPr>
            <w:r>
              <w:rPr>
                <w:color w:val="000000"/>
                <w:szCs w:val="22"/>
              </w:rPr>
              <w:t>43,09 </w:t>
            </w:r>
            <w:r w:rsidR="00B71C8D">
              <w:rPr>
                <w:color w:val="000000"/>
                <w:szCs w:val="22"/>
              </w:rPr>
              <w:t>HTG</w:t>
            </w:r>
          </w:p>
        </w:tc>
      </w:tr>
    </w:tbl>
    <w:p w:rsidR="00B71C8D" w:rsidRPr="00A7289C" w:rsidRDefault="00B71C8D" w:rsidP="004E7A7F">
      <w:pPr>
        <w:autoSpaceDE w:val="0"/>
        <w:autoSpaceDN w:val="0"/>
        <w:adjustRightInd w:val="0"/>
        <w:spacing w:line="240" w:lineRule="atLeast"/>
        <w:rPr>
          <w:color w:val="000000"/>
          <w:szCs w:val="22"/>
        </w:rPr>
      </w:pPr>
    </w:p>
    <w:p w:rsidR="00B71C8D" w:rsidRPr="00A7289C" w:rsidRDefault="00B71C8D" w:rsidP="004E7A7F">
      <w:pPr>
        <w:autoSpaceDE w:val="0"/>
        <w:autoSpaceDN w:val="0"/>
        <w:adjustRightInd w:val="0"/>
        <w:spacing w:line="240" w:lineRule="atLeast"/>
        <w:jc w:val="center"/>
        <w:rPr>
          <w:color w:val="000000"/>
          <w:szCs w:val="22"/>
        </w:rPr>
      </w:pPr>
      <w:r>
        <w:rPr>
          <w:color w:val="000000"/>
          <w:szCs w:val="22"/>
        </w:rPr>
        <w:t>EXERCICE</w:t>
      </w:r>
    </w:p>
    <w:tbl>
      <w:tblPr>
        <w:tblW w:w="0" w:type="auto"/>
        <w:tblLook w:val="0000" w:firstRow="0" w:lastRow="0" w:firstColumn="0" w:lastColumn="0" w:noHBand="0" w:noVBand="0"/>
      </w:tblPr>
      <w:tblGrid>
        <w:gridCol w:w="4548"/>
        <w:gridCol w:w="600"/>
        <w:gridCol w:w="4428"/>
      </w:tblGrid>
      <w:tr w:rsidR="00B71C8D" w:rsidRPr="00A7289C" w:rsidTr="004E7A7F">
        <w:tc>
          <w:tcPr>
            <w:tcW w:w="4548" w:type="dxa"/>
          </w:tcPr>
          <w:p w:rsidR="00B71C8D" w:rsidRPr="00A7289C" w:rsidRDefault="00B71C8D" w:rsidP="00B71C8D">
            <w:pPr>
              <w:autoSpaceDE w:val="0"/>
              <w:autoSpaceDN w:val="0"/>
              <w:adjustRightInd w:val="0"/>
              <w:spacing w:line="240" w:lineRule="atLeast"/>
              <w:jc w:val="right"/>
              <w:rPr>
                <w:color w:val="000000"/>
                <w:szCs w:val="22"/>
              </w:rPr>
            </w:pPr>
            <w:r>
              <w:rPr>
                <w:color w:val="000000"/>
                <w:szCs w:val="22"/>
              </w:rPr>
              <w:t>1</w:t>
            </w:r>
            <w:r>
              <w:rPr>
                <w:color w:val="000000"/>
                <w:szCs w:val="22"/>
                <w:vertAlign w:val="superscript"/>
              </w:rPr>
              <w:t>er</w:t>
            </w:r>
            <w:r>
              <w:rPr>
                <w:color w:val="000000"/>
                <w:szCs w:val="22"/>
              </w:rPr>
              <w:t xml:space="preserve"> </w:t>
            </w:r>
            <w:proofErr w:type="spellStart"/>
            <w:r>
              <w:rPr>
                <w:color w:val="000000"/>
                <w:szCs w:val="22"/>
              </w:rPr>
              <w:t>octobre</w:t>
            </w:r>
            <w:proofErr w:type="spellEnd"/>
          </w:p>
        </w:tc>
        <w:tc>
          <w:tcPr>
            <w:tcW w:w="600" w:type="dxa"/>
          </w:tcPr>
          <w:p w:rsidR="00B71C8D" w:rsidRPr="00A7289C" w:rsidRDefault="00B71C8D" w:rsidP="00B71C8D">
            <w:pPr>
              <w:autoSpaceDE w:val="0"/>
              <w:autoSpaceDN w:val="0"/>
              <w:adjustRightInd w:val="0"/>
              <w:spacing w:line="240" w:lineRule="atLeast"/>
              <w:jc w:val="center"/>
              <w:rPr>
                <w:color w:val="000000"/>
                <w:szCs w:val="22"/>
              </w:rPr>
            </w:pPr>
            <w:r>
              <w:t>–</w:t>
            </w:r>
          </w:p>
        </w:tc>
        <w:tc>
          <w:tcPr>
            <w:tcW w:w="4428" w:type="dxa"/>
          </w:tcPr>
          <w:p w:rsidR="00B71C8D" w:rsidRPr="00A7289C" w:rsidRDefault="00B71C8D" w:rsidP="00B71C8D">
            <w:pPr>
              <w:autoSpaceDE w:val="0"/>
              <w:autoSpaceDN w:val="0"/>
              <w:adjustRightInd w:val="0"/>
              <w:spacing w:line="240" w:lineRule="atLeast"/>
              <w:rPr>
                <w:color w:val="000000"/>
                <w:szCs w:val="22"/>
              </w:rPr>
            </w:pPr>
            <w:r>
              <w:rPr>
                <w:color w:val="000000"/>
                <w:szCs w:val="22"/>
              </w:rPr>
              <w:t xml:space="preserve">30 </w:t>
            </w:r>
            <w:proofErr w:type="spellStart"/>
            <w:r>
              <w:rPr>
                <w:color w:val="000000"/>
                <w:szCs w:val="22"/>
              </w:rPr>
              <w:t>septembre</w:t>
            </w:r>
            <w:proofErr w:type="spellEnd"/>
          </w:p>
        </w:tc>
      </w:tr>
    </w:tbl>
    <w:p w:rsidR="00B71C8D" w:rsidRPr="00A7289C" w:rsidRDefault="00B71C8D" w:rsidP="004E7A7F">
      <w:pPr>
        <w:autoSpaceDE w:val="0"/>
        <w:autoSpaceDN w:val="0"/>
        <w:adjustRightInd w:val="0"/>
        <w:spacing w:line="240" w:lineRule="atLeast"/>
        <w:rPr>
          <w:color w:val="000000"/>
          <w:szCs w:val="22"/>
        </w:rPr>
      </w:pPr>
    </w:p>
    <w:p w:rsidR="00B71C8D" w:rsidRPr="00A7289C" w:rsidRDefault="00B71C8D" w:rsidP="004E7A7F">
      <w:pPr>
        <w:jc w:val="center"/>
        <w:rPr>
          <w:color w:val="000000"/>
          <w:szCs w:val="22"/>
        </w:rPr>
      </w:pPr>
      <w:r>
        <w:rPr>
          <w:color w:val="000000"/>
          <w:szCs w:val="22"/>
        </w:rPr>
        <w:t>ABRÉVIATIONS ET ACRONYMES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014"/>
        <w:gridCol w:w="7562"/>
      </w:tblGrid>
      <w:tr w:rsidR="001938FD" w:rsidRPr="00A7289C" w:rsidTr="004E7A7F">
        <w:tc>
          <w:tcPr>
            <w:tcW w:w="2014" w:type="dxa"/>
          </w:tcPr>
          <w:p w:rsidR="001938FD" w:rsidRPr="00A7289C" w:rsidRDefault="001938FD" w:rsidP="00B71C8D">
            <w:pPr>
              <w:rPr>
                <w:lang w:val="es-ES"/>
              </w:rPr>
            </w:pPr>
            <w:r>
              <w:t>AF</w:t>
            </w:r>
          </w:p>
        </w:tc>
        <w:tc>
          <w:tcPr>
            <w:tcW w:w="7562" w:type="dxa"/>
          </w:tcPr>
          <w:p w:rsidR="001938FD" w:rsidRPr="00A7289C" w:rsidRDefault="001938FD" w:rsidP="00B71C8D">
            <w:r>
              <w:t xml:space="preserve">Accord de </w:t>
            </w:r>
            <w:proofErr w:type="spellStart"/>
            <w:r>
              <w:t>financement</w:t>
            </w:r>
            <w:proofErr w:type="spellEnd"/>
          </w:p>
        </w:tc>
      </w:tr>
      <w:tr w:rsidR="001938FD" w:rsidRPr="00A7289C" w:rsidTr="004E7A7F">
        <w:tc>
          <w:tcPr>
            <w:tcW w:w="2014" w:type="dxa"/>
          </w:tcPr>
          <w:p w:rsidR="001938FD" w:rsidRPr="00A7289C" w:rsidRDefault="001938FD" w:rsidP="00B71C8D">
            <w:r>
              <w:t>AFD</w:t>
            </w:r>
          </w:p>
        </w:tc>
        <w:tc>
          <w:tcPr>
            <w:tcW w:w="7562" w:type="dxa"/>
          </w:tcPr>
          <w:p w:rsidR="001938FD" w:rsidRPr="001938FD" w:rsidRDefault="001938FD" w:rsidP="00B71C8D">
            <w:proofErr w:type="spellStart"/>
            <w:r w:rsidRPr="001938FD">
              <w:t>Agence</w:t>
            </w:r>
            <w:proofErr w:type="spellEnd"/>
            <w:r w:rsidRPr="001938FD">
              <w:t xml:space="preserve"> </w:t>
            </w:r>
            <w:proofErr w:type="spellStart"/>
            <w:r w:rsidRPr="001938FD">
              <w:t>Française</w:t>
            </w:r>
            <w:proofErr w:type="spellEnd"/>
            <w:r w:rsidRPr="001938FD">
              <w:t xml:space="preserve"> de </w:t>
            </w:r>
            <w:proofErr w:type="spellStart"/>
            <w:r w:rsidRPr="001938FD">
              <w:t>Développement</w:t>
            </w:r>
            <w:proofErr w:type="spellEnd"/>
          </w:p>
        </w:tc>
      </w:tr>
      <w:tr w:rsidR="001938FD" w:rsidRPr="00A7289C" w:rsidTr="004E7A7F">
        <w:tc>
          <w:tcPr>
            <w:tcW w:w="2014" w:type="dxa"/>
          </w:tcPr>
          <w:p w:rsidR="001938FD" w:rsidRPr="00A7289C" w:rsidRDefault="001938FD" w:rsidP="00B71C8D">
            <w:r>
              <w:t>ALC</w:t>
            </w:r>
          </w:p>
        </w:tc>
        <w:tc>
          <w:tcPr>
            <w:tcW w:w="7562" w:type="dxa"/>
          </w:tcPr>
          <w:p w:rsidR="001938FD" w:rsidRPr="001938FD" w:rsidRDefault="001938FD" w:rsidP="00B71C8D">
            <w:proofErr w:type="spellStart"/>
            <w:r w:rsidRPr="001938FD">
              <w:t>Amérique</w:t>
            </w:r>
            <w:proofErr w:type="spellEnd"/>
            <w:r w:rsidRPr="001938FD">
              <w:t xml:space="preserve"> </w:t>
            </w:r>
            <w:proofErr w:type="spellStart"/>
            <w:r w:rsidRPr="001938FD">
              <w:t>latine</w:t>
            </w:r>
            <w:proofErr w:type="spellEnd"/>
            <w:r w:rsidRPr="001938FD">
              <w:t xml:space="preserve"> et </w:t>
            </w:r>
            <w:proofErr w:type="spellStart"/>
            <w:r w:rsidRPr="001938FD">
              <w:t>Caraïbes</w:t>
            </w:r>
            <w:proofErr w:type="spellEnd"/>
          </w:p>
        </w:tc>
      </w:tr>
      <w:tr w:rsidR="001938FD" w:rsidRPr="00857EF9" w:rsidTr="004E7A7F">
        <w:tc>
          <w:tcPr>
            <w:tcW w:w="2014" w:type="dxa"/>
          </w:tcPr>
          <w:p w:rsidR="001938FD" w:rsidRPr="00A7289C" w:rsidRDefault="001938FD" w:rsidP="00B71C8D">
            <w:r>
              <w:t>APP</w:t>
            </w:r>
          </w:p>
        </w:tc>
        <w:tc>
          <w:tcPr>
            <w:tcW w:w="7562" w:type="dxa"/>
          </w:tcPr>
          <w:p w:rsidR="001938FD" w:rsidRPr="00857EF9" w:rsidRDefault="001938FD" w:rsidP="00B71C8D">
            <w:pPr>
              <w:rPr>
                <w:lang w:val="fr-FR"/>
              </w:rPr>
            </w:pPr>
            <w:r w:rsidRPr="00857EF9">
              <w:rPr>
                <w:lang w:val="fr-FR"/>
              </w:rPr>
              <w:t>Avance pour la préparation du projet</w:t>
            </w:r>
          </w:p>
        </w:tc>
      </w:tr>
      <w:tr w:rsidR="001938FD" w:rsidRPr="00A7289C" w:rsidTr="004E7A7F">
        <w:tc>
          <w:tcPr>
            <w:tcW w:w="2014" w:type="dxa"/>
          </w:tcPr>
          <w:p w:rsidR="001938FD" w:rsidRPr="00A7289C" w:rsidRDefault="001938FD" w:rsidP="00B71C8D">
            <w:pPr>
              <w:rPr>
                <w:lang w:val="es-ES"/>
              </w:rPr>
            </w:pPr>
            <w:r>
              <w:t>BID</w:t>
            </w:r>
          </w:p>
        </w:tc>
        <w:tc>
          <w:tcPr>
            <w:tcW w:w="7562" w:type="dxa"/>
          </w:tcPr>
          <w:p w:rsidR="001938FD" w:rsidRPr="001938FD" w:rsidRDefault="001938FD" w:rsidP="00B71C8D">
            <w:proofErr w:type="spellStart"/>
            <w:r w:rsidRPr="001938FD">
              <w:t>Banque</w:t>
            </w:r>
            <w:proofErr w:type="spellEnd"/>
            <w:r w:rsidRPr="001938FD">
              <w:t xml:space="preserve"> </w:t>
            </w:r>
            <w:proofErr w:type="spellStart"/>
            <w:r w:rsidRPr="001938FD">
              <w:t>interaméricaine</w:t>
            </w:r>
            <w:proofErr w:type="spellEnd"/>
            <w:r w:rsidRPr="001938FD">
              <w:t xml:space="preserve"> de </w:t>
            </w:r>
            <w:proofErr w:type="spellStart"/>
            <w:r w:rsidRPr="001938FD">
              <w:t>développement</w:t>
            </w:r>
            <w:proofErr w:type="spellEnd"/>
            <w:r w:rsidRPr="001938FD">
              <w:t xml:space="preserve">  </w:t>
            </w:r>
          </w:p>
        </w:tc>
      </w:tr>
      <w:tr w:rsidR="001938FD" w:rsidRPr="00857EF9" w:rsidTr="004E7A7F">
        <w:tc>
          <w:tcPr>
            <w:tcW w:w="2014" w:type="dxa"/>
          </w:tcPr>
          <w:p w:rsidR="001938FD" w:rsidRPr="00A7289C" w:rsidRDefault="001938FD" w:rsidP="00B71C8D">
            <w:r>
              <w:t>BIRD</w:t>
            </w:r>
          </w:p>
        </w:tc>
        <w:tc>
          <w:tcPr>
            <w:tcW w:w="7562" w:type="dxa"/>
          </w:tcPr>
          <w:p w:rsidR="001938FD" w:rsidRPr="00857EF9" w:rsidRDefault="001938FD" w:rsidP="00B71C8D">
            <w:pPr>
              <w:tabs>
                <w:tab w:val="left" w:pos="1080"/>
              </w:tabs>
              <w:rPr>
                <w:lang w:val="fr-FR"/>
              </w:rPr>
            </w:pPr>
            <w:r w:rsidRPr="00857EF9">
              <w:rPr>
                <w:lang w:val="fr-FR"/>
              </w:rPr>
              <w:t>Banque internationale pour la reconstruction et le développement</w:t>
            </w:r>
          </w:p>
        </w:tc>
      </w:tr>
      <w:tr w:rsidR="001938FD" w:rsidRPr="00A7289C" w:rsidTr="004E7A7F">
        <w:tc>
          <w:tcPr>
            <w:tcW w:w="2014" w:type="dxa"/>
          </w:tcPr>
          <w:p w:rsidR="001938FD" w:rsidRPr="00A7289C" w:rsidRDefault="001938FD" w:rsidP="00B71C8D">
            <w:r>
              <w:t>BM</w:t>
            </w:r>
          </w:p>
        </w:tc>
        <w:tc>
          <w:tcPr>
            <w:tcW w:w="7562" w:type="dxa"/>
          </w:tcPr>
          <w:p w:rsidR="001938FD" w:rsidRPr="001938FD" w:rsidRDefault="001938FD" w:rsidP="002D102B">
            <w:pPr>
              <w:rPr>
                <w:color w:val="000000"/>
              </w:rPr>
            </w:pPr>
            <w:proofErr w:type="spellStart"/>
            <w:r w:rsidRPr="001938FD">
              <w:t>Banque</w:t>
            </w:r>
            <w:proofErr w:type="spellEnd"/>
            <w:r w:rsidRPr="001938FD">
              <w:t xml:space="preserve"> </w:t>
            </w:r>
            <w:proofErr w:type="spellStart"/>
            <w:r w:rsidRPr="001938FD">
              <w:t>mondiale</w:t>
            </w:r>
            <w:proofErr w:type="spellEnd"/>
          </w:p>
        </w:tc>
      </w:tr>
      <w:tr w:rsidR="001938FD" w:rsidRPr="00113620" w:rsidTr="004E7A7F">
        <w:tc>
          <w:tcPr>
            <w:tcW w:w="2014" w:type="dxa"/>
          </w:tcPr>
          <w:p w:rsidR="001938FD" w:rsidRPr="00A7289C" w:rsidRDefault="001938FD" w:rsidP="00B71C8D">
            <w:r>
              <w:t>BRH</w:t>
            </w:r>
          </w:p>
        </w:tc>
        <w:tc>
          <w:tcPr>
            <w:tcW w:w="7562" w:type="dxa"/>
          </w:tcPr>
          <w:p w:rsidR="001938FD" w:rsidRPr="00857EF9" w:rsidRDefault="001938FD" w:rsidP="00B71C8D">
            <w:pPr>
              <w:rPr>
                <w:lang w:val="fr-FR"/>
              </w:rPr>
            </w:pPr>
            <w:r w:rsidRPr="00857EF9">
              <w:rPr>
                <w:lang w:val="fr-FR"/>
              </w:rPr>
              <w:t>Banque de la République d’Haïti</w:t>
            </w:r>
          </w:p>
        </w:tc>
      </w:tr>
      <w:tr w:rsidR="001938FD" w:rsidRPr="00A7289C" w:rsidTr="004E7A7F">
        <w:tc>
          <w:tcPr>
            <w:tcW w:w="2014" w:type="dxa"/>
          </w:tcPr>
          <w:p w:rsidR="001938FD" w:rsidRPr="00A7289C" w:rsidRDefault="001938FD" w:rsidP="00B71C8D">
            <w:pPr>
              <w:rPr>
                <w:lang w:val="es-ES"/>
              </w:rPr>
            </w:pPr>
            <w:r>
              <w:t>CD</w:t>
            </w:r>
          </w:p>
        </w:tc>
        <w:tc>
          <w:tcPr>
            <w:tcW w:w="7562" w:type="dxa"/>
          </w:tcPr>
          <w:p w:rsidR="001938FD" w:rsidRPr="001938FD" w:rsidRDefault="001938FD" w:rsidP="00B71C8D">
            <w:pPr>
              <w:rPr>
                <w:lang w:val="en-GB"/>
              </w:rPr>
            </w:pPr>
            <w:proofErr w:type="spellStart"/>
            <w:r w:rsidRPr="001938FD">
              <w:t>Compte</w:t>
            </w:r>
            <w:proofErr w:type="spellEnd"/>
            <w:r w:rsidRPr="001938FD">
              <w:t xml:space="preserve"> </w:t>
            </w:r>
            <w:proofErr w:type="spellStart"/>
            <w:r w:rsidRPr="001938FD">
              <w:t>désigné</w:t>
            </w:r>
            <w:proofErr w:type="spellEnd"/>
          </w:p>
        </w:tc>
      </w:tr>
      <w:tr w:rsidR="001938FD" w:rsidRPr="00113620" w:rsidTr="004E7A7F">
        <w:tc>
          <w:tcPr>
            <w:tcW w:w="2014" w:type="dxa"/>
          </w:tcPr>
          <w:p w:rsidR="001938FD" w:rsidRPr="00A7289C" w:rsidRDefault="001938FD" w:rsidP="00B71C8D">
            <w:pPr>
              <w:rPr>
                <w:lang w:val="es-ES"/>
              </w:rPr>
            </w:pPr>
            <w:r>
              <w:t>CDEE</w:t>
            </w:r>
          </w:p>
        </w:tc>
        <w:tc>
          <w:tcPr>
            <w:tcW w:w="7562" w:type="dxa"/>
          </w:tcPr>
          <w:p w:rsidR="001938FD" w:rsidRPr="00857EF9" w:rsidRDefault="001938FD" w:rsidP="00B9795B">
            <w:pPr>
              <w:rPr>
                <w:rStyle w:val="profilename2"/>
                <w:bCs/>
                <w:color w:val="333333"/>
                <w:kern w:val="36"/>
                <w:lang w:val="fr-FR"/>
              </w:rPr>
            </w:pPr>
            <w:r w:rsidRPr="00857EF9">
              <w:rPr>
                <w:rStyle w:val="profilename2"/>
                <w:bCs/>
                <w:color w:val="333333"/>
                <w:kern w:val="36"/>
                <w:lang w:val="fr-FR"/>
              </w:rPr>
              <w:t>Centre de Développement de l’Entreprise et de l’Entrepreneuriat</w:t>
            </w:r>
          </w:p>
        </w:tc>
      </w:tr>
      <w:tr w:rsidR="001938FD" w:rsidRPr="00857EF9" w:rsidTr="004E7A7F">
        <w:tc>
          <w:tcPr>
            <w:tcW w:w="2014" w:type="dxa"/>
          </w:tcPr>
          <w:p w:rsidR="001938FD" w:rsidRPr="00A7289C" w:rsidRDefault="001938FD" w:rsidP="00B71C8D">
            <w:pPr>
              <w:rPr>
                <w:lang w:val="es-ES"/>
              </w:rPr>
            </w:pPr>
            <w:r>
              <w:t>CFI</w:t>
            </w:r>
          </w:p>
        </w:tc>
        <w:tc>
          <w:tcPr>
            <w:tcW w:w="7562" w:type="dxa"/>
          </w:tcPr>
          <w:p w:rsidR="001938FD" w:rsidRPr="00857EF9" w:rsidRDefault="001938FD" w:rsidP="00A6639A">
            <w:pPr>
              <w:rPr>
                <w:lang w:val="fr-FR"/>
              </w:rPr>
            </w:pPr>
            <w:r w:rsidRPr="00857EF9">
              <w:rPr>
                <w:rStyle w:val="profilename2"/>
                <w:bCs/>
                <w:color w:val="333333"/>
                <w:kern w:val="36"/>
                <w:lang w:val="fr-FR"/>
              </w:rPr>
              <w:t>Centre de Facilitation des Investissements</w:t>
            </w:r>
          </w:p>
        </w:tc>
      </w:tr>
      <w:tr w:rsidR="001938FD" w:rsidRPr="00113620" w:rsidTr="004E7A7F">
        <w:tc>
          <w:tcPr>
            <w:tcW w:w="2014" w:type="dxa"/>
          </w:tcPr>
          <w:p w:rsidR="001938FD" w:rsidRPr="00A7289C" w:rsidRDefault="001938FD" w:rsidP="00B71C8D">
            <w:pPr>
              <w:rPr>
                <w:lang w:val="es-ES"/>
              </w:rPr>
            </w:pPr>
            <w:r>
              <w:t>CGES</w:t>
            </w:r>
          </w:p>
        </w:tc>
        <w:tc>
          <w:tcPr>
            <w:tcW w:w="7562" w:type="dxa"/>
          </w:tcPr>
          <w:p w:rsidR="001938FD" w:rsidRPr="00857EF9" w:rsidRDefault="001938FD" w:rsidP="00B71C8D">
            <w:pPr>
              <w:rPr>
                <w:lang w:val="fr-FR"/>
              </w:rPr>
            </w:pPr>
            <w:r w:rsidRPr="00857EF9">
              <w:rPr>
                <w:lang w:val="fr-FR"/>
              </w:rPr>
              <w:t>Cadre de gestion environnementale et sociale</w:t>
            </w:r>
          </w:p>
        </w:tc>
      </w:tr>
      <w:tr w:rsidR="001938FD" w:rsidRPr="00857EF9" w:rsidTr="004E7A7F">
        <w:tc>
          <w:tcPr>
            <w:tcW w:w="2014" w:type="dxa"/>
          </w:tcPr>
          <w:p w:rsidR="001938FD" w:rsidRPr="00A7289C" w:rsidRDefault="001938FD" w:rsidP="00B71C8D">
            <w:pPr>
              <w:rPr>
                <w:lang w:val="es-ES"/>
              </w:rPr>
            </w:pPr>
            <w:r>
              <w:t>CIC</w:t>
            </w:r>
          </w:p>
        </w:tc>
        <w:tc>
          <w:tcPr>
            <w:tcW w:w="7562" w:type="dxa"/>
          </w:tcPr>
          <w:p w:rsidR="001938FD" w:rsidRPr="00857EF9" w:rsidRDefault="001938FD" w:rsidP="00B71C8D">
            <w:pPr>
              <w:rPr>
                <w:lang w:val="fr-FR"/>
              </w:rPr>
            </w:pPr>
            <w:r w:rsidRPr="00857EF9">
              <w:rPr>
                <w:lang w:val="fr-FR"/>
              </w:rPr>
              <w:t>Département du climat de l'investissement</w:t>
            </w:r>
          </w:p>
        </w:tc>
      </w:tr>
      <w:tr w:rsidR="001938FD" w:rsidRPr="00857EF9" w:rsidTr="004E7A7F">
        <w:tc>
          <w:tcPr>
            <w:tcW w:w="2014" w:type="dxa"/>
          </w:tcPr>
          <w:p w:rsidR="001938FD" w:rsidRPr="00A7289C" w:rsidRDefault="001938FD" w:rsidP="00B71C8D">
            <w:pPr>
              <w:rPr>
                <w:lang w:val="es-ES"/>
              </w:rPr>
            </w:pPr>
            <w:r>
              <w:t>CPRA</w:t>
            </w:r>
          </w:p>
        </w:tc>
        <w:tc>
          <w:tcPr>
            <w:tcW w:w="7562" w:type="dxa"/>
          </w:tcPr>
          <w:p w:rsidR="001938FD" w:rsidRPr="001938FD" w:rsidRDefault="001938FD" w:rsidP="00B71C8D">
            <w:pPr>
              <w:rPr>
                <w:lang w:val="fr-HT"/>
              </w:rPr>
            </w:pPr>
            <w:r w:rsidRPr="00857EF9">
              <w:rPr>
                <w:iCs/>
                <w:color w:val="000000"/>
                <w:lang w:val="fr-FR"/>
              </w:rPr>
              <w:t>Commission Présidentielle de Réforme du Droit des Affaires</w:t>
            </w:r>
          </w:p>
        </w:tc>
      </w:tr>
      <w:tr w:rsidR="001938FD" w:rsidRPr="00113620" w:rsidTr="004E7A7F">
        <w:tc>
          <w:tcPr>
            <w:tcW w:w="2014" w:type="dxa"/>
          </w:tcPr>
          <w:p w:rsidR="001938FD" w:rsidRPr="00A7289C" w:rsidRDefault="001938FD" w:rsidP="00B71C8D">
            <w:pPr>
              <w:rPr>
                <w:lang w:val="es-ES"/>
              </w:rPr>
            </w:pPr>
            <w:r>
              <w:t>CTMO-Hope</w:t>
            </w:r>
          </w:p>
        </w:tc>
        <w:tc>
          <w:tcPr>
            <w:tcW w:w="7562" w:type="dxa"/>
          </w:tcPr>
          <w:p w:rsidR="001938FD" w:rsidRPr="00BC7304" w:rsidRDefault="001938FD" w:rsidP="00B71C8D">
            <w:pPr>
              <w:rPr>
                <w:lang w:val="fr-FR"/>
              </w:rPr>
            </w:pPr>
            <w:r w:rsidRPr="00857EF9">
              <w:rPr>
                <w:lang w:val="fr-FR"/>
              </w:rPr>
              <w:t>Commission présidentielle tripartite pour la mise en œuvre de la loi Hope</w:t>
            </w:r>
          </w:p>
        </w:tc>
      </w:tr>
      <w:tr w:rsidR="001938FD" w:rsidRPr="00A7289C" w:rsidTr="004E7A7F">
        <w:tc>
          <w:tcPr>
            <w:tcW w:w="2014" w:type="dxa"/>
          </w:tcPr>
          <w:p w:rsidR="001938FD" w:rsidRPr="00A7289C" w:rsidRDefault="001938FD" w:rsidP="00B71C8D">
            <w:pPr>
              <w:rPr>
                <w:lang w:val="es-ES"/>
              </w:rPr>
            </w:pPr>
            <w:r>
              <w:t>DB</w:t>
            </w:r>
          </w:p>
        </w:tc>
        <w:tc>
          <w:tcPr>
            <w:tcW w:w="7562" w:type="dxa"/>
          </w:tcPr>
          <w:p w:rsidR="001938FD" w:rsidRPr="001938FD" w:rsidRDefault="001938FD" w:rsidP="00B71C8D">
            <w:pPr>
              <w:rPr>
                <w:lang w:val="en-GB"/>
              </w:rPr>
            </w:pPr>
            <w:r w:rsidRPr="001938FD">
              <w:t>Doping Business</w:t>
            </w:r>
          </w:p>
        </w:tc>
      </w:tr>
      <w:tr w:rsidR="001938FD" w:rsidRPr="00857EF9" w:rsidTr="004E7A7F">
        <w:tc>
          <w:tcPr>
            <w:tcW w:w="2014" w:type="dxa"/>
          </w:tcPr>
          <w:p w:rsidR="001938FD" w:rsidRPr="00A7289C" w:rsidRDefault="001938FD" w:rsidP="00B71C8D">
            <w:pPr>
              <w:rPr>
                <w:lang w:val="es-ES"/>
              </w:rPr>
            </w:pPr>
            <w:r>
              <w:t>DEC/DIME</w:t>
            </w:r>
          </w:p>
        </w:tc>
        <w:tc>
          <w:tcPr>
            <w:tcW w:w="7562" w:type="dxa"/>
          </w:tcPr>
          <w:p w:rsidR="001938FD" w:rsidRPr="00857EF9" w:rsidRDefault="001938FD" w:rsidP="00B71C8D">
            <w:pPr>
              <w:rPr>
                <w:lang w:val="fr-FR"/>
              </w:rPr>
            </w:pPr>
            <w:r w:rsidRPr="00857EF9">
              <w:rPr>
                <w:lang w:val="fr-FR"/>
              </w:rPr>
              <w:t>Vice-présidence Économie du développement / Évaluation de l'impact au plan du développement</w:t>
            </w:r>
          </w:p>
        </w:tc>
      </w:tr>
      <w:tr w:rsidR="001938FD" w:rsidRPr="00A7289C" w:rsidTr="004E7A7F">
        <w:tc>
          <w:tcPr>
            <w:tcW w:w="2014" w:type="dxa"/>
          </w:tcPr>
          <w:p w:rsidR="001938FD" w:rsidRPr="00A7289C" w:rsidRDefault="001938FD" w:rsidP="00B71C8D">
            <w:r>
              <w:t>DSP</w:t>
            </w:r>
          </w:p>
        </w:tc>
        <w:tc>
          <w:tcPr>
            <w:tcW w:w="7562" w:type="dxa"/>
          </w:tcPr>
          <w:p w:rsidR="001938FD" w:rsidRPr="001938FD" w:rsidRDefault="001938FD" w:rsidP="00B71C8D">
            <w:proofErr w:type="spellStart"/>
            <w:r w:rsidRPr="001938FD">
              <w:t>Développement</w:t>
            </w:r>
            <w:proofErr w:type="spellEnd"/>
            <w:r w:rsidRPr="001938FD">
              <w:t xml:space="preserve"> du </w:t>
            </w:r>
            <w:proofErr w:type="spellStart"/>
            <w:r w:rsidRPr="001938FD">
              <w:t>secteur</w:t>
            </w:r>
            <w:proofErr w:type="spellEnd"/>
            <w:r w:rsidRPr="001938FD">
              <w:t xml:space="preserve"> </w:t>
            </w:r>
            <w:proofErr w:type="spellStart"/>
            <w:r w:rsidRPr="001938FD">
              <w:t>privé</w:t>
            </w:r>
            <w:proofErr w:type="spellEnd"/>
          </w:p>
        </w:tc>
      </w:tr>
      <w:tr w:rsidR="001938FD" w:rsidRPr="00A7289C" w:rsidTr="004E7A7F">
        <w:tc>
          <w:tcPr>
            <w:tcW w:w="2014" w:type="dxa"/>
          </w:tcPr>
          <w:p w:rsidR="001938FD" w:rsidRPr="00A7289C" w:rsidRDefault="001938FD" w:rsidP="00B71C8D">
            <w:pPr>
              <w:rPr>
                <w:lang w:val="es-ES"/>
              </w:rPr>
            </w:pPr>
            <w:r>
              <w:t>DZF</w:t>
            </w:r>
          </w:p>
        </w:tc>
        <w:tc>
          <w:tcPr>
            <w:tcW w:w="7562" w:type="dxa"/>
          </w:tcPr>
          <w:p w:rsidR="001938FD" w:rsidRPr="001938FD" w:rsidRDefault="001938FD" w:rsidP="00B71C8D">
            <w:r w:rsidRPr="001938FD">
              <w:t xml:space="preserve">Direction des Zones </w:t>
            </w:r>
            <w:proofErr w:type="spellStart"/>
            <w:r w:rsidRPr="001938FD">
              <w:t>Franches</w:t>
            </w:r>
            <w:proofErr w:type="spellEnd"/>
          </w:p>
        </w:tc>
      </w:tr>
      <w:tr w:rsidR="001938FD" w:rsidRPr="00A7289C" w:rsidTr="004E7A7F">
        <w:tc>
          <w:tcPr>
            <w:tcW w:w="2014" w:type="dxa"/>
          </w:tcPr>
          <w:p w:rsidR="001938FD" w:rsidRPr="00A7289C" w:rsidRDefault="001938FD" w:rsidP="00B71C8D">
            <w:pPr>
              <w:rPr>
                <w:lang w:val="es-ES"/>
              </w:rPr>
            </w:pPr>
            <w:r>
              <w:t>EPZ</w:t>
            </w:r>
          </w:p>
        </w:tc>
        <w:tc>
          <w:tcPr>
            <w:tcW w:w="7562" w:type="dxa"/>
          </w:tcPr>
          <w:p w:rsidR="001938FD" w:rsidRPr="00A7289C" w:rsidRDefault="001938FD" w:rsidP="00B71C8D">
            <w:r>
              <w:t xml:space="preserve">Zone </w:t>
            </w:r>
            <w:proofErr w:type="spellStart"/>
            <w:r>
              <w:t>franche</w:t>
            </w:r>
            <w:proofErr w:type="spellEnd"/>
            <w:r>
              <w:t xml:space="preserve"> pour </w:t>
            </w:r>
            <w:proofErr w:type="spellStart"/>
            <w:r>
              <w:t>l'exportation</w:t>
            </w:r>
            <w:proofErr w:type="spellEnd"/>
          </w:p>
        </w:tc>
      </w:tr>
      <w:tr w:rsidR="001938FD" w:rsidRPr="00A7289C" w:rsidTr="004E7A7F">
        <w:tc>
          <w:tcPr>
            <w:tcW w:w="2014" w:type="dxa"/>
          </w:tcPr>
          <w:p w:rsidR="001938FD" w:rsidRPr="00A7289C" w:rsidRDefault="001938FD" w:rsidP="00B71C8D">
            <w:pPr>
              <w:rPr>
                <w:lang w:val="es-ES"/>
              </w:rPr>
            </w:pPr>
            <w:proofErr w:type="spellStart"/>
            <w:r>
              <w:t>Exercice</w:t>
            </w:r>
            <w:proofErr w:type="spellEnd"/>
          </w:p>
        </w:tc>
        <w:tc>
          <w:tcPr>
            <w:tcW w:w="7562" w:type="dxa"/>
          </w:tcPr>
          <w:p w:rsidR="001938FD" w:rsidRPr="00A7289C" w:rsidRDefault="001938FD" w:rsidP="00B71C8D">
            <w:proofErr w:type="spellStart"/>
            <w:r>
              <w:t>Exercice</w:t>
            </w:r>
            <w:proofErr w:type="spellEnd"/>
            <w:r>
              <w:t xml:space="preserve"> </w:t>
            </w:r>
            <w:proofErr w:type="spellStart"/>
            <w:r>
              <w:t>budgétaire</w:t>
            </w:r>
            <w:proofErr w:type="spellEnd"/>
          </w:p>
        </w:tc>
      </w:tr>
      <w:tr w:rsidR="001938FD" w:rsidRPr="00A7289C" w:rsidTr="004E7A7F">
        <w:tc>
          <w:tcPr>
            <w:tcW w:w="2014" w:type="dxa"/>
          </w:tcPr>
          <w:p w:rsidR="001938FD" w:rsidRPr="00A7289C" w:rsidRDefault="001938FD" w:rsidP="00B71C8D">
            <w:r>
              <w:t>FMI</w:t>
            </w:r>
          </w:p>
        </w:tc>
        <w:tc>
          <w:tcPr>
            <w:tcW w:w="7562" w:type="dxa"/>
          </w:tcPr>
          <w:p w:rsidR="001938FD" w:rsidRPr="00A7289C" w:rsidRDefault="001938FD" w:rsidP="00B71C8D">
            <w:proofErr w:type="spellStart"/>
            <w:r>
              <w:t>Fonds</w:t>
            </w:r>
            <w:proofErr w:type="spellEnd"/>
            <w:r>
              <w:t xml:space="preserve"> </w:t>
            </w:r>
            <w:proofErr w:type="spellStart"/>
            <w:r>
              <w:t>monétaire</w:t>
            </w:r>
            <w:proofErr w:type="spellEnd"/>
            <w:r>
              <w:t xml:space="preserve"> international</w:t>
            </w:r>
          </w:p>
        </w:tc>
      </w:tr>
      <w:tr w:rsidR="001938FD" w:rsidRPr="00113620" w:rsidTr="004E7A7F">
        <w:trPr>
          <w:trHeight w:val="83"/>
        </w:trPr>
        <w:tc>
          <w:tcPr>
            <w:tcW w:w="2014" w:type="dxa"/>
          </w:tcPr>
          <w:p w:rsidR="001938FD" w:rsidRPr="00A7289C" w:rsidRDefault="001938FD" w:rsidP="00B71C8D">
            <w:r>
              <w:t>GBM</w:t>
            </w:r>
          </w:p>
        </w:tc>
        <w:tc>
          <w:tcPr>
            <w:tcW w:w="7562" w:type="dxa"/>
          </w:tcPr>
          <w:p w:rsidR="001938FD" w:rsidRPr="00857EF9" w:rsidRDefault="001938FD" w:rsidP="00B71C8D">
            <w:pPr>
              <w:rPr>
                <w:lang w:val="fr-FR"/>
              </w:rPr>
            </w:pPr>
            <w:r w:rsidRPr="00857EF9">
              <w:rPr>
                <w:lang w:val="fr-FR"/>
              </w:rPr>
              <w:t>Groupe de la Banque mondiale</w:t>
            </w:r>
          </w:p>
        </w:tc>
      </w:tr>
      <w:tr w:rsidR="001938FD" w:rsidRPr="00A7289C" w:rsidTr="004E7A7F">
        <w:tc>
          <w:tcPr>
            <w:tcW w:w="2014" w:type="dxa"/>
          </w:tcPr>
          <w:p w:rsidR="001938FD" w:rsidRPr="00A7289C" w:rsidRDefault="001938FD" w:rsidP="00B71C8D">
            <w:pPr>
              <w:rPr>
                <w:lang w:val="es-ES"/>
              </w:rPr>
            </w:pPr>
            <w:r>
              <w:t>GF</w:t>
            </w:r>
          </w:p>
        </w:tc>
        <w:tc>
          <w:tcPr>
            <w:tcW w:w="7562" w:type="dxa"/>
          </w:tcPr>
          <w:p w:rsidR="001938FD" w:rsidRPr="00A7289C" w:rsidRDefault="001938FD" w:rsidP="00B71C8D">
            <w:proofErr w:type="spellStart"/>
            <w:r>
              <w:t>Gestion</w:t>
            </w:r>
            <w:proofErr w:type="spellEnd"/>
            <w:r>
              <w:t xml:space="preserve"> </w:t>
            </w:r>
            <w:proofErr w:type="spellStart"/>
            <w:r>
              <w:t>financière</w:t>
            </w:r>
            <w:proofErr w:type="spellEnd"/>
          </w:p>
        </w:tc>
      </w:tr>
      <w:tr w:rsidR="001938FD" w:rsidRPr="00A7289C" w:rsidTr="004E7A7F">
        <w:tc>
          <w:tcPr>
            <w:tcW w:w="2014" w:type="dxa"/>
          </w:tcPr>
          <w:p w:rsidR="001938FD" w:rsidRPr="00A7289C" w:rsidRDefault="001938FD" w:rsidP="00B71C8D">
            <w:r>
              <w:t>GH</w:t>
            </w:r>
          </w:p>
        </w:tc>
        <w:tc>
          <w:tcPr>
            <w:tcW w:w="7562" w:type="dxa"/>
          </w:tcPr>
          <w:p w:rsidR="001938FD" w:rsidRPr="00A7289C" w:rsidRDefault="001938FD" w:rsidP="00B71C8D">
            <w:proofErr w:type="spellStart"/>
            <w:r>
              <w:t>Gouvernement</w:t>
            </w:r>
            <w:proofErr w:type="spellEnd"/>
            <w:r>
              <w:t xml:space="preserve"> </w:t>
            </w:r>
            <w:proofErr w:type="spellStart"/>
            <w:r>
              <w:t>d’Haïti</w:t>
            </w:r>
            <w:proofErr w:type="spellEnd"/>
          </w:p>
        </w:tc>
      </w:tr>
      <w:tr w:rsidR="001938FD" w:rsidRPr="00857EF9" w:rsidTr="004E7A7F">
        <w:tc>
          <w:tcPr>
            <w:tcW w:w="2014" w:type="dxa"/>
          </w:tcPr>
          <w:p w:rsidR="001938FD" w:rsidRPr="00A7289C" w:rsidRDefault="001938FD" w:rsidP="00B71C8D">
            <w:r>
              <w:t>HELP</w:t>
            </w:r>
          </w:p>
        </w:tc>
        <w:tc>
          <w:tcPr>
            <w:tcW w:w="7562" w:type="dxa"/>
          </w:tcPr>
          <w:p w:rsidR="001938FD" w:rsidRPr="00857EF9" w:rsidRDefault="001938FD" w:rsidP="00B71C8D">
            <w:pPr>
              <w:rPr>
                <w:lang w:val="fr-FR"/>
              </w:rPr>
            </w:pPr>
            <w:r w:rsidRPr="00857EF9">
              <w:rPr>
                <w:lang w:val="fr-FR"/>
              </w:rPr>
              <w:t>Programme de soutien économique à Haïti</w:t>
            </w:r>
          </w:p>
        </w:tc>
      </w:tr>
      <w:tr w:rsidR="001938FD" w:rsidRPr="00857EF9" w:rsidTr="004E7A7F">
        <w:tc>
          <w:tcPr>
            <w:tcW w:w="2014" w:type="dxa"/>
          </w:tcPr>
          <w:p w:rsidR="001938FD" w:rsidRPr="00A7289C" w:rsidRDefault="001938FD" w:rsidP="00B71C8D">
            <w:pPr>
              <w:rPr>
                <w:lang w:val="es-ES"/>
              </w:rPr>
            </w:pPr>
            <w:r>
              <w:t>HOPE II</w:t>
            </w:r>
          </w:p>
        </w:tc>
        <w:tc>
          <w:tcPr>
            <w:tcW w:w="7562" w:type="dxa"/>
          </w:tcPr>
          <w:p w:rsidR="001938FD" w:rsidRPr="00857EF9" w:rsidRDefault="001938FD" w:rsidP="00B71C8D">
            <w:pPr>
              <w:rPr>
                <w:lang w:val="fr-FR"/>
              </w:rPr>
            </w:pPr>
            <w:r w:rsidRPr="00857EF9">
              <w:rPr>
                <w:lang w:val="fr-FR"/>
              </w:rPr>
              <w:t>Opportunité hémisphérique haïtienne à travers l’encouragement au partenariat</w:t>
            </w:r>
          </w:p>
        </w:tc>
      </w:tr>
      <w:tr w:rsidR="001938FD" w:rsidRPr="00A7289C" w:rsidTr="004E7A7F">
        <w:tc>
          <w:tcPr>
            <w:tcW w:w="2014" w:type="dxa"/>
          </w:tcPr>
          <w:p w:rsidR="001938FD" w:rsidRPr="00A7289C" w:rsidRDefault="001938FD" w:rsidP="00B71C8D">
            <w:r>
              <w:t>IDA</w:t>
            </w:r>
          </w:p>
        </w:tc>
        <w:tc>
          <w:tcPr>
            <w:tcW w:w="7562" w:type="dxa"/>
          </w:tcPr>
          <w:p w:rsidR="001938FD" w:rsidRPr="00A7289C" w:rsidRDefault="001938FD" w:rsidP="00B71C8D">
            <w:pPr>
              <w:tabs>
                <w:tab w:val="left" w:pos="1080"/>
              </w:tabs>
            </w:pPr>
            <w:r>
              <w:t xml:space="preserve">Association </w:t>
            </w:r>
            <w:proofErr w:type="spellStart"/>
            <w:r>
              <w:t>internationale</w:t>
            </w:r>
            <w:proofErr w:type="spellEnd"/>
            <w:r>
              <w:t xml:space="preserve"> de </w:t>
            </w:r>
            <w:proofErr w:type="spellStart"/>
            <w:r>
              <w:t>développement</w:t>
            </w:r>
            <w:proofErr w:type="spellEnd"/>
          </w:p>
        </w:tc>
      </w:tr>
      <w:tr w:rsidR="001938FD" w:rsidRPr="00857EF9" w:rsidTr="004E7A7F">
        <w:tc>
          <w:tcPr>
            <w:tcW w:w="2014" w:type="dxa"/>
          </w:tcPr>
          <w:p w:rsidR="001938FD" w:rsidRPr="00A7289C" w:rsidRDefault="001938FD" w:rsidP="00B71C8D">
            <w:r>
              <w:t>MCI</w:t>
            </w:r>
          </w:p>
        </w:tc>
        <w:tc>
          <w:tcPr>
            <w:tcW w:w="7562" w:type="dxa"/>
          </w:tcPr>
          <w:p w:rsidR="001938FD" w:rsidRPr="00857EF9" w:rsidRDefault="001938FD" w:rsidP="00B71C8D">
            <w:pPr>
              <w:rPr>
                <w:lang w:val="fr-FR"/>
              </w:rPr>
            </w:pPr>
            <w:r w:rsidRPr="00857EF9">
              <w:rPr>
                <w:lang w:val="fr-FR"/>
              </w:rPr>
              <w:t>Ministère du Commerce et de l'Industrie</w:t>
            </w:r>
          </w:p>
        </w:tc>
      </w:tr>
      <w:tr w:rsidR="001938FD" w:rsidRPr="00113620" w:rsidTr="004E7A7F">
        <w:tc>
          <w:tcPr>
            <w:tcW w:w="2014" w:type="dxa"/>
          </w:tcPr>
          <w:p w:rsidR="001938FD" w:rsidRPr="00A7289C" w:rsidRDefault="001938FD" w:rsidP="00B71C8D">
            <w:r>
              <w:t>MEF</w:t>
            </w:r>
          </w:p>
        </w:tc>
        <w:tc>
          <w:tcPr>
            <w:tcW w:w="7562" w:type="dxa"/>
          </w:tcPr>
          <w:p w:rsidR="001938FD" w:rsidRPr="00857EF9" w:rsidRDefault="001938FD" w:rsidP="00B71C8D">
            <w:pPr>
              <w:rPr>
                <w:lang w:val="fr-FR"/>
              </w:rPr>
            </w:pPr>
            <w:r w:rsidRPr="00857EF9">
              <w:rPr>
                <w:lang w:val="fr-FR"/>
              </w:rPr>
              <w:t>Ministère de l’Économie et des Finances</w:t>
            </w:r>
          </w:p>
        </w:tc>
      </w:tr>
      <w:tr w:rsidR="001938FD" w:rsidRPr="00857EF9" w:rsidTr="004E7A7F">
        <w:tc>
          <w:tcPr>
            <w:tcW w:w="2014" w:type="dxa"/>
          </w:tcPr>
          <w:p w:rsidR="001938FD" w:rsidRPr="00A7289C" w:rsidRDefault="001938FD" w:rsidP="00B71C8D">
            <w:r>
              <w:t>MPME</w:t>
            </w:r>
          </w:p>
        </w:tc>
        <w:tc>
          <w:tcPr>
            <w:tcW w:w="7562" w:type="dxa"/>
          </w:tcPr>
          <w:p w:rsidR="001938FD" w:rsidRPr="00857EF9" w:rsidRDefault="001938FD" w:rsidP="00B71C8D">
            <w:pPr>
              <w:rPr>
                <w:lang w:val="fr-FR"/>
              </w:rPr>
            </w:pPr>
            <w:r w:rsidRPr="00857EF9">
              <w:rPr>
                <w:lang w:val="fr-FR"/>
              </w:rPr>
              <w:t>Micro, petites et moyennes entreprises</w:t>
            </w:r>
          </w:p>
        </w:tc>
      </w:tr>
      <w:tr w:rsidR="001938FD" w:rsidRPr="00A7289C" w:rsidTr="004E7A7F">
        <w:tc>
          <w:tcPr>
            <w:tcW w:w="2014" w:type="dxa"/>
          </w:tcPr>
          <w:p w:rsidR="001938FD" w:rsidRPr="00A7289C" w:rsidRDefault="001938FD" w:rsidP="00B71C8D">
            <w:r>
              <w:t>NSI</w:t>
            </w:r>
          </w:p>
        </w:tc>
        <w:tc>
          <w:tcPr>
            <w:tcW w:w="7562" w:type="dxa"/>
          </w:tcPr>
          <w:p w:rsidR="001938FD" w:rsidRPr="00A7289C" w:rsidRDefault="001938FD" w:rsidP="00B71C8D">
            <w:r>
              <w:t xml:space="preserve">Note de </w:t>
            </w:r>
            <w:proofErr w:type="spellStart"/>
            <w:r>
              <w:t>stratégie</w:t>
            </w:r>
            <w:proofErr w:type="spellEnd"/>
            <w:r>
              <w:t xml:space="preserve"> </w:t>
            </w:r>
            <w:proofErr w:type="spellStart"/>
            <w:r>
              <w:t>intérimaire</w:t>
            </w:r>
            <w:proofErr w:type="spellEnd"/>
            <w:r>
              <w:t xml:space="preserve"> </w:t>
            </w:r>
          </w:p>
        </w:tc>
      </w:tr>
      <w:tr w:rsidR="001938FD" w:rsidRPr="00857EF9" w:rsidTr="004E7A7F">
        <w:tc>
          <w:tcPr>
            <w:tcW w:w="2014" w:type="dxa"/>
          </w:tcPr>
          <w:p w:rsidR="001938FD" w:rsidRPr="00A7289C" w:rsidRDefault="001938FD" w:rsidP="00B71C8D">
            <w:r>
              <w:lastRenderedPageBreak/>
              <w:t>ODP</w:t>
            </w:r>
          </w:p>
        </w:tc>
        <w:tc>
          <w:tcPr>
            <w:tcW w:w="7562" w:type="dxa"/>
          </w:tcPr>
          <w:p w:rsidR="001938FD" w:rsidRPr="00857EF9" w:rsidRDefault="001938FD" w:rsidP="00B71C8D">
            <w:pPr>
              <w:tabs>
                <w:tab w:val="left" w:pos="1080"/>
              </w:tabs>
              <w:rPr>
                <w:lang w:val="fr-FR"/>
              </w:rPr>
            </w:pPr>
            <w:r w:rsidRPr="00857EF9">
              <w:rPr>
                <w:lang w:val="fr-FR"/>
              </w:rPr>
              <w:t>Objectif de développement du projet</w:t>
            </w:r>
          </w:p>
        </w:tc>
      </w:tr>
      <w:tr w:rsidR="00A3792F" w:rsidRPr="00857EF9" w:rsidTr="004E7A7F">
        <w:tc>
          <w:tcPr>
            <w:tcW w:w="2014" w:type="dxa"/>
          </w:tcPr>
          <w:p w:rsidR="00A3792F" w:rsidRPr="00A7289C" w:rsidRDefault="00A3792F" w:rsidP="00A3792F">
            <w:r w:rsidRPr="001450BB">
              <w:rPr>
                <w:lang w:val="fr-FR"/>
              </w:rPr>
              <w:t>OEA</w:t>
            </w:r>
          </w:p>
        </w:tc>
        <w:tc>
          <w:tcPr>
            <w:tcW w:w="7562" w:type="dxa"/>
          </w:tcPr>
          <w:p w:rsidR="00A3792F" w:rsidRPr="00A7289C" w:rsidRDefault="00A3792F" w:rsidP="00A3792F">
            <w:proofErr w:type="spellStart"/>
            <w:r>
              <w:t>Organisations</w:t>
            </w:r>
            <w:proofErr w:type="spellEnd"/>
            <w:r>
              <w:t xml:space="preserve"> des </w:t>
            </w:r>
            <w:proofErr w:type="spellStart"/>
            <w:r>
              <w:t>États</w:t>
            </w:r>
            <w:proofErr w:type="spellEnd"/>
            <w:r>
              <w:t xml:space="preserve"> </w:t>
            </w:r>
            <w:proofErr w:type="spellStart"/>
            <w:r>
              <w:t>américains</w:t>
            </w:r>
            <w:proofErr w:type="spellEnd"/>
          </w:p>
        </w:tc>
      </w:tr>
      <w:tr w:rsidR="00A3792F" w:rsidRPr="00857EF9" w:rsidTr="004E7A7F">
        <w:tc>
          <w:tcPr>
            <w:tcW w:w="2014" w:type="dxa"/>
          </w:tcPr>
          <w:p w:rsidR="00A3792F" w:rsidRPr="00A7289C" w:rsidRDefault="00A3792F" w:rsidP="00B71C8D">
            <w:r>
              <w:t>ORAF</w:t>
            </w:r>
          </w:p>
        </w:tc>
        <w:tc>
          <w:tcPr>
            <w:tcW w:w="7562" w:type="dxa"/>
          </w:tcPr>
          <w:p w:rsidR="00A3792F" w:rsidRPr="00857EF9" w:rsidRDefault="00A3792F" w:rsidP="00B71C8D">
            <w:pPr>
              <w:rPr>
                <w:lang w:val="fr-FR"/>
              </w:rPr>
            </w:pPr>
            <w:r w:rsidRPr="00857EF9">
              <w:rPr>
                <w:lang w:val="fr-FR"/>
              </w:rPr>
              <w:t>Cadre d’évaluation des risques opérationnels</w:t>
            </w:r>
          </w:p>
        </w:tc>
      </w:tr>
      <w:tr w:rsidR="00A3792F" w:rsidRPr="00857EF9" w:rsidTr="004E7A7F">
        <w:tc>
          <w:tcPr>
            <w:tcW w:w="2014" w:type="dxa"/>
          </w:tcPr>
          <w:p w:rsidR="00A3792F" w:rsidRPr="00A7289C" w:rsidRDefault="00A3792F" w:rsidP="00B71C8D">
            <w:r>
              <w:t>PDNA</w:t>
            </w:r>
          </w:p>
        </w:tc>
        <w:tc>
          <w:tcPr>
            <w:tcW w:w="7562" w:type="dxa"/>
          </w:tcPr>
          <w:p w:rsidR="00A3792F" w:rsidRPr="00857EF9" w:rsidRDefault="00A3792F" w:rsidP="00B71C8D">
            <w:pPr>
              <w:rPr>
                <w:lang w:val="fr-FR"/>
              </w:rPr>
            </w:pPr>
            <w:r w:rsidRPr="00857EF9">
              <w:rPr>
                <w:lang w:val="fr-FR"/>
              </w:rPr>
              <w:t>Évaluation des besoins après la catastrophe</w:t>
            </w:r>
          </w:p>
        </w:tc>
      </w:tr>
      <w:tr w:rsidR="00A3792F" w:rsidRPr="00A7289C" w:rsidTr="004E7A7F">
        <w:tc>
          <w:tcPr>
            <w:tcW w:w="2014" w:type="dxa"/>
          </w:tcPr>
          <w:p w:rsidR="00A3792F" w:rsidRPr="00A7289C" w:rsidRDefault="00A3792F" w:rsidP="00B71C8D">
            <w:pPr>
              <w:rPr>
                <w:lang w:val="es-ES"/>
              </w:rPr>
            </w:pPr>
            <w:r>
              <w:t>PIB</w:t>
            </w:r>
          </w:p>
        </w:tc>
        <w:tc>
          <w:tcPr>
            <w:tcW w:w="7562" w:type="dxa"/>
          </w:tcPr>
          <w:p w:rsidR="00A3792F" w:rsidRPr="00A7289C" w:rsidRDefault="00A3792F" w:rsidP="00B71C8D">
            <w:proofErr w:type="spellStart"/>
            <w:r>
              <w:t>Produit</w:t>
            </w:r>
            <w:proofErr w:type="spellEnd"/>
            <w:r>
              <w:t xml:space="preserve"> </w:t>
            </w:r>
            <w:proofErr w:type="spellStart"/>
            <w:r>
              <w:t>intérieur</w:t>
            </w:r>
            <w:proofErr w:type="spellEnd"/>
            <w:r>
              <w:t xml:space="preserve"> brut</w:t>
            </w:r>
          </w:p>
        </w:tc>
      </w:tr>
      <w:tr w:rsidR="00A3792F" w:rsidRPr="00A7289C" w:rsidTr="004E7A7F">
        <w:tc>
          <w:tcPr>
            <w:tcW w:w="2014" w:type="dxa"/>
          </w:tcPr>
          <w:p w:rsidR="00A3792F" w:rsidRPr="00A7289C" w:rsidRDefault="00A3792F" w:rsidP="00B71C8D">
            <w:r>
              <w:t>PIM</w:t>
            </w:r>
          </w:p>
        </w:tc>
        <w:tc>
          <w:tcPr>
            <w:tcW w:w="7562" w:type="dxa"/>
          </w:tcPr>
          <w:p w:rsidR="00A3792F" w:rsidRPr="001938FD" w:rsidRDefault="00A3792F" w:rsidP="00B71C8D">
            <w:proofErr w:type="spellStart"/>
            <w:r w:rsidRPr="001938FD">
              <w:t>Parc</w:t>
            </w:r>
            <w:proofErr w:type="spellEnd"/>
            <w:r w:rsidRPr="001938FD">
              <w:t xml:space="preserve"> </w:t>
            </w:r>
            <w:proofErr w:type="spellStart"/>
            <w:r w:rsidRPr="001938FD">
              <w:t>Industriel</w:t>
            </w:r>
            <w:proofErr w:type="spellEnd"/>
            <w:r w:rsidRPr="001938FD">
              <w:t xml:space="preserve"> </w:t>
            </w:r>
            <w:proofErr w:type="spellStart"/>
            <w:r w:rsidRPr="001938FD">
              <w:t>Métropolitain</w:t>
            </w:r>
            <w:proofErr w:type="spellEnd"/>
            <w:r w:rsidRPr="001938FD">
              <w:t xml:space="preserve"> </w:t>
            </w:r>
          </w:p>
        </w:tc>
      </w:tr>
      <w:tr w:rsidR="00A3792F" w:rsidRPr="00A7289C" w:rsidTr="004E7A7F">
        <w:tc>
          <w:tcPr>
            <w:tcW w:w="2014" w:type="dxa"/>
          </w:tcPr>
          <w:p w:rsidR="00A3792F" w:rsidRPr="00A7289C" w:rsidRDefault="00A3792F" w:rsidP="00B71C8D">
            <w:r>
              <w:t>PME</w:t>
            </w:r>
          </w:p>
        </w:tc>
        <w:tc>
          <w:tcPr>
            <w:tcW w:w="7562" w:type="dxa"/>
          </w:tcPr>
          <w:p w:rsidR="00A3792F" w:rsidRPr="001938FD" w:rsidRDefault="00A3792F" w:rsidP="00B71C8D">
            <w:pPr>
              <w:tabs>
                <w:tab w:val="left" w:pos="1080"/>
              </w:tabs>
              <w:ind w:left="1080" w:hanging="1080"/>
              <w:rPr>
                <w:color w:val="000000"/>
              </w:rPr>
            </w:pPr>
            <w:r w:rsidRPr="001938FD">
              <w:rPr>
                <w:color w:val="000000"/>
              </w:rPr>
              <w:t xml:space="preserve">Petites et </w:t>
            </w:r>
            <w:proofErr w:type="spellStart"/>
            <w:r w:rsidRPr="001938FD">
              <w:rPr>
                <w:color w:val="000000"/>
              </w:rPr>
              <w:t>moyennes</w:t>
            </w:r>
            <w:proofErr w:type="spellEnd"/>
            <w:r w:rsidRPr="001938FD">
              <w:rPr>
                <w:color w:val="000000"/>
              </w:rPr>
              <w:t xml:space="preserve"> </w:t>
            </w:r>
            <w:proofErr w:type="spellStart"/>
            <w:r w:rsidRPr="001938FD">
              <w:rPr>
                <w:color w:val="000000"/>
              </w:rPr>
              <w:t>entreprises</w:t>
            </w:r>
            <w:proofErr w:type="spellEnd"/>
          </w:p>
        </w:tc>
      </w:tr>
      <w:tr w:rsidR="00A3792F" w:rsidRPr="00A7289C" w:rsidTr="004E7A7F">
        <w:tc>
          <w:tcPr>
            <w:tcW w:w="2014" w:type="dxa"/>
          </w:tcPr>
          <w:p w:rsidR="00A3792F" w:rsidRPr="00A7289C" w:rsidRDefault="00A3792F" w:rsidP="00B71C8D">
            <w:r>
              <w:t>PPP</w:t>
            </w:r>
          </w:p>
        </w:tc>
        <w:tc>
          <w:tcPr>
            <w:tcW w:w="7562" w:type="dxa"/>
          </w:tcPr>
          <w:p w:rsidR="00A3792F" w:rsidRPr="001938FD" w:rsidRDefault="00A3792F" w:rsidP="00B71C8D">
            <w:proofErr w:type="spellStart"/>
            <w:r w:rsidRPr="001938FD">
              <w:t>Partenariat</w:t>
            </w:r>
            <w:proofErr w:type="spellEnd"/>
            <w:r w:rsidRPr="001938FD">
              <w:t xml:space="preserve"> public-</w:t>
            </w:r>
            <w:proofErr w:type="spellStart"/>
            <w:r w:rsidRPr="001938FD">
              <w:t>privé</w:t>
            </w:r>
            <w:proofErr w:type="spellEnd"/>
          </w:p>
        </w:tc>
      </w:tr>
      <w:tr w:rsidR="00A3792F" w:rsidRPr="00A7289C" w:rsidTr="004E7A7F">
        <w:tc>
          <w:tcPr>
            <w:tcW w:w="2014" w:type="dxa"/>
          </w:tcPr>
          <w:p w:rsidR="00A3792F" w:rsidRPr="00A7289C" w:rsidRDefault="00A3792F" w:rsidP="00B71C8D">
            <w:r>
              <w:t>RNB</w:t>
            </w:r>
          </w:p>
        </w:tc>
        <w:tc>
          <w:tcPr>
            <w:tcW w:w="7562" w:type="dxa"/>
          </w:tcPr>
          <w:p w:rsidR="00A3792F" w:rsidRPr="001938FD" w:rsidRDefault="00A3792F" w:rsidP="00B71C8D">
            <w:proofErr w:type="spellStart"/>
            <w:r w:rsidRPr="001938FD">
              <w:t>Revenu</w:t>
            </w:r>
            <w:proofErr w:type="spellEnd"/>
            <w:r w:rsidRPr="001938FD">
              <w:t xml:space="preserve"> national brut</w:t>
            </w:r>
          </w:p>
        </w:tc>
      </w:tr>
      <w:tr w:rsidR="00A3792F" w:rsidRPr="00857EF9" w:rsidTr="004E7A7F">
        <w:tc>
          <w:tcPr>
            <w:tcW w:w="2014" w:type="dxa"/>
          </w:tcPr>
          <w:p w:rsidR="00A3792F" w:rsidRPr="00A7289C" w:rsidRDefault="00A3792F" w:rsidP="00B71C8D">
            <w:r>
              <w:t>SDE</w:t>
            </w:r>
          </w:p>
        </w:tc>
        <w:tc>
          <w:tcPr>
            <w:tcW w:w="7562" w:type="dxa"/>
          </w:tcPr>
          <w:p w:rsidR="00A3792F" w:rsidRPr="00857EF9" w:rsidRDefault="00A3792F" w:rsidP="00B71C8D">
            <w:pPr>
              <w:rPr>
                <w:lang w:val="fr-FR"/>
              </w:rPr>
            </w:pPr>
            <w:r w:rsidRPr="00857EF9">
              <w:rPr>
                <w:lang w:val="fr-FR"/>
              </w:rPr>
              <w:t>Services de développement des entreprises</w:t>
            </w:r>
          </w:p>
        </w:tc>
      </w:tr>
      <w:tr w:rsidR="00A3792F" w:rsidRPr="00A7289C" w:rsidTr="004E7A7F">
        <w:tc>
          <w:tcPr>
            <w:tcW w:w="2014" w:type="dxa"/>
          </w:tcPr>
          <w:p w:rsidR="00A3792F" w:rsidRPr="00A7289C" w:rsidRDefault="00A3792F" w:rsidP="00B71C8D">
            <w:r>
              <w:t>SE</w:t>
            </w:r>
          </w:p>
        </w:tc>
        <w:tc>
          <w:tcPr>
            <w:tcW w:w="7562" w:type="dxa"/>
          </w:tcPr>
          <w:p w:rsidR="00A3792F" w:rsidRPr="001938FD" w:rsidRDefault="00A3792F" w:rsidP="00B71C8D">
            <w:proofErr w:type="spellStart"/>
            <w:r w:rsidRPr="001938FD">
              <w:t>Suivi-évaluation</w:t>
            </w:r>
            <w:proofErr w:type="spellEnd"/>
          </w:p>
        </w:tc>
      </w:tr>
      <w:tr w:rsidR="00A3792F" w:rsidRPr="00A7289C" w:rsidTr="004E7A7F">
        <w:tc>
          <w:tcPr>
            <w:tcW w:w="2014" w:type="dxa"/>
          </w:tcPr>
          <w:p w:rsidR="00A3792F" w:rsidRPr="00A7289C" w:rsidRDefault="00A3792F" w:rsidP="00A3792F">
            <w:r w:rsidRPr="001450BB">
              <w:rPr>
                <w:lang w:val="fr-FR"/>
              </w:rPr>
              <w:t>SFI</w:t>
            </w:r>
          </w:p>
        </w:tc>
        <w:tc>
          <w:tcPr>
            <w:tcW w:w="7562" w:type="dxa"/>
          </w:tcPr>
          <w:p w:rsidR="00A3792F" w:rsidRPr="00A7289C" w:rsidRDefault="00A3792F" w:rsidP="00A3792F">
            <w:proofErr w:type="spellStart"/>
            <w:r>
              <w:t>Société</w:t>
            </w:r>
            <w:proofErr w:type="spellEnd"/>
            <w:r>
              <w:t xml:space="preserve"> </w:t>
            </w:r>
            <w:proofErr w:type="spellStart"/>
            <w:r>
              <w:t>financière</w:t>
            </w:r>
            <w:proofErr w:type="spellEnd"/>
            <w:r>
              <w:t xml:space="preserve"> </w:t>
            </w:r>
            <w:proofErr w:type="spellStart"/>
            <w:r>
              <w:t>internationale</w:t>
            </w:r>
            <w:proofErr w:type="spellEnd"/>
          </w:p>
        </w:tc>
      </w:tr>
      <w:tr w:rsidR="00A3792F" w:rsidRPr="00857EF9" w:rsidTr="004E7A7F">
        <w:tc>
          <w:tcPr>
            <w:tcW w:w="2014" w:type="dxa"/>
          </w:tcPr>
          <w:p w:rsidR="00A3792F" w:rsidRPr="00A7289C" w:rsidRDefault="00A3792F" w:rsidP="00B71C8D">
            <w:r>
              <w:t xml:space="preserve">SONAPI </w:t>
            </w:r>
          </w:p>
        </w:tc>
        <w:tc>
          <w:tcPr>
            <w:tcW w:w="7562" w:type="dxa"/>
          </w:tcPr>
          <w:p w:rsidR="00A3792F" w:rsidRPr="001938FD" w:rsidDel="00290CD4" w:rsidRDefault="00A3792F" w:rsidP="00B71C8D">
            <w:pPr>
              <w:tabs>
                <w:tab w:val="left" w:pos="1080"/>
              </w:tabs>
              <w:spacing w:before="100" w:beforeAutospacing="1" w:after="100" w:afterAutospacing="1"/>
              <w:ind w:left="1080" w:hanging="1080"/>
              <w:rPr>
                <w:color w:val="000000"/>
                <w:lang w:val="fr-HT"/>
              </w:rPr>
            </w:pPr>
            <w:r w:rsidRPr="00857EF9">
              <w:rPr>
                <w:color w:val="000000"/>
                <w:lang w:val="fr-FR"/>
              </w:rPr>
              <w:t xml:space="preserve">Société Nationale des Parcs Industriels </w:t>
            </w:r>
          </w:p>
        </w:tc>
      </w:tr>
      <w:tr w:rsidR="00A3792F" w:rsidRPr="00A7289C" w:rsidTr="004E7A7F">
        <w:tc>
          <w:tcPr>
            <w:tcW w:w="2014" w:type="dxa"/>
          </w:tcPr>
          <w:p w:rsidR="00A3792F" w:rsidRPr="00A7289C" w:rsidRDefault="00A3792F" w:rsidP="00B71C8D">
            <w:pPr>
              <w:rPr>
                <w:lang w:val="es-ES"/>
              </w:rPr>
            </w:pPr>
            <w:r>
              <w:t>TRE</w:t>
            </w:r>
          </w:p>
        </w:tc>
        <w:tc>
          <w:tcPr>
            <w:tcW w:w="7562" w:type="dxa"/>
          </w:tcPr>
          <w:p w:rsidR="00A3792F" w:rsidRPr="001938FD" w:rsidRDefault="00A3792F" w:rsidP="00B71C8D">
            <w:proofErr w:type="spellStart"/>
            <w:r w:rsidRPr="001938FD">
              <w:t>Taux</w:t>
            </w:r>
            <w:proofErr w:type="spellEnd"/>
            <w:r w:rsidRPr="001938FD">
              <w:t xml:space="preserve"> de </w:t>
            </w:r>
            <w:proofErr w:type="spellStart"/>
            <w:r w:rsidRPr="001938FD">
              <w:t>rentabilité</w:t>
            </w:r>
            <w:proofErr w:type="spellEnd"/>
            <w:r w:rsidRPr="001938FD">
              <w:t xml:space="preserve"> </w:t>
            </w:r>
            <w:proofErr w:type="spellStart"/>
            <w:r w:rsidRPr="001938FD">
              <w:t>économique</w:t>
            </w:r>
            <w:proofErr w:type="spellEnd"/>
            <w:r w:rsidRPr="001938FD">
              <w:t xml:space="preserve"> </w:t>
            </w:r>
          </w:p>
        </w:tc>
      </w:tr>
      <w:tr w:rsidR="00A3792F" w:rsidRPr="00113620" w:rsidTr="004E7A7F">
        <w:tc>
          <w:tcPr>
            <w:tcW w:w="2014" w:type="dxa"/>
          </w:tcPr>
          <w:p w:rsidR="00A3792F" w:rsidRPr="00A7289C" w:rsidRDefault="00A3792F" w:rsidP="00CB3DE9">
            <w:r>
              <w:t>UCP</w:t>
            </w:r>
          </w:p>
        </w:tc>
        <w:tc>
          <w:tcPr>
            <w:tcW w:w="7562" w:type="dxa"/>
            <w:shd w:val="clear" w:color="auto" w:fill="auto"/>
          </w:tcPr>
          <w:p w:rsidR="00A3792F" w:rsidRPr="001938FD" w:rsidRDefault="00A3792F" w:rsidP="00A6639A">
            <w:pPr>
              <w:rPr>
                <w:lang w:val="fr-HT"/>
              </w:rPr>
            </w:pPr>
            <w:r w:rsidRPr="00857EF9">
              <w:rPr>
                <w:lang w:val="fr-FR"/>
              </w:rPr>
              <w:t>Unité de Coordination de Projet</w:t>
            </w:r>
          </w:p>
        </w:tc>
      </w:tr>
      <w:tr w:rsidR="00A3792F" w:rsidRPr="00A7289C" w:rsidTr="004E7A7F">
        <w:tc>
          <w:tcPr>
            <w:tcW w:w="2014" w:type="dxa"/>
          </w:tcPr>
          <w:p w:rsidR="00A3792F" w:rsidRPr="00A7289C" w:rsidRDefault="00A3792F" w:rsidP="00157845">
            <w:pPr>
              <w:rPr>
                <w:lang w:val="es-ES"/>
              </w:rPr>
            </w:pPr>
            <w:r>
              <w:t>UE</w:t>
            </w:r>
          </w:p>
        </w:tc>
        <w:tc>
          <w:tcPr>
            <w:tcW w:w="7562" w:type="dxa"/>
          </w:tcPr>
          <w:p w:rsidR="00A3792F" w:rsidRPr="00A7289C" w:rsidRDefault="006C6DA9" w:rsidP="00157845">
            <w:pPr>
              <w:spacing w:before="100" w:beforeAutospacing="1" w:after="100" w:afterAutospacing="1"/>
              <w:rPr>
                <w:iCs/>
                <w:color w:val="000000"/>
                <w:lang w:val="fr-HT"/>
              </w:rPr>
            </w:pPr>
            <w:r>
              <w:rPr>
                <w:iCs/>
                <w:color w:val="000000"/>
              </w:rPr>
              <w:t xml:space="preserve">Union </w:t>
            </w:r>
            <w:proofErr w:type="spellStart"/>
            <w:r>
              <w:rPr>
                <w:iCs/>
                <w:color w:val="000000"/>
              </w:rPr>
              <w:t>E</w:t>
            </w:r>
            <w:r w:rsidR="00A3792F">
              <w:rPr>
                <w:iCs/>
                <w:color w:val="000000"/>
              </w:rPr>
              <w:t>uropéenne</w:t>
            </w:r>
            <w:proofErr w:type="spellEnd"/>
          </w:p>
        </w:tc>
      </w:tr>
      <w:tr w:rsidR="00A3792F" w:rsidRPr="00A7289C" w:rsidTr="004E7A7F">
        <w:tc>
          <w:tcPr>
            <w:tcW w:w="2014" w:type="dxa"/>
          </w:tcPr>
          <w:p w:rsidR="00A3792F" w:rsidRPr="00A7289C" w:rsidRDefault="00A3792F" w:rsidP="00B71C8D">
            <w:r>
              <w:t>UEP</w:t>
            </w:r>
          </w:p>
        </w:tc>
        <w:tc>
          <w:tcPr>
            <w:tcW w:w="7562" w:type="dxa"/>
          </w:tcPr>
          <w:p w:rsidR="00A3792F" w:rsidRPr="00A7289C" w:rsidRDefault="00A3792F" w:rsidP="00B71C8D">
            <w:pPr>
              <w:tabs>
                <w:tab w:val="left" w:pos="1080"/>
              </w:tabs>
            </w:pPr>
            <w:proofErr w:type="spellStart"/>
            <w:r>
              <w:t>Unité</w:t>
            </w:r>
            <w:proofErr w:type="spellEnd"/>
            <w:r>
              <w:t xml:space="preserve"> </w:t>
            </w:r>
            <w:proofErr w:type="spellStart"/>
            <w:r>
              <w:t>d’exécution</w:t>
            </w:r>
            <w:proofErr w:type="spellEnd"/>
            <w:r>
              <w:t xml:space="preserve"> du </w:t>
            </w:r>
            <w:proofErr w:type="spellStart"/>
            <w:r>
              <w:t>projet</w:t>
            </w:r>
            <w:proofErr w:type="spellEnd"/>
          </w:p>
        </w:tc>
      </w:tr>
      <w:tr w:rsidR="00A3792F" w:rsidRPr="00857EF9" w:rsidTr="004E7A7F">
        <w:tc>
          <w:tcPr>
            <w:tcW w:w="2014" w:type="dxa"/>
          </w:tcPr>
          <w:p w:rsidR="00A3792F" w:rsidRPr="00A7289C" w:rsidRDefault="00A3792F" w:rsidP="00B71C8D">
            <w:r>
              <w:t>UNESCO</w:t>
            </w:r>
          </w:p>
        </w:tc>
        <w:tc>
          <w:tcPr>
            <w:tcW w:w="7562" w:type="dxa"/>
          </w:tcPr>
          <w:p w:rsidR="00A3792F" w:rsidRPr="00857EF9" w:rsidRDefault="00A3792F" w:rsidP="00F428BC">
            <w:pPr>
              <w:tabs>
                <w:tab w:val="left" w:pos="1080"/>
              </w:tabs>
              <w:spacing w:before="100" w:beforeAutospacing="1" w:after="100" w:afterAutospacing="1"/>
              <w:ind w:left="1080" w:hanging="1080"/>
              <w:rPr>
                <w:i/>
                <w:lang w:val="fr-FR"/>
              </w:rPr>
            </w:pPr>
            <w:r w:rsidRPr="00857EF9">
              <w:rPr>
                <w:bCs/>
                <w:lang w:val="fr-FR"/>
              </w:rPr>
              <w:t>Organisation des Nations Unies pour l'éducation, la science et la culture</w:t>
            </w:r>
          </w:p>
        </w:tc>
      </w:tr>
      <w:tr w:rsidR="00A3792F" w:rsidRPr="00857EF9" w:rsidTr="004E7A7F">
        <w:tc>
          <w:tcPr>
            <w:tcW w:w="2014" w:type="dxa"/>
          </w:tcPr>
          <w:p w:rsidR="00A3792F" w:rsidRPr="00A7289C" w:rsidRDefault="00A3792F" w:rsidP="00A3792F">
            <w:r w:rsidRPr="001450BB">
              <w:rPr>
                <w:lang w:val="fr-FR"/>
              </w:rPr>
              <w:t>USA</w:t>
            </w:r>
          </w:p>
        </w:tc>
        <w:tc>
          <w:tcPr>
            <w:tcW w:w="7562" w:type="dxa"/>
          </w:tcPr>
          <w:p w:rsidR="00A3792F" w:rsidRPr="00A7289C" w:rsidRDefault="00A3792F" w:rsidP="00A3792F">
            <w:pPr>
              <w:rPr>
                <w:color w:val="000000"/>
              </w:rPr>
            </w:pPr>
            <w:proofErr w:type="spellStart"/>
            <w:r>
              <w:rPr>
                <w:color w:val="000000"/>
              </w:rPr>
              <w:t>États-Unis</w:t>
            </w:r>
            <w:proofErr w:type="spellEnd"/>
          </w:p>
        </w:tc>
      </w:tr>
      <w:tr w:rsidR="00A3792F" w:rsidRPr="00857EF9" w:rsidTr="004E7A7F">
        <w:tc>
          <w:tcPr>
            <w:tcW w:w="2014" w:type="dxa"/>
          </w:tcPr>
          <w:p w:rsidR="00A3792F" w:rsidRPr="00A7289C" w:rsidRDefault="00A3792F" w:rsidP="00B71C8D">
            <w:r>
              <w:t>USAID</w:t>
            </w:r>
          </w:p>
        </w:tc>
        <w:tc>
          <w:tcPr>
            <w:tcW w:w="7562" w:type="dxa"/>
          </w:tcPr>
          <w:p w:rsidR="00A3792F" w:rsidRPr="00857EF9" w:rsidRDefault="00A3792F" w:rsidP="00B71C8D">
            <w:pPr>
              <w:rPr>
                <w:color w:val="000000"/>
                <w:lang w:val="fr-FR"/>
              </w:rPr>
            </w:pPr>
            <w:r w:rsidRPr="00857EF9">
              <w:rPr>
                <w:color w:val="000000"/>
                <w:lang w:val="fr-FR"/>
              </w:rPr>
              <w:t>Agence des États-Unis pour le développement international</w:t>
            </w:r>
          </w:p>
        </w:tc>
      </w:tr>
      <w:tr w:rsidR="00A3792F" w:rsidRPr="00A7289C" w:rsidTr="004E7A7F">
        <w:tc>
          <w:tcPr>
            <w:tcW w:w="2014" w:type="dxa"/>
          </w:tcPr>
          <w:p w:rsidR="00A3792F" w:rsidRPr="00A7289C" w:rsidRDefault="00A3792F" w:rsidP="00B71C8D">
            <w:r>
              <w:t>USD</w:t>
            </w:r>
          </w:p>
        </w:tc>
        <w:tc>
          <w:tcPr>
            <w:tcW w:w="7562" w:type="dxa"/>
          </w:tcPr>
          <w:p w:rsidR="00A3792F" w:rsidRPr="00A7289C" w:rsidRDefault="00A3792F" w:rsidP="00B71C8D">
            <w:pPr>
              <w:rPr>
                <w:color w:val="000000"/>
              </w:rPr>
            </w:pPr>
            <w:r>
              <w:rPr>
                <w:color w:val="000000"/>
              </w:rPr>
              <w:t xml:space="preserve">Dollar des </w:t>
            </w:r>
            <w:proofErr w:type="spellStart"/>
            <w:r>
              <w:rPr>
                <w:color w:val="000000"/>
              </w:rPr>
              <w:t>États-Unis</w:t>
            </w:r>
            <w:proofErr w:type="spellEnd"/>
          </w:p>
        </w:tc>
      </w:tr>
      <w:tr w:rsidR="00A3792F" w:rsidRPr="00A7289C" w:rsidTr="004E7A7F">
        <w:tc>
          <w:tcPr>
            <w:tcW w:w="2014" w:type="dxa"/>
          </w:tcPr>
          <w:p w:rsidR="00A3792F" w:rsidRPr="00A7289C" w:rsidRDefault="00A3792F" w:rsidP="002E145C">
            <w:r>
              <w:t>UTE</w:t>
            </w:r>
          </w:p>
        </w:tc>
        <w:tc>
          <w:tcPr>
            <w:tcW w:w="7562" w:type="dxa"/>
          </w:tcPr>
          <w:p w:rsidR="00A3792F" w:rsidRPr="001938FD" w:rsidRDefault="00A3792F" w:rsidP="00B71C8D">
            <w:pPr>
              <w:spacing w:before="100" w:beforeAutospacing="1" w:after="100" w:afterAutospacing="1"/>
              <w:rPr>
                <w:lang w:val="fr-HT"/>
              </w:rPr>
            </w:pPr>
            <w:proofErr w:type="spellStart"/>
            <w:r w:rsidRPr="001938FD">
              <w:rPr>
                <w:iCs/>
              </w:rPr>
              <w:t>Unité</w:t>
            </w:r>
            <w:proofErr w:type="spellEnd"/>
            <w:r w:rsidRPr="001938FD">
              <w:rPr>
                <w:iCs/>
              </w:rPr>
              <w:t xml:space="preserve"> Technique </w:t>
            </w:r>
            <w:proofErr w:type="spellStart"/>
            <w:r w:rsidRPr="001938FD">
              <w:rPr>
                <w:iCs/>
              </w:rPr>
              <w:t>d’Exécution</w:t>
            </w:r>
            <w:proofErr w:type="spellEnd"/>
          </w:p>
        </w:tc>
      </w:tr>
      <w:tr w:rsidR="00A3792F" w:rsidRPr="00A7289C" w:rsidTr="004E7A7F">
        <w:tc>
          <w:tcPr>
            <w:tcW w:w="2014" w:type="dxa"/>
          </w:tcPr>
          <w:p w:rsidR="00A3792F" w:rsidRPr="00A7289C" w:rsidRDefault="00A3792F" w:rsidP="00B71C8D">
            <w:r>
              <w:t>VAN</w:t>
            </w:r>
          </w:p>
        </w:tc>
        <w:tc>
          <w:tcPr>
            <w:tcW w:w="7562" w:type="dxa"/>
          </w:tcPr>
          <w:p w:rsidR="00A3792F" w:rsidRPr="00A7289C" w:rsidRDefault="00A3792F" w:rsidP="00B71C8D">
            <w:proofErr w:type="spellStart"/>
            <w:r>
              <w:t>Valeur</w:t>
            </w:r>
            <w:proofErr w:type="spellEnd"/>
            <w:r>
              <w:t xml:space="preserve"> </w:t>
            </w:r>
            <w:proofErr w:type="spellStart"/>
            <w:r>
              <w:t>actualisée</w:t>
            </w:r>
            <w:proofErr w:type="spellEnd"/>
            <w:r>
              <w:t xml:space="preserve"> </w:t>
            </w:r>
            <w:proofErr w:type="spellStart"/>
            <w:r>
              <w:t>nette</w:t>
            </w:r>
            <w:proofErr w:type="spellEnd"/>
          </w:p>
        </w:tc>
      </w:tr>
      <w:tr w:rsidR="00A3792F" w:rsidRPr="00A7289C" w:rsidTr="004E7A7F">
        <w:tc>
          <w:tcPr>
            <w:tcW w:w="2014" w:type="dxa"/>
          </w:tcPr>
          <w:p w:rsidR="00A3792F" w:rsidRPr="00A7289C" w:rsidRDefault="00A3792F" w:rsidP="00B71C8D">
            <w:r>
              <w:t>ZEI</w:t>
            </w:r>
          </w:p>
        </w:tc>
        <w:tc>
          <w:tcPr>
            <w:tcW w:w="7562" w:type="dxa"/>
          </w:tcPr>
          <w:p w:rsidR="00A3792F" w:rsidRPr="00A7289C" w:rsidRDefault="00A3792F" w:rsidP="00B71C8D">
            <w:r>
              <w:t xml:space="preserve">Zone </w:t>
            </w:r>
            <w:proofErr w:type="spellStart"/>
            <w:r>
              <w:t>économique</w:t>
            </w:r>
            <w:proofErr w:type="spellEnd"/>
            <w:r>
              <w:t xml:space="preserve"> </w:t>
            </w:r>
            <w:proofErr w:type="spellStart"/>
            <w:r>
              <w:t>intégrée</w:t>
            </w:r>
            <w:proofErr w:type="spellEnd"/>
          </w:p>
        </w:tc>
      </w:tr>
    </w:tbl>
    <w:p w:rsidR="00B71C8D" w:rsidRPr="00A7289C" w:rsidRDefault="00B71C8D" w:rsidP="004E7A7F">
      <w:pPr>
        <w:ind w:left="288"/>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8"/>
        <w:gridCol w:w="360"/>
        <w:gridCol w:w="4548"/>
      </w:tblGrid>
      <w:tr w:rsidR="006718CC" w:rsidRPr="00A7289C" w:rsidTr="004E7A7F">
        <w:tc>
          <w:tcPr>
            <w:tcW w:w="4668" w:type="dxa"/>
          </w:tcPr>
          <w:p w:rsidR="006718CC" w:rsidRPr="00A7289C" w:rsidRDefault="006718CC" w:rsidP="006718CC">
            <w:pPr>
              <w:autoSpaceDE w:val="0"/>
              <w:autoSpaceDN w:val="0"/>
              <w:adjustRightInd w:val="0"/>
              <w:spacing w:line="240" w:lineRule="atLeast"/>
              <w:jc w:val="right"/>
              <w:rPr>
                <w:color w:val="000000"/>
                <w:szCs w:val="22"/>
              </w:rPr>
            </w:pPr>
            <w:r>
              <w:rPr>
                <w:color w:val="000000"/>
                <w:szCs w:val="22"/>
              </w:rPr>
              <w:t>Vice-</w:t>
            </w:r>
            <w:proofErr w:type="spellStart"/>
            <w:r>
              <w:rPr>
                <w:color w:val="000000"/>
                <w:szCs w:val="22"/>
              </w:rPr>
              <w:t>président</w:t>
            </w:r>
            <w:proofErr w:type="spellEnd"/>
            <w:r>
              <w:rPr>
                <w:color w:val="000000"/>
                <w:szCs w:val="22"/>
              </w:rPr>
              <w:t xml:space="preserve"> </w:t>
            </w:r>
            <w:proofErr w:type="spellStart"/>
            <w:r>
              <w:rPr>
                <w:color w:val="000000"/>
                <w:szCs w:val="22"/>
              </w:rPr>
              <w:t>régional</w:t>
            </w:r>
            <w:proofErr w:type="spellEnd"/>
            <w:r>
              <w:rPr>
                <w:color w:val="000000"/>
                <w:szCs w:val="22"/>
              </w:rPr>
              <w:t> :</w:t>
            </w:r>
          </w:p>
        </w:tc>
        <w:tc>
          <w:tcPr>
            <w:tcW w:w="360" w:type="dxa"/>
          </w:tcPr>
          <w:p w:rsidR="006718CC" w:rsidRPr="00A7289C" w:rsidRDefault="006718CC" w:rsidP="006718CC">
            <w:pPr>
              <w:autoSpaceDE w:val="0"/>
              <w:autoSpaceDN w:val="0"/>
              <w:adjustRightInd w:val="0"/>
              <w:spacing w:line="240" w:lineRule="atLeast"/>
              <w:rPr>
                <w:color w:val="000000"/>
                <w:szCs w:val="22"/>
              </w:rPr>
            </w:pPr>
          </w:p>
        </w:tc>
        <w:tc>
          <w:tcPr>
            <w:tcW w:w="4548" w:type="dxa"/>
          </w:tcPr>
          <w:p w:rsidR="006718CC" w:rsidRPr="00A7289C" w:rsidRDefault="006718CC" w:rsidP="006718CC">
            <w:pPr>
              <w:autoSpaceDE w:val="0"/>
              <w:autoSpaceDN w:val="0"/>
              <w:adjustRightInd w:val="0"/>
              <w:spacing w:line="240" w:lineRule="atLeast"/>
              <w:rPr>
                <w:color w:val="000000"/>
                <w:szCs w:val="22"/>
              </w:rPr>
            </w:pPr>
            <w:r>
              <w:rPr>
                <w:color w:val="000000"/>
                <w:szCs w:val="22"/>
              </w:rPr>
              <w:t xml:space="preserve"> </w:t>
            </w:r>
            <w:proofErr w:type="spellStart"/>
            <w:r>
              <w:rPr>
                <w:color w:val="000000"/>
                <w:szCs w:val="22"/>
              </w:rPr>
              <w:t>Hasan</w:t>
            </w:r>
            <w:proofErr w:type="spellEnd"/>
            <w:r>
              <w:rPr>
                <w:color w:val="000000"/>
                <w:szCs w:val="22"/>
              </w:rPr>
              <w:t xml:space="preserve"> A. Tulum</w:t>
            </w:r>
          </w:p>
        </w:tc>
      </w:tr>
      <w:tr w:rsidR="006718CC" w:rsidRPr="00A7289C" w:rsidTr="004E7A7F">
        <w:tc>
          <w:tcPr>
            <w:tcW w:w="4668" w:type="dxa"/>
          </w:tcPr>
          <w:p w:rsidR="006718CC" w:rsidRPr="00A7289C" w:rsidRDefault="006718CC" w:rsidP="006718CC">
            <w:pPr>
              <w:autoSpaceDE w:val="0"/>
              <w:autoSpaceDN w:val="0"/>
              <w:adjustRightInd w:val="0"/>
              <w:spacing w:line="240" w:lineRule="atLeast"/>
              <w:jc w:val="right"/>
              <w:rPr>
                <w:color w:val="000000"/>
                <w:szCs w:val="22"/>
              </w:rPr>
            </w:pPr>
            <w:proofErr w:type="spellStart"/>
            <w:r>
              <w:rPr>
                <w:color w:val="000000"/>
                <w:szCs w:val="22"/>
              </w:rPr>
              <w:t>Directeur</w:t>
            </w:r>
            <w:proofErr w:type="spellEnd"/>
            <w:r>
              <w:rPr>
                <w:color w:val="000000"/>
                <w:szCs w:val="22"/>
              </w:rPr>
              <w:t xml:space="preserve"> des </w:t>
            </w:r>
            <w:proofErr w:type="spellStart"/>
            <w:r>
              <w:rPr>
                <w:color w:val="000000"/>
                <w:szCs w:val="22"/>
              </w:rPr>
              <w:t>opérations</w:t>
            </w:r>
            <w:proofErr w:type="spellEnd"/>
            <w:r>
              <w:rPr>
                <w:color w:val="000000"/>
                <w:szCs w:val="22"/>
              </w:rPr>
              <w:t> :</w:t>
            </w:r>
          </w:p>
        </w:tc>
        <w:tc>
          <w:tcPr>
            <w:tcW w:w="360" w:type="dxa"/>
          </w:tcPr>
          <w:p w:rsidR="006718CC" w:rsidRPr="00A7289C" w:rsidRDefault="006718CC" w:rsidP="006718CC">
            <w:pPr>
              <w:autoSpaceDE w:val="0"/>
              <w:autoSpaceDN w:val="0"/>
              <w:adjustRightInd w:val="0"/>
              <w:spacing w:line="240" w:lineRule="atLeast"/>
              <w:rPr>
                <w:color w:val="000000"/>
                <w:szCs w:val="22"/>
              </w:rPr>
            </w:pPr>
          </w:p>
        </w:tc>
        <w:tc>
          <w:tcPr>
            <w:tcW w:w="4548" w:type="dxa"/>
          </w:tcPr>
          <w:p w:rsidR="006718CC" w:rsidRPr="00A7289C" w:rsidRDefault="006718CC" w:rsidP="006718CC">
            <w:pPr>
              <w:autoSpaceDE w:val="0"/>
              <w:autoSpaceDN w:val="0"/>
              <w:adjustRightInd w:val="0"/>
              <w:spacing w:line="240" w:lineRule="atLeast"/>
              <w:rPr>
                <w:color w:val="000000"/>
                <w:szCs w:val="22"/>
              </w:rPr>
            </w:pPr>
            <w:r>
              <w:rPr>
                <w:color w:val="000000"/>
                <w:szCs w:val="22"/>
              </w:rPr>
              <w:t xml:space="preserve"> </w:t>
            </w:r>
            <w:proofErr w:type="spellStart"/>
            <w:r>
              <w:rPr>
                <w:color w:val="000000"/>
                <w:szCs w:val="22"/>
              </w:rPr>
              <w:t>Alexandre</w:t>
            </w:r>
            <w:proofErr w:type="spellEnd"/>
            <w:r>
              <w:rPr>
                <w:color w:val="000000"/>
                <w:szCs w:val="22"/>
              </w:rPr>
              <w:t xml:space="preserve"> </w:t>
            </w:r>
            <w:proofErr w:type="spellStart"/>
            <w:r>
              <w:rPr>
                <w:color w:val="000000"/>
                <w:szCs w:val="22"/>
              </w:rPr>
              <w:t>Abrantes</w:t>
            </w:r>
            <w:proofErr w:type="spellEnd"/>
          </w:p>
        </w:tc>
      </w:tr>
      <w:tr w:rsidR="006718CC" w:rsidRPr="00A7289C" w:rsidTr="004E7A7F">
        <w:tc>
          <w:tcPr>
            <w:tcW w:w="4668" w:type="dxa"/>
          </w:tcPr>
          <w:p w:rsidR="006718CC" w:rsidRPr="00A7289C" w:rsidRDefault="006718CC" w:rsidP="006718CC">
            <w:pPr>
              <w:autoSpaceDE w:val="0"/>
              <w:autoSpaceDN w:val="0"/>
              <w:adjustRightInd w:val="0"/>
              <w:spacing w:line="240" w:lineRule="atLeast"/>
              <w:jc w:val="right"/>
              <w:rPr>
                <w:color w:val="000000"/>
                <w:szCs w:val="22"/>
              </w:rPr>
            </w:pPr>
            <w:proofErr w:type="spellStart"/>
            <w:r>
              <w:rPr>
                <w:color w:val="000000"/>
                <w:szCs w:val="22"/>
              </w:rPr>
              <w:t>Directeur</w:t>
            </w:r>
            <w:proofErr w:type="spellEnd"/>
            <w:r>
              <w:rPr>
                <w:color w:val="000000"/>
                <w:szCs w:val="22"/>
              </w:rPr>
              <w:t xml:space="preserve"> </w:t>
            </w:r>
            <w:proofErr w:type="spellStart"/>
            <w:r>
              <w:rPr>
                <w:color w:val="000000"/>
                <w:szCs w:val="22"/>
              </w:rPr>
              <w:t>sectoriel</w:t>
            </w:r>
            <w:proofErr w:type="spellEnd"/>
            <w:r>
              <w:rPr>
                <w:color w:val="000000"/>
                <w:szCs w:val="22"/>
              </w:rPr>
              <w:t> :</w:t>
            </w:r>
          </w:p>
        </w:tc>
        <w:tc>
          <w:tcPr>
            <w:tcW w:w="360" w:type="dxa"/>
          </w:tcPr>
          <w:p w:rsidR="006718CC" w:rsidRPr="00A7289C" w:rsidRDefault="006718CC" w:rsidP="006718CC">
            <w:pPr>
              <w:autoSpaceDE w:val="0"/>
              <w:autoSpaceDN w:val="0"/>
              <w:adjustRightInd w:val="0"/>
              <w:spacing w:line="240" w:lineRule="atLeast"/>
              <w:rPr>
                <w:color w:val="000000"/>
                <w:szCs w:val="22"/>
              </w:rPr>
            </w:pPr>
          </w:p>
        </w:tc>
        <w:tc>
          <w:tcPr>
            <w:tcW w:w="4548" w:type="dxa"/>
          </w:tcPr>
          <w:p w:rsidR="006718CC" w:rsidRPr="00A7289C" w:rsidRDefault="006718CC" w:rsidP="006718CC">
            <w:pPr>
              <w:autoSpaceDE w:val="0"/>
              <w:autoSpaceDN w:val="0"/>
              <w:adjustRightInd w:val="0"/>
              <w:spacing w:line="240" w:lineRule="atLeast"/>
              <w:rPr>
                <w:color w:val="000000"/>
                <w:szCs w:val="22"/>
              </w:rPr>
            </w:pPr>
            <w:r>
              <w:rPr>
                <w:color w:val="000000"/>
                <w:szCs w:val="22"/>
              </w:rPr>
              <w:t xml:space="preserve"> </w:t>
            </w:r>
            <w:proofErr w:type="spellStart"/>
            <w:r>
              <w:rPr>
                <w:color w:val="000000"/>
                <w:szCs w:val="22"/>
              </w:rPr>
              <w:t>Marialisa</w:t>
            </w:r>
            <w:proofErr w:type="spellEnd"/>
            <w:r>
              <w:rPr>
                <w:color w:val="000000"/>
                <w:szCs w:val="22"/>
              </w:rPr>
              <w:t xml:space="preserve"> Motta</w:t>
            </w:r>
          </w:p>
        </w:tc>
      </w:tr>
      <w:tr w:rsidR="006718CC" w:rsidRPr="00A7289C" w:rsidTr="004E7A7F">
        <w:tc>
          <w:tcPr>
            <w:tcW w:w="4668" w:type="dxa"/>
          </w:tcPr>
          <w:p w:rsidR="006718CC" w:rsidRPr="00A7289C" w:rsidRDefault="006718CC" w:rsidP="006718CC">
            <w:pPr>
              <w:autoSpaceDE w:val="0"/>
              <w:autoSpaceDN w:val="0"/>
              <w:adjustRightInd w:val="0"/>
              <w:spacing w:line="240" w:lineRule="atLeast"/>
              <w:jc w:val="right"/>
              <w:rPr>
                <w:color w:val="000000"/>
                <w:szCs w:val="22"/>
              </w:rPr>
            </w:pPr>
            <w:proofErr w:type="spellStart"/>
            <w:r>
              <w:rPr>
                <w:color w:val="000000"/>
                <w:szCs w:val="22"/>
              </w:rPr>
              <w:t>Responsable</w:t>
            </w:r>
            <w:proofErr w:type="spellEnd"/>
            <w:r>
              <w:rPr>
                <w:color w:val="000000"/>
                <w:szCs w:val="22"/>
              </w:rPr>
              <w:t xml:space="preserve"> </w:t>
            </w:r>
            <w:proofErr w:type="spellStart"/>
            <w:r>
              <w:rPr>
                <w:color w:val="000000"/>
                <w:szCs w:val="22"/>
              </w:rPr>
              <w:t>sectoriel</w:t>
            </w:r>
            <w:proofErr w:type="spellEnd"/>
            <w:r>
              <w:rPr>
                <w:color w:val="000000"/>
                <w:szCs w:val="22"/>
              </w:rPr>
              <w:t> :</w:t>
            </w:r>
          </w:p>
        </w:tc>
        <w:tc>
          <w:tcPr>
            <w:tcW w:w="360" w:type="dxa"/>
          </w:tcPr>
          <w:p w:rsidR="006718CC" w:rsidRPr="00A7289C" w:rsidRDefault="006718CC" w:rsidP="006718CC">
            <w:pPr>
              <w:autoSpaceDE w:val="0"/>
              <w:autoSpaceDN w:val="0"/>
              <w:adjustRightInd w:val="0"/>
              <w:spacing w:line="240" w:lineRule="atLeast"/>
              <w:rPr>
                <w:color w:val="000000"/>
                <w:szCs w:val="22"/>
              </w:rPr>
            </w:pPr>
          </w:p>
        </w:tc>
        <w:tc>
          <w:tcPr>
            <w:tcW w:w="4548" w:type="dxa"/>
          </w:tcPr>
          <w:p w:rsidR="006718CC" w:rsidRPr="00A7289C" w:rsidRDefault="00D52793" w:rsidP="006718CC">
            <w:pPr>
              <w:autoSpaceDE w:val="0"/>
              <w:autoSpaceDN w:val="0"/>
              <w:adjustRightInd w:val="0"/>
              <w:spacing w:line="240" w:lineRule="atLeast"/>
              <w:rPr>
                <w:color w:val="000000"/>
                <w:szCs w:val="22"/>
              </w:rPr>
            </w:pPr>
            <w:r>
              <w:rPr>
                <w:color w:val="000000"/>
                <w:szCs w:val="22"/>
              </w:rPr>
              <w:t xml:space="preserve"> P.S. </w:t>
            </w:r>
            <w:proofErr w:type="spellStart"/>
            <w:r>
              <w:rPr>
                <w:color w:val="000000"/>
                <w:szCs w:val="22"/>
              </w:rPr>
              <w:t>Srinivas</w:t>
            </w:r>
            <w:proofErr w:type="spellEnd"/>
          </w:p>
        </w:tc>
      </w:tr>
      <w:tr w:rsidR="006718CC" w:rsidRPr="00A7289C" w:rsidTr="004E7A7F">
        <w:tc>
          <w:tcPr>
            <w:tcW w:w="4668" w:type="dxa"/>
          </w:tcPr>
          <w:p w:rsidR="006718CC" w:rsidRPr="00A7289C" w:rsidRDefault="006718CC" w:rsidP="00B53372">
            <w:pPr>
              <w:autoSpaceDE w:val="0"/>
              <w:autoSpaceDN w:val="0"/>
              <w:adjustRightInd w:val="0"/>
              <w:spacing w:line="240" w:lineRule="atLeast"/>
              <w:jc w:val="right"/>
              <w:rPr>
                <w:color w:val="000000"/>
                <w:szCs w:val="22"/>
              </w:rPr>
            </w:pPr>
            <w:r>
              <w:rPr>
                <w:color w:val="000000"/>
                <w:szCs w:val="22"/>
              </w:rPr>
              <w:t xml:space="preserve">Chargé de </w:t>
            </w:r>
            <w:proofErr w:type="spellStart"/>
            <w:r>
              <w:rPr>
                <w:color w:val="000000"/>
                <w:szCs w:val="22"/>
              </w:rPr>
              <w:t>projet</w:t>
            </w:r>
            <w:proofErr w:type="spellEnd"/>
            <w:r>
              <w:rPr>
                <w:color w:val="000000"/>
                <w:szCs w:val="22"/>
              </w:rPr>
              <w:t> :</w:t>
            </w:r>
          </w:p>
        </w:tc>
        <w:tc>
          <w:tcPr>
            <w:tcW w:w="360" w:type="dxa"/>
          </w:tcPr>
          <w:p w:rsidR="006718CC" w:rsidRPr="00A7289C" w:rsidRDefault="006718CC" w:rsidP="006718CC">
            <w:pPr>
              <w:autoSpaceDE w:val="0"/>
              <w:autoSpaceDN w:val="0"/>
              <w:adjustRightInd w:val="0"/>
              <w:spacing w:line="240" w:lineRule="atLeast"/>
              <w:rPr>
                <w:color w:val="000000"/>
                <w:szCs w:val="22"/>
              </w:rPr>
            </w:pPr>
          </w:p>
        </w:tc>
        <w:tc>
          <w:tcPr>
            <w:tcW w:w="4548" w:type="dxa"/>
          </w:tcPr>
          <w:p w:rsidR="006718CC" w:rsidRPr="00A7289C" w:rsidRDefault="006718CC" w:rsidP="00B53372">
            <w:pPr>
              <w:autoSpaceDE w:val="0"/>
              <w:autoSpaceDN w:val="0"/>
              <w:adjustRightInd w:val="0"/>
              <w:spacing w:line="240" w:lineRule="atLeast"/>
              <w:rPr>
                <w:color w:val="000000"/>
                <w:szCs w:val="22"/>
              </w:rPr>
            </w:pPr>
            <w:r>
              <w:rPr>
                <w:color w:val="000000"/>
                <w:szCs w:val="22"/>
              </w:rPr>
              <w:t xml:space="preserve"> Juan </w:t>
            </w:r>
            <w:proofErr w:type="spellStart"/>
            <w:r>
              <w:rPr>
                <w:color w:val="000000"/>
                <w:szCs w:val="22"/>
              </w:rPr>
              <w:t>Buchenau</w:t>
            </w:r>
            <w:proofErr w:type="spellEnd"/>
            <w:r>
              <w:rPr>
                <w:color w:val="000000"/>
                <w:szCs w:val="22"/>
              </w:rPr>
              <w:t xml:space="preserve"> </w:t>
            </w:r>
          </w:p>
        </w:tc>
      </w:tr>
    </w:tbl>
    <w:p w:rsidR="006718CC" w:rsidRPr="00A7289C" w:rsidRDefault="006718CC" w:rsidP="004E7A7F">
      <w:pPr>
        <w:ind w:left="288"/>
        <w:jc w:val="center"/>
      </w:pPr>
    </w:p>
    <w:p w:rsidR="009A7FB9" w:rsidRPr="00A7289C" w:rsidRDefault="009A7FB9" w:rsidP="004E7A7F">
      <w:pPr>
        <w:ind w:left="288"/>
        <w:rPr>
          <w:b/>
          <w:bCs/>
          <w:caps/>
        </w:rPr>
      </w:pPr>
      <w:r w:rsidRPr="00A7289C">
        <w:rPr>
          <w:b/>
          <w:bCs/>
          <w:caps/>
        </w:rPr>
        <w:br w:type="page"/>
      </w:r>
    </w:p>
    <w:p w:rsidR="00B71C8D" w:rsidRPr="00A7289C" w:rsidRDefault="006718CC" w:rsidP="004E7A7F">
      <w:pPr>
        <w:ind w:left="288"/>
        <w:jc w:val="center"/>
        <w:rPr>
          <w:b/>
          <w:bCs/>
          <w:caps/>
        </w:rPr>
      </w:pPr>
      <w:r>
        <w:rPr>
          <w:b/>
          <w:bCs/>
          <w:caps/>
        </w:rPr>
        <w:lastRenderedPageBreak/>
        <w:t>HAÏTI</w:t>
      </w:r>
    </w:p>
    <w:p w:rsidR="00B71C8D" w:rsidRPr="00857EF9" w:rsidRDefault="000938D5" w:rsidP="004E7A7F">
      <w:pPr>
        <w:ind w:left="288"/>
        <w:jc w:val="center"/>
        <w:rPr>
          <w:b/>
          <w:bCs/>
          <w:caps/>
          <w:lang w:val="fr-FR"/>
        </w:rPr>
      </w:pPr>
      <w:r w:rsidRPr="00857EF9">
        <w:rPr>
          <w:b/>
          <w:bCs/>
          <w:lang w:val="fr-FR"/>
        </w:rPr>
        <w:t>Projet de développement des entreprises et des investissements</w:t>
      </w:r>
    </w:p>
    <w:p w:rsidR="00B71C8D" w:rsidRPr="00857EF9" w:rsidRDefault="00B71C8D" w:rsidP="004E7A7F">
      <w:pPr>
        <w:ind w:left="288"/>
        <w:jc w:val="center"/>
        <w:rPr>
          <w:lang w:val="fr-FR"/>
        </w:rPr>
      </w:pPr>
    </w:p>
    <w:p w:rsidR="00B71C8D" w:rsidRPr="00857EF9" w:rsidRDefault="00B71C8D" w:rsidP="004E7A7F">
      <w:pPr>
        <w:ind w:left="288"/>
        <w:jc w:val="center"/>
        <w:rPr>
          <w:b/>
          <w:bCs/>
          <w:caps/>
          <w:lang w:val="fr-FR"/>
        </w:rPr>
      </w:pPr>
      <w:r w:rsidRPr="00857EF9">
        <w:rPr>
          <w:b/>
          <w:bCs/>
          <w:caps/>
          <w:lang w:val="fr-FR"/>
        </w:rPr>
        <w:t>TABLE DES MATIÈRES</w:t>
      </w:r>
    </w:p>
    <w:p w:rsidR="00B71C8D" w:rsidRPr="00857EF9" w:rsidRDefault="00B71C8D" w:rsidP="004E7A7F">
      <w:pPr>
        <w:spacing w:before="120" w:after="120"/>
        <w:ind w:left="288"/>
        <w:jc w:val="center"/>
        <w:rPr>
          <w:lang w:val="fr-FR"/>
        </w:rPr>
      </w:pPr>
    </w:p>
    <w:p w:rsidR="00B71C8D" w:rsidRPr="00857EF9" w:rsidRDefault="00B71C8D" w:rsidP="004E7A7F">
      <w:pPr>
        <w:spacing w:before="120" w:after="120"/>
        <w:ind w:left="288"/>
        <w:jc w:val="right"/>
        <w:rPr>
          <w:b/>
          <w:bCs/>
          <w:lang w:val="fr-FR"/>
        </w:rPr>
      </w:pPr>
      <w:r w:rsidRPr="00857EF9">
        <w:rPr>
          <w:b/>
          <w:bCs/>
          <w:lang w:val="fr-FR"/>
        </w:rPr>
        <w:t>Page</w:t>
      </w:r>
    </w:p>
    <w:p w:rsidR="005A4E53" w:rsidRDefault="006F1627" w:rsidP="005A4E53">
      <w:pPr>
        <w:pStyle w:val="TOC1"/>
        <w:rPr>
          <w:rFonts w:asciiTheme="minorHAnsi" w:eastAsiaTheme="minorEastAsia" w:hAnsiTheme="minorHAnsi" w:cstheme="minorBidi"/>
          <w:noProof/>
          <w:sz w:val="22"/>
          <w:szCs w:val="22"/>
        </w:rPr>
      </w:pPr>
      <w:r>
        <w:fldChar w:fldCharType="begin"/>
      </w:r>
      <w:r>
        <w:instrText xml:space="preserve"> TOC \h \z \t "PDS Heading 2,2,PDS Heading 1,1,PDS Annex Heading,1" </w:instrText>
      </w:r>
      <w:r>
        <w:fldChar w:fldCharType="separate"/>
      </w:r>
      <w:hyperlink w:anchor="_Toc362270209" w:history="1">
        <w:r w:rsidR="005A4E53" w:rsidRPr="00133244">
          <w:rPr>
            <w:rStyle w:val="Hyperlink"/>
            <w:noProof/>
          </w:rPr>
          <w:t>I.</w:t>
        </w:r>
        <w:r w:rsidR="005A4E53">
          <w:rPr>
            <w:rFonts w:asciiTheme="minorHAnsi" w:eastAsiaTheme="minorEastAsia" w:hAnsiTheme="minorHAnsi" w:cstheme="minorBidi"/>
            <w:noProof/>
            <w:sz w:val="22"/>
            <w:szCs w:val="22"/>
          </w:rPr>
          <w:tab/>
        </w:r>
        <w:r w:rsidR="005A4E53" w:rsidRPr="00133244">
          <w:rPr>
            <w:rStyle w:val="Hyperlink"/>
            <w:noProof/>
          </w:rPr>
          <w:t>CONTEXTE STRATÉGIQUE</w:t>
        </w:r>
        <w:r w:rsidR="005A4E53">
          <w:rPr>
            <w:noProof/>
            <w:webHidden/>
          </w:rPr>
          <w:tab/>
        </w:r>
        <w:r w:rsidR="005A4E53">
          <w:rPr>
            <w:noProof/>
            <w:webHidden/>
          </w:rPr>
          <w:fldChar w:fldCharType="begin"/>
        </w:r>
        <w:r w:rsidR="005A4E53">
          <w:rPr>
            <w:noProof/>
            <w:webHidden/>
          </w:rPr>
          <w:instrText xml:space="preserve"> PAGEREF _Toc362270209 \h </w:instrText>
        </w:r>
        <w:r w:rsidR="005A4E53">
          <w:rPr>
            <w:noProof/>
            <w:webHidden/>
          </w:rPr>
        </w:r>
        <w:r w:rsidR="005A4E53">
          <w:rPr>
            <w:noProof/>
            <w:webHidden/>
          </w:rPr>
          <w:fldChar w:fldCharType="separate"/>
        </w:r>
        <w:r w:rsidR="005A4E53">
          <w:rPr>
            <w:noProof/>
            <w:webHidden/>
          </w:rPr>
          <w:t>1</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0" w:history="1">
        <w:r w:rsidR="005A4E53" w:rsidRPr="00133244">
          <w:rPr>
            <w:rStyle w:val="Hyperlink"/>
            <w:bCs/>
            <w:noProof/>
          </w:rPr>
          <w:t>A.</w:t>
        </w:r>
        <w:r w:rsidR="005A4E53">
          <w:rPr>
            <w:rFonts w:asciiTheme="minorHAnsi" w:eastAsiaTheme="minorEastAsia" w:hAnsiTheme="minorHAnsi" w:cstheme="minorBidi"/>
            <w:iCs w:val="0"/>
            <w:noProof/>
            <w:sz w:val="22"/>
            <w:szCs w:val="22"/>
          </w:rPr>
          <w:tab/>
        </w:r>
        <w:r w:rsidR="005A4E53" w:rsidRPr="00133244">
          <w:rPr>
            <w:rStyle w:val="Hyperlink"/>
            <w:bCs/>
            <w:noProof/>
          </w:rPr>
          <w:t>Situation du pays</w:t>
        </w:r>
        <w:r w:rsidR="005A4E53">
          <w:rPr>
            <w:noProof/>
            <w:webHidden/>
          </w:rPr>
          <w:tab/>
        </w:r>
        <w:r w:rsidR="005A4E53">
          <w:rPr>
            <w:noProof/>
            <w:webHidden/>
          </w:rPr>
          <w:fldChar w:fldCharType="begin"/>
        </w:r>
        <w:r w:rsidR="005A4E53">
          <w:rPr>
            <w:noProof/>
            <w:webHidden/>
          </w:rPr>
          <w:instrText xml:space="preserve"> PAGEREF _Toc362270210 \h </w:instrText>
        </w:r>
        <w:r w:rsidR="005A4E53">
          <w:rPr>
            <w:noProof/>
            <w:webHidden/>
          </w:rPr>
        </w:r>
        <w:r w:rsidR="005A4E53">
          <w:rPr>
            <w:noProof/>
            <w:webHidden/>
          </w:rPr>
          <w:fldChar w:fldCharType="separate"/>
        </w:r>
        <w:r w:rsidR="005A4E53">
          <w:rPr>
            <w:noProof/>
            <w:webHidden/>
          </w:rPr>
          <w:t>1</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1" w:history="1">
        <w:r w:rsidR="005A4E53" w:rsidRPr="00133244">
          <w:rPr>
            <w:rStyle w:val="Hyperlink"/>
            <w:noProof/>
          </w:rPr>
          <w:t>B.</w:t>
        </w:r>
        <w:r w:rsidR="005A4E53">
          <w:rPr>
            <w:rFonts w:asciiTheme="minorHAnsi" w:eastAsiaTheme="minorEastAsia" w:hAnsiTheme="minorHAnsi" w:cstheme="minorBidi"/>
            <w:iCs w:val="0"/>
            <w:noProof/>
            <w:sz w:val="22"/>
            <w:szCs w:val="22"/>
          </w:rPr>
          <w:tab/>
        </w:r>
        <w:r w:rsidR="005A4E53" w:rsidRPr="00133244">
          <w:rPr>
            <w:rStyle w:val="Hyperlink"/>
            <w:bCs/>
            <w:noProof/>
          </w:rPr>
          <w:t>Contexte sectoriel et institutionnel</w:t>
        </w:r>
        <w:r w:rsidR="005A4E53">
          <w:rPr>
            <w:noProof/>
            <w:webHidden/>
          </w:rPr>
          <w:tab/>
        </w:r>
        <w:r w:rsidR="005A4E53">
          <w:rPr>
            <w:noProof/>
            <w:webHidden/>
          </w:rPr>
          <w:fldChar w:fldCharType="begin"/>
        </w:r>
        <w:r w:rsidR="005A4E53">
          <w:rPr>
            <w:noProof/>
            <w:webHidden/>
          </w:rPr>
          <w:instrText xml:space="preserve"> PAGEREF _Toc362270211 \h </w:instrText>
        </w:r>
        <w:r w:rsidR="005A4E53">
          <w:rPr>
            <w:noProof/>
            <w:webHidden/>
          </w:rPr>
        </w:r>
        <w:r w:rsidR="005A4E53">
          <w:rPr>
            <w:noProof/>
            <w:webHidden/>
          </w:rPr>
          <w:fldChar w:fldCharType="separate"/>
        </w:r>
        <w:r w:rsidR="005A4E53">
          <w:rPr>
            <w:noProof/>
            <w:webHidden/>
          </w:rPr>
          <w:t>2</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2" w:history="1">
        <w:r w:rsidR="005A4E53" w:rsidRPr="00133244">
          <w:rPr>
            <w:rStyle w:val="Hyperlink"/>
            <w:bCs/>
            <w:noProof/>
            <w:lang w:val="fr-FR"/>
          </w:rPr>
          <w:t>C.</w:t>
        </w:r>
        <w:r w:rsidR="005A4E53">
          <w:rPr>
            <w:rFonts w:asciiTheme="minorHAnsi" w:eastAsiaTheme="minorEastAsia" w:hAnsiTheme="minorHAnsi" w:cstheme="minorBidi"/>
            <w:iCs w:val="0"/>
            <w:noProof/>
            <w:sz w:val="22"/>
            <w:szCs w:val="22"/>
          </w:rPr>
          <w:tab/>
        </w:r>
        <w:r w:rsidR="005A4E53" w:rsidRPr="00133244">
          <w:rPr>
            <w:rStyle w:val="Hyperlink"/>
            <w:bCs/>
            <w:noProof/>
            <w:lang w:val="fr-FR"/>
          </w:rPr>
          <w:t>Objectifs supérieurs appuyés par le projet</w:t>
        </w:r>
        <w:r w:rsidR="005A4E53">
          <w:rPr>
            <w:noProof/>
            <w:webHidden/>
          </w:rPr>
          <w:tab/>
        </w:r>
        <w:r w:rsidR="005A4E53">
          <w:rPr>
            <w:noProof/>
            <w:webHidden/>
          </w:rPr>
          <w:fldChar w:fldCharType="begin"/>
        </w:r>
        <w:r w:rsidR="005A4E53">
          <w:rPr>
            <w:noProof/>
            <w:webHidden/>
          </w:rPr>
          <w:instrText xml:space="preserve"> PAGEREF _Toc362270212 \h </w:instrText>
        </w:r>
        <w:r w:rsidR="005A4E53">
          <w:rPr>
            <w:noProof/>
            <w:webHidden/>
          </w:rPr>
        </w:r>
        <w:r w:rsidR="005A4E53">
          <w:rPr>
            <w:noProof/>
            <w:webHidden/>
          </w:rPr>
          <w:fldChar w:fldCharType="separate"/>
        </w:r>
        <w:r w:rsidR="005A4E53">
          <w:rPr>
            <w:noProof/>
            <w:webHidden/>
          </w:rPr>
          <w:t>4</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13" w:history="1">
        <w:r w:rsidR="005A4E53" w:rsidRPr="00133244">
          <w:rPr>
            <w:rStyle w:val="Hyperlink"/>
            <w:noProof/>
          </w:rPr>
          <w:t>II.</w:t>
        </w:r>
        <w:r w:rsidR="005A4E53">
          <w:rPr>
            <w:rFonts w:asciiTheme="minorHAnsi" w:eastAsiaTheme="minorEastAsia" w:hAnsiTheme="minorHAnsi" w:cstheme="minorBidi"/>
            <w:noProof/>
            <w:sz w:val="22"/>
            <w:szCs w:val="22"/>
          </w:rPr>
          <w:tab/>
        </w:r>
        <w:r w:rsidR="005A4E53" w:rsidRPr="00133244">
          <w:rPr>
            <w:rStyle w:val="Hyperlink"/>
            <w:noProof/>
          </w:rPr>
          <w:t>OBJECTIFS DE DÉVELOPPEMENT DU PROJET</w:t>
        </w:r>
        <w:r w:rsidR="005A4E53">
          <w:rPr>
            <w:noProof/>
            <w:webHidden/>
          </w:rPr>
          <w:tab/>
        </w:r>
        <w:r w:rsidR="005A4E53">
          <w:rPr>
            <w:noProof/>
            <w:webHidden/>
          </w:rPr>
          <w:fldChar w:fldCharType="begin"/>
        </w:r>
        <w:r w:rsidR="005A4E53">
          <w:rPr>
            <w:noProof/>
            <w:webHidden/>
          </w:rPr>
          <w:instrText xml:space="preserve"> PAGEREF _Toc362270213 \h </w:instrText>
        </w:r>
        <w:r w:rsidR="005A4E53">
          <w:rPr>
            <w:noProof/>
            <w:webHidden/>
          </w:rPr>
        </w:r>
        <w:r w:rsidR="005A4E53">
          <w:rPr>
            <w:noProof/>
            <w:webHidden/>
          </w:rPr>
          <w:fldChar w:fldCharType="separate"/>
        </w:r>
        <w:r w:rsidR="005A4E53">
          <w:rPr>
            <w:noProof/>
            <w:webHidden/>
          </w:rPr>
          <w:t>5</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4" w:history="1">
        <w:r w:rsidR="005A4E53" w:rsidRPr="00133244">
          <w:rPr>
            <w:rStyle w:val="Hyperlink"/>
            <w:bCs/>
            <w:noProof/>
          </w:rPr>
          <w:t>A.</w:t>
        </w:r>
        <w:r w:rsidR="005A4E53">
          <w:rPr>
            <w:rFonts w:asciiTheme="minorHAnsi" w:eastAsiaTheme="minorEastAsia" w:hAnsiTheme="minorHAnsi" w:cstheme="minorBidi"/>
            <w:iCs w:val="0"/>
            <w:noProof/>
            <w:sz w:val="22"/>
            <w:szCs w:val="22"/>
          </w:rPr>
          <w:tab/>
        </w:r>
        <w:r w:rsidR="005A4E53" w:rsidRPr="00133244">
          <w:rPr>
            <w:rStyle w:val="Hyperlink"/>
            <w:bCs/>
            <w:noProof/>
          </w:rPr>
          <w:t>ODP</w:t>
        </w:r>
        <w:r w:rsidR="005A4E53">
          <w:rPr>
            <w:noProof/>
            <w:webHidden/>
          </w:rPr>
          <w:tab/>
        </w:r>
        <w:r w:rsidR="005A4E53">
          <w:rPr>
            <w:noProof/>
            <w:webHidden/>
          </w:rPr>
          <w:fldChar w:fldCharType="begin"/>
        </w:r>
        <w:r w:rsidR="005A4E53">
          <w:rPr>
            <w:noProof/>
            <w:webHidden/>
          </w:rPr>
          <w:instrText xml:space="preserve"> PAGEREF _Toc362270214 \h </w:instrText>
        </w:r>
        <w:r w:rsidR="005A4E53">
          <w:rPr>
            <w:noProof/>
            <w:webHidden/>
          </w:rPr>
        </w:r>
        <w:r w:rsidR="005A4E53">
          <w:rPr>
            <w:noProof/>
            <w:webHidden/>
          </w:rPr>
          <w:fldChar w:fldCharType="separate"/>
        </w:r>
        <w:r w:rsidR="005A4E53">
          <w:rPr>
            <w:noProof/>
            <w:webHidden/>
          </w:rPr>
          <w:t>5</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5" w:history="1">
        <w:r w:rsidR="005A4E53" w:rsidRPr="00133244">
          <w:rPr>
            <w:rStyle w:val="Hyperlink"/>
            <w:bCs/>
            <w:noProof/>
          </w:rPr>
          <w:t>B.</w:t>
        </w:r>
        <w:r w:rsidR="005A4E53">
          <w:rPr>
            <w:rFonts w:asciiTheme="minorHAnsi" w:eastAsiaTheme="minorEastAsia" w:hAnsiTheme="minorHAnsi" w:cstheme="minorBidi"/>
            <w:iCs w:val="0"/>
            <w:noProof/>
            <w:sz w:val="22"/>
            <w:szCs w:val="22"/>
          </w:rPr>
          <w:tab/>
        </w:r>
        <w:r w:rsidR="005A4E53" w:rsidRPr="00133244">
          <w:rPr>
            <w:rStyle w:val="Hyperlink"/>
            <w:bCs/>
            <w:noProof/>
          </w:rPr>
          <w:t>Bénéficiaires du projet</w:t>
        </w:r>
        <w:r w:rsidR="005A4E53">
          <w:rPr>
            <w:noProof/>
            <w:webHidden/>
          </w:rPr>
          <w:tab/>
        </w:r>
        <w:r w:rsidR="005A4E53">
          <w:rPr>
            <w:noProof/>
            <w:webHidden/>
          </w:rPr>
          <w:fldChar w:fldCharType="begin"/>
        </w:r>
        <w:r w:rsidR="005A4E53">
          <w:rPr>
            <w:noProof/>
            <w:webHidden/>
          </w:rPr>
          <w:instrText xml:space="preserve"> PAGEREF _Toc362270215 \h </w:instrText>
        </w:r>
        <w:r w:rsidR="005A4E53">
          <w:rPr>
            <w:noProof/>
            <w:webHidden/>
          </w:rPr>
        </w:r>
        <w:r w:rsidR="005A4E53">
          <w:rPr>
            <w:noProof/>
            <w:webHidden/>
          </w:rPr>
          <w:fldChar w:fldCharType="separate"/>
        </w:r>
        <w:r w:rsidR="005A4E53">
          <w:rPr>
            <w:noProof/>
            <w:webHidden/>
          </w:rPr>
          <w:t>5</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6" w:history="1">
        <w:r w:rsidR="005A4E53" w:rsidRPr="00133244">
          <w:rPr>
            <w:rStyle w:val="Hyperlink"/>
            <w:bCs/>
            <w:noProof/>
          </w:rPr>
          <w:t>C.</w:t>
        </w:r>
        <w:r w:rsidR="005A4E53">
          <w:rPr>
            <w:rFonts w:asciiTheme="minorHAnsi" w:eastAsiaTheme="minorEastAsia" w:hAnsiTheme="minorHAnsi" w:cstheme="minorBidi"/>
            <w:iCs w:val="0"/>
            <w:noProof/>
            <w:sz w:val="22"/>
            <w:szCs w:val="22"/>
          </w:rPr>
          <w:tab/>
        </w:r>
        <w:r w:rsidR="005A4E53" w:rsidRPr="00133244">
          <w:rPr>
            <w:rStyle w:val="Hyperlink"/>
            <w:bCs/>
            <w:noProof/>
          </w:rPr>
          <w:t>Indicateurs de résultats des ODP</w:t>
        </w:r>
        <w:r w:rsidR="005A4E53">
          <w:rPr>
            <w:noProof/>
            <w:webHidden/>
          </w:rPr>
          <w:tab/>
        </w:r>
        <w:r w:rsidR="005A4E53">
          <w:rPr>
            <w:noProof/>
            <w:webHidden/>
          </w:rPr>
          <w:fldChar w:fldCharType="begin"/>
        </w:r>
        <w:r w:rsidR="005A4E53">
          <w:rPr>
            <w:noProof/>
            <w:webHidden/>
          </w:rPr>
          <w:instrText xml:space="preserve"> PAGEREF _Toc362270216 \h </w:instrText>
        </w:r>
        <w:r w:rsidR="005A4E53">
          <w:rPr>
            <w:noProof/>
            <w:webHidden/>
          </w:rPr>
        </w:r>
        <w:r w:rsidR="005A4E53">
          <w:rPr>
            <w:noProof/>
            <w:webHidden/>
          </w:rPr>
          <w:fldChar w:fldCharType="separate"/>
        </w:r>
        <w:r w:rsidR="005A4E53">
          <w:rPr>
            <w:noProof/>
            <w:webHidden/>
          </w:rPr>
          <w:t>5</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17" w:history="1">
        <w:r w:rsidR="005A4E53" w:rsidRPr="00133244">
          <w:rPr>
            <w:rStyle w:val="Hyperlink"/>
            <w:noProof/>
          </w:rPr>
          <w:t>III.</w:t>
        </w:r>
        <w:r w:rsidR="005A4E53">
          <w:rPr>
            <w:rFonts w:asciiTheme="minorHAnsi" w:eastAsiaTheme="minorEastAsia" w:hAnsiTheme="minorHAnsi" w:cstheme="minorBidi"/>
            <w:noProof/>
            <w:sz w:val="22"/>
            <w:szCs w:val="22"/>
          </w:rPr>
          <w:tab/>
        </w:r>
        <w:r w:rsidR="005A4E53" w:rsidRPr="00133244">
          <w:rPr>
            <w:rStyle w:val="Hyperlink"/>
            <w:noProof/>
          </w:rPr>
          <w:t>DESCRIPTION DU PROJET</w:t>
        </w:r>
        <w:r w:rsidR="005A4E53">
          <w:rPr>
            <w:noProof/>
            <w:webHidden/>
          </w:rPr>
          <w:tab/>
        </w:r>
        <w:r w:rsidR="005A4E53">
          <w:rPr>
            <w:noProof/>
            <w:webHidden/>
          </w:rPr>
          <w:fldChar w:fldCharType="begin"/>
        </w:r>
        <w:r w:rsidR="005A4E53">
          <w:rPr>
            <w:noProof/>
            <w:webHidden/>
          </w:rPr>
          <w:instrText xml:space="preserve"> PAGEREF _Toc362270217 \h </w:instrText>
        </w:r>
        <w:r w:rsidR="005A4E53">
          <w:rPr>
            <w:noProof/>
            <w:webHidden/>
          </w:rPr>
        </w:r>
        <w:r w:rsidR="005A4E53">
          <w:rPr>
            <w:noProof/>
            <w:webHidden/>
          </w:rPr>
          <w:fldChar w:fldCharType="separate"/>
        </w:r>
        <w:r w:rsidR="005A4E53">
          <w:rPr>
            <w:noProof/>
            <w:webHidden/>
          </w:rPr>
          <w:t>6</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8" w:history="1">
        <w:r w:rsidR="005A4E53" w:rsidRPr="00133244">
          <w:rPr>
            <w:rStyle w:val="Hyperlink"/>
            <w:bCs/>
            <w:noProof/>
          </w:rPr>
          <w:t>A.</w:t>
        </w:r>
        <w:r w:rsidR="005A4E53">
          <w:rPr>
            <w:rFonts w:asciiTheme="minorHAnsi" w:eastAsiaTheme="minorEastAsia" w:hAnsiTheme="minorHAnsi" w:cstheme="minorBidi"/>
            <w:iCs w:val="0"/>
            <w:noProof/>
            <w:sz w:val="22"/>
            <w:szCs w:val="22"/>
          </w:rPr>
          <w:tab/>
        </w:r>
        <w:r w:rsidR="005A4E53" w:rsidRPr="00133244">
          <w:rPr>
            <w:rStyle w:val="Hyperlink"/>
            <w:bCs/>
            <w:noProof/>
          </w:rPr>
          <w:t>Introduction</w:t>
        </w:r>
        <w:r w:rsidR="005A4E53">
          <w:rPr>
            <w:noProof/>
            <w:webHidden/>
          </w:rPr>
          <w:tab/>
        </w:r>
        <w:r w:rsidR="005A4E53">
          <w:rPr>
            <w:noProof/>
            <w:webHidden/>
          </w:rPr>
          <w:fldChar w:fldCharType="begin"/>
        </w:r>
        <w:r w:rsidR="005A4E53">
          <w:rPr>
            <w:noProof/>
            <w:webHidden/>
          </w:rPr>
          <w:instrText xml:space="preserve"> PAGEREF _Toc362270218 \h </w:instrText>
        </w:r>
        <w:r w:rsidR="005A4E53">
          <w:rPr>
            <w:noProof/>
            <w:webHidden/>
          </w:rPr>
        </w:r>
        <w:r w:rsidR="005A4E53">
          <w:rPr>
            <w:noProof/>
            <w:webHidden/>
          </w:rPr>
          <w:fldChar w:fldCharType="separate"/>
        </w:r>
        <w:r w:rsidR="005A4E53">
          <w:rPr>
            <w:noProof/>
            <w:webHidden/>
          </w:rPr>
          <w:t>6</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19" w:history="1">
        <w:r w:rsidR="005A4E53" w:rsidRPr="00133244">
          <w:rPr>
            <w:rStyle w:val="Hyperlink"/>
            <w:noProof/>
          </w:rPr>
          <w:t>B.</w:t>
        </w:r>
        <w:r w:rsidR="005A4E53">
          <w:rPr>
            <w:rFonts w:asciiTheme="minorHAnsi" w:eastAsiaTheme="minorEastAsia" w:hAnsiTheme="minorHAnsi" w:cstheme="minorBidi"/>
            <w:iCs w:val="0"/>
            <w:noProof/>
            <w:sz w:val="22"/>
            <w:szCs w:val="22"/>
          </w:rPr>
          <w:tab/>
        </w:r>
        <w:r w:rsidR="005A4E53" w:rsidRPr="00133244">
          <w:rPr>
            <w:rStyle w:val="Hyperlink"/>
            <w:noProof/>
          </w:rPr>
          <w:t>Financement du projet</w:t>
        </w:r>
        <w:r w:rsidR="005A4E53">
          <w:rPr>
            <w:noProof/>
            <w:webHidden/>
          </w:rPr>
          <w:tab/>
        </w:r>
        <w:r w:rsidR="005A4E53">
          <w:rPr>
            <w:noProof/>
            <w:webHidden/>
          </w:rPr>
          <w:fldChar w:fldCharType="begin"/>
        </w:r>
        <w:r w:rsidR="005A4E53">
          <w:rPr>
            <w:noProof/>
            <w:webHidden/>
          </w:rPr>
          <w:instrText xml:space="preserve"> PAGEREF _Toc362270219 \h </w:instrText>
        </w:r>
        <w:r w:rsidR="005A4E53">
          <w:rPr>
            <w:noProof/>
            <w:webHidden/>
          </w:rPr>
        </w:r>
        <w:r w:rsidR="005A4E53">
          <w:rPr>
            <w:noProof/>
            <w:webHidden/>
          </w:rPr>
          <w:fldChar w:fldCharType="separate"/>
        </w:r>
        <w:r w:rsidR="005A4E53">
          <w:rPr>
            <w:noProof/>
            <w:webHidden/>
          </w:rPr>
          <w:t>9</w:t>
        </w:r>
        <w:r w:rsidR="005A4E53">
          <w:rPr>
            <w:noProof/>
            <w:webHidden/>
          </w:rPr>
          <w:fldChar w:fldCharType="end"/>
        </w:r>
      </w:hyperlink>
    </w:p>
    <w:p w:rsidR="005A4E53" w:rsidRDefault="00113620">
      <w:pPr>
        <w:pStyle w:val="TOC2"/>
        <w:tabs>
          <w:tab w:val="right" w:leader="dot" w:pos="9350"/>
        </w:tabs>
        <w:rPr>
          <w:rFonts w:asciiTheme="minorHAnsi" w:eastAsiaTheme="minorEastAsia" w:hAnsiTheme="minorHAnsi" w:cstheme="minorBidi"/>
          <w:iCs w:val="0"/>
          <w:noProof/>
          <w:sz w:val="22"/>
          <w:szCs w:val="22"/>
        </w:rPr>
      </w:pPr>
      <w:hyperlink w:anchor="_Toc362270220" w:history="1">
        <w:r w:rsidR="005A4E53" w:rsidRPr="00133244">
          <w:rPr>
            <w:rStyle w:val="Hyperlink"/>
            <w:noProof/>
          </w:rPr>
          <w:t>Instrument de prêt</w:t>
        </w:r>
        <w:r w:rsidR="005A4E53">
          <w:rPr>
            <w:noProof/>
            <w:webHidden/>
          </w:rPr>
          <w:tab/>
        </w:r>
        <w:r w:rsidR="005A4E53">
          <w:rPr>
            <w:noProof/>
            <w:webHidden/>
          </w:rPr>
          <w:fldChar w:fldCharType="begin"/>
        </w:r>
        <w:r w:rsidR="005A4E53">
          <w:rPr>
            <w:noProof/>
            <w:webHidden/>
          </w:rPr>
          <w:instrText xml:space="preserve"> PAGEREF _Toc362270220 \h </w:instrText>
        </w:r>
        <w:r w:rsidR="005A4E53">
          <w:rPr>
            <w:noProof/>
            <w:webHidden/>
          </w:rPr>
        </w:r>
        <w:r w:rsidR="005A4E53">
          <w:rPr>
            <w:noProof/>
            <w:webHidden/>
          </w:rPr>
          <w:fldChar w:fldCharType="separate"/>
        </w:r>
        <w:r w:rsidR="005A4E53">
          <w:rPr>
            <w:noProof/>
            <w:webHidden/>
          </w:rPr>
          <w:t>9</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21" w:history="1">
        <w:r w:rsidR="005A4E53" w:rsidRPr="00133244">
          <w:rPr>
            <w:rStyle w:val="Hyperlink"/>
            <w:noProof/>
            <w:lang w:val="fr-FR"/>
          </w:rPr>
          <w:t>C.</w:t>
        </w:r>
        <w:r w:rsidR="005A4E53">
          <w:rPr>
            <w:rFonts w:asciiTheme="minorHAnsi" w:eastAsiaTheme="minorEastAsia" w:hAnsiTheme="minorHAnsi" w:cstheme="minorBidi"/>
            <w:iCs w:val="0"/>
            <w:noProof/>
            <w:sz w:val="22"/>
            <w:szCs w:val="22"/>
          </w:rPr>
          <w:tab/>
        </w:r>
        <w:r w:rsidR="005A4E53" w:rsidRPr="00133244">
          <w:rPr>
            <w:rStyle w:val="Hyperlink"/>
            <w:noProof/>
            <w:lang w:val="fr-FR"/>
          </w:rPr>
          <w:t>Enseignements tirés et intégrés dans la conception du projet</w:t>
        </w:r>
        <w:r w:rsidR="005A4E53">
          <w:rPr>
            <w:noProof/>
            <w:webHidden/>
          </w:rPr>
          <w:tab/>
        </w:r>
        <w:r w:rsidR="005A4E53">
          <w:rPr>
            <w:noProof/>
            <w:webHidden/>
          </w:rPr>
          <w:fldChar w:fldCharType="begin"/>
        </w:r>
        <w:r w:rsidR="005A4E53">
          <w:rPr>
            <w:noProof/>
            <w:webHidden/>
          </w:rPr>
          <w:instrText xml:space="preserve"> PAGEREF _Toc362270221 \h </w:instrText>
        </w:r>
        <w:r w:rsidR="005A4E53">
          <w:rPr>
            <w:noProof/>
            <w:webHidden/>
          </w:rPr>
        </w:r>
        <w:r w:rsidR="005A4E53">
          <w:rPr>
            <w:noProof/>
            <w:webHidden/>
          </w:rPr>
          <w:fldChar w:fldCharType="separate"/>
        </w:r>
        <w:r w:rsidR="005A4E53">
          <w:rPr>
            <w:noProof/>
            <w:webHidden/>
          </w:rPr>
          <w:t>9</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22" w:history="1">
        <w:r w:rsidR="005A4E53" w:rsidRPr="00133244">
          <w:rPr>
            <w:rStyle w:val="Hyperlink"/>
            <w:noProof/>
          </w:rPr>
          <w:t>IV.</w:t>
        </w:r>
        <w:r w:rsidR="005A4E53">
          <w:rPr>
            <w:rFonts w:asciiTheme="minorHAnsi" w:eastAsiaTheme="minorEastAsia" w:hAnsiTheme="minorHAnsi" w:cstheme="minorBidi"/>
            <w:noProof/>
            <w:sz w:val="22"/>
            <w:szCs w:val="22"/>
          </w:rPr>
          <w:tab/>
        </w:r>
        <w:r w:rsidR="005A4E53" w:rsidRPr="00133244">
          <w:rPr>
            <w:rStyle w:val="Hyperlink"/>
            <w:noProof/>
          </w:rPr>
          <w:t>MISE EN ŒUVRE</w:t>
        </w:r>
        <w:r w:rsidR="005A4E53">
          <w:rPr>
            <w:noProof/>
            <w:webHidden/>
          </w:rPr>
          <w:tab/>
        </w:r>
        <w:r w:rsidR="005A4E53">
          <w:rPr>
            <w:noProof/>
            <w:webHidden/>
          </w:rPr>
          <w:fldChar w:fldCharType="begin"/>
        </w:r>
        <w:r w:rsidR="005A4E53">
          <w:rPr>
            <w:noProof/>
            <w:webHidden/>
          </w:rPr>
          <w:instrText xml:space="preserve"> PAGEREF _Toc362270222 \h </w:instrText>
        </w:r>
        <w:r w:rsidR="005A4E53">
          <w:rPr>
            <w:noProof/>
            <w:webHidden/>
          </w:rPr>
        </w:r>
        <w:r w:rsidR="005A4E53">
          <w:rPr>
            <w:noProof/>
            <w:webHidden/>
          </w:rPr>
          <w:fldChar w:fldCharType="separate"/>
        </w:r>
        <w:r w:rsidR="005A4E53">
          <w:rPr>
            <w:noProof/>
            <w:webHidden/>
          </w:rPr>
          <w:t>11</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23" w:history="1">
        <w:r w:rsidR="005A4E53" w:rsidRPr="00133244">
          <w:rPr>
            <w:rStyle w:val="Hyperlink"/>
            <w:noProof/>
          </w:rPr>
          <w:t>A.</w:t>
        </w:r>
        <w:r w:rsidR="005A4E53">
          <w:rPr>
            <w:rFonts w:asciiTheme="minorHAnsi" w:eastAsiaTheme="minorEastAsia" w:hAnsiTheme="minorHAnsi" w:cstheme="minorBidi"/>
            <w:iCs w:val="0"/>
            <w:noProof/>
            <w:sz w:val="22"/>
            <w:szCs w:val="22"/>
          </w:rPr>
          <w:tab/>
        </w:r>
        <w:r w:rsidR="005A4E53" w:rsidRPr="00133244">
          <w:rPr>
            <w:rStyle w:val="Hyperlink"/>
            <w:bCs/>
            <w:noProof/>
          </w:rPr>
          <w:t>Modalités institutionnelles et d’exécution</w:t>
        </w:r>
        <w:r w:rsidR="005A4E53">
          <w:rPr>
            <w:noProof/>
            <w:webHidden/>
          </w:rPr>
          <w:tab/>
        </w:r>
        <w:r w:rsidR="005A4E53">
          <w:rPr>
            <w:noProof/>
            <w:webHidden/>
          </w:rPr>
          <w:fldChar w:fldCharType="begin"/>
        </w:r>
        <w:r w:rsidR="005A4E53">
          <w:rPr>
            <w:noProof/>
            <w:webHidden/>
          </w:rPr>
          <w:instrText xml:space="preserve"> PAGEREF _Toc362270223 \h </w:instrText>
        </w:r>
        <w:r w:rsidR="005A4E53">
          <w:rPr>
            <w:noProof/>
            <w:webHidden/>
          </w:rPr>
        </w:r>
        <w:r w:rsidR="005A4E53">
          <w:rPr>
            <w:noProof/>
            <w:webHidden/>
          </w:rPr>
          <w:fldChar w:fldCharType="separate"/>
        </w:r>
        <w:r w:rsidR="005A4E53">
          <w:rPr>
            <w:noProof/>
            <w:webHidden/>
          </w:rPr>
          <w:t>11</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24" w:history="1">
        <w:r w:rsidR="005A4E53" w:rsidRPr="00133244">
          <w:rPr>
            <w:rStyle w:val="Hyperlink"/>
            <w:bCs/>
            <w:noProof/>
            <w:lang w:val="fr-FR"/>
          </w:rPr>
          <w:t>B.</w:t>
        </w:r>
        <w:r w:rsidR="005A4E53">
          <w:rPr>
            <w:rFonts w:asciiTheme="minorHAnsi" w:eastAsiaTheme="minorEastAsia" w:hAnsiTheme="minorHAnsi" w:cstheme="minorBidi"/>
            <w:iCs w:val="0"/>
            <w:noProof/>
            <w:sz w:val="22"/>
            <w:szCs w:val="22"/>
          </w:rPr>
          <w:tab/>
        </w:r>
        <w:r w:rsidR="005A4E53" w:rsidRPr="00133244">
          <w:rPr>
            <w:rStyle w:val="Hyperlink"/>
            <w:bCs/>
            <w:noProof/>
            <w:lang w:val="fr-FR"/>
          </w:rPr>
          <w:t>Suivi et évaluation (SE) des résultats</w:t>
        </w:r>
        <w:r w:rsidR="005A4E53">
          <w:rPr>
            <w:noProof/>
            <w:webHidden/>
          </w:rPr>
          <w:tab/>
        </w:r>
        <w:r w:rsidR="005A4E53">
          <w:rPr>
            <w:noProof/>
            <w:webHidden/>
          </w:rPr>
          <w:fldChar w:fldCharType="begin"/>
        </w:r>
        <w:r w:rsidR="005A4E53">
          <w:rPr>
            <w:noProof/>
            <w:webHidden/>
          </w:rPr>
          <w:instrText xml:space="preserve"> PAGEREF _Toc362270224 \h </w:instrText>
        </w:r>
        <w:r w:rsidR="005A4E53">
          <w:rPr>
            <w:noProof/>
            <w:webHidden/>
          </w:rPr>
        </w:r>
        <w:r w:rsidR="005A4E53">
          <w:rPr>
            <w:noProof/>
            <w:webHidden/>
          </w:rPr>
          <w:fldChar w:fldCharType="separate"/>
        </w:r>
        <w:r w:rsidR="005A4E53">
          <w:rPr>
            <w:noProof/>
            <w:webHidden/>
          </w:rPr>
          <w:t>12</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25" w:history="1">
        <w:r w:rsidR="005A4E53" w:rsidRPr="00133244">
          <w:rPr>
            <w:rStyle w:val="Hyperlink"/>
            <w:noProof/>
          </w:rPr>
          <w:t>V.</w:t>
        </w:r>
        <w:r w:rsidR="005A4E53">
          <w:rPr>
            <w:rFonts w:asciiTheme="minorHAnsi" w:eastAsiaTheme="minorEastAsia" w:hAnsiTheme="minorHAnsi" w:cstheme="minorBidi"/>
            <w:noProof/>
            <w:sz w:val="22"/>
            <w:szCs w:val="22"/>
          </w:rPr>
          <w:tab/>
        </w:r>
        <w:r w:rsidR="005A4E53" w:rsidRPr="00133244">
          <w:rPr>
            <w:rStyle w:val="Hyperlink"/>
            <w:noProof/>
          </w:rPr>
          <w:t>RISQUES PRINCIPAUX ET MESURES D’ATTÉNUATION</w:t>
        </w:r>
        <w:r w:rsidR="005A4E53">
          <w:rPr>
            <w:noProof/>
            <w:webHidden/>
          </w:rPr>
          <w:tab/>
        </w:r>
        <w:r w:rsidR="005A4E53">
          <w:rPr>
            <w:noProof/>
            <w:webHidden/>
          </w:rPr>
          <w:fldChar w:fldCharType="begin"/>
        </w:r>
        <w:r w:rsidR="005A4E53">
          <w:rPr>
            <w:noProof/>
            <w:webHidden/>
          </w:rPr>
          <w:instrText xml:space="preserve"> PAGEREF _Toc362270225 \h </w:instrText>
        </w:r>
        <w:r w:rsidR="005A4E53">
          <w:rPr>
            <w:noProof/>
            <w:webHidden/>
          </w:rPr>
        </w:r>
        <w:r w:rsidR="005A4E53">
          <w:rPr>
            <w:noProof/>
            <w:webHidden/>
          </w:rPr>
          <w:fldChar w:fldCharType="separate"/>
        </w:r>
        <w:r w:rsidR="005A4E53">
          <w:rPr>
            <w:noProof/>
            <w:webHidden/>
          </w:rPr>
          <w:t>13</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26" w:history="1">
        <w:r w:rsidR="005A4E53" w:rsidRPr="00133244">
          <w:rPr>
            <w:rStyle w:val="Hyperlink"/>
            <w:bCs/>
            <w:noProof/>
          </w:rPr>
          <w:t>A.</w:t>
        </w:r>
        <w:r w:rsidR="005A4E53">
          <w:rPr>
            <w:rFonts w:asciiTheme="minorHAnsi" w:eastAsiaTheme="minorEastAsia" w:hAnsiTheme="minorHAnsi" w:cstheme="minorBidi"/>
            <w:iCs w:val="0"/>
            <w:noProof/>
            <w:sz w:val="22"/>
            <w:szCs w:val="22"/>
          </w:rPr>
          <w:tab/>
        </w:r>
        <w:r w:rsidR="005A4E53" w:rsidRPr="00133244">
          <w:rPr>
            <w:rStyle w:val="Hyperlink"/>
            <w:bCs/>
            <w:noProof/>
          </w:rPr>
          <w:t>Synthèse de l’évaluation des risques</w:t>
        </w:r>
        <w:r w:rsidR="005A4E53">
          <w:rPr>
            <w:noProof/>
            <w:webHidden/>
          </w:rPr>
          <w:tab/>
        </w:r>
        <w:r w:rsidR="005A4E53">
          <w:rPr>
            <w:noProof/>
            <w:webHidden/>
          </w:rPr>
          <w:fldChar w:fldCharType="begin"/>
        </w:r>
        <w:r w:rsidR="005A4E53">
          <w:rPr>
            <w:noProof/>
            <w:webHidden/>
          </w:rPr>
          <w:instrText xml:space="preserve"> PAGEREF _Toc362270226 \h </w:instrText>
        </w:r>
        <w:r w:rsidR="005A4E53">
          <w:rPr>
            <w:noProof/>
            <w:webHidden/>
          </w:rPr>
        </w:r>
        <w:r w:rsidR="005A4E53">
          <w:rPr>
            <w:noProof/>
            <w:webHidden/>
          </w:rPr>
          <w:fldChar w:fldCharType="separate"/>
        </w:r>
        <w:r w:rsidR="005A4E53">
          <w:rPr>
            <w:noProof/>
            <w:webHidden/>
          </w:rPr>
          <w:t>13</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27" w:history="1">
        <w:r w:rsidR="005A4E53" w:rsidRPr="00133244">
          <w:rPr>
            <w:rStyle w:val="Hyperlink"/>
            <w:bCs/>
            <w:noProof/>
          </w:rPr>
          <w:t>B.</w:t>
        </w:r>
        <w:r w:rsidR="005A4E53">
          <w:rPr>
            <w:rFonts w:asciiTheme="minorHAnsi" w:eastAsiaTheme="minorEastAsia" w:hAnsiTheme="minorHAnsi" w:cstheme="minorBidi"/>
            <w:iCs w:val="0"/>
            <w:noProof/>
            <w:sz w:val="22"/>
            <w:szCs w:val="22"/>
          </w:rPr>
          <w:tab/>
        </w:r>
        <w:r w:rsidR="005A4E53" w:rsidRPr="00133244">
          <w:rPr>
            <w:rStyle w:val="Hyperlink"/>
            <w:bCs/>
            <w:noProof/>
          </w:rPr>
          <w:t>Explication de l’évaluation des risques</w:t>
        </w:r>
        <w:r w:rsidR="005A4E53">
          <w:rPr>
            <w:noProof/>
            <w:webHidden/>
          </w:rPr>
          <w:tab/>
        </w:r>
        <w:r w:rsidR="005A4E53">
          <w:rPr>
            <w:noProof/>
            <w:webHidden/>
          </w:rPr>
          <w:fldChar w:fldCharType="begin"/>
        </w:r>
        <w:r w:rsidR="005A4E53">
          <w:rPr>
            <w:noProof/>
            <w:webHidden/>
          </w:rPr>
          <w:instrText xml:space="preserve"> PAGEREF _Toc362270227 \h </w:instrText>
        </w:r>
        <w:r w:rsidR="005A4E53">
          <w:rPr>
            <w:noProof/>
            <w:webHidden/>
          </w:rPr>
        </w:r>
        <w:r w:rsidR="005A4E53">
          <w:rPr>
            <w:noProof/>
            <w:webHidden/>
          </w:rPr>
          <w:fldChar w:fldCharType="separate"/>
        </w:r>
        <w:r w:rsidR="005A4E53">
          <w:rPr>
            <w:noProof/>
            <w:webHidden/>
          </w:rPr>
          <w:t>14</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28" w:history="1">
        <w:r w:rsidR="005A4E53" w:rsidRPr="00133244">
          <w:rPr>
            <w:rStyle w:val="Hyperlink"/>
            <w:noProof/>
          </w:rPr>
          <w:t>VI.</w:t>
        </w:r>
        <w:r w:rsidR="005A4E53">
          <w:rPr>
            <w:rFonts w:asciiTheme="minorHAnsi" w:eastAsiaTheme="minorEastAsia" w:hAnsiTheme="minorHAnsi" w:cstheme="minorBidi"/>
            <w:noProof/>
            <w:sz w:val="22"/>
            <w:szCs w:val="22"/>
          </w:rPr>
          <w:tab/>
        </w:r>
        <w:r w:rsidR="005A4E53" w:rsidRPr="00133244">
          <w:rPr>
            <w:rStyle w:val="Hyperlink"/>
            <w:noProof/>
          </w:rPr>
          <w:t>RÉSUMÉ DE L’ÉVALUATION</w:t>
        </w:r>
        <w:r w:rsidR="005A4E53">
          <w:rPr>
            <w:noProof/>
            <w:webHidden/>
          </w:rPr>
          <w:tab/>
        </w:r>
        <w:r w:rsidR="005A4E53">
          <w:rPr>
            <w:noProof/>
            <w:webHidden/>
          </w:rPr>
          <w:fldChar w:fldCharType="begin"/>
        </w:r>
        <w:r w:rsidR="005A4E53">
          <w:rPr>
            <w:noProof/>
            <w:webHidden/>
          </w:rPr>
          <w:instrText xml:space="preserve"> PAGEREF _Toc362270228 \h </w:instrText>
        </w:r>
        <w:r w:rsidR="005A4E53">
          <w:rPr>
            <w:noProof/>
            <w:webHidden/>
          </w:rPr>
        </w:r>
        <w:r w:rsidR="005A4E53">
          <w:rPr>
            <w:noProof/>
            <w:webHidden/>
          </w:rPr>
          <w:fldChar w:fldCharType="separate"/>
        </w:r>
        <w:r w:rsidR="005A4E53">
          <w:rPr>
            <w:noProof/>
            <w:webHidden/>
          </w:rPr>
          <w:t>15</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29" w:history="1">
        <w:r w:rsidR="005A4E53" w:rsidRPr="00133244">
          <w:rPr>
            <w:rStyle w:val="Hyperlink"/>
            <w:noProof/>
          </w:rPr>
          <w:t>A.</w:t>
        </w:r>
        <w:r w:rsidR="005A4E53">
          <w:rPr>
            <w:rFonts w:asciiTheme="minorHAnsi" w:eastAsiaTheme="minorEastAsia" w:hAnsiTheme="minorHAnsi" w:cstheme="minorBidi"/>
            <w:iCs w:val="0"/>
            <w:noProof/>
            <w:sz w:val="22"/>
            <w:szCs w:val="22"/>
          </w:rPr>
          <w:tab/>
        </w:r>
        <w:r w:rsidR="005A4E53" w:rsidRPr="00133244">
          <w:rPr>
            <w:rStyle w:val="Hyperlink"/>
            <w:bCs/>
            <w:noProof/>
          </w:rPr>
          <w:t>Analyses économiques et financières</w:t>
        </w:r>
        <w:r w:rsidR="005A4E53">
          <w:rPr>
            <w:noProof/>
            <w:webHidden/>
          </w:rPr>
          <w:tab/>
        </w:r>
        <w:r w:rsidR="005A4E53">
          <w:rPr>
            <w:noProof/>
            <w:webHidden/>
          </w:rPr>
          <w:fldChar w:fldCharType="begin"/>
        </w:r>
        <w:r w:rsidR="005A4E53">
          <w:rPr>
            <w:noProof/>
            <w:webHidden/>
          </w:rPr>
          <w:instrText xml:space="preserve"> PAGEREF _Toc362270229 \h </w:instrText>
        </w:r>
        <w:r w:rsidR="005A4E53">
          <w:rPr>
            <w:noProof/>
            <w:webHidden/>
          </w:rPr>
        </w:r>
        <w:r w:rsidR="005A4E53">
          <w:rPr>
            <w:noProof/>
            <w:webHidden/>
          </w:rPr>
          <w:fldChar w:fldCharType="separate"/>
        </w:r>
        <w:r w:rsidR="005A4E53">
          <w:rPr>
            <w:noProof/>
            <w:webHidden/>
          </w:rPr>
          <w:t>15</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30" w:history="1">
        <w:r w:rsidR="005A4E53" w:rsidRPr="00133244">
          <w:rPr>
            <w:rStyle w:val="Hyperlink"/>
            <w:bCs/>
            <w:noProof/>
          </w:rPr>
          <w:t>B.</w:t>
        </w:r>
        <w:r w:rsidR="005A4E53">
          <w:rPr>
            <w:rFonts w:asciiTheme="minorHAnsi" w:eastAsiaTheme="minorEastAsia" w:hAnsiTheme="minorHAnsi" w:cstheme="minorBidi"/>
            <w:iCs w:val="0"/>
            <w:noProof/>
            <w:sz w:val="22"/>
            <w:szCs w:val="22"/>
          </w:rPr>
          <w:tab/>
        </w:r>
        <w:r w:rsidR="005A4E53" w:rsidRPr="00133244">
          <w:rPr>
            <w:rStyle w:val="Hyperlink"/>
            <w:bCs/>
            <w:noProof/>
          </w:rPr>
          <w:t>Aspects techniques</w:t>
        </w:r>
        <w:r w:rsidR="005A4E53">
          <w:rPr>
            <w:noProof/>
            <w:webHidden/>
          </w:rPr>
          <w:tab/>
        </w:r>
        <w:r w:rsidR="005A4E53">
          <w:rPr>
            <w:noProof/>
            <w:webHidden/>
          </w:rPr>
          <w:fldChar w:fldCharType="begin"/>
        </w:r>
        <w:r w:rsidR="005A4E53">
          <w:rPr>
            <w:noProof/>
            <w:webHidden/>
          </w:rPr>
          <w:instrText xml:space="preserve"> PAGEREF _Toc362270230 \h </w:instrText>
        </w:r>
        <w:r w:rsidR="005A4E53">
          <w:rPr>
            <w:noProof/>
            <w:webHidden/>
          </w:rPr>
        </w:r>
        <w:r w:rsidR="005A4E53">
          <w:rPr>
            <w:noProof/>
            <w:webHidden/>
          </w:rPr>
          <w:fldChar w:fldCharType="separate"/>
        </w:r>
        <w:r w:rsidR="005A4E53">
          <w:rPr>
            <w:noProof/>
            <w:webHidden/>
          </w:rPr>
          <w:t>15</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31" w:history="1">
        <w:r w:rsidR="005A4E53" w:rsidRPr="00133244">
          <w:rPr>
            <w:rStyle w:val="Hyperlink"/>
            <w:bCs/>
            <w:noProof/>
          </w:rPr>
          <w:t>C.</w:t>
        </w:r>
        <w:r w:rsidR="005A4E53">
          <w:rPr>
            <w:rFonts w:asciiTheme="minorHAnsi" w:eastAsiaTheme="minorEastAsia" w:hAnsiTheme="minorHAnsi" w:cstheme="minorBidi"/>
            <w:iCs w:val="0"/>
            <w:noProof/>
            <w:sz w:val="22"/>
            <w:szCs w:val="22"/>
          </w:rPr>
          <w:tab/>
        </w:r>
        <w:r w:rsidR="005A4E53" w:rsidRPr="00133244">
          <w:rPr>
            <w:rStyle w:val="Hyperlink"/>
            <w:bCs/>
            <w:noProof/>
          </w:rPr>
          <w:t>Gestion financière</w:t>
        </w:r>
        <w:r w:rsidR="005A4E53">
          <w:rPr>
            <w:noProof/>
            <w:webHidden/>
          </w:rPr>
          <w:tab/>
        </w:r>
        <w:r w:rsidR="005A4E53">
          <w:rPr>
            <w:noProof/>
            <w:webHidden/>
          </w:rPr>
          <w:fldChar w:fldCharType="begin"/>
        </w:r>
        <w:r w:rsidR="005A4E53">
          <w:rPr>
            <w:noProof/>
            <w:webHidden/>
          </w:rPr>
          <w:instrText xml:space="preserve"> PAGEREF _Toc362270231 \h </w:instrText>
        </w:r>
        <w:r w:rsidR="005A4E53">
          <w:rPr>
            <w:noProof/>
            <w:webHidden/>
          </w:rPr>
        </w:r>
        <w:r w:rsidR="005A4E53">
          <w:rPr>
            <w:noProof/>
            <w:webHidden/>
          </w:rPr>
          <w:fldChar w:fldCharType="separate"/>
        </w:r>
        <w:r w:rsidR="005A4E53">
          <w:rPr>
            <w:noProof/>
            <w:webHidden/>
          </w:rPr>
          <w:t>15</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32" w:history="1">
        <w:r w:rsidR="005A4E53" w:rsidRPr="00133244">
          <w:rPr>
            <w:rStyle w:val="Hyperlink"/>
            <w:bCs/>
            <w:noProof/>
          </w:rPr>
          <w:t>D.</w:t>
        </w:r>
        <w:r w:rsidR="005A4E53">
          <w:rPr>
            <w:rFonts w:asciiTheme="minorHAnsi" w:eastAsiaTheme="minorEastAsia" w:hAnsiTheme="minorHAnsi" w:cstheme="minorBidi"/>
            <w:iCs w:val="0"/>
            <w:noProof/>
            <w:sz w:val="22"/>
            <w:szCs w:val="22"/>
          </w:rPr>
          <w:tab/>
        </w:r>
        <w:r w:rsidR="005A4E53" w:rsidRPr="00133244">
          <w:rPr>
            <w:rStyle w:val="Hyperlink"/>
            <w:bCs/>
            <w:noProof/>
          </w:rPr>
          <w:t>Passation des marchés</w:t>
        </w:r>
        <w:r w:rsidR="005A4E53">
          <w:rPr>
            <w:noProof/>
            <w:webHidden/>
          </w:rPr>
          <w:tab/>
        </w:r>
        <w:r w:rsidR="005A4E53">
          <w:rPr>
            <w:noProof/>
            <w:webHidden/>
          </w:rPr>
          <w:fldChar w:fldCharType="begin"/>
        </w:r>
        <w:r w:rsidR="005A4E53">
          <w:rPr>
            <w:noProof/>
            <w:webHidden/>
          </w:rPr>
          <w:instrText xml:space="preserve"> PAGEREF _Toc362270232 \h </w:instrText>
        </w:r>
        <w:r w:rsidR="005A4E53">
          <w:rPr>
            <w:noProof/>
            <w:webHidden/>
          </w:rPr>
        </w:r>
        <w:r w:rsidR="005A4E53">
          <w:rPr>
            <w:noProof/>
            <w:webHidden/>
          </w:rPr>
          <w:fldChar w:fldCharType="separate"/>
        </w:r>
        <w:r w:rsidR="005A4E53">
          <w:rPr>
            <w:noProof/>
            <w:webHidden/>
          </w:rPr>
          <w:t>16</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33" w:history="1">
        <w:r w:rsidR="005A4E53" w:rsidRPr="00133244">
          <w:rPr>
            <w:rStyle w:val="Hyperlink"/>
            <w:bCs/>
            <w:noProof/>
            <w:lang w:val="fr-FR"/>
          </w:rPr>
          <w:t>E.</w:t>
        </w:r>
        <w:r w:rsidR="005A4E53">
          <w:rPr>
            <w:rFonts w:asciiTheme="minorHAnsi" w:eastAsiaTheme="minorEastAsia" w:hAnsiTheme="minorHAnsi" w:cstheme="minorBidi"/>
            <w:iCs w:val="0"/>
            <w:noProof/>
            <w:sz w:val="22"/>
            <w:szCs w:val="22"/>
          </w:rPr>
          <w:tab/>
        </w:r>
        <w:r w:rsidR="005A4E53" w:rsidRPr="00133244">
          <w:rPr>
            <w:rStyle w:val="Hyperlink"/>
            <w:bCs/>
            <w:noProof/>
            <w:lang w:val="fr-FR"/>
          </w:rPr>
          <w:t>Aspects sociaux (y compris mesures de sauvegarde)</w:t>
        </w:r>
        <w:r w:rsidR="005A4E53">
          <w:rPr>
            <w:noProof/>
            <w:webHidden/>
          </w:rPr>
          <w:tab/>
        </w:r>
        <w:r w:rsidR="005A4E53">
          <w:rPr>
            <w:noProof/>
            <w:webHidden/>
          </w:rPr>
          <w:fldChar w:fldCharType="begin"/>
        </w:r>
        <w:r w:rsidR="005A4E53">
          <w:rPr>
            <w:noProof/>
            <w:webHidden/>
          </w:rPr>
          <w:instrText xml:space="preserve"> PAGEREF _Toc362270233 \h </w:instrText>
        </w:r>
        <w:r w:rsidR="005A4E53">
          <w:rPr>
            <w:noProof/>
            <w:webHidden/>
          </w:rPr>
        </w:r>
        <w:r w:rsidR="005A4E53">
          <w:rPr>
            <w:noProof/>
            <w:webHidden/>
          </w:rPr>
          <w:fldChar w:fldCharType="separate"/>
        </w:r>
        <w:r w:rsidR="005A4E53">
          <w:rPr>
            <w:noProof/>
            <w:webHidden/>
          </w:rPr>
          <w:t>16</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34" w:history="1">
        <w:r w:rsidR="005A4E53" w:rsidRPr="00133244">
          <w:rPr>
            <w:rStyle w:val="Hyperlink"/>
            <w:bCs/>
            <w:noProof/>
            <w:lang w:val="fr-FR"/>
          </w:rPr>
          <w:t>F.</w:t>
        </w:r>
        <w:r w:rsidR="005A4E53">
          <w:rPr>
            <w:rFonts w:asciiTheme="minorHAnsi" w:eastAsiaTheme="minorEastAsia" w:hAnsiTheme="minorHAnsi" w:cstheme="minorBidi"/>
            <w:iCs w:val="0"/>
            <w:noProof/>
            <w:sz w:val="22"/>
            <w:szCs w:val="22"/>
          </w:rPr>
          <w:tab/>
        </w:r>
        <w:r w:rsidR="005A4E53" w:rsidRPr="00133244">
          <w:rPr>
            <w:rStyle w:val="Hyperlink"/>
            <w:bCs/>
            <w:noProof/>
            <w:lang w:val="fr-FR"/>
          </w:rPr>
          <w:t>Aspects environnementaux (y compris principes de sauvegarde)</w:t>
        </w:r>
        <w:r w:rsidR="005A4E53">
          <w:rPr>
            <w:noProof/>
            <w:webHidden/>
          </w:rPr>
          <w:tab/>
        </w:r>
        <w:r w:rsidR="005A4E53">
          <w:rPr>
            <w:noProof/>
            <w:webHidden/>
          </w:rPr>
          <w:fldChar w:fldCharType="begin"/>
        </w:r>
        <w:r w:rsidR="005A4E53">
          <w:rPr>
            <w:noProof/>
            <w:webHidden/>
          </w:rPr>
          <w:instrText xml:space="preserve"> PAGEREF _Toc362270234 \h </w:instrText>
        </w:r>
        <w:r w:rsidR="005A4E53">
          <w:rPr>
            <w:noProof/>
            <w:webHidden/>
          </w:rPr>
        </w:r>
        <w:r w:rsidR="005A4E53">
          <w:rPr>
            <w:noProof/>
            <w:webHidden/>
          </w:rPr>
          <w:fldChar w:fldCharType="separate"/>
        </w:r>
        <w:r w:rsidR="005A4E53">
          <w:rPr>
            <w:noProof/>
            <w:webHidden/>
          </w:rPr>
          <w:t>17</w:t>
        </w:r>
        <w:r w:rsidR="005A4E53">
          <w:rPr>
            <w:noProof/>
            <w:webHidden/>
          </w:rPr>
          <w:fldChar w:fldCharType="end"/>
        </w:r>
      </w:hyperlink>
    </w:p>
    <w:p w:rsidR="005A4E53" w:rsidRDefault="00113620">
      <w:pPr>
        <w:pStyle w:val="TOC2"/>
        <w:tabs>
          <w:tab w:val="left" w:pos="1200"/>
          <w:tab w:val="right" w:leader="dot" w:pos="9350"/>
        </w:tabs>
        <w:rPr>
          <w:rFonts w:asciiTheme="minorHAnsi" w:eastAsiaTheme="minorEastAsia" w:hAnsiTheme="minorHAnsi" w:cstheme="minorBidi"/>
          <w:iCs w:val="0"/>
          <w:noProof/>
          <w:sz w:val="22"/>
          <w:szCs w:val="22"/>
        </w:rPr>
      </w:pPr>
      <w:hyperlink w:anchor="_Toc362270235" w:history="1">
        <w:r w:rsidR="005A4E53" w:rsidRPr="00133244">
          <w:rPr>
            <w:rStyle w:val="Hyperlink"/>
            <w:bCs/>
            <w:noProof/>
          </w:rPr>
          <w:t>G.</w:t>
        </w:r>
        <w:r w:rsidR="005A4E53">
          <w:rPr>
            <w:rFonts w:asciiTheme="minorHAnsi" w:eastAsiaTheme="minorEastAsia" w:hAnsiTheme="minorHAnsi" w:cstheme="minorBidi"/>
            <w:iCs w:val="0"/>
            <w:noProof/>
            <w:sz w:val="22"/>
            <w:szCs w:val="22"/>
          </w:rPr>
          <w:tab/>
        </w:r>
        <w:r w:rsidR="005A4E53" w:rsidRPr="00133244">
          <w:rPr>
            <w:rStyle w:val="Hyperlink"/>
            <w:bCs/>
            <w:noProof/>
          </w:rPr>
          <w:t>Autres politiques opérationnelles déclenchées</w:t>
        </w:r>
        <w:r w:rsidR="005A4E53">
          <w:rPr>
            <w:noProof/>
            <w:webHidden/>
          </w:rPr>
          <w:tab/>
        </w:r>
        <w:r w:rsidR="005A4E53">
          <w:rPr>
            <w:noProof/>
            <w:webHidden/>
          </w:rPr>
          <w:fldChar w:fldCharType="begin"/>
        </w:r>
        <w:r w:rsidR="005A4E53">
          <w:rPr>
            <w:noProof/>
            <w:webHidden/>
          </w:rPr>
          <w:instrText xml:space="preserve"> PAGEREF _Toc362270235 \h </w:instrText>
        </w:r>
        <w:r w:rsidR="005A4E53">
          <w:rPr>
            <w:noProof/>
            <w:webHidden/>
          </w:rPr>
        </w:r>
        <w:r w:rsidR="005A4E53">
          <w:rPr>
            <w:noProof/>
            <w:webHidden/>
          </w:rPr>
          <w:fldChar w:fldCharType="separate"/>
        </w:r>
        <w:r w:rsidR="005A4E53">
          <w:rPr>
            <w:noProof/>
            <w:webHidden/>
          </w:rPr>
          <w:t>17</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36" w:history="1">
        <w:r w:rsidR="005A4E53" w:rsidRPr="00133244">
          <w:rPr>
            <w:rStyle w:val="Hyperlink"/>
            <w:noProof/>
            <w:lang w:val="fr-FR"/>
          </w:rPr>
          <w:t>Annexe 1 : Structure et suivi des résultats</w:t>
        </w:r>
        <w:r w:rsidR="005A4E53">
          <w:rPr>
            <w:noProof/>
            <w:webHidden/>
          </w:rPr>
          <w:tab/>
        </w:r>
        <w:r w:rsidR="005A4E53">
          <w:rPr>
            <w:noProof/>
            <w:webHidden/>
          </w:rPr>
          <w:fldChar w:fldCharType="begin"/>
        </w:r>
        <w:r w:rsidR="005A4E53">
          <w:rPr>
            <w:noProof/>
            <w:webHidden/>
          </w:rPr>
          <w:instrText xml:space="preserve"> PAGEREF _Toc362270236 \h </w:instrText>
        </w:r>
        <w:r w:rsidR="005A4E53">
          <w:rPr>
            <w:noProof/>
            <w:webHidden/>
          </w:rPr>
        </w:r>
        <w:r w:rsidR="005A4E53">
          <w:rPr>
            <w:noProof/>
            <w:webHidden/>
          </w:rPr>
          <w:fldChar w:fldCharType="separate"/>
        </w:r>
        <w:r w:rsidR="005A4E53">
          <w:rPr>
            <w:noProof/>
            <w:webHidden/>
          </w:rPr>
          <w:t>18</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37" w:history="1">
        <w:r w:rsidR="005A4E53" w:rsidRPr="00133244">
          <w:rPr>
            <w:rStyle w:val="Hyperlink"/>
            <w:noProof/>
            <w:lang w:val="fr-FR"/>
          </w:rPr>
          <w:t>Annexe 2 : Description détaillée du projet</w:t>
        </w:r>
        <w:r w:rsidR="005A4E53">
          <w:rPr>
            <w:noProof/>
            <w:webHidden/>
          </w:rPr>
          <w:tab/>
        </w:r>
        <w:r w:rsidR="005A4E53">
          <w:rPr>
            <w:noProof/>
            <w:webHidden/>
          </w:rPr>
          <w:fldChar w:fldCharType="begin"/>
        </w:r>
        <w:r w:rsidR="005A4E53">
          <w:rPr>
            <w:noProof/>
            <w:webHidden/>
          </w:rPr>
          <w:instrText xml:space="preserve"> PAGEREF _Toc362270237 \h </w:instrText>
        </w:r>
        <w:r w:rsidR="005A4E53">
          <w:rPr>
            <w:noProof/>
            <w:webHidden/>
          </w:rPr>
        </w:r>
        <w:r w:rsidR="005A4E53">
          <w:rPr>
            <w:noProof/>
            <w:webHidden/>
          </w:rPr>
          <w:fldChar w:fldCharType="separate"/>
        </w:r>
        <w:r w:rsidR="005A4E53">
          <w:rPr>
            <w:noProof/>
            <w:webHidden/>
          </w:rPr>
          <w:t>25</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38" w:history="1">
        <w:r w:rsidR="005A4E53" w:rsidRPr="00133244">
          <w:rPr>
            <w:rStyle w:val="Hyperlink"/>
            <w:noProof/>
            <w:lang w:val="fr-FR"/>
          </w:rPr>
          <w:t>Annexe 3 : Modalités d’exécution</w:t>
        </w:r>
        <w:r w:rsidR="005A4E53">
          <w:rPr>
            <w:noProof/>
            <w:webHidden/>
          </w:rPr>
          <w:tab/>
        </w:r>
        <w:r w:rsidR="005A4E53">
          <w:rPr>
            <w:noProof/>
            <w:webHidden/>
          </w:rPr>
          <w:fldChar w:fldCharType="begin"/>
        </w:r>
        <w:r w:rsidR="005A4E53">
          <w:rPr>
            <w:noProof/>
            <w:webHidden/>
          </w:rPr>
          <w:instrText xml:space="preserve"> PAGEREF _Toc362270238 \h </w:instrText>
        </w:r>
        <w:r w:rsidR="005A4E53">
          <w:rPr>
            <w:noProof/>
            <w:webHidden/>
          </w:rPr>
        </w:r>
        <w:r w:rsidR="005A4E53">
          <w:rPr>
            <w:noProof/>
            <w:webHidden/>
          </w:rPr>
          <w:fldChar w:fldCharType="separate"/>
        </w:r>
        <w:r w:rsidR="005A4E53">
          <w:rPr>
            <w:noProof/>
            <w:webHidden/>
          </w:rPr>
          <w:t>38</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39" w:history="1">
        <w:r w:rsidR="005A4E53" w:rsidRPr="00133244">
          <w:rPr>
            <w:rStyle w:val="Hyperlink"/>
            <w:noProof/>
            <w:lang w:val="fr-FR"/>
          </w:rPr>
          <w:t>Annexe 4 : Cadre d’évaluation des risques opérationnels (ORAF)</w:t>
        </w:r>
        <w:r w:rsidR="005A4E53">
          <w:rPr>
            <w:noProof/>
            <w:webHidden/>
          </w:rPr>
          <w:tab/>
        </w:r>
        <w:r w:rsidR="005A4E53">
          <w:rPr>
            <w:noProof/>
            <w:webHidden/>
          </w:rPr>
          <w:fldChar w:fldCharType="begin"/>
        </w:r>
        <w:r w:rsidR="005A4E53">
          <w:rPr>
            <w:noProof/>
            <w:webHidden/>
          </w:rPr>
          <w:instrText xml:space="preserve"> PAGEREF _Toc362270239 \h </w:instrText>
        </w:r>
        <w:r w:rsidR="005A4E53">
          <w:rPr>
            <w:noProof/>
            <w:webHidden/>
          </w:rPr>
        </w:r>
        <w:r w:rsidR="005A4E53">
          <w:rPr>
            <w:noProof/>
            <w:webHidden/>
          </w:rPr>
          <w:fldChar w:fldCharType="separate"/>
        </w:r>
        <w:r w:rsidR="005A4E53">
          <w:rPr>
            <w:noProof/>
            <w:webHidden/>
          </w:rPr>
          <w:t>56</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40" w:history="1">
        <w:r w:rsidR="005A4E53" w:rsidRPr="00133244">
          <w:rPr>
            <w:rStyle w:val="Hyperlink"/>
            <w:noProof/>
            <w:lang w:val="fr-FR"/>
          </w:rPr>
          <w:t>Annexe 5 : Plan d'appui à la mise en œuvre</w:t>
        </w:r>
        <w:r w:rsidR="005A4E53">
          <w:rPr>
            <w:noProof/>
            <w:webHidden/>
          </w:rPr>
          <w:tab/>
        </w:r>
        <w:r w:rsidR="005A4E53">
          <w:rPr>
            <w:noProof/>
            <w:webHidden/>
          </w:rPr>
          <w:fldChar w:fldCharType="begin"/>
        </w:r>
        <w:r w:rsidR="005A4E53">
          <w:rPr>
            <w:noProof/>
            <w:webHidden/>
          </w:rPr>
          <w:instrText xml:space="preserve"> PAGEREF _Toc362270240 \h </w:instrText>
        </w:r>
        <w:r w:rsidR="005A4E53">
          <w:rPr>
            <w:noProof/>
            <w:webHidden/>
          </w:rPr>
        </w:r>
        <w:r w:rsidR="005A4E53">
          <w:rPr>
            <w:noProof/>
            <w:webHidden/>
          </w:rPr>
          <w:fldChar w:fldCharType="separate"/>
        </w:r>
        <w:r w:rsidR="005A4E53">
          <w:rPr>
            <w:noProof/>
            <w:webHidden/>
          </w:rPr>
          <w:t>60</w:t>
        </w:r>
        <w:r w:rsidR="005A4E53">
          <w:rPr>
            <w:noProof/>
            <w:webHidden/>
          </w:rPr>
          <w:fldChar w:fldCharType="end"/>
        </w:r>
      </w:hyperlink>
    </w:p>
    <w:p w:rsidR="005A4E53" w:rsidRDefault="00113620" w:rsidP="005A4E53">
      <w:pPr>
        <w:pStyle w:val="TOC1"/>
        <w:rPr>
          <w:rFonts w:asciiTheme="minorHAnsi" w:eastAsiaTheme="minorEastAsia" w:hAnsiTheme="minorHAnsi" w:cstheme="minorBidi"/>
          <w:noProof/>
          <w:sz w:val="22"/>
          <w:szCs w:val="22"/>
        </w:rPr>
      </w:pPr>
      <w:hyperlink w:anchor="_Toc362270241" w:history="1">
        <w:r w:rsidR="005A4E53" w:rsidRPr="00133244">
          <w:rPr>
            <w:rStyle w:val="Hyperlink"/>
            <w:noProof/>
          </w:rPr>
          <w:t>Annexe 6 : Analyse économique et financière</w:t>
        </w:r>
        <w:r w:rsidR="005A4E53">
          <w:rPr>
            <w:noProof/>
            <w:webHidden/>
          </w:rPr>
          <w:tab/>
        </w:r>
        <w:r w:rsidR="005A4E53">
          <w:rPr>
            <w:noProof/>
            <w:webHidden/>
          </w:rPr>
          <w:fldChar w:fldCharType="begin"/>
        </w:r>
        <w:r w:rsidR="005A4E53">
          <w:rPr>
            <w:noProof/>
            <w:webHidden/>
          </w:rPr>
          <w:instrText xml:space="preserve"> PAGEREF _Toc362270241 \h </w:instrText>
        </w:r>
        <w:r w:rsidR="005A4E53">
          <w:rPr>
            <w:noProof/>
            <w:webHidden/>
          </w:rPr>
        </w:r>
        <w:r w:rsidR="005A4E53">
          <w:rPr>
            <w:noProof/>
            <w:webHidden/>
          </w:rPr>
          <w:fldChar w:fldCharType="separate"/>
        </w:r>
        <w:r w:rsidR="005A4E53">
          <w:rPr>
            <w:noProof/>
            <w:webHidden/>
          </w:rPr>
          <w:t>64</w:t>
        </w:r>
        <w:r w:rsidR="005A4E53">
          <w:rPr>
            <w:noProof/>
            <w:webHidden/>
          </w:rPr>
          <w:fldChar w:fldCharType="end"/>
        </w:r>
      </w:hyperlink>
    </w:p>
    <w:p w:rsidR="00BB172E" w:rsidRPr="00A7289C" w:rsidRDefault="006F1627" w:rsidP="004E7A7F">
      <w:pPr>
        <w:ind w:left="288"/>
      </w:pPr>
      <w:r>
        <w:fldChar w:fldCharType="end"/>
      </w:r>
      <w:r w:rsidR="006556F6" w:rsidRPr="00A7289C">
        <w:rPr>
          <w:noProof/>
        </w:rPr>
        <w:fldChar w:fldCharType="begin" w:fldLock="1"/>
      </w:r>
      <w:r w:rsidR="00B71C8D" w:rsidRPr="00A7289C">
        <w:rPr>
          <w:noProof/>
        </w:rPr>
        <w:instrText xml:space="preserve"> TOC \h \z \c "Figure" </w:instrText>
      </w:r>
      <w:r w:rsidR="006556F6" w:rsidRPr="00A7289C">
        <w:rPr>
          <w:noProof/>
        </w:rPr>
        <w:fldChar w:fldCharType="separate"/>
      </w:r>
    </w:p>
    <w:p w:rsidR="00B71C8D" w:rsidRPr="00A7289C" w:rsidRDefault="00B71C8D" w:rsidP="00FB7DB1">
      <w:pPr>
        <w:rPr>
          <w:rFonts w:eastAsiaTheme="minorEastAsia"/>
          <w:b/>
          <w:noProof/>
        </w:rPr>
      </w:pPr>
      <w:r w:rsidRPr="00A7289C">
        <w:rPr>
          <w:rFonts w:eastAsiaTheme="minorEastAsia"/>
          <w:b/>
          <w:noProof/>
        </w:rPr>
        <w:t>List of Tables</w:t>
      </w:r>
    </w:p>
    <w:p w:rsidR="0036404C" w:rsidRPr="0036404C" w:rsidRDefault="006556F6" w:rsidP="005A4E53">
      <w:pPr>
        <w:pStyle w:val="TOC1"/>
        <w:rPr>
          <w:rFonts w:ascii="Times New Roman Bold" w:hAnsi="Times New Roman Bold"/>
          <w:noProof/>
        </w:rPr>
      </w:pPr>
      <w:r w:rsidRPr="00A7289C">
        <w:rPr>
          <w:noProof/>
        </w:rPr>
        <w:fldChar w:fldCharType="end"/>
      </w:r>
      <w:r w:rsidR="007E0508">
        <w:rPr>
          <w:noProof/>
        </w:rPr>
        <w:fldChar w:fldCharType="begin"/>
      </w:r>
      <w:r w:rsidR="007E0508">
        <w:rPr>
          <w:noProof/>
        </w:rPr>
        <w:instrText xml:space="preserve"> TOC \h \z \c "Tableau" </w:instrText>
      </w:r>
      <w:r w:rsidR="007E0508">
        <w:rPr>
          <w:noProof/>
        </w:rPr>
        <w:fldChar w:fldCharType="separate"/>
      </w:r>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2" w:history="1">
        <w:r w:rsidR="0036404C" w:rsidRPr="0036404C">
          <w:rPr>
            <w:rStyle w:val="Hyperlink"/>
            <w:rFonts w:ascii="Times New Roman Bold" w:hAnsi="Times New Roman Bold"/>
            <w:b/>
            <w:noProof/>
          </w:rPr>
          <w:t xml:space="preserve">Tableau 1 </w:t>
        </w:r>
        <w:r w:rsidR="0036404C" w:rsidRPr="0036404C">
          <w:rPr>
            <w:rStyle w:val="Hyperlink"/>
            <w:rFonts w:ascii="Times New Roman Bold" w:hAnsi="Times New Roman Bold"/>
            <w:b/>
            <w:noProof/>
            <w:lang w:val="fr-FR"/>
          </w:rPr>
          <w:t>: Coût et financement du projet</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_Toc362269422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9</w:t>
        </w:r>
        <w:r w:rsidR="0036404C" w:rsidRPr="0036404C">
          <w:rPr>
            <w:rFonts w:ascii="Times New Roman Bold" w:hAnsi="Times New Roman Bold"/>
            <w:b/>
            <w:noProof/>
            <w:webHidden/>
          </w:rPr>
          <w:fldChar w:fldCharType="end"/>
        </w:r>
      </w:hyperlink>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3" w:history="1">
        <w:r w:rsidR="0036404C" w:rsidRPr="0036404C">
          <w:rPr>
            <w:rStyle w:val="Hyperlink"/>
            <w:rFonts w:ascii="Times New Roman Bold" w:hAnsi="Times New Roman Bold"/>
            <w:b/>
            <w:noProof/>
          </w:rPr>
          <w:t xml:space="preserve">Tableau 2 </w:t>
        </w:r>
        <w:r w:rsidR="0036404C" w:rsidRPr="0036404C">
          <w:rPr>
            <w:rStyle w:val="Hyperlink"/>
            <w:rFonts w:ascii="Times New Roman Bold" w:hAnsi="Times New Roman Bold"/>
            <w:b/>
            <w:noProof/>
            <w:lang w:val="fr-FR"/>
          </w:rPr>
          <w:t>: Évaluation des niveaux de risque</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_Toc362269423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13</w:t>
        </w:r>
        <w:r w:rsidR="0036404C" w:rsidRPr="0036404C">
          <w:rPr>
            <w:rFonts w:ascii="Times New Roman Bold" w:hAnsi="Times New Roman Bold"/>
            <w:b/>
            <w:noProof/>
            <w:webHidden/>
          </w:rPr>
          <w:fldChar w:fldCharType="end"/>
        </w:r>
      </w:hyperlink>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4" w:history="1">
        <w:r w:rsidR="0036404C" w:rsidRPr="0036404C">
          <w:rPr>
            <w:rStyle w:val="Hyperlink"/>
            <w:rFonts w:ascii="Times New Roman Bold" w:hAnsi="Times New Roman Bold"/>
            <w:b/>
            <w:noProof/>
            <w:lang w:val="es-BO"/>
          </w:rPr>
          <w:t xml:space="preserve">Tableau 3 </w:t>
        </w:r>
        <w:r w:rsidR="0036404C" w:rsidRPr="0036404C">
          <w:rPr>
            <w:rStyle w:val="Hyperlink"/>
            <w:rFonts w:ascii="Times New Roman Bold" w:hAnsi="Times New Roman Bold"/>
            <w:b/>
            <w:noProof/>
            <w:lang w:val="fr-FR"/>
          </w:rPr>
          <w:t>: Organismes responsables de la mise en œuvre</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_Toc362269424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39</w:t>
        </w:r>
        <w:r w:rsidR="0036404C" w:rsidRPr="0036404C">
          <w:rPr>
            <w:rFonts w:ascii="Times New Roman Bold" w:hAnsi="Times New Roman Bold"/>
            <w:b/>
            <w:noProof/>
            <w:webHidden/>
          </w:rPr>
          <w:fldChar w:fldCharType="end"/>
        </w:r>
      </w:hyperlink>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5" w:history="1">
        <w:r w:rsidR="0036404C" w:rsidRPr="0036404C">
          <w:rPr>
            <w:rStyle w:val="Hyperlink"/>
            <w:rFonts w:ascii="Times New Roman Bold" w:hAnsi="Times New Roman Bold"/>
            <w:b/>
            <w:noProof/>
          </w:rPr>
          <w:t xml:space="preserve">Tableau 4 </w:t>
        </w:r>
        <w:r w:rsidR="0036404C" w:rsidRPr="0036404C">
          <w:rPr>
            <w:rStyle w:val="Hyperlink"/>
            <w:rFonts w:ascii="Times New Roman Bold" w:hAnsi="Times New Roman Bold"/>
            <w:b/>
            <w:noProof/>
            <w:lang w:val="fr-FR"/>
          </w:rPr>
          <w:t>: Coût et financement du projet</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_Toc362269425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40</w:t>
        </w:r>
        <w:r w:rsidR="0036404C" w:rsidRPr="0036404C">
          <w:rPr>
            <w:rFonts w:ascii="Times New Roman Bold" w:hAnsi="Times New Roman Bold"/>
            <w:b/>
            <w:noProof/>
            <w:webHidden/>
          </w:rPr>
          <w:fldChar w:fldCharType="end"/>
        </w:r>
      </w:hyperlink>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6" w:history="1">
        <w:r w:rsidR="0036404C" w:rsidRPr="0036404C">
          <w:rPr>
            <w:rStyle w:val="Hyperlink"/>
            <w:rFonts w:ascii="Times New Roman Bold" w:hAnsi="Times New Roman Bold"/>
            <w:b/>
            <w:noProof/>
          </w:rPr>
          <w:t xml:space="preserve">Tableau 5 </w:t>
        </w:r>
        <w:r w:rsidR="0036404C" w:rsidRPr="0036404C">
          <w:rPr>
            <w:rStyle w:val="Hyperlink"/>
            <w:rFonts w:ascii="Times New Roman Bold" w:hAnsi="Times New Roman Bold"/>
            <w:b/>
            <w:noProof/>
            <w:lang w:val="fr-FR"/>
          </w:rPr>
          <w:t>: Allocation des fonds de l’accord financier avec l'IDA</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_Toc362269426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42</w:t>
        </w:r>
        <w:r w:rsidR="0036404C" w:rsidRPr="0036404C">
          <w:rPr>
            <w:rFonts w:ascii="Times New Roman Bold" w:hAnsi="Times New Roman Bold"/>
            <w:b/>
            <w:noProof/>
            <w:webHidden/>
          </w:rPr>
          <w:fldChar w:fldCharType="end"/>
        </w:r>
      </w:hyperlink>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7" w:history="1">
        <w:r w:rsidR="0036404C" w:rsidRPr="0036404C">
          <w:rPr>
            <w:rStyle w:val="Hyperlink"/>
            <w:rFonts w:ascii="Times New Roman Bold" w:hAnsi="Times New Roman Bold"/>
            <w:b/>
            <w:noProof/>
            <w:lang w:val="es-BO"/>
          </w:rPr>
          <w:t xml:space="preserve">Tableau 6 </w:t>
        </w:r>
        <w:r w:rsidR="0036404C" w:rsidRPr="0036404C">
          <w:rPr>
            <w:rStyle w:val="Hyperlink"/>
            <w:rFonts w:ascii="Times New Roman Bold" w:hAnsi="Times New Roman Bold"/>
            <w:b/>
            <w:noProof/>
            <w:lang w:val="fr-FR"/>
          </w:rPr>
          <w:t>: Récapitulatif du plan de passation des marchés</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_Toc362269427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46</w:t>
        </w:r>
        <w:r w:rsidR="0036404C" w:rsidRPr="0036404C">
          <w:rPr>
            <w:rFonts w:ascii="Times New Roman Bold" w:hAnsi="Times New Roman Bold"/>
            <w:b/>
            <w:noProof/>
            <w:webHidden/>
          </w:rPr>
          <w:fldChar w:fldCharType="end"/>
        </w:r>
      </w:hyperlink>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8" w:history="1">
        <w:r w:rsidR="0036404C" w:rsidRPr="0036404C">
          <w:rPr>
            <w:rStyle w:val="Hyperlink"/>
            <w:rFonts w:ascii="Times New Roman Bold" w:hAnsi="Times New Roman Bold"/>
            <w:b/>
            <w:noProof/>
          </w:rPr>
          <w:t xml:space="preserve">Tableau 7 </w:t>
        </w:r>
        <w:r w:rsidR="0036404C" w:rsidRPr="0036404C">
          <w:rPr>
            <w:rStyle w:val="Hyperlink"/>
            <w:rFonts w:ascii="Times New Roman Bold" w:hAnsi="Times New Roman Bold"/>
            <w:b/>
            <w:noProof/>
            <w:lang w:val="fr-FR"/>
          </w:rPr>
          <w:t>: Seuils applicables aux méthodes de passation de marchés et examens préalables</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_Toc362269428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48</w:t>
        </w:r>
        <w:r w:rsidR="0036404C" w:rsidRPr="0036404C">
          <w:rPr>
            <w:rFonts w:ascii="Times New Roman Bold" w:hAnsi="Times New Roman Bold"/>
            <w:b/>
            <w:noProof/>
            <w:webHidden/>
          </w:rPr>
          <w:fldChar w:fldCharType="end"/>
        </w:r>
      </w:hyperlink>
    </w:p>
    <w:p w:rsidR="0036404C" w:rsidRPr="0036404C" w:rsidRDefault="00113620">
      <w:pPr>
        <w:pStyle w:val="TableofFigures"/>
        <w:tabs>
          <w:tab w:val="right" w:leader="dot" w:pos="9350"/>
        </w:tabs>
        <w:rPr>
          <w:rFonts w:ascii="Times New Roman Bold" w:eastAsiaTheme="minorEastAsia" w:hAnsi="Times New Roman Bold" w:cstheme="minorBidi"/>
          <w:b/>
          <w:noProof/>
          <w:sz w:val="22"/>
          <w:szCs w:val="22"/>
        </w:rPr>
      </w:pPr>
      <w:hyperlink w:anchor="_Toc362269429" w:history="1">
        <w:r w:rsidR="0036404C" w:rsidRPr="0036404C">
          <w:rPr>
            <w:rStyle w:val="Hyperlink"/>
            <w:rFonts w:ascii="Times New Roman Bold" w:hAnsi="Times New Roman Bold"/>
            <w:b/>
            <w:noProof/>
          </w:rPr>
          <w:t>Tableau 8 : Appui institutionnel</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_Toc362269429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62</w:t>
        </w:r>
        <w:r w:rsidR="0036404C" w:rsidRPr="0036404C">
          <w:rPr>
            <w:rFonts w:ascii="Times New Roman Bold" w:hAnsi="Times New Roman Bold"/>
            <w:b/>
            <w:noProof/>
            <w:webHidden/>
          </w:rPr>
          <w:fldChar w:fldCharType="end"/>
        </w:r>
      </w:hyperlink>
    </w:p>
    <w:p w:rsidR="0036404C" w:rsidRDefault="00113620">
      <w:pPr>
        <w:pStyle w:val="TableofFigures"/>
        <w:tabs>
          <w:tab w:val="right" w:leader="dot" w:pos="9350"/>
        </w:tabs>
        <w:rPr>
          <w:rFonts w:asciiTheme="minorHAnsi" w:eastAsiaTheme="minorEastAsia" w:hAnsiTheme="minorHAnsi" w:cstheme="minorBidi"/>
          <w:noProof/>
          <w:sz w:val="22"/>
          <w:szCs w:val="22"/>
        </w:rPr>
      </w:pPr>
      <w:hyperlink w:anchor="_Toc362269430" w:history="1">
        <w:r w:rsidR="0036404C" w:rsidRPr="0036404C">
          <w:rPr>
            <w:rStyle w:val="Hyperlink"/>
            <w:rFonts w:ascii="Times New Roman Bold" w:hAnsi="Times New Roman Bold"/>
            <w:b/>
            <w:noProof/>
          </w:rPr>
          <w:t>Tableau 9 : Partenaires</w:t>
        </w:r>
        <w:r w:rsidR="0036404C" w:rsidRPr="0036404C">
          <w:rPr>
            <w:rFonts w:ascii="Times New Roman Bold" w:hAnsi="Times New Roman Bold"/>
            <w:b/>
            <w:noProof/>
            <w:webHidden/>
          </w:rPr>
          <w:tab/>
        </w:r>
        <w:r w:rsidR="0036404C" w:rsidRPr="0036404C">
          <w:rPr>
            <w:rFonts w:ascii="Times New Roman Bold" w:hAnsi="Times New Roman Bold"/>
            <w:b/>
            <w:noProof/>
            <w:webHidden/>
          </w:rPr>
          <w:fldChar w:fldCharType="begin"/>
        </w:r>
        <w:r w:rsidR="0036404C" w:rsidRPr="0036404C">
          <w:rPr>
            <w:rFonts w:ascii="Times New Roman Bold" w:hAnsi="Times New Roman Bold"/>
            <w:b/>
            <w:noProof/>
            <w:webHidden/>
          </w:rPr>
          <w:instrText xml:space="preserve"> PAGEREF _Toc362269430 \h </w:instrText>
        </w:r>
        <w:r w:rsidR="0036404C" w:rsidRPr="0036404C">
          <w:rPr>
            <w:rFonts w:ascii="Times New Roman Bold" w:hAnsi="Times New Roman Bold"/>
            <w:b/>
            <w:noProof/>
            <w:webHidden/>
          </w:rPr>
        </w:r>
        <w:r w:rsidR="0036404C" w:rsidRPr="0036404C">
          <w:rPr>
            <w:rFonts w:ascii="Times New Roman Bold" w:hAnsi="Times New Roman Bold"/>
            <w:b/>
            <w:noProof/>
            <w:webHidden/>
          </w:rPr>
          <w:fldChar w:fldCharType="separate"/>
        </w:r>
        <w:r w:rsidR="0036404C" w:rsidRPr="0036404C">
          <w:rPr>
            <w:rFonts w:ascii="Times New Roman Bold" w:hAnsi="Times New Roman Bold"/>
            <w:b/>
            <w:noProof/>
            <w:webHidden/>
          </w:rPr>
          <w:t>62</w:t>
        </w:r>
        <w:r w:rsidR="0036404C" w:rsidRPr="0036404C">
          <w:rPr>
            <w:rFonts w:ascii="Times New Roman Bold" w:hAnsi="Times New Roman Bold"/>
            <w:b/>
            <w:noProof/>
            <w:webHidden/>
          </w:rPr>
          <w:fldChar w:fldCharType="end"/>
        </w:r>
      </w:hyperlink>
    </w:p>
    <w:p w:rsidR="00724D08" w:rsidRPr="00A7289C" w:rsidRDefault="007E0508" w:rsidP="005A4E53">
      <w:pPr>
        <w:pStyle w:val="TOC1"/>
        <w:rPr>
          <w:noProof/>
        </w:rPr>
      </w:pPr>
      <w:r>
        <w:rPr>
          <w:noProof/>
        </w:rPr>
        <w:fldChar w:fldCharType="end"/>
      </w:r>
    </w:p>
    <w:p w:rsidR="00724D08" w:rsidRPr="00A7289C" w:rsidRDefault="00724D08" w:rsidP="004E7A7F">
      <w:pPr>
        <w:ind w:left="288"/>
        <w:rPr>
          <w:b/>
          <w:noProof/>
        </w:rPr>
      </w:pPr>
    </w:p>
    <w:p w:rsidR="00B71C8D" w:rsidRPr="00A7289C" w:rsidRDefault="00B71C8D" w:rsidP="004E7A7F">
      <w:pPr>
        <w:ind w:left="288"/>
        <w:sectPr w:rsidR="00B71C8D" w:rsidRPr="00A7289C" w:rsidSect="00F04CA6">
          <w:pgSz w:w="12240" w:h="15840" w:code="1"/>
          <w:pgMar w:top="1440" w:right="1440" w:bottom="1440" w:left="1440" w:header="720" w:footer="720" w:gutter="0"/>
          <w:pgNumType w:fmt="lowerRoman" w:start="1"/>
          <w:cols w:space="720"/>
          <w:docGrid w:linePitch="360"/>
        </w:sectPr>
      </w:pPr>
    </w:p>
    <w:tbl>
      <w:tblPr>
        <w:tblW w:w="10243"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12"/>
        <w:gridCol w:w="819"/>
        <w:gridCol w:w="205"/>
        <w:gridCol w:w="307"/>
        <w:gridCol w:w="205"/>
        <w:gridCol w:w="410"/>
        <w:gridCol w:w="409"/>
        <w:gridCol w:w="205"/>
        <w:gridCol w:w="410"/>
        <w:gridCol w:w="102"/>
        <w:gridCol w:w="819"/>
        <w:gridCol w:w="615"/>
        <w:gridCol w:w="102"/>
        <w:gridCol w:w="410"/>
        <w:gridCol w:w="512"/>
        <w:gridCol w:w="102"/>
        <w:gridCol w:w="4099"/>
      </w:tblGrid>
      <w:tr w:rsidR="00B71C8D" w:rsidRPr="00A7289C" w:rsidTr="004E7A7F">
        <w:tc>
          <w:tcPr>
            <w:tcW w:w="10243" w:type="dxa"/>
            <w:gridSpan w:val="17"/>
            <w:tcBorders>
              <w:top w:val="nil"/>
              <w:left w:val="nil"/>
              <w:bottom w:val="nil"/>
              <w:right w:val="nil"/>
            </w:tcBorders>
            <w:shd w:val="clear" w:color="auto" w:fill="FFFFFF"/>
            <w:tcMar>
              <w:top w:w="50" w:type="dxa"/>
              <w:left w:w="50" w:type="dxa"/>
              <w:bottom w:w="50" w:type="dxa"/>
              <w:right w:w="50" w:type="dxa"/>
            </w:tcMar>
            <w:vAlign w:val="center"/>
          </w:tcPr>
          <w:p w:rsidR="00B71C8D" w:rsidRPr="00A7289C" w:rsidRDefault="00B71C8D" w:rsidP="00B71C8D">
            <w:pPr>
              <w:jc w:val="center"/>
            </w:pPr>
            <w:r>
              <w:rPr>
                <w:b/>
                <w:bCs/>
              </w:rPr>
              <w:lastRenderedPageBreak/>
              <w:t>FICHE RÉCAPITULATIVE</w:t>
            </w:r>
          </w:p>
        </w:tc>
      </w:tr>
      <w:tr w:rsidR="00B71C8D" w:rsidRPr="00A7289C" w:rsidTr="004E7A7F">
        <w:tc>
          <w:tcPr>
            <w:tcW w:w="10243" w:type="dxa"/>
            <w:gridSpan w:val="17"/>
            <w:tcBorders>
              <w:top w:val="nil"/>
              <w:left w:val="nil"/>
              <w:bottom w:val="nil"/>
              <w:right w:val="nil"/>
            </w:tcBorders>
            <w:shd w:val="clear" w:color="auto" w:fill="FFFFFF"/>
            <w:tcMar>
              <w:top w:w="50" w:type="dxa"/>
              <w:left w:w="50" w:type="dxa"/>
              <w:bottom w:w="50" w:type="dxa"/>
              <w:right w:w="50" w:type="dxa"/>
            </w:tcMar>
            <w:vAlign w:val="center"/>
          </w:tcPr>
          <w:p w:rsidR="00B71C8D" w:rsidRPr="00A7289C" w:rsidRDefault="00B71C8D" w:rsidP="00B71C8D">
            <w:pPr>
              <w:jc w:val="center"/>
              <w:rPr>
                <w:sz w:val="22"/>
                <w:szCs w:val="22"/>
              </w:rPr>
            </w:pPr>
            <w:proofErr w:type="spellStart"/>
            <w:r>
              <w:rPr>
                <w:i/>
                <w:iCs/>
                <w:sz w:val="22"/>
                <w:szCs w:val="22"/>
              </w:rPr>
              <w:t>Haïti</w:t>
            </w:r>
            <w:proofErr w:type="spellEnd"/>
          </w:p>
        </w:tc>
      </w:tr>
      <w:tr w:rsidR="00B71C8D" w:rsidRPr="00857EF9" w:rsidTr="004E7A7F">
        <w:tc>
          <w:tcPr>
            <w:tcW w:w="10243" w:type="dxa"/>
            <w:gridSpan w:val="17"/>
            <w:tcBorders>
              <w:top w:val="nil"/>
              <w:left w:val="nil"/>
              <w:bottom w:val="nil"/>
              <w:right w:val="nil"/>
            </w:tcBorders>
            <w:shd w:val="clear" w:color="auto" w:fill="FFFFFF"/>
            <w:tcMar>
              <w:top w:w="50" w:type="dxa"/>
              <w:left w:w="50" w:type="dxa"/>
              <w:bottom w:w="50" w:type="dxa"/>
              <w:right w:w="50" w:type="dxa"/>
            </w:tcMar>
            <w:vAlign w:val="center"/>
          </w:tcPr>
          <w:p w:rsidR="00B71C8D" w:rsidRPr="00857EF9" w:rsidRDefault="00B71C8D" w:rsidP="000938D5">
            <w:pPr>
              <w:jc w:val="center"/>
              <w:rPr>
                <w:sz w:val="22"/>
                <w:szCs w:val="22"/>
                <w:lang w:val="fr-FR"/>
              </w:rPr>
            </w:pPr>
            <w:r w:rsidRPr="00857EF9">
              <w:rPr>
                <w:i/>
                <w:iCs/>
                <w:sz w:val="22"/>
                <w:szCs w:val="22"/>
                <w:lang w:val="fr-FR"/>
              </w:rPr>
              <w:t>Projet de développement des entreprises et des investissements (P123974)</w:t>
            </w:r>
          </w:p>
        </w:tc>
      </w:tr>
      <w:tr w:rsidR="00B71C8D" w:rsidRPr="00A7289C" w:rsidTr="004E7A7F">
        <w:tc>
          <w:tcPr>
            <w:tcW w:w="10243" w:type="dxa"/>
            <w:gridSpan w:val="17"/>
            <w:tcBorders>
              <w:top w:val="nil"/>
              <w:left w:val="nil"/>
              <w:bottom w:val="nil"/>
              <w:right w:val="nil"/>
            </w:tcBorders>
            <w:shd w:val="clear" w:color="auto" w:fill="FFFFFF"/>
            <w:tcMar>
              <w:top w:w="50" w:type="dxa"/>
              <w:left w:w="50" w:type="dxa"/>
              <w:bottom w:w="50" w:type="dxa"/>
              <w:right w:w="50" w:type="dxa"/>
            </w:tcMar>
            <w:vAlign w:val="center"/>
          </w:tcPr>
          <w:p w:rsidR="00B71C8D" w:rsidRPr="00A7289C" w:rsidRDefault="00B71C8D" w:rsidP="00B71C8D">
            <w:pPr>
              <w:jc w:val="center"/>
            </w:pPr>
            <w:r>
              <w:rPr>
                <w:b/>
                <w:bCs/>
              </w:rPr>
              <w:t>DOCUMENT D’ÉVALUATION DE PROJET</w:t>
            </w:r>
          </w:p>
        </w:tc>
      </w:tr>
      <w:tr w:rsidR="00B71C8D" w:rsidRPr="00A7289C" w:rsidTr="004E7A7F">
        <w:tc>
          <w:tcPr>
            <w:tcW w:w="10243" w:type="dxa"/>
            <w:gridSpan w:val="17"/>
            <w:tcBorders>
              <w:top w:val="nil"/>
              <w:left w:val="nil"/>
              <w:bottom w:val="nil"/>
              <w:right w:val="nil"/>
            </w:tcBorders>
            <w:shd w:val="clear" w:color="auto" w:fill="FFFFFF"/>
            <w:tcMar>
              <w:top w:w="50" w:type="dxa"/>
              <w:left w:w="50" w:type="dxa"/>
              <w:bottom w:w="50" w:type="dxa"/>
              <w:right w:w="50" w:type="dxa"/>
            </w:tcMar>
            <w:vAlign w:val="center"/>
          </w:tcPr>
          <w:p w:rsidR="00B71C8D" w:rsidRPr="00A7289C" w:rsidRDefault="00B71C8D" w:rsidP="00B71C8D">
            <w:pPr>
              <w:jc w:val="center"/>
              <w:rPr>
                <w:sz w:val="22"/>
                <w:szCs w:val="22"/>
              </w:rPr>
            </w:pPr>
            <w:r>
              <w:rPr>
                <w:i/>
                <w:iCs/>
                <w:sz w:val="22"/>
                <w:szCs w:val="22"/>
              </w:rPr>
              <w:t>AMÉRIQUE LATINE ET CARAÏBES</w:t>
            </w:r>
          </w:p>
        </w:tc>
      </w:tr>
      <w:tr w:rsidR="00B71C8D" w:rsidRPr="00A7289C" w:rsidTr="004E7A7F">
        <w:trPr>
          <w:trHeight w:val="253"/>
        </w:trPr>
        <w:tc>
          <w:tcPr>
            <w:tcW w:w="10243" w:type="dxa"/>
            <w:gridSpan w:val="17"/>
            <w:tcBorders>
              <w:top w:val="nil"/>
              <w:left w:val="nil"/>
              <w:bottom w:val="single" w:sz="4" w:space="0" w:color="000000"/>
              <w:right w:val="nil"/>
            </w:tcBorders>
            <w:shd w:val="clear" w:color="auto" w:fill="FFFFFF"/>
            <w:tcMar>
              <w:top w:w="50" w:type="dxa"/>
              <w:left w:w="50" w:type="dxa"/>
              <w:bottom w:w="50" w:type="dxa"/>
              <w:right w:w="50" w:type="dxa"/>
            </w:tcMar>
          </w:tcPr>
          <w:p w:rsidR="00B71C8D" w:rsidRDefault="00B71C8D" w:rsidP="00B71C8D">
            <w:pPr>
              <w:jc w:val="center"/>
              <w:rPr>
                <w:i/>
                <w:iCs/>
                <w:sz w:val="22"/>
                <w:szCs w:val="22"/>
              </w:rPr>
            </w:pPr>
            <w:r>
              <w:rPr>
                <w:i/>
                <w:iCs/>
                <w:sz w:val="22"/>
                <w:szCs w:val="22"/>
              </w:rPr>
              <w:t>LCSPF</w:t>
            </w:r>
          </w:p>
          <w:p w:rsidR="005A4E53" w:rsidRPr="00A7289C" w:rsidRDefault="005A4E53" w:rsidP="00B71C8D">
            <w:pPr>
              <w:jc w:val="center"/>
              <w:rPr>
                <w:i/>
                <w:iCs/>
                <w:sz w:val="22"/>
                <w:szCs w:val="22"/>
              </w:rPr>
            </w:pP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71C8D" w:rsidRPr="00A7289C" w:rsidRDefault="00B71C8D" w:rsidP="00B71C8D">
            <w:pPr>
              <w:jc w:val="center"/>
            </w:pPr>
            <w:proofErr w:type="spellStart"/>
            <w:r>
              <w:rPr>
                <w:b/>
                <w:bCs/>
              </w:rPr>
              <w:t>Informations</w:t>
            </w:r>
            <w:proofErr w:type="spellEnd"/>
            <w:r>
              <w:rPr>
                <w:b/>
                <w:bCs/>
              </w:rPr>
              <w:t xml:space="preserve"> de base </w:t>
            </w:r>
          </w:p>
        </w:tc>
      </w:tr>
      <w:tr w:rsidR="00B71C8D" w:rsidRPr="00857EF9" w:rsidTr="004E7A7F">
        <w:tc>
          <w:tcPr>
            <w:tcW w:w="2048" w:type="dxa"/>
            <w:gridSpan w:val="5"/>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Date :</w:t>
            </w:r>
          </w:p>
        </w:tc>
        <w:tc>
          <w:tcPr>
            <w:tcW w:w="2355" w:type="dxa"/>
            <w:gridSpan w:val="6"/>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B71C8D" w:rsidRPr="00A7289C" w:rsidRDefault="0083757C" w:rsidP="00E90201">
            <w:pPr>
              <w:rPr>
                <w:sz w:val="20"/>
                <w:szCs w:val="20"/>
              </w:rPr>
            </w:pPr>
            <w:r>
              <w:rPr>
                <w:sz w:val="20"/>
                <w:szCs w:val="20"/>
              </w:rPr>
              <w:t xml:space="preserve">25 </w:t>
            </w:r>
            <w:proofErr w:type="spellStart"/>
            <w:r>
              <w:rPr>
                <w:sz w:val="20"/>
                <w:szCs w:val="20"/>
              </w:rPr>
              <w:t>février</w:t>
            </w:r>
            <w:proofErr w:type="spellEnd"/>
            <w:r>
              <w:rPr>
                <w:sz w:val="20"/>
                <w:szCs w:val="20"/>
              </w:rPr>
              <w:t xml:space="preserve"> 2013</w:t>
            </w:r>
          </w:p>
        </w:tc>
        <w:tc>
          <w:tcPr>
            <w:tcW w:w="1127"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Secteurs</w:t>
            </w:r>
            <w:proofErr w:type="spellEnd"/>
            <w:r>
              <w:rPr>
                <w:sz w:val="20"/>
                <w:szCs w:val="20"/>
              </w:rPr>
              <w:t> :</w:t>
            </w:r>
          </w:p>
        </w:tc>
        <w:tc>
          <w:tcPr>
            <w:tcW w:w="4713" w:type="dxa"/>
            <w:gridSpan w:val="3"/>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B71C8D" w:rsidRPr="00857EF9" w:rsidRDefault="00B71C8D" w:rsidP="006F1B7B">
            <w:pPr>
              <w:rPr>
                <w:sz w:val="20"/>
                <w:szCs w:val="20"/>
                <w:lang w:val="fr-FR"/>
              </w:rPr>
            </w:pPr>
            <w:r w:rsidRPr="00857EF9">
              <w:rPr>
                <w:sz w:val="20"/>
                <w:szCs w:val="20"/>
                <w:lang w:val="fr-FR"/>
              </w:rPr>
              <w:t>Industrie et commerce (60 %), agro-industrie, marketing et commerce (</w:t>
            </w:r>
            <w:r w:rsidR="006F1B7B" w:rsidRPr="00857EF9">
              <w:rPr>
                <w:sz w:val="20"/>
                <w:szCs w:val="20"/>
                <w:lang w:val="fr-FR"/>
              </w:rPr>
              <w:t>40 </w:t>
            </w:r>
            <w:r w:rsidRPr="00857EF9">
              <w:rPr>
                <w:sz w:val="20"/>
                <w:szCs w:val="20"/>
                <w:lang w:val="fr-FR"/>
              </w:rPr>
              <w:t>%)</w:t>
            </w:r>
          </w:p>
        </w:tc>
      </w:tr>
      <w:tr w:rsidR="00B71C8D" w:rsidRPr="00857EF9" w:rsidTr="004E7A7F">
        <w:tc>
          <w:tcPr>
            <w:tcW w:w="2048"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Directeur</w:t>
            </w:r>
            <w:proofErr w:type="spellEnd"/>
            <w:r>
              <w:rPr>
                <w:sz w:val="20"/>
                <w:szCs w:val="20"/>
              </w:rPr>
              <w:t xml:space="preserve"> des </w:t>
            </w:r>
            <w:proofErr w:type="spellStart"/>
            <w:r>
              <w:rPr>
                <w:sz w:val="20"/>
                <w:szCs w:val="20"/>
              </w:rPr>
              <w:t>opérations</w:t>
            </w:r>
            <w:proofErr w:type="spellEnd"/>
            <w:r>
              <w:rPr>
                <w:sz w:val="20"/>
                <w:szCs w:val="20"/>
              </w:rPr>
              <w:t> :</w:t>
            </w:r>
          </w:p>
        </w:tc>
        <w:tc>
          <w:tcPr>
            <w:tcW w:w="2355" w:type="dxa"/>
            <w:gridSpan w:val="6"/>
            <w:tcBorders>
              <w:top w:val="nil"/>
              <w:left w:val="nil"/>
              <w:bottom w:val="nil"/>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Alexandre</w:t>
            </w:r>
            <w:proofErr w:type="spellEnd"/>
            <w:r>
              <w:rPr>
                <w:sz w:val="20"/>
                <w:szCs w:val="20"/>
              </w:rPr>
              <w:t xml:space="preserve"> </w:t>
            </w:r>
            <w:proofErr w:type="spellStart"/>
            <w:r>
              <w:rPr>
                <w:sz w:val="20"/>
                <w:szCs w:val="20"/>
              </w:rPr>
              <w:t>Abrantes</w:t>
            </w:r>
            <w:proofErr w:type="spellEnd"/>
          </w:p>
        </w:tc>
        <w:tc>
          <w:tcPr>
            <w:tcW w:w="1127" w:type="dxa"/>
            <w:gridSpan w:val="3"/>
            <w:vMerge w:val="restart"/>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Domaines</w:t>
            </w:r>
            <w:proofErr w:type="spellEnd"/>
            <w:r>
              <w:rPr>
                <w:sz w:val="20"/>
                <w:szCs w:val="20"/>
              </w:rPr>
              <w:t xml:space="preserve"> </w:t>
            </w:r>
            <w:proofErr w:type="spellStart"/>
            <w:r>
              <w:rPr>
                <w:sz w:val="20"/>
                <w:szCs w:val="20"/>
              </w:rPr>
              <w:t>d’intervention</w:t>
            </w:r>
            <w:proofErr w:type="spellEnd"/>
            <w:r>
              <w:rPr>
                <w:sz w:val="20"/>
                <w:szCs w:val="20"/>
              </w:rPr>
              <w:t> :</w:t>
            </w:r>
          </w:p>
        </w:tc>
        <w:tc>
          <w:tcPr>
            <w:tcW w:w="4713" w:type="dxa"/>
            <w:gridSpan w:val="3"/>
            <w:vMerge w:val="restart"/>
            <w:tcBorders>
              <w:top w:val="nil"/>
              <w:left w:val="nil"/>
              <w:bottom w:val="nil"/>
              <w:right w:val="single" w:sz="4" w:space="0" w:color="000000"/>
            </w:tcBorders>
            <w:shd w:val="clear" w:color="auto" w:fill="FFFFFF"/>
            <w:tcMar>
              <w:top w:w="50" w:type="dxa"/>
              <w:left w:w="50" w:type="dxa"/>
              <w:bottom w:w="50" w:type="dxa"/>
              <w:right w:w="50" w:type="dxa"/>
            </w:tcMar>
          </w:tcPr>
          <w:p w:rsidR="00B71C8D" w:rsidRPr="00857EF9" w:rsidRDefault="00B71C8D" w:rsidP="0083757C">
            <w:pPr>
              <w:rPr>
                <w:sz w:val="20"/>
                <w:szCs w:val="20"/>
                <w:lang w:val="fr-FR"/>
              </w:rPr>
            </w:pPr>
            <w:r w:rsidRPr="00857EF9">
              <w:rPr>
                <w:sz w:val="20"/>
                <w:szCs w:val="20"/>
                <w:lang w:val="fr-FR"/>
              </w:rPr>
              <w:t xml:space="preserve">Appui aux micro-entreprises et aux petites et moyennes entreprises (40 %), Réglementation et politique de la concurrence (30 %), Facilitation du commerce et accès au marché (30 %) </w:t>
            </w:r>
          </w:p>
        </w:tc>
      </w:tr>
      <w:tr w:rsidR="00B71C8D" w:rsidRPr="00113620" w:rsidTr="004E7A7F">
        <w:tc>
          <w:tcPr>
            <w:tcW w:w="2048"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8E5C4D">
            <w:pPr>
              <w:rPr>
                <w:sz w:val="20"/>
                <w:szCs w:val="20"/>
              </w:rPr>
            </w:pPr>
            <w:proofErr w:type="spellStart"/>
            <w:r>
              <w:rPr>
                <w:sz w:val="20"/>
                <w:szCs w:val="20"/>
              </w:rPr>
              <w:t>Responsable</w:t>
            </w:r>
            <w:proofErr w:type="spellEnd"/>
            <w:r>
              <w:rPr>
                <w:sz w:val="20"/>
                <w:szCs w:val="20"/>
              </w:rPr>
              <w:t xml:space="preserve"> </w:t>
            </w:r>
            <w:proofErr w:type="spellStart"/>
            <w:r>
              <w:rPr>
                <w:sz w:val="20"/>
                <w:szCs w:val="20"/>
              </w:rPr>
              <w:t>sectoriel</w:t>
            </w:r>
            <w:proofErr w:type="spellEnd"/>
            <w:r>
              <w:rPr>
                <w:sz w:val="20"/>
                <w:szCs w:val="20"/>
              </w:rPr>
              <w:t xml:space="preserve"> :  </w:t>
            </w:r>
            <w:proofErr w:type="spellStart"/>
            <w:r>
              <w:rPr>
                <w:sz w:val="20"/>
                <w:szCs w:val="20"/>
              </w:rPr>
              <w:t>Directeur</w:t>
            </w:r>
            <w:proofErr w:type="spellEnd"/>
            <w:r>
              <w:rPr>
                <w:sz w:val="20"/>
                <w:szCs w:val="20"/>
              </w:rPr>
              <w:t> :</w:t>
            </w:r>
          </w:p>
        </w:tc>
        <w:tc>
          <w:tcPr>
            <w:tcW w:w="2355" w:type="dxa"/>
            <w:gridSpan w:val="6"/>
            <w:tcBorders>
              <w:top w:val="nil"/>
              <w:left w:val="nil"/>
              <w:bottom w:val="nil"/>
              <w:right w:val="single" w:sz="4" w:space="0" w:color="000000"/>
            </w:tcBorders>
            <w:shd w:val="clear" w:color="auto" w:fill="FFFFFF"/>
            <w:tcMar>
              <w:top w:w="50" w:type="dxa"/>
              <w:left w:w="50" w:type="dxa"/>
              <w:bottom w:w="50" w:type="dxa"/>
              <w:right w:w="50" w:type="dxa"/>
            </w:tcMar>
          </w:tcPr>
          <w:p w:rsidR="008E5C4D" w:rsidRPr="00A7289C" w:rsidRDefault="00BA00A7" w:rsidP="00B71C8D">
            <w:pPr>
              <w:rPr>
                <w:sz w:val="20"/>
                <w:szCs w:val="20"/>
                <w:lang w:val="pt-BR"/>
              </w:rPr>
            </w:pPr>
            <w:r w:rsidRPr="00BC7304">
              <w:rPr>
                <w:sz w:val="20"/>
                <w:szCs w:val="20"/>
                <w:lang w:val="pt-BR"/>
              </w:rPr>
              <w:t>P.S. Srinivas</w:t>
            </w:r>
          </w:p>
          <w:p w:rsidR="00B71C8D" w:rsidRPr="00A7289C" w:rsidRDefault="00B71C8D" w:rsidP="00B71C8D">
            <w:pPr>
              <w:rPr>
                <w:sz w:val="20"/>
                <w:szCs w:val="20"/>
                <w:lang w:val="pt-BR"/>
              </w:rPr>
            </w:pPr>
            <w:r w:rsidRPr="00BC7304">
              <w:rPr>
                <w:sz w:val="20"/>
                <w:szCs w:val="20"/>
                <w:lang w:val="pt-BR"/>
              </w:rPr>
              <w:t>Marialisa Motta</w:t>
            </w:r>
          </w:p>
        </w:tc>
        <w:tc>
          <w:tcPr>
            <w:tcW w:w="1127" w:type="dxa"/>
            <w:gridSpan w:val="3"/>
            <w:vMerge/>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lang w:val="pt-BR"/>
              </w:rPr>
            </w:pPr>
          </w:p>
        </w:tc>
        <w:tc>
          <w:tcPr>
            <w:tcW w:w="4713" w:type="dxa"/>
            <w:gridSpan w:val="3"/>
            <w:vMerge/>
            <w:tcBorders>
              <w:top w:val="nil"/>
              <w:left w:val="nil"/>
              <w:bottom w:val="nil"/>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lang w:val="pt-BR"/>
              </w:rPr>
            </w:pPr>
          </w:p>
        </w:tc>
      </w:tr>
      <w:tr w:rsidR="00B71C8D" w:rsidRPr="00A7289C" w:rsidTr="004E7A7F">
        <w:tc>
          <w:tcPr>
            <w:tcW w:w="2048"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Numéro</w:t>
            </w:r>
            <w:proofErr w:type="spellEnd"/>
            <w:r>
              <w:rPr>
                <w:sz w:val="20"/>
                <w:szCs w:val="20"/>
              </w:rPr>
              <w:t xml:space="preserve"> </w:t>
            </w:r>
            <w:proofErr w:type="spellStart"/>
            <w:r>
              <w:rPr>
                <w:sz w:val="20"/>
                <w:szCs w:val="20"/>
              </w:rPr>
              <w:t>d’identification</w:t>
            </w:r>
            <w:proofErr w:type="spellEnd"/>
            <w:r>
              <w:rPr>
                <w:sz w:val="20"/>
                <w:szCs w:val="20"/>
              </w:rPr>
              <w:t xml:space="preserve"> du </w:t>
            </w:r>
            <w:proofErr w:type="spellStart"/>
            <w:r>
              <w:rPr>
                <w:sz w:val="20"/>
                <w:szCs w:val="20"/>
              </w:rPr>
              <w:t>projet</w:t>
            </w:r>
            <w:proofErr w:type="spellEnd"/>
            <w:r>
              <w:rPr>
                <w:sz w:val="20"/>
                <w:szCs w:val="20"/>
              </w:rPr>
              <w:t> :</w:t>
            </w:r>
          </w:p>
        </w:tc>
        <w:tc>
          <w:tcPr>
            <w:tcW w:w="2355" w:type="dxa"/>
            <w:gridSpan w:val="6"/>
            <w:tcBorders>
              <w:top w:val="nil"/>
              <w:left w:val="nil"/>
              <w:bottom w:val="nil"/>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P123974</w:t>
            </w:r>
          </w:p>
        </w:tc>
        <w:tc>
          <w:tcPr>
            <w:tcW w:w="1127" w:type="dxa"/>
            <w:gridSpan w:val="3"/>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E01433">
            <w:pPr>
              <w:rPr>
                <w:sz w:val="20"/>
                <w:szCs w:val="20"/>
              </w:rPr>
            </w:pPr>
            <w:proofErr w:type="spellStart"/>
            <w:r>
              <w:rPr>
                <w:sz w:val="20"/>
                <w:szCs w:val="20"/>
              </w:rPr>
              <w:t>Catégorie</w:t>
            </w:r>
            <w:proofErr w:type="spellEnd"/>
            <w:r>
              <w:rPr>
                <w:sz w:val="20"/>
                <w:szCs w:val="20"/>
              </w:rPr>
              <w:t xml:space="preserve"> EE</w:t>
            </w:r>
            <w:r w:rsidR="00E01433">
              <w:rPr>
                <w:sz w:val="20"/>
                <w:szCs w:val="20"/>
              </w:rPr>
              <w:t> :</w:t>
            </w:r>
          </w:p>
        </w:tc>
        <w:tc>
          <w:tcPr>
            <w:tcW w:w="4713" w:type="dxa"/>
            <w:gridSpan w:val="3"/>
            <w:tcBorders>
              <w:top w:val="nil"/>
              <w:left w:val="nil"/>
              <w:bottom w:val="nil"/>
              <w:right w:val="single" w:sz="4" w:space="0" w:color="000000"/>
            </w:tcBorders>
            <w:shd w:val="clear" w:color="auto" w:fill="FFFFFF"/>
            <w:tcMar>
              <w:top w:w="50" w:type="dxa"/>
              <w:left w:w="50" w:type="dxa"/>
              <w:bottom w:w="50" w:type="dxa"/>
              <w:right w:w="50" w:type="dxa"/>
            </w:tcMar>
          </w:tcPr>
          <w:p w:rsidR="0017230E" w:rsidRPr="00A7289C" w:rsidRDefault="0017230E" w:rsidP="00B71C8D">
            <w:pPr>
              <w:rPr>
                <w:sz w:val="20"/>
                <w:szCs w:val="20"/>
              </w:rPr>
            </w:pPr>
          </w:p>
          <w:p w:rsidR="00B71C8D" w:rsidRPr="00A7289C" w:rsidRDefault="00B71C8D" w:rsidP="00B71C8D">
            <w:pPr>
              <w:rPr>
                <w:sz w:val="20"/>
                <w:szCs w:val="20"/>
              </w:rPr>
            </w:pPr>
            <w:r>
              <w:rPr>
                <w:sz w:val="20"/>
                <w:szCs w:val="20"/>
              </w:rPr>
              <w:t xml:space="preserve">B - </w:t>
            </w:r>
            <w:proofErr w:type="spellStart"/>
            <w:r>
              <w:rPr>
                <w:sz w:val="20"/>
                <w:szCs w:val="20"/>
              </w:rPr>
              <w:t>Évaluation</w:t>
            </w:r>
            <w:proofErr w:type="spellEnd"/>
            <w:r>
              <w:rPr>
                <w:sz w:val="20"/>
                <w:szCs w:val="20"/>
              </w:rPr>
              <w:t xml:space="preserve"> </w:t>
            </w:r>
            <w:proofErr w:type="spellStart"/>
            <w:r>
              <w:rPr>
                <w:sz w:val="20"/>
                <w:szCs w:val="20"/>
              </w:rPr>
              <w:t>partielle</w:t>
            </w:r>
            <w:proofErr w:type="spellEnd"/>
          </w:p>
        </w:tc>
      </w:tr>
      <w:tr w:rsidR="00B71C8D" w:rsidRPr="00A7289C" w:rsidTr="004E7A7F">
        <w:tc>
          <w:tcPr>
            <w:tcW w:w="2048"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Instrument de prêt :</w:t>
            </w:r>
          </w:p>
        </w:tc>
        <w:tc>
          <w:tcPr>
            <w:tcW w:w="2355" w:type="dxa"/>
            <w:gridSpan w:val="6"/>
            <w:tcBorders>
              <w:top w:val="nil"/>
              <w:left w:val="nil"/>
              <w:bottom w:val="nil"/>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Don </w:t>
            </w:r>
            <w:proofErr w:type="spellStart"/>
            <w:r>
              <w:rPr>
                <w:sz w:val="20"/>
                <w:szCs w:val="20"/>
              </w:rPr>
              <w:t>d'investissement</w:t>
            </w:r>
            <w:proofErr w:type="spellEnd"/>
            <w:r>
              <w:rPr>
                <w:sz w:val="20"/>
                <w:szCs w:val="20"/>
              </w:rPr>
              <w:t xml:space="preserve"> </w:t>
            </w:r>
            <w:proofErr w:type="spellStart"/>
            <w:r>
              <w:rPr>
                <w:sz w:val="20"/>
                <w:szCs w:val="20"/>
              </w:rPr>
              <w:t>spécifique</w:t>
            </w:r>
            <w:proofErr w:type="spellEnd"/>
          </w:p>
        </w:tc>
        <w:tc>
          <w:tcPr>
            <w:tcW w:w="5840" w:type="dxa"/>
            <w:gridSpan w:val="6"/>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tc>
      </w:tr>
      <w:tr w:rsidR="00B71C8D" w:rsidRPr="00A7289C" w:rsidTr="004E7A7F">
        <w:tc>
          <w:tcPr>
            <w:tcW w:w="2048"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Chargé(s) de </w:t>
            </w:r>
            <w:proofErr w:type="spellStart"/>
            <w:r>
              <w:rPr>
                <w:sz w:val="20"/>
                <w:szCs w:val="20"/>
              </w:rPr>
              <w:t>projet</w:t>
            </w:r>
            <w:proofErr w:type="spellEnd"/>
            <w:r>
              <w:rPr>
                <w:sz w:val="20"/>
                <w:szCs w:val="20"/>
              </w:rPr>
              <w:t> :</w:t>
            </w:r>
          </w:p>
        </w:tc>
        <w:tc>
          <w:tcPr>
            <w:tcW w:w="2355" w:type="dxa"/>
            <w:gridSpan w:val="6"/>
            <w:tcBorders>
              <w:top w:val="nil"/>
              <w:left w:val="nil"/>
              <w:bottom w:val="nil"/>
              <w:right w:val="single" w:sz="4" w:space="0" w:color="000000"/>
            </w:tcBorders>
            <w:shd w:val="clear" w:color="auto" w:fill="FFFFFF"/>
            <w:tcMar>
              <w:top w:w="50" w:type="dxa"/>
              <w:left w:w="50" w:type="dxa"/>
              <w:bottom w:w="50" w:type="dxa"/>
              <w:right w:w="50" w:type="dxa"/>
            </w:tcMar>
          </w:tcPr>
          <w:p w:rsidR="00B71C8D" w:rsidRPr="00A7289C" w:rsidRDefault="00B71C8D" w:rsidP="00DD2E0D">
            <w:pPr>
              <w:rPr>
                <w:sz w:val="20"/>
                <w:szCs w:val="20"/>
                <w:lang w:val="de-DE"/>
              </w:rPr>
            </w:pPr>
            <w:r>
              <w:rPr>
                <w:sz w:val="20"/>
                <w:szCs w:val="20"/>
              </w:rPr>
              <w:t xml:space="preserve">Juan </w:t>
            </w:r>
            <w:proofErr w:type="spellStart"/>
            <w:r>
              <w:rPr>
                <w:sz w:val="20"/>
                <w:szCs w:val="20"/>
              </w:rPr>
              <w:t>Buchenau</w:t>
            </w:r>
            <w:proofErr w:type="spellEnd"/>
            <w:r>
              <w:rPr>
                <w:sz w:val="20"/>
                <w:szCs w:val="20"/>
              </w:rPr>
              <w:t xml:space="preserve"> </w:t>
            </w:r>
            <w:proofErr w:type="spellStart"/>
            <w:r>
              <w:rPr>
                <w:sz w:val="20"/>
                <w:szCs w:val="20"/>
              </w:rPr>
              <w:t>Hoth</w:t>
            </w:r>
            <w:proofErr w:type="spellEnd"/>
          </w:p>
        </w:tc>
        <w:tc>
          <w:tcPr>
            <w:tcW w:w="5840" w:type="dxa"/>
            <w:gridSpan w:val="6"/>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16"/>
                <w:szCs w:val="16"/>
                <w:lang w:val="de-DE"/>
              </w:rPr>
            </w:pP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71C8D" w:rsidRPr="00A7289C" w:rsidRDefault="00B71C8D" w:rsidP="00B71C8D">
            <w:pPr>
              <w:rPr>
                <w:sz w:val="20"/>
                <w:szCs w:val="20"/>
              </w:rPr>
            </w:pPr>
            <w:r w:rsidRPr="00857EF9">
              <w:rPr>
                <w:sz w:val="20"/>
                <w:szCs w:val="20"/>
                <w:lang w:val="fr-FR"/>
              </w:rPr>
              <w:t xml:space="preserve">Le projet comporte-t-il des composantes CDD ?  </w:t>
            </w:r>
            <w:r>
              <w:rPr>
                <w:sz w:val="20"/>
                <w:szCs w:val="20"/>
              </w:rPr>
              <w:t>Non.</w:t>
            </w: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71C8D" w:rsidRPr="00A7289C" w:rsidRDefault="00B71C8D" w:rsidP="00B71C8D">
            <w:pPr>
              <w:rPr>
                <w:sz w:val="20"/>
                <w:szCs w:val="20"/>
              </w:rPr>
            </w:pPr>
            <w:r>
              <w:rPr>
                <w:sz w:val="20"/>
                <w:szCs w:val="20"/>
              </w:rPr>
              <w:t>Engagement IFC : Non.</w:t>
            </w: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71C8D" w:rsidRPr="00A7289C" w:rsidRDefault="00C03725" w:rsidP="00B71C8D">
            <w:pPr>
              <w:rPr>
                <w:sz w:val="20"/>
                <w:szCs w:val="20"/>
              </w:rPr>
            </w:pPr>
            <w:proofErr w:type="spellStart"/>
            <w:r>
              <w:rPr>
                <w:sz w:val="20"/>
                <w:szCs w:val="20"/>
              </w:rPr>
              <w:t>Bénéficiaire</w:t>
            </w:r>
            <w:proofErr w:type="spellEnd"/>
            <w:r>
              <w:rPr>
                <w:sz w:val="20"/>
                <w:szCs w:val="20"/>
              </w:rPr>
              <w:t xml:space="preserve"> : </w:t>
            </w:r>
            <w:proofErr w:type="spellStart"/>
            <w:r>
              <w:rPr>
                <w:sz w:val="20"/>
                <w:szCs w:val="20"/>
              </w:rPr>
              <w:t>République</w:t>
            </w:r>
            <w:proofErr w:type="spellEnd"/>
            <w:r>
              <w:rPr>
                <w:sz w:val="20"/>
                <w:szCs w:val="20"/>
              </w:rPr>
              <w:t xml:space="preserve"> </w:t>
            </w:r>
            <w:proofErr w:type="spellStart"/>
            <w:r>
              <w:rPr>
                <w:sz w:val="20"/>
                <w:szCs w:val="20"/>
              </w:rPr>
              <w:t>d’Haïti</w:t>
            </w:r>
            <w:proofErr w:type="spellEnd"/>
          </w:p>
        </w:tc>
      </w:tr>
      <w:tr w:rsidR="00B71C8D" w:rsidRPr="00857EF9"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71C8D" w:rsidRPr="00857EF9" w:rsidRDefault="00B71C8D" w:rsidP="001630CB">
            <w:pPr>
              <w:rPr>
                <w:sz w:val="20"/>
                <w:szCs w:val="20"/>
                <w:lang w:val="fr-FR"/>
              </w:rPr>
            </w:pPr>
            <w:r w:rsidRPr="00857EF9">
              <w:rPr>
                <w:sz w:val="20"/>
                <w:szCs w:val="20"/>
                <w:lang w:val="fr-FR"/>
              </w:rPr>
              <w:t>Agence d’exécution : Ministère du Commerce et de l'Industrie (MCI)</w:t>
            </w:r>
          </w:p>
        </w:tc>
      </w:tr>
      <w:tr w:rsidR="00B71C8D" w:rsidRPr="00857EF9" w:rsidTr="004E7A7F">
        <w:tc>
          <w:tcPr>
            <w:tcW w:w="1536"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sidRPr="00857EF9">
              <w:rPr>
                <w:sz w:val="20"/>
                <w:szCs w:val="20"/>
                <w:lang w:val="fr-FR"/>
              </w:rPr>
              <w:t xml:space="preserve">    </w:t>
            </w:r>
            <w:proofErr w:type="spellStart"/>
            <w:r>
              <w:rPr>
                <w:sz w:val="20"/>
                <w:szCs w:val="20"/>
              </w:rPr>
              <w:t>Personne</w:t>
            </w:r>
            <w:proofErr w:type="spellEnd"/>
            <w:r>
              <w:rPr>
                <w:sz w:val="20"/>
                <w:szCs w:val="20"/>
              </w:rPr>
              <w:t xml:space="preserve"> à </w:t>
            </w:r>
            <w:proofErr w:type="spellStart"/>
            <w:r>
              <w:rPr>
                <w:sz w:val="20"/>
                <w:szCs w:val="20"/>
              </w:rPr>
              <w:t>contacter</w:t>
            </w:r>
            <w:proofErr w:type="spellEnd"/>
            <w:r>
              <w:rPr>
                <w:sz w:val="20"/>
                <w:szCs w:val="20"/>
              </w:rPr>
              <w:t> :</w:t>
            </w:r>
          </w:p>
        </w:tc>
        <w:tc>
          <w:tcPr>
            <w:tcW w:w="3584" w:type="dxa"/>
            <w:gridSpan w:val="10"/>
            <w:tcBorders>
              <w:top w:val="single" w:sz="4" w:space="0" w:color="000000"/>
              <w:left w:val="nil"/>
              <w:bottom w:val="nil"/>
              <w:right w:val="nil"/>
            </w:tcBorders>
            <w:shd w:val="clear" w:color="auto" w:fill="FFFFFF"/>
            <w:tcMar>
              <w:top w:w="50" w:type="dxa"/>
              <w:left w:w="50" w:type="dxa"/>
              <w:bottom w:w="50" w:type="dxa"/>
              <w:right w:w="50" w:type="dxa"/>
            </w:tcMar>
          </w:tcPr>
          <w:p w:rsidR="00B71C8D" w:rsidRPr="00A7289C" w:rsidRDefault="004D604B" w:rsidP="00B71C8D">
            <w:pPr>
              <w:rPr>
                <w:sz w:val="20"/>
                <w:szCs w:val="20"/>
              </w:rPr>
            </w:pPr>
            <w:proofErr w:type="spellStart"/>
            <w:r>
              <w:rPr>
                <w:sz w:val="20"/>
                <w:szCs w:val="20"/>
              </w:rPr>
              <w:t>Hugues</w:t>
            </w:r>
            <w:proofErr w:type="spellEnd"/>
            <w:r>
              <w:rPr>
                <w:sz w:val="20"/>
                <w:szCs w:val="20"/>
              </w:rPr>
              <w:t xml:space="preserve"> Joseph</w:t>
            </w:r>
          </w:p>
        </w:tc>
        <w:tc>
          <w:tcPr>
            <w:tcW w:w="1024" w:type="dxa"/>
            <w:gridSpan w:val="3"/>
            <w:tcBorders>
              <w:top w:val="single" w:sz="4" w:space="0" w:color="000000"/>
              <w:left w:val="nil"/>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    </w:t>
            </w:r>
            <w:proofErr w:type="spellStart"/>
            <w:r>
              <w:rPr>
                <w:sz w:val="20"/>
                <w:szCs w:val="20"/>
              </w:rPr>
              <w:t>Fonction</w:t>
            </w:r>
            <w:proofErr w:type="spellEnd"/>
            <w:r>
              <w:rPr>
                <w:sz w:val="20"/>
                <w:szCs w:val="20"/>
              </w:rPr>
              <w:t> :</w:t>
            </w:r>
          </w:p>
        </w:tc>
        <w:tc>
          <w:tcPr>
            <w:tcW w:w="4099"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B71C8D" w:rsidRPr="00857EF9" w:rsidRDefault="004D604B" w:rsidP="00B71C8D">
            <w:pPr>
              <w:rPr>
                <w:sz w:val="20"/>
                <w:szCs w:val="20"/>
                <w:lang w:val="fr-FR"/>
              </w:rPr>
            </w:pPr>
            <w:r w:rsidRPr="00857EF9">
              <w:rPr>
                <w:sz w:val="20"/>
                <w:szCs w:val="20"/>
                <w:lang w:val="fr-FR"/>
              </w:rPr>
              <w:t>Directeur du Cabinet du Ministre</w:t>
            </w:r>
          </w:p>
        </w:tc>
      </w:tr>
      <w:tr w:rsidR="00B71C8D" w:rsidRPr="00A7289C" w:rsidTr="004E7A7F">
        <w:tc>
          <w:tcPr>
            <w:tcW w:w="1536"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sidRPr="00857EF9">
              <w:rPr>
                <w:sz w:val="20"/>
                <w:szCs w:val="20"/>
                <w:lang w:val="fr-FR"/>
              </w:rPr>
              <w:tab/>
            </w:r>
            <w:proofErr w:type="spellStart"/>
            <w:r>
              <w:rPr>
                <w:sz w:val="20"/>
                <w:szCs w:val="20"/>
              </w:rPr>
              <w:t>Téléphone</w:t>
            </w:r>
            <w:proofErr w:type="spellEnd"/>
            <w:r>
              <w:rPr>
                <w:sz w:val="20"/>
                <w:szCs w:val="20"/>
              </w:rPr>
              <w:t xml:space="preserve"> : </w:t>
            </w:r>
          </w:p>
        </w:tc>
        <w:tc>
          <w:tcPr>
            <w:tcW w:w="3584" w:type="dxa"/>
            <w:gridSpan w:val="10"/>
            <w:tcBorders>
              <w:top w:val="nil"/>
              <w:left w:val="nil"/>
              <w:bottom w:val="single" w:sz="4" w:space="0" w:color="000000"/>
              <w:right w:val="nil"/>
            </w:tcBorders>
            <w:shd w:val="clear" w:color="auto" w:fill="FFFFFF"/>
            <w:tcMar>
              <w:top w:w="50" w:type="dxa"/>
              <w:left w:w="50" w:type="dxa"/>
              <w:bottom w:w="50" w:type="dxa"/>
              <w:right w:w="50" w:type="dxa"/>
            </w:tcMar>
          </w:tcPr>
          <w:p w:rsidR="00B71C8D" w:rsidRPr="00A7289C" w:rsidRDefault="004D604B" w:rsidP="00B71C8D">
            <w:pPr>
              <w:rPr>
                <w:sz w:val="20"/>
                <w:szCs w:val="20"/>
              </w:rPr>
            </w:pPr>
            <w:r>
              <w:rPr>
                <w:sz w:val="20"/>
                <w:szCs w:val="20"/>
              </w:rPr>
              <w:t>+509 – 4890-0158</w:t>
            </w:r>
          </w:p>
        </w:tc>
        <w:tc>
          <w:tcPr>
            <w:tcW w:w="1024" w:type="dxa"/>
            <w:gridSpan w:val="3"/>
            <w:tcBorders>
              <w:top w:val="nil"/>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    E-mail :</w:t>
            </w:r>
            <w:r>
              <w:t xml:space="preserve"> </w:t>
            </w:r>
          </w:p>
        </w:tc>
        <w:tc>
          <w:tcPr>
            <w:tcW w:w="4099"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4D604B" w:rsidP="00B71C8D">
            <w:pPr>
              <w:rPr>
                <w:sz w:val="20"/>
                <w:szCs w:val="20"/>
              </w:rPr>
            </w:pPr>
            <w:r>
              <w:rPr>
                <w:sz w:val="20"/>
                <w:szCs w:val="20"/>
              </w:rPr>
              <w:t>Hugues_joseph@yahoo.fr</w:t>
            </w: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0"/>
                <w:szCs w:val="20"/>
              </w:rPr>
            </w:pPr>
            <w:r>
              <w:rPr>
                <w:rFonts w:ascii="Times" w:hAnsi="Times" w:cs="Times"/>
                <w:sz w:val="20"/>
                <w:szCs w:val="20"/>
              </w:rPr>
              <w:t>.</w:t>
            </w:r>
          </w:p>
        </w:tc>
      </w:tr>
      <w:tr w:rsidR="00B71C8D" w:rsidRPr="00A7289C" w:rsidTr="004E7A7F">
        <w:tc>
          <w:tcPr>
            <w:tcW w:w="2458"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Période</w:t>
            </w:r>
            <w:proofErr w:type="spellEnd"/>
            <w:r>
              <w:rPr>
                <w:sz w:val="20"/>
                <w:szCs w:val="20"/>
              </w:rPr>
              <w:t xml:space="preserve"> </w:t>
            </w:r>
            <w:proofErr w:type="spellStart"/>
            <w:r>
              <w:rPr>
                <w:sz w:val="20"/>
                <w:szCs w:val="20"/>
              </w:rPr>
              <w:t>d’exécution</w:t>
            </w:r>
            <w:proofErr w:type="spellEnd"/>
            <w:r>
              <w:rPr>
                <w:sz w:val="20"/>
                <w:szCs w:val="20"/>
              </w:rPr>
              <w:t xml:space="preserve"> du </w:t>
            </w:r>
            <w:proofErr w:type="spellStart"/>
            <w:r>
              <w:rPr>
                <w:sz w:val="20"/>
                <w:szCs w:val="20"/>
              </w:rPr>
              <w:t>projet</w:t>
            </w:r>
            <w:proofErr w:type="spellEnd"/>
            <w:r>
              <w:rPr>
                <w:sz w:val="20"/>
                <w:szCs w:val="20"/>
              </w:rPr>
              <w:t> :</w:t>
            </w:r>
          </w:p>
        </w:tc>
        <w:tc>
          <w:tcPr>
            <w:tcW w:w="102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r>
              <w:rPr>
                <w:sz w:val="20"/>
                <w:szCs w:val="20"/>
              </w:rPr>
              <w:t>Date de début :</w:t>
            </w:r>
          </w:p>
        </w:tc>
        <w:tc>
          <w:tcPr>
            <w:tcW w:w="1536"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5453E" w:rsidRPr="00A7289C" w:rsidRDefault="009879E1" w:rsidP="00A5453E">
            <w:pPr>
              <w:rPr>
                <w:sz w:val="20"/>
                <w:szCs w:val="20"/>
              </w:rPr>
            </w:pPr>
            <w:r>
              <w:rPr>
                <w:sz w:val="20"/>
                <w:szCs w:val="20"/>
              </w:rPr>
              <w:t>1</w:t>
            </w:r>
            <w:r>
              <w:rPr>
                <w:sz w:val="20"/>
                <w:szCs w:val="20"/>
                <w:vertAlign w:val="superscript"/>
              </w:rPr>
              <w:t>er</w:t>
            </w:r>
            <w:r>
              <w:rPr>
                <w:sz w:val="20"/>
                <w:szCs w:val="20"/>
              </w:rPr>
              <w:t xml:space="preserve"> </w:t>
            </w:r>
            <w:proofErr w:type="spellStart"/>
            <w:r>
              <w:rPr>
                <w:sz w:val="20"/>
                <w:szCs w:val="20"/>
              </w:rPr>
              <w:t>juillet</w:t>
            </w:r>
            <w:proofErr w:type="spellEnd"/>
            <w:r>
              <w:rPr>
                <w:sz w:val="20"/>
                <w:szCs w:val="20"/>
              </w:rPr>
              <w:t xml:space="preserve"> 2013</w:t>
            </w:r>
            <w:r w:rsidR="00A5453E" w:rsidRPr="00A7289C">
              <w:rPr>
                <w:rStyle w:val="FootnoteReference"/>
                <w:sz w:val="20"/>
                <w:szCs w:val="20"/>
              </w:rPr>
              <w:footnoteReference w:id="2"/>
            </w:r>
          </w:p>
        </w:tc>
        <w:tc>
          <w:tcPr>
            <w:tcW w:w="102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right"/>
              <w:rPr>
                <w:sz w:val="20"/>
                <w:szCs w:val="20"/>
              </w:rPr>
            </w:pPr>
            <w:r>
              <w:rPr>
                <w:sz w:val="20"/>
                <w:szCs w:val="20"/>
              </w:rPr>
              <w:t>Date de fin :</w:t>
            </w:r>
          </w:p>
        </w:tc>
        <w:tc>
          <w:tcPr>
            <w:tcW w:w="4201"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9B414A" w:rsidP="00DD2E0D">
            <w:pPr>
              <w:spacing w:before="100" w:beforeAutospacing="1" w:after="100" w:afterAutospacing="1"/>
              <w:rPr>
                <w:sz w:val="20"/>
                <w:szCs w:val="20"/>
              </w:rPr>
            </w:pPr>
            <w:r>
              <w:rPr>
                <w:sz w:val="20"/>
                <w:szCs w:val="20"/>
              </w:rPr>
              <w:t xml:space="preserve">31 </w:t>
            </w:r>
            <w:proofErr w:type="spellStart"/>
            <w:r>
              <w:rPr>
                <w:sz w:val="20"/>
                <w:szCs w:val="20"/>
              </w:rPr>
              <w:t>mai</w:t>
            </w:r>
            <w:proofErr w:type="spellEnd"/>
            <w:r>
              <w:rPr>
                <w:sz w:val="20"/>
                <w:szCs w:val="20"/>
              </w:rPr>
              <w:t xml:space="preserve"> 2018</w:t>
            </w:r>
          </w:p>
        </w:tc>
      </w:tr>
      <w:tr w:rsidR="00B71C8D" w:rsidRPr="00A7289C" w:rsidTr="004E7A7F">
        <w:trPr>
          <w:trHeight w:val="177"/>
        </w:trPr>
        <w:tc>
          <w:tcPr>
            <w:tcW w:w="2458" w:type="dxa"/>
            <w:gridSpan w:val="6"/>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Date d’entrée en vigueur prévue :</w:t>
            </w:r>
          </w:p>
        </w:tc>
        <w:tc>
          <w:tcPr>
            <w:tcW w:w="7785" w:type="dxa"/>
            <w:gridSpan w:val="11"/>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B71C8D" w:rsidRPr="00A7289C" w:rsidRDefault="009879E1" w:rsidP="00936660">
            <w:pPr>
              <w:rPr>
                <w:sz w:val="20"/>
                <w:szCs w:val="20"/>
              </w:rPr>
            </w:pPr>
            <w:r>
              <w:rPr>
                <w:sz w:val="20"/>
                <w:szCs w:val="20"/>
              </w:rPr>
              <w:t>1</w:t>
            </w:r>
            <w:r>
              <w:rPr>
                <w:sz w:val="20"/>
                <w:szCs w:val="20"/>
                <w:vertAlign w:val="superscript"/>
              </w:rPr>
              <w:t>er</w:t>
            </w:r>
            <w:r>
              <w:rPr>
                <w:sz w:val="20"/>
                <w:szCs w:val="20"/>
              </w:rPr>
              <w:t xml:space="preserve"> </w:t>
            </w:r>
            <w:proofErr w:type="spellStart"/>
            <w:r>
              <w:rPr>
                <w:sz w:val="20"/>
                <w:szCs w:val="20"/>
              </w:rPr>
              <w:t>juillet</w:t>
            </w:r>
            <w:proofErr w:type="spellEnd"/>
            <w:r>
              <w:rPr>
                <w:sz w:val="20"/>
                <w:szCs w:val="20"/>
              </w:rPr>
              <w:t xml:space="preserve"> 2013</w:t>
            </w:r>
          </w:p>
        </w:tc>
      </w:tr>
      <w:tr w:rsidR="00B71C8D" w:rsidRPr="00A7289C" w:rsidTr="004E7A7F">
        <w:tc>
          <w:tcPr>
            <w:tcW w:w="2458"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71C8D" w:rsidRPr="00857EF9" w:rsidRDefault="00B71C8D" w:rsidP="00B71C8D">
            <w:pPr>
              <w:spacing w:before="100" w:beforeAutospacing="1" w:after="100" w:afterAutospacing="1"/>
              <w:rPr>
                <w:sz w:val="20"/>
                <w:szCs w:val="20"/>
                <w:lang w:val="fr-FR"/>
              </w:rPr>
            </w:pPr>
            <w:r w:rsidRPr="00857EF9">
              <w:rPr>
                <w:sz w:val="20"/>
                <w:szCs w:val="20"/>
                <w:lang w:val="fr-FR"/>
              </w:rPr>
              <w:t>Date de clôture du projet prévue :</w:t>
            </w:r>
          </w:p>
        </w:tc>
        <w:tc>
          <w:tcPr>
            <w:tcW w:w="7785"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9B414A" w:rsidP="00DD2E0D">
            <w:pPr>
              <w:spacing w:before="100" w:beforeAutospacing="1" w:after="100" w:afterAutospacing="1"/>
              <w:rPr>
                <w:sz w:val="20"/>
                <w:szCs w:val="20"/>
              </w:rPr>
            </w:pPr>
            <w:r>
              <w:rPr>
                <w:sz w:val="20"/>
                <w:szCs w:val="20"/>
              </w:rPr>
              <w:t xml:space="preserve">31 </w:t>
            </w:r>
            <w:proofErr w:type="spellStart"/>
            <w:r>
              <w:rPr>
                <w:sz w:val="20"/>
                <w:szCs w:val="20"/>
              </w:rPr>
              <w:t>mai</w:t>
            </w:r>
            <w:proofErr w:type="spellEnd"/>
            <w:r>
              <w:rPr>
                <w:sz w:val="20"/>
                <w:szCs w:val="20"/>
              </w:rPr>
              <w:t xml:space="preserve"> 2018</w:t>
            </w:r>
          </w:p>
        </w:tc>
      </w:tr>
      <w:tr w:rsidR="00B71C8D" w:rsidRPr="00A7289C"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857EF9" w:rsidTr="004E7A7F">
        <w:tc>
          <w:tcPr>
            <w:tcW w:w="10243" w:type="dxa"/>
            <w:gridSpan w:val="1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71C8D" w:rsidRPr="00857EF9" w:rsidRDefault="00201BD4" w:rsidP="00B71C8D">
            <w:pPr>
              <w:jc w:val="center"/>
              <w:rPr>
                <w:lang w:val="fr-FR"/>
              </w:rPr>
            </w:pPr>
            <w:r w:rsidRPr="00857EF9">
              <w:rPr>
                <w:b/>
                <w:bCs/>
                <w:lang w:val="fr-FR"/>
              </w:rPr>
              <w:t>Données financières du projet (millions USD)</w:t>
            </w:r>
          </w:p>
        </w:tc>
      </w:tr>
      <w:tr w:rsidR="00B71C8D" w:rsidRPr="00A7289C" w:rsidTr="004E7A7F">
        <w:tc>
          <w:tcPr>
            <w:tcW w:w="512"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819"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Prêt</w:t>
            </w:r>
          </w:p>
        </w:tc>
        <w:tc>
          <w:tcPr>
            <w:tcW w:w="512" w:type="dxa"/>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 ]</w:t>
            </w:r>
          </w:p>
        </w:tc>
        <w:tc>
          <w:tcPr>
            <w:tcW w:w="1229" w:type="dxa"/>
            <w:gridSpan w:val="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Subvention</w:t>
            </w:r>
          </w:p>
        </w:tc>
        <w:tc>
          <w:tcPr>
            <w:tcW w:w="512" w:type="dxa"/>
            <w:gridSpan w:val="2"/>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6659" w:type="dxa"/>
            <w:gridSpan w:val="7"/>
            <w:vMerge w:val="restart"/>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Autres</w:t>
            </w:r>
            <w:proofErr w:type="spellEnd"/>
          </w:p>
        </w:tc>
      </w:tr>
      <w:tr w:rsidR="00B71C8D" w:rsidRPr="00A7289C" w:rsidTr="004E7A7F">
        <w:tc>
          <w:tcPr>
            <w:tcW w:w="512"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819"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Crédit</w:t>
            </w:r>
            <w:proofErr w:type="spellEnd"/>
          </w:p>
        </w:tc>
        <w:tc>
          <w:tcPr>
            <w:tcW w:w="512" w:type="dxa"/>
            <w:gridSpan w:val="2"/>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1229" w:type="dxa"/>
            <w:gridSpan w:val="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Garantie</w:t>
            </w:r>
            <w:proofErr w:type="spellEnd"/>
          </w:p>
        </w:tc>
        <w:tc>
          <w:tcPr>
            <w:tcW w:w="512" w:type="dxa"/>
            <w:gridSpan w:val="2"/>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p>
        </w:tc>
        <w:tc>
          <w:tcPr>
            <w:tcW w:w="6659" w:type="dxa"/>
            <w:gridSpan w:val="7"/>
            <w:vMerge/>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
        </w:tc>
      </w:tr>
      <w:tr w:rsidR="00B71C8D" w:rsidRPr="00A7289C" w:rsidTr="004E7A7F">
        <w:tc>
          <w:tcPr>
            <w:tcW w:w="10243"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b/>
                <w:bCs/>
                <w:sz w:val="20"/>
                <w:szCs w:val="20"/>
              </w:rPr>
              <w:lastRenderedPageBreak/>
              <w:t>Prêts</w:t>
            </w:r>
            <w:proofErr w:type="spellEnd"/>
            <w:r>
              <w:rPr>
                <w:b/>
                <w:bCs/>
                <w:sz w:val="20"/>
                <w:szCs w:val="20"/>
              </w:rPr>
              <w:t>/</w:t>
            </w:r>
            <w:proofErr w:type="spellStart"/>
            <w:r>
              <w:rPr>
                <w:b/>
                <w:bCs/>
                <w:sz w:val="20"/>
                <w:szCs w:val="20"/>
              </w:rPr>
              <w:t>Crédits</w:t>
            </w:r>
            <w:proofErr w:type="spellEnd"/>
            <w:r>
              <w:rPr>
                <w:b/>
                <w:bCs/>
                <w:sz w:val="20"/>
                <w:szCs w:val="20"/>
              </w:rPr>
              <w:t>/</w:t>
            </w:r>
            <w:proofErr w:type="spellStart"/>
            <w:r>
              <w:rPr>
                <w:b/>
                <w:bCs/>
                <w:sz w:val="20"/>
                <w:szCs w:val="20"/>
              </w:rPr>
              <w:t>Autres</w:t>
            </w:r>
            <w:proofErr w:type="spellEnd"/>
          </w:p>
        </w:tc>
      </w:tr>
      <w:tr w:rsidR="00B71C8D" w:rsidRPr="00A7289C" w:rsidTr="004E7A7F">
        <w:tc>
          <w:tcPr>
            <w:tcW w:w="2867" w:type="dxa"/>
            <w:gridSpan w:val="7"/>
            <w:tcBorders>
              <w:top w:val="nil"/>
              <w:left w:val="single" w:sz="4" w:space="0" w:color="000000"/>
              <w:bottom w:val="nil"/>
              <w:right w:val="nil"/>
            </w:tcBorders>
            <w:shd w:val="clear" w:color="auto" w:fill="FFFFFF"/>
            <w:tcMar>
              <w:top w:w="50" w:type="dxa"/>
              <w:left w:w="50" w:type="dxa"/>
              <w:bottom w:w="50" w:type="dxa"/>
              <w:right w:w="50" w:type="dxa"/>
            </w:tcMar>
          </w:tcPr>
          <w:p w:rsidR="00B71C8D" w:rsidRPr="00857EF9" w:rsidRDefault="00B71C8D" w:rsidP="00B71C8D">
            <w:pPr>
              <w:spacing w:before="100" w:beforeAutospacing="1" w:after="100" w:afterAutospacing="1"/>
              <w:rPr>
                <w:sz w:val="20"/>
                <w:szCs w:val="20"/>
                <w:lang w:val="fr-FR"/>
              </w:rPr>
            </w:pPr>
            <w:r w:rsidRPr="00857EF9">
              <w:rPr>
                <w:sz w:val="20"/>
                <w:szCs w:val="20"/>
                <w:lang w:val="fr-FR"/>
              </w:rPr>
              <w:t>Budget total du projet (millions USD) :</w:t>
            </w:r>
          </w:p>
        </w:tc>
        <w:tc>
          <w:tcPr>
            <w:tcW w:w="7376" w:type="dxa"/>
            <w:gridSpan w:val="10"/>
            <w:tcBorders>
              <w:top w:val="nil"/>
              <w:left w:val="nil"/>
              <w:bottom w:val="nil"/>
              <w:right w:val="single" w:sz="4" w:space="0" w:color="000000"/>
            </w:tcBorders>
            <w:shd w:val="clear" w:color="auto" w:fill="FFFFFF"/>
            <w:tcMar>
              <w:top w:w="50" w:type="dxa"/>
              <w:left w:w="50" w:type="dxa"/>
              <w:bottom w:w="50" w:type="dxa"/>
              <w:right w:w="50" w:type="dxa"/>
            </w:tcMar>
          </w:tcPr>
          <w:p w:rsidR="00B71C8D" w:rsidRPr="00A7289C" w:rsidRDefault="00DD2E0D" w:rsidP="00B71C8D">
            <w:pPr>
              <w:spacing w:before="100" w:beforeAutospacing="1" w:after="100" w:afterAutospacing="1"/>
              <w:rPr>
                <w:sz w:val="20"/>
                <w:szCs w:val="20"/>
              </w:rPr>
            </w:pPr>
            <w:r>
              <w:rPr>
                <w:sz w:val="20"/>
                <w:szCs w:val="20"/>
              </w:rPr>
              <w:t>20</w:t>
            </w:r>
            <w:r w:rsidR="001938FD">
              <w:rPr>
                <w:sz w:val="20"/>
                <w:szCs w:val="20"/>
              </w:rPr>
              <w:t>,</w:t>
            </w:r>
            <w:r>
              <w:rPr>
                <w:sz w:val="20"/>
                <w:szCs w:val="20"/>
              </w:rPr>
              <w:t>00</w:t>
            </w:r>
          </w:p>
        </w:tc>
      </w:tr>
      <w:tr w:rsidR="00B71C8D" w:rsidRPr="00A7289C" w:rsidTr="004E7A7F">
        <w:tc>
          <w:tcPr>
            <w:tcW w:w="2867" w:type="dxa"/>
            <w:gridSpan w:val="7"/>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71C8D" w:rsidRPr="00857EF9" w:rsidRDefault="00B71C8D" w:rsidP="00B71C8D">
            <w:pPr>
              <w:spacing w:before="100" w:beforeAutospacing="1" w:after="100" w:afterAutospacing="1"/>
              <w:rPr>
                <w:sz w:val="20"/>
                <w:szCs w:val="20"/>
                <w:lang w:val="fr-FR"/>
              </w:rPr>
            </w:pPr>
            <w:r w:rsidRPr="00857EF9">
              <w:rPr>
                <w:sz w:val="20"/>
                <w:szCs w:val="20"/>
                <w:lang w:val="fr-FR"/>
              </w:rPr>
              <w:t>Financement total de la Banque (millions USD) :</w:t>
            </w:r>
          </w:p>
        </w:tc>
        <w:tc>
          <w:tcPr>
            <w:tcW w:w="7376" w:type="dxa"/>
            <w:gridSpan w:val="10"/>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DD2E0D" w:rsidP="00B71C8D">
            <w:pPr>
              <w:spacing w:before="100" w:beforeAutospacing="1" w:after="100" w:afterAutospacing="1"/>
              <w:rPr>
                <w:sz w:val="20"/>
                <w:szCs w:val="20"/>
              </w:rPr>
            </w:pPr>
            <w:r>
              <w:rPr>
                <w:sz w:val="20"/>
                <w:szCs w:val="20"/>
              </w:rPr>
              <w:t>20</w:t>
            </w:r>
            <w:r w:rsidR="001938FD">
              <w:rPr>
                <w:sz w:val="20"/>
                <w:szCs w:val="20"/>
              </w:rPr>
              <w:t>,</w:t>
            </w:r>
            <w:r>
              <w:rPr>
                <w:sz w:val="20"/>
                <w:szCs w:val="20"/>
              </w:rPr>
              <w:t>00</w:t>
            </w:r>
          </w:p>
        </w:tc>
      </w:tr>
    </w:tbl>
    <w:p w:rsidR="00654401" w:rsidRPr="00A7289C" w:rsidRDefault="00654401" w:rsidP="004E7A7F">
      <w:pPr>
        <w:ind w:left="288"/>
      </w:pPr>
    </w:p>
    <w:tbl>
      <w:tblPr>
        <w:tblW w:w="10261"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405"/>
        <w:gridCol w:w="643"/>
        <w:gridCol w:w="317"/>
        <w:gridCol w:w="195"/>
        <w:gridCol w:w="765"/>
        <w:gridCol w:w="771"/>
        <w:gridCol w:w="189"/>
        <w:gridCol w:w="323"/>
        <w:gridCol w:w="73"/>
        <w:gridCol w:w="439"/>
        <w:gridCol w:w="125"/>
        <w:gridCol w:w="426"/>
        <w:gridCol w:w="473"/>
        <w:gridCol w:w="61"/>
        <w:gridCol w:w="758"/>
        <w:gridCol w:w="205"/>
        <w:gridCol w:w="512"/>
        <w:gridCol w:w="102"/>
        <w:gridCol w:w="346"/>
        <w:gridCol w:w="269"/>
        <w:gridCol w:w="244"/>
        <w:gridCol w:w="63"/>
        <w:gridCol w:w="307"/>
        <w:gridCol w:w="77"/>
        <w:gridCol w:w="538"/>
        <w:gridCol w:w="617"/>
        <w:gridCol w:w="18"/>
      </w:tblGrid>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17230E">
        <w:trPr>
          <w:gridAfter w:val="1"/>
          <w:wAfter w:w="18" w:type="dxa"/>
          <w:trHeight w:val="165"/>
        </w:trPr>
        <w:tc>
          <w:tcPr>
            <w:tcW w:w="4608"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b/>
                <w:bCs/>
                <w:sz w:val="20"/>
                <w:szCs w:val="20"/>
              </w:rPr>
              <w:t xml:space="preserve">Source de </w:t>
            </w:r>
            <w:proofErr w:type="spellStart"/>
            <w:r>
              <w:rPr>
                <w:b/>
                <w:bCs/>
                <w:sz w:val="20"/>
                <w:szCs w:val="20"/>
              </w:rPr>
              <w:t>financement</w:t>
            </w:r>
            <w:proofErr w:type="spellEnd"/>
          </w:p>
        </w:tc>
        <w:tc>
          <w:tcPr>
            <w:tcW w:w="5635"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proofErr w:type="spellStart"/>
            <w:r>
              <w:rPr>
                <w:b/>
                <w:bCs/>
                <w:sz w:val="20"/>
                <w:szCs w:val="20"/>
              </w:rPr>
              <w:t>Montant</w:t>
            </w:r>
            <w:proofErr w:type="spellEnd"/>
            <w:r>
              <w:rPr>
                <w:b/>
                <w:bCs/>
                <w:sz w:val="20"/>
                <w:szCs w:val="20"/>
              </w:rPr>
              <w:t xml:space="preserve"> (millions USD)</w:t>
            </w:r>
          </w:p>
        </w:tc>
      </w:tr>
      <w:tr w:rsidR="00B71C8D" w:rsidRPr="00A7289C" w:rsidTr="0017230E">
        <w:trPr>
          <w:gridAfter w:val="1"/>
          <w:wAfter w:w="18" w:type="dxa"/>
        </w:trPr>
        <w:tc>
          <w:tcPr>
            <w:tcW w:w="4608"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71C8D" w:rsidRPr="00A7289C" w:rsidRDefault="00B71C8D" w:rsidP="00654401">
            <w:pPr>
              <w:rPr>
                <w:sz w:val="20"/>
                <w:szCs w:val="20"/>
              </w:rPr>
            </w:pPr>
            <w:r>
              <w:rPr>
                <w:sz w:val="20"/>
                <w:szCs w:val="20"/>
              </w:rPr>
              <w:t>EMPRUNTEUR/BÉNÉFICIAIRE</w:t>
            </w:r>
          </w:p>
        </w:tc>
        <w:tc>
          <w:tcPr>
            <w:tcW w:w="5635" w:type="dxa"/>
            <w:gridSpan w:val="1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71C8D" w:rsidRPr="00A7289C" w:rsidRDefault="00B71C8D" w:rsidP="00654401">
            <w:pPr>
              <w:jc w:val="right"/>
              <w:rPr>
                <w:sz w:val="20"/>
                <w:szCs w:val="20"/>
              </w:rPr>
            </w:pPr>
            <w:r>
              <w:rPr>
                <w:sz w:val="20"/>
                <w:szCs w:val="20"/>
              </w:rPr>
              <w:t>0</w:t>
            </w:r>
            <w:r w:rsidR="00A878B6">
              <w:rPr>
                <w:sz w:val="20"/>
                <w:szCs w:val="20"/>
              </w:rPr>
              <w:t>,</w:t>
            </w:r>
            <w:r>
              <w:rPr>
                <w:sz w:val="20"/>
                <w:szCs w:val="20"/>
              </w:rPr>
              <w:t>00</w:t>
            </w:r>
          </w:p>
        </w:tc>
      </w:tr>
      <w:tr w:rsidR="00B71C8D" w:rsidRPr="00A7289C" w:rsidTr="0017230E">
        <w:trPr>
          <w:gridAfter w:val="1"/>
          <w:wAfter w:w="18" w:type="dxa"/>
        </w:trPr>
        <w:tc>
          <w:tcPr>
            <w:tcW w:w="4608" w:type="dxa"/>
            <w:gridSpan w:val="8"/>
            <w:tcBorders>
              <w:top w:val="nil"/>
              <w:left w:val="single" w:sz="4" w:space="0" w:color="000000"/>
              <w:bottom w:val="nil"/>
              <w:right w:val="single" w:sz="4" w:space="0" w:color="000000"/>
            </w:tcBorders>
            <w:shd w:val="clear" w:color="auto" w:fill="auto"/>
            <w:tcMar>
              <w:top w:w="50" w:type="dxa"/>
              <w:left w:w="50" w:type="dxa"/>
              <w:bottom w:w="50" w:type="dxa"/>
              <w:right w:w="50" w:type="dxa"/>
            </w:tcMar>
          </w:tcPr>
          <w:p w:rsidR="00B71C8D" w:rsidRPr="00A7289C" w:rsidRDefault="00B71C8D" w:rsidP="00654401">
            <w:pPr>
              <w:spacing w:before="100" w:beforeAutospacing="1" w:after="100" w:afterAutospacing="1"/>
              <w:rPr>
                <w:sz w:val="20"/>
                <w:szCs w:val="20"/>
              </w:rPr>
            </w:pPr>
            <w:r>
              <w:rPr>
                <w:sz w:val="20"/>
                <w:szCs w:val="20"/>
              </w:rPr>
              <w:t xml:space="preserve">Don de </w:t>
            </w:r>
            <w:proofErr w:type="spellStart"/>
            <w:r>
              <w:rPr>
                <w:sz w:val="20"/>
                <w:szCs w:val="20"/>
              </w:rPr>
              <w:t>l'IDA</w:t>
            </w:r>
            <w:proofErr w:type="spellEnd"/>
          </w:p>
        </w:tc>
        <w:tc>
          <w:tcPr>
            <w:tcW w:w="5635" w:type="dxa"/>
            <w:gridSpan w:val="18"/>
            <w:tcBorders>
              <w:top w:val="nil"/>
              <w:left w:val="single" w:sz="4" w:space="0" w:color="000000"/>
              <w:bottom w:val="nil"/>
              <w:right w:val="single" w:sz="4" w:space="0" w:color="000000"/>
            </w:tcBorders>
            <w:shd w:val="clear" w:color="auto" w:fill="auto"/>
            <w:tcMar>
              <w:top w:w="50" w:type="dxa"/>
              <w:left w:w="50" w:type="dxa"/>
              <w:bottom w:w="50" w:type="dxa"/>
              <w:right w:w="50" w:type="dxa"/>
            </w:tcMar>
          </w:tcPr>
          <w:p w:rsidR="00B71C8D" w:rsidRPr="00A7289C" w:rsidRDefault="00DD2E0D" w:rsidP="00DD2E0D">
            <w:pPr>
              <w:spacing w:before="100" w:beforeAutospacing="1" w:after="100" w:afterAutospacing="1"/>
              <w:jc w:val="right"/>
              <w:rPr>
                <w:sz w:val="20"/>
                <w:szCs w:val="20"/>
              </w:rPr>
            </w:pPr>
            <w:r>
              <w:rPr>
                <w:sz w:val="20"/>
                <w:szCs w:val="20"/>
              </w:rPr>
              <w:t>20</w:t>
            </w:r>
            <w:r w:rsidR="00A878B6">
              <w:rPr>
                <w:sz w:val="20"/>
                <w:szCs w:val="20"/>
              </w:rPr>
              <w:t>,</w:t>
            </w:r>
            <w:r>
              <w:rPr>
                <w:sz w:val="20"/>
                <w:szCs w:val="20"/>
              </w:rPr>
              <w:t>00</w:t>
            </w:r>
          </w:p>
        </w:tc>
      </w:tr>
      <w:tr w:rsidR="00B71C8D" w:rsidRPr="00A7289C" w:rsidTr="0017230E">
        <w:trPr>
          <w:gridAfter w:val="1"/>
          <w:wAfter w:w="18" w:type="dxa"/>
        </w:trPr>
        <w:tc>
          <w:tcPr>
            <w:tcW w:w="4608" w:type="dxa"/>
            <w:gridSpan w:val="8"/>
            <w:tcBorders>
              <w:top w:val="nil"/>
              <w:left w:val="single" w:sz="4" w:space="0" w:color="000000"/>
              <w:bottom w:val="nil"/>
              <w:right w:val="single" w:sz="4" w:space="0" w:color="000000"/>
            </w:tcBorders>
            <w:shd w:val="clear" w:color="auto" w:fill="auto"/>
            <w:tcMar>
              <w:top w:w="50" w:type="dxa"/>
              <w:left w:w="50" w:type="dxa"/>
              <w:bottom w:w="50" w:type="dxa"/>
              <w:right w:w="50" w:type="dxa"/>
            </w:tcMar>
          </w:tcPr>
          <w:p w:rsidR="00B71C8D" w:rsidRPr="00A7289C" w:rsidRDefault="00B71C8D" w:rsidP="00654401">
            <w:pPr>
              <w:spacing w:before="100" w:beforeAutospacing="1" w:after="100" w:afterAutospacing="1"/>
              <w:rPr>
                <w:sz w:val="20"/>
                <w:szCs w:val="20"/>
              </w:rPr>
            </w:pPr>
            <w:r>
              <w:rPr>
                <w:sz w:val="20"/>
                <w:szCs w:val="20"/>
              </w:rPr>
              <w:t>Total</w:t>
            </w:r>
          </w:p>
        </w:tc>
        <w:tc>
          <w:tcPr>
            <w:tcW w:w="5635" w:type="dxa"/>
            <w:gridSpan w:val="18"/>
            <w:tcBorders>
              <w:top w:val="nil"/>
              <w:left w:val="single" w:sz="4" w:space="0" w:color="000000"/>
              <w:bottom w:val="nil"/>
              <w:right w:val="single" w:sz="4" w:space="0" w:color="000000"/>
            </w:tcBorders>
            <w:shd w:val="clear" w:color="auto" w:fill="auto"/>
            <w:tcMar>
              <w:top w:w="50" w:type="dxa"/>
              <w:left w:w="50" w:type="dxa"/>
              <w:bottom w:w="50" w:type="dxa"/>
              <w:right w:w="50" w:type="dxa"/>
            </w:tcMar>
          </w:tcPr>
          <w:p w:rsidR="00B71C8D" w:rsidRPr="00A7289C" w:rsidRDefault="00DD2E0D" w:rsidP="00654401">
            <w:pPr>
              <w:spacing w:before="100" w:beforeAutospacing="1" w:after="100" w:afterAutospacing="1"/>
              <w:jc w:val="right"/>
              <w:rPr>
                <w:sz w:val="20"/>
                <w:szCs w:val="20"/>
              </w:rPr>
            </w:pPr>
            <w:r>
              <w:rPr>
                <w:sz w:val="20"/>
                <w:szCs w:val="20"/>
              </w:rPr>
              <w:t>20</w:t>
            </w:r>
            <w:r w:rsidR="00A878B6">
              <w:rPr>
                <w:sz w:val="20"/>
                <w:szCs w:val="20"/>
              </w:rPr>
              <w:t>,</w:t>
            </w:r>
            <w:r>
              <w:rPr>
                <w:sz w:val="20"/>
                <w:szCs w:val="20"/>
              </w:rPr>
              <w:t>00</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172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0261" w:type="dxa"/>
            <w:gridSpan w:val="27"/>
            <w:tcBorders>
              <w:top w:val="single" w:sz="8" w:space="0" w:color="000000"/>
              <w:left w:val="single" w:sz="8" w:space="0" w:color="000000"/>
              <w:bottom w:val="single" w:sz="8" w:space="0" w:color="000000"/>
              <w:right w:val="single" w:sz="8" w:space="0" w:color="000000"/>
            </w:tcBorders>
            <w:shd w:val="clear" w:color="000000" w:fill="FFFFFF"/>
            <w:hideMark/>
          </w:tcPr>
          <w:p w:rsidR="00B71C8D" w:rsidRPr="00A7289C" w:rsidRDefault="00B71C8D" w:rsidP="002E145C">
            <w:pPr>
              <w:rPr>
                <w:b/>
                <w:bCs/>
                <w:color w:val="000000"/>
                <w:sz w:val="20"/>
                <w:szCs w:val="20"/>
              </w:rPr>
            </w:pPr>
            <w:proofErr w:type="spellStart"/>
            <w:r>
              <w:rPr>
                <w:b/>
                <w:bCs/>
                <w:color w:val="000000"/>
                <w:sz w:val="20"/>
                <w:szCs w:val="20"/>
              </w:rPr>
              <w:t>Décaissements</w:t>
            </w:r>
            <w:proofErr w:type="spellEnd"/>
            <w:r>
              <w:rPr>
                <w:b/>
                <w:bCs/>
                <w:color w:val="000000"/>
                <w:sz w:val="20"/>
                <w:szCs w:val="20"/>
              </w:rPr>
              <w:t xml:space="preserve"> </w:t>
            </w:r>
            <w:proofErr w:type="spellStart"/>
            <w:r>
              <w:rPr>
                <w:b/>
                <w:bCs/>
                <w:color w:val="000000"/>
                <w:sz w:val="20"/>
                <w:szCs w:val="20"/>
              </w:rPr>
              <w:t>prévus</w:t>
            </w:r>
            <w:proofErr w:type="spellEnd"/>
            <w:r>
              <w:rPr>
                <w:b/>
                <w:bCs/>
                <w:color w:val="000000"/>
                <w:sz w:val="20"/>
                <w:szCs w:val="20"/>
              </w:rPr>
              <w:t xml:space="preserve"> (millions USD)</w:t>
            </w:r>
          </w:p>
        </w:tc>
      </w:tr>
      <w:tr w:rsidR="00B71C8D" w:rsidRPr="00A7289C" w:rsidTr="0017230E">
        <w:trPr>
          <w:trHeight w:val="315"/>
        </w:trPr>
        <w:tc>
          <w:tcPr>
            <w:tcW w:w="1405" w:type="dxa"/>
            <w:tcBorders>
              <w:top w:val="nil"/>
              <w:left w:val="single" w:sz="8" w:space="0" w:color="000000"/>
              <w:bottom w:val="single" w:sz="8" w:space="0" w:color="000000"/>
              <w:right w:val="single" w:sz="8" w:space="0" w:color="000000"/>
            </w:tcBorders>
            <w:shd w:val="clear" w:color="000000" w:fill="FFFFFF"/>
            <w:vAlign w:val="center"/>
            <w:hideMark/>
          </w:tcPr>
          <w:p w:rsidR="00B71C8D" w:rsidRPr="00A7289C" w:rsidRDefault="00B71C8D" w:rsidP="009A4629">
            <w:pPr>
              <w:spacing w:before="100" w:beforeAutospacing="1" w:after="100" w:afterAutospacing="1"/>
              <w:rPr>
                <w:color w:val="000000"/>
                <w:sz w:val="20"/>
                <w:szCs w:val="20"/>
              </w:rPr>
            </w:pPr>
            <w:proofErr w:type="spellStart"/>
            <w:r>
              <w:rPr>
                <w:color w:val="000000"/>
                <w:sz w:val="20"/>
                <w:szCs w:val="20"/>
              </w:rPr>
              <w:t>Exercice</w:t>
            </w:r>
            <w:proofErr w:type="spellEnd"/>
            <w:r>
              <w:rPr>
                <w:color w:val="000000"/>
                <w:sz w:val="20"/>
                <w:szCs w:val="20"/>
              </w:rPr>
              <w:t xml:space="preserve"> </w:t>
            </w:r>
            <w:proofErr w:type="spellStart"/>
            <w:r>
              <w:rPr>
                <w:color w:val="000000"/>
                <w:sz w:val="20"/>
                <w:szCs w:val="20"/>
              </w:rPr>
              <w:t>budgétaire</w:t>
            </w:r>
            <w:proofErr w:type="spellEnd"/>
          </w:p>
        </w:tc>
        <w:tc>
          <w:tcPr>
            <w:tcW w:w="960" w:type="dxa"/>
            <w:gridSpan w:val="2"/>
            <w:tcBorders>
              <w:top w:val="nil"/>
              <w:left w:val="nil"/>
              <w:bottom w:val="single" w:sz="8" w:space="0" w:color="000000"/>
              <w:right w:val="single" w:sz="8" w:space="0" w:color="000000"/>
            </w:tcBorders>
            <w:shd w:val="clear" w:color="000000" w:fill="FFFFFF"/>
            <w:vAlign w:val="center"/>
            <w:hideMark/>
          </w:tcPr>
          <w:p w:rsidR="00B71C8D" w:rsidRPr="00A7289C" w:rsidRDefault="00F01DE8" w:rsidP="005874C7">
            <w:pPr>
              <w:spacing w:before="100" w:beforeAutospacing="1" w:after="100" w:afterAutospacing="1"/>
              <w:jc w:val="center"/>
              <w:rPr>
                <w:rFonts w:eastAsiaTheme="minorEastAsia"/>
                <w:color w:val="000000"/>
                <w:sz w:val="20"/>
                <w:szCs w:val="20"/>
                <w:lang w:val="en-GB" w:eastAsia="en-GB"/>
              </w:rPr>
            </w:pPr>
            <w:r>
              <w:rPr>
                <w:color w:val="000000"/>
                <w:sz w:val="20"/>
                <w:szCs w:val="20"/>
              </w:rPr>
              <w:t>2014</w:t>
            </w:r>
          </w:p>
        </w:tc>
        <w:tc>
          <w:tcPr>
            <w:tcW w:w="960" w:type="dxa"/>
            <w:gridSpan w:val="2"/>
            <w:tcBorders>
              <w:top w:val="nil"/>
              <w:left w:val="nil"/>
              <w:bottom w:val="single" w:sz="8" w:space="0" w:color="000000"/>
              <w:right w:val="single" w:sz="8" w:space="0" w:color="000000"/>
            </w:tcBorders>
            <w:shd w:val="clear" w:color="000000" w:fill="FFFFFF"/>
            <w:vAlign w:val="center"/>
            <w:hideMark/>
          </w:tcPr>
          <w:p w:rsidR="00B71C8D" w:rsidRPr="00A7289C" w:rsidRDefault="00F01DE8" w:rsidP="005874C7">
            <w:pPr>
              <w:spacing w:before="100" w:beforeAutospacing="1" w:after="100" w:afterAutospacing="1"/>
              <w:jc w:val="center"/>
              <w:rPr>
                <w:rFonts w:eastAsiaTheme="minorEastAsia"/>
                <w:color w:val="000000"/>
                <w:sz w:val="20"/>
                <w:szCs w:val="20"/>
                <w:lang w:val="en-GB" w:eastAsia="en-GB"/>
              </w:rPr>
            </w:pPr>
            <w:r>
              <w:rPr>
                <w:color w:val="000000"/>
                <w:sz w:val="20"/>
                <w:szCs w:val="20"/>
              </w:rPr>
              <w:t>2015</w:t>
            </w:r>
          </w:p>
        </w:tc>
        <w:tc>
          <w:tcPr>
            <w:tcW w:w="960" w:type="dxa"/>
            <w:gridSpan w:val="2"/>
            <w:tcBorders>
              <w:top w:val="nil"/>
              <w:left w:val="nil"/>
              <w:bottom w:val="single" w:sz="8" w:space="0" w:color="000000"/>
              <w:right w:val="single" w:sz="8" w:space="0" w:color="000000"/>
            </w:tcBorders>
            <w:shd w:val="clear" w:color="000000" w:fill="FFFFFF"/>
            <w:vAlign w:val="center"/>
            <w:hideMark/>
          </w:tcPr>
          <w:p w:rsidR="00B71C8D" w:rsidRPr="00A7289C" w:rsidRDefault="00F01DE8" w:rsidP="005874C7">
            <w:pPr>
              <w:jc w:val="center"/>
              <w:rPr>
                <w:color w:val="000000"/>
                <w:sz w:val="20"/>
                <w:szCs w:val="20"/>
              </w:rPr>
            </w:pPr>
            <w:r>
              <w:rPr>
                <w:color w:val="000000"/>
                <w:sz w:val="20"/>
                <w:szCs w:val="20"/>
              </w:rPr>
              <w:t>2016</w:t>
            </w:r>
          </w:p>
        </w:tc>
        <w:tc>
          <w:tcPr>
            <w:tcW w:w="960" w:type="dxa"/>
            <w:gridSpan w:val="4"/>
            <w:tcBorders>
              <w:top w:val="nil"/>
              <w:left w:val="nil"/>
              <w:bottom w:val="single" w:sz="8" w:space="0" w:color="000000"/>
              <w:right w:val="single" w:sz="8" w:space="0" w:color="000000"/>
            </w:tcBorders>
            <w:shd w:val="clear" w:color="000000" w:fill="FFFFFF"/>
            <w:vAlign w:val="center"/>
            <w:hideMark/>
          </w:tcPr>
          <w:p w:rsidR="00B71C8D" w:rsidRPr="00A7289C" w:rsidRDefault="00F01DE8" w:rsidP="005874C7">
            <w:pPr>
              <w:jc w:val="center"/>
              <w:rPr>
                <w:color w:val="000000"/>
                <w:sz w:val="20"/>
                <w:szCs w:val="20"/>
              </w:rPr>
            </w:pPr>
            <w:r>
              <w:rPr>
                <w:color w:val="000000"/>
                <w:sz w:val="20"/>
                <w:szCs w:val="20"/>
              </w:rPr>
              <w:t>2017</w:t>
            </w:r>
          </w:p>
        </w:tc>
        <w:tc>
          <w:tcPr>
            <w:tcW w:w="960" w:type="dxa"/>
            <w:gridSpan w:val="3"/>
            <w:tcBorders>
              <w:top w:val="nil"/>
              <w:left w:val="nil"/>
              <w:bottom w:val="single" w:sz="8" w:space="0" w:color="000000"/>
              <w:right w:val="single" w:sz="8" w:space="0" w:color="000000"/>
            </w:tcBorders>
            <w:shd w:val="clear" w:color="000000" w:fill="FFFFFF"/>
            <w:vAlign w:val="center"/>
            <w:hideMark/>
          </w:tcPr>
          <w:p w:rsidR="00B71C8D" w:rsidRPr="00A7289C" w:rsidRDefault="00F01DE8" w:rsidP="005874C7">
            <w:pPr>
              <w:jc w:val="center"/>
              <w:rPr>
                <w:color w:val="000000"/>
                <w:sz w:val="20"/>
                <w:szCs w:val="20"/>
              </w:rPr>
            </w:pPr>
            <w:r>
              <w:rPr>
                <w:color w:val="000000"/>
                <w:sz w:val="20"/>
                <w:szCs w:val="20"/>
              </w:rPr>
              <w:t>2018</w:t>
            </w:r>
          </w:p>
        </w:tc>
        <w:tc>
          <w:tcPr>
            <w:tcW w:w="963" w:type="dxa"/>
            <w:gridSpan w:val="2"/>
            <w:tcBorders>
              <w:top w:val="nil"/>
              <w:left w:val="nil"/>
              <w:bottom w:val="single" w:sz="8" w:space="0" w:color="000000"/>
              <w:right w:val="single" w:sz="8" w:space="0" w:color="000000"/>
            </w:tcBorders>
            <w:shd w:val="clear" w:color="000000" w:fill="FFFFFF"/>
            <w:vAlign w:val="center"/>
            <w:hideMark/>
          </w:tcPr>
          <w:p w:rsidR="00B71C8D" w:rsidRPr="00A7289C" w:rsidRDefault="00B71C8D" w:rsidP="005874C7">
            <w:pPr>
              <w:jc w:val="center"/>
              <w:rPr>
                <w:color w:val="000000"/>
                <w:sz w:val="20"/>
                <w:szCs w:val="20"/>
              </w:rPr>
            </w:pPr>
          </w:p>
        </w:tc>
        <w:tc>
          <w:tcPr>
            <w:tcW w:w="960" w:type="dxa"/>
            <w:gridSpan w:val="3"/>
            <w:tcBorders>
              <w:top w:val="nil"/>
              <w:left w:val="nil"/>
              <w:bottom w:val="single" w:sz="8" w:space="0" w:color="000000"/>
              <w:right w:val="single" w:sz="8" w:space="0" w:color="000000"/>
            </w:tcBorders>
            <w:shd w:val="clear" w:color="000000" w:fill="FFFFFF"/>
          </w:tcPr>
          <w:p w:rsidR="00B71C8D" w:rsidRPr="00A7289C" w:rsidRDefault="00B71C8D" w:rsidP="00B71C8D">
            <w:pPr>
              <w:jc w:val="right"/>
              <w:rPr>
                <w:color w:val="000000"/>
                <w:sz w:val="20"/>
                <w:szCs w:val="20"/>
              </w:rPr>
            </w:pPr>
          </w:p>
        </w:tc>
        <w:tc>
          <w:tcPr>
            <w:tcW w:w="960" w:type="dxa"/>
            <w:gridSpan w:val="5"/>
            <w:tcBorders>
              <w:top w:val="nil"/>
              <w:left w:val="nil"/>
              <w:bottom w:val="single" w:sz="8" w:space="0" w:color="000000"/>
              <w:right w:val="single" w:sz="8" w:space="0" w:color="000000"/>
            </w:tcBorders>
            <w:shd w:val="clear" w:color="000000" w:fill="FFFFFF"/>
          </w:tcPr>
          <w:p w:rsidR="00B71C8D" w:rsidRPr="00A7289C" w:rsidRDefault="00B71C8D" w:rsidP="00B71C8D">
            <w:pPr>
              <w:jc w:val="right"/>
              <w:rPr>
                <w:color w:val="000000"/>
                <w:sz w:val="20"/>
                <w:szCs w:val="20"/>
              </w:rPr>
            </w:pPr>
          </w:p>
        </w:tc>
        <w:tc>
          <w:tcPr>
            <w:tcW w:w="1173" w:type="dxa"/>
            <w:gridSpan w:val="3"/>
            <w:tcBorders>
              <w:top w:val="nil"/>
              <w:left w:val="nil"/>
              <w:bottom w:val="single" w:sz="8" w:space="0" w:color="000000"/>
              <w:right w:val="single" w:sz="8" w:space="0" w:color="000000"/>
            </w:tcBorders>
            <w:shd w:val="clear" w:color="000000" w:fill="FFFFFF"/>
            <w:hideMark/>
          </w:tcPr>
          <w:p w:rsidR="00B71C8D" w:rsidRPr="00A7289C" w:rsidRDefault="00A7289C" w:rsidP="00B71C8D">
            <w:pPr>
              <w:jc w:val="right"/>
              <w:rPr>
                <w:color w:val="000000"/>
                <w:sz w:val="20"/>
                <w:szCs w:val="20"/>
              </w:rPr>
            </w:pPr>
            <w:r>
              <w:rPr>
                <w:color w:val="000000"/>
                <w:sz w:val="20"/>
                <w:szCs w:val="20"/>
              </w:rPr>
              <w:t xml:space="preserve"> </w:t>
            </w:r>
          </w:p>
        </w:tc>
      </w:tr>
      <w:tr w:rsidR="009A4629" w:rsidRPr="00A7289C" w:rsidTr="0017230E">
        <w:trPr>
          <w:trHeight w:val="315"/>
        </w:trPr>
        <w:tc>
          <w:tcPr>
            <w:tcW w:w="1405" w:type="dxa"/>
            <w:tcBorders>
              <w:top w:val="nil"/>
              <w:left w:val="single" w:sz="8" w:space="0" w:color="000000"/>
              <w:bottom w:val="single" w:sz="8" w:space="0" w:color="000000"/>
              <w:right w:val="single" w:sz="8" w:space="0" w:color="000000"/>
            </w:tcBorders>
            <w:shd w:val="clear" w:color="000000" w:fill="FFFFFF"/>
            <w:vAlign w:val="center"/>
            <w:hideMark/>
          </w:tcPr>
          <w:p w:rsidR="009A4629" w:rsidRPr="00A7289C" w:rsidRDefault="009A4629" w:rsidP="009A4629">
            <w:pPr>
              <w:rPr>
                <w:color w:val="000000"/>
                <w:sz w:val="20"/>
                <w:szCs w:val="20"/>
              </w:rPr>
            </w:pPr>
            <w:proofErr w:type="spellStart"/>
            <w:r>
              <w:rPr>
                <w:color w:val="000000"/>
                <w:sz w:val="20"/>
                <w:szCs w:val="20"/>
              </w:rPr>
              <w:t>Annuels</w:t>
            </w:r>
            <w:proofErr w:type="spellEnd"/>
          </w:p>
        </w:tc>
        <w:tc>
          <w:tcPr>
            <w:tcW w:w="960" w:type="dxa"/>
            <w:gridSpan w:val="2"/>
            <w:tcBorders>
              <w:top w:val="nil"/>
              <w:left w:val="nil"/>
              <w:bottom w:val="single" w:sz="8" w:space="0" w:color="000000"/>
              <w:right w:val="single" w:sz="8" w:space="0" w:color="000000"/>
            </w:tcBorders>
            <w:shd w:val="clear" w:color="000000" w:fill="FFFFFF"/>
            <w:vAlign w:val="center"/>
          </w:tcPr>
          <w:p w:rsidR="009A4629" w:rsidRPr="00A7289C" w:rsidRDefault="009A4629" w:rsidP="005874C7">
            <w:pPr>
              <w:jc w:val="center"/>
              <w:rPr>
                <w:rFonts w:eastAsiaTheme="minorEastAsia"/>
                <w:color w:val="000000"/>
                <w:sz w:val="20"/>
                <w:szCs w:val="20"/>
                <w:lang w:val="en-GB" w:eastAsia="en-GB"/>
              </w:rPr>
            </w:pPr>
            <w:r>
              <w:rPr>
                <w:color w:val="000000"/>
                <w:sz w:val="20"/>
                <w:szCs w:val="20"/>
              </w:rPr>
              <w:t>3</w:t>
            </w:r>
            <w:r w:rsidR="001938FD">
              <w:rPr>
                <w:color w:val="000000"/>
                <w:sz w:val="20"/>
                <w:szCs w:val="20"/>
              </w:rPr>
              <w:t>,</w:t>
            </w:r>
            <w:r>
              <w:rPr>
                <w:color w:val="000000"/>
                <w:sz w:val="20"/>
                <w:szCs w:val="20"/>
              </w:rPr>
              <w:t>0</w:t>
            </w:r>
          </w:p>
        </w:tc>
        <w:tc>
          <w:tcPr>
            <w:tcW w:w="960" w:type="dxa"/>
            <w:gridSpan w:val="2"/>
            <w:tcBorders>
              <w:top w:val="nil"/>
              <w:left w:val="nil"/>
              <w:bottom w:val="single" w:sz="8" w:space="0" w:color="000000"/>
              <w:right w:val="single" w:sz="8" w:space="0" w:color="000000"/>
            </w:tcBorders>
            <w:shd w:val="clear" w:color="000000" w:fill="FFFFFF"/>
            <w:vAlign w:val="center"/>
          </w:tcPr>
          <w:p w:rsidR="009A4629" w:rsidRPr="00A7289C" w:rsidRDefault="009A4629" w:rsidP="005874C7">
            <w:pPr>
              <w:spacing w:before="100" w:beforeAutospacing="1" w:after="100" w:afterAutospacing="1"/>
              <w:jc w:val="center"/>
              <w:rPr>
                <w:color w:val="000000"/>
                <w:sz w:val="18"/>
                <w:szCs w:val="18"/>
              </w:rPr>
            </w:pPr>
            <w:r>
              <w:rPr>
                <w:color w:val="000000"/>
                <w:sz w:val="18"/>
                <w:szCs w:val="18"/>
              </w:rPr>
              <w:t>4</w:t>
            </w:r>
            <w:r w:rsidR="001938FD">
              <w:rPr>
                <w:color w:val="000000"/>
                <w:sz w:val="18"/>
                <w:szCs w:val="18"/>
              </w:rPr>
              <w:t>,</w:t>
            </w:r>
            <w:r>
              <w:rPr>
                <w:color w:val="000000"/>
                <w:sz w:val="18"/>
                <w:szCs w:val="18"/>
              </w:rPr>
              <w:t>3</w:t>
            </w:r>
          </w:p>
        </w:tc>
        <w:tc>
          <w:tcPr>
            <w:tcW w:w="960" w:type="dxa"/>
            <w:gridSpan w:val="2"/>
            <w:tcBorders>
              <w:top w:val="nil"/>
              <w:left w:val="nil"/>
              <w:bottom w:val="single" w:sz="8" w:space="0" w:color="000000"/>
              <w:right w:val="single" w:sz="8" w:space="0" w:color="000000"/>
            </w:tcBorders>
            <w:shd w:val="clear" w:color="000000" w:fill="FFFFFF"/>
            <w:vAlign w:val="center"/>
          </w:tcPr>
          <w:p w:rsidR="009A4629" w:rsidRPr="00A7289C" w:rsidRDefault="009A4629" w:rsidP="005874C7">
            <w:pPr>
              <w:spacing w:before="100" w:beforeAutospacing="1" w:after="100" w:afterAutospacing="1"/>
              <w:jc w:val="center"/>
              <w:rPr>
                <w:color w:val="000000"/>
                <w:sz w:val="18"/>
                <w:szCs w:val="18"/>
              </w:rPr>
            </w:pPr>
            <w:r>
              <w:rPr>
                <w:color w:val="000000"/>
                <w:sz w:val="18"/>
                <w:szCs w:val="18"/>
              </w:rPr>
              <w:t>4</w:t>
            </w:r>
            <w:r w:rsidR="001938FD">
              <w:rPr>
                <w:color w:val="000000"/>
                <w:sz w:val="18"/>
                <w:szCs w:val="18"/>
              </w:rPr>
              <w:t>,</w:t>
            </w:r>
            <w:r>
              <w:rPr>
                <w:color w:val="000000"/>
                <w:sz w:val="18"/>
                <w:szCs w:val="18"/>
              </w:rPr>
              <w:t>8</w:t>
            </w:r>
          </w:p>
        </w:tc>
        <w:tc>
          <w:tcPr>
            <w:tcW w:w="960" w:type="dxa"/>
            <w:gridSpan w:val="4"/>
            <w:tcBorders>
              <w:top w:val="nil"/>
              <w:left w:val="nil"/>
              <w:bottom w:val="single" w:sz="8" w:space="0" w:color="000000"/>
              <w:right w:val="single" w:sz="8" w:space="0" w:color="000000"/>
            </w:tcBorders>
            <w:shd w:val="clear" w:color="000000" w:fill="FFFFFF"/>
            <w:vAlign w:val="center"/>
          </w:tcPr>
          <w:p w:rsidR="009A4629" w:rsidRPr="00A7289C" w:rsidRDefault="009A4629" w:rsidP="005874C7">
            <w:pPr>
              <w:spacing w:before="100" w:beforeAutospacing="1" w:after="100" w:afterAutospacing="1"/>
              <w:jc w:val="center"/>
              <w:rPr>
                <w:color w:val="000000"/>
                <w:sz w:val="18"/>
                <w:szCs w:val="18"/>
              </w:rPr>
            </w:pPr>
            <w:r>
              <w:rPr>
                <w:color w:val="000000"/>
                <w:sz w:val="18"/>
                <w:szCs w:val="18"/>
              </w:rPr>
              <w:t>4</w:t>
            </w:r>
            <w:r w:rsidR="001938FD">
              <w:rPr>
                <w:color w:val="000000"/>
                <w:sz w:val="18"/>
                <w:szCs w:val="18"/>
              </w:rPr>
              <w:t>,</w:t>
            </w:r>
            <w:r>
              <w:rPr>
                <w:color w:val="000000"/>
                <w:sz w:val="18"/>
                <w:szCs w:val="18"/>
              </w:rPr>
              <w:t>6</w:t>
            </w:r>
          </w:p>
        </w:tc>
        <w:tc>
          <w:tcPr>
            <w:tcW w:w="960" w:type="dxa"/>
            <w:gridSpan w:val="3"/>
            <w:tcBorders>
              <w:top w:val="nil"/>
              <w:left w:val="nil"/>
              <w:bottom w:val="single" w:sz="8" w:space="0" w:color="000000"/>
              <w:right w:val="single" w:sz="8" w:space="0" w:color="000000"/>
            </w:tcBorders>
            <w:shd w:val="clear" w:color="000000" w:fill="FFFFFF"/>
            <w:vAlign w:val="center"/>
          </w:tcPr>
          <w:p w:rsidR="009A4629" w:rsidRPr="00A7289C" w:rsidRDefault="009A4629" w:rsidP="005874C7">
            <w:pPr>
              <w:spacing w:before="100" w:beforeAutospacing="1" w:after="100" w:afterAutospacing="1"/>
              <w:jc w:val="center"/>
              <w:rPr>
                <w:color w:val="000000"/>
                <w:sz w:val="18"/>
                <w:szCs w:val="18"/>
              </w:rPr>
            </w:pPr>
            <w:r>
              <w:rPr>
                <w:color w:val="000000"/>
                <w:sz w:val="18"/>
                <w:szCs w:val="18"/>
              </w:rPr>
              <w:t>3</w:t>
            </w:r>
            <w:r w:rsidR="001938FD">
              <w:rPr>
                <w:color w:val="000000"/>
                <w:sz w:val="18"/>
                <w:szCs w:val="18"/>
              </w:rPr>
              <w:t>,</w:t>
            </w:r>
            <w:r>
              <w:rPr>
                <w:color w:val="000000"/>
                <w:sz w:val="18"/>
                <w:szCs w:val="18"/>
              </w:rPr>
              <w:t>3</w:t>
            </w:r>
          </w:p>
        </w:tc>
        <w:tc>
          <w:tcPr>
            <w:tcW w:w="963" w:type="dxa"/>
            <w:gridSpan w:val="2"/>
            <w:tcBorders>
              <w:top w:val="nil"/>
              <w:left w:val="nil"/>
              <w:bottom w:val="single" w:sz="8" w:space="0" w:color="000000"/>
              <w:right w:val="single" w:sz="8" w:space="0" w:color="000000"/>
            </w:tcBorders>
            <w:shd w:val="clear" w:color="000000" w:fill="FFFFFF"/>
            <w:vAlign w:val="center"/>
          </w:tcPr>
          <w:p w:rsidR="009A4629" w:rsidRPr="00A7289C" w:rsidRDefault="009A4629" w:rsidP="005874C7">
            <w:pPr>
              <w:spacing w:before="100" w:beforeAutospacing="1" w:after="100" w:afterAutospacing="1"/>
              <w:jc w:val="center"/>
              <w:rPr>
                <w:color w:val="000000"/>
                <w:sz w:val="18"/>
                <w:szCs w:val="18"/>
              </w:rPr>
            </w:pPr>
          </w:p>
        </w:tc>
        <w:tc>
          <w:tcPr>
            <w:tcW w:w="960" w:type="dxa"/>
            <w:gridSpan w:val="3"/>
            <w:tcBorders>
              <w:top w:val="nil"/>
              <w:left w:val="nil"/>
              <w:bottom w:val="single" w:sz="8" w:space="0" w:color="000000"/>
              <w:right w:val="single" w:sz="8" w:space="0" w:color="000000"/>
            </w:tcBorders>
            <w:shd w:val="clear" w:color="000000" w:fill="FFFFFF"/>
          </w:tcPr>
          <w:p w:rsidR="009A4629" w:rsidRPr="00A7289C" w:rsidRDefault="009A4629" w:rsidP="00387717">
            <w:pPr>
              <w:spacing w:before="100" w:beforeAutospacing="1" w:after="100" w:afterAutospacing="1"/>
              <w:jc w:val="right"/>
              <w:rPr>
                <w:color w:val="000000"/>
                <w:sz w:val="20"/>
                <w:szCs w:val="20"/>
              </w:rPr>
            </w:pPr>
          </w:p>
        </w:tc>
        <w:tc>
          <w:tcPr>
            <w:tcW w:w="960" w:type="dxa"/>
            <w:gridSpan w:val="5"/>
            <w:tcBorders>
              <w:top w:val="nil"/>
              <w:left w:val="nil"/>
              <w:bottom w:val="single" w:sz="8" w:space="0" w:color="000000"/>
              <w:right w:val="single" w:sz="8" w:space="0" w:color="000000"/>
            </w:tcBorders>
            <w:shd w:val="clear" w:color="000000" w:fill="FFFFFF"/>
            <w:hideMark/>
          </w:tcPr>
          <w:p w:rsidR="009A4629" w:rsidRPr="00A7289C" w:rsidRDefault="00A7289C" w:rsidP="00B71C8D">
            <w:pPr>
              <w:spacing w:before="100" w:beforeAutospacing="1" w:after="100" w:afterAutospacing="1"/>
              <w:jc w:val="right"/>
              <w:rPr>
                <w:color w:val="000000"/>
                <w:sz w:val="20"/>
                <w:szCs w:val="20"/>
              </w:rPr>
            </w:pPr>
            <w:r>
              <w:rPr>
                <w:color w:val="000000"/>
                <w:sz w:val="20"/>
                <w:szCs w:val="20"/>
              </w:rPr>
              <w:t xml:space="preserve"> </w:t>
            </w:r>
          </w:p>
        </w:tc>
        <w:tc>
          <w:tcPr>
            <w:tcW w:w="1173" w:type="dxa"/>
            <w:gridSpan w:val="3"/>
            <w:tcBorders>
              <w:top w:val="nil"/>
              <w:left w:val="nil"/>
              <w:bottom w:val="single" w:sz="8" w:space="0" w:color="000000"/>
              <w:right w:val="single" w:sz="8" w:space="0" w:color="000000"/>
            </w:tcBorders>
            <w:shd w:val="clear" w:color="000000" w:fill="FFFFFF"/>
            <w:hideMark/>
          </w:tcPr>
          <w:p w:rsidR="009A4629" w:rsidRPr="00A7289C" w:rsidRDefault="00A7289C" w:rsidP="00B71C8D">
            <w:pPr>
              <w:spacing w:before="100" w:beforeAutospacing="1" w:after="100" w:afterAutospacing="1"/>
              <w:jc w:val="right"/>
              <w:rPr>
                <w:color w:val="000000"/>
                <w:sz w:val="20"/>
                <w:szCs w:val="20"/>
              </w:rPr>
            </w:pPr>
            <w:r>
              <w:rPr>
                <w:color w:val="000000"/>
                <w:sz w:val="20"/>
                <w:szCs w:val="20"/>
              </w:rPr>
              <w:t xml:space="preserve"> </w:t>
            </w:r>
          </w:p>
        </w:tc>
      </w:tr>
      <w:tr w:rsidR="00387717" w:rsidRPr="00A7289C" w:rsidTr="0017230E">
        <w:trPr>
          <w:trHeight w:val="315"/>
        </w:trPr>
        <w:tc>
          <w:tcPr>
            <w:tcW w:w="1405" w:type="dxa"/>
            <w:tcBorders>
              <w:top w:val="nil"/>
              <w:left w:val="single" w:sz="8" w:space="0" w:color="000000"/>
              <w:bottom w:val="single" w:sz="8" w:space="0" w:color="000000"/>
              <w:right w:val="single" w:sz="8" w:space="0" w:color="000000"/>
            </w:tcBorders>
            <w:shd w:val="clear" w:color="000000" w:fill="FFFFFF"/>
            <w:vAlign w:val="center"/>
            <w:hideMark/>
          </w:tcPr>
          <w:p w:rsidR="00387717" w:rsidRPr="00A7289C" w:rsidRDefault="00387717" w:rsidP="009A4629">
            <w:pPr>
              <w:rPr>
                <w:color w:val="000000"/>
                <w:sz w:val="20"/>
                <w:szCs w:val="20"/>
              </w:rPr>
            </w:pPr>
            <w:proofErr w:type="spellStart"/>
            <w:r>
              <w:rPr>
                <w:color w:val="000000"/>
                <w:sz w:val="20"/>
                <w:szCs w:val="20"/>
              </w:rPr>
              <w:t>Cumulés</w:t>
            </w:r>
            <w:proofErr w:type="spellEnd"/>
          </w:p>
        </w:tc>
        <w:tc>
          <w:tcPr>
            <w:tcW w:w="960" w:type="dxa"/>
            <w:gridSpan w:val="2"/>
            <w:tcBorders>
              <w:top w:val="nil"/>
              <w:left w:val="nil"/>
              <w:bottom w:val="single" w:sz="8" w:space="0" w:color="000000"/>
              <w:right w:val="single" w:sz="8" w:space="0" w:color="000000"/>
            </w:tcBorders>
            <w:shd w:val="clear" w:color="000000" w:fill="FFFFFF"/>
            <w:vAlign w:val="center"/>
          </w:tcPr>
          <w:p w:rsidR="00387717" w:rsidRPr="00A7289C" w:rsidRDefault="009A4629" w:rsidP="005874C7">
            <w:pPr>
              <w:spacing w:before="100" w:beforeAutospacing="1" w:after="100" w:afterAutospacing="1"/>
              <w:jc w:val="center"/>
              <w:rPr>
                <w:rFonts w:eastAsiaTheme="minorEastAsia"/>
                <w:color w:val="000000"/>
                <w:sz w:val="20"/>
                <w:szCs w:val="20"/>
                <w:lang w:val="en-GB" w:eastAsia="en-GB"/>
              </w:rPr>
            </w:pPr>
            <w:r>
              <w:rPr>
                <w:color w:val="000000"/>
                <w:sz w:val="20"/>
                <w:szCs w:val="20"/>
              </w:rPr>
              <w:t>3</w:t>
            </w:r>
            <w:r w:rsidR="001938FD">
              <w:rPr>
                <w:color w:val="000000"/>
                <w:sz w:val="20"/>
                <w:szCs w:val="20"/>
              </w:rPr>
              <w:t>,</w:t>
            </w:r>
            <w:r>
              <w:rPr>
                <w:color w:val="000000"/>
                <w:sz w:val="20"/>
                <w:szCs w:val="20"/>
              </w:rPr>
              <w:t>0</w:t>
            </w:r>
          </w:p>
        </w:tc>
        <w:tc>
          <w:tcPr>
            <w:tcW w:w="960" w:type="dxa"/>
            <w:gridSpan w:val="2"/>
            <w:tcBorders>
              <w:top w:val="nil"/>
              <w:left w:val="nil"/>
              <w:bottom w:val="single" w:sz="8" w:space="0" w:color="000000"/>
              <w:right w:val="single" w:sz="8" w:space="0" w:color="000000"/>
            </w:tcBorders>
            <w:shd w:val="clear" w:color="000000" w:fill="FFFFFF"/>
            <w:vAlign w:val="center"/>
          </w:tcPr>
          <w:p w:rsidR="00387717" w:rsidRPr="00A7289C" w:rsidRDefault="009A4629" w:rsidP="005874C7">
            <w:pPr>
              <w:spacing w:before="100" w:beforeAutospacing="1" w:after="100" w:afterAutospacing="1"/>
              <w:jc w:val="center"/>
              <w:rPr>
                <w:color w:val="000000"/>
                <w:sz w:val="18"/>
                <w:szCs w:val="18"/>
              </w:rPr>
            </w:pPr>
            <w:r>
              <w:rPr>
                <w:color w:val="000000"/>
                <w:sz w:val="18"/>
                <w:szCs w:val="18"/>
              </w:rPr>
              <w:t>7</w:t>
            </w:r>
            <w:r w:rsidR="001938FD">
              <w:rPr>
                <w:color w:val="000000"/>
                <w:sz w:val="18"/>
                <w:szCs w:val="18"/>
              </w:rPr>
              <w:t>,</w:t>
            </w:r>
            <w:r>
              <w:rPr>
                <w:color w:val="000000"/>
                <w:sz w:val="18"/>
                <w:szCs w:val="18"/>
              </w:rPr>
              <w:t>3</w:t>
            </w:r>
          </w:p>
        </w:tc>
        <w:tc>
          <w:tcPr>
            <w:tcW w:w="960" w:type="dxa"/>
            <w:gridSpan w:val="2"/>
            <w:tcBorders>
              <w:top w:val="nil"/>
              <w:left w:val="nil"/>
              <w:bottom w:val="single" w:sz="8" w:space="0" w:color="000000"/>
              <w:right w:val="single" w:sz="8" w:space="0" w:color="000000"/>
            </w:tcBorders>
            <w:shd w:val="clear" w:color="000000" w:fill="FFFFFF"/>
            <w:vAlign w:val="center"/>
          </w:tcPr>
          <w:p w:rsidR="00387717" w:rsidRPr="00A7289C" w:rsidRDefault="009A4629" w:rsidP="005874C7">
            <w:pPr>
              <w:spacing w:before="100" w:beforeAutospacing="1" w:after="100" w:afterAutospacing="1"/>
              <w:jc w:val="center"/>
              <w:rPr>
                <w:color w:val="000000"/>
                <w:sz w:val="18"/>
                <w:szCs w:val="18"/>
              </w:rPr>
            </w:pPr>
            <w:r>
              <w:rPr>
                <w:color w:val="000000"/>
                <w:sz w:val="18"/>
                <w:szCs w:val="18"/>
              </w:rPr>
              <w:t>12</w:t>
            </w:r>
            <w:r w:rsidR="001938FD">
              <w:rPr>
                <w:color w:val="000000"/>
                <w:sz w:val="18"/>
                <w:szCs w:val="18"/>
              </w:rPr>
              <w:t>,</w:t>
            </w:r>
            <w:r>
              <w:rPr>
                <w:color w:val="000000"/>
                <w:sz w:val="18"/>
                <w:szCs w:val="18"/>
              </w:rPr>
              <w:t>1</w:t>
            </w:r>
          </w:p>
        </w:tc>
        <w:tc>
          <w:tcPr>
            <w:tcW w:w="960" w:type="dxa"/>
            <w:gridSpan w:val="4"/>
            <w:tcBorders>
              <w:top w:val="nil"/>
              <w:left w:val="nil"/>
              <w:bottom w:val="single" w:sz="8" w:space="0" w:color="000000"/>
              <w:right w:val="single" w:sz="8" w:space="0" w:color="000000"/>
            </w:tcBorders>
            <w:shd w:val="clear" w:color="000000" w:fill="FFFFFF"/>
            <w:vAlign w:val="center"/>
          </w:tcPr>
          <w:p w:rsidR="00387717" w:rsidRPr="00A7289C" w:rsidRDefault="009A4629" w:rsidP="005874C7">
            <w:pPr>
              <w:spacing w:before="100" w:beforeAutospacing="1" w:after="100" w:afterAutospacing="1"/>
              <w:jc w:val="center"/>
              <w:rPr>
                <w:color w:val="000000"/>
                <w:sz w:val="18"/>
                <w:szCs w:val="18"/>
              </w:rPr>
            </w:pPr>
            <w:r>
              <w:rPr>
                <w:color w:val="000000"/>
                <w:sz w:val="18"/>
                <w:szCs w:val="18"/>
              </w:rPr>
              <w:t>16</w:t>
            </w:r>
            <w:r w:rsidR="001938FD">
              <w:rPr>
                <w:color w:val="000000"/>
                <w:sz w:val="18"/>
                <w:szCs w:val="18"/>
              </w:rPr>
              <w:t>,</w:t>
            </w:r>
            <w:r>
              <w:rPr>
                <w:color w:val="000000"/>
                <w:sz w:val="18"/>
                <w:szCs w:val="18"/>
              </w:rPr>
              <w:t>7</w:t>
            </w:r>
          </w:p>
        </w:tc>
        <w:tc>
          <w:tcPr>
            <w:tcW w:w="960" w:type="dxa"/>
            <w:gridSpan w:val="3"/>
            <w:tcBorders>
              <w:top w:val="nil"/>
              <w:left w:val="nil"/>
              <w:bottom w:val="single" w:sz="8" w:space="0" w:color="000000"/>
              <w:right w:val="single" w:sz="8" w:space="0" w:color="000000"/>
            </w:tcBorders>
            <w:shd w:val="clear" w:color="000000" w:fill="FFFFFF"/>
            <w:vAlign w:val="center"/>
          </w:tcPr>
          <w:p w:rsidR="00387717" w:rsidRPr="00A7289C" w:rsidRDefault="009A4629" w:rsidP="005874C7">
            <w:pPr>
              <w:spacing w:before="100" w:beforeAutospacing="1" w:after="100" w:afterAutospacing="1"/>
              <w:jc w:val="center"/>
              <w:rPr>
                <w:color w:val="000000"/>
                <w:sz w:val="18"/>
                <w:szCs w:val="18"/>
              </w:rPr>
            </w:pPr>
            <w:r>
              <w:rPr>
                <w:color w:val="000000"/>
                <w:sz w:val="18"/>
                <w:szCs w:val="18"/>
              </w:rPr>
              <w:t>20</w:t>
            </w:r>
            <w:r w:rsidR="001938FD">
              <w:rPr>
                <w:color w:val="000000"/>
                <w:sz w:val="18"/>
                <w:szCs w:val="18"/>
              </w:rPr>
              <w:t>,</w:t>
            </w:r>
            <w:r>
              <w:rPr>
                <w:color w:val="000000"/>
                <w:sz w:val="18"/>
                <w:szCs w:val="18"/>
              </w:rPr>
              <w:t>0</w:t>
            </w:r>
          </w:p>
        </w:tc>
        <w:tc>
          <w:tcPr>
            <w:tcW w:w="963" w:type="dxa"/>
            <w:gridSpan w:val="2"/>
            <w:tcBorders>
              <w:top w:val="nil"/>
              <w:left w:val="nil"/>
              <w:bottom w:val="single" w:sz="8" w:space="0" w:color="000000"/>
              <w:right w:val="single" w:sz="8" w:space="0" w:color="000000"/>
            </w:tcBorders>
            <w:shd w:val="clear" w:color="000000" w:fill="FFFFFF"/>
            <w:vAlign w:val="center"/>
          </w:tcPr>
          <w:p w:rsidR="00387717" w:rsidRPr="00A7289C" w:rsidRDefault="00387717" w:rsidP="005874C7">
            <w:pPr>
              <w:spacing w:before="100" w:beforeAutospacing="1" w:after="100" w:afterAutospacing="1"/>
              <w:jc w:val="center"/>
              <w:rPr>
                <w:color w:val="000000"/>
                <w:sz w:val="18"/>
                <w:szCs w:val="18"/>
              </w:rPr>
            </w:pPr>
          </w:p>
        </w:tc>
        <w:tc>
          <w:tcPr>
            <w:tcW w:w="960" w:type="dxa"/>
            <w:gridSpan w:val="3"/>
            <w:tcBorders>
              <w:top w:val="nil"/>
              <w:left w:val="nil"/>
              <w:bottom w:val="single" w:sz="8" w:space="0" w:color="000000"/>
              <w:right w:val="single" w:sz="8" w:space="0" w:color="000000"/>
            </w:tcBorders>
            <w:shd w:val="clear" w:color="000000" w:fill="FFFFFF"/>
          </w:tcPr>
          <w:p w:rsidR="00387717" w:rsidRPr="00A7289C" w:rsidRDefault="00387717" w:rsidP="00387717">
            <w:pPr>
              <w:spacing w:before="100" w:beforeAutospacing="1" w:after="100" w:afterAutospacing="1"/>
              <w:jc w:val="right"/>
              <w:rPr>
                <w:color w:val="000000"/>
                <w:sz w:val="20"/>
                <w:szCs w:val="20"/>
              </w:rPr>
            </w:pPr>
          </w:p>
        </w:tc>
        <w:tc>
          <w:tcPr>
            <w:tcW w:w="960" w:type="dxa"/>
            <w:gridSpan w:val="5"/>
            <w:tcBorders>
              <w:top w:val="nil"/>
              <w:left w:val="nil"/>
              <w:bottom w:val="single" w:sz="8" w:space="0" w:color="000000"/>
              <w:right w:val="single" w:sz="8" w:space="0" w:color="000000"/>
            </w:tcBorders>
            <w:shd w:val="clear" w:color="000000" w:fill="FFFFFF"/>
            <w:hideMark/>
          </w:tcPr>
          <w:p w:rsidR="00387717" w:rsidRPr="00A7289C" w:rsidRDefault="00A7289C" w:rsidP="00B71C8D">
            <w:pPr>
              <w:spacing w:before="100" w:beforeAutospacing="1" w:after="100" w:afterAutospacing="1"/>
              <w:jc w:val="right"/>
              <w:rPr>
                <w:color w:val="000000"/>
                <w:sz w:val="20"/>
                <w:szCs w:val="20"/>
              </w:rPr>
            </w:pPr>
            <w:r>
              <w:rPr>
                <w:color w:val="000000"/>
                <w:sz w:val="20"/>
                <w:szCs w:val="20"/>
              </w:rPr>
              <w:t xml:space="preserve"> </w:t>
            </w:r>
          </w:p>
        </w:tc>
        <w:tc>
          <w:tcPr>
            <w:tcW w:w="1173" w:type="dxa"/>
            <w:gridSpan w:val="3"/>
            <w:tcBorders>
              <w:top w:val="nil"/>
              <w:left w:val="nil"/>
              <w:bottom w:val="single" w:sz="8" w:space="0" w:color="000000"/>
              <w:right w:val="single" w:sz="8" w:space="0" w:color="000000"/>
            </w:tcBorders>
            <w:shd w:val="clear" w:color="000000" w:fill="FFFFFF"/>
            <w:hideMark/>
          </w:tcPr>
          <w:p w:rsidR="00387717" w:rsidRPr="00A7289C" w:rsidRDefault="00A7289C" w:rsidP="00B71C8D">
            <w:pPr>
              <w:spacing w:before="100" w:beforeAutospacing="1" w:after="100" w:afterAutospacing="1"/>
              <w:jc w:val="right"/>
              <w:rPr>
                <w:color w:val="000000"/>
                <w:sz w:val="20"/>
                <w:szCs w:val="20"/>
              </w:rPr>
            </w:pPr>
            <w:r>
              <w:rPr>
                <w:color w:val="000000"/>
                <w:sz w:val="20"/>
                <w:szCs w:val="20"/>
              </w:rPr>
              <w:t xml:space="preserve"> </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highlight w:val="yellow"/>
              </w:rPr>
              <w:t>.</w:t>
            </w:r>
          </w:p>
        </w:tc>
      </w:tr>
      <w:tr w:rsidR="00B71C8D" w:rsidRPr="00857EF9"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b/>
                <w:bCs/>
                <w:sz w:val="20"/>
                <w:szCs w:val="20"/>
                <w:lang w:val="fr-FR"/>
              </w:rPr>
              <w:t>Objectif(s) de développement du projet</w:t>
            </w:r>
          </w:p>
        </w:tc>
      </w:tr>
      <w:tr w:rsidR="00B71C8D" w:rsidRPr="00857EF9"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1D14D9" w:rsidP="00196059">
            <w:pPr>
              <w:spacing w:before="60"/>
              <w:jc w:val="both"/>
              <w:rPr>
                <w:iCs/>
                <w:sz w:val="20"/>
                <w:szCs w:val="20"/>
                <w:lang w:val="fr-FR"/>
              </w:rPr>
            </w:pPr>
            <w:r w:rsidRPr="00857EF9">
              <w:rPr>
                <w:sz w:val="20"/>
                <w:szCs w:val="20"/>
                <w:lang w:val="fr-FR"/>
              </w:rPr>
              <w:t>Le projet vise à aider le bénéficiaire (a) à améliorer les conditions d'investissement dans le secteur privé et la croissance inclusive ; et (b) à renforcer ses capacités à réagir rapidement et efficacement à une situation d'urgence éligible.</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b/>
                <w:bCs/>
                <w:sz w:val="20"/>
                <w:szCs w:val="20"/>
              </w:rPr>
              <w:t>Composantes</w:t>
            </w:r>
            <w:proofErr w:type="spellEnd"/>
          </w:p>
        </w:tc>
      </w:tr>
      <w:tr w:rsidR="00B71C8D" w:rsidRPr="00A7289C" w:rsidTr="0017230E">
        <w:trPr>
          <w:gridAfter w:val="1"/>
          <w:wAfter w:w="18" w:type="dxa"/>
        </w:trPr>
        <w:tc>
          <w:tcPr>
            <w:tcW w:w="614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b/>
                <w:bCs/>
                <w:sz w:val="20"/>
                <w:szCs w:val="20"/>
              </w:rPr>
              <w:t xml:space="preserve">Nom de la </w:t>
            </w:r>
            <w:proofErr w:type="spellStart"/>
            <w:r>
              <w:rPr>
                <w:b/>
                <w:bCs/>
                <w:sz w:val="20"/>
                <w:szCs w:val="20"/>
              </w:rPr>
              <w:t>composante</w:t>
            </w:r>
            <w:proofErr w:type="spellEnd"/>
          </w:p>
        </w:tc>
        <w:tc>
          <w:tcPr>
            <w:tcW w:w="409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8267E4">
            <w:pPr>
              <w:ind w:right="202"/>
              <w:jc w:val="right"/>
              <w:rPr>
                <w:sz w:val="20"/>
                <w:szCs w:val="20"/>
              </w:rPr>
            </w:pPr>
            <w:proofErr w:type="spellStart"/>
            <w:r>
              <w:rPr>
                <w:b/>
                <w:bCs/>
                <w:sz w:val="20"/>
                <w:szCs w:val="20"/>
              </w:rPr>
              <w:t>Coût</w:t>
            </w:r>
            <w:proofErr w:type="spellEnd"/>
            <w:r>
              <w:rPr>
                <w:b/>
                <w:bCs/>
                <w:sz w:val="20"/>
                <w:szCs w:val="20"/>
              </w:rPr>
              <w:t xml:space="preserve"> (millions USD)</w:t>
            </w:r>
          </w:p>
        </w:tc>
      </w:tr>
      <w:tr w:rsidR="00B71C8D" w:rsidRPr="00A7289C" w:rsidTr="0017230E">
        <w:trPr>
          <w:gridAfter w:val="1"/>
          <w:wAfter w:w="18" w:type="dxa"/>
        </w:trPr>
        <w:tc>
          <w:tcPr>
            <w:tcW w:w="614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AD592A">
            <w:pPr>
              <w:spacing w:before="100" w:beforeAutospacing="1" w:after="100" w:afterAutospacing="1"/>
              <w:rPr>
                <w:sz w:val="20"/>
                <w:szCs w:val="20"/>
                <w:lang w:val="fr-FR"/>
              </w:rPr>
            </w:pPr>
            <w:r w:rsidRPr="00857EF9">
              <w:rPr>
                <w:sz w:val="20"/>
                <w:szCs w:val="20"/>
                <w:lang w:val="fr-FR"/>
              </w:rPr>
              <w:t xml:space="preserve">1 – Climat des affaires et promotion de l'investissement </w:t>
            </w:r>
          </w:p>
        </w:tc>
        <w:tc>
          <w:tcPr>
            <w:tcW w:w="409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774E18" w:rsidP="00F73A8E">
            <w:pPr>
              <w:spacing w:before="100" w:beforeAutospacing="1" w:after="100" w:afterAutospacing="1"/>
              <w:ind w:right="202"/>
              <w:jc w:val="right"/>
              <w:rPr>
                <w:sz w:val="20"/>
                <w:szCs w:val="20"/>
              </w:rPr>
            </w:pPr>
            <w:r>
              <w:rPr>
                <w:sz w:val="20"/>
                <w:szCs w:val="20"/>
              </w:rPr>
              <w:t>10</w:t>
            </w:r>
            <w:r w:rsidR="001938FD">
              <w:rPr>
                <w:sz w:val="20"/>
                <w:szCs w:val="20"/>
              </w:rPr>
              <w:t>,</w:t>
            </w:r>
            <w:r>
              <w:rPr>
                <w:sz w:val="20"/>
                <w:szCs w:val="20"/>
              </w:rPr>
              <w:t>0</w:t>
            </w:r>
          </w:p>
        </w:tc>
      </w:tr>
      <w:tr w:rsidR="00B71C8D" w:rsidRPr="00A7289C" w:rsidTr="0017230E">
        <w:trPr>
          <w:gridAfter w:val="1"/>
          <w:wAfter w:w="18" w:type="dxa"/>
        </w:trPr>
        <w:tc>
          <w:tcPr>
            <w:tcW w:w="614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0938D5">
            <w:pPr>
              <w:spacing w:before="100" w:beforeAutospacing="1" w:after="100" w:afterAutospacing="1"/>
              <w:rPr>
                <w:sz w:val="20"/>
                <w:szCs w:val="20"/>
                <w:lang w:val="fr-FR"/>
              </w:rPr>
            </w:pPr>
            <w:r w:rsidRPr="00857EF9">
              <w:rPr>
                <w:sz w:val="20"/>
                <w:szCs w:val="20"/>
                <w:lang w:val="fr-FR"/>
              </w:rPr>
              <w:t xml:space="preserve">2 – Services de développement des entreprises pour les MPME </w:t>
            </w:r>
          </w:p>
        </w:tc>
        <w:tc>
          <w:tcPr>
            <w:tcW w:w="409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774E18" w:rsidP="001A2C42">
            <w:pPr>
              <w:spacing w:before="100" w:beforeAutospacing="1" w:after="100" w:afterAutospacing="1"/>
              <w:ind w:right="202"/>
              <w:jc w:val="right"/>
              <w:rPr>
                <w:sz w:val="20"/>
                <w:szCs w:val="20"/>
              </w:rPr>
            </w:pPr>
            <w:r>
              <w:rPr>
                <w:sz w:val="20"/>
                <w:szCs w:val="20"/>
              </w:rPr>
              <w:t>7</w:t>
            </w:r>
            <w:r w:rsidR="001938FD">
              <w:rPr>
                <w:sz w:val="20"/>
                <w:szCs w:val="20"/>
              </w:rPr>
              <w:t>,</w:t>
            </w:r>
            <w:r>
              <w:rPr>
                <w:sz w:val="20"/>
                <w:szCs w:val="20"/>
              </w:rPr>
              <w:t>0</w:t>
            </w:r>
          </w:p>
        </w:tc>
      </w:tr>
      <w:tr w:rsidR="00B71C8D" w:rsidRPr="00A7289C" w:rsidTr="0017230E">
        <w:trPr>
          <w:gridAfter w:val="1"/>
          <w:wAfter w:w="18" w:type="dxa"/>
        </w:trPr>
        <w:tc>
          <w:tcPr>
            <w:tcW w:w="614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A5453E" w:rsidP="003F07EA">
            <w:pPr>
              <w:spacing w:before="100" w:beforeAutospacing="1" w:after="100" w:afterAutospacing="1"/>
              <w:rPr>
                <w:sz w:val="20"/>
                <w:szCs w:val="20"/>
                <w:lang w:val="fr-FR"/>
              </w:rPr>
            </w:pPr>
            <w:r w:rsidRPr="00857EF9">
              <w:rPr>
                <w:sz w:val="20"/>
                <w:szCs w:val="20"/>
                <w:lang w:val="fr-FR"/>
              </w:rPr>
              <w:t>3 – Mise en œuvre, évaluation et suivi du projet</w:t>
            </w:r>
          </w:p>
        </w:tc>
        <w:tc>
          <w:tcPr>
            <w:tcW w:w="409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774E18" w:rsidP="001A2C42">
            <w:pPr>
              <w:spacing w:before="100" w:beforeAutospacing="1" w:after="100" w:afterAutospacing="1"/>
              <w:ind w:right="202"/>
              <w:jc w:val="right"/>
              <w:rPr>
                <w:sz w:val="20"/>
                <w:szCs w:val="20"/>
              </w:rPr>
            </w:pPr>
            <w:r>
              <w:rPr>
                <w:sz w:val="20"/>
                <w:szCs w:val="20"/>
              </w:rPr>
              <w:t>2</w:t>
            </w:r>
            <w:r w:rsidR="001938FD">
              <w:rPr>
                <w:sz w:val="20"/>
                <w:szCs w:val="20"/>
              </w:rPr>
              <w:t>,</w:t>
            </w:r>
            <w:r>
              <w:rPr>
                <w:sz w:val="20"/>
                <w:szCs w:val="20"/>
              </w:rPr>
              <w:t>5</w:t>
            </w:r>
          </w:p>
        </w:tc>
      </w:tr>
      <w:tr w:rsidR="00B71C8D" w:rsidRPr="00A7289C" w:rsidTr="0017230E">
        <w:trPr>
          <w:gridAfter w:val="1"/>
          <w:wAfter w:w="18" w:type="dxa"/>
        </w:trPr>
        <w:tc>
          <w:tcPr>
            <w:tcW w:w="614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A5453E" w:rsidP="00AD592A">
            <w:pPr>
              <w:spacing w:before="100" w:beforeAutospacing="1" w:after="100" w:afterAutospacing="1"/>
              <w:rPr>
                <w:sz w:val="20"/>
                <w:szCs w:val="20"/>
              </w:rPr>
            </w:pPr>
            <w:r>
              <w:rPr>
                <w:sz w:val="20"/>
                <w:szCs w:val="20"/>
              </w:rPr>
              <w:t xml:space="preserve">4 – </w:t>
            </w:r>
            <w:proofErr w:type="spellStart"/>
            <w:r>
              <w:rPr>
                <w:sz w:val="20"/>
                <w:szCs w:val="20"/>
              </w:rPr>
              <w:t>Mécanisme</w:t>
            </w:r>
            <w:proofErr w:type="spellEnd"/>
            <w:r>
              <w:rPr>
                <w:sz w:val="20"/>
                <w:szCs w:val="20"/>
              </w:rPr>
              <w:t xml:space="preserve"> de </w:t>
            </w:r>
            <w:proofErr w:type="spellStart"/>
            <w:r>
              <w:rPr>
                <w:sz w:val="20"/>
                <w:szCs w:val="20"/>
              </w:rPr>
              <w:t>réponse</w:t>
            </w:r>
            <w:proofErr w:type="spellEnd"/>
            <w:r>
              <w:rPr>
                <w:sz w:val="20"/>
                <w:szCs w:val="20"/>
              </w:rPr>
              <w:t xml:space="preserve"> </w:t>
            </w:r>
            <w:proofErr w:type="spellStart"/>
            <w:r>
              <w:rPr>
                <w:sz w:val="20"/>
                <w:szCs w:val="20"/>
              </w:rPr>
              <w:t>immédiate</w:t>
            </w:r>
            <w:proofErr w:type="spellEnd"/>
          </w:p>
        </w:tc>
        <w:tc>
          <w:tcPr>
            <w:tcW w:w="409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774E18" w:rsidP="001A2C42">
            <w:pPr>
              <w:spacing w:before="100" w:beforeAutospacing="1" w:after="100" w:afterAutospacing="1"/>
              <w:ind w:right="202"/>
              <w:jc w:val="right"/>
              <w:rPr>
                <w:sz w:val="20"/>
                <w:szCs w:val="20"/>
              </w:rPr>
            </w:pPr>
            <w:r>
              <w:rPr>
                <w:sz w:val="20"/>
                <w:szCs w:val="20"/>
              </w:rPr>
              <w:t>0</w:t>
            </w:r>
            <w:r w:rsidR="001938FD">
              <w:rPr>
                <w:sz w:val="20"/>
                <w:szCs w:val="20"/>
              </w:rPr>
              <w:t>,</w:t>
            </w:r>
            <w:r>
              <w:rPr>
                <w:sz w:val="20"/>
                <w:szCs w:val="20"/>
              </w:rPr>
              <w:t>5</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71C8D" w:rsidRPr="00A7289C" w:rsidRDefault="00B71C8D" w:rsidP="00B71C8D">
            <w:pPr>
              <w:jc w:val="center"/>
            </w:pPr>
            <w:proofErr w:type="spellStart"/>
            <w:r>
              <w:rPr>
                <w:b/>
                <w:bCs/>
              </w:rPr>
              <w:t>Conformité</w:t>
            </w:r>
            <w:proofErr w:type="spellEnd"/>
            <w:r>
              <w:rPr>
                <w:b/>
                <w:bCs/>
              </w:rPr>
              <w:t xml:space="preserve"> </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b/>
                <w:bCs/>
                <w:sz w:val="20"/>
                <w:szCs w:val="20"/>
              </w:rPr>
              <w:t>Politique</w:t>
            </w:r>
            <w:proofErr w:type="spellEnd"/>
          </w:p>
        </w:tc>
      </w:tr>
      <w:tr w:rsidR="00B71C8D" w:rsidRPr="00A7289C" w:rsidTr="0017230E">
        <w:trPr>
          <w:gridAfter w:val="1"/>
          <w:wAfter w:w="18" w:type="dxa"/>
        </w:trPr>
        <w:tc>
          <w:tcPr>
            <w:tcW w:w="7782"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Le projet dévie-t-il de la CAS sur le plan du contenu ou à d'autres égards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proofErr w:type="spellStart"/>
            <w:r>
              <w:rPr>
                <w:sz w:val="20"/>
                <w:szCs w:val="20"/>
              </w:rPr>
              <w:t>Oui</w:t>
            </w:r>
            <w:proofErr w:type="spellEnd"/>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r>
              <w:rPr>
                <w:sz w:val="20"/>
                <w:szCs w:val="20"/>
              </w:rPr>
              <w:t>Non</w:t>
            </w:r>
          </w:p>
        </w:tc>
        <w:tc>
          <w:tcPr>
            <w:tcW w:w="61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 ]</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17230E">
        <w:trPr>
          <w:gridAfter w:val="1"/>
          <w:wAfter w:w="18" w:type="dxa"/>
        </w:trPr>
        <w:tc>
          <w:tcPr>
            <w:tcW w:w="7782"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Le projet nécessite-t-il une dérogation aux politiques de la Banque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proofErr w:type="spellStart"/>
            <w:r>
              <w:rPr>
                <w:sz w:val="20"/>
                <w:szCs w:val="20"/>
              </w:rPr>
              <w:t>Oui</w:t>
            </w:r>
            <w:proofErr w:type="spellEnd"/>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r>
              <w:rPr>
                <w:sz w:val="20"/>
                <w:szCs w:val="20"/>
              </w:rPr>
              <w:t>Non</w:t>
            </w:r>
          </w:p>
        </w:tc>
        <w:tc>
          <w:tcPr>
            <w:tcW w:w="61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 ]</w:t>
            </w:r>
          </w:p>
        </w:tc>
      </w:tr>
      <w:tr w:rsidR="00B71C8D" w:rsidRPr="00A7289C" w:rsidTr="0017230E">
        <w:trPr>
          <w:gridAfter w:val="1"/>
          <w:wAfter w:w="18" w:type="dxa"/>
        </w:trPr>
        <w:tc>
          <w:tcPr>
            <w:tcW w:w="7782"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Une telle dérogation a-t-elle été approuvée par la direction de la Banque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proofErr w:type="spellStart"/>
            <w:r>
              <w:rPr>
                <w:sz w:val="20"/>
                <w:szCs w:val="20"/>
              </w:rPr>
              <w:t>Oui</w:t>
            </w:r>
            <w:proofErr w:type="spellEnd"/>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r>
              <w:rPr>
                <w:sz w:val="20"/>
                <w:szCs w:val="20"/>
              </w:rPr>
              <w:t xml:space="preserve">Non </w:t>
            </w:r>
          </w:p>
        </w:tc>
        <w:tc>
          <w:tcPr>
            <w:tcW w:w="61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r>
      <w:tr w:rsidR="00B71C8D" w:rsidRPr="00A7289C" w:rsidTr="0017230E">
        <w:trPr>
          <w:gridAfter w:val="1"/>
          <w:wAfter w:w="18" w:type="dxa"/>
        </w:trPr>
        <w:tc>
          <w:tcPr>
            <w:tcW w:w="7782"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Des approbations de dérogations aux politiques doivent-elles être présentées au Conseil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proofErr w:type="spellStart"/>
            <w:r>
              <w:rPr>
                <w:sz w:val="20"/>
                <w:szCs w:val="20"/>
              </w:rPr>
              <w:t>Oui</w:t>
            </w:r>
            <w:proofErr w:type="spellEnd"/>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r>
              <w:rPr>
                <w:sz w:val="20"/>
                <w:szCs w:val="20"/>
              </w:rPr>
              <w:t>Non</w:t>
            </w:r>
          </w:p>
        </w:tc>
        <w:tc>
          <w:tcPr>
            <w:tcW w:w="61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 ]</w:t>
            </w:r>
          </w:p>
        </w:tc>
      </w:tr>
      <w:tr w:rsidR="00B71C8D" w:rsidRPr="00A7289C" w:rsidTr="0017230E">
        <w:trPr>
          <w:gridAfter w:val="1"/>
          <w:wAfter w:w="18" w:type="dxa"/>
        </w:trPr>
        <w:tc>
          <w:tcPr>
            <w:tcW w:w="7782"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Le Projet remplit-il les critères régionaux indiquant qu'il est prêt pour la mise en œuvre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proofErr w:type="spellStart"/>
            <w:r>
              <w:rPr>
                <w:sz w:val="20"/>
                <w:szCs w:val="20"/>
              </w:rPr>
              <w:t>Oui</w:t>
            </w:r>
            <w:proofErr w:type="spellEnd"/>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5874C7">
            <w:pPr>
              <w:rPr>
                <w:sz w:val="20"/>
                <w:szCs w:val="20"/>
              </w:rPr>
            </w:pPr>
            <w:r>
              <w:rPr>
                <w:sz w:val="20"/>
                <w:szCs w:val="20"/>
              </w:rPr>
              <w:t>[ X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1C8D" w:rsidRPr="00A7289C" w:rsidRDefault="00B71C8D" w:rsidP="00B71C8D">
            <w:pPr>
              <w:jc w:val="right"/>
              <w:rPr>
                <w:sz w:val="20"/>
                <w:szCs w:val="20"/>
              </w:rPr>
            </w:pPr>
            <w:r>
              <w:rPr>
                <w:sz w:val="20"/>
                <w:szCs w:val="20"/>
              </w:rPr>
              <w:t>Non</w:t>
            </w:r>
          </w:p>
        </w:tc>
        <w:tc>
          <w:tcPr>
            <w:tcW w:w="61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b/>
                <w:bCs/>
                <w:sz w:val="20"/>
                <w:szCs w:val="20"/>
                <w:lang w:val="fr-FR"/>
              </w:rPr>
              <w:t>Politiques de sauvegarde déclenchées par le projet</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jc w:val="center"/>
              <w:rPr>
                <w:sz w:val="20"/>
                <w:szCs w:val="20"/>
              </w:rPr>
            </w:pPr>
            <w:proofErr w:type="spellStart"/>
            <w:r>
              <w:rPr>
                <w:b/>
                <w:bCs/>
                <w:sz w:val="20"/>
                <w:szCs w:val="20"/>
              </w:rPr>
              <w:t>Oui</w:t>
            </w:r>
            <w:proofErr w:type="spellEnd"/>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jc w:val="center"/>
              <w:rPr>
                <w:sz w:val="20"/>
                <w:szCs w:val="20"/>
              </w:rPr>
            </w:pPr>
            <w:r>
              <w:rPr>
                <w:b/>
                <w:bCs/>
                <w:sz w:val="20"/>
                <w:szCs w:val="20"/>
              </w:rPr>
              <w:t>Non</w:t>
            </w: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Évaluation</w:t>
            </w:r>
            <w:proofErr w:type="spellEnd"/>
            <w:r>
              <w:rPr>
                <w:sz w:val="20"/>
                <w:szCs w:val="20"/>
              </w:rPr>
              <w:t xml:space="preserve"> </w:t>
            </w:r>
            <w:proofErr w:type="spellStart"/>
            <w:r>
              <w:rPr>
                <w:sz w:val="20"/>
                <w:szCs w:val="20"/>
              </w:rPr>
              <w:t>environnementale</w:t>
            </w:r>
            <w:proofErr w:type="spellEnd"/>
            <w:r>
              <w:rPr>
                <w:sz w:val="20"/>
                <w:szCs w:val="20"/>
              </w:rPr>
              <w:t xml:space="preserve"> OP/BP 4.01</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jc w:val="center"/>
              <w:rPr>
                <w:b/>
                <w:sz w:val="20"/>
                <w:szCs w:val="20"/>
              </w:rPr>
            </w:pPr>
            <w:r>
              <w:rPr>
                <w:b/>
                <w:bCs/>
                <w:sz w:val="20"/>
                <w:szCs w:val="20"/>
              </w:rPr>
              <w:t>X</w:t>
            </w: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jc w:val="center"/>
              <w:rPr>
                <w:b/>
                <w:sz w:val="20"/>
                <w:szCs w:val="20"/>
              </w:rPr>
            </w:pP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Habitats </w:t>
            </w:r>
            <w:proofErr w:type="spellStart"/>
            <w:r>
              <w:rPr>
                <w:sz w:val="20"/>
                <w:szCs w:val="20"/>
              </w:rPr>
              <w:t>naturels</w:t>
            </w:r>
            <w:proofErr w:type="spellEnd"/>
            <w:r>
              <w:rPr>
                <w:sz w:val="20"/>
                <w:szCs w:val="20"/>
              </w:rPr>
              <w:t xml:space="preserve"> OP/BP 4.04</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60F58" w:rsidP="00B71C8D">
            <w:pPr>
              <w:jc w:val="center"/>
              <w:rPr>
                <w:b/>
                <w:sz w:val="20"/>
                <w:szCs w:val="20"/>
              </w:rPr>
            </w:pPr>
            <w:r>
              <w:rPr>
                <w:b/>
                <w:sz w:val="20"/>
                <w:szCs w:val="20"/>
              </w:rPr>
              <w:t>X</w:t>
            </w: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p>
        </w:tc>
      </w:tr>
      <w:tr w:rsidR="00B71C8D" w:rsidRPr="00A7289C" w:rsidTr="0017230E">
        <w:trPr>
          <w:gridAfter w:val="1"/>
          <w:wAfter w:w="18" w:type="dxa"/>
          <w:trHeight w:val="23"/>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Forêts</w:t>
            </w:r>
            <w:proofErr w:type="spellEnd"/>
            <w:r>
              <w:rPr>
                <w:sz w:val="20"/>
                <w:szCs w:val="20"/>
              </w:rPr>
              <w:t xml:space="preserve"> OP/BP 4.36</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60F58" w:rsidP="00B71C8D">
            <w:pPr>
              <w:jc w:val="center"/>
              <w:rPr>
                <w:b/>
                <w:sz w:val="20"/>
                <w:szCs w:val="20"/>
              </w:rPr>
            </w:pPr>
            <w:r>
              <w:rPr>
                <w:b/>
                <w:sz w:val="20"/>
                <w:szCs w:val="20"/>
              </w:rPr>
              <w:t>X</w:t>
            </w: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Lutte contre les ennemis des cultures OP 4.09</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D45599" w:rsidP="00B71C8D">
            <w:pPr>
              <w:jc w:val="center"/>
              <w:rPr>
                <w:b/>
                <w:sz w:val="20"/>
                <w:szCs w:val="20"/>
              </w:rPr>
            </w:pPr>
            <w:r>
              <w:rPr>
                <w:b/>
                <w:sz w:val="20"/>
                <w:szCs w:val="20"/>
              </w:rPr>
              <w:t>X</w:t>
            </w: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D71ED8" w:rsidP="00B71C8D">
            <w:pPr>
              <w:rPr>
                <w:sz w:val="20"/>
                <w:szCs w:val="20"/>
                <w:lang w:val="fr-FR"/>
              </w:rPr>
            </w:pPr>
            <w:r w:rsidRPr="00857EF9">
              <w:rPr>
                <w:sz w:val="20"/>
                <w:szCs w:val="20"/>
                <w:lang w:val="fr-FR"/>
              </w:rPr>
              <w:lastRenderedPageBreak/>
              <w:t>Ressources culturelles physiques OP/BP 4.11</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60F58" w:rsidP="00B71C8D">
            <w:pPr>
              <w:jc w:val="center"/>
              <w:rPr>
                <w:b/>
                <w:sz w:val="20"/>
                <w:szCs w:val="20"/>
              </w:rPr>
            </w:pPr>
            <w:r>
              <w:rPr>
                <w:b/>
                <w:sz w:val="20"/>
                <w:szCs w:val="20"/>
              </w:rPr>
              <w:t>X</w:t>
            </w: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jc w:val="center"/>
              <w:rPr>
                <w:b/>
                <w:sz w:val="20"/>
                <w:szCs w:val="20"/>
              </w:rPr>
            </w:pP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Populations </w:t>
            </w:r>
            <w:proofErr w:type="spellStart"/>
            <w:r>
              <w:rPr>
                <w:sz w:val="20"/>
                <w:szCs w:val="20"/>
              </w:rPr>
              <w:t>autochtones</w:t>
            </w:r>
            <w:proofErr w:type="spellEnd"/>
            <w:r>
              <w:rPr>
                <w:sz w:val="20"/>
                <w:szCs w:val="20"/>
              </w:rPr>
              <w:t xml:space="preserve"> OP/BP 4.10</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jc w:val="center"/>
              <w:rPr>
                <w:b/>
                <w:sz w:val="20"/>
                <w:szCs w:val="20"/>
              </w:rPr>
            </w:pP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r>
              <w:rPr>
                <w:b/>
                <w:bCs/>
                <w:sz w:val="20"/>
                <w:szCs w:val="20"/>
              </w:rPr>
              <w:t>X</w:t>
            </w: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Réinstallation</w:t>
            </w:r>
            <w:proofErr w:type="spellEnd"/>
            <w:r>
              <w:rPr>
                <w:sz w:val="20"/>
                <w:szCs w:val="20"/>
              </w:rPr>
              <w:t xml:space="preserve"> </w:t>
            </w:r>
            <w:proofErr w:type="spellStart"/>
            <w:r>
              <w:rPr>
                <w:sz w:val="20"/>
                <w:szCs w:val="20"/>
              </w:rPr>
              <w:t>forcée</w:t>
            </w:r>
            <w:proofErr w:type="spellEnd"/>
            <w:r>
              <w:rPr>
                <w:sz w:val="20"/>
                <w:szCs w:val="20"/>
              </w:rPr>
              <w:t xml:space="preserve"> OP/BP 4.12</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60F58" w:rsidP="00B71C8D">
            <w:pPr>
              <w:jc w:val="center"/>
              <w:rPr>
                <w:b/>
                <w:sz w:val="20"/>
                <w:szCs w:val="20"/>
              </w:rPr>
            </w:pPr>
            <w:r>
              <w:rPr>
                <w:b/>
                <w:sz w:val="20"/>
                <w:szCs w:val="20"/>
              </w:rPr>
              <w:t>X</w:t>
            </w: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Sécurité des barrages OP/BP 4.37</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jc w:val="center"/>
              <w:rPr>
                <w:sz w:val="20"/>
                <w:szCs w:val="20"/>
                <w:lang w:val="fr-FR"/>
              </w:rPr>
            </w:pP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r>
              <w:rPr>
                <w:b/>
                <w:bCs/>
                <w:sz w:val="20"/>
                <w:szCs w:val="20"/>
              </w:rPr>
              <w:t>X</w:t>
            </w: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Projets sur des voies d’eau internationales OP/BP 7.50</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jc w:val="center"/>
              <w:rPr>
                <w:sz w:val="20"/>
                <w:szCs w:val="20"/>
                <w:lang w:val="fr-FR"/>
              </w:rPr>
            </w:pP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r>
              <w:rPr>
                <w:b/>
                <w:bCs/>
                <w:sz w:val="20"/>
                <w:szCs w:val="20"/>
              </w:rPr>
              <w:t>X</w:t>
            </w:r>
          </w:p>
        </w:tc>
      </w:tr>
      <w:tr w:rsidR="00B71C8D" w:rsidRPr="00A7289C" w:rsidTr="0017230E">
        <w:trPr>
          <w:gridAfter w:val="1"/>
          <w:wAfter w:w="18" w:type="dxa"/>
        </w:trPr>
        <w:tc>
          <w:tcPr>
            <w:tcW w:w="7168"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Projets situés en zones contestées OP/BP 7.60</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jc w:val="center"/>
              <w:rPr>
                <w:lang w:val="fr-FR"/>
              </w:rPr>
            </w:pPr>
          </w:p>
        </w:tc>
        <w:tc>
          <w:tcPr>
            <w:tcW w:w="153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spacing w:before="100" w:beforeAutospacing="1" w:after="100" w:afterAutospacing="1"/>
              <w:jc w:val="center"/>
              <w:rPr>
                <w:b/>
                <w:sz w:val="20"/>
                <w:szCs w:val="20"/>
              </w:rPr>
            </w:pPr>
            <w:r>
              <w:rPr>
                <w:b/>
                <w:bCs/>
                <w:sz w:val="20"/>
                <w:szCs w:val="20"/>
              </w:rPr>
              <w:t>X</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857EF9"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1DA0" w:rsidRPr="00857EF9" w:rsidRDefault="00B30179" w:rsidP="00112C86">
            <w:pPr>
              <w:rPr>
                <w:sz w:val="20"/>
                <w:szCs w:val="20"/>
                <w:lang w:val="fr-FR"/>
              </w:rPr>
            </w:pPr>
            <w:r w:rsidRPr="00857EF9">
              <w:rPr>
                <w:b/>
                <w:bCs/>
                <w:sz w:val="20"/>
                <w:szCs w:val="20"/>
                <w:lang w:val="fr-FR"/>
              </w:rPr>
              <w:t xml:space="preserve">Conditions d'entrée en vigueur et de décaissement des prêts </w:t>
            </w:r>
          </w:p>
        </w:tc>
      </w:tr>
      <w:tr w:rsidR="00501DA0" w:rsidRPr="00A7289C" w:rsidTr="00F65904">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1DA0" w:rsidRPr="00A7289C" w:rsidRDefault="00501DA0" w:rsidP="00501DA0">
            <w:pPr>
              <w:rPr>
                <w:sz w:val="20"/>
                <w:szCs w:val="20"/>
              </w:rPr>
            </w:pPr>
            <w:r>
              <w:rPr>
                <w:b/>
                <w:bCs/>
                <w:sz w:val="20"/>
                <w:szCs w:val="20"/>
              </w:rPr>
              <w:t>Nom</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1DA0" w:rsidRPr="00A7289C" w:rsidRDefault="00501DA0" w:rsidP="00501DA0">
            <w:pPr>
              <w:rPr>
                <w:sz w:val="20"/>
                <w:szCs w:val="20"/>
              </w:rPr>
            </w:pPr>
            <w:proofErr w:type="spellStart"/>
            <w:r>
              <w:rPr>
                <w:b/>
                <w:bCs/>
                <w:sz w:val="20"/>
                <w:szCs w:val="20"/>
              </w:rPr>
              <w:t>Récurrent</w:t>
            </w:r>
            <w:proofErr w:type="spellEnd"/>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1DA0" w:rsidRPr="00A7289C" w:rsidRDefault="00501DA0" w:rsidP="00501DA0">
            <w:pPr>
              <w:rPr>
                <w:sz w:val="20"/>
                <w:szCs w:val="20"/>
              </w:rPr>
            </w:pPr>
            <w:proofErr w:type="spellStart"/>
            <w:r>
              <w:rPr>
                <w:b/>
                <w:bCs/>
                <w:sz w:val="20"/>
                <w:szCs w:val="20"/>
              </w:rPr>
              <w:t>Échéance</w:t>
            </w:r>
            <w:proofErr w:type="spellEnd"/>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1DA0" w:rsidRPr="00A7289C" w:rsidRDefault="00501DA0" w:rsidP="00501DA0">
            <w:pPr>
              <w:rPr>
                <w:sz w:val="20"/>
                <w:szCs w:val="20"/>
              </w:rPr>
            </w:pPr>
            <w:proofErr w:type="spellStart"/>
            <w:r>
              <w:rPr>
                <w:b/>
                <w:bCs/>
                <w:sz w:val="20"/>
                <w:szCs w:val="20"/>
              </w:rPr>
              <w:t>Fréquence</w:t>
            </w:r>
            <w:proofErr w:type="spellEnd"/>
          </w:p>
        </w:tc>
      </w:tr>
      <w:tr w:rsidR="0032163A" w:rsidRPr="00A7289C" w:rsidTr="00F65904">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163A" w:rsidRPr="00857EF9" w:rsidRDefault="00AD592A" w:rsidP="00AD592A">
            <w:pPr>
              <w:rPr>
                <w:sz w:val="20"/>
                <w:szCs w:val="20"/>
                <w:lang w:val="fr-FR"/>
              </w:rPr>
            </w:pPr>
            <w:r w:rsidRPr="00857EF9">
              <w:rPr>
                <w:sz w:val="20"/>
                <w:szCs w:val="20"/>
                <w:lang w:val="fr-FR"/>
              </w:rPr>
              <w:t>Le bénéficiaire a adopté un manuel opérationnel jugé satisfaisant par l'IDA (AF : Section 4.01)</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163A" w:rsidRPr="00A7289C" w:rsidRDefault="00257186" w:rsidP="00501DA0">
            <w:pPr>
              <w:jc w:val="center"/>
              <w:rPr>
                <w:sz w:val="20"/>
                <w:szCs w:val="20"/>
              </w:rPr>
            </w:pPr>
            <w:r>
              <w:rPr>
                <w:sz w:val="20"/>
                <w:szCs w:val="20"/>
              </w:rPr>
              <w:t>Non</w:t>
            </w:r>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163A" w:rsidRPr="00A7289C" w:rsidRDefault="008267E4" w:rsidP="00CD284C">
            <w:pPr>
              <w:jc w:val="center"/>
              <w:rPr>
                <w:sz w:val="20"/>
                <w:szCs w:val="20"/>
              </w:rPr>
            </w:pPr>
            <w:r>
              <w:rPr>
                <w:sz w:val="20"/>
                <w:szCs w:val="20"/>
              </w:rPr>
              <w:t xml:space="preserve">Entrée en </w:t>
            </w:r>
            <w:proofErr w:type="spellStart"/>
            <w:r>
              <w:rPr>
                <w:sz w:val="20"/>
                <w:szCs w:val="20"/>
              </w:rPr>
              <w:t>vigueur</w:t>
            </w:r>
            <w:proofErr w:type="spellEnd"/>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163A" w:rsidRPr="00A7289C" w:rsidRDefault="008267E4" w:rsidP="00501DA0">
            <w:pPr>
              <w:jc w:val="center"/>
              <w:rPr>
                <w:sz w:val="20"/>
                <w:szCs w:val="20"/>
              </w:rPr>
            </w:pPr>
            <w:proofErr w:type="spellStart"/>
            <w:r>
              <w:rPr>
                <w:sz w:val="20"/>
                <w:szCs w:val="20"/>
              </w:rPr>
              <w:t>Une</w:t>
            </w:r>
            <w:proofErr w:type="spellEnd"/>
            <w:r>
              <w:rPr>
                <w:sz w:val="20"/>
                <w:szCs w:val="20"/>
              </w:rPr>
              <w:t xml:space="preserve"> </w:t>
            </w:r>
            <w:proofErr w:type="spellStart"/>
            <w:r>
              <w:rPr>
                <w:sz w:val="20"/>
                <w:szCs w:val="20"/>
              </w:rPr>
              <w:t>fois</w:t>
            </w:r>
            <w:proofErr w:type="spellEnd"/>
          </w:p>
        </w:tc>
      </w:tr>
      <w:tr w:rsidR="00BF4518" w:rsidRPr="00A7289C" w:rsidTr="00BF4518">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66525" w:rsidRPr="00857EF9" w:rsidRDefault="009937F5" w:rsidP="00FB137A">
            <w:pPr>
              <w:rPr>
                <w:sz w:val="20"/>
                <w:szCs w:val="20"/>
                <w:lang w:val="fr-FR"/>
              </w:rPr>
            </w:pPr>
            <w:r w:rsidRPr="00857EF9">
              <w:rPr>
                <w:sz w:val="20"/>
                <w:szCs w:val="20"/>
                <w:lang w:val="fr-FR"/>
              </w:rPr>
              <w:t>Le</w:t>
            </w:r>
            <w:r w:rsidRPr="00857EF9">
              <w:rPr>
                <w:sz w:val="20"/>
                <w:lang w:val="fr-FR"/>
              </w:rPr>
              <w:t xml:space="preserve"> plan d'action mentionné dans la </w:t>
            </w:r>
            <w:r w:rsidR="00FB137A" w:rsidRPr="00857EF9">
              <w:rPr>
                <w:sz w:val="20"/>
                <w:lang w:val="fr-FR"/>
              </w:rPr>
              <w:t>composante </w:t>
            </w:r>
            <w:r w:rsidRPr="00857EF9">
              <w:rPr>
                <w:sz w:val="20"/>
                <w:lang w:val="fr-FR"/>
              </w:rPr>
              <w:t>1.2 (b) du projet a été exécuté de manière s</w:t>
            </w:r>
            <w:r w:rsidR="00E01433" w:rsidRPr="00857EF9">
              <w:rPr>
                <w:sz w:val="20"/>
                <w:lang w:val="fr-FR"/>
              </w:rPr>
              <w:t xml:space="preserve">atisfaisante pour l'Association </w:t>
            </w:r>
            <w:r w:rsidR="00E01433" w:rsidRPr="00857EF9">
              <w:rPr>
                <w:sz w:val="20"/>
                <w:szCs w:val="20"/>
                <w:lang w:val="fr-FR"/>
              </w:rPr>
              <w:t>(AF :</w:t>
            </w:r>
            <w:r w:rsidRPr="00857EF9">
              <w:rPr>
                <w:sz w:val="20"/>
                <w:szCs w:val="20"/>
                <w:lang w:val="fr-FR"/>
              </w:rPr>
              <w:t xml:space="preserve"> Section IV.B.1.b)</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F4518" w:rsidRPr="00A7289C" w:rsidRDefault="00641979" w:rsidP="00BF4518">
            <w:pPr>
              <w:jc w:val="center"/>
              <w:rPr>
                <w:sz w:val="20"/>
                <w:szCs w:val="20"/>
              </w:rPr>
            </w:pPr>
            <w:r w:rsidRPr="00857EF9">
              <w:rPr>
                <w:sz w:val="20"/>
                <w:szCs w:val="20"/>
                <w:lang w:val="fr-FR"/>
              </w:rPr>
              <w:t xml:space="preserve"> </w:t>
            </w:r>
            <w:r>
              <w:rPr>
                <w:sz w:val="20"/>
                <w:szCs w:val="20"/>
              </w:rPr>
              <w:t>Non</w:t>
            </w:r>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F4518" w:rsidRPr="00857EF9" w:rsidRDefault="00BF4518" w:rsidP="00BF4518">
            <w:pPr>
              <w:jc w:val="center"/>
              <w:rPr>
                <w:sz w:val="20"/>
                <w:szCs w:val="20"/>
                <w:lang w:val="fr-FR"/>
              </w:rPr>
            </w:pPr>
            <w:r w:rsidRPr="00857EF9">
              <w:rPr>
                <w:sz w:val="20"/>
                <w:szCs w:val="20"/>
                <w:lang w:val="fr-FR"/>
              </w:rPr>
              <w:t>Condition de décaissement pour la catégorie 1b</w:t>
            </w:r>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F4518" w:rsidRPr="00A7289C" w:rsidRDefault="00BF4518" w:rsidP="00BF4518">
            <w:pPr>
              <w:jc w:val="center"/>
              <w:rPr>
                <w:sz w:val="20"/>
                <w:szCs w:val="20"/>
              </w:rPr>
            </w:pPr>
            <w:proofErr w:type="spellStart"/>
            <w:r>
              <w:rPr>
                <w:sz w:val="20"/>
                <w:szCs w:val="20"/>
              </w:rPr>
              <w:t>Une</w:t>
            </w:r>
            <w:proofErr w:type="spellEnd"/>
            <w:r>
              <w:rPr>
                <w:sz w:val="20"/>
                <w:szCs w:val="20"/>
              </w:rPr>
              <w:t xml:space="preserve"> </w:t>
            </w:r>
            <w:proofErr w:type="spellStart"/>
            <w:r>
              <w:rPr>
                <w:sz w:val="20"/>
                <w:szCs w:val="20"/>
              </w:rPr>
              <w:t>fois</w:t>
            </w:r>
            <w:proofErr w:type="spellEnd"/>
          </w:p>
        </w:tc>
      </w:tr>
      <w:tr w:rsidR="002068D9" w:rsidRPr="00A7289C" w:rsidTr="00F65904">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068D9" w:rsidRPr="00857EF9" w:rsidRDefault="00AD592A" w:rsidP="00E01433">
            <w:pPr>
              <w:rPr>
                <w:sz w:val="20"/>
                <w:szCs w:val="20"/>
                <w:lang w:val="fr-FR"/>
              </w:rPr>
            </w:pPr>
            <w:r w:rsidRPr="00857EF9">
              <w:rPr>
                <w:sz w:val="20"/>
                <w:szCs w:val="20"/>
                <w:lang w:val="fr-FR"/>
              </w:rPr>
              <w:t>Le bénéficiaire a soumis des critères de sélection des ZEI jugés satisfaisants par l'IDA (</w:t>
            </w:r>
            <w:r w:rsidR="00E01433" w:rsidRPr="00857EF9">
              <w:rPr>
                <w:sz w:val="20"/>
                <w:szCs w:val="20"/>
                <w:lang w:val="fr-FR"/>
              </w:rPr>
              <w:t>AF</w:t>
            </w:r>
            <w:r w:rsidRPr="00857EF9">
              <w:rPr>
                <w:sz w:val="20"/>
                <w:szCs w:val="20"/>
                <w:lang w:val="fr-FR"/>
              </w:rPr>
              <w:t> : Section IV.B.1.c)</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068D9" w:rsidRPr="00A7289C" w:rsidRDefault="00362498" w:rsidP="00501DA0">
            <w:pPr>
              <w:jc w:val="center"/>
              <w:rPr>
                <w:sz w:val="20"/>
                <w:szCs w:val="20"/>
              </w:rPr>
            </w:pPr>
            <w:r>
              <w:rPr>
                <w:sz w:val="20"/>
                <w:szCs w:val="20"/>
              </w:rPr>
              <w:t>Non</w:t>
            </w:r>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068D9" w:rsidRPr="00857EF9" w:rsidRDefault="00E4326F" w:rsidP="00096AF9">
            <w:pPr>
              <w:jc w:val="center"/>
              <w:rPr>
                <w:sz w:val="20"/>
                <w:szCs w:val="20"/>
                <w:lang w:val="fr-FR"/>
              </w:rPr>
            </w:pPr>
            <w:r w:rsidRPr="00857EF9">
              <w:rPr>
                <w:sz w:val="20"/>
                <w:szCs w:val="20"/>
                <w:lang w:val="fr-FR"/>
              </w:rPr>
              <w:t>Condition de décaissement pour la catégorie 1c</w:t>
            </w:r>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068D9" w:rsidRPr="00A7289C" w:rsidRDefault="00362498" w:rsidP="00501DA0">
            <w:pPr>
              <w:jc w:val="center"/>
              <w:rPr>
                <w:sz w:val="20"/>
                <w:szCs w:val="20"/>
              </w:rPr>
            </w:pPr>
            <w:proofErr w:type="spellStart"/>
            <w:r>
              <w:rPr>
                <w:sz w:val="20"/>
                <w:szCs w:val="20"/>
              </w:rPr>
              <w:t>Une</w:t>
            </w:r>
            <w:proofErr w:type="spellEnd"/>
            <w:r>
              <w:rPr>
                <w:sz w:val="20"/>
                <w:szCs w:val="20"/>
              </w:rPr>
              <w:t xml:space="preserve"> </w:t>
            </w:r>
            <w:proofErr w:type="spellStart"/>
            <w:r>
              <w:rPr>
                <w:sz w:val="20"/>
                <w:szCs w:val="20"/>
              </w:rPr>
              <w:t>fois</w:t>
            </w:r>
            <w:proofErr w:type="spellEnd"/>
          </w:p>
        </w:tc>
      </w:tr>
      <w:tr w:rsidR="00212300" w:rsidRPr="00A7289C" w:rsidTr="00F65904">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12300" w:rsidRPr="00857EF9" w:rsidRDefault="00AD592A" w:rsidP="00AD592A">
            <w:pPr>
              <w:rPr>
                <w:sz w:val="20"/>
                <w:szCs w:val="20"/>
                <w:lang w:val="fr-FR"/>
              </w:rPr>
            </w:pPr>
            <w:r w:rsidRPr="00857EF9">
              <w:rPr>
                <w:sz w:val="20"/>
                <w:szCs w:val="20"/>
                <w:lang w:val="fr-FR"/>
              </w:rPr>
              <w:t>Le destinataire a adopté un manuel relatif aux subventions de contrepartie jugé satisfaisant par l'IDA (AF : IV.B.1.d)</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12300" w:rsidRPr="00A7289C" w:rsidRDefault="00212300" w:rsidP="00501DA0">
            <w:pPr>
              <w:jc w:val="center"/>
              <w:rPr>
                <w:sz w:val="20"/>
                <w:szCs w:val="20"/>
              </w:rPr>
            </w:pPr>
            <w:r>
              <w:rPr>
                <w:sz w:val="20"/>
                <w:szCs w:val="20"/>
              </w:rPr>
              <w:t>Non</w:t>
            </w:r>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12300" w:rsidRPr="00857EF9" w:rsidRDefault="00E4326F" w:rsidP="00FB137A">
            <w:pPr>
              <w:jc w:val="center"/>
              <w:rPr>
                <w:sz w:val="20"/>
                <w:szCs w:val="20"/>
                <w:lang w:val="fr-FR"/>
              </w:rPr>
            </w:pPr>
            <w:r w:rsidRPr="00857EF9">
              <w:rPr>
                <w:sz w:val="20"/>
                <w:szCs w:val="20"/>
                <w:lang w:val="fr-FR"/>
              </w:rPr>
              <w:t xml:space="preserve">Condition de décaissement pour la </w:t>
            </w:r>
            <w:r w:rsidR="00FB137A" w:rsidRPr="00857EF9">
              <w:rPr>
                <w:sz w:val="20"/>
                <w:szCs w:val="20"/>
                <w:lang w:val="fr-FR"/>
              </w:rPr>
              <w:t>catégorie </w:t>
            </w:r>
            <w:r w:rsidRPr="00857EF9">
              <w:rPr>
                <w:sz w:val="20"/>
                <w:szCs w:val="20"/>
                <w:lang w:val="fr-FR"/>
              </w:rPr>
              <w:t>3</w:t>
            </w:r>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12300" w:rsidRPr="00A7289C" w:rsidRDefault="00212300" w:rsidP="00501DA0">
            <w:pPr>
              <w:jc w:val="center"/>
              <w:rPr>
                <w:sz w:val="20"/>
                <w:szCs w:val="20"/>
              </w:rPr>
            </w:pPr>
            <w:proofErr w:type="spellStart"/>
            <w:r>
              <w:rPr>
                <w:sz w:val="20"/>
                <w:szCs w:val="20"/>
              </w:rPr>
              <w:t>Une</w:t>
            </w:r>
            <w:proofErr w:type="spellEnd"/>
            <w:r>
              <w:rPr>
                <w:sz w:val="20"/>
                <w:szCs w:val="20"/>
              </w:rPr>
              <w:t xml:space="preserve"> </w:t>
            </w:r>
            <w:proofErr w:type="spellStart"/>
            <w:r>
              <w:rPr>
                <w:sz w:val="20"/>
                <w:szCs w:val="20"/>
              </w:rPr>
              <w:t>fois</w:t>
            </w:r>
            <w:proofErr w:type="spellEnd"/>
          </w:p>
        </w:tc>
      </w:tr>
      <w:tr w:rsidR="00966525" w:rsidRPr="00A7289C" w:rsidTr="00F65904">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66525" w:rsidRPr="00857EF9" w:rsidRDefault="00966525" w:rsidP="00FB137A">
            <w:pPr>
              <w:rPr>
                <w:sz w:val="20"/>
                <w:szCs w:val="20"/>
                <w:highlight w:val="yellow"/>
                <w:lang w:val="fr-FR"/>
              </w:rPr>
            </w:pPr>
            <w:r w:rsidRPr="00857EF9">
              <w:rPr>
                <w:sz w:val="20"/>
                <w:szCs w:val="20"/>
                <w:lang w:val="fr-FR"/>
              </w:rPr>
              <w:t xml:space="preserve">Dépenses d'urgence mentionnées dans la </w:t>
            </w:r>
            <w:r w:rsidR="00FB137A" w:rsidRPr="00857EF9">
              <w:rPr>
                <w:sz w:val="20"/>
                <w:szCs w:val="20"/>
                <w:lang w:val="fr-FR"/>
              </w:rPr>
              <w:t>composante </w:t>
            </w:r>
            <w:r w:rsidRPr="00857EF9">
              <w:rPr>
                <w:sz w:val="20"/>
                <w:szCs w:val="20"/>
                <w:lang w:val="fr-FR"/>
              </w:rPr>
              <w:t>4 du projet, à condition que l'Association soit satisfaite et le fasse savoir au bénéficiaire, et que toutes les conditions ont été remplies pour les activités énoncées (AF : Section IV.B.1.e)</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66525" w:rsidRPr="00A7289C" w:rsidRDefault="00966525" w:rsidP="00501DA0">
            <w:pPr>
              <w:jc w:val="center"/>
              <w:rPr>
                <w:sz w:val="20"/>
                <w:szCs w:val="20"/>
              </w:rPr>
            </w:pPr>
            <w:r>
              <w:rPr>
                <w:sz w:val="20"/>
                <w:szCs w:val="20"/>
              </w:rPr>
              <w:t>Non</w:t>
            </w:r>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66525" w:rsidRPr="00857EF9" w:rsidRDefault="00966525" w:rsidP="00FB137A">
            <w:pPr>
              <w:jc w:val="center"/>
              <w:rPr>
                <w:sz w:val="20"/>
                <w:szCs w:val="20"/>
                <w:lang w:val="fr-FR"/>
              </w:rPr>
            </w:pPr>
            <w:r w:rsidRPr="00857EF9">
              <w:rPr>
                <w:sz w:val="20"/>
                <w:szCs w:val="20"/>
                <w:lang w:val="fr-FR"/>
              </w:rPr>
              <w:t xml:space="preserve">Condition de décaissement pour la </w:t>
            </w:r>
            <w:r w:rsidR="00FB137A" w:rsidRPr="00857EF9">
              <w:rPr>
                <w:sz w:val="20"/>
                <w:szCs w:val="20"/>
                <w:lang w:val="fr-FR"/>
              </w:rPr>
              <w:t>catégorie </w:t>
            </w:r>
            <w:r w:rsidRPr="00857EF9">
              <w:rPr>
                <w:sz w:val="20"/>
                <w:szCs w:val="20"/>
                <w:lang w:val="fr-FR"/>
              </w:rPr>
              <w:t>6</w:t>
            </w:r>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66525" w:rsidRPr="00A7289C" w:rsidRDefault="00966525" w:rsidP="00501DA0">
            <w:pPr>
              <w:jc w:val="center"/>
              <w:rPr>
                <w:sz w:val="20"/>
                <w:szCs w:val="20"/>
              </w:rPr>
            </w:pPr>
            <w:proofErr w:type="spellStart"/>
            <w:r>
              <w:rPr>
                <w:sz w:val="20"/>
                <w:szCs w:val="20"/>
              </w:rPr>
              <w:t>Une</w:t>
            </w:r>
            <w:proofErr w:type="spellEnd"/>
            <w:r>
              <w:rPr>
                <w:sz w:val="20"/>
                <w:szCs w:val="20"/>
              </w:rPr>
              <w:t xml:space="preserve"> </w:t>
            </w:r>
            <w:proofErr w:type="spellStart"/>
            <w:r>
              <w:rPr>
                <w:sz w:val="20"/>
                <w:szCs w:val="20"/>
              </w:rPr>
              <w:t>fois</w:t>
            </w:r>
            <w:proofErr w:type="spellEnd"/>
          </w:p>
        </w:tc>
      </w:tr>
      <w:tr w:rsidR="00AE40C8" w:rsidRPr="00A7289C" w:rsidTr="005C63E2">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E40C8" w:rsidRPr="00A7289C" w:rsidRDefault="00AE40C8" w:rsidP="00AE40C8">
            <w:pPr>
              <w:rPr>
                <w:sz w:val="20"/>
                <w:szCs w:val="20"/>
              </w:rPr>
            </w:pPr>
            <w:r>
              <w:rPr>
                <w:b/>
                <w:bCs/>
                <w:sz w:val="20"/>
                <w:szCs w:val="20"/>
              </w:rPr>
              <w:t xml:space="preserve">Dispositions </w:t>
            </w:r>
            <w:proofErr w:type="spellStart"/>
            <w:r>
              <w:rPr>
                <w:b/>
                <w:bCs/>
                <w:sz w:val="20"/>
                <w:szCs w:val="20"/>
              </w:rPr>
              <w:t>juridiques</w:t>
            </w:r>
            <w:proofErr w:type="spellEnd"/>
          </w:p>
        </w:tc>
      </w:tr>
      <w:tr w:rsidR="00AE40C8" w:rsidRPr="00A7289C" w:rsidTr="005C63E2">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E40C8" w:rsidRPr="00A7289C" w:rsidRDefault="00AE40C8" w:rsidP="005C63E2">
            <w:pPr>
              <w:rPr>
                <w:sz w:val="20"/>
                <w:szCs w:val="20"/>
              </w:rPr>
            </w:pPr>
            <w:r>
              <w:rPr>
                <w:b/>
                <w:bCs/>
                <w:sz w:val="20"/>
                <w:szCs w:val="20"/>
              </w:rPr>
              <w:t>Nom</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E40C8" w:rsidRPr="00A7289C" w:rsidRDefault="00AE40C8" w:rsidP="005C63E2">
            <w:pPr>
              <w:rPr>
                <w:sz w:val="20"/>
                <w:szCs w:val="20"/>
              </w:rPr>
            </w:pPr>
            <w:proofErr w:type="spellStart"/>
            <w:r>
              <w:rPr>
                <w:b/>
                <w:bCs/>
                <w:sz w:val="20"/>
                <w:szCs w:val="20"/>
              </w:rPr>
              <w:t>Récurrent</w:t>
            </w:r>
            <w:proofErr w:type="spellEnd"/>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E40C8" w:rsidRPr="00A7289C" w:rsidRDefault="00AE40C8" w:rsidP="005C63E2">
            <w:pPr>
              <w:rPr>
                <w:sz w:val="20"/>
                <w:szCs w:val="20"/>
              </w:rPr>
            </w:pPr>
            <w:proofErr w:type="spellStart"/>
            <w:r>
              <w:rPr>
                <w:b/>
                <w:bCs/>
                <w:sz w:val="20"/>
                <w:szCs w:val="20"/>
              </w:rPr>
              <w:t>Échéance</w:t>
            </w:r>
            <w:proofErr w:type="spellEnd"/>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E40C8" w:rsidRPr="00A7289C" w:rsidRDefault="00AE40C8" w:rsidP="005C63E2">
            <w:pPr>
              <w:rPr>
                <w:sz w:val="20"/>
                <w:szCs w:val="20"/>
              </w:rPr>
            </w:pPr>
            <w:proofErr w:type="spellStart"/>
            <w:r>
              <w:rPr>
                <w:b/>
                <w:bCs/>
                <w:sz w:val="20"/>
                <w:szCs w:val="20"/>
              </w:rPr>
              <w:t>Fréquence</w:t>
            </w:r>
            <w:proofErr w:type="spellEnd"/>
          </w:p>
        </w:tc>
      </w:tr>
      <w:tr w:rsidR="00B30179" w:rsidRPr="00A7289C" w:rsidTr="00BC2CB6">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857EF9" w:rsidRDefault="00B30179" w:rsidP="00FB137A">
            <w:pPr>
              <w:rPr>
                <w:sz w:val="20"/>
                <w:szCs w:val="20"/>
                <w:lang w:val="fr-FR"/>
              </w:rPr>
            </w:pPr>
            <w:r w:rsidRPr="00857EF9">
              <w:rPr>
                <w:sz w:val="20"/>
                <w:szCs w:val="20"/>
                <w:lang w:val="fr-FR"/>
              </w:rPr>
              <w:t xml:space="preserve">Mise en place d'accords contractuels avec le MEF / MCI jugés satisfaisants par l'IDA (AF : Section IA 2 du </w:t>
            </w:r>
            <w:r w:rsidR="00FB137A" w:rsidRPr="00857EF9">
              <w:rPr>
                <w:sz w:val="20"/>
                <w:szCs w:val="20"/>
                <w:lang w:val="fr-FR"/>
              </w:rPr>
              <w:t>Calendrier </w:t>
            </w:r>
            <w:r w:rsidRPr="00857EF9">
              <w:rPr>
                <w:sz w:val="20"/>
                <w:szCs w:val="20"/>
                <w:lang w:val="fr-FR"/>
              </w:rPr>
              <w:t>2)</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A7289C" w:rsidRDefault="00B30179" w:rsidP="00BC2CB6">
            <w:pPr>
              <w:jc w:val="center"/>
              <w:rPr>
                <w:sz w:val="20"/>
                <w:szCs w:val="20"/>
              </w:rPr>
            </w:pPr>
            <w:r>
              <w:rPr>
                <w:sz w:val="20"/>
                <w:szCs w:val="20"/>
              </w:rPr>
              <w:t>Non</w:t>
            </w:r>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A7289C" w:rsidRDefault="00B30179" w:rsidP="00BC2CB6">
            <w:pPr>
              <w:jc w:val="center"/>
              <w:rPr>
                <w:sz w:val="20"/>
                <w:szCs w:val="20"/>
              </w:rPr>
            </w:pPr>
            <w:r>
              <w:rPr>
                <w:sz w:val="20"/>
                <w:szCs w:val="20"/>
              </w:rPr>
              <w:t xml:space="preserve">30 </w:t>
            </w:r>
            <w:proofErr w:type="spellStart"/>
            <w:r>
              <w:rPr>
                <w:sz w:val="20"/>
                <w:szCs w:val="20"/>
              </w:rPr>
              <w:t>juin</w:t>
            </w:r>
            <w:proofErr w:type="spellEnd"/>
            <w:r>
              <w:rPr>
                <w:sz w:val="20"/>
                <w:szCs w:val="20"/>
              </w:rPr>
              <w:t xml:space="preserve"> 2013</w:t>
            </w:r>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A7289C" w:rsidRDefault="00B30179" w:rsidP="00BC2CB6">
            <w:pPr>
              <w:jc w:val="center"/>
              <w:rPr>
                <w:sz w:val="20"/>
                <w:szCs w:val="20"/>
              </w:rPr>
            </w:pPr>
            <w:proofErr w:type="spellStart"/>
            <w:r>
              <w:rPr>
                <w:sz w:val="20"/>
                <w:szCs w:val="20"/>
              </w:rPr>
              <w:t>Une</w:t>
            </w:r>
            <w:proofErr w:type="spellEnd"/>
            <w:r>
              <w:rPr>
                <w:sz w:val="20"/>
                <w:szCs w:val="20"/>
              </w:rPr>
              <w:t xml:space="preserve"> </w:t>
            </w:r>
            <w:proofErr w:type="spellStart"/>
            <w:r>
              <w:rPr>
                <w:sz w:val="20"/>
                <w:szCs w:val="20"/>
              </w:rPr>
              <w:t>fois</w:t>
            </w:r>
            <w:proofErr w:type="spellEnd"/>
          </w:p>
        </w:tc>
      </w:tr>
      <w:tr w:rsidR="00B30179" w:rsidRPr="00A7289C" w:rsidTr="00BC2CB6">
        <w:trPr>
          <w:gridAfter w:val="1"/>
          <w:wAfter w:w="18" w:type="dxa"/>
        </w:trPr>
        <w:tc>
          <w:tcPr>
            <w:tcW w:w="468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857EF9" w:rsidRDefault="00B30179" w:rsidP="00FB137A">
            <w:pPr>
              <w:rPr>
                <w:sz w:val="20"/>
                <w:szCs w:val="20"/>
                <w:lang w:val="fr-FR"/>
              </w:rPr>
            </w:pPr>
            <w:r w:rsidRPr="00857EF9">
              <w:rPr>
                <w:sz w:val="20"/>
                <w:szCs w:val="20"/>
                <w:lang w:val="fr-FR"/>
              </w:rPr>
              <w:t xml:space="preserve">Le bénéficiaire a soumis des données probantes jugées </w:t>
            </w:r>
            <w:r w:rsidR="00E01433" w:rsidRPr="00857EF9">
              <w:rPr>
                <w:sz w:val="20"/>
                <w:szCs w:val="20"/>
                <w:lang w:val="fr-FR"/>
              </w:rPr>
              <w:t>acceptables</w:t>
            </w:r>
            <w:r w:rsidRPr="00857EF9">
              <w:rPr>
                <w:sz w:val="20"/>
                <w:szCs w:val="20"/>
                <w:lang w:val="fr-FR"/>
              </w:rPr>
              <w:t xml:space="preserve"> par l'IDA, pour démontrer que le MCI dispose des capacités requises pour gérer les aspects fiduciaires des </w:t>
            </w:r>
            <w:r w:rsidR="00FB137A" w:rsidRPr="00857EF9">
              <w:rPr>
                <w:sz w:val="20"/>
                <w:szCs w:val="20"/>
                <w:lang w:val="fr-FR"/>
              </w:rPr>
              <w:t>composantes </w:t>
            </w:r>
            <w:r w:rsidRPr="00857EF9">
              <w:rPr>
                <w:sz w:val="20"/>
                <w:szCs w:val="20"/>
                <w:lang w:val="fr-FR"/>
              </w:rPr>
              <w:t>1 à 3 du projet (AF : Section IA 3 du Calendrier 2)</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A7289C" w:rsidRDefault="00B30179" w:rsidP="00BC2CB6">
            <w:pPr>
              <w:jc w:val="center"/>
              <w:rPr>
                <w:sz w:val="20"/>
                <w:szCs w:val="20"/>
              </w:rPr>
            </w:pPr>
            <w:r>
              <w:rPr>
                <w:sz w:val="20"/>
                <w:szCs w:val="20"/>
              </w:rPr>
              <w:t>Non</w:t>
            </w:r>
          </w:p>
        </w:tc>
        <w:tc>
          <w:tcPr>
            <w:tcW w:w="297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857EF9" w:rsidRDefault="00B30179" w:rsidP="00BC2CB6">
            <w:pPr>
              <w:jc w:val="center"/>
              <w:rPr>
                <w:sz w:val="20"/>
                <w:szCs w:val="20"/>
                <w:lang w:val="fr-FR"/>
              </w:rPr>
            </w:pPr>
            <w:r w:rsidRPr="00857EF9">
              <w:rPr>
                <w:sz w:val="20"/>
                <w:szCs w:val="20"/>
                <w:lang w:val="fr-FR"/>
              </w:rPr>
              <w:t>Au plus tard 16 mois après l'entrée en vigueur</w:t>
            </w:r>
          </w:p>
        </w:tc>
        <w:tc>
          <w:tcPr>
            <w:tcW w:w="160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179" w:rsidRPr="00A7289C" w:rsidRDefault="00B30179" w:rsidP="00BC2CB6">
            <w:pPr>
              <w:jc w:val="center"/>
              <w:rPr>
                <w:sz w:val="20"/>
                <w:szCs w:val="20"/>
              </w:rPr>
            </w:pPr>
            <w:proofErr w:type="spellStart"/>
            <w:r>
              <w:rPr>
                <w:sz w:val="20"/>
                <w:szCs w:val="20"/>
              </w:rPr>
              <w:t>Une</w:t>
            </w:r>
            <w:proofErr w:type="spellEnd"/>
            <w:r>
              <w:rPr>
                <w:sz w:val="20"/>
                <w:szCs w:val="20"/>
              </w:rPr>
              <w:t xml:space="preserve"> </w:t>
            </w:r>
            <w:proofErr w:type="spellStart"/>
            <w:r>
              <w:rPr>
                <w:sz w:val="20"/>
                <w:szCs w:val="20"/>
              </w:rPr>
              <w:t>fois</w:t>
            </w:r>
            <w:proofErr w:type="spellEnd"/>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1C8D" w:rsidRPr="00A7289C" w:rsidRDefault="00B71C8D" w:rsidP="00B71C8D">
            <w:pPr>
              <w:rPr>
                <w:rFonts w:ascii="Times" w:hAnsi="Times" w:cs="Times"/>
                <w:sz w:val="2"/>
                <w:szCs w:val="2"/>
              </w:rPr>
            </w:pPr>
            <w:r>
              <w:rPr>
                <w:rFonts w:ascii="Times" w:hAnsi="Times" w:cs="Times"/>
                <w:sz w:val="2"/>
                <w:szCs w:val="2"/>
              </w:rPr>
              <w:t>.</w:t>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71C8D" w:rsidRPr="00A7289C" w:rsidRDefault="00B71C8D" w:rsidP="00B71C8D">
            <w:pPr>
              <w:jc w:val="center"/>
              <w:rPr>
                <w:sz w:val="20"/>
                <w:szCs w:val="20"/>
              </w:rPr>
            </w:pPr>
            <w:r>
              <w:rPr>
                <w:b/>
                <w:bCs/>
                <w:sz w:val="20"/>
                <w:szCs w:val="20"/>
              </w:rPr>
              <w:t xml:space="preserve">Composition de </w:t>
            </w:r>
            <w:proofErr w:type="spellStart"/>
            <w:r>
              <w:rPr>
                <w:b/>
                <w:bCs/>
                <w:sz w:val="20"/>
                <w:szCs w:val="20"/>
              </w:rPr>
              <w:t>l’équipe</w:t>
            </w:r>
            <w:proofErr w:type="spellEnd"/>
            <w:r w:rsidR="00A106B7" w:rsidRPr="00A7289C">
              <w:rPr>
                <w:rStyle w:val="FootnoteReference"/>
                <w:b/>
                <w:bCs/>
                <w:sz w:val="20"/>
                <w:szCs w:val="20"/>
              </w:rPr>
              <w:footnoteReference w:id="3"/>
            </w:r>
          </w:p>
        </w:tc>
      </w:tr>
      <w:tr w:rsidR="00B71C8D"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color w:val="314F4F"/>
                <w:sz w:val="20"/>
                <w:szCs w:val="20"/>
              </w:rPr>
            </w:pPr>
            <w:r>
              <w:rPr>
                <w:b/>
                <w:bCs/>
                <w:color w:val="314F4F"/>
                <w:sz w:val="20"/>
                <w:szCs w:val="20"/>
              </w:rPr>
              <w:t xml:space="preserve">Personnel de la </w:t>
            </w:r>
            <w:proofErr w:type="spellStart"/>
            <w:r>
              <w:rPr>
                <w:b/>
                <w:bCs/>
                <w:color w:val="314F4F"/>
                <w:sz w:val="20"/>
                <w:szCs w:val="20"/>
              </w:rPr>
              <w:t>Banque</w:t>
            </w:r>
            <w:proofErr w:type="spellEnd"/>
          </w:p>
        </w:tc>
      </w:tr>
      <w:tr w:rsidR="00B71C8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b/>
                <w:bCs/>
                <w:sz w:val="20"/>
                <w:szCs w:val="20"/>
              </w:rPr>
              <w:t>Nom</w:t>
            </w: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b/>
                <w:bCs/>
                <w:sz w:val="20"/>
                <w:szCs w:val="20"/>
              </w:rPr>
              <w:t>Fonction</w:t>
            </w:r>
            <w:proofErr w:type="spellEnd"/>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b/>
                <w:bCs/>
                <w:sz w:val="20"/>
                <w:szCs w:val="20"/>
              </w:rPr>
              <w:t>Spécialisation</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b/>
                <w:bCs/>
                <w:sz w:val="20"/>
                <w:szCs w:val="20"/>
              </w:rPr>
              <w:t>Unité</w:t>
            </w:r>
            <w:proofErr w:type="spellEnd"/>
          </w:p>
        </w:tc>
      </w:tr>
      <w:tr w:rsidR="00B71C8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Juan </w:t>
            </w:r>
            <w:proofErr w:type="spellStart"/>
            <w:r>
              <w:rPr>
                <w:sz w:val="20"/>
                <w:szCs w:val="20"/>
              </w:rPr>
              <w:t>Buchenau</w:t>
            </w:r>
            <w:proofErr w:type="spellEnd"/>
            <w:r>
              <w:rPr>
                <w:sz w:val="20"/>
                <w:szCs w:val="20"/>
              </w:rPr>
              <w:t xml:space="preserve"> </w:t>
            </w:r>
            <w:proofErr w:type="spellStart"/>
            <w:r>
              <w:rPr>
                <w:sz w:val="20"/>
                <w:szCs w:val="20"/>
              </w:rPr>
              <w:t>Hoth</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B7CE2">
            <w:pPr>
              <w:rPr>
                <w:sz w:val="20"/>
                <w:szCs w:val="20"/>
                <w:lang w:val="fr-FR"/>
              </w:rPr>
            </w:pPr>
            <w:r w:rsidRPr="00857EF9">
              <w:rPr>
                <w:sz w:val="20"/>
                <w:szCs w:val="20"/>
                <w:lang w:val="fr-FR"/>
              </w:rPr>
              <w:t>Spécialiste senior du secteur financier</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Chef </w:t>
            </w:r>
            <w:proofErr w:type="spellStart"/>
            <w:r>
              <w:rPr>
                <w:sz w:val="20"/>
                <w:szCs w:val="20"/>
              </w:rPr>
              <w:t>d’équipe</w:t>
            </w:r>
            <w:proofErr w:type="spellEnd"/>
            <w:r>
              <w:rPr>
                <w:sz w:val="20"/>
                <w:szCs w:val="20"/>
              </w:rPr>
              <w:t xml:space="preserve"> du </w:t>
            </w:r>
            <w:proofErr w:type="spellStart"/>
            <w:r>
              <w:rPr>
                <w:sz w:val="20"/>
                <w:szCs w:val="20"/>
              </w:rPr>
              <w:t>projet</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LCSPF</w:t>
            </w:r>
          </w:p>
        </w:tc>
      </w:tr>
      <w:tr w:rsidR="00B71C8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Armando </w:t>
            </w:r>
            <w:proofErr w:type="spellStart"/>
            <w:r>
              <w:rPr>
                <w:sz w:val="20"/>
                <w:szCs w:val="20"/>
              </w:rPr>
              <w:t>Heilbron</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 xml:space="preserve">Responsable en chef de la </w:t>
            </w:r>
            <w:r w:rsidRPr="00857EF9">
              <w:rPr>
                <w:sz w:val="20"/>
                <w:szCs w:val="20"/>
                <w:lang w:val="fr-FR"/>
              </w:rPr>
              <w:lastRenderedPageBreak/>
              <w:t>promotion des investissements</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lastRenderedPageBreak/>
              <w:t>Climat</w:t>
            </w:r>
            <w:proofErr w:type="spellEnd"/>
            <w:r>
              <w:rPr>
                <w:sz w:val="20"/>
                <w:szCs w:val="20"/>
              </w:rPr>
              <w:t xml:space="preserve"> </w:t>
            </w:r>
            <w:proofErr w:type="spellStart"/>
            <w:r>
              <w:rPr>
                <w:sz w:val="20"/>
                <w:szCs w:val="20"/>
              </w:rPr>
              <w:t>d'investissement</w:t>
            </w:r>
            <w:proofErr w:type="spellEnd"/>
            <w:r>
              <w:rPr>
                <w:sz w:val="20"/>
                <w:szCs w:val="20"/>
              </w:rPr>
              <w:t xml:space="preserve"> du </w:t>
            </w:r>
            <w:proofErr w:type="spellStart"/>
            <w:r>
              <w:rPr>
                <w:sz w:val="20"/>
                <w:szCs w:val="20"/>
              </w:rPr>
              <w:lastRenderedPageBreak/>
              <w:t>secteur</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lastRenderedPageBreak/>
              <w:t>CICIN</w:t>
            </w:r>
          </w:p>
        </w:tc>
      </w:tr>
      <w:tr w:rsidR="00F01DE8"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A7289C" w:rsidRDefault="00F01DE8" w:rsidP="00971D02">
            <w:pPr>
              <w:rPr>
                <w:sz w:val="20"/>
                <w:szCs w:val="20"/>
              </w:rPr>
            </w:pPr>
            <w:r>
              <w:rPr>
                <w:sz w:val="20"/>
                <w:szCs w:val="20"/>
              </w:rPr>
              <w:lastRenderedPageBreak/>
              <w:t xml:space="preserve">Daniel </w:t>
            </w:r>
            <w:proofErr w:type="spellStart"/>
            <w:r>
              <w:rPr>
                <w:sz w:val="20"/>
                <w:szCs w:val="20"/>
              </w:rPr>
              <w:t>Coutinho</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A7289C" w:rsidRDefault="00675E9B" w:rsidP="00971D02">
            <w:pPr>
              <w:rPr>
                <w:sz w:val="20"/>
                <w:szCs w:val="20"/>
              </w:rPr>
            </w:pPr>
            <w:proofErr w:type="spellStart"/>
            <w:r>
              <w:rPr>
                <w:sz w:val="20"/>
                <w:szCs w:val="20"/>
              </w:rPr>
              <w:t>Responsable</w:t>
            </w:r>
            <w:proofErr w:type="spellEnd"/>
            <w:r>
              <w:rPr>
                <w:sz w:val="20"/>
                <w:szCs w:val="20"/>
              </w:rPr>
              <w:t xml:space="preserve"> des </w:t>
            </w:r>
            <w:proofErr w:type="spellStart"/>
            <w:r>
              <w:rPr>
                <w:sz w:val="20"/>
                <w:szCs w:val="20"/>
              </w:rPr>
              <w:t>opérations</w:t>
            </w:r>
            <w:proofErr w:type="spellEnd"/>
            <w:r>
              <w:rPr>
                <w:sz w:val="20"/>
                <w:szCs w:val="20"/>
              </w:rPr>
              <w:t xml:space="preserve"> </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A7289C" w:rsidRDefault="00675E9B" w:rsidP="001630CB">
            <w:pPr>
              <w:rPr>
                <w:sz w:val="20"/>
                <w:szCs w:val="20"/>
              </w:rPr>
            </w:pPr>
            <w:proofErr w:type="spellStart"/>
            <w:r>
              <w:rPr>
                <w:sz w:val="20"/>
                <w:szCs w:val="20"/>
              </w:rPr>
              <w:t>Climat</w:t>
            </w:r>
            <w:proofErr w:type="spellEnd"/>
            <w:r>
              <w:rPr>
                <w:sz w:val="20"/>
                <w:szCs w:val="20"/>
              </w:rPr>
              <w:t xml:space="preserve"> </w:t>
            </w:r>
            <w:proofErr w:type="spellStart"/>
            <w:r>
              <w:rPr>
                <w:sz w:val="20"/>
                <w:szCs w:val="20"/>
              </w:rPr>
              <w:t>d’investissement</w:t>
            </w:r>
            <w:proofErr w:type="spellEnd"/>
            <w:r>
              <w:rPr>
                <w:sz w:val="20"/>
                <w:szCs w:val="20"/>
              </w:rPr>
              <w:t xml:space="preserve"> </w:t>
            </w:r>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A7289C" w:rsidRDefault="001630CB" w:rsidP="00971D02">
            <w:pPr>
              <w:rPr>
                <w:sz w:val="20"/>
                <w:szCs w:val="20"/>
              </w:rPr>
            </w:pPr>
            <w:r>
              <w:rPr>
                <w:sz w:val="20"/>
                <w:szCs w:val="20"/>
              </w:rPr>
              <w:t>CICIN</w:t>
            </w:r>
          </w:p>
        </w:tc>
      </w:tr>
      <w:tr w:rsidR="00F01DE8"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A7289C" w:rsidRDefault="00F01DE8" w:rsidP="00971D02">
            <w:pPr>
              <w:rPr>
                <w:sz w:val="20"/>
                <w:szCs w:val="20"/>
              </w:rPr>
            </w:pPr>
            <w:proofErr w:type="spellStart"/>
            <w:r>
              <w:rPr>
                <w:sz w:val="20"/>
                <w:szCs w:val="20"/>
              </w:rPr>
              <w:t>Gokhan</w:t>
            </w:r>
            <w:proofErr w:type="spellEnd"/>
            <w:r>
              <w:rPr>
                <w:sz w:val="20"/>
                <w:szCs w:val="20"/>
              </w:rPr>
              <w:t xml:space="preserve"> </w:t>
            </w:r>
            <w:proofErr w:type="spellStart"/>
            <w:r>
              <w:rPr>
                <w:sz w:val="20"/>
                <w:szCs w:val="20"/>
              </w:rPr>
              <w:t>Akinci</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857EF9" w:rsidRDefault="00675E9B" w:rsidP="00971D02">
            <w:pPr>
              <w:rPr>
                <w:sz w:val="20"/>
                <w:szCs w:val="20"/>
                <w:lang w:val="fr-FR"/>
              </w:rPr>
            </w:pPr>
            <w:r w:rsidRPr="00857EF9">
              <w:rPr>
                <w:sz w:val="20"/>
                <w:szCs w:val="20"/>
                <w:lang w:val="fr-FR"/>
              </w:rPr>
              <w:t>Responsable principal de la politique d'investissement, ZES</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A7289C" w:rsidRDefault="00FC114C" w:rsidP="00971D02">
            <w:pPr>
              <w:rPr>
                <w:sz w:val="20"/>
                <w:szCs w:val="20"/>
              </w:rPr>
            </w:pPr>
            <w:r w:rsidRPr="00857EF9">
              <w:rPr>
                <w:sz w:val="20"/>
                <w:szCs w:val="20"/>
                <w:lang w:val="fr-FR"/>
              </w:rPr>
              <w:t xml:space="preserve"> </w:t>
            </w:r>
            <w:r>
              <w:rPr>
                <w:sz w:val="20"/>
                <w:szCs w:val="20"/>
              </w:rPr>
              <w:t xml:space="preserve">Zones </w:t>
            </w:r>
            <w:proofErr w:type="spellStart"/>
            <w:r>
              <w:rPr>
                <w:sz w:val="20"/>
                <w:szCs w:val="20"/>
              </w:rPr>
              <w:t>économiques</w:t>
            </w:r>
            <w:proofErr w:type="spellEnd"/>
            <w:r>
              <w:rPr>
                <w:sz w:val="20"/>
                <w:szCs w:val="20"/>
              </w:rPr>
              <w:t xml:space="preserve"> </w:t>
            </w:r>
            <w:proofErr w:type="spellStart"/>
            <w:r>
              <w:rPr>
                <w:sz w:val="20"/>
                <w:szCs w:val="20"/>
              </w:rPr>
              <w:t>spéciales</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01DE8" w:rsidRPr="00A7289C" w:rsidRDefault="003A11AE" w:rsidP="00971D02">
            <w:pPr>
              <w:rPr>
                <w:sz w:val="20"/>
                <w:szCs w:val="20"/>
              </w:rPr>
            </w:pPr>
            <w:r>
              <w:rPr>
                <w:sz w:val="20"/>
                <w:szCs w:val="20"/>
              </w:rPr>
              <w:t>FCDKP</w:t>
            </w:r>
          </w:p>
        </w:tc>
      </w:tr>
      <w:tr w:rsidR="00890BB6" w:rsidRPr="00A7289C" w:rsidTr="00FE25AC">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A7289C" w:rsidRDefault="00890BB6" w:rsidP="00FE25AC">
            <w:pPr>
              <w:rPr>
                <w:sz w:val="20"/>
                <w:szCs w:val="20"/>
              </w:rPr>
            </w:pPr>
            <w:r>
              <w:rPr>
                <w:sz w:val="20"/>
                <w:szCs w:val="20"/>
              </w:rPr>
              <w:t xml:space="preserve">Thomas </w:t>
            </w:r>
            <w:proofErr w:type="spellStart"/>
            <w:r>
              <w:rPr>
                <w:sz w:val="20"/>
                <w:szCs w:val="20"/>
              </w:rPr>
              <w:t>Moullier</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857EF9" w:rsidRDefault="00890BB6" w:rsidP="00FE25AC">
            <w:pPr>
              <w:rPr>
                <w:sz w:val="20"/>
                <w:szCs w:val="20"/>
                <w:lang w:val="fr-FR"/>
              </w:rPr>
            </w:pPr>
            <w:r w:rsidRPr="00857EF9">
              <w:rPr>
                <w:sz w:val="20"/>
                <w:szCs w:val="20"/>
                <w:lang w:val="fr-FR"/>
              </w:rPr>
              <w:t>Spécialiste senior du développement du secteur privé</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857EF9" w:rsidRDefault="00890BB6" w:rsidP="00FE25AC">
            <w:pPr>
              <w:rPr>
                <w:sz w:val="20"/>
                <w:szCs w:val="20"/>
                <w:lang w:val="fr-FR"/>
              </w:rPr>
            </w:pPr>
            <w:r w:rsidRPr="00857EF9">
              <w:rPr>
                <w:sz w:val="20"/>
                <w:szCs w:val="20"/>
                <w:lang w:val="fr-FR"/>
              </w:rPr>
              <w:t>Climat d'investissement – Réglementation des entreprises</w:t>
            </w:r>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A7289C" w:rsidRDefault="00890BB6" w:rsidP="00FE25AC">
            <w:pPr>
              <w:rPr>
                <w:sz w:val="20"/>
                <w:szCs w:val="20"/>
              </w:rPr>
            </w:pPr>
            <w:r>
              <w:rPr>
                <w:sz w:val="20"/>
                <w:szCs w:val="20"/>
              </w:rPr>
              <w:t>CICBR</w:t>
            </w:r>
          </w:p>
        </w:tc>
      </w:tr>
      <w:tr w:rsidR="000E330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330D" w:rsidRPr="00A7289C" w:rsidRDefault="000E330D" w:rsidP="00971D02">
            <w:pPr>
              <w:rPr>
                <w:sz w:val="20"/>
                <w:szCs w:val="20"/>
              </w:rPr>
            </w:pPr>
            <w:r>
              <w:rPr>
                <w:sz w:val="20"/>
                <w:szCs w:val="20"/>
              </w:rPr>
              <w:t xml:space="preserve">Penelope </w:t>
            </w:r>
            <w:proofErr w:type="spellStart"/>
            <w:r>
              <w:rPr>
                <w:sz w:val="20"/>
                <w:szCs w:val="20"/>
              </w:rPr>
              <w:t>Demetra</w:t>
            </w:r>
            <w:proofErr w:type="spellEnd"/>
            <w:r>
              <w:rPr>
                <w:sz w:val="20"/>
                <w:szCs w:val="20"/>
              </w:rPr>
              <w:t xml:space="preserve"> </w:t>
            </w:r>
            <w:proofErr w:type="spellStart"/>
            <w:r>
              <w:rPr>
                <w:sz w:val="20"/>
                <w:szCs w:val="20"/>
              </w:rPr>
              <w:t>Fidas</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330D" w:rsidRPr="00857EF9" w:rsidRDefault="000E330D" w:rsidP="00971D02">
            <w:pPr>
              <w:rPr>
                <w:sz w:val="20"/>
                <w:szCs w:val="20"/>
                <w:lang w:val="fr-FR"/>
              </w:rPr>
            </w:pPr>
            <w:r w:rsidRPr="00857EF9">
              <w:rPr>
                <w:sz w:val="20"/>
                <w:szCs w:val="20"/>
                <w:lang w:val="fr-FR"/>
              </w:rPr>
              <w:t>Spécialiste du développement du secteur privé</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330D" w:rsidRPr="00A7289C" w:rsidRDefault="000E330D" w:rsidP="00971D02">
            <w:pPr>
              <w:rPr>
                <w:sz w:val="20"/>
                <w:szCs w:val="20"/>
              </w:rPr>
            </w:pPr>
            <w:proofErr w:type="spellStart"/>
            <w:r>
              <w:rPr>
                <w:sz w:val="20"/>
                <w:szCs w:val="20"/>
              </w:rPr>
              <w:t>Climat</w:t>
            </w:r>
            <w:proofErr w:type="spellEnd"/>
            <w:r>
              <w:rPr>
                <w:sz w:val="20"/>
                <w:szCs w:val="20"/>
              </w:rPr>
              <w:t xml:space="preserve"> </w:t>
            </w:r>
            <w:proofErr w:type="spellStart"/>
            <w:r>
              <w:rPr>
                <w:sz w:val="20"/>
                <w:szCs w:val="20"/>
              </w:rPr>
              <w:t>d’investissement</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330D" w:rsidRPr="00A7289C" w:rsidRDefault="000E330D" w:rsidP="00971D02">
            <w:pPr>
              <w:rPr>
                <w:sz w:val="20"/>
                <w:szCs w:val="20"/>
              </w:rPr>
            </w:pPr>
            <w:r>
              <w:rPr>
                <w:sz w:val="20"/>
                <w:szCs w:val="20"/>
              </w:rPr>
              <w:t>CICBR</w:t>
            </w:r>
          </w:p>
        </w:tc>
      </w:tr>
      <w:tr w:rsidR="00B71C8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Maria Deborah Kim</w:t>
            </w: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0E330D" w:rsidP="00B71C8D">
            <w:pPr>
              <w:rPr>
                <w:sz w:val="20"/>
                <w:szCs w:val="20"/>
              </w:rPr>
            </w:pPr>
            <w:proofErr w:type="spellStart"/>
            <w:r>
              <w:rPr>
                <w:sz w:val="20"/>
                <w:szCs w:val="20"/>
              </w:rPr>
              <w:t>Responsable</w:t>
            </w:r>
            <w:proofErr w:type="spellEnd"/>
            <w:r>
              <w:rPr>
                <w:sz w:val="20"/>
                <w:szCs w:val="20"/>
              </w:rPr>
              <w:t xml:space="preserve"> des </w:t>
            </w:r>
            <w:proofErr w:type="spellStart"/>
            <w:r>
              <w:rPr>
                <w:sz w:val="20"/>
                <w:szCs w:val="20"/>
              </w:rPr>
              <w:t>opérations</w:t>
            </w:r>
            <w:proofErr w:type="spellEnd"/>
            <w:r>
              <w:rPr>
                <w:sz w:val="20"/>
                <w:szCs w:val="20"/>
              </w:rPr>
              <w:t xml:space="preserve"> </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Développement</w:t>
            </w:r>
            <w:proofErr w:type="spellEnd"/>
            <w:r>
              <w:rPr>
                <w:sz w:val="20"/>
                <w:szCs w:val="20"/>
              </w:rPr>
              <w:t xml:space="preserve"> </w:t>
            </w:r>
            <w:proofErr w:type="spellStart"/>
            <w:r>
              <w:rPr>
                <w:sz w:val="20"/>
                <w:szCs w:val="20"/>
              </w:rPr>
              <w:t>économique</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0E330D" w:rsidP="000E330D">
            <w:pPr>
              <w:rPr>
                <w:sz w:val="20"/>
                <w:szCs w:val="20"/>
              </w:rPr>
            </w:pPr>
            <w:r>
              <w:rPr>
                <w:sz w:val="20"/>
                <w:szCs w:val="20"/>
              </w:rPr>
              <w:t>LCRRF</w:t>
            </w:r>
          </w:p>
        </w:tc>
      </w:tr>
      <w:tr w:rsidR="00B71C8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Nyaneba</w:t>
            </w:r>
            <w:proofErr w:type="spellEnd"/>
            <w:r>
              <w:rPr>
                <w:sz w:val="20"/>
                <w:szCs w:val="20"/>
              </w:rPr>
              <w:t xml:space="preserve"> E. Nkrumah</w:t>
            </w: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Spécialiste senior en gestion des ressources naturelles</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Sauvegarde</w:t>
            </w:r>
            <w:proofErr w:type="spellEnd"/>
            <w:r>
              <w:rPr>
                <w:sz w:val="20"/>
                <w:szCs w:val="20"/>
              </w:rPr>
              <w:t xml:space="preserve"> de </w:t>
            </w:r>
            <w:proofErr w:type="spellStart"/>
            <w:r>
              <w:rPr>
                <w:sz w:val="20"/>
                <w:szCs w:val="20"/>
              </w:rPr>
              <w:t>l'environnement</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LCSDE</w:t>
            </w:r>
          </w:p>
        </w:tc>
      </w:tr>
      <w:tr w:rsidR="00B71C8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387FDF" w:rsidP="00387FDF">
            <w:pPr>
              <w:rPr>
                <w:sz w:val="20"/>
                <w:szCs w:val="20"/>
              </w:rPr>
            </w:pPr>
            <w:r>
              <w:rPr>
                <w:sz w:val="20"/>
                <w:szCs w:val="20"/>
              </w:rPr>
              <w:t xml:space="preserve">Peter </w:t>
            </w:r>
            <w:proofErr w:type="spellStart"/>
            <w:r>
              <w:rPr>
                <w:sz w:val="20"/>
                <w:szCs w:val="20"/>
              </w:rPr>
              <w:t>Lafere</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Spécialiste</w:t>
            </w:r>
            <w:proofErr w:type="spellEnd"/>
            <w:r>
              <w:rPr>
                <w:sz w:val="20"/>
                <w:szCs w:val="20"/>
              </w:rPr>
              <w:t xml:space="preserve"> en </w:t>
            </w:r>
            <w:proofErr w:type="spellStart"/>
            <w:r>
              <w:rPr>
                <w:sz w:val="20"/>
                <w:szCs w:val="20"/>
              </w:rPr>
              <w:t>développement</w:t>
            </w:r>
            <w:proofErr w:type="spellEnd"/>
            <w:r>
              <w:rPr>
                <w:sz w:val="20"/>
                <w:szCs w:val="20"/>
              </w:rPr>
              <w:t xml:space="preserve"> social</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 xml:space="preserve">Protection </w:t>
            </w:r>
            <w:proofErr w:type="spellStart"/>
            <w:r>
              <w:rPr>
                <w:sz w:val="20"/>
                <w:szCs w:val="20"/>
              </w:rPr>
              <w:t>sociale</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LCSCO</w:t>
            </w:r>
          </w:p>
        </w:tc>
      </w:tr>
      <w:tr w:rsidR="00C16273"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6273" w:rsidRPr="00A7289C" w:rsidRDefault="00C16273" w:rsidP="00ED7415">
            <w:pPr>
              <w:spacing w:before="100" w:beforeAutospacing="1" w:after="100" w:afterAutospacing="1"/>
              <w:rPr>
                <w:sz w:val="20"/>
                <w:szCs w:val="20"/>
              </w:rPr>
            </w:pPr>
            <w:proofErr w:type="spellStart"/>
            <w:r>
              <w:rPr>
                <w:sz w:val="20"/>
                <w:szCs w:val="20"/>
              </w:rPr>
              <w:t>Ghada</w:t>
            </w:r>
            <w:proofErr w:type="spellEnd"/>
            <w:r>
              <w:rPr>
                <w:sz w:val="20"/>
                <w:szCs w:val="20"/>
              </w:rPr>
              <w:t xml:space="preserve"> </w:t>
            </w:r>
            <w:proofErr w:type="spellStart"/>
            <w:r>
              <w:rPr>
                <w:sz w:val="20"/>
                <w:szCs w:val="20"/>
              </w:rPr>
              <w:t>Youness</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6273" w:rsidRPr="00A7289C" w:rsidRDefault="00C16273" w:rsidP="00ED7415">
            <w:pPr>
              <w:spacing w:before="100" w:beforeAutospacing="1" w:after="100" w:afterAutospacing="1"/>
              <w:rPr>
                <w:sz w:val="20"/>
                <w:szCs w:val="20"/>
              </w:rPr>
            </w:pPr>
            <w:proofErr w:type="spellStart"/>
            <w:r>
              <w:rPr>
                <w:sz w:val="20"/>
                <w:szCs w:val="20"/>
              </w:rPr>
              <w:t>Conseiller</w:t>
            </w:r>
            <w:proofErr w:type="spellEnd"/>
            <w:r>
              <w:rPr>
                <w:sz w:val="20"/>
                <w:szCs w:val="20"/>
              </w:rPr>
              <w:t xml:space="preserve"> senior</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6273" w:rsidRPr="00A7289C" w:rsidRDefault="00C16273" w:rsidP="00ED7415">
            <w:pPr>
              <w:spacing w:before="100" w:beforeAutospacing="1" w:after="100" w:afterAutospacing="1"/>
              <w:rPr>
                <w:sz w:val="20"/>
                <w:szCs w:val="20"/>
              </w:rPr>
            </w:pPr>
            <w:r>
              <w:rPr>
                <w:sz w:val="20"/>
                <w:szCs w:val="20"/>
              </w:rPr>
              <w:t xml:space="preserve">Service </w:t>
            </w:r>
            <w:proofErr w:type="spellStart"/>
            <w:r>
              <w:rPr>
                <w:sz w:val="20"/>
                <w:szCs w:val="20"/>
              </w:rPr>
              <w:t>juridique</w:t>
            </w:r>
            <w:proofErr w:type="spellEnd"/>
            <w:r>
              <w:rPr>
                <w:sz w:val="20"/>
                <w:szCs w:val="20"/>
              </w:rPr>
              <w:t xml:space="preserve"> </w:t>
            </w:r>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6273" w:rsidRPr="00A7289C" w:rsidRDefault="00C16273" w:rsidP="00ED7415">
            <w:pPr>
              <w:rPr>
                <w:sz w:val="20"/>
                <w:szCs w:val="20"/>
              </w:rPr>
            </w:pPr>
            <w:r>
              <w:rPr>
                <w:sz w:val="20"/>
                <w:szCs w:val="20"/>
              </w:rPr>
              <w:t>LEGLE</w:t>
            </w:r>
          </w:p>
        </w:tc>
      </w:tr>
      <w:tr w:rsidR="00B71C8D"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0E330D" w:rsidP="00B71C8D">
            <w:pPr>
              <w:rPr>
                <w:sz w:val="20"/>
                <w:szCs w:val="20"/>
              </w:rPr>
            </w:pPr>
            <w:r>
              <w:rPr>
                <w:color w:val="000000"/>
                <w:sz w:val="20"/>
                <w:szCs w:val="20"/>
              </w:rPr>
              <w:t xml:space="preserve">Prosper </w:t>
            </w:r>
            <w:proofErr w:type="spellStart"/>
            <w:r>
              <w:rPr>
                <w:color w:val="000000"/>
                <w:sz w:val="20"/>
                <w:szCs w:val="20"/>
              </w:rPr>
              <w:t>Nindorera</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857EF9" w:rsidRDefault="00B71C8D" w:rsidP="00B71C8D">
            <w:pPr>
              <w:rPr>
                <w:sz w:val="20"/>
                <w:szCs w:val="20"/>
                <w:lang w:val="fr-FR"/>
              </w:rPr>
            </w:pPr>
            <w:r w:rsidRPr="00857EF9">
              <w:rPr>
                <w:sz w:val="20"/>
                <w:szCs w:val="20"/>
                <w:lang w:val="fr-FR"/>
              </w:rPr>
              <w:t>Spécialiste senior de la passation des marchés</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proofErr w:type="spellStart"/>
            <w:r>
              <w:rPr>
                <w:sz w:val="20"/>
                <w:szCs w:val="20"/>
              </w:rPr>
              <w:t>Passation</w:t>
            </w:r>
            <w:proofErr w:type="spellEnd"/>
            <w:r>
              <w:rPr>
                <w:sz w:val="20"/>
                <w:szCs w:val="20"/>
              </w:rPr>
              <w:t xml:space="preserve"> des </w:t>
            </w:r>
            <w:proofErr w:type="spellStart"/>
            <w:r>
              <w:rPr>
                <w:sz w:val="20"/>
                <w:szCs w:val="20"/>
              </w:rPr>
              <w:t>marchés</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1C8D" w:rsidRPr="00A7289C" w:rsidRDefault="00B71C8D" w:rsidP="00B71C8D">
            <w:pPr>
              <w:rPr>
                <w:sz w:val="20"/>
                <w:szCs w:val="20"/>
              </w:rPr>
            </w:pPr>
            <w:r>
              <w:rPr>
                <w:sz w:val="20"/>
                <w:szCs w:val="20"/>
              </w:rPr>
              <w:t>LCSPT</w:t>
            </w:r>
          </w:p>
        </w:tc>
      </w:tr>
      <w:tr w:rsidR="00B70145"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Del="000E330D" w:rsidRDefault="00B70145" w:rsidP="00B70145">
            <w:pPr>
              <w:rPr>
                <w:color w:val="000000"/>
                <w:sz w:val="20"/>
                <w:szCs w:val="20"/>
              </w:rPr>
            </w:pPr>
            <w:r>
              <w:rPr>
                <w:color w:val="000000"/>
                <w:sz w:val="20"/>
                <w:szCs w:val="20"/>
              </w:rPr>
              <w:t xml:space="preserve">Franck </w:t>
            </w:r>
            <w:proofErr w:type="spellStart"/>
            <w:r>
              <w:rPr>
                <w:color w:val="000000"/>
                <w:sz w:val="20"/>
                <w:szCs w:val="20"/>
              </w:rPr>
              <w:t>Bessette</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857EF9" w:rsidRDefault="00B70145" w:rsidP="00B70145">
            <w:pPr>
              <w:rPr>
                <w:sz w:val="20"/>
                <w:szCs w:val="20"/>
                <w:lang w:val="fr-FR"/>
              </w:rPr>
            </w:pPr>
            <w:r w:rsidRPr="00857EF9">
              <w:rPr>
                <w:sz w:val="20"/>
                <w:szCs w:val="20"/>
                <w:lang w:val="fr-FR"/>
              </w:rPr>
              <w:t>Spécialiste senior en gestion financière</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0145">
            <w:pPr>
              <w:rPr>
                <w:sz w:val="20"/>
                <w:szCs w:val="20"/>
              </w:rPr>
            </w:pPr>
            <w:proofErr w:type="spellStart"/>
            <w:r>
              <w:rPr>
                <w:sz w:val="20"/>
                <w:szCs w:val="20"/>
              </w:rPr>
              <w:t>Gestion</w:t>
            </w:r>
            <w:proofErr w:type="spellEnd"/>
            <w:r>
              <w:rPr>
                <w:sz w:val="20"/>
                <w:szCs w:val="20"/>
              </w:rPr>
              <w:t xml:space="preserve"> </w:t>
            </w:r>
            <w:proofErr w:type="spellStart"/>
            <w:r>
              <w:rPr>
                <w:sz w:val="20"/>
                <w:szCs w:val="20"/>
              </w:rPr>
              <w:t>financière</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0145">
            <w:pPr>
              <w:rPr>
                <w:sz w:val="20"/>
                <w:szCs w:val="20"/>
              </w:rPr>
            </w:pPr>
            <w:r>
              <w:rPr>
                <w:sz w:val="20"/>
                <w:szCs w:val="20"/>
              </w:rPr>
              <w:t>LCSFM</w:t>
            </w:r>
          </w:p>
        </w:tc>
      </w:tr>
      <w:tr w:rsidR="00B70145"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 xml:space="preserve">Victor </w:t>
            </w:r>
            <w:proofErr w:type="spellStart"/>
            <w:r>
              <w:rPr>
                <w:sz w:val="20"/>
                <w:szCs w:val="20"/>
              </w:rPr>
              <w:t>Ordoñez</w:t>
            </w:r>
            <w:proofErr w:type="spellEnd"/>
            <w:r>
              <w:rPr>
                <w:sz w:val="20"/>
                <w:szCs w:val="20"/>
              </w:rPr>
              <w:t xml:space="preserve"> </w:t>
            </w:r>
            <w:proofErr w:type="spellStart"/>
            <w:r>
              <w:rPr>
                <w:sz w:val="20"/>
                <w:szCs w:val="20"/>
              </w:rPr>
              <w:t>Conde</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Chargé des finances</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sz w:val="20"/>
                <w:szCs w:val="20"/>
              </w:rPr>
              <w:t>Décaissement</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CTRLN</w:t>
            </w:r>
          </w:p>
        </w:tc>
      </w:tr>
      <w:tr w:rsidR="00890BB6" w:rsidRPr="00A7289C" w:rsidTr="00FE25AC">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A7289C" w:rsidRDefault="00890BB6" w:rsidP="00FE25AC">
            <w:pPr>
              <w:rPr>
                <w:sz w:val="20"/>
                <w:szCs w:val="20"/>
              </w:rPr>
            </w:pPr>
            <w:r>
              <w:rPr>
                <w:bCs/>
                <w:sz w:val="20"/>
                <w:szCs w:val="20"/>
              </w:rPr>
              <w:t>Daniel Ortiz del Salto</w:t>
            </w: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A7289C" w:rsidRDefault="00890BB6" w:rsidP="00FE25AC">
            <w:pPr>
              <w:rPr>
                <w:sz w:val="20"/>
                <w:szCs w:val="20"/>
              </w:rPr>
            </w:pPr>
            <w:r>
              <w:rPr>
                <w:sz w:val="20"/>
                <w:szCs w:val="20"/>
              </w:rPr>
              <w:t xml:space="preserve">Consultant à long </w:t>
            </w:r>
            <w:proofErr w:type="spellStart"/>
            <w:r>
              <w:rPr>
                <w:sz w:val="20"/>
                <w:szCs w:val="20"/>
              </w:rPr>
              <w:t>terme</w:t>
            </w:r>
            <w:proofErr w:type="spellEnd"/>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A7289C" w:rsidRDefault="00890BB6" w:rsidP="00FE25AC">
            <w:pPr>
              <w:rPr>
                <w:sz w:val="20"/>
                <w:szCs w:val="20"/>
              </w:rPr>
            </w:pPr>
            <w:proofErr w:type="spellStart"/>
            <w:r>
              <w:rPr>
                <w:sz w:val="20"/>
                <w:szCs w:val="20"/>
              </w:rPr>
              <w:t>Développement</w:t>
            </w:r>
            <w:proofErr w:type="spellEnd"/>
            <w:r>
              <w:rPr>
                <w:sz w:val="20"/>
                <w:szCs w:val="20"/>
              </w:rPr>
              <w:t xml:space="preserve"> du </w:t>
            </w:r>
            <w:proofErr w:type="spellStart"/>
            <w:r>
              <w:rPr>
                <w:sz w:val="20"/>
                <w:szCs w:val="20"/>
              </w:rPr>
              <w:t>secteur</w:t>
            </w:r>
            <w:proofErr w:type="spellEnd"/>
            <w:r>
              <w:rPr>
                <w:sz w:val="20"/>
                <w:szCs w:val="20"/>
              </w:rPr>
              <w:t xml:space="preserve"> </w:t>
            </w:r>
            <w:proofErr w:type="spellStart"/>
            <w:r>
              <w:rPr>
                <w:sz w:val="20"/>
                <w:szCs w:val="20"/>
              </w:rPr>
              <w:t>privé</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90BB6" w:rsidRPr="00A7289C" w:rsidRDefault="00890BB6" w:rsidP="00FE25AC">
            <w:pPr>
              <w:rPr>
                <w:sz w:val="20"/>
                <w:szCs w:val="20"/>
              </w:rPr>
            </w:pPr>
            <w:r>
              <w:rPr>
                <w:sz w:val="20"/>
                <w:szCs w:val="20"/>
              </w:rPr>
              <w:t>LCSPF</w:t>
            </w:r>
          </w:p>
        </w:tc>
      </w:tr>
      <w:tr w:rsidR="00B70145"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 xml:space="preserve">Monica </w:t>
            </w:r>
            <w:proofErr w:type="spellStart"/>
            <w:r>
              <w:rPr>
                <w:sz w:val="20"/>
                <w:szCs w:val="20"/>
              </w:rPr>
              <w:t>Rivero</w:t>
            </w:r>
            <w:proofErr w:type="spellEnd"/>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 xml:space="preserve">Assistant de </w:t>
            </w:r>
            <w:proofErr w:type="spellStart"/>
            <w:r>
              <w:rPr>
                <w:sz w:val="20"/>
                <w:szCs w:val="20"/>
              </w:rPr>
              <w:t>programme</w:t>
            </w:r>
            <w:proofErr w:type="spellEnd"/>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sz w:val="20"/>
                <w:szCs w:val="20"/>
              </w:rPr>
              <w:t>Développement</w:t>
            </w:r>
            <w:proofErr w:type="spellEnd"/>
            <w:r>
              <w:rPr>
                <w:sz w:val="20"/>
                <w:szCs w:val="20"/>
              </w:rPr>
              <w:t xml:space="preserve"> du </w:t>
            </w:r>
            <w:proofErr w:type="spellStart"/>
            <w:r>
              <w:rPr>
                <w:sz w:val="20"/>
                <w:szCs w:val="20"/>
              </w:rPr>
              <w:t>secteur</w:t>
            </w:r>
            <w:proofErr w:type="spellEnd"/>
            <w:r>
              <w:rPr>
                <w:sz w:val="20"/>
                <w:szCs w:val="20"/>
              </w:rPr>
              <w:t xml:space="preserve"> </w:t>
            </w:r>
            <w:proofErr w:type="spellStart"/>
            <w:r>
              <w:rPr>
                <w:sz w:val="20"/>
                <w:szCs w:val="20"/>
              </w:rPr>
              <w:t>privé</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LCSPF</w:t>
            </w:r>
          </w:p>
        </w:tc>
      </w:tr>
      <w:tr w:rsidR="00B70145"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Karina Baba</w:t>
            </w: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i/>
                <w:sz w:val="20"/>
                <w:szCs w:val="20"/>
              </w:rPr>
              <w:t>Junior Professional Associate</w:t>
            </w: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sz w:val="20"/>
                <w:szCs w:val="20"/>
              </w:rPr>
              <w:t>Développement</w:t>
            </w:r>
            <w:proofErr w:type="spellEnd"/>
            <w:r>
              <w:rPr>
                <w:sz w:val="20"/>
                <w:szCs w:val="20"/>
              </w:rPr>
              <w:t xml:space="preserve"> du </w:t>
            </w:r>
            <w:proofErr w:type="spellStart"/>
            <w:r>
              <w:rPr>
                <w:sz w:val="20"/>
                <w:szCs w:val="20"/>
              </w:rPr>
              <w:t>secteur</w:t>
            </w:r>
            <w:proofErr w:type="spellEnd"/>
            <w:r>
              <w:rPr>
                <w:sz w:val="20"/>
                <w:szCs w:val="20"/>
              </w:rPr>
              <w:t xml:space="preserve"> financier</w:t>
            </w:r>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sz w:val="20"/>
                <w:szCs w:val="20"/>
              </w:rPr>
              <w:t>LCSPF</w:t>
            </w:r>
          </w:p>
        </w:tc>
      </w:tr>
      <w:tr w:rsidR="00B70145" w:rsidRPr="00857EF9"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857EF9" w:rsidRDefault="00B70145" w:rsidP="00B71C8D">
            <w:pPr>
              <w:rPr>
                <w:b/>
                <w:color w:val="314F4F"/>
                <w:sz w:val="20"/>
                <w:szCs w:val="20"/>
                <w:lang w:val="fr-FR"/>
              </w:rPr>
            </w:pPr>
            <w:r w:rsidRPr="00857EF9">
              <w:rPr>
                <w:b/>
                <w:bCs/>
                <w:color w:val="314F4F"/>
                <w:sz w:val="20"/>
                <w:szCs w:val="20"/>
                <w:lang w:val="fr-FR"/>
              </w:rPr>
              <w:t>Personnel n'appartenant pas à la Banque</w:t>
            </w:r>
          </w:p>
        </w:tc>
      </w:tr>
      <w:tr w:rsidR="00B70145"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b/>
                <w:bCs/>
                <w:sz w:val="20"/>
                <w:szCs w:val="20"/>
              </w:rPr>
              <w:t>Nom</w:t>
            </w: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b/>
                <w:bCs/>
                <w:sz w:val="20"/>
                <w:szCs w:val="20"/>
              </w:rPr>
              <w:t>Fonction</w:t>
            </w:r>
            <w:proofErr w:type="spellEnd"/>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b/>
                <w:bCs/>
                <w:sz w:val="20"/>
                <w:szCs w:val="20"/>
              </w:rPr>
              <w:t>Téléphone</w:t>
            </w:r>
            <w:proofErr w:type="spellEnd"/>
            <w:r>
              <w:rPr>
                <w:b/>
                <w:bCs/>
                <w:sz w:val="20"/>
                <w:szCs w:val="20"/>
              </w:rPr>
              <w:t xml:space="preserve"> bureau</w:t>
            </w:r>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b/>
                <w:bCs/>
                <w:sz w:val="20"/>
                <w:szCs w:val="20"/>
              </w:rPr>
              <w:t>Ville</w:t>
            </w:r>
          </w:p>
        </w:tc>
      </w:tr>
      <w:tr w:rsidR="00B70145" w:rsidRPr="00A7289C" w:rsidTr="0017230E">
        <w:trPr>
          <w:gridAfter w:val="1"/>
          <w:wAfter w:w="18" w:type="dxa"/>
        </w:trPr>
        <w:tc>
          <w:tcPr>
            <w:tcW w:w="25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spacing w:before="100" w:beforeAutospacing="1" w:after="100" w:afterAutospacing="1"/>
              <w:rPr>
                <w:bCs/>
                <w:sz w:val="20"/>
                <w:szCs w:val="20"/>
              </w:rPr>
            </w:pP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spacing w:before="100" w:beforeAutospacing="1" w:after="100" w:afterAutospacing="1"/>
              <w:rPr>
                <w:bCs/>
                <w:sz w:val="20"/>
                <w:szCs w:val="20"/>
              </w:rPr>
            </w:pPr>
          </w:p>
        </w:tc>
        <w:tc>
          <w:tcPr>
            <w:tcW w:w="25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bCs/>
                <w:sz w:val="20"/>
                <w:szCs w:val="20"/>
              </w:rPr>
            </w:pPr>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spacing w:before="100" w:beforeAutospacing="1" w:after="100" w:afterAutospacing="1"/>
              <w:rPr>
                <w:bCs/>
                <w:sz w:val="20"/>
                <w:szCs w:val="20"/>
              </w:rPr>
            </w:pPr>
          </w:p>
        </w:tc>
      </w:tr>
      <w:tr w:rsidR="00B70145"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0145" w:rsidRPr="00A7289C" w:rsidRDefault="00B70145" w:rsidP="00B71C8D">
            <w:pPr>
              <w:rPr>
                <w:rFonts w:ascii="Times" w:hAnsi="Times" w:cs="Times"/>
                <w:sz w:val="2"/>
                <w:szCs w:val="2"/>
              </w:rPr>
            </w:pPr>
            <w:r>
              <w:rPr>
                <w:rFonts w:ascii="Times" w:hAnsi="Times" w:cs="Times"/>
                <w:sz w:val="2"/>
                <w:szCs w:val="2"/>
              </w:rPr>
              <w:t>.</w:t>
            </w:r>
          </w:p>
        </w:tc>
      </w:tr>
      <w:tr w:rsidR="00B70145"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color w:val="314F4F"/>
                <w:sz w:val="20"/>
                <w:szCs w:val="20"/>
              </w:rPr>
            </w:pPr>
            <w:proofErr w:type="spellStart"/>
            <w:r>
              <w:rPr>
                <w:b/>
                <w:bCs/>
                <w:color w:val="314F4F"/>
                <w:sz w:val="20"/>
                <w:szCs w:val="20"/>
              </w:rPr>
              <w:t>Lieux</w:t>
            </w:r>
            <w:proofErr w:type="spellEnd"/>
          </w:p>
        </w:tc>
      </w:tr>
      <w:tr w:rsidR="00B70145" w:rsidRPr="00A7289C" w:rsidTr="0017230E">
        <w:trPr>
          <w:gridAfter w:val="1"/>
          <w:wAfter w:w="18" w:type="dxa"/>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b/>
                <w:bCs/>
                <w:sz w:val="20"/>
                <w:szCs w:val="20"/>
              </w:rPr>
              <w:t>Pays</w:t>
            </w: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b/>
                <w:bCs/>
                <w:sz w:val="20"/>
                <w:szCs w:val="20"/>
              </w:rPr>
              <w:t>Première division administrative</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r>
              <w:rPr>
                <w:b/>
                <w:bCs/>
                <w:sz w:val="20"/>
                <w:szCs w:val="20"/>
              </w:rPr>
              <w:t>Lieu</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b/>
                <w:bCs/>
                <w:sz w:val="20"/>
                <w:szCs w:val="20"/>
              </w:rPr>
              <w:t>Prévu</w:t>
            </w:r>
            <w:proofErr w:type="spellEnd"/>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b/>
                <w:bCs/>
                <w:sz w:val="20"/>
                <w:szCs w:val="20"/>
              </w:rPr>
              <w:t>Réalisé</w:t>
            </w:r>
            <w:proofErr w:type="spellEnd"/>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rPr>
                <w:sz w:val="20"/>
                <w:szCs w:val="20"/>
              </w:rPr>
            </w:pPr>
            <w:proofErr w:type="spellStart"/>
            <w:r>
              <w:rPr>
                <w:b/>
                <w:bCs/>
                <w:sz w:val="20"/>
                <w:szCs w:val="20"/>
              </w:rPr>
              <w:t>Commentaires</w:t>
            </w:r>
            <w:proofErr w:type="spellEnd"/>
          </w:p>
        </w:tc>
      </w:tr>
      <w:tr w:rsidR="00B70145" w:rsidRPr="00113620" w:rsidTr="0017230E">
        <w:trPr>
          <w:gridAfter w:val="1"/>
          <w:wAfter w:w="18" w:type="dxa"/>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1630CB" w:rsidP="00B71C8D">
            <w:pPr>
              <w:rPr>
                <w:sz w:val="20"/>
                <w:szCs w:val="20"/>
              </w:rPr>
            </w:pPr>
            <w:proofErr w:type="spellStart"/>
            <w:r>
              <w:rPr>
                <w:sz w:val="20"/>
                <w:szCs w:val="20"/>
              </w:rPr>
              <w:t>Haïti</w:t>
            </w:r>
            <w:proofErr w:type="spellEnd"/>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857EF9" w:rsidRDefault="00112C86" w:rsidP="001630CB">
            <w:pPr>
              <w:rPr>
                <w:sz w:val="20"/>
                <w:szCs w:val="20"/>
                <w:lang w:val="fr-FR"/>
              </w:rPr>
            </w:pPr>
            <w:r w:rsidRPr="00857EF9">
              <w:rPr>
                <w:sz w:val="20"/>
                <w:szCs w:val="20"/>
                <w:lang w:val="fr-FR"/>
              </w:rPr>
              <w:t>Nord, Nord-Ouest, Ouest, Centre, Artibonite, Nippes, Grand Anse et / ou Sud</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857EF9" w:rsidRDefault="006B1399" w:rsidP="006B1399">
            <w:pPr>
              <w:rPr>
                <w:sz w:val="20"/>
                <w:szCs w:val="20"/>
                <w:lang w:val="fr-FR"/>
              </w:rPr>
            </w:pPr>
            <w:r w:rsidRPr="00857EF9">
              <w:rPr>
                <w:sz w:val="20"/>
                <w:szCs w:val="20"/>
                <w:lang w:val="fr-FR"/>
              </w:rPr>
              <w:t>Pour les ZEI, à déterminer par des évaluations et des analyses de diligence raisonnable des sites</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jc w:val="center"/>
              <w:rPr>
                <w:b/>
                <w:bCs/>
                <w:sz w:val="20"/>
                <w:szCs w:val="20"/>
              </w:rPr>
            </w:pPr>
            <w:r>
              <w:rPr>
                <w:b/>
                <w:bCs/>
                <w:sz w:val="20"/>
                <w:szCs w:val="20"/>
              </w:rPr>
              <w:t>X</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70145" w:rsidRPr="00A7289C" w:rsidRDefault="00B70145" w:rsidP="00B71C8D">
            <w:pPr>
              <w:jc w:val="center"/>
              <w:rPr>
                <w:sz w:val="20"/>
                <w:szCs w:val="20"/>
              </w:rPr>
            </w:pPr>
          </w:p>
        </w:tc>
        <w:tc>
          <w:tcPr>
            <w:tcW w:w="2563"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70145" w:rsidRPr="00857EF9" w:rsidRDefault="00B70145" w:rsidP="006B1399">
            <w:pPr>
              <w:rPr>
                <w:sz w:val="20"/>
                <w:szCs w:val="20"/>
                <w:lang w:val="fr-FR"/>
              </w:rPr>
            </w:pPr>
            <w:r w:rsidRPr="00857EF9">
              <w:rPr>
                <w:sz w:val="20"/>
                <w:szCs w:val="20"/>
                <w:lang w:val="fr-FR"/>
              </w:rPr>
              <w:t>Appui aux zones économiques intégrées et aux services de développement des entreprises</w:t>
            </w:r>
          </w:p>
        </w:tc>
      </w:tr>
      <w:tr w:rsidR="00B70145" w:rsidRPr="00A7289C" w:rsidTr="0017230E">
        <w:trPr>
          <w:gridAfter w:val="1"/>
          <w:wAfter w:w="18" w:type="dxa"/>
        </w:trPr>
        <w:tc>
          <w:tcPr>
            <w:tcW w:w="10243"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70145" w:rsidRPr="00A7289C" w:rsidRDefault="00B70145" w:rsidP="00B71C8D">
            <w:pPr>
              <w:rPr>
                <w:rFonts w:ascii="Times" w:hAnsi="Times" w:cs="Times"/>
                <w:sz w:val="2"/>
                <w:szCs w:val="2"/>
              </w:rPr>
            </w:pPr>
            <w:r>
              <w:rPr>
                <w:rFonts w:ascii="Times" w:hAnsi="Times" w:cs="Times"/>
                <w:sz w:val="2"/>
                <w:szCs w:val="2"/>
              </w:rPr>
              <w:t>.</w:t>
            </w:r>
          </w:p>
        </w:tc>
      </w:tr>
    </w:tbl>
    <w:p w:rsidR="00A7289C" w:rsidRDefault="00A7289C" w:rsidP="005A4E53">
      <w:pPr>
        <w:pStyle w:val="ListParagraph"/>
        <w:tabs>
          <w:tab w:val="num" w:pos="720"/>
        </w:tabs>
        <w:spacing w:after="120"/>
        <w:ind w:left="288"/>
        <w:contextualSpacing w:val="0"/>
        <w:jc w:val="both"/>
      </w:pPr>
    </w:p>
    <w:p w:rsidR="00B71C8D" w:rsidRPr="00A7289C" w:rsidRDefault="00B71C8D" w:rsidP="00B563F2">
      <w:pPr>
        <w:pStyle w:val="ListParagraph"/>
        <w:numPr>
          <w:ilvl w:val="0"/>
          <w:numId w:val="22"/>
        </w:numPr>
        <w:tabs>
          <w:tab w:val="clear" w:pos="360"/>
          <w:tab w:val="num" w:pos="648"/>
          <w:tab w:val="num" w:pos="720"/>
        </w:tabs>
        <w:spacing w:after="120"/>
        <w:ind w:left="288"/>
        <w:contextualSpacing w:val="0"/>
        <w:jc w:val="both"/>
        <w:sectPr w:rsidR="00B71C8D" w:rsidRPr="00A7289C" w:rsidSect="00F04CA6">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p>
    <w:p w:rsidR="00B71C8D" w:rsidRPr="00A7289C" w:rsidRDefault="00B71C8D" w:rsidP="004E7A7F">
      <w:pPr>
        <w:pStyle w:val="PDSHeading1"/>
        <w:tabs>
          <w:tab w:val="clear" w:pos="0"/>
          <w:tab w:val="num" w:pos="648"/>
        </w:tabs>
        <w:spacing w:after="240"/>
        <w:ind w:left="288"/>
        <w:rPr>
          <w:bCs/>
        </w:rPr>
      </w:pPr>
      <w:bookmarkStart w:id="0" w:name="_Toc362270209"/>
      <w:r>
        <w:rPr>
          <w:bCs/>
        </w:rPr>
        <w:lastRenderedPageBreak/>
        <w:t>CONTEXTE STRATÉGIQUE</w:t>
      </w:r>
      <w:bookmarkEnd w:id="0"/>
    </w:p>
    <w:p w:rsidR="00B71C8D" w:rsidRPr="00A7289C" w:rsidRDefault="00B71C8D" w:rsidP="004E7A7F">
      <w:pPr>
        <w:pStyle w:val="PDSHeading2"/>
        <w:tabs>
          <w:tab w:val="clear" w:pos="360"/>
        </w:tabs>
        <w:spacing w:after="240"/>
        <w:ind w:left="648"/>
        <w:rPr>
          <w:bCs/>
        </w:rPr>
      </w:pPr>
      <w:bookmarkStart w:id="1" w:name="_Toc362270210"/>
      <w:r>
        <w:rPr>
          <w:bCs/>
        </w:rPr>
        <w:t>Situation du pays</w:t>
      </w:r>
      <w:bookmarkEnd w:id="1"/>
    </w:p>
    <w:p w:rsidR="002B1D14" w:rsidRPr="00857EF9" w:rsidRDefault="00022548" w:rsidP="00B563F2">
      <w:pPr>
        <w:pStyle w:val="ListParagraph"/>
        <w:numPr>
          <w:ilvl w:val="0"/>
          <w:numId w:val="25"/>
        </w:numPr>
        <w:tabs>
          <w:tab w:val="num" w:pos="648"/>
          <w:tab w:val="num" w:pos="720"/>
        </w:tabs>
        <w:spacing w:after="120"/>
        <w:contextualSpacing w:val="0"/>
        <w:jc w:val="both"/>
        <w:rPr>
          <w:lang w:val="fr-FR"/>
        </w:rPr>
      </w:pPr>
      <w:r w:rsidRPr="00857EF9">
        <w:rPr>
          <w:lang w:val="fr-FR"/>
        </w:rPr>
        <w:t>Deux ans et demi après le tremblement de terre qui a frappé les environs de Port-au-Prince, les initiatives de réponse d'urgence et de reconstruction initiale arrivent à leur terme. Haïti et ses partenaires s'intéressent de plus en plus aux problèmes structurels qui entravent le développement du pays et à l'établissement d'institutions publiques et privées capables de fournir des biens et des services aux dix millions d'habitants d'Haïti, dont 78 % vivent avec moins de 2 USD par jour. Satisfaire les besoins à court terme tout en poursuivant des objectifs à moyen terme constitue un défi de taille pour le gouvernement comme pour les bailleurs de fonds.</w:t>
      </w:r>
    </w:p>
    <w:p w:rsidR="00387FDF" w:rsidRPr="00857EF9" w:rsidRDefault="00387FDF"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Malgré les multiples défis dus aux chocs répétés qui ont secoué le pays les dernières années, les perspectives macroéconomiques pour les exercices 2013-15 apparaissent favorables, grâce aux investissements extérieurs substantiels consacrés à la reconstruction ainsi qu'à la détermination de l'État haïtien à stimuler la croissance économique et l'investissement. Si les conditions appropriées sont mises en place, Haïti sera capable de tirer parti de son emplacement à proximité des grands marchés, de ses accords commerciaux préférentiels avec les États-Unis, le Canada et l'Europe, ainsi que de ses avantages comparatifs dans divers secteurs comme l'agro-industrie, l'habillement, le tourisme et peut-être également l'industrie manufacturière légère. Toutefois, pour stimuler l'investissement privé local et étranger, atteindre un niveau élevé de croissance inclusive et durable et créer des emplois, le pays doit résoudre des </w:t>
      </w:r>
      <w:r w:rsidR="00E01433" w:rsidRPr="00857EF9">
        <w:rPr>
          <w:lang w:val="fr-FR"/>
        </w:rPr>
        <w:t>problèmes</w:t>
      </w:r>
      <w:r w:rsidRPr="00857EF9">
        <w:rPr>
          <w:lang w:val="fr-FR"/>
        </w:rPr>
        <w:t xml:space="preserve"> structurels chroniques, en s'intéressant tout particulièrement au climat des affaires, au cadre d'investissement et aux performances des micro-entreprises et des petites et moyennes entreprises (MPME). </w:t>
      </w:r>
    </w:p>
    <w:p w:rsidR="00533FA3" w:rsidRPr="00857EF9" w:rsidRDefault="00022548"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Dans les années précédant le tremblement de terre, le pays a connu une forte hausse du prix des aliments de base et des carburants ainsi que des conditions météorologiques exceptionnelles (quatre ouragans consécutifs en 2008), qui ont entraîné une chute de 15 % du produit intérieur brut (PIB). Cette situation s'est accompagnée d'un repli des envois de fonds et des échanges, lié à la crise économique mondiale. Après le tremblement de terre, l’évaluation des besoins après la catastrophe (PDNA) a estimé les dommages et les pertes à 7,9 milliards de dollars au total, soit 120 % du PIB, et les travaux de reconstruction à 11,3 milliards de dollars. Le PIB par habitant était en recul et n'atteignait que 656 USD en 2009 (en dollars actuels) avant de perdre encore </w:t>
      </w:r>
      <w:r w:rsidR="006F1B7B" w:rsidRPr="00857EF9">
        <w:rPr>
          <w:lang w:val="fr-FR"/>
        </w:rPr>
        <w:t>6,6 </w:t>
      </w:r>
      <w:r w:rsidRPr="00857EF9">
        <w:rPr>
          <w:lang w:val="fr-FR"/>
        </w:rPr>
        <w:t>% en 2010. En 2011, malgré un léger sursaut (4,2 %), Haïti restait le 23</w:t>
      </w:r>
      <w:r w:rsidRPr="00857EF9">
        <w:rPr>
          <w:vertAlign w:val="superscript"/>
          <w:lang w:val="fr-FR"/>
        </w:rPr>
        <w:t>e</w:t>
      </w:r>
      <w:r w:rsidRPr="00857EF9">
        <w:rPr>
          <w:lang w:val="fr-FR"/>
        </w:rPr>
        <w:t xml:space="preserve"> pays le plus pauvre au monde, entre le Mali et le Bangladesh. De plus, la lenteur de la transition politique suite aux élections présidentielles de mai 2011 et l'instabilité générée par plusieurs changements au sein du gouvernement depuis lors ont ralenti les efforts de reconstruction.  </w:t>
      </w:r>
    </w:p>
    <w:p w:rsidR="00BF6BBC" w:rsidRPr="00857EF9" w:rsidRDefault="00BF6BBC" w:rsidP="00B563F2">
      <w:pPr>
        <w:pStyle w:val="ListParagraph"/>
        <w:numPr>
          <w:ilvl w:val="0"/>
          <w:numId w:val="25"/>
        </w:numPr>
        <w:tabs>
          <w:tab w:val="num" w:pos="648"/>
          <w:tab w:val="num" w:pos="720"/>
        </w:tabs>
        <w:spacing w:after="240"/>
        <w:ind w:left="187"/>
        <w:contextualSpacing w:val="0"/>
        <w:jc w:val="both"/>
        <w:rPr>
          <w:lang w:val="fr-FR"/>
        </w:rPr>
      </w:pPr>
      <w:r w:rsidRPr="00857EF9">
        <w:rPr>
          <w:lang w:val="fr-FR"/>
        </w:rPr>
        <w:t xml:space="preserve">La plupart des emplois en Haïti appartiennent au secteur informel, les conditions de travail y sont précaires et les rémunérations extrêmement basses. Le salaire minimum se situe à 200 gourdes par jour, l'équivalent de 5 USD. Les données disponibles indiquent que seuls 19 % des adultes du pays perçoivent un salaire régulier, alors que 79 % sont considérés comme des travailleurs indépendants. On ne dispose pas d'informations sur le chômage, mais on peut supposer qu'une part importante de la population active économiquement dans le secteur informel est sous-employée. Cette situation a poussé un million d'Haïtiens à émigrer, </w:t>
      </w:r>
      <w:r w:rsidRPr="00857EF9">
        <w:rPr>
          <w:lang w:val="fr-FR"/>
        </w:rPr>
        <w:lastRenderedPageBreak/>
        <w:t>principalement vers la République dominicaine, les États-Unis et le Canada. En 2012, le montant officiel des envois de fonds dans le pays s'élevait à environ 1,6 milliard USD</w:t>
      </w:r>
      <w:r w:rsidR="007E26CE" w:rsidRPr="00A7289C">
        <w:rPr>
          <w:rStyle w:val="FootnoteReference"/>
        </w:rPr>
        <w:footnoteReference w:id="4"/>
      </w:r>
      <w:r w:rsidRPr="00857EF9">
        <w:rPr>
          <w:lang w:val="fr-FR"/>
        </w:rPr>
        <w:t>, représentant à peu près 19 % du PIB d'Haïti.</w:t>
      </w:r>
    </w:p>
    <w:p w:rsidR="00B71C8D" w:rsidRPr="00A7289C" w:rsidRDefault="00B71C8D" w:rsidP="004E7A7F">
      <w:pPr>
        <w:pStyle w:val="PDSHeading2"/>
        <w:tabs>
          <w:tab w:val="clear" w:pos="360"/>
        </w:tabs>
        <w:spacing w:after="240"/>
        <w:ind w:left="648"/>
      </w:pPr>
      <w:bookmarkStart w:id="2" w:name="_Toc362270211"/>
      <w:proofErr w:type="spellStart"/>
      <w:r>
        <w:rPr>
          <w:bCs/>
        </w:rPr>
        <w:t>Contexte</w:t>
      </w:r>
      <w:proofErr w:type="spellEnd"/>
      <w:r>
        <w:rPr>
          <w:bCs/>
        </w:rPr>
        <w:t xml:space="preserve"> </w:t>
      </w:r>
      <w:proofErr w:type="spellStart"/>
      <w:r>
        <w:rPr>
          <w:bCs/>
        </w:rPr>
        <w:t>sectoriel</w:t>
      </w:r>
      <w:proofErr w:type="spellEnd"/>
      <w:r>
        <w:rPr>
          <w:bCs/>
        </w:rPr>
        <w:t xml:space="preserve"> et </w:t>
      </w:r>
      <w:proofErr w:type="spellStart"/>
      <w:r>
        <w:rPr>
          <w:bCs/>
        </w:rPr>
        <w:t>institutionnel</w:t>
      </w:r>
      <w:bookmarkEnd w:id="2"/>
      <w:proofErr w:type="spellEnd"/>
    </w:p>
    <w:p w:rsidR="00EF4A1A" w:rsidRPr="00857EF9" w:rsidRDefault="00053735"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Même si Haïti possède un certain nombre d'avantages comparatifs et un réel potentiel de croissance dans certains secteurs, le pays est confronté à diverses contraintes. Les obstacles les plus sérieux se rapportent à (i) un climat des affaires particulièrement défavorable marqué par des réglementations contradictoires et dépassées, (ii) un secteur des MPME atomisé, qui manque de compétences, d'accès aux financements et de liens vers des chaînes de valeur stables ; et (iii) une infrastructure physique insuffisante. </w:t>
      </w:r>
    </w:p>
    <w:p w:rsidR="0023335A" w:rsidRPr="00857EF9" w:rsidRDefault="00667A17" w:rsidP="00B563F2">
      <w:pPr>
        <w:pStyle w:val="ListParagraph"/>
        <w:numPr>
          <w:ilvl w:val="0"/>
          <w:numId w:val="25"/>
        </w:numPr>
        <w:tabs>
          <w:tab w:val="num" w:pos="648"/>
          <w:tab w:val="num" w:pos="720"/>
        </w:tabs>
        <w:spacing w:after="120"/>
        <w:contextualSpacing w:val="0"/>
        <w:jc w:val="both"/>
        <w:rPr>
          <w:lang w:val="fr-FR"/>
        </w:rPr>
      </w:pPr>
      <w:r w:rsidRPr="00857EF9">
        <w:rPr>
          <w:lang w:val="fr-FR"/>
        </w:rPr>
        <w:t>Selon le Forum économique mondial (FEM), qui classe Haïti au 141</w:t>
      </w:r>
      <w:r w:rsidRPr="00857EF9">
        <w:rPr>
          <w:vertAlign w:val="superscript"/>
          <w:lang w:val="fr-FR"/>
        </w:rPr>
        <w:t>e</w:t>
      </w:r>
      <w:r w:rsidRPr="00857EF9">
        <w:rPr>
          <w:lang w:val="fr-FR"/>
        </w:rPr>
        <w:t xml:space="preserve"> rang sur 142 dans son Indice mondial de compétitivité, le pays est l'un des moins compétitifs de la planète. La disponibilité et le caractère abordable des services financiers, ainsi que l'accès aux prêts figurent notamment parmi les pires au monde</w:t>
      </w:r>
      <w:r w:rsidRPr="00A7289C">
        <w:rPr>
          <w:rStyle w:val="FootnoteReference"/>
        </w:rPr>
        <w:footnoteReference w:id="5"/>
      </w:r>
      <w:r w:rsidRPr="00857EF9">
        <w:rPr>
          <w:lang w:val="fr-FR"/>
        </w:rPr>
        <w:t>. Selon l'Indice d'inclusion financière de la Banque mondiale, 8 % seulement de la population adulte a bénéficié d'un prêt en 2011, et seuls 22 % disposent d'un compte dans une institution financière formelle</w:t>
      </w:r>
      <w:r w:rsidRPr="00A7289C">
        <w:rPr>
          <w:rStyle w:val="FootnoteReference"/>
        </w:rPr>
        <w:footnoteReference w:id="6"/>
      </w:r>
      <w:r w:rsidRPr="00857EF9">
        <w:rPr>
          <w:lang w:val="fr-FR"/>
        </w:rPr>
        <w:t xml:space="preserve">. Le cadre réglementaire est aussi particulièrement </w:t>
      </w:r>
      <w:r w:rsidR="00E01433" w:rsidRPr="00857EF9">
        <w:rPr>
          <w:lang w:val="fr-FR"/>
        </w:rPr>
        <w:t>défavorable</w:t>
      </w:r>
      <w:r w:rsidRPr="00857EF9">
        <w:rPr>
          <w:lang w:val="fr-FR"/>
        </w:rPr>
        <w:t xml:space="preserve"> aux entreprises : Haïti se place au 174</w:t>
      </w:r>
      <w:r w:rsidRPr="00857EF9">
        <w:rPr>
          <w:vertAlign w:val="superscript"/>
          <w:lang w:val="fr-FR"/>
        </w:rPr>
        <w:t>e</w:t>
      </w:r>
      <w:r w:rsidRPr="00857EF9">
        <w:rPr>
          <w:lang w:val="fr-FR"/>
        </w:rPr>
        <w:t xml:space="preserve"> rang sur 185 pays pour la facilité de faire des affaires</w:t>
      </w:r>
      <w:r w:rsidR="00C13204" w:rsidRPr="00A7289C">
        <w:rPr>
          <w:rStyle w:val="FootnoteReference"/>
        </w:rPr>
        <w:footnoteReference w:id="7"/>
      </w:r>
      <w:r w:rsidR="00E01433" w:rsidRPr="00857EF9">
        <w:rPr>
          <w:lang w:val="fr-FR"/>
        </w:rPr>
        <w:t xml:space="preserve">. </w:t>
      </w:r>
      <w:r w:rsidRPr="00857EF9">
        <w:rPr>
          <w:lang w:val="fr-FR"/>
        </w:rPr>
        <w:t>Enfin, la concurrence est particulièrement faible en l'absence d'une politique globale gouvernant ce domaine, une situation qui se traduit par un coût élevé des biens de consommation et des intrants pour les entreprises.</w:t>
      </w:r>
      <w:r w:rsidRPr="00857EF9">
        <w:rPr>
          <w:rStyle w:val="FootnoteReference"/>
          <w:lang w:val="fr-FR"/>
        </w:rPr>
        <w:t xml:space="preserve"> </w:t>
      </w:r>
      <w:r w:rsidR="00C13204" w:rsidRPr="00A7289C">
        <w:rPr>
          <w:rStyle w:val="FootnoteReference"/>
        </w:rPr>
        <w:footnoteReference w:id="8"/>
      </w:r>
    </w:p>
    <w:p w:rsidR="00886EE5" w:rsidRPr="00857EF9" w:rsidRDefault="000916E2" w:rsidP="00B563F2">
      <w:pPr>
        <w:pStyle w:val="ListParagraph"/>
        <w:numPr>
          <w:ilvl w:val="0"/>
          <w:numId w:val="25"/>
        </w:numPr>
        <w:tabs>
          <w:tab w:val="num" w:pos="648"/>
          <w:tab w:val="num" w:pos="720"/>
        </w:tabs>
        <w:spacing w:after="120"/>
        <w:contextualSpacing w:val="0"/>
        <w:jc w:val="both"/>
        <w:rPr>
          <w:bCs/>
          <w:lang w:val="fr-FR"/>
        </w:rPr>
      </w:pPr>
      <w:r w:rsidRPr="00857EF9">
        <w:rPr>
          <w:lang w:val="fr-FR"/>
        </w:rPr>
        <w:t>Les opportunités de croissance inclusive et de création d'emplois dans le secteur formel en Haïti peuvent tirer parti de l'emplacement du pays à proximité des grands marchés, de ses accords commerciaux préférentiels avec les États-Unis, le Canada et l'Europe, ainsi que de ses avantages comparatifs dans divers secteurs comme l'agro-industrie, l'habillement, le tourisme et peut-être également l'industrie manufacturière légère</w:t>
      </w:r>
      <w:r w:rsidR="008F3216" w:rsidRPr="00A7289C">
        <w:rPr>
          <w:rStyle w:val="FootnoteReference"/>
        </w:rPr>
        <w:footnoteReference w:id="9"/>
      </w:r>
      <w:r w:rsidRPr="00857EF9">
        <w:rPr>
          <w:lang w:val="fr-FR"/>
        </w:rPr>
        <w:t xml:space="preserve">. De telles opportunités peuvent se concrétiser, à condition qu'Haïti améliore son environnement d'affaires et les conditions d'investissement. </w:t>
      </w:r>
      <w:r w:rsidRPr="00857EF9">
        <w:rPr>
          <w:bCs/>
          <w:lang w:val="fr-FR"/>
        </w:rPr>
        <w:t xml:space="preserve">Avec une main-d'œuvre abondante et peu coûteuse et la proximité des principaux marchés, Haïti dispose d'un potentiel certain pour attirer de nouveaux </w:t>
      </w:r>
      <w:r w:rsidRPr="00857EF9">
        <w:rPr>
          <w:bCs/>
          <w:lang w:val="fr-FR"/>
        </w:rPr>
        <w:lastRenderedPageBreak/>
        <w:t>investissements dans ces secteurs ainsi que dans la construction et la logistique, et peut parallèlement entamer une transition vers des industries et des services à forte valeur ajoutée.</w:t>
      </w:r>
    </w:p>
    <w:p w:rsidR="000F0944" w:rsidRPr="00857EF9" w:rsidRDefault="000E33C4" w:rsidP="00B563F2">
      <w:pPr>
        <w:pStyle w:val="ListParagraph"/>
        <w:numPr>
          <w:ilvl w:val="0"/>
          <w:numId w:val="25"/>
        </w:numPr>
        <w:tabs>
          <w:tab w:val="num" w:pos="648"/>
          <w:tab w:val="num" w:pos="720"/>
        </w:tabs>
        <w:spacing w:after="120"/>
        <w:contextualSpacing w:val="0"/>
        <w:jc w:val="both"/>
        <w:rPr>
          <w:lang w:val="fr-FR"/>
        </w:rPr>
      </w:pPr>
      <w:r w:rsidRPr="00857EF9">
        <w:rPr>
          <w:lang w:val="fr-FR"/>
        </w:rPr>
        <w:t>Dans des pays comme Haïti où le climat des affaires et les incertitudes relatives à la propriété foncière risquent de décourager les investisseurs, il est intéressant de concentrer l'investissement dans des zones spécifiques, où les investisseurs bénéficient de droits fonciers clairement établis, d'une infrastructure de base en place et de politiques favorables. Les zones économiques intégrées (ZEI)</w:t>
      </w:r>
      <w:r w:rsidR="00C13204" w:rsidRPr="00A7289C">
        <w:rPr>
          <w:rStyle w:val="FootnoteReference"/>
          <w:bCs/>
        </w:rPr>
        <w:footnoteReference w:id="10"/>
      </w:r>
      <w:r w:rsidRPr="00857EF9">
        <w:rPr>
          <w:lang w:val="fr-FR"/>
        </w:rPr>
        <w:t xml:space="preserve"> offrent ainsi un mécanisme viable pour surmonter ces difficultés. Le gouvernement haïtien (GH) a fait part de son intention de créer au moins deux nouvelles ZEI dans les trois ans à venir, qui serviront de plates-formes pour faciliter l'investissement privé et atteindre son objectif de création de 500 000 emplois. Les ZEI ne suffiront pas à elles seules à créer tous ces emplois, mais elles représentent l'une des meilleures voies pour atteindre cet ambitieux objectif. </w:t>
      </w:r>
    </w:p>
    <w:p w:rsidR="00172890" w:rsidRPr="00857EF9" w:rsidRDefault="002B1D14" w:rsidP="00B563F2">
      <w:pPr>
        <w:pStyle w:val="ListParagraph"/>
        <w:numPr>
          <w:ilvl w:val="0"/>
          <w:numId w:val="25"/>
        </w:numPr>
        <w:tabs>
          <w:tab w:val="num" w:pos="648"/>
          <w:tab w:val="num" w:pos="720"/>
        </w:tabs>
        <w:spacing w:after="120"/>
        <w:contextualSpacing w:val="0"/>
        <w:jc w:val="both"/>
        <w:rPr>
          <w:lang w:val="fr-FR"/>
        </w:rPr>
      </w:pPr>
      <w:r w:rsidRPr="00857EF9">
        <w:rPr>
          <w:lang w:val="fr-FR"/>
        </w:rPr>
        <w:t>D'autres opportunités d'emploi et de croissance pourront voir le jour à condition d'aider les MPME à devenir des fournisseurs des ZEI et d'autres chaînes de valeur, en améliorant la qualité de leurs biens et services et en réalisant des économies d'échelle. Mais pour y parvenir, les MPME auront besoin d'un appui pour financer leurs immobilisations réduites pour lesquelles il n'existe pas de possibilités de prêt sur le marché</w:t>
      </w:r>
      <w:r w:rsidR="00F71497" w:rsidRPr="00A7289C">
        <w:rPr>
          <w:rStyle w:val="FootnoteReference"/>
        </w:rPr>
        <w:footnoteReference w:id="11"/>
      </w:r>
      <w:r w:rsidRPr="00857EF9">
        <w:rPr>
          <w:lang w:val="fr-FR"/>
        </w:rPr>
        <w:t xml:space="preserve">, et d'une aide en vue de développer leurs compétences commerciales. </w:t>
      </w:r>
    </w:p>
    <w:p w:rsidR="00DB3963" w:rsidRPr="00857EF9" w:rsidRDefault="002C34FE"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Les dirigeants d'Haïti sont conscients des facteurs qui bloquent le développement du secteur privé. </w:t>
      </w:r>
      <w:r w:rsidR="00E01433" w:rsidRPr="00857EF9">
        <w:rPr>
          <w:lang w:val="fr-FR"/>
        </w:rPr>
        <w:t>Ils</w:t>
      </w:r>
      <w:r w:rsidRPr="00857EF9">
        <w:rPr>
          <w:lang w:val="fr-FR"/>
        </w:rPr>
        <w:t xml:space="preserve"> se sont fixé plusieurs priorités en vue de stimuler la croissance économique et l'emploi formel : (i) réformer profondément le climat des affaires, en particulier les aspects mesurés par le rapport </w:t>
      </w:r>
      <w:proofErr w:type="spellStart"/>
      <w:r w:rsidRPr="00857EF9">
        <w:rPr>
          <w:lang w:val="fr-FR"/>
        </w:rPr>
        <w:t>Doing</w:t>
      </w:r>
      <w:proofErr w:type="spellEnd"/>
      <w:r w:rsidRPr="00857EF9">
        <w:rPr>
          <w:lang w:val="fr-FR"/>
        </w:rPr>
        <w:t xml:space="preserve"> Business ; (ii) créer des zones économiques intégrées (ZEI) et lancer diverses activités de promotion de l'investissement local et étranger ; (iii) adopter une approche sectorielle privilégiant l'agro-industrie, l'habillement et le tourisme ; et (iv) mettre en place des programmes destinés à rendre les MPME plus robustes. </w:t>
      </w:r>
    </w:p>
    <w:p w:rsidR="00F2685D" w:rsidRPr="00857EF9" w:rsidRDefault="00F2685D" w:rsidP="00B563F2">
      <w:pPr>
        <w:pStyle w:val="ListParagraph"/>
        <w:numPr>
          <w:ilvl w:val="0"/>
          <w:numId w:val="25"/>
        </w:numPr>
        <w:tabs>
          <w:tab w:val="num" w:pos="648"/>
          <w:tab w:val="num" w:pos="720"/>
        </w:tabs>
        <w:spacing w:after="120"/>
        <w:contextualSpacing w:val="0"/>
        <w:jc w:val="both"/>
        <w:rPr>
          <w:lang w:val="fr-FR"/>
        </w:rPr>
      </w:pPr>
      <w:r w:rsidRPr="00857EF9">
        <w:rPr>
          <w:lang w:val="fr-FR"/>
        </w:rPr>
        <w:t>L'État haïtien a déjà accompli des pas importants dans cette direction. Établie en septembre 2012 pour préparer des réformes législatives de l'environnement des entreprises, la Commission pour la Réforme du Droit des Affaires (CPRA) a déjà soumis plusieurs propositions de loi au gouvernement</w:t>
      </w:r>
      <w:r w:rsidR="00632437" w:rsidRPr="00A7289C">
        <w:rPr>
          <w:rStyle w:val="FootnoteReference"/>
        </w:rPr>
        <w:footnoteReference w:id="12"/>
      </w:r>
      <w:r w:rsidR="00E01433" w:rsidRPr="00857EF9">
        <w:rPr>
          <w:lang w:val="fr-FR"/>
        </w:rPr>
        <w:t xml:space="preserve">. </w:t>
      </w:r>
      <w:r w:rsidRPr="00857EF9">
        <w:rPr>
          <w:lang w:val="fr-FR"/>
        </w:rPr>
        <w:t xml:space="preserve">L'État haïtien est également en train de mettre en place un groupe de travail de haut niveau composé de plusieurs entités publiques et privées, qui sera chargé de mener à bien un ambitieux programme d'amélioration du climat des affaires. Le président </w:t>
      </w:r>
      <w:proofErr w:type="spellStart"/>
      <w:r w:rsidRPr="00857EF9">
        <w:rPr>
          <w:lang w:val="fr-FR"/>
        </w:rPr>
        <w:t>Martelly</w:t>
      </w:r>
      <w:proofErr w:type="spellEnd"/>
      <w:r w:rsidRPr="00857EF9">
        <w:rPr>
          <w:lang w:val="fr-FR"/>
        </w:rPr>
        <w:t xml:space="preserve"> a récemment promulgué une nouvelle réglementation pour les zones franches</w:t>
      </w:r>
      <w:r w:rsidRPr="00A7289C">
        <w:rPr>
          <w:rStyle w:val="FootnoteReference"/>
        </w:rPr>
        <w:footnoteReference w:id="13"/>
      </w:r>
      <w:r w:rsidRPr="00857EF9">
        <w:rPr>
          <w:lang w:val="fr-FR"/>
        </w:rPr>
        <w:t xml:space="preserve">, et le gouvernement poursuit activement un plan agressif d'ouverture de nouvelles </w:t>
      </w:r>
      <w:r w:rsidRPr="00857EF9">
        <w:rPr>
          <w:lang w:val="fr-FR"/>
        </w:rPr>
        <w:lastRenderedPageBreak/>
        <w:t>ZEI</w:t>
      </w:r>
      <w:r w:rsidR="00FB4F8B" w:rsidRPr="00A7289C">
        <w:rPr>
          <w:rStyle w:val="FootnoteReference"/>
        </w:rPr>
        <w:footnoteReference w:id="14"/>
      </w:r>
      <w:r w:rsidRPr="00857EF9">
        <w:rPr>
          <w:lang w:val="fr-FR"/>
        </w:rPr>
        <w:t xml:space="preserve"> et de développement des existantes. D'autres initiatives gouvernementales viennent aussi soutenir les MPME, par exemple la mise en place d'un Fonds de garantie partielle de crédit</w:t>
      </w:r>
      <w:r w:rsidR="00850254" w:rsidRPr="00A7289C">
        <w:rPr>
          <w:rStyle w:val="FootnoteReference"/>
        </w:rPr>
        <w:footnoteReference w:id="15"/>
      </w:r>
      <w:r w:rsidRPr="00857EF9">
        <w:rPr>
          <w:lang w:val="fr-FR"/>
        </w:rPr>
        <w:t>, un registre des crédits à la Banque centrale ainsi qu'un éventail de mesures pour faciliter l'accès des MPME aux services de développement des entreprises (SDE) et au financement.</w:t>
      </w:r>
    </w:p>
    <w:p w:rsidR="003A0F1E" w:rsidRPr="00857EF9" w:rsidRDefault="00A91B4C"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Pour poursuivre dans cette direction, des mesures complémentaires seront nécessaires afin de : </w:t>
      </w:r>
    </w:p>
    <w:p w:rsidR="00C47D7B" w:rsidRPr="00857EF9" w:rsidRDefault="00C47D7B" w:rsidP="00B563F2">
      <w:pPr>
        <w:pStyle w:val="ListParagraph"/>
        <w:numPr>
          <w:ilvl w:val="1"/>
          <w:numId w:val="21"/>
        </w:numPr>
        <w:tabs>
          <w:tab w:val="clear" w:pos="720"/>
          <w:tab w:val="num" w:pos="1008"/>
        </w:tabs>
        <w:ind w:left="540"/>
        <w:contextualSpacing w:val="0"/>
        <w:jc w:val="both"/>
        <w:rPr>
          <w:lang w:val="fr-FR"/>
        </w:rPr>
      </w:pPr>
      <w:r w:rsidRPr="00857EF9">
        <w:rPr>
          <w:lang w:val="fr-FR"/>
        </w:rPr>
        <w:t>Finaliser et mettre en œuvre un plan d'amélioration du climat des affaires</w:t>
      </w:r>
      <w:r w:rsidR="000F0944" w:rsidRPr="00A7289C">
        <w:rPr>
          <w:rStyle w:val="FootnoteReference"/>
        </w:rPr>
        <w:footnoteReference w:id="16"/>
      </w:r>
      <w:r w:rsidRPr="00857EF9">
        <w:rPr>
          <w:lang w:val="fr-FR"/>
        </w:rPr>
        <w:t xml:space="preserve">. </w:t>
      </w:r>
    </w:p>
    <w:p w:rsidR="00C47D7B" w:rsidRPr="00857EF9" w:rsidRDefault="00C47D7B" w:rsidP="00B563F2">
      <w:pPr>
        <w:pStyle w:val="ListParagraph"/>
        <w:numPr>
          <w:ilvl w:val="1"/>
          <w:numId w:val="21"/>
        </w:numPr>
        <w:tabs>
          <w:tab w:val="clear" w:pos="720"/>
          <w:tab w:val="num" w:pos="1008"/>
        </w:tabs>
        <w:ind w:left="540"/>
        <w:contextualSpacing w:val="0"/>
        <w:jc w:val="both"/>
        <w:rPr>
          <w:lang w:val="fr-FR"/>
        </w:rPr>
      </w:pPr>
      <w:r w:rsidRPr="00857EF9">
        <w:rPr>
          <w:lang w:val="fr-FR"/>
        </w:rPr>
        <w:t>Améliorer le cadre législatif et incitatif pour stimuler les investissements dans les ZEI</w:t>
      </w:r>
      <w:r w:rsidR="00223E84" w:rsidRPr="00A7289C">
        <w:rPr>
          <w:rStyle w:val="FootnoteReference"/>
        </w:rPr>
        <w:footnoteReference w:id="17"/>
      </w:r>
      <w:r w:rsidRPr="00857EF9">
        <w:rPr>
          <w:lang w:val="fr-FR"/>
        </w:rPr>
        <w:t xml:space="preserve"> ; et </w:t>
      </w:r>
    </w:p>
    <w:p w:rsidR="001E4AB3" w:rsidRPr="00857EF9" w:rsidRDefault="00C47D7B" w:rsidP="00B563F2">
      <w:pPr>
        <w:pStyle w:val="ListParagraph"/>
        <w:numPr>
          <w:ilvl w:val="1"/>
          <w:numId w:val="21"/>
        </w:numPr>
        <w:tabs>
          <w:tab w:val="clear" w:pos="720"/>
          <w:tab w:val="num" w:pos="1008"/>
        </w:tabs>
        <w:spacing w:after="240"/>
        <w:ind w:left="540"/>
        <w:contextualSpacing w:val="0"/>
        <w:jc w:val="both"/>
        <w:rPr>
          <w:lang w:val="fr-FR"/>
        </w:rPr>
      </w:pPr>
      <w:r w:rsidRPr="00857EF9">
        <w:rPr>
          <w:lang w:val="fr-FR"/>
        </w:rPr>
        <w:t xml:space="preserve">Établir des liens entre les MPME et les grandes entreprises dans des secteurs potentiellement prometteurs afin d'optimiser les investissements dans ces secteurs à forte valeur ajoutée. </w:t>
      </w:r>
    </w:p>
    <w:p w:rsidR="00B71C8D" w:rsidRPr="00857EF9" w:rsidRDefault="00B71C8D" w:rsidP="002843B5">
      <w:pPr>
        <w:pStyle w:val="PDSHeading2"/>
        <w:tabs>
          <w:tab w:val="clear" w:pos="360"/>
        </w:tabs>
        <w:spacing w:after="240"/>
        <w:ind w:left="648"/>
        <w:rPr>
          <w:bCs/>
          <w:lang w:val="fr-FR"/>
        </w:rPr>
      </w:pPr>
      <w:bookmarkStart w:id="3" w:name="_Toc362270212"/>
      <w:r w:rsidRPr="00857EF9">
        <w:rPr>
          <w:bCs/>
          <w:lang w:val="fr-FR"/>
        </w:rPr>
        <w:t>Objectifs supérieurs appuyés par le projet</w:t>
      </w:r>
      <w:bookmarkEnd w:id="3"/>
    </w:p>
    <w:p w:rsidR="00B71C8D" w:rsidRPr="00857EF9" w:rsidRDefault="00B71C8D" w:rsidP="00B563F2">
      <w:pPr>
        <w:pStyle w:val="ListParagraph"/>
        <w:numPr>
          <w:ilvl w:val="0"/>
          <w:numId w:val="25"/>
        </w:numPr>
        <w:tabs>
          <w:tab w:val="num" w:pos="720"/>
        </w:tabs>
        <w:spacing w:after="120"/>
        <w:contextualSpacing w:val="0"/>
        <w:jc w:val="both"/>
        <w:rPr>
          <w:lang w:val="fr-FR"/>
        </w:rPr>
      </w:pPr>
      <w:r w:rsidRPr="00857EF9">
        <w:rPr>
          <w:lang w:val="fr-FR"/>
        </w:rPr>
        <w:t>Le projet proposé est inclus dans la Note de stratégie intérimaire pour Haïti 2013-2014 (ISN 2 – 71885 – HT) du Groupe de la Banque mondiale (GBM) qui a été discutée en septembre 2012. La NSI prévoit une seconde tranche de 500 millions de dollars qui seront versés à Haïti par le guichet de financement des ripostes aux crises de l'Association internationale de développement (IDA)</w:t>
      </w:r>
      <w:r w:rsidR="00E01433" w:rsidRPr="00857EF9">
        <w:rPr>
          <w:lang w:val="fr-FR"/>
        </w:rPr>
        <w:t xml:space="preserve">. </w:t>
      </w:r>
      <w:r w:rsidRPr="00857EF9">
        <w:rPr>
          <w:lang w:val="fr-FR"/>
        </w:rPr>
        <w:t>Les objectifs de ce projet sont (i) de réduire la vulnérabilité et de renforcer la résilience, (ii) de favoriser une reconstruction durable, (iii) de développer le capital humain, et (iv) de revitaliser l'économie. Le renforcement de la gouvernance constitue un thème transversal. Ce projet représente un instrument clé pour atteindre le quatrième objectif stratégique. Il répond aux priorités d'Haïti : améliorer le climat des affaires</w:t>
      </w:r>
      <w:r w:rsidR="00185FC5" w:rsidRPr="00A7289C">
        <w:rPr>
          <w:rStyle w:val="FootnoteReference"/>
        </w:rPr>
        <w:footnoteReference w:id="18"/>
      </w:r>
      <w:r w:rsidRPr="00857EF9">
        <w:rPr>
          <w:lang w:val="fr-FR"/>
        </w:rPr>
        <w:t>, promouvoir l'investissement, faciliter la création d'emplois durables dans le secteur privé, renforcer les MPME et encourager la décentralisation économique en dehors de Port-au-Prince à l'aide des ZEI.</w:t>
      </w:r>
      <w:r w:rsidRPr="00857EF9">
        <w:rPr>
          <w:rStyle w:val="CommentReference"/>
          <w:lang w:val="fr-FR"/>
        </w:rPr>
        <w:t xml:space="preserve"> </w:t>
      </w:r>
      <w:r w:rsidRPr="00857EF9">
        <w:rPr>
          <w:lang w:val="fr-FR"/>
        </w:rPr>
        <w:t>Les activités du projet complètent et s'intègrent à d'autres projets du GBM, notamment le futur projet sur l'héritage cultur</w:t>
      </w:r>
      <w:r w:rsidR="00FB137A" w:rsidRPr="00857EF9">
        <w:rPr>
          <w:lang w:val="fr-FR"/>
        </w:rPr>
        <w:t>e</w:t>
      </w:r>
      <w:r w:rsidRPr="00857EF9">
        <w:rPr>
          <w:lang w:val="fr-FR"/>
        </w:rPr>
        <w:t xml:space="preserve">l et le tourisme durable ainsi que les activités de conseil du GBM pour encourager l'investissement étranger (projet IFC/CIC de promotion de l'investissement pour Haïti). </w:t>
      </w:r>
    </w:p>
    <w:p w:rsidR="00A6058B" w:rsidRPr="00857EF9" w:rsidRDefault="00A6058B" w:rsidP="00A6058B">
      <w:pPr>
        <w:pStyle w:val="ListParagraph"/>
        <w:tabs>
          <w:tab w:val="num" w:pos="720"/>
        </w:tabs>
        <w:ind w:left="0"/>
        <w:contextualSpacing w:val="0"/>
        <w:jc w:val="both"/>
        <w:rPr>
          <w:lang w:val="fr-FR"/>
        </w:rPr>
      </w:pPr>
    </w:p>
    <w:p w:rsidR="00B71C8D" w:rsidRPr="00A7289C" w:rsidRDefault="00B71C8D" w:rsidP="004E7A7F">
      <w:pPr>
        <w:pStyle w:val="PDSHeading1"/>
        <w:tabs>
          <w:tab w:val="clear" w:pos="0"/>
          <w:tab w:val="num" w:pos="648"/>
        </w:tabs>
        <w:spacing w:after="240"/>
        <w:ind w:left="288"/>
        <w:rPr>
          <w:bCs/>
        </w:rPr>
      </w:pPr>
      <w:bookmarkStart w:id="4" w:name="_Toc362270213"/>
      <w:r>
        <w:rPr>
          <w:bCs/>
        </w:rPr>
        <w:lastRenderedPageBreak/>
        <w:t>OBJECTIFS DE DÉVELOPPEMENT DU PROJET</w:t>
      </w:r>
      <w:bookmarkEnd w:id="4"/>
    </w:p>
    <w:p w:rsidR="00B71C8D" w:rsidRPr="00A7289C" w:rsidRDefault="00B71C8D" w:rsidP="004E7A7F">
      <w:pPr>
        <w:pStyle w:val="PDSHeading2"/>
        <w:tabs>
          <w:tab w:val="clear" w:pos="360"/>
        </w:tabs>
        <w:spacing w:after="240"/>
        <w:ind w:left="648"/>
        <w:rPr>
          <w:bCs/>
        </w:rPr>
      </w:pPr>
      <w:bookmarkStart w:id="5" w:name="_Toc362270214"/>
      <w:r>
        <w:rPr>
          <w:bCs/>
        </w:rPr>
        <w:t>ODP</w:t>
      </w:r>
      <w:bookmarkEnd w:id="5"/>
    </w:p>
    <w:p w:rsidR="001D14D9" w:rsidRPr="00857EF9" w:rsidRDefault="002A367A" w:rsidP="00B563F2">
      <w:pPr>
        <w:pStyle w:val="ListParagraph"/>
        <w:numPr>
          <w:ilvl w:val="0"/>
          <w:numId w:val="25"/>
        </w:numPr>
        <w:tabs>
          <w:tab w:val="num" w:pos="648"/>
          <w:tab w:val="num" w:pos="720"/>
        </w:tabs>
        <w:spacing w:after="120"/>
        <w:contextualSpacing w:val="0"/>
        <w:jc w:val="both"/>
        <w:rPr>
          <w:bCs/>
          <w:lang w:val="fr-FR"/>
        </w:rPr>
      </w:pPr>
      <w:r w:rsidRPr="00857EF9">
        <w:rPr>
          <w:lang w:val="fr-FR"/>
        </w:rPr>
        <w:t xml:space="preserve"> Le projet vise à aider le bénéficiaire (a) à améliorer les conditions d'investissement dans le secteur privé et la croissance inclusive ; et (b) à renforcer ses capacités à réagir rapidement et efficacement à une situation d'urgence éligible. </w:t>
      </w:r>
    </w:p>
    <w:p w:rsidR="00B71C8D" w:rsidRPr="00857EF9" w:rsidRDefault="002A367A" w:rsidP="00B563F2">
      <w:pPr>
        <w:pStyle w:val="ListParagraph"/>
        <w:numPr>
          <w:ilvl w:val="0"/>
          <w:numId w:val="25"/>
        </w:numPr>
        <w:tabs>
          <w:tab w:val="num" w:pos="648"/>
          <w:tab w:val="num" w:pos="720"/>
        </w:tabs>
        <w:spacing w:after="120"/>
        <w:contextualSpacing w:val="0"/>
        <w:jc w:val="both"/>
        <w:rPr>
          <w:bCs/>
          <w:lang w:val="fr-FR"/>
        </w:rPr>
      </w:pPr>
      <w:r w:rsidRPr="00857EF9">
        <w:rPr>
          <w:bCs/>
          <w:lang w:val="fr-FR"/>
        </w:rPr>
        <w:t xml:space="preserve"> Il agira au niveau national en aidant la République d'Haïti à améliorer, en particulier, les cadres réglementaires qui gouvernent les activités des entreprises, les procédures associées ainsi que les capacités des organes d'exécution. Pour encourager l'investissement dans le secteur privé, le GH va réviser la loi sur les ZEI et développer les capacités de son organe d'exécution tout en lançant des travaux préparatoires d'évaluation de la faisabilité d'au moins une ZEI. Les services de développement des entreprises (SDE) apporteront aux MPME une assistance technique et fourniront des subventions de contrepartie à celles qui sont installées dans et autour des ZEI ou qui travaillent dans le secteur du tourisme, dans le cadre d'une stratégie de promotion d'un modèle de croissance économique plus inclusif.</w:t>
      </w:r>
    </w:p>
    <w:p w:rsidR="00B71C8D" w:rsidRPr="00A7289C" w:rsidRDefault="00B71C8D" w:rsidP="004E7A7F">
      <w:pPr>
        <w:pStyle w:val="PDSHeading2"/>
        <w:tabs>
          <w:tab w:val="clear" w:pos="360"/>
        </w:tabs>
        <w:spacing w:after="240"/>
        <w:ind w:left="648"/>
        <w:rPr>
          <w:bCs/>
        </w:rPr>
      </w:pPr>
      <w:bookmarkStart w:id="6" w:name="_Toc362270215"/>
      <w:proofErr w:type="spellStart"/>
      <w:r>
        <w:rPr>
          <w:bCs/>
        </w:rPr>
        <w:t>Bénéficiaires</w:t>
      </w:r>
      <w:proofErr w:type="spellEnd"/>
      <w:r>
        <w:rPr>
          <w:bCs/>
        </w:rPr>
        <w:t xml:space="preserve"> du </w:t>
      </w:r>
      <w:proofErr w:type="spellStart"/>
      <w:r>
        <w:rPr>
          <w:bCs/>
        </w:rPr>
        <w:t>projet</w:t>
      </w:r>
      <w:bookmarkEnd w:id="6"/>
      <w:proofErr w:type="spellEnd"/>
    </w:p>
    <w:p w:rsidR="00A02724" w:rsidRPr="00857EF9" w:rsidRDefault="00B71C8D"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Ceux qui </w:t>
      </w:r>
      <w:r w:rsidRPr="00857EF9">
        <w:rPr>
          <w:bCs/>
          <w:lang w:val="fr-FR"/>
        </w:rPr>
        <w:t>bénéficient</w:t>
      </w:r>
      <w:r w:rsidRPr="00857EF9">
        <w:rPr>
          <w:lang w:val="fr-FR"/>
        </w:rPr>
        <w:t xml:space="preserve"> directement du projet sont les opérateurs, nationaux et étrangers, du secteur privé, notamment les MPME, leurs propriétaires et leurs employés</w:t>
      </w:r>
      <w:r w:rsidR="00E01433" w:rsidRPr="00857EF9">
        <w:rPr>
          <w:lang w:val="fr-FR"/>
        </w:rPr>
        <w:t xml:space="preserve">. </w:t>
      </w:r>
      <w:r w:rsidRPr="00857EF9">
        <w:rPr>
          <w:lang w:val="fr-FR"/>
        </w:rPr>
        <w:t>Les réformes du climat des affaires contribueront à offrir des chances égales à toutes les entreprises, surtout aux MPME. La simplification des procédures de création d'entreprise, d'obtention de permis de construire et de licences d'exploitation, l'accès au financement et le renforcement de la concurrence devraient stimuler la création et le développement des MPME. Des réformes du système de règlement des dettes et des procédures de liquidation des entreprises devraient améliorer l'accès au crédit tout en préservant la valeur (et les emplois) de certaines sociétés en mauvaise posture, mais néanmoins viables</w:t>
      </w:r>
      <w:r w:rsidR="00E01433" w:rsidRPr="00857EF9">
        <w:rPr>
          <w:lang w:val="fr-FR"/>
        </w:rPr>
        <w:t xml:space="preserve">. </w:t>
      </w:r>
      <w:r w:rsidRPr="00857EF9">
        <w:rPr>
          <w:lang w:val="fr-FR"/>
        </w:rPr>
        <w:t xml:space="preserve">On peut espérer que la mise en place d'un environnement favorable pour les ZEI et la préparation d'études de faisabilité pour une ou plusieurs ZEI potentielles créeront les conditions d'un accroissement des investissements locaux et étrangers dans certaines zones géographiques, où les sociétés implantées dans les ZEI pourront établir des relations commerciales avec les entreprises locales. L'aide fournie par les services de développement des entreprises aux MPME pour pénétrer dans des chaînes de valeur contribuera à la croissance inclusive, en particulier au profit des femmes. </w:t>
      </w:r>
    </w:p>
    <w:p w:rsidR="00B71C8D" w:rsidRPr="00A7289C" w:rsidRDefault="00B71C8D" w:rsidP="004E7A7F">
      <w:pPr>
        <w:pStyle w:val="PDSHeading2"/>
        <w:tabs>
          <w:tab w:val="clear" w:pos="360"/>
        </w:tabs>
        <w:spacing w:after="240"/>
        <w:ind w:left="648"/>
        <w:rPr>
          <w:bCs/>
        </w:rPr>
      </w:pPr>
      <w:bookmarkStart w:id="7" w:name="_Toc362270216"/>
      <w:proofErr w:type="spellStart"/>
      <w:r>
        <w:rPr>
          <w:bCs/>
        </w:rPr>
        <w:t>Indicateurs</w:t>
      </w:r>
      <w:proofErr w:type="spellEnd"/>
      <w:r>
        <w:rPr>
          <w:bCs/>
        </w:rPr>
        <w:t xml:space="preserve"> de </w:t>
      </w:r>
      <w:proofErr w:type="spellStart"/>
      <w:r>
        <w:rPr>
          <w:bCs/>
        </w:rPr>
        <w:t>résultats</w:t>
      </w:r>
      <w:proofErr w:type="spellEnd"/>
      <w:r>
        <w:rPr>
          <w:bCs/>
        </w:rPr>
        <w:t xml:space="preserve"> des ODP</w:t>
      </w:r>
      <w:bookmarkEnd w:id="7"/>
    </w:p>
    <w:p w:rsidR="00B71C8D" w:rsidRPr="00857EF9" w:rsidRDefault="00B71C8D" w:rsidP="00B563F2">
      <w:pPr>
        <w:pStyle w:val="ListParagraph"/>
        <w:numPr>
          <w:ilvl w:val="0"/>
          <w:numId w:val="25"/>
        </w:numPr>
        <w:tabs>
          <w:tab w:val="num" w:pos="648"/>
          <w:tab w:val="num" w:pos="720"/>
        </w:tabs>
        <w:spacing w:after="120"/>
        <w:contextualSpacing w:val="0"/>
        <w:jc w:val="both"/>
        <w:rPr>
          <w:lang w:val="fr-FR"/>
        </w:rPr>
      </w:pPr>
      <w:r w:rsidRPr="00857EF9">
        <w:rPr>
          <w:lang w:val="fr-FR"/>
        </w:rPr>
        <w:t>Les indicateurs de résultats suivants seront utilisés pour mesurer l'avancement des ODP :</w:t>
      </w:r>
    </w:p>
    <w:p w:rsidR="00B71C8D" w:rsidRPr="00857EF9" w:rsidRDefault="00C12A59" w:rsidP="00B563F2">
      <w:pPr>
        <w:pStyle w:val="ListParagraph"/>
        <w:numPr>
          <w:ilvl w:val="0"/>
          <w:numId w:val="20"/>
        </w:numPr>
        <w:spacing w:after="120"/>
        <w:ind w:left="936"/>
        <w:contextualSpacing w:val="0"/>
        <w:jc w:val="both"/>
        <w:rPr>
          <w:lang w:val="fr-FR"/>
        </w:rPr>
      </w:pPr>
      <w:r w:rsidRPr="00857EF9">
        <w:rPr>
          <w:lang w:val="fr-FR"/>
        </w:rPr>
        <w:t>Réformes du climat des affaires</w:t>
      </w:r>
      <w:r w:rsidR="00E01433" w:rsidRPr="00857EF9">
        <w:rPr>
          <w:lang w:val="fr-FR"/>
        </w:rPr>
        <w:t> :</w:t>
      </w:r>
      <w:r w:rsidRPr="00857EF9">
        <w:rPr>
          <w:lang w:val="fr-FR"/>
        </w:rPr>
        <w:t xml:space="preserve"> au départ, l'amélioration du climat des affaires sera déterminée en fonction de l'amélioration de quatre à cinq mesures qui évaluent la qualité de l'environnement des affaires. Le nombre et le volume des prêts garantis par des biens mobiliers mesureront l'impact des réformes sur les transactions sécurisées et l'insolvabilité. </w:t>
      </w:r>
    </w:p>
    <w:p w:rsidR="00FA6922" w:rsidRPr="00857EF9" w:rsidRDefault="00C12A59" w:rsidP="00B563F2">
      <w:pPr>
        <w:pStyle w:val="ListParagraph"/>
        <w:numPr>
          <w:ilvl w:val="0"/>
          <w:numId w:val="20"/>
        </w:numPr>
        <w:spacing w:after="120"/>
        <w:ind w:left="936"/>
        <w:contextualSpacing w:val="0"/>
        <w:jc w:val="both"/>
        <w:rPr>
          <w:lang w:val="fr-FR"/>
        </w:rPr>
      </w:pPr>
      <w:r w:rsidRPr="00857EF9">
        <w:rPr>
          <w:lang w:val="fr-FR"/>
        </w:rPr>
        <w:t xml:space="preserve">Promotion de l'investissement : L'achèvement d'au moins une étude de faisabilité pour une ZEI constitue un indicateur de processus. La hausse des investissements privés et des créations d'emplois dans deux ou trois secteurs clés (agro-industrie, habillement ou tourisme), mesurée par le nombre et le volume d'investissements et d'emplois </w:t>
      </w:r>
      <w:r w:rsidRPr="00857EF9">
        <w:rPr>
          <w:lang w:val="fr-FR"/>
        </w:rPr>
        <w:lastRenderedPageBreak/>
        <w:t xml:space="preserve">supplémentaires (ventilés par sexe) créés dans ces secteurs sous l'impulsion du projet, constitue un résultat escompté.  </w:t>
      </w:r>
    </w:p>
    <w:p w:rsidR="00B71C8D" w:rsidRPr="00857EF9" w:rsidRDefault="00C12A59" w:rsidP="00B563F2">
      <w:pPr>
        <w:pStyle w:val="ListParagraph"/>
        <w:numPr>
          <w:ilvl w:val="0"/>
          <w:numId w:val="20"/>
        </w:numPr>
        <w:spacing w:after="120"/>
        <w:ind w:left="936"/>
        <w:contextualSpacing w:val="0"/>
        <w:jc w:val="both"/>
        <w:rPr>
          <w:lang w:val="fr-FR"/>
        </w:rPr>
      </w:pPr>
      <w:r w:rsidRPr="00857EF9">
        <w:rPr>
          <w:lang w:val="fr-FR"/>
        </w:rPr>
        <w:t>Services de développement des entreprises : croissance des MPME intégrées à des chaînes de valeur dans des secteurs clés, mesurée par le nombre d'emplois supplémentaires à plein temps dans les MPME soutenues par le projet, ventilés par sexe.</w:t>
      </w:r>
    </w:p>
    <w:p w:rsidR="00B71C8D" w:rsidRPr="00857EF9" w:rsidRDefault="00B71C8D" w:rsidP="00B563F2">
      <w:pPr>
        <w:pStyle w:val="ListParagraph"/>
        <w:numPr>
          <w:ilvl w:val="0"/>
          <w:numId w:val="25"/>
        </w:numPr>
        <w:tabs>
          <w:tab w:val="num" w:pos="648"/>
          <w:tab w:val="num" w:pos="720"/>
        </w:tabs>
        <w:spacing w:after="120"/>
        <w:contextualSpacing w:val="0"/>
        <w:jc w:val="both"/>
        <w:rPr>
          <w:lang w:val="fr-FR"/>
        </w:rPr>
      </w:pPr>
      <w:r w:rsidRPr="00857EF9">
        <w:rPr>
          <w:lang w:val="fr-FR"/>
        </w:rPr>
        <w:t>L'</w:t>
      </w:r>
      <w:r w:rsidR="00FB137A" w:rsidRPr="00857EF9">
        <w:rPr>
          <w:lang w:val="fr-FR"/>
        </w:rPr>
        <w:t>annexe </w:t>
      </w:r>
      <w:r w:rsidRPr="00857EF9">
        <w:rPr>
          <w:lang w:val="fr-FR"/>
        </w:rPr>
        <w:t>1 contient une présentation plus détaillée des indicateurs de résultats ainsi que la description des indicateurs intermédiaires.</w:t>
      </w:r>
    </w:p>
    <w:p w:rsidR="00F34B88" w:rsidRPr="00857EF9" w:rsidRDefault="00F34B88" w:rsidP="001E422F">
      <w:pPr>
        <w:pStyle w:val="ListParagraph"/>
        <w:tabs>
          <w:tab w:val="num" w:pos="720"/>
        </w:tabs>
        <w:ind w:left="0"/>
        <w:contextualSpacing w:val="0"/>
        <w:jc w:val="both"/>
        <w:rPr>
          <w:lang w:val="fr-FR"/>
        </w:rPr>
      </w:pPr>
    </w:p>
    <w:p w:rsidR="00B71C8D" w:rsidRPr="00A7289C" w:rsidRDefault="00B71C8D" w:rsidP="004E7A7F">
      <w:pPr>
        <w:pStyle w:val="PDSHeading1"/>
        <w:tabs>
          <w:tab w:val="clear" w:pos="0"/>
          <w:tab w:val="num" w:pos="648"/>
        </w:tabs>
        <w:spacing w:after="240"/>
        <w:ind w:left="288"/>
        <w:rPr>
          <w:bCs/>
        </w:rPr>
      </w:pPr>
      <w:bookmarkStart w:id="8" w:name="_Toc362270217"/>
      <w:r>
        <w:rPr>
          <w:bCs/>
        </w:rPr>
        <w:t>DESCRIPTION DU PROJET</w:t>
      </w:r>
      <w:bookmarkEnd w:id="8"/>
      <w:r>
        <w:rPr>
          <w:bCs/>
        </w:rPr>
        <w:t xml:space="preserve"> </w:t>
      </w:r>
    </w:p>
    <w:p w:rsidR="00B71C8D" w:rsidRPr="00A7289C" w:rsidRDefault="00B71C8D" w:rsidP="009F5A95">
      <w:pPr>
        <w:pStyle w:val="PDSHeading2"/>
        <w:tabs>
          <w:tab w:val="clear" w:pos="360"/>
        </w:tabs>
        <w:spacing w:after="240"/>
        <w:ind w:left="648"/>
        <w:rPr>
          <w:bCs/>
        </w:rPr>
      </w:pPr>
      <w:bookmarkStart w:id="9" w:name="_Toc362270218"/>
      <w:r>
        <w:rPr>
          <w:bCs/>
        </w:rPr>
        <w:t>Introduction</w:t>
      </w:r>
      <w:bookmarkEnd w:id="9"/>
    </w:p>
    <w:p w:rsidR="00B71C8D" w:rsidRPr="00857EF9" w:rsidRDefault="00B71C8D"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 Ce projet se concentre sur un nombre limité de thèmes dont l'impact sera probablement significatif et durable. Il bénéficie d'un appui dans le cadre de l'approche coordonnée du GBM qui prend en compte tous les projets soutenus par la Banque interaméricaine de développement (BID), l'Union européenne (UE) et d'autres partenaires. Le projet continuera à s'appuyer sur les activités de conseil du GBP en matière de promotion de l'investissement</w:t>
      </w:r>
      <w:r w:rsidR="00F2685D" w:rsidRPr="00A7289C">
        <w:rPr>
          <w:rStyle w:val="FootnoteReference"/>
        </w:rPr>
        <w:footnoteReference w:id="19"/>
      </w:r>
      <w:r w:rsidRPr="00857EF9">
        <w:rPr>
          <w:lang w:val="fr-FR"/>
        </w:rPr>
        <w:t xml:space="preserve"> et de réforme sur la façon de faire des affaires (</w:t>
      </w:r>
      <w:proofErr w:type="spellStart"/>
      <w:r w:rsidRPr="00857EF9">
        <w:rPr>
          <w:lang w:val="fr-FR"/>
        </w:rPr>
        <w:t>Doing</w:t>
      </w:r>
      <w:proofErr w:type="spellEnd"/>
      <w:r w:rsidRPr="00857EF9">
        <w:rPr>
          <w:lang w:val="fr-FR"/>
        </w:rPr>
        <w:t xml:space="preserve"> Business), notamment pour ce qui concerne l'inclusion financière et les transactions sécurisées</w:t>
      </w:r>
      <w:r w:rsidR="00837BE2" w:rsidRPr="00A7289C">
        <w:rPr>
          <w:rStyle w:val="FootnoteReference"/>
        </w:rPr>
        <w:footnoteReference w:id="20"/>
      </w:r>
      <w:r w:rsidRPr="00857EF9">
        <w:rPr>
          <w:lang w:val="fr-FR"/>
        </w:rPr>
        <w:t>. La réussite de la mise en œuvre du projet nécessitera le maintien d'un dialogue fluide avec les branches exécutive et législative du gouvernement ainsi qu'avec les représentants du secteur privé et les bailleurs. La conception du projet s'applique à utiliser des organismes existants</w:t>
      </w:r>
      <w:r w:rsidR="00BF29C3" w:rsidRPr="00A7289C">
        <w:rPr>
          <w:rStyle w:val="FootnoteReference"/>
        </w:rPr>
        <w:footnoteReference w:id="21"/>
      </w:r>
      <w:r w:rsidRPr="00857EF9">
        <w:rPr>
          <w:lang w:val="fr-FR"/>
        </w:rPr>
        <w:t xml:space="preserve"> susceptibles de renforcer le dialogue public-privé, de stimuler l'adhésion des parties prenantes et de documenter les prises de décisions. Concrètement, le projet contribuera à l'organisation d'ateliers destinés à inclure les parties prenantes concernées dans les discussions sur la conception de chacune des activités, concernant notamment l'ordre de priorité des réformes dans le </w:t>
      </w:r>
      <w:r w:rsidR="00D33C64" w:rsidRPr="00857EF9">
        <w:rPr>
          <w:lang w:val="fr-FR"/>
        </w:rPr>
        <w:t>p</w:t>
      </w:r>
      <w:r w:rsidRPr="00857EF9">
        <w:rPr>
          <w:lang w:val="fr-FR"/>
        </w:rPr>
        <w:t>lan d'action sur le climat des affaires, la sélection des sites des ZEI et le ciblage des secteurs et des lieux où les M</w:t>
      </w:r>
      <w:r w:rsidR="00FB137A" w:rsidRPr="00857EF9">
        <w:rPr>
          <w:lang w:val="fr-FR"/>
        </w:rPr>
        <w:t>P</w:t>
      </w:r>
      <w:r w:rsidRPr="00857EF9">
        <w:rPr>
          <w:lang w:val="fr-FR"/>
        </w:rPr>
        <w:t xml:space="preserve">ME recevront un appui. </w:t>
      </w:r>
    </w:p>
    <w:p w:rsidR="00A6058B" w:rsidRPr="00857EF9" w:rsidRDefault="00A6058B" w:rsidP="00A6058B">
      <w:pPr>
        <w:pStyle w:val="ListParagraph"/>
        <w:tabs>
          <w:tab w:val="num" w:pos="720"/>
        </w:tabs>
        <w:ind w:left="0"/>
        <w:contextualSpacing w:val="0"/>
        <w:jc w:val="both"/>
        <w:rPr>
          <w:lang w:val="fr-FR"/>
        </w:rPr>
      </w:pPr>
    </w:p>
    <w:p w:rsidR="00156F4D" w:rsidRPr="00857EF9" w:rsidRDefault="00FB137A" w:rsidP="00DB4E81">
      <w:pPr>
        <w:pStyle w:val="ListParagraph"/>
        <w:tabs>
          <w:tab w:val="num" w:pos="720"/>
        </w:tabs>
        <w:spacing w:after="120"/>
        <w:ind w:left="0"/>
        <w:contextualSpacing w:val="0"/>
        <w:jc w:val="both"/>
        <w:rPr>
          <w:b/>
          <w:lang w:val="fr-FR"/>
        </w:rPr>
      </w:pPr>
      <w:r w:rsidRPr="00857EF9">
        <w:rPr>
          <w:b/>
          <w:lang w:val="fr-FR"/>
        </w:rPr>
        <w:t>Composante </w:t>
      </w:r>
      <w:r w:rsidR="00DB4E81" w:rsidRPr="00857EF9">
        <w:rPr>
          <w:b/>
          <w:lang w:val="fr-FR"/>
        </w:rPr>
        <w:t>1 :</w:t>
      </w:r>
      <w:r w:rsidR="00DB4E81" w:rsidRPr="00857EF9">
        <w:rPr>
          <w:b/>
          <w:lang w:val="fr-FR"/>
        </w:rPr>
        <w:tab/>
        <w:t>Climat des affaires et promotion de l'investissement</w:t>
      </w:r>
    </w:p>
    <w:p w:rsidR="005A4E53" w:rsidRDefault="00204989" w:rsidP="00B563F2">
      <w:pPr>
        <w:pStyle w:val="ListParagraph"/>
        <w:numPr>
          <w:ilvl w:val="1"/>
          <w:numId w:val="40"/>
        </w:numPr>
        <w:spacing w:after="120"/>
        <w:jc w:val="both"/>
        <w:rPr>
          <w:lang w:val="fr-FR"/>
        </w:rPr>
      </w:pPr>
      <w:r w:rsidRPr="005A4E53">
        <w:rPr>
          <w:i/>
          <w:lang w:val="fr-FR"/>
        </w:rPr>
        <w:t>Réforme du climat des affaires</w:t>
      </w:r>
      <w:r w:rsidR="00E01433" w:rsidRPr="005A4E53">
        <w:rPr>
          <w:lang w:val="fr-FR"/>
        </w:rPr>
        <w:t> :</w:t>
      </w:r>
      <w:r w:rsidRPr="005A4E53">
        <w:rPr>
          <w:lang w:val="fr-FR"/>
        </w:rPr>
        <w:t xml:space="preserve"> </w:t>
      </w:r>
    </w:p>
    <w:p w:rsidR="00B563F2" w:rsidRPr="005A4E53" w:rsidRDefault="00B563F2" w:rsidP="00B563F2">
      <w:pPr>
        <w:pStyle w:val="ListParagraph"/>
        <w:spacing w:after="120"/>
        <w:ind w:left="708"/>
        <w:jc w:val="both"/>
        <w:rPr>
          <w:lang w:val="fr-FR"/>
        </w:rPr>
      </w:pPr>
    </w:p>
    <w:p w:rsidR="00B563F2" w:rsidRDefault="00DB4E81" w:rsidP="00B563F2">
      <w:pPr>
        <w:pStyle w:val="ListParagraph"/>
        <w:numPr>
          <w:ilvl w:val="0"/>
          <w:numId w:val="25"/>
        </w:numPr>
        <w:tabs>
          <w:tab w:val="num" w:pos="648"/>
          <w:tab w:val="num" w:pos="720"/>
        </w:tabs>
        <w:spacing w:after="120"/>
        <w:contextualSpacing w:val="0"/>
        <w:jc w:val="both"/>
        <w:rPr>
          <w:lang w:val="fr-FR"/>
        </w:rPr>
      </w:pPr>
      <w:r w:rsidRPr="005A4E53">
        <w:rPr>
          <w:lang w:val="fr-FR"/>
        </w:rPr>
        <w:t xml:space="preserve">Cette sous-composante contribuera à la conception et la mise en place des réformes du </w:t>
      </w:r>
    </w:p>
    <w:p w:rsidR="00DB4E81" w:rsidRPr="005A4E53" w:rsidRDefault="00DB4E81" w:rsidP="00B563F2">
      <w:pPr>
        <w:pStyle w:val="ListParagraph"/>
        <w:spacing w:after="120"/>
        <w:ind w:left="180"/>
        <w:contextualSpacing w:val="0"/>
        <w:jc w:val="both"/>
        <w:rPr>
          <w:lang w:val="fr-FR"/>
        </w:rPr>
      </w:pPr>
      <w:r w:rsidRPr="005A4E53">
        <w:rPr>
          <w:lang w:val="fr-FR"/>
        </w:rPr>
        <w:lastRenderedPageBreak/>
        <w:t>climat des affaires dans l'ensemble de l'économie, car un meilleur climat des affaires conduit à une croissance accélérée du secteur privé</w:t>
      </w:r>
      <w:r w:rsidRPr="00A7289C">
        <w:rPr>
          <w:rStyle w:val="FootnoteReference"/>
        </w:rPr>
        <w:footnoteReference w:id="22"/>
      </w:r>
      <w:r w:rsidRPr="005A4E53">
        <w:rPr>
          <w:lang w:val="fr-FR"/>
        </w:rPr>
        <w:t>. Les activités en rapport sont les suivantes :</w:t>
      </w:r>
    </w:p>
    <w:p w:rsidR="00156F4D" w:rsidRPr="00857EF9" w:rsidRDefault="00DB4E81" w:rsidP="001342E8">
      <w:pPr>
        <w:tabs>
          <w:tab w:val="num" w:pos="720"/>
        </w:tabs>
        <w:spacing w:after="120"/>
        <w:ind w:left="288"/>
        <w:jc w:val="both"/>
        <w:rPr>
          <w:lang w:val="fr-FR"/>
        </w:rPr>
      </w:pPr>
      <w:r w:rsidRPr="00857EF9">
        <w:rPr>
          <w:lang w:val="fr-FR"/>
        </w:rPr>
        <w:t xml:space="preserve"> (a)</w:t>
      </w:r>
      <w:r w:rsidRPr="00857EF9">
        <w:rPr>
          <w:lang w:val="fr-FR"/>
        </w:rPr>
        <w:tab/>
        <w:t>Aider le bénéficiaire dans la conception et la mise en œuvre de réformes du climat des affaires dans l'ensemble de l'économie en vue d'améliorer l'environnement des affaires : (i) par l'exécution d'un plan d'action détaillé visant à : (A) réviser le cadre réglementaire des prêts sécurisés</w:t>
      </w:r>
      <w:r w:rsidR="00CE73E6" w:rsidRPr="00857EF9">
        <w:rPr>
          <w:lang w:val="fr-FR"/>
        </w:rPr>
        <w:t> ;</w:t>
      </w:r>
      <w:r w:rsidRPr="00857EF9">
        <w:rPr>
          <w:lang w:val="fr-FR"/>
        </w:rPr>
        <w:t xml:space="preserve"> établir un registre électronique des garanties ; et dispenser une formation pour améliorer les compétences du personnel du registre et des clients des marchés financiers ; (B) renforcer le cadre de l'insolvabilité en actualisant le cadre </w:t>
      </w:r>
      <w:r w:rsidRPr="00857EF9">
        <w:rPr>
          <w:szCs w:val="22"/>
          <w:lang w:val="fr-FR"/>
        </w:rPr>
        <w:t>réglementaire</w:t>
      </w:r>
      <w:r w:rsidRPr="00857EF9">
        <w:rPr>
          <w:lang w:val="fr-FR"/>
        </w:rPr>
        <w:t xml:space="preserve"> ; sensibiliser les instances judiciaires et développer leurs capacités ; appuyer l'élaboration d'un cadre réglementaire et de mécanismes de supervision pour les administrateurs de l'insolvabilité ; et (C) mettre en place les </w:t>
      </w:r>
      <w:r w:rsidRPr="00857EF9">
        <w:rPr>
          <w:szCs w:val="22"/>
          <w:lang w:val="fr-FR"/>
        </w:rPr>
        <w:t>réformes réglementaires et administratives du climat des affaires</w:t>
      </w:r>
      <w:r w:rsidRPr="00857EF9">
        <w:rPr>
          <w:lang w:val="fr-FR"/>
        </w:rPr>
        <w:t xml:space="preserve"> énoncées dans le plan d'action </w:t>
      </w:r>
      <w:r w:rsidR="00E30904" w:rsidRPr="00857EF9">
        <w:rPr>
          <w:lang w:val="fr-FR"/>
        </w:rPr>
        <w:t>susmentionné</w:t>
      </w:r>
      <w:r w:rsidRPr="00857EF9">
        <w:rPr>
          <w:lang w:val="fr-FR"/>
        </w:rPr>
        <w:t> ; ainsi que (ii) par l'amélioration des systèmes d'accréditation et d'inspection dans des secteurs choisis, tout cela par le biais de la fourniture de biens, d'assistance technique, de formation et de fonds opérationnels.</w:t>
      </w:r>
    </w:p>
    <w:p w:rsidR="00156F4D" w:rsidRPr="00857EF9" w:rsidRDefault="00156F4D" w:rsidP="001342E8">
      <w:pPr>
        <w:tabs>
          <w:tab w:val="num" w:pos="720"/>
        </w:tabs>
        <w:spacing w:after="120"/>
        <w:ind w:left="288"/>
        <w:jc w:val="both"/>
        <w:rPr>
          <w:lang w:val="fr-FR"/>
        </w:rPr>
      </w:pPr>
      <w:r w:rsidRPr="00857EF9">
        <w:rPr>
          <w:lang w:val="fr-FR"/>
        </w:rPr>
        <w:t>(b)</w:t>
      </w:r>
      <w:r w:rsidRPr="00857EF9">
        <w:rPr>
          <w:lang w:val="fr-FR"/>
        </w:rPr>
        <w:tab/>
        <w:t>Encadrement et appui au MCI pour : (i) effectuer une analyse de la concurrence et une étude de l'étendue des contraintes et des barrières existantes pour la compétition entre les marchés dans une sélection de secteurs ; et (ii) identifier les changements légaux et institutionnels requis pour favoriser l'ouverture des marchés à la concurrence et surmonter les contraintes spécifiques dans ces secteurs, le tout par le biais de la fourniture de biens, d'assistance technique et de formation.</w:t>
      </w:r>
    </w:p>
    <w:p w:rsidR="00156F4D" w:rsidRPr="00857EF9" w:rsidRDefault="00156F4D" w:rsidP="001342E8">
      <w:pPr>
        <w:tabs>
          <w:tab w:val="num" w:pos="720"/>
        </w:tabs>
        <w:spacing w:after="120"/>
        <w:ind w:left="288"/>
        <w:jc w:val="both"/>
        <w:rPr>
          <w:lang w:val="fr-FR"/>
        </w:rPr>
      </w:pPr>
      <w:r w:rsidRPr="00857EF9">
        <w:rPr>
          <w:lang w:val="fr-FR"/>
        </w:rPr>
        <w:t>(c)</w:t>
      </w:r>
      <w:r w:rsidRPr="00857EF9">
        <w:rPr>
          <w:lang w:val="fr-FR"/>
        </w:rPr>
        <w:tab/>
        <w:t>Appui à : (i) l'entité chapeautée par le MCI qui est responsable de la réforme législative relative au climat des affaires ; et (ii) aux organes de coordinations désignés par le bénéficiaire pour améliorer le climat des affaires, tout cela par le biais de la fourniture de biens, d'assistance technique, de formation et de fonds opérationnels.</w:t>
      </w:r>
    </w:p>
    <w:p w:rsidR="00DB4E81" w:rsidRPr="00A7289C" w:rsidRDefault="00DB4E81" w:rsidP="00DB4E81">
      <w:pPr>
        <w:spacing w:after="120"/>
        <w:ind w:left="288"/>
        <w:jc w:val="both"/>
        <w:rPr>
          <w:i/>
        </w:rPr>
      </w:pPr>
      <w:r>
        <w:t>1.2</w:t>
      </w:r>
      <w:r w:rsidR="00B563F2">
        <w:t>.</w:t>
      </w:r>
      <w:r w:rsidR="00B563F2">
        <w:rPr>
          <w:i/>
        </w:rPr>
        <w:t xml:space="preserve"> Promotion</w:t>
      </w:r>
      <w:r>
        <w:rPr>
          <w:i/>
        </w:rPr>
        <w:t xml:space="preserve"> de </w:t>
      </w:r>
      <w:r w:rsidR="00B563F2">
        <w:rPr>
          <w:i/>
        </w:rPr>
        <w:t>l’investissement:</w:t>
      </w:r>
      <w:r>
        <w:rPr>
          <w:i/>
        </w:rPr>
        <w:t xml:space="preserve"> </w:t>
      </w:r>
    </w:p>
    <w:p w:rsidR="00AF4C8A" w:rsidRPr="00857EF9" w:rsidRDefault="00DB4E81" w:rsidP="00B563F2">
      <w:pPr>
        <w:pStyle w:val="ListParagraph"/>
        <w:numPr>
          <w:ilvl w:val="0"/>
          <w:numId w:val="25"/>
        </w:numPr>
        <w:tabs>
          <w:tab w:val="num" w:pos="648"/>
          <w:tab w:val="num" w:pos="720"/>
        </w:tabs>
        <w:spacing w:after="120"/>
        <w:contextualSpacing w:val="0"/>
        <w:jc w:val="both"/>
        <w:rPr>
          <w:lang w:val="fr-FR"/>
        </w:rPr>
      </w:pPr>
      <w:r w:rsidRPr="00857EF9">
        <w:rPr>
          <w:lang w:val="fr-FR"/>
        </w:rPr>
        <w:t>Afin de stimuler l'investissement du secteur privé local et international et la croissance, cette sous-composante comprendra la fourniture d'un appui au MCI en vue : (a) d'effectuer une évaluation des institutions qui gouvernent le parc industriel et les zones franches pour déterminer s'il convient de restructurer les cadres réglementaires et institutionnels actuels ; (b) de préparer un plan d'action acceptable par l'IDA à partir des recommandations édictées dans cette évaluation ; (c) de renforcer le pouvoir de l'autorité de supervision des ZEI à condition que le plan d'action évoqué ci-dessus ait été exécuté de manière jugée satisfaisante par l'IDA ; (d</w:t>
      </w:r>
      <w:r w:rsidRPr="00857EF9">
        <w:rPr>
          <w:color w:val="000000"/>
          <w:lang w:val="fr-FR"/>
        </w:rPr>
        <w:t>) de préparer des études de faisabilité sur la création d'une ou plusieurs ZEI</w:t>
      </w:r>
      <w:r w:rsidR="00BF4518" w:rsidRPr="00A7289C">
        <w:rPr>
          <w:rStyle w:val="FootnoteReference"/>
        </w:rPr>
        <w:footnoteReference w:id="23"/>
      </w:r>
      <w:r w:rsidR="00FB137A" w:rsidRPr="00857EF9">
        <w:rPr>
          <w:color w:val="000000"/>
          <w:lang w:val="fr-FR"/>
        </w:rPr>
        <w:t> ;</w:t>
      </w:r>
      <w:r w:rsidRPr="00857EF9">
        <w:rPr>
          <w:color w:val="000000"/>
          <w:lang w:val="fr-FR"/>
        </w:rPr>
        <w:t xml:space="preserve"> (e) d'effectuer des analyses de la demande du marché et de faciliter les investissements dans les ZEI existantes ou futures ; et (f) de créer un guichet unique pour les investisseurs des ZEI, tout cela par le biais de la fourniture de biens, d'assistance technique, de formation et de fonds opérationnels.</w:t>
      </w:r>
    </w:p>
    <w:p w:rsidR="00DB4E81" w:rsidRPr="00857EF9" w:rsidRDefault="00156F4D" w:rsidP="00B563F2">
      <w:pPr>
        <w:pStyle w:val="ListParagraph"/>
        <w:numPr>
          <w:ilvl w:val="0"/>
          <w:numId w:val="25"/>
        </w:numPr>
        <w:tabs>
          <w:tab w:val="num" w:pos="648"/>
          <w:tab w:val="num" w:pos="720"/>
        </w:tabs>
        <w:spacing w:after="120"/>
        <w:contextualSpacing w:val="0"/>
        <w:jc w:val="both"/>
        <w:rPr>
          <w:lang w:val="fr-FR"/>
        </w:rPr>
      </w:pPr>
      <w:r w:rsidRPr="00857EF9">
        <w:rPr>
          <w:lang w:val="fr-FR"/>
        </w:rPr>
        <w:lastRenderedPageBreak/>
        <w:t xml:space="preserve"> </w:t>
      </w:r>
      <w:r w:rsidRPr="00857EF9">
        <w:rPr>
          <w:color w:val="000000"/>
          <w:lang w:val="fr-FR"/>
        </w:rPr>
        <w:t>L'État a indiqué qu'il aurait besoin de l'appui de l'IDA pour le développement de l'infrastructure de base du site</w:t>
      </w:r>
      <w:r w:rsidR="00E17E66" w:rsidRPr="00A7289C">
        <w:rPr>
          <w:rStyle w:val="FootnoteReference"/>
          <w:color w:val="000000"/>
        </w:rPr>
        <w:footnoteReference w:id="24"/>
      </w:r>
      <w:r w:rsidRPr="00857EF9">
        <w:rPr>
          <w:color w:val="000000"/>
          <w:lang w:val="fr-FR"/>
        </w:rPr>
        <w:t xml:space="preserve"> pour au moins une ZEI, si les études de faisabilité financées par ce projet débouchent sur des résultats encourageants. Dans ce cas, l'IDA pourra envisager un financement complémentaire de ce projet ou un autre projet, si les cadres légaux, réglementaires et incitatifs sont bien établis </w:t>
      </w:r>
      <w:r w:rsidRPr="00857EF9">
        <w:rPr>
          <w:lang w:val="fr-FR"/>
        </w:rPr>
        <w:t>à ce moment-là</w:t>
      </w:r>
      <w:r w:rsidR="00DB4E81" w:rsidRPr="00A7289C">
        <w:rPr>
          <w:rStyle w:val="FootnoteReference"/>
        </w:rPr>
        <w:footnoteReference w:id="25"/>
      </w:r>
      <w:r w:rsidRPr="00857EF9">
        <w:rPr>
          <w:lang w:val="fr-FR"/>
        </w:rPr>
        <w:t>.</w:t>
      </w:r>
    </w:p>
    <w:p w:rsidR="00156F4D" w:rsidRPr="00857EF9" w:rsidRDefault="00FB137A" w:rsidP="00DB4E81">
      <w:pPr>
        <w:pStyle w:val="ListParagraph"/>
        <w:tabs>
          <w:tab w:val="num" w:pos="720"/>
        </w:tabs>
        <w:spacing w:after="120"/>
        <w:ind w:left="0"/>
        <w:contextualSpacing w:val="0"/>
        <w:jc w:val="both"/>
        <w:rPr>
          <w:b/>
          <w:lang w:val="fr-FR"/>
        </w:rPr>
      </w:pPr>
      <w:r w:rsidRPr="00857EF9">
        <w:rPr>
          <w:b/>
          <w:lang w:val="fr-FR"/>
        </w:rPr>
        <w:t>Composante </w:t>
      </w:r>
      <w:r w:rsidR="00DB4E81" w:rsidRPr="00857EF9">
        <w:rPr>
          <w:b/>
          <w:lang w:val="fr-FR"/>
        </w:rPr>
        <w:t>2 :</w:t>
      </w:r>
      <w:r w:rsidR="00DB4E81" w:rsidRPr="00857EF9">
        <w:rPr>
          <w:b/>
          <w:lang w:val="fr-FR"/>
        </w:rPr>
        <w:tab/>
        <w:t>Services de développement des entreprises pour les MPME</w:t>
      </w:r>
    </w:p>
    <w:p w:rsidR="00DB4E81" w:rsidRPr="00857EF9" w:rsidRDefault="00DB4E81" w:rsidP="00B563F2">
      <w:pPr>
        <w:pStyle w:val="ListParagraph"/>
        <w:numPr>
          <w:ilvl w:val="0"/>
          <w:numId w:val="25"/>
        </w:numPr>
        <w:tabs>
          <w:tab w:val="num" w:pos="648"/>
          <w:tab w:val="num" w:pos="720"/>
        </w:tabs>
        <w:spacing w:after="120"/>
        <w:contextualSpacing w:val="0"/>
        <w:jc w:val="both"/>
        <w:rPr>
          <w:lang w:val="fr-FR"/>
        </w:rPr>
      </w:pPr>
      <w:r w:rsidRPr="00857EF9">
        <w:rPr>
          <w:i/>
          <w:lang w:val="fr-FR"/>
        </w:rPr>
        <w:t>Services de développement des entreprises (SDE) :</w:t>
      </w:r>
      <w:r w:rsidRPr="00857EF9">
        <w:rPr>
          <w:lang w:val="fr-FR"/>
        </w:rPr>
        <w:t xml:space="preserve"> Cette composante vise à développer la capacité des MPME à contribuer à la chaîne de valeur du tourisme et à prendre place dans la chaîne d'approvisionnement des ZEI soutenues par le projet, essentiellement dans les secteurs de l'agro-industrie et de l'habillement, afin de contribuer à la mise en place d'un modèle de développement plus inclusif</w:t>
      </w:r>
      <w:r w:rsidR="00E01433" w:rsidRPr="00857EF9">
        <w:rPr>
          <w:lang w:val="fr-FR"/>
        </w:rPr>
        <w:t xml:space="preserve">. </w:t>
      </w:r>
      <w:r w:rsidRPr="00857EF9">
        <w:rPr>
          <w:lang w:val="fr-FR"/>
        </w:rPr>
        <w:t>Il s'agira ici de surmonter une contrainte majeure à la croissance des MPME, l'insuffisance de leurs compétences commerciales. Le projet ciblera les petites MPME, qui ne sont pas soutenues par la BID ou d'autres institutions, au travers des actions suivantes :</w:t>
      </w:r>
    </w:p>
    <w:p w:rsidR="00156F4D" w:rsidRPr="00857EF9" w:rsidRDefault="00156F4D" w:rsidP="001342E8">
      <w:pPr>
        <w:tabs>
          <w:tab w:val="num" w:pos="720"/>
        </w:tabs>
        <w:spacing w:after="120"/>
        <w:ind w:left="288"/>
        <w:jc w:val="both"/>
        <w:rPr>
          <w:lang w:val="fr-FR"/>
        </w:rPr>
      </w:pPr>
      <w:r w:rsidRPr="00857EF9">
        <w:rPr>
          <w:lang w:val="fr-FR"/>
        </w:rPr>
        <w:t>1.</w:t>
      </w:r>
      <w:r w:rsidRPr="00857EF9">
        <w:rPr>
          <w:lang w:val="fr-FR"/>
        </w:rPr>
        <w:tab/>
        <w:t xml:space="preserve">Encadrement et appui au MCI pour : (a) préparer une évaluation des besoins des MPME dans une sélection de municipalités ; (b) entreprendre des diagnostics de la </w:t>
      </w:r>
      <w:r w:rsidRPr="00857EF9">
        <w:rPr>
          <w:iCs/>
          <w:szCs w:val="22"/>
          <w:lang w:val="fr-FR"/>
        </w:rPr>
        <w:t xml:space="preserve">chaîne de </w:t>
      </w:r>
      <w:r w:rsidR="00E01433" w:rsidRPr="00857EF9">
        <w:rPr>
          <w:iCs/>
          <w:szCs w:val="22"/>
          <w:lang w:val="fr-FR"/>
        </w:rPr>
        <w:t xml:space="preserve">valeur </w:t>
      </w:r>
      <w:r w:rsidRPr="00857EF9">
        <w:rPr>
          <w:lang w:val="fr-FR"/>
        </w:rPr>
        <w:t xml:space="preserve">dans une sélection de secteurs ; (c) préparer le manuel relatif aux subventions de contrepartie ; </w:t>
      </w:r>
      <w:r w:rsidRPr="00857EF9">
        <w:rPr>
          <w:iCs/>
          <w:szCs w:val="22"/>
          <w:lang w:val="fr-FR"/>
        </w:rPr>
        <w:t>(d)</w:t>
      </w:r>
      <w:r w:rsidRPr="00857EF9">
        <w:rPr>
          <w:szCs w:val="22"/>
          <w:lang w:val="fr-FR"/>
        </w:rPr>
        <w:t xml:space="preserve"> élaborer une stratégie de communication pour promouvoir les services de développement des entreprises</w:t>
      </w:r>
      <w:r w:rsidRPr="00857EF9">
        <w:rPr>
          <w:iCs/>
          <w:szCs w:val="22"/>
          <w:lang w:val="fr-FR"/>
        </w:rPr>
        <w:t xml:space="preserve"> ; et (e) </w:t>
      </w:r>
      <w:r w:rsidRPr="00857EF9">
        <w:rPr>
          <w:szCs w:val="22"/>
          <w:lang w:val="fr-FR"/>
        </w:rPr>
        <w:t>analyser les données du recensement, le tout via la fourniture d'une assistance technique.</w:t>
      </w:r>
    </w:p>
    <w:p w:rsidR="00156F4D" w:rsidRPr="00857EF9" w:rsidRDefault="00156F4D" w:rsidP="001342E8">
      <w:pPr>
        <w:tabs>
          <w:tab w:val="num" w:pos="720"/>
        </w:tabs>
        <w:spacing w:after="120"/>
        <w:ind w:left="288"/>
        <w:jc w:val="both"/>
        <w:rPr>
          <w:lang w:val="fr-FR"/>
        </w:rPr>
      </w:pPr>
      <w:r w:rsidRPr="00857EF9">
        <w:rPr>
          <w:lang w:val="fr-FR"/>
        </w:rPr>
        <w:t>2.</w:t>
      </w:r>
      <w:r w:rsidRPr="00857EF9">
        <w:rPr>
          <w:lang w:val="fr-FR"/>
        </w:rPr>
        <w:tab/>
        <w:t>Fourniture de services de développement des entreprises aux MPME, via : (a) une formation pour améliorer les compétences commerciales des MPME ; (b) une assistance technique pour aider les MPME formées à préparer leurs plans d'amélioration des entreprises ; et (c) des subventions de contrepartie pour permettre aux bénéficiaires de mener à bien leurs sous-projets.</w:t>
      </w:r>
    </w:p>
    <w:p w:rsidR="00156F4D" w:rsidRPr="00857EF9" w:rsidRDefault="00156F4D" w:rsidP="001342E8">
      <w:pPr>
        <w:tabs>
          <w:tab w:val="num" w:pos="720"/>
        </w:tabs>
        <w:spacing w:after="120"/>
        <w:ind w:left="288"/>
        <w:jc w:val="both"/>
        <w:rPr>
          <w:lang w:val="fr-FR"/>
        </w:rPr>
      </w:pPr>
      <w:r w:rsidRPr="00857EF9">
        <w:rPr>
          <w:lang w:val="fr-FR"/>
        </w:rPr>
        <w:t>3.</w:t>
      </w:r>
      <w:r w:rsidRPr="00857EF9">
        <w:rPr>
          <w:lang w:val="fr-FR"/>
        </w:rPr>
        <w:tab/>
        <w:t xml:space="preserve">Renforcer les capacités des bureaux </w:t>
      </w:r>
      <w:r w:rsidRPr="00857EF9">
        <w:rPr>
          <w:szCs w:val="22"/>
          <w:lang w:val="fr-FR"/>
        </w:rPr>
        <w:t xml:space="preserve">centraux </w:t>
      </w:r>
      <w:r w:rsidR="00E01433" w:rsidRPr="00857EF9">
        <w:rPr>
          <w:szCs w:val="22"/>
          <w:lang w:val="fr-FR"/>
        </w:rPr>
        <w:t xml:space="preserve">et </w:t>
      </w:r>
      <w:r w:rsidRPr="00857EF9">
        <w:rPr>
          <w:lang w:val="fr-FR"/>
        </w:rPr>
        <w:t>régionaux du MCI pour la gestion, l'exécution, le suivi et l'évaluation des parties 1 et 2 de cette composante via la fourniture de biens, d'assistance technique et de fonds opérationnels.</w:t>
      </w:r>
    </w:p>
    <w:p w:rsidR="00156F4D" w:rsidRPr="00857EF9" w:rsidRDefault="00FB137A" w:rsidP="00DB4E81">
      <w:pPr>
        <w:pStyle w:val="ListParagraph"/>
        <w:tabs>
          <w:tab w:val="num" w:pos="720"/>
        </w:tabs>
        <w:spacing w:after="120"/>
        <w:ind w:left="0"/>
        <w:contextualSpacing w:val="0"/>
        <w:jc w:val="both"/>
        <w:rPr>
          <w:b/>
          <w:lang w:val="fr-FR"/>
        </w:rPr>
      </w:pPr>
      <w:r w:rsidRPr="00857EF9">
        <w:rPr>
          <w:b/>
          <w:lang w:val="fr-FR"/>
        </w:rPr>
        <w:t>Composante </w:t>
      </w:r>
      <w:r w:rsidR="00DB4E81" w:rsidRPr="00857EF9">
        <w:rPr>
          <w:b/>
          <w:lang w:val="fr-FR"/>
        </w:rPr>
        <w:t>3 :</w:t>
      </w:r>
      <w:r w:rsidR="00DB4E81" w:rsidRPr="00857EF9">
        <w:rPr>
          <w:b/>
          <w:lang w:val="fr-FR"/>
        </w:rPr>
        <w:tab/>
        <w:t>Mise en œuvre, évaluation et suivi du projet</w:t>
      </w:r>
    </w:p>
    <w:p w:rsidR="001342E8" w:rsidRPr="00857EF9" w:rsidRDefault="001342E8" w:rsidP="00B563F2">
      <w:pPr>
        <w:pStyle w:val="ListParagraph"/>
        <w:numPr>
          <w:ilvl w:val="0"/>
          <w:numId w:val="25"/>
        </w:numPr>
        <w:tabs>
          <w:tab w:val="num" w:pos="648"/>
          <w:tab w:val="num" w:pos="720"/>
        </w:tabs>
        <w:spacing w:after="120"/>
        <w:contextualSpacing w:val="0"/>
        <w:jc w:val="both"/>
        <w:rPr>
          <w:lang w:val="fr-FR"/>
        </w:rPr>
      </w:pPr>
      <w:r w:rsidRPr="00857EF9">
        <w:rPr>
          <w:lang w:val="fr-FR"/>
        </w:rPr>
        <w:t>Cette composante contribuera à la gestion, au suivi et à l'évaluation du projet par l'entremise des activités suivantes :</w:t>
      </w:r>
    </w:p>
    <w:p w:rsidR="00156F4D" w:rsidRPr="00857EF9" w:rsidRDefault="00156F4D" w:rsidP="001342E8">
      <w:pPr>
        <w:tabs>
          <w:tab w:val="num" w:pos="720"/>
        </w:tabs>
        <w:spacing w:after="120"/>
        <w:ind w:left="288"/>
        <w:jc w:val="both"/>
        <w:rPr>
          <w:lang w:val="fr-FR"/>
        </w:rPr>
      </w:pPr>
      <w:r w:rsidRPr="00857EF9">
        <w:rPr>
          <w:lang w:val="fr-FR"/>
        </w:rPr>
        <w:t>1.</w:t>
      </w:r>
      <w:r w:rsidRPr="00857EF9">
        <w:rPr>
          <w:lang w:val="fr-FR"/>
        </w:rPr>
        <w:tab/>
        <w:t>Appui au MEF et au MCI pour la mise en œuvre, le suivi et l'évaluation du projet, par le biais de la fourniture de biens, d'assistance technique, de formation et de fonds opérationnels.</w:t>
      </w:r>
    </w:p>
    <w:p w:rsidR="00156F4D" w:rsidRPr="00857EF9" w:rsidRDefault="00156F4D" w:rsidP="001342E8">
      <w:pPr>
        <w:tabs>
          <w:tab w:val="num" w:pos="720"/>
        </w:tabs>
        <w:spacing w:after="120"/>
        <w:ind w:left="288"/>
        <w:jc w:val="both"/>
        <w:rPr>
          <w:lang w:val="fr-FR"/>
        </w:rPr>
      </w:pPr>
      <w:r w:rsidRPr="00857EF9">
        <w:rPr>
          <w:lang w:val="fr-FR"/>
        </w:rPr>
        <w:t>2.</w:t>
      </w:r>
      <w:r w:rsidRPr="00857EF9">
        <w:rPr>
          <w:lang w:val="fr-FR"/>
        </w:rPr>
        <w:tab/>
        <w:t>Assistance technique au MCI pour l'organisation d'une série d'ateliers de sensibilisation du public et de consultation sur l'avancement du projet.</w:t>
      </w:r>
    </w:p>
    <w:p w:rsidR="00156F4D" w:rsidRPr="00857EF9" w:rsidRDefault="00FB137A" w:rsidP="00DB4E81">
      <w:pPr>
        <w:pStyle w:val="ListParagraph"/>
        <w:tabs>
          <w:tab w:val="num" w:pos="720"/>
        </w:tabs>
        <w:spacing w:after="120"/>
        <w:ind w:left="0"/>
        <w:contextualSpacing w:val="0"/>
        <w:jc w:val="both"/>
        <w:rPr>
          <w:b/>
          <w:lang w:val="fr-FR"/>
        </w:rPr>
      </w:pPr>
      <w:r w:rsidRPr="00857EF9">
        <w:rPr>
          <w:b/>
          <w:lang w:val="fr-FR"/>
        </w:rPr>
        <w:lastRenderedPageBreak/>
        <w:t>Composante </w:t>
      </w:r>
      <w:r w:rsidR="00DB4E81" w:rsidRPr="00857EF9">
        <w:rPr>
          <w:b/>
          <w:lang w:val="fr-FR"/>
        </w:rPr>
        <w:t>4 :</w:t>
      </w:r>
      <w:r w:rsidR="00DB4E81" w:rsidRPr="00857EF9">
        <w:rPr>
          <w:b/>
          <w:lang w:val="fr-FR"/>
        </w:rPr>
        <w:tab/>
        <w:t>Mécanisme de réponse immédiate</w:t>
      </w:r>
      <w:r w:rsidR="00DB4E81" w:rsidRPr="00A7289C">
        <w:rPr>
          <w:vertAlign w:val="superscript"/>
        </w:rPr>
        <w:footnoteReference w:id="26"/>
      </w:r>
    </w:p>
    <w:p w:rsidR="00156F4D" w:rsidRPr="00857EF9" w:rsidRDefault="00DB4E81" w:rsidP="00B563F2">
      <w:pPr>
        <w:pStyle w:val="ListParagraph"/>
        <w:numPr>
          <w:ilvl w:val="0"/>
          <w:numId w:val="25"/>
        </w:numPr>
        <w:tabs>
          <w:tab w:val="num" w:pos="648"/>
          <w:tab w:val="num" w:pos="720"/>
        </w:tabs>
        <w:spacing w:after="120"/>
        <w:contextualSpacing w:val="0"/>
        <w:jc w:val="both"/>
        <w:rPr>
          <w:lang w:val="fr-FR"/>
        </w:rPr>
      </w:pPr>
      <w:r w:rsidRPr="00857EF9">
        <w:rPr>
          <w:lang w:val="fr-FR"/>
        </w:rPr>
        <w:t>L'objectif de cette composante est de fournir l'appui nécessaire pour répondre à une situation d'urgence éligible.</w:t>
      </w:r>
    </w:p>
    <w:p w:rsidR="008752A0" w:rsidRPr="00A7289C" w:rsidRDefault="008752A0" w:rsidP="00FD5C8B">
      <w:pPr>
        <w:pStyle w:val="PDSHeading2"/>
        <w:tabs>
          <w:tab w:val="clear" w:pos="360"/>
        </w:tabs>
        <w:spacing w:after="120"/>
        <w:ind w:left="648"/>
      </w:pPr>
      <w:bookmarkStart w:id="10" w:name="_Toc362270219"/>
      <w:proofErr w:type="spellStart"/>
      <w:r>
        <w:t>Financement</w:t>
      </w:r>
      <w:proofErr w:type="spellEnd"/>
      <w:r>
        <w:t xml:space="preserve"> du </w:t>
      </w:r>
      <w:proofErr w:type="spellStart"/>
      <w:r>
        <w:t>projet</w:t>
      </w:r>
      <w:bookmarkEnd w:id="10"/>
      <w:proofErr w:type="spellEnd"/>
    </w:p>
    <w:p w:rsidR="008752A0" w:rsidRPr="00A7289C" w:rsidRDefault="008752A0" w:rsidP="008752A0">
      <w:pPr>
        <w:pStyle w:val="PDSHeading2"/>
        <w:numPr>
          <w:ilvl w:val="0"/>
          <w:numId w:val="0"/>
        </w:numPr>
        <w:ind w:left="648"/>
      </w:pPr>
      <w:bookmarkStart w:id="11" w:name="_Toc362270220"/>
      <w:r>
        <w:t>Instrument de prêt</w:t>
      </w:r>
      <w:bookmarkEnd w:id="11"/>
    </w:p>
    <w:p w:rsidR="00DA4B1F" w:rsidRDefault="008752A0" w:rsidP="00B563F2">
      <w:pPr>
        <w:pStyle w:val="ListParagraph"/>
        <w:numPr>
          <w:ilvl w:val="0"/>
          <w:numId w:val="25"/>
        </w:numPr>
        <w:tabs>
          <w:tab w:val="num" w:pos="648"/>
          <w:tab w:val="num" w:pos="720"/>
        </w:tabs>
        <w:spacing w:after="120"/>
        <w:contextualSpacing w:val="0"/>
        <w:jc w:val="both"/>
        <w:rPr>
          <w:lang w:val="fr-FR"/>
        </w:rPr>
      </w:pPr>
      <w:r w:rsidRPr="00857EF9">
        <w:rPr>
          <w:lang w:val="fr-FR"/>
        </w:rPr>
        <w:t>Le projet sera exécuté avec une subvention de l'IDA à la République d'Haïti d'un montant de 20 millions de dollars.</w:t>
      </w:r>
    </w:p>
    <w:p w:rsidR="004F0E4B" w:rsidRPr="00857EF9" w:rsidRDefault="004F0E4B" w:rsidP="004F0E4B">
      <w:pPr>
        <w:pStyle w:val="ListParagraph"/>
        <w:tabs>
          <w:tab w:val="num" w:pos="720"/>
        </w:tabs>
        <w:spacing w:after="120"/>
        <w:ind w:left="180"/>
        <w:contextualSpacing w:val="0"/>
        <w:jc w:val="both"/>
        <w:rPr>
          <w:lang w:val="fr-F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1239"/>
        <w:gridCol w:w="1327"/>
        <w:gridCol w:w="1283"/>
      </w:tblGrid>
      <w:tr w:rsidR="00B71C8D" w:rsidRPr="00857EF9" w:rsidTr="004E7A7F">
        <w:tc>
          <w:tcPr>
            <w:tcW w:w="9108" w:type="dxa"/>
            <w:gridSpan w:val="4"/>
            <w:tcBorders>
              <w:top w:val="nil"/>
              <w:left w:val="nil"/>
              <w:right w:val="nil"/>
            </w:tcBorders>
          </w:tcPr>
          <w:p w:rsidR="00B71C8D" w:rsidRPr="0036404C" w:rsidRDefault="007E0508" w:rsidP="004F0E4B">
            <w:pPr>
              <w:pStyle w:val="Caption"/>
              <w:keepNext/>
              <w:spacing w:after="0"/>
              <w:rPr>
                <w:color w:val="auto"/>
                <w:sz w:val="24"/>
                <w:szCs w:val="24"/>
                <w:lang w:val="fr-FR"/>
              </w:rPr>
            </w:pPr>
            <w:bookmarkStart w:id="12" w:name="_Toc362269422"/>
            <w:r w:rsidRPr="0036404C">
              <w:rPr>
                <w:color w:val="auto"/>
                <w:sz w:val="24"/>
                <w:szCs w:val="24"/>
              </w:rPr>
              <w:t xml:space="preserve">Tableau </w:t>
            </w:r>
            <w:r w:rsidRPr="0036404C">
              <w:rPr>
                <w:color w:val="auto"/>
                <w:sz w:val="24"/>
                <w:szCs w:val="24"/>
              </w:rPr>
              <w:fldChar w:fldCharType="begin"/>
            </w:r>
            <w:r w:rsidRPr="0036404C">
              <w:rPr>
                <w:color w:val="auto"/>
                <w:sz w:val="24"/>
                <w:szCs w:val="24"/>
              </w:rPr>
              <w:instrText xml:space="preserve"> SEQ Tableau \* ARABIC </w:instrText>
            </w:r>
            <w:r w:rsidRPr="0036404C">
              <w:rPr>
                <w:color w:val="auto"/>
                <w:sz w:val="24"/>
                <w:szCs w:val="24"/>
              </w:rPr>
              <w:fldChar w:fldCharType="separate"/>
            </w:r>
            <w:r w:rsidR="0036404C" w:rsidRPr="0036404C">
              <w:rPr>
                <w:noProof/>
                <w:color w:val="auto"/>
                <w:sz w:val="24"/>
                <w:szCs w:val="24"/>
              </w:rPr>
              <w:t>1</w:t>
            </w:r>
            <w:r w:rsidRPr="0036404C">
              <w:rPr>
                <w:color w:val="auto"/>
                <w:sz w:val="24"/>
                <w:szCs w:val="24"/>
              </w:rPr>
              <w:fldChar w:fldCharType="end"/>
            </w:r>
            <w:r w:rsidRPr="0036404C">
              <w:rPr>
                <w:color w:val="auto"/>
                <w:sz w:val="24"/>
                <w:szCs w:val="24"/>
              </w:rPr>
              <w:t xml:space="preserve"> </w:t>
            </w:r>
            <w:r w:rsidRPr="0036404C">
              <w:rPr>
                <w:color w:val="auto"/>
                <w:sz w:val="24"/>
                <w:szCs w:val="24"/>
                <w:lang w:val="fr-FR"/>
              </w:rPr>
              <w:t>: Coût et financement du projet</w:t>
            </w:r>
            <w:bookmarkEnd w:id="12"/>
          </w:p>
        </w:tc>
      </w:tr>
      <w:tr w:rsidR="00B71C8D" w:rsidRPr="00A7289C" w:rsidTr="004E7A7F">
        <w:tc>
          <w:tcPr>
            <w:tcW w:w="5490" w:type="dxa"/>
          </w:tcPr>
          <w:p w:rsidR="00B71C8D" w:rsidRPr="00A7289C" w:rsidRDefault="00B71C8D" w:rsidP="00B71C8D">
            <w:pPr>
              <w:jc w:val="center"/>
              <w:rPr>
                <w:b/>
                <w:sz w:val="20"/>
                <w:szCs w:val="20"/>
              </w:rPr>
            </w:pPr>
            <w:proofErr w:type="spellStart"/>
            <w:r>
              <w:rPr>
                <w:b/>
                <w:sz w:val="20"/>
                <w:szCs w:val="20"/>
              </w:rPr>
              <w:t>Composantes</w:t>
            </w:r>
            <w:proofErr w:type="spellEnd"/>
            <w:r>
              <w:rPr>
                <w:b/>
                <w:sz w:val="20"/>
                <w:szCs w:val="20"/>
              </w:rPr>
              <w:t xml:space="preserve"> du </w:t>
            </w:r>
            <w:proofErr w:type="spellStart"/>
            <w:r>
              <w:rPr>
                <w:b/>
                <w:sz w:val="20"/>
                <w:szCs w:val="20"/>
              </w:rPr>
              <w:t>projet</w:t>
            </w:r>
            <w:proofErr w:type="spellEnd"/>
          </w:p>
        </w:tc>
        <w:tc>
          <w:tcPr>
            <w:tcW w:w="1260" w:type="dxa"/>
            <w:vAlign w:val="bottom"/>
          </w:tcPr>
          <w:p w:rsidR="00B71C8D" w:rsidRPr="00A7289C" w:rsidRDefault="00B71C8D" w:rsidP="00B71C8D">
            <w:pPr>
              <w:ind w:left="-18"/>
              <w:jc w:val="center"/>
              <w:rPr>
                <w:b/>
                <w:sz w:val="20"/>
                <w:szCs w:val="20"/>
              </w:rPr>
            </w:pPr>
            <w:proofErr w:type="spellStart"/>
            <w:r>
              <w:rPr>
                <w:b/>
                <w:sz w:val="20"/>
                <w:szCs w:val="20"/>
              </w:rPr>
              <w:t>Coût</w:t>
            </w:r>
            <w:proofErr w:type="spellEnd"/>
            <w:r>
              <w:rPr>
                <w:b/>
                <w:sz w:val="20"/>
                <w:szCs w:val="20"/>
              </w:rPr>
              <w:t xml:space="preserve"> du </w:t>
            </w:r>
            <w:proofErr w:type="spellStart"/>
            <w:r>
              <w:rPr>
                <w:b/>
                <w:sz w:val="20"/>
                <w:szCs w:val="20"/>
              </w:rPr>
              <w:t>projet</w:t>
            </w:r>
            <w:proofErr w:type="spellEnd"/>
          </w:p>
        </w:tc>
        <w:tc>
          <w:tcPr>
            <w:tcW w:w="1170" w:type="dxa"/>
            <w:vAlign w:val="bottom"/>
          </w:tcPr>
          <w:p w:rsidR="00B71C8D" w:rsidRPr="00A7289C" w:rsidRDefault="00B71C8D" w:rsidP="00B71C8D">
            <w:pPr>
              <w:jc w:val="center"/>
              <w:rPr>
                <w:b/>
                <w:sz w:val="20"/>
                <w:szCs w:val="20"/>
              </w:rPr>
            </w:pPr>
            <w:proofErr w:type="spellStart"/>
            <w:r>
              <w:rPr>
                <w:b/>
                <w:sz w:val="20"/>
                <w:szCs w:val="20"/>
              </w:rPr>
              <w:t>Financement</w:t>
            </w:r>
            <w:proofErr w:type="spellEnd"/>
            <w:r>
              <w:rPr>
                <w:b/>
                <w:sz w:val="20"/>
                <w:szCs w:val="20"/>
              </w:rPr>
              <w:t xml:space="preserve"> </w:t>
            </w:r>
            <w:proofErr w:type="spellStart"/>
            <w:r>
              <w:rPr>
                <w:b/>
                <w:sz w:val="20"/>
                <w:szCs w:val="20"/>
              </w:rPr>
              <w:t>par</w:t>
            </w:r>
            <w:proofErr w:type="spellEnd"/>
            <w:r>
              <w:rPr>
                <w:b/>
                <w:sz w:val="20"/>
                <w:szCs w:val="20"/>
              </w:rPr>
              <w:t xml:space="preserve"> </w:t>
            </w:r>
            <w:proofErr w:type="spellStart"/>
            <w:r>
              <w:rPr>
                <w:b/>
                <w:sz w:val="20"/>
                <w:szCs w:val="20"/>
              </w:rPr>
              <w:t>l'IDA</w:t>
            </w:r>
            <w:proofErr w:type="spellEnd"/>
          </w:p>
        </w:tc>
        <w:tc>
          <w:tcPr>
            <w:tcW w:w="1188" w:type="dxa"/>
            <w:vAlign w:val="bottom"/>
          </w:tcPr>
          <w:p w:rsidR="00B71C8D" w:rsidRPr="00A7289C" w:rsidRDefault="00B71C8D" w:rsidP="00B71C8D">
            <w:pPr>
              <w:jc w:val="center"/>
              <w:rPr>
                <w:b/>
                <w:sz w:val="20"/>
                <w:szCs w:val="20"/>
              </w:rPr>
            </w:pPr>
            <w:proofErr w:type="spellStart"/>
            <w:r>
              <w:rPr>
                <w:b/>
                <w:sz w:val="20"/>
                <w:szCs w:val="20"/>
              </w:rPr>
              <w:t>Pourcentage</w:t>
            </w:r>
            <w:proofErr w:type="spellEnd"/>
            <w:r>
              <w:rPr>
                <w:b/>
                <w:sz w:val="20"/>
                <w:szCs w:val="20"/>
              </w:rPr>
              <w:t xml:space="preserve"> de </w:t>
            </w:r>
            <w:proofErr w:type="spellStart"/>
            <w:r>
              <w:rPr>
                <w:b/>
                <w:sz w:val="20"/>
                <w:szCs w:val="20"/>
              </w:rPr>
              <w:t>financement</w:t>
            </w:r>
            <w:proofErr w:type="spellEnd"/>
          </w:p>
        </w:tc>
      </w:tr>
      <w:tr w:rsidR="001D7990" w:rsidRPr="00A7289C" w:rsidTr="004E7A7F">
        <w:tc>
          <w:tcPr>
            <w:tcW w:w="5490" w:type="dxa"/>
            <w:tcBorders>
              <w:bottom w:val="single" w:sz="4" w:space="0" w:color="auto"/>
            </w:tcBorders>
            <w:vAlign w:val="bottom"/>
          </w:tcPr>
          <w:p w:rsidR="001D7990" w:rsidRPr="00857EF9" w:rsidRDefault="001D7990" w:rsidP="00B4180D">
            <w:pPr>
              <w:pStyle w:val="ListParagraph"/>
              <w:numPr>
                <w:ilvl w:val="2"/>
                <w:numId w:val="14"/>
              </w:numPr>
              <w:rPr>
                <w:b/>
                <w:sz w:val="20"/>
                <w:szCs w:val="20"/>
                <w:lang w:val="fr-FR"/>
              </w:rPr>
            </w:pPr>
            <w:r w:rsidRPr="00857EF9">
              <w:rPr>
                <w:b/>
                <w:sz w:val="20"/>
                <w:szCs w:val="20"/>
                <w:lang w:val="fr-FR"/>
              </w:rPr>
              <w:t>Climat des affaires et promotion de l'investissement</w:t>
            </w:r>
          </w:p>
        </w:tc>
        <w:tc>
          <w:tcPr>
            <w:tcW w:w="1260" w:type="dxa"/>
            <w:tcBorders>
              <w:bottom w:val="single" w:sz="4" w:space="0" w:color="auto"/>
            </w:tcBorders>
            <w:vAlign w:val="bottom"/>
          </w:tcPr>
          <w:p w:rsidR="001D7990" w:rsidRPr="00A7289C" w:rsidRDefault="001D7990" w:rsidP="00B71C8D">
            <w:pPr>
              <w:spacing w:before="100" w:beforeAutospacing="1" w:after="100" w:afterAutospacing="1"/>
              <w:ind w:left="522" w:hanging="630"/>
              <w:jc w:val="center"/>
              <w:rPr>
                <w:b/>
                <w:sz w:val="20"/>
                <w:szCs w:val="20"/>
              </w:rPr>
            </w:pPr>
            <w:r>
              <w:rPr>
                <w:b/>
                <w:sz w:val="20"/>
                <w:szCs w:val="20"/>
              </w:rPr>
              <w:t>10</w:t>
            </w:r>
            <w:r w:rsidR="00FB137A">
              <w:rPr>
                <w:b/>
                <w:sz w:val="20"/>
                <w:szCs w:val="20"/>
              </w:rPr>
              <w:t>,</w:t>
            </w:r>
            <w:r>
              <w:rPr>
                <w:b/>
                <w:sz w:val="20"/>
                <w:szCs w:val="20"/>
              </w:rPr>
              <w:t>0</w:t>
            </w:r>
          </w:p>
        </w:tc>
        <w:tc>
          <w:tcPr>
            <w:tcW w:w="1170" w:type="dxa"/>
            <w:tcBorders>
              <w:bottom w:val="single" w:sz="4" w:space="0" w:color="auto"/>
            </w:tcBorders>
            <w:vAlign w:val="bottom"/>
          </w:tcPr>
          <w:p w:rsidR="001D7990" w:rsidRPr="00A7289C" w:rsidRDefault="001D7990" w:rsidP="00585121">
            <w:pPr>
              <w:spacing w:before="100" w:beforeAutospacing="1" w:after="100" w:afterAutospacing="1"/>
              <w:jc w:val="center"/>
              <w:rPr>
                <w:b/>
                <w:sz w:val="20"/>
                <w:szCs w:val="20"/>
              </w:rPr>
            </w:pPr>
            <w:r>
              <w:rPr>
                <w:b/>
                <w:sz w:val="20"/>
                <w:szCs w:val="20"/>
              </w:rPr>
              <w:t>10</w:t>
            </w:r>
            <w:r w:rsidR="00FB137A">
              <w:rPr>
                <w:b/>
                <w:sz w:val="20"/>
                <w:szCs w:val="20"/>
              </w:rPr>
              <w:t>,</w:t>
            </w:r>
            <w:r>
              <w:rPr>
                <w:b/>
                <w:sz w:val="20"/>
                <w:szCs w:val="20"/>
              </w:rPr>
              <w:t>0</w:t>
            </w:r>
          </w:p>
        </w:tc>
        <w:tc>
          <w:tcPr>
            <w:tcW w:w="1188" w:type="dxa"/>
            <w:tcBorders>
              <w:bottom w:val="single" w:sz="4" w:space="0" w:color="auto"/>
            </w:tcBorders>
            <w:vAlign w:val="bottom"/>
          </w:tcPr>
          <w:p w:rsidR="001D7990" w:rsidRPr="00A7289C" w:rsidRDefault="001D7990" w:rsidP="00B71C8D">
            <w:pPr>
              <w:spacing w:before="100" w:beforeAutospacing="1" w:after="100" w:afterAutospacing="1"/>
              <w:jc w:val="center"/>
              <w:rPr>
                <w:b/>
                <w:sz w:val="20"/>
                <w:szCs w:val="20"/>
              </w:rPr>
            </w:pPr>
            <w:r>
              <w:rPr>
                <w:b/>
                <w:sz w:val="20"/>
                <w:szCs w:val="20"/>
              </w:rPr>
              <w:t>100</w:t>
            </w:r>
          </w:p>
        </w:tc>
      </w:tr>
      <w:tr w:rsidR="001D7990" w:rsidRPr="00A7289C" w:rsidTr="002843B5">
        <w:tc>
          <w:tcPr>
            <w:tcW w:w="5490" w:type="dxa"/>
            <w:tcBorders>
              <w:bottom w:val="single" w:sz="4" w:space="0" w:color="auto"/>
            </w:tcBorders>
            <w:vAlign w:val="bottom"/>
          </w:tcPr>
          <w:p w:rsidR="001D7990" w:rsidRPr="00857EF9" w:rsidRDefault="001D7990" w:rsidP="002843B5">
            <w:pPr>
              <w:pStyle w:val="ListParagraph"/>
              <w:numPr>
                <w:ilvl w:val="2"/>
                <w:numId w:val="14"/>
              </w:numPr>
              <w:spacing w:before="100" w:beforeAutospacing="1"/>
              <w:rPr>
                <w:b/>
                <w:sz w:val="20"/>
                <w:szCs w:val="20"/>
                <w:lang w:val="fr-FR"/>
              </w:rPr>
            </w:pPr>
            <w:r w:rsidRPr="00857EF9">
              <w:rPr>
                <w:b/>
                <w:sz w:val="20"/>
                <w:szCs w:val="20"/>
                <w:lang w:val="fr-FR"/>
              </w:rPr>
              <w:t xml:space="preserve">Services de développement des entreprises (SDE) pour les MPME </w:t>
            </w:r>
          </w:p>
        </w:tc>
        <w:tc>
          <w:tcPr>
            <w:tcW w:w="1260" w:type="dxa"/>
            <w:tcBorders>
              <w:bottom w:val="single" w:sz="4" w:space="0" w:color="auto"/>
            </w:tcBorders>
          </w:tcPr>
          <w:p w:rsidR="001D7990" w:rsidRPr="00A7289C" w:rsidRDefault="001D7990" w:rsidP="002843B5">
            <w:pPr>
              <w:spacing w:before="100" w:beforeAutospacing="1" w:after="100" w:afterAutospacing="1"/>
              <w:ind w:left="522" w:hanging="630"/>
              <w:jc w:val="center"/>
              <w:rPr>
                <w:b/>
                <w:sz w:val="20"/>
                <w:szCs w:val="20"/>
              </w:rPr>
            </w:pPr>
            <w:r>
              <w:rPr>
                <w:b/>
                <w:sz w:val="20"/>
                <w:szCs w:val="20"/>
              </w:rPr>
              <w:t>7</w:t>
            </w:r>
            <w:r w:rsidR="00FB137A">
              <w:rPr>
                <w:b/>
                <w:sz w:val="20"/>
                <w:szCs w:val="20"/>
              </w:rPr>
              <w:t>,</w:t>
            </w:r>
            <w:r>
              <w:rPr>
                <w:b/>
                <w:sz w:val="20"/>
                <w:szCs w:val="20"/>
              </w:rPr>
              <w:t>0</w:t>
            </w:r>
          </w:p>
        </w:tc>
        <w:tc>
          <w:tcPr>
            <w:tcW w:w="1170" w:type="dxa"/>
            <w:tcBorders>
              <w:bottom w:val="single" w:sz="4" w:space="0" w:color="auto"/>
            </w:tcBorders>
          </w:tcPr>
          <w:p w:rsidR="001D7990" w:rsidRPr="00A7289C" w:rsidRDefault="001D7990" w:rsidP="002843B5">
            <w:pPr>
              <w:spacing w:before="100" w:beforeAutospacing="1" w:after="100" w:afterAutospacing="1"/>
              <w:ind w:hanging="18"/>
              <w:jc w:val="center"/>
              <w:rPr>
                <w:b/>
                <w:sz w:val="20"/>
                <w:szCs w:val="20"/>
              </w:rPr>
            </w:pPr>
            <w:r>
              <w:rPr>
                <w:b/>
                <w:sz w:val="20"/>
                <w:szCs w:val="20"/>
              </w:rPr>
              <w:t>7</w:t>
            </w:r>
            <w:r w:rsidR="00FB137A">
              <w:rPr>
                <w:b/>
                <w:sz w:val="20"/>
                <w:szCs w:val="20"/>
              </w:rPr>
              <w:t>,</w:t>
            </w:r>
            <w:r>
              <w:rPr>
                <w:b/>
                <w:sz w:val="20"/>
                <w:szCs w:val="20"/>
              </w:rPr>
              <w:t>0</w:t>
            </w:r>
          </w:p>
        </w:tc>
        <w:tc>
          <w:tcPr>
            <w:tcW w:w="1188" w:type="dxa"/>
            <w:tcBorders>
              <w:bottom w:val="single" w:sz="4" w:space="0" w:color="auto"/>
            </w:tcBorders>
          </w:tcPr>
          <w:p w:rsidR="001D7990" w:rsidRPr="00A7289C" w:rsidRDefault="001D7990" w:rsidP="002843B5">
            <w:pPr>
              <w:spacing w:before="100" w:beforeAutospacing="1" w:after="100" w:afterAutospacing="1"/>
              <w:jc w:val="center"/>
              <w:rPr>
                <w:b/>
                <w:sz w:val="20"/>
                <w:szCs w:val="20"/>
              </w:rPr>
            </w:pPr>
            <w:r>
              <w:rPr>
                <w:b/>
                <w:sz w:val="20"/>
                <w:szCs w:val="20"/>
              </w:rPr>
              <w:t>100</w:t>
            </w:r>
          </w:p>
        </w:tc>
      </w:tr>
      <w:tr w:rsidR="001D7990" w:rsidRPr="00A7289C" w:rsidTr="004E7A7F">
        <w:tc>
          <w:tcPr>
            <w:tcW w:w="5490" w:type="dxa"/>
            <w:tcBorders>
              <w:bottom w:val="single" w:sz="4" w:space="0" w:color="auto"/>
            </w:tcBorders>
            <w:vAlign w:val="bottom"/>
          </w:tcPr>
          <w:p w:rsidR="001D7990" w:rsidRPr="00857EF9" w:rsidRDefault="0067242B" w:rsidP="003F07EA">
            <w:pPr>
              <w:pStyle w:val="ListParagraph"/>
              <w:numPr>
                <w:ilvl w:val="2"/>
                <w:numId w:val="14"/>
              </w:numPr>
              <w:rPr>
                <w:b/>
                <w:sz w:val="20"/>
                <w:szCs w:val="20"/>
                <w:lang w:val="fr-FR"/>
              </w:rPr>
            </w:pPr>
            <w:r w:rsidRPr="00857EF9">
              <w:rPr>
                <w:b/>
                <w:sz w:val="20"/>
                <w:szCs w:val="20"/>
                <w:lang w:val="fr-FR"/>
              </w:rPr>
              <w:t>Mise en œuvre, évaluation et suivi du projet</w:t>
            </w:r>
          </w:p>
        </w:tc>
        <w:tc>
          <w:tcPr>
            <w:tcW w:w="1260" w:type="dxa"/>
            <w:tcBorders>
              <w:bottom w:val="single" w:sz="4" w:space="0" w:color="auto"/>
            </w:tcBorders>
            <w:vAlign w:val="center"/>
          </w:tcPr>
          <w:p w:rsidR="001D7990" w:rsidRPr="00A7289C" w:rsidRDefault="001D7990" w:rsidP="00B71C8D">
            <w:pPr>
              <w:jc w:val="center"/>
              <w:rPr>
                <w:b/>
                <w:sz w:val="20"/>
                <w:szCs w:val="20"/>
              </w:rPr>
            </w:pPr>
            <w:r>
              <w:rPr>
                <w:b/>
                <w:sz w:val="20"/>
                <w:szCs w:val="20"/>
              </w:rPr>
              <w:t>2</w:t>
            </w:r>
            <w:r w:rsidR="00FB137A">
              <w:rPr>
                <w:b/>
                <w:sz w:val="20"/>
                <w:szCs w:val="20"/>
              </w:rPr>
              <w:t>,</w:t>
            </w:r>
            <w:r>
              <w:rPr>
                <w:b/>
                <w:sz w:val="20"/>
                <w:szCs w:val="20"/>
              </w:rPr>
              <w:t>5</w:t>
            </w:r>
          </w:p>
        </w:tc>
        <w:tc>
          <w:tcPr>
            <w:tcW w:w="1170" w:type="dxa"/>
            <w:tcBorders>
              <w:bottom w:val="single" w:sz="4" w:space="0" w:color="auto"/>
            </w:tcBorders>
            <w:vAlign w:val="center"/>
          </w:tcPr>
          <w:p w:rsidR="001D7990" w:rsidRPr="00A7289C" w:rsidRDefault="001D7990" w:rsidP="00B71C8D">
            <w:pPr>
              <w:jc w:val="center"/>
              <w:rPr>
                <w:b/>
                <w:sz w:val="20"/>
                <w:szCs w:val="20"/>
              </w:rPr>
            </w:pPr>
            <w:r>
              <w:rPr>
                <w:b/>
                <w:sz w:val="20"/>
                <w:szCs w:val="20"/>
              </w:rPr>
              <w:t>2</w:t>
            </w:r>
            <w:r w:rsidR="00FB137A">
              <w:rPr>
                <w:b/>
                <w:sz w:val="20"/>
                <w:szCs w:val="20"/>
              </w:rPr>
              <w:t>,</w:t>
            </w:r>
            <w:r>
              <w:rPr>
                <w:b/>
                <w:sz w:val="20"/>
                <w:szCs w:val="20"/>
              </w:rPr>
              <w:t>5</w:t>
            </w:r>
          </w:p>
        </w:tc>
        <w:tc>
          <w:tcPr>
            <w:tcW w:w="1188" w:type="dxa"/>
            <w:tcBorders>
              <w:bottom w:val="single" w:sz="4" w:space="0" w:color="auto"/>
            </w:tcBorders>
            <w:vAlign w:val="bottom"/>
          </w:tcPr>
          <w:p w:rsidR="001D7990" w:rsidRPr="00A7289C" w:rsidRDefault="001D7990" w:rsidP="00B71C8D">
            <w:pPr>
              <w:jc w:val="center"/>
              <w:rPr>
                <w:b/>
                <w:sz w:val="20"/>
                <w:szCs w:val="20"/>
              </w:rPr>
            </w:pPr>
            <w:r>
              <w:rPr>
                <w:b/>
                <w:sz w:val="20"/>
                <w:szCs w:val="20"/>
              </w:rPr>
              <w:t>100</w:t>
            </w:r>
          </w:p>
        </w:tc>
      </w:tr>
      <w:tr w:rsidR="001D7990" w:rsidRPr="00A7289C" w:rsidTr="002843B5">
        <w:trPr>
          <w:trHeight w:val="278"/>
        </w:trPr>
        <w:tc>
          <w:tcPr>
            <w:tcW w:w="5490" w:type="dxa"/>
            <w:tcBorders>
              <w:bottom w:val="single" w:sz="4" w:space="0" w:color="auto"/>
            </w:tcBorders>
          </w:tcPr>
          <w:p w:rsidR="001D7990" w:rsidRPr="00A7289C" w:rsidRDefault="0067242B" w:rsidP="00FD5C8B">
            <w:pPr>
              <w:pStyle w:val="ListParagraph"/>
              <w:numPr>
                <w:ilvl w:val="2"/>
                <w:numId w:val="14"/>
              </w:numPr>
              <w:spacing w:before="100" w:beforeAutospacing="1"/>
              <w:rPr>
                <w:b/>
                <w:sz w:val="20"/>
                <w:szCs w:val="20"/>
              </w:rPr>
            </w:pPr>
            <w:proofErr w:type="spellStart"/>
            <w:r>
              <w:rPr>
                <w:b/>
                <w:sz w:val="20"/>
                <w:szCs w:val="20"/>
              </w:rPr>
              <w:t>Mécanisme</w:t>
            </w:r>
            <w:proofErr w:type="spellEnd"/>
            <w:r>
              <w:rPr>
                <w:b/>
                <w:sz w:val="20"/>
                <w:szCs w:val="20"/>
              </w:rPr>
              <w:t xml:space="preserve"> de </w:t>
            </w:r>
            <w:proofErr w:type="spellStart"/>
            <w:r>
              <w:rPr>
                <w:b/>
                <w:sz w:val="20"/>
                <w:szCs w:val="20"/>
              </w:rPr>
              <w:t>réponse</w:t>
            </w:r>
            <w:proofErr w:type="spellEnd"/>
            <w:r>
              <w:rPr>
                <w:b/>
                <w:sz w:val="20"/>
                <w:szCs w:val="20"/>
              </w:rPr>
              <w:t xml:space="preserve"> </w:t>
            </w:r>
            <w:proofErr w:type="spellStart"/>
            <w:r>
              <w:rPr>
                <w:b/>
                <w:sz w:val="20"/>
                <w:szCs w:val="20"/>
              </w:rPr>
              <w:t>immédiate</w:t>
            </w:r>
            <w:proofErr w:type="spellEnd"/>
          </w:p>
        </w:tc>
        <w:tc>
          <w:tcPr>
            <w:tcW w:w="1260" w:type="dxa"/>
            <w:tcBorders>
              <w:bottom w:val="single" w:sz="4" w:space="0" w:color="auto"/>
            </w:tcBorders>
          </w:tcPr>
          <w:p w:rsidR="001D7990" w:rsidRPr="00A7289C" w:rsidRDefault="001D7990" w:rsidP="002843B5">
            <w:pPr>
              <w:spacing w:before="100" w:beforeAutospacing="1" w:after="100" w:afterAutospacing="1"/>
              <w:jc w:val="center"/>
              <w:rPr>
                <w:b/>
                <w:sz w:val="20"/>
                <w:szCs w:val="20"/>
              </w:rPr>
            </w:pPr>
            <w:r>
              <w:rPr>
                <w:b/>
                <w:sz w:val="20"/>
                <w:szCs w:val="20"/>
              </w:rPr>
              <w:t>0</w:t>
            </w:r>
            <w:r w:rsidR="00FB137A">
              <w:rPr>
                <w:b/>
                <w:sz w:val="20"/>
                <w:szCs w:val="20"/>
              </w:rPr>
              <w:t>,</w:t>
            </w:r>
            <w:r>
              <w:rPr>
                <w:b/>
                <w:sz w:val="20"/>
                <w:szCs w:val="20"/>
              </w:rPr>
              <w:t>5</w:t>
            </w:r>
          </w:p>
        </w:tc>
        <w:tc>
          <w:tcPr>
            <w:tcW w:w="1170" w:type="dxa"/>
            <w:tcBorders>
              <w:bottom w:val="single" w:sz="4" w:space="0" w:color="auto"/>
            </w:tcBorders>
          </w:tcPr>
          <w:p w:rsidR="001D7990" w:rsidRPr="00A7289C" w:rsidRDefault="001D7990" w:rsidP="002843B5">
            <w:pPr>
              <w:spacing w:before="100" w:beforeAutospacing="1" w:after="100" w:afterAutospacing="1"/>
              <w:jc w:val="center"/>
              <w:rPr>
                <w:b/>
                <w:sz w:val="20"/>
                <w:szCs w:val="20"/>
              </w:rPr>
            </w:pPr>
            <w:r>
              <w:rPr>
                <w:b/>
                <w:sz w:val="20"/>
                <w:szCs w:val="20"/>
              </w:rPr>
              <w:t>0</w:t>
            </w:r>
            <w:r w:rsidR="00FB137A">
              <w:rPr>
                <w:b/>
                <w:sz w:val="20"/>
                <w:szCs w:val="20"/>
              </w:rPr>
              <w:t>,</w:t>
            </w:r>
            <w:r>
              <w:rPr>
                <w:b/>
                <w:sz w:val="20"/>
                <w:szCs w:val="20"/>
              </w:rPr>
              <w:t>5</w:t>
            </w:r>
          </w:p>
        </w:tc>
        <w:tc>
          <w:tcPr>
            <w:tcW w:w="1188" w:type="dxa"/>
            <w:tcBorders>
              <w:bottom w:val="single" w:sz="4" w:space="0" w:color="auto"/>
            </w:tcBorders>
          </w:tcPr>
          <w:p w:rsidR="001D7990" w:rsidRPr="00A7289C" w:rsidRDefault="001D7990" w:rsidP="002843B5">
            <w:pPr>
              <w:spacing w:before="100" w:beforeAutospacing="1" w:after="100" w:afterAutospacing="1"/>
              <w:jc w:val="center"/>
              <w:rPr>
                <w:b/>
                <w:sz w:val="20"/>
                <w:szCs w:val="20"/>
              </w:rPr>
            </w:pPr>
            <w:r>
              <w:rPr>
                <w:b/>
                <w:sz w:val="20"/>
                <w:szCs w:val="20"/>
              </w:rPr>
              <w:t>100</w:t>
            </w:r>
          </w:p>
        </w:tc>
      </w:tr>
      <w:tr w:rsidR="001D7990" w:rsidRPr="00A7289C" w:rsidTr="004E7A7F">
        <w:tc>
          <w:tcPr>
            <w:tcW w:w="5490" w:type="dxa"/>
            <w:vAlign w:val="bottom"/>
          </w:tcPr>
          <w:p w:rsidR="001D7990" w:rsidRPr="00A7289C" w:rsidRDefault="001D7990" w:rsidP="00B71C8D">
            <w:pPr>
              <w:jc w:val="right"/>
              <w:rPr>
                <w:b/>
                <w:sz w:val="20"/>
                <w:szCs w:val="20"/>
              </w:rPr>
            </w:pPr>
            <w:proofErr w:type="spellStart"/>
            <w:r>
              <w:rPr>
                <w:b/>
                <w:sz w:val="20"/>
                <w:szCs w:val="20"/>
              </w:rPr>
              <w:t>Coût</w:t>
            </w:r>
            <w:proofErr w:type="spellEnd"/>
            <w:r>
              <w:rPr>
                <w:b/>
                <w:sz w:val="20"/>
                <w:szCs w:val="20"/>
              </w:rPr>
              <w:t xml:space="preserve"> total du </w:t>
            </w:r>
            <w:proofErr w:type="spellStart"/>
            <w:r>
              <w:rPr>
                <w:b/>
                <w:sz w:val="20"/>
                <w:szCs w:val="20"/>
              </w:rPr>
              <w:t>projet</w:t>
            </w:r>
            <w:proofErr w:type="spellEnd"/>
          </w:p>
        </w:tc>
        <w:tc>
          <w:tcPr>
            <w:tcW w:w="1260" w:type="dxa"/>
            <w:vAlign w:val="bottom"/>
          </w:tcPr>
          <w:p w:rsidR="001D7990" w:rsidRPr="00A7289C" w:rsidRDefault="001D7990" w:rsidP="00726099">
            <w:pPr>
              <w:spacing w:before="100" w:beforeAutospacing="1" w:after="100" w:afterAutospacing="1"/>
              <w:ind w:left="342"/>
              <w:jc w:val="both"/>
              <w:rPr>
                <w:b/>
                <w:sz w:val="20"/>
                <w:szCs w:val="20"/>
              </w:rPr>
            </w:pPr>
            <w:r>
              <w:rPr>
                <w:b/>
                <w:sz w:val="20"/>
                <w:szCs w:val="20"/>
              </w:rPr>
              <w:t>20</w:t>
            </w:r>
            <w:r w:rsidR="00FB137A">
              <w:rPr>
                <w:b/>
                <w:sz w:val="20"/>
                <w:szCs w:val="20"/>
              </w:rPr>
              <w:t>,</w:t>
            </w:r>
            <w:r>
              <w:rPr>
                <w:b/>
                <w:sz w:val="20"/>
                <w:szCs w:val="20"/>
              </w:rPr>
              <w:t>0</w:t>
            </w:r>
          </w:p>
        </w:tc>
        <w:tc>
          <w:tcPr>
            <w:tcW w:w="1170" w:type="dxa"/>
            <w:vAlign w:val="bottom"/>
          </w:tcPr>
          <w:p w:rsidR="001D7990" w:rsidRPr="00A7289C" w:rsidRDefault="001D7990" w:rsidP="00B71C8D">
            <w:pPr>
              <w:spacing w:before="100" w:beforeAutospacing="1" w:after="100" w:afterAutospacing="1"/>
              <w:jc w:val="center"/>
              <w:rPr>
                <w:b/>
                <w:sz w:val="20"/>
                <w:szCs w:val="20"/>
              </w:rPr>
            </w:pPr>
            <w:r>
              <w:rPr>
                <w:b/>
                <w:sz w:val="20"/>
                <w:szCs w:val="20"/>
              </w:rPr>
              <w:t>20</w:t>
            </w:r>
            <w:r w:rsidR="00FB137A">
              <w:rPr>
                <w:b/>
                <w:sz w:val="20"/>
                <w:szCs w:val="20"/>
              </w:rPr>
              <w:t>,</w:t>
            </w:r>
            <w:r>
              <w:rPr>
                <w:b/>
                <w:sz w:val="20"/>
                <w:szCs w:val="20"/>
              </w:rPr>
              <w:t>0</w:t>
            </w:r>
          </w:p>
        </w:tc>
        <w:tc>
          <w:tcPr>
            <w:tcW w:w="1188" w:type="dxa"/>
            <w:vAlign w:val="bottom"/>
          </w:tcPr>
          <w:p w:rsidR="001D7990" w:rsidRPr="00A7289C" w:rsidRDefault="001D7990" w:rsidP="00B71C8D">
            <w:pPr>
              <w:jc w:val="center"/>
              <w:rPr>
                <w:b/>
                <w:sz w:val="20"/>
                <w:szCs w:val="20"/>
              </w:rPr>
            </w:pPr>
          </w:p>
        </w:tc>
      </w:tr>
      <w:tr w:rsidR="001D7990" w:rsidRPr="00A7289C" w:rsidTr="004E7A7F">
        <w:tc>
          <w:tcPr>
            <w:tcW w:w="5490" w:type="dxa"/>
            <w:vAlign w:val="bottom"/>
          </w:tcPr>
          <w:p w:rsidR="001D7990" w:rsidRPr="00A7289C" w:rsidRDefault="001D7990" w:rsidP="00B71C8D">
            <w:pPr>
              <w:ind w:left="252"/>
              <w:jc w:val="right"/>
              <w:rPr>
                <w:b/>
                <w:sz w:val="20"/>
                <w:szCs w:val="20"/>
              </w:rPr>
            </w:pPr>
            <w:proofErr w:type="spellStart"/>
            <w:r>
              <w:rPr>
                <w:b/>
                <w:sz w:val="20"/>
                <w:szCs w:val="20"/>
              </w:rPr>
              <w:t>Financement</w:t>
            </w:r>
            <w:proofErr w:type="spellEnd"/>
            <w:r>
              <w:rPr>
                <w:b/>
                <w:sz w:val="20"/>
                <w:szCs w:val="20"/>
              </w:rPr>
              <w:t xml:space="preserve"> total </w:t>
            </w:r>
            <w:proofErr w:type="spellStart"/>
            <w:r>
              <w:rPr>
                <w:b/>
                <w:sz w:val="20"/>
                <w:szCs w:val="20"/>
              </w:rPr>
              <w:t>requis</w:t>
            </w:r>
            <w:proofErr w:type="spellEnd"/>
          </w:p>
        </w:tc>
        <w:tc>
          <w:tcPr>
            <w:tcW w:w="1260" w:type="dxa"/>
            <w:vAlign w:val="bottom"/>
          </w:tcPr>
          <w:p w:rsidR="001D7990" w:rsidRPr="00A7289C" w:rsidRDefault="001D7990" w:rsidP="00726099">
            <w:pPr>
              <w:spacing w:before="100" w:beforeAutospacing="1" w:after="100" w:afterAutospacing="1"/>
              <w:ind w:left="342"/>
              <w:jc w:val="both"/>
              <w:rPr>
                <w:b/>
                <w:sz w:val="20"/>
                <w:szCs w:val="20"/>
              </w:rPr>
            </w:pPr>
            <w:r>
              <w:rPr>
                <w:b/>
                <w:sz w:val="20"/>
                <w:szCs w:val="20"/>
              </w:rPr>
              <w:t>20</w:t>
            </w:r>
            <w:r w:rsidR="00FB137A">
              <w:rPr>
                <w:b/>
                <w:sz w:val="20"/>
                <w:szCs w:val="20"/>
              </w:rPr>
              <w:t>,</w:t>
            </w:r>
            <w:r>
              <w:rPr>
                <w:b/>
                <w:sz w:val="20"/>
                <w:szCs w:val="20"/>
              </w:rPr>
              <w:t>0</w:t>
            </w:r>
          </w:p>
        </w:tc>
        <w:tc>
          <w:tcPr>
            <w:tcW w:w="1170" w:type="dxa"/>
            <w:vAlign w:val="bottom"/>
          </w:tcPr>
          <w:p w:rsidR="001D7990" w:rsidRPr="00A7289C" w:rsidRDefault="001D7990" w:rsidP="00B71C8D">
            <w:pPr>
              <w:spacing w:before="100" w:beforeAutospacing="1" w:after="100" w:afterAutospacing="1"/>
              <w:jc w:val="center"/>
              <w:rPr>
                <w:b/>
                <w:sz w:val="20"/>
                <w:szCs w:val="20"/>
              </w:rPr>
            </w:pPr>
            <w:r>
              <w:rPr>
                <w:b/>
                <w:sz w:val="20"/>
                <w:szCs w:val="20"/>
              </w:rPr>
              <w:t>20</w:t>
            </w:r>
            <w:r w:rsidR="00FB137A">
              <w:rPr>
                <w:b/>
                <w:sz w:val="20"/>
                <w:szCs w:val="20"/>
              </w:rPr>
              <w:t>,</w:t>
            </w:r>
            <w:r>
              <w:rPr>
                <w:b/>
                <w:sz w:val="20"/>
                <w:szCs w:val="20"/>
              </w:rPr>
              <w:t>0</w:t>
            </w:r>
          </w:p>
        </w:tc>
        <w:tc>
          <w:tcPr>
            <w:tcW w:w="1188" w:type="dxa"/>
            <w:vAlign w:val="bottom"/>
          </w:tcPr>
          <w:p w:rsidR="001D7990" w:rsidRPr="00A7289C" w:rsidRDefault="001D7990" w:rsidP="00B71C8D">
            <w:pPr>
              <w:jc w:val="center"/>
              <w:rPr>
                <w:b/>
                <w:sz w:val="20"/>
                <w:szCs w:val="20"/>
              </w:rPr>
            </w:pPr>
          </w:p>
        </w:tc>
      </w:tr>
    </w:tbl>
    <w:p w:rsidR="00AD3B85" w:rsidRPr="00A7289C" w:rsidRDefault="00AD3B85" w:rsidP="004E7A7F">
      <w:pPr>
        <w:ind w:left="288"/>
      </w:pPr>
    </w:p>
    <w:p w:rsidR="00AD3B85" w:rsidRPr="00857EF9" w:rsidRDefault="00B71C8D" w:rsidP="00FD5C8B">
      <w:pPr>
        <w:pStyle w:val="PDSHeading2"/>
        <w:tabs>
          <w:tab w:val="clear" w:pos="360"/>
        </w:tabs>
        <w:spacing w:after="120"/>
        <w:ind w:left="648"/>
        <w:rPr>
          <w:lang w:val="fr-FR"/>
        </w:rPr>
      </w:pPr>
      <w:bookmarkStart w:id="13" w:name="_Toc362270221"/>
      <w:r w:rsidRPr="00857EF9">
        <w:rPr>
          <w:lang w:val="fr-FR"/>
        </w:rPr>
        <w:t>Enseignements tirés et intégrés dans la conception du projet</w:t>
      </w:r>
      <w:bookmarkEnd w:id="13"/>
    </w:p>
    <w:p w:rsidR="008752A0" w:rsidRPr="00857EF9" w:rsidRDefault="00111BB0" w:rsidP="00B563F2">
      <w:pPr>
        <w:pStyle w:val="ListParagraph"/>
        <w:numPr>
          <w:ilvl w:val="0"/>
          <w:numId w:val="25"/>
        </w:numPr>
        <w:tabs>
          <w:tab w:val="num" w:pos="648"/>
          <w:tab w:val="num" w:pos="720"/>
        </w:tabs>
        <w:spacing w:after="120"/>
        <w:contextualSpacing w:val="0"/>
        <w:jc w:val="both"/>
        <w:rPr>
          <w:lang w:val="fr-FR"/>
        </w:rPr>
      </w:pPr>
      <w:r w:rsidRPr="00857EF9">
        <w:rPr>
          <w:lang w:val="fr-FR"/>
        </w:rPr>
        <w:t>Le projet s'inspire des leçons acquises par le Groupe de la Banque mondiale dans son expérience auprès des États fragiles et en conflit et dans les contextes de suites de catastrophes. Les évaluations effectuées sur d'autres projets du GBM dans les États en situation de fragilité ou de conflit</w:t>
      </w:r>
      <w:r w:rsidR="00847E66" w:rsidRPr="00A7289C">
        <w:rPr>
          <w:vertAlign w:val="superscript"/>
        </w:rPr>
        <w:footnoteReference w:id="27"/>
      </w:r>
      <w:r w:rsidRPr="00857EF9">
        <w:rPr>
          <w:vertAlign w:val="superscript"/>
          <w:lang w:val="fr-FR"/>
        </w:rPr>
        <w:t xml:space="preserve"> </w:t>
      </w:r>
      <w:r w:rsidRPr="00857EF9">
        <w:rPr>
          <w:lang w:val="fr-FR"/>
        </w:rPr>
        <w:t xml:space="preserve">indiquent que, si l'on veut pouvoir renforcer les capacités institutionnelles, il convient d'établir des priorités et un équilibre entre la croissance et le développement économique à long terme d'une part, et les besoins à court terme d'autre part. De plus, ces évaluations ont mis en évidence le rôle crucial des approches programmatiques, y compris le support budgétaire des réformes ainsi que les partenariats avec les bailleurs et la société civile, pour la bonne exécution des services. Conformément à ces recommandations, le projet a été conçu de manière à ce que les programmes de </w:t>
      </w:r>
      <w:r w:rsidR="00040DBD" w:rsidRPr="00857EF9">
        <w:rPr>
          <w:lang w:val="fr-FR"/>
        </w:rPr>
        <w:t>réformes</w:t>
      </w:r>
      <w:r w:rsidRPr="00857EF9">
        <w:rPr>
          <w:lang w:val="fr-FR"/>
        </w:rPr>
        <w:t xml:space="preserve"> comportent des cibles et des priorités bien définies garantissant leur efficacité, et qu'ils adoptent une approche graduelle pour ensuite prendre de l'ampleur et emporter l'adhésion des parties prenantes dès les premiers succès. Le projet s'appuiera également sur les capacités du secteur privé et sera exécuté en coordination avec d'autres organisations internationales</w:t>
      </w:r>
      <w:r w:rsidRPr="00A7289C">
        <w:rPr>
          <w:vertAlign w:val="superscript"/>
        </w:rPr>
        <w:footnoteReference w:id="28"/>
      </w:r>
      <w:r w:rsidRPr="00857EF9">
        <w:rPr>
          <w:lang w:val="fr-FR"/>
        </w:rPr>
        <w:t>.</w:t>
      </w:r>
    </w:p>
    <w:p w:rsidR="00111BB0" w:rsidRPr="00857EF9" w:rsidRDefault="00111BB0" w:rsidP="00B563F2">
      <w:pPr>
        <w:pStyle w:val="ListParagraph"/>
        <w:numPr>
          <w:ilvl w:val="0"/>
          <w:numId w:val="25"/>
        </w:numPr>
        <w:tabs>
          <w:tab w:val="num" w:pos="648"/>
          <w:tab w:val="num" w:pos="720"/>
        </w:tabs>
        <w:spacing w:after="120"/>
        <w:contextualSpacing w:val="0"/>
        <w:jc w:val="both"/>
        <w:rPr>
          <w:lang w:val="fr-FR"/>
        </w:rPr>
      </w:pPr>
      <w:r w:rsidRPr="00857EF9">
        <w:rPr>
          <w:lang w:val="fr-FR"/>
        </w:rPr>
        <w:lastRenderedPageBreak/>
        <w:t>Comme l'ont prouvé les expériences antérieures de réformes du climat de l'investissement, il est important d'envisager les réglementations et les procédures administratives dans le contexte du système social, politique et économique d'un pays. Les évaluations de l'aide du GBM en vue d'améliorer le climat de l'investissement</w:t>
      </w:r>
      <w:r w:rsidRPr="00A7289C">
        <w:rPr>
          <w:vertAlign w:val="superscript"/>
        </w:rPr>
        <w:footnoteReference w:id="29"/>
      </w:r>
      <w:r w:rsidRPr="00857EF9">
        <w:rPr>
          <w:vertAlign w:val="superscript"/>
          <w:lang w:val="fr-FR"/>
        </w:rPr>
        <w:t xml:space="preserve"> </w:t>
      </w:r>
      <w:r w:rsidRPr="00857EF9">
        <w:rPr>
          <w:lang w:val="fr-FR"/>
        </w:rPr>
        <w:t>recommandent de concentrer les réformes à l'échelon institutionnel, par exemple en soutenant les organismes d'exécution chargés des réglementations de promotion de la concurrence, de protection des droits de propriété et d'application des contrats. Lorsqu'il est politiquement impossible d'entreprendre des réformes globales, il peut être intéressant de se concentrer sur les points qui, s'ils étaient réglés, pourraient produire des effets positifs immédiats, dans le but de mobiliser un soutien politique pour des réformes ultérieures. À partir de ces enseignements et des priorités du GH, le projet a déterminé que les réformes des transactions sécurisées étaient importantes pour augmenter l'accès au financement. D'autres réformes sont en cours de définition, selon leur faisabilité et leur impact, en particulier sur les MPME.</w:t>
      </w:r>
    </w:p>
    <w:p w:rsidR="00111BB0" w:rsidRPr="00857EF9" w:rsidRDefault="0038696D" w:rsidP="00B563F2">
      <w:pPr>
        <w:pStyle w:val="ListParagraph"/>
        <w:numPr>
          <w:ilvl w:val="0"/>
          <w:numId w:val="25"/>
        </w:numPr>
        <w:tabs>
          <w:tab w:val="num" w:pos="648"/>
          <w:tab w:val="num" w:pos="720"/>
        </w:tabs>
        <w:spacing w:after="120"/>
        <w:contextualSpacing w:val="0"/>
        <w:jc w:val="both"/>
        <w:rPr>
          <w:lang w:val="fr-FR"/>
        </w:rPr>
      </w:pPr>
      <w:r w:rsidRPr="00857EF9">
        <w:rPr>
          <w:lang w:val="fr-FR"/>
        </w:rPr>
        <w:t>Les ZEI sont des zones géographiques délimitées administrées par une instance unique, qui encouragent les investissements pour les entreprises physiquement implantées dans ces zones</w:t>
      </w:r>
      <w:r w:rsidR="00BE52F7" w:rsidRPr="00A7289C">
        <w:rPr>
          <w:vertAlign w:val="superscript"/>
        </w:rPr>
        <w:footnoteReference w:id="30"/>
      </w:r>
      <w:r w:rsidRPr="00857EF9">
        <w:rPr>
          <w:lang w:val="fr-FR"/>
        </w:rPr>
        <w:t xml:space="preserve">  à l'aide de certains instruments politiques. Pour être fructueuses, et comme le montrent les expériences ailleurs dans le monde, les ZEI doivent se développer et être gérées selon les principes du marché libre, avec un processus de sélection du site établi en fonction de la demande du marché/des investisseurs (plutôt qu'en choisissant des secteurs sans une analyse appropriée préalable ou en fonction de préférences géographiques dictées par des motivations politiques). Les investisseurs perçoivent les ZEI comme des solutions clés en main, avec des procédures simplifiées et un accès rapide aux marchés, qui leur évitent les contraintes habituelles liées à l'acquisition d'un terrain industriel et à sa viabilisation, et leur permettent d'échapper à la lourdeur des procédures de création d'entreprise et de mise en place de l'infrastructure commerciale. Le concept haïtien des ZEI inclut des mécanismes visant à impliquer les sociétés locales, pour la plupart petites et informelles, en tant que fournisseurs des entreprises des ZEI ainsi que pour approvisionner en biens et en services les employés travaillant dans ces ZEI. Les pouvoirs publics d'Haïti ont lancé leur stratégie des ZEI en décembre 2011, avec l'appui du GBM</w:t>
      </w:r>
      <w:r w:rsidR="00111BB0" w:rsidRPr="00A7289C">
        <w:rPr>
          <w:vertAlign w:val="superscript"/>
        </w:rPr>
        <w:footnoteReference w:id="31"/>
      </w:r>
      <w:r w:rsidRPr="00857EF9">
        <w:rPr>
          <w:rStyle w:val="FootnoteReference"/>
          <w:lang w:val="fr-FR"/>
        </w:rPr>
        <w:t xml:space="preserve">. </w:t>
      </w:r>
    </w:p>
    <w:p w:rsidR="00111BB0" w:rsidRPr="00857EF9" w:rsidRDefault="003C32BF" w:rsidP="00B563F2">
      <w:pPr>
        <w:pStyle w:val="ListParagraph"/>
        <w:numPr>
          <w:ilvl w:val="0"/>
          <w:numId w:val="25"/>
        </w:numPr>
        <w:tabs>
          <w:tab w:val="num" w:pos="648"/>
          <w:tab w:val="num" w:pos="720"/>
        </w:tabs>
        <w:spacing w:after="120"/>
        <w:contextualSpacing w:val="0"/>
        <w:jc w:val="both"/>
        <w:rPr>
          <w:lang w:val="fr-FR"/>
        </w:rPr>
      </w:pPr>
      <w:r w:rsidRPr="00857EF9">
        <w:rPr>
          <w:lang w:val="fr-FR"/>
        </w:rPr>
        <w:t>La conception de la composante SDE tient compte des leçons des programmes d'assistance aux MPME en général, et en particulier des subventions de contrepartie</w:t>
      </w:r>
      <w:r w:rsidR="00E01433" w:rsidRPr="00857EF9">
        <w:rPr>
          <w:lang w:val="fr-FR"/>
        </w:rPr>
        <w:t xml:space="preserve">. </w:t>
      </w:r>
      <w:r w:rsidRPr="00857EF9">
        <w:rPr>
          <w:lang w:val="fr-FR"/>
        </w:rPr>
        <w:t>Ces leçons émanent de plusieurs études : une étude effectuée dans quatre pays d'Amérique latine, une étude transnationale pour soixante projets de la Banque mondiale et une étude portant sur des programmes menés en Afrique</w:t>
      </w:r>
      <w:r w:rsidR="00E01433" w:rsidRPr="00857EF9">
        <w:rPr>
          <w:lang w:val="fr-FR"/>
        </w:rPr>
        <w:t xml:space="preserve">. </w:t>
      </w:r>
      <w:r w:rsidRPr="00857EF9">
        <w:rPr>
          <w:lang w:val="fr-FR"/>
        </w:rPr>
        <w:t xml:space="preserve">Selon ces études, les risques principaux pour les programmes de subventions de contrepartie sont les suivants : (i) distorsion des critères d'éligibilité et </w:t>
      </w:r>
      <w:proofErr w:type="spellStart"/>
      <w:r w:rsidRPr="00857EF9">
        <w:rPr>
          <w:lang w:val="fr-FR"/>
        </w:rPr>
        <w:t>main-mise</w:t>
      </w:r>
      <w:proofErr w:type="spellEnd"/>
      <w:r w:rsidRPr="00857EF9">
        <w:rPr>
          <w:lang w:val="fr-FR"/>
        </w:rPr>
        <w:t xml:space="preserve"> des politiques ; (ii) critères d'éligibilité trop sévères qui excluent la plupart des sociétés ; et (iii) conditions strictes qui compliquent et alourdissent la possibilité pour les sociétés </w:t>
      </w:r>
      <w:r w:rsidRPr="00857EF9">
        <w:rPr>
          <w:lang w:val="fr-FR"/>
        </w:rPr>
        <w:lastRenderedPageBreak/>
        <w:t>éligibles de faire acte de candidature et de bénéficier d'un appui</w:t>
      </w:r>
      <w:r w:rsidR="00111BB0" w:rsidRPr="00A7289C">
        <w:rPr>
          <w:vertAlign w:val="superscript"/>
        </w:rPr>
        <w:footnoteReference w:id="32"/>
      </w:r>
      <w:r w:rsidRPr="00857EF9">
        <w:rPr>
          <w:lang w:val="fr-FR"/>
        </w:rPr>
        <w:t xml:space="preserve">. Afin d'atténuer ces risques, plusieurs activités seront menées dans le cadre de ce projet dans le but : (i) d'identifier clairement, à partir des recherches, des études préliminaires et des diagnostics sectoriels, les insuffisances du marché et les obstacles à surmonter en vue d'éviter la distorsion et la </w:t>
      </w:r>
      <w:proofErr w:type="spellStart"/>
      <w:r w:rsidRPr="00857EF9">
        <w:rPr>
          <w:lang w:val="fr-FR"/>
        </w:rPr>
        <w:t>main-mise</w:t>
      </w:r>
      <w:proofErr w:type="spellEnd"/>
      <w:r w:rsidRPr="00857EF9">
        <w:rPr>
          <w:lang w:val="fr-FR"/>
        </w:rPr>
        <w:t xml:space="preserve"> des politiques ; (ii) de fournir des subventions de contrepartie à partir de critères d'éligibilité clairs, avec des montants adéquats et attractifs, au travers de procédures simples et d'une communication appropriée ; et (iii) de mettre en place une unité d'exécution pourvue d'un personnel bien formé qui distribue les dons à l'issue d'un processus d'approbation indépendant et transparent.  </w:t>
      </w:r>
    </w:p>
    <w:p w:rsidR="00B71C8D" w:rsidRPr="00A7289C" w:rsidRDefault="00B71C8D" w:rsidP="00FD5C8B">
      <w:pPr>
        <w:pStyle w:val="PDSHeading1"/>
        <w:tabs>
          <w:tab w:val="clear" w:pos="0"/>
          <w:tab w:val="num" w:pos="648"/>
        </w:tabs>
        <w:spacing w:after="120"/>
        <w:ind w:left="288"/>
        <w:rPr>
          <w:bCs/>
        </w:rPr>
      </w:pPr>
      <w:bookmarkStart w:id="14" w:name="_Toc362270222"/>
      <w:r>
        <w:rPr>
          <w:bCs/>
        </w:rPr>
        <w:t>MISE EN ŒUVRE</w:t>
      </w:r>
      <w:bookmarkEnd w:id="14"/>
    </w:p>
    <w:p w:rsidR="00B71C8D" w:rsidRPr="00A7289C" w:rsidRDefault="00B71C8D" w:rsidP="004E7A7F">
      <w:pPr>
        <w:pStyle w:val="PDSHeading2"/>
        <w:tabs>
          <w:tab w:val="clear" w:pos="360"/>
        </w:tabs>
        <w:spacing w:after="240"/>
        <w:ind w:left="648"/>
      </w:pPr>
      <w:bookmarkStart w:id="15" w:name="_Toc362270223"/>
      <w:proofErr w:type="spellStart"/>
      <w:r>
        <w:rPr>
          <w:bCs/>
        </w:rPr>
        <w:t>Modalités</w:t>
      </w:r>
      <w:proofErr w:type="spellEnd"/>
      <w:r>
        <w:rPr>
          <w:bCs/>
        </w:rPr>
        <w:t xml:space="preserve"> </w:t>
      </w:r>
      <w:proofErr w:type="spellStart"/>
      <w:r>
        <w:rPr>
          <w:bCs/>
        </w:rPr>
        <w:t>institutionnelles</w:t>
      </w:r>
      <w:proofErr w:type="spellEnd"/>
      <w:r>
        <w:rPr>
          <w:bCs/>
        </w:rPr>
        <w:t xml:space="preserve"> et </w:t>
      </w:r>
      <w:proofErr w:type="spellStart"/>
      <w:r>
        <w:rPr>
          <w:bCs/>
        </w:rPr>
        <w:t>d’exécution</w:t>
      </w:r>
      <w:bookmarkEnd w:id="15"/>
      <w:proofErr w:type="spellEnd"/>
    </w:p>
    <w:p w:rsidR="001956C5" w:rsidRPr="00857EF9" w:rsidRDefault="001956C5" w:rsidP="00B563F2">
      <w:pPr>
        <w:pStyle w:val="ListParagraph"/>
        <w:widowControl w:val="0"/>
        <w:numPr>
          <w:ilvl w:val="0"/>
          <w:numId w:val="25"/>
        </w:numPr>
        <w:tabs>
          <w:tab w:val="num" w:pos="648"/>
          <w:tab w:val="num" w:pos="720"/>
        </w:tabs>
        <w:spacing w:after="120"/>
        <w:ind w:left="187"/>
        <w:contextualSpacing w:val="0"/>
        <w:jc w:val="both"/>
        <w:rPr>
          <w:lang w:val="fr-FR"/>
        </w:rPr>
      </w:pPr>
      <w:r w:rsidRPr="00857EF9">
        <w:rPr>
          <w:lang w:val="fr-FR"/>
        </w:rPr>
        <w:t>Le projet sera exécuté par le Ministère du Commerce et de l'Industrie (MCI).</w:t>
      </w:r>
      <w:r w:rsidRPr="00A7289C">
        <w:rPr>
          <w:vertAlign w:val="superscript"/>
        </w:rPr>
        <w:footnoteReference w:id="33"/>
      </w:r>
      <w:r w:rsidRPr="00857EF9">
        <w:rPr>
          <w:lang w:val="fr-FR"/>
        </w:rPr>
        <w:t xml:space="preserve"> Les volets fiduciaires seront d'abord traités par l’Unité de Coordination de Projet (UCP) du ministère de l’Économie et des Finances (MEF), sachant que le MCI ne dispose pas en interne des capacités nécessaires pour exécuter des projets de l'IDA</w:t>
      </w:r>
      <w:r w:rsidRPr="00A7289C">
        <w:rPr>
          <w:rStyle w:val="FootnoteReference"/>
        </w:rPr>
        <w:footnoteReference w:id="34"/>
      </w:r>
      <w:r w:rsidRPr="00857EF9">
        <w:rPr>
          <w:lang w:val="fr-FR"/>
        </w:rPr>
        <w:t xml:space="preserve">. Avec l'appui du projet, le MCI prévoit de constituer ses propres capacités fiduciaires afin de prendre en charge ces tâches de l'UCP de manière à renforcer les capacités du MCI, réduire les coûts des transactions et faciliter la communication entre les équipes techniques et fiduciaires. À cet effet, le MCI conclura un accord avec le MEF pour une durée de 18 mois, qui devra être jugé acceptable par l'IDA. Deux mois avant l'issue de cet accord, l'IDA évaluera la capacité du MCI à gérer les aspects fiduciaires du projet. Le transfert de la responsabilité fiduciaire de l'UCP au MCI n'aura lieu que lorsque l'IDA disposera de preuves satisfaisantes assurant que le MCI répond aux exigences requises pour se charger des responsabilités fiduciaires associées au projet.  </w:t>
      </w:r>
    </w:p>
    <w:p w:rsidR="001956C5" w:rsidRPr="00857EF9" w:rsidRDefault="001956C5"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Le MCI va désigner un coordinateur de projet pour coordonner son exécution avec les partenaires publics et privés du projet, superviser les progrès de toutes les activités du projet et vérifier que ses objectifs et ses cibles sont atteints. </w:t>
      </w:r>
    </w:p>
    <w:p w:rsidR="001956C5" w:rsidRPr="00857EF9" w:rsidRDefault="001956C5" w:rsidP="00B563F2">
      <w:pPr>
        <w:pStyle w:val="ListParagraph"/>
        <w:numPr>
          <w:ilvl w:val="0"/>
          <w:numId w:val="25"/>
        </w:numPr>
        <w:tabs>
          <w:tab w:val="num" w:pos="648"/>
          <w:tab w:val="num" w:pos="720"/>
        </w:tabs>
        <w:spacing w:after="120"/>
        <w:contextualSpacing w:val="0"/>
        <w:jc w:val="both"/>
        <w:rPr>
          <w:lang w:val="fr-FR"/>
        </w:rPr>
      </w:pPr>
      <w:r w:rsidRPr="00857EF9">
        <w:rPr>
          <w:lang w:val="fr-FR"/>
        </w:rPr>
        <w:t>Le MCI sera le chef de file des activités du projet relatives aux réformes du climat des affaires, en collaboration avec le groupe de travail sur la réforme du climat des affaires évoqué plus haut, qui est en cours de formation</w:t>
      </w:r>
      <w:r w:rsidR="00E01433" w:rsidRPr="00857EF9">
        <w:rPr>
          <w:lang w:val="fr-FR"/>
        </w:rPr>
        <w:t xml:space="preserve">. </w:t>
      </w:r>
      <w:r w:rsidRPr="00857EF9">
        <w:rPr>
          <w:lang w:val="fr-FR"/>
        </w:rPr>
        <w:t xml:space="preserve">Les réformes législatives seront préparées par l'entité responsable de la préparation et la révision des lois commerciales et des réglementations relatives au climat des affaires. S'agissant de la mise en œuvre des différentes réformes, le MCI collaborera avec les parties prenantes concernées au sein des services publics (par ex. avec les </w:t>
      </w:r>
      <w:r w:rsidRPr="00857EF9">
        <w:rPr>
          <w:lang w:val="fr-FR"/>
        </w:rPr>
        <w:lastRenderedPageBreak/>
        <w:t xml:space="preserve">autorités fiscales pour la mise en place du registre électronique des garanties) et avec les acteurs privés (par ex. la Chambre de commerce) en veillant à la cohérence globale.  </w:t>
      </w:r>
    </w:p>
    <w:p w:rsidR="001956C5" w:rsidRPr="00857EF9" w:rsidRDefault="001956C5"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Le MCI coordonnera les activités du projet concernant la réforme du cadre légal et institutionnel des ZEI avec l'entité responsable de la réforme législative de l'environnement des affaires. Les sites des études de </w:t>
      </w:r>
      <w:r w:rsidR="00E01433" w:rsidRPr="00857EF9">
        <w:rPr>
          <w:lang w:val="fr-FR"/>
        </w:rPr>
        <w:t>faisabilité</w:t>
      </w:r>
      <w:r w:rsidRPr="00857EF9">
        <w:rPr>
          <w:lang w:val="fr-FR"/>
        </w:rPr>
        <w:t xml:space="preserve"> (financées par le projet) seront sélectionnés par le MCI en fonction de critères de sélection approuvés par l'IDA, en consultation avec le Premier ministre, le MEF, le Comité Interministériel d'Aménagement du Territoire (CIAT), la DZF, la SONAPI, les ministères sectoriels et les agences concernées, les autorités locales ainsi que des représentants du secteur privé et de la société civile – de manière à obtenir leur implication, leur validation et leur appui. Ces consultations joueront un rôle important dans le processus de sélection des sites, mais la décision finale appartiendra au MCI. Jusqu'à ce que la nouvelle autorité chapeautée par le MCI soit établie, la réalisation des études de faisabilité – comprenant des évaluations sociales et environnementales conformes aux normes du GBM applicables aux partenariats public-privé – sera coordonnée par la nouvelle autorité des ZEI ou par un organisme existant (SONAPI, DZF). </w:t>
      </w:r>
    </w:p>
    <w:p w:rsidR="001956C5" w:rsidRPr="00857EF9" w:rsidRDefault="001956C5" w:rsidP="00B563F2">
      <w:pPr>
        <w:pStyle w:val="ListParagraph"/>
        <w:numPr>
          <w:ilvl w:val="0"/>
          <w:numId w:val="25"/>
        </w:numPr>
        <w:tabs>
          <w:tab w:val="num" w:pos="648"/>
          <w:tab w:val="num" w:pos="720"/>
        </w:tabs>
        <w:spacing w:after="120"/>
        <w:contextualSpacing w:val="0"/>
        <w:jc w:val="both"/>
        <w:rPr>
          <w:lang w:val="fr-FR"/>
        </w:rPr>
      </w:pPr>
      <w:r w:rsidRPr="00857EF9">
        <w:rPr>
          <w:lang w:val="fr-FR"/>
        </w:rPr>
        <w:t>Le nouveau Centre de Développement de l’Entreprise et de l’Entrepreneuriat (CDEE), qui fonctionne sous la houlette du MCI, sera responsable des opérations associées à la mise en œuvre des activités SDE. L'antenne régionale du CDEE à Cap-Haïtien servira de base à leur mise en œuvre dans le Nord</w:t>
      </w:r>
      <w:r w:rsidR="00E01433" w:rsidRPr="00857EF9">
        <w:rPr>
          <w:lang w:val="fr-FR"/>
        </w:rPr>
        <w:t xml:space="preserve">. </w:t>
      </w:r>
      <w:r w:rsidRPr="00857EF9">
        <w:rPr>
          <w:lang w:val="fr-FR"/>
        </w:rPr>
        <w:t xml:space="preserve">Pour la cohérence de la démarche, les procédures d'exécution des activités SDE seront similaires à celles des deux projets SDE de la BID, également dirigés par le CDEE, qui ciblent les grandes entreprises. </w:t>
      </w:r>
    </w:p>
    <w:p w:rsidR="001956C5" w:rsidRPr="00857EF9" w:rsidRDefault="001956C5" w:rsidP="00B563F2">
      <w:pPr>
        <w:pStyle w:val="ListParagraph"/>
        <w:numPr>
          <w:ilvl w:val="0"/>
          <w:numId w:val="25"/>
        </w:numPr>
        <w:tabs>
          <w:tab w:val="num" w:pos="648"/>
          <w:tab w:val="num" w:pos="720"/>
        </w:tabs>
        <w:spacing w:after="120"/>
        <w:contextualSpacing w:val="0"/>
        <w:jc w:val="both"/>
        <w:rPr>
          <w:lang w:val="fr-FR"/>
        </w:rPr>
      </w:pPr>
      <w:r w:rsidRPr="00857EF9">
        <w:rPr>
          <w:lang w:val="fr-FR"/>
        </w:rPr>
        <w:t>Afin de pouvoir s'adapter facilement à un environnement en rapide mutation, le projet adoptera une approche progressive, en se concentrant initialement sur les activités à impact immédiat pour préparer les futures interventions</w:t>
      </w:r>
      <w:r w:rsidR="00E01433" w:rsidRPr="00857EF9">
        <w:rPr>
          <w:lang w:val="fr-FR"/>
        </w:rPr>
        <w:t xml:space="preserve">. </w:t>
      </w:r>
      <w:r w:rsidRPr="00857EF9">
        <w:rPr>
          <w:lang w:val="fr-FR"/>
        </w:rPr>
        <w:t>Pendant la première phase du projet (30 mois maximum), des activités clairement définies et approuvées</w:t>
      </w:r>
      <w:r w:rsidRPr="00A7289C">
        <w:rPr>
          <w:rStyle w:val="FootnoteReference"/>
        </w:rPr>
        <w:footnoteReference w:id="35"/>
      </w:r>
      <w:r w:rsidRPr="00857EF9">
        <w:rPr>
          <w:lang w:val="fr-FR"/>
        </w:rPr>
        <w:t xml:space="preserve"> seront financées et exécutées. Une évaluation à mi-parcours sera effectuée afin de déterminer quelles sont les activités les plus efficaces, qui répondent le mieux à la demande, à mettre en place lors de la seconde phase.</w:t>
      </w:r>
    </w:p>
    <w:p w:rsidR="00B71C8D" w:rsidRPr="00857EF9" w:rsidRDefault="00B71C8D" w:rsidP="004A122C">
      <w:pPr>
        <w:pStyle w:val="PDSHeading2"/>
        <w:tabs>
          <w:tab w:val="clear" w:pos="360"/>
        </w:tabs>
        <w:spacing w:before="120" w:after="240"/>
        <w:ind w:left="648"/>
        <w:rPr>
          <w:bCs/>
          <w:lang w:val="fr-FR"/>
        </w:rPr>
      </w:pPr>
      <w:bookmarkStart w:id="16" w:name="_Toc362270224"/>
      <w:r w:rsidRPr="00857EF9">
        <w:rPr>
          <w:bCs/>
          <w:lang w:val="fr-FR"/>
        </w:rPr>
        <w:t>Suivi et évaluation (SE) des résultats</w:t>
      </w:r>
      <w:bookmarkEnd w:id="16"/>
    </w:p>
    <w:p w:rsidR="00AD3B85" w:rsidRPr="00857EF9" w:rsidRDefault="00ED7415" w:rsidP="00B563F2">
      <w:pPr>
        <w:pStyle w:val="ListParagraph"/>
        <w:numPr>
          <w:ilvl w:val="0"/>
          <w:numId w:val="25"/>
        </w:numPr>
        <w:tabs>
          <w:tab w:val="num" w:pos="648"/>
          <w:tab w:val="num" w:pos="720"/>
        </w:tabs>
        <w:spacing w:after="120"/>
        <w:contextualSpacing w:val="0"/>
        <w:jc w:val="both"/>
        <w:rPr>
          <w:lang w:val="fr-FR"/>
        </w:rPr>
      </w:pPr>
      <w:r w:rsidRPr="00857EF9">
        <w:rPr>
          <w:lang w:val="fr-FR"/>
        </w:rPr>
        <w:t>Le MCI établira un système de SE avec l'appui de l'IDA. Des équipes communes incluant des représentants de l'IDA et des participants du MCI ainsi que, au départ, de l'UCP suivront les avancées du projet. Un système de SE sera mis en place pour les différentes activités du projet et vérifiera que les données requises sont régulièrement produites et suivies. Par exemple, pour suivre les investissements et les créations d'emplois générés par les activités de promotion de l'investissement du projet, le MCI et d'autres parties prenantes (notamment le CFI, la DZF et éventuellement l'autorité responsable des ZEI) établiront un système de suivi des investisseurs et rendront compte périodiquement des données en rapport, en particulier concernant l'efficacité du projet</w:t>
      </w:r>
      <w:r w:rsidR="00E01433" w:rsidRPr="00857EF9">
        <w:rPr>
          <w:lang w:val="fr-FR"/>
        </w:rPr>
        <w:t xml:space="preserve">. </w:t>
      </w:r>
      <w:r w:rsidRPr="00857EF9">
        <w:rPr>
          <w:lang w:val="fr-FR"/>
        </w:rPr>
        <w:t xml:space="preserve">Hormis le suivi des activités, le projet contribuera à des évaluations rigoureuses de l'impact de deux activités, probablement par l'analyse de l'impact de </w:t>
      </w:r>
      <w:r w:rsidRPr="00857EF9">
        <w:rPr>
          <w:lang w:val="fr-FR"/>
        </w:rPr>
        <w:lastRenderedPageBreak/>
        <w:t>la réforme des transactions sécurisées sur les prêts aux MPME et des répercussions de différents types de services de développement des entreprises sur la performance et la croissance des MPME assistées.</w:t>
      </w:r>
    </w:p>
    <w:p w:rsidR="00AD3B85" w:rsidRPr="00857EF9" w:rsidRDefault="0014358B" w:rsidP="00B563F2">
      <w:pPr>
        <w:pStyle w:val="ListParagraph"/>
        <w:numPr>
          <w:ilvl w:val="0"/>
          <w:numId w:val="25"/>
        </w:numPr>
        <w:tabs>
          <w:tab w:val="num" w:pos="648"/>
          <w:tab w:val="num" w:pos="720"/>
        </w:tabs>
        <w:spacing w:after="120"/>
        <w:contextualSpacing w:val="0"/>
        <w:jc w:val="both"/>
        <w:rPr>
          <w:lang w:val="fr-FR"/>
        </w:rPr>
      </w:pPr>
      <w:r w:rsidRPr="00857EF9">
        <w:rPr>
          <w:lang w:val="fr-FR"/>
        </w:rPr>
        <w:t>Pour chaque composante, il conviendra de suivre des données spécifiques afin de mesurer les progrès en direction des objectifs du projet, une activité qui sera menée sous l'autorité du MCI</w:t>
      </w:r>
      <w:r w:rsidR="00E01433" w:rsidRPr="00857EF9">
        <w:rPr>
          <w:lang w:val="fr-FR"/>
        </w:rPr>
        <w:t xml:space="preserve">. </w:t>
      </w:r>
      <w:r w:rsidRPr="00857EF9">
        <w:rPr>
          <w:lang w:val="fr-FR"/>
        </w:rPr>
        <w:t>Les avancées relatives à l'objectif de développement du projet seront mesurées pour chaque activité</w:t>
      </w:r>
      <w:r w:rsidR="00E01433" w:rsidRPr="00857EF9">
        <w:rPr>
          <w:lang w:val="fr-FR"/>
        </w:rPr>
        <w:t xml:space="preserve">. </w:t>
      </w:r>
      <w:r w:rsidRPr="00857EF9">
        <w:rPr>
          <w:lang w:val="fr-FR"/>
        </w:rPr>
        <w:t xml:space="preserve">Celles concernant les activités de réforme du climat des affaires seront initialement mesurées par le nombre et la valeur des prêts garantis par des biens mobiliers et le nombre de réformes du climat d'investissement, y compris celles mesurées par le rapport </w:t>
      </w:r>
      <w:proofErr w:type="spellStart"/>
      <w:r w:rsidRPr="00857EF9">
        <w:rPr>
          <w:lang w:val="fr-FR"/>
        </w:rPr>
        <w:t>Doing</w:t>
      </w:r>
      <w:proofErr w:type="spellEnd"/>
      <w:r w:rsidRPr="00857EF9">
        <w:rPr>
          <w:lang w:val="fr-FR"/>
        </w:rPr>
        <w:t xml:space="preserve"> Business. Le SE des réformes du climat des affaires sera probablement effectué en étroite collaboration avec les parties prenantes au niveau local. Les activités de promotion de l'investissement seront mesurées par les investissements supplémentaires (en volume et en nombre) ainsi que les emplois créés</w:t>
      </w:r>
      <w:r w:rsidR="00E01433" w:rsidRPr="00857EF9">
        <w:rPr>
          <w:lang w:val="fr-FR"/>
        </w:rPr>
        <w:t xml:space="preserve">. </w:t>
      </w:r>
      <w:r w:rsidRPr="00857EF9">
        <w:rPr>
          <w:lang w:val="fr-FR"/>
        </w:rPr>
        <w:t xml:space="preserve">L'activité des SDE sera mesurée par le nombre d'emplois supplémentaires et la hausse des ventes chez les entreprises bénéficiaires de ces services de développement des entreprises.  </w:t>
      </w:r>
    </w:p>
    <w:p w:rsidR="00686D5D" w:rsidRPr="00A7289C" w:rsidRDefault="00686D5D" w:rsidP="004E7A7F">
      <w:pPr>
        <w:shd w:val="clear" w:color="auto" w:fill="FFFFFF"/>
        <w:tabs>
          <w:tab w:val="left" w:pos="720"/>
          <w:tab w:val="left" w:pos="1170"/>
        </w:tabs>
        <w:spacing w:after="120"/>
        <w:ind w:left="475"/>
        <w:jc w:val="both"/>
        <w:rPr>
          <w:i/>
        </w:rPr>
      </w:pPr>
      <w:proofErr w:type="spellStart"/>
      <w:r>
        <w:rPr>
          <w:i/>
        </w:rPr>
        <w:t>Viabilité</w:t>
      </w:r>
      <w:proofErr w:type="spellEnd"/>
    </w:p>
    <w:p w:rsidR="00B71C8D" w:rsidRDefault="00E6234C" w:rsidP="00B563F2">
      <w:pPr>
        <w:pStyle w:val="ListParagraph"/>
        <w:numPr>
          <w:ilvl w:val="0"/>
          <w:numId w:val="25"/>
        </w:numPr>
        <w:tabs>
          <w:tab w:val="num" w:pos="648"/>
          <w:tab w:val="num" w:pos="720"/>
        </w:tabs>
        <w:spacing w:after="120"/>
        <w:ind w:left="187"/>
        <w:contextualSpacing w:val="0"/>
        <w:jc w:val="both"/>
        <w:rPr>
          <w:lang w:val="fr-FR"/>
        </w:rPr>
      </w:pPr>
      <w:r w:rsidRPr="00857EF9">
        <w:rPr>
          <w:lang w:val="fr-FR"/>
        </w:rPr>
        <w:t xml:space="preserve">La capacité du projet à mettre en place les réformes nécessaires du climat des affaires dépendra fortement de la capacité des pouvoirs publics à obtenir des résultats rapides, qui démontreront aux entrepreneurs haïtiens et étrangers l'intérêt économique de ces réformes. La viabilité des activités du projet visant à améliorer le cadre légal et institutionnel d'exploitation des ZEI, y compris par la création d'un guichet unique, sera fonction de la qualité du modèle qui sera appliqué. Les activités de promotion des ZEI en Haïti, y compris les initiatives du projet destinées à faciliter la création d'une ou plusieurs ZEI, atteindront leur but si l'économie haïtienne parvient à créer des entreprises compétitives sur les marchés internationaux, qui réussissent à tirer parti de la localisation géographique du pays, à augmenter la productivité et à développer les compétences de la main-d'œuvre haïtienne. Les activités des SDE sont prévues pour être temporaires. Leur durabilité dépendra de la viabilité et l'éligibilité des entreprises sélectionnées et de la qualité des services offerts, qui, ensemble, devraient pouvoir se traduire par une capacité accrue des MPME assistées à poursuivre leur développement après la fin du projet. </w:t>
      </w:r>
    </w:p>
    <w:p w:rsidR="004F0E4B" w:rsidRDefault="004F0E4B" w:rsidP="004F0E4B">
      <w:pPr>
        <w:tabs>
          <w:tab w:val="num" w:pos="648"/>
          <w:tab w:val="num" w:pos="720"/>
        </w:tabs>
        <w:spacing w:after="120"/>
        <w:jc w:val="both"/>
        <w:rPr>
          <w:lang w:val="fr-FR"/>
        </w:rPr>
      </w:pPr>
    </w:p>
    <w:p w:rsidR="004F0E4B" w:rsidRDefault="004F0E4B" w:rsidP="004F0E4B">
      <w:pPr>
        <w:tabs>
          <w:tab w:val="num" w:pos="648"/>
          <w:tab w:val="num" w:pos="720"/>
        </w:tabs>
        <w:spacing w:after="120"/>
        <w:jc w:val="both"/>
        <w:rPr>
          <w:lang w:val="fr-FR"/>
        </w:rPr>
      </w:pPr>
    </w:p>
    <w:p w:rsidR="004F0E4B" w:rsidRDefault="004F0E4B" w:rsidP="004F0E4B">
      <w:pPr>
        <w:tabs>
          <w:tab w:val="num" w:pos="648"/>
          <w:tab w:val="num" w:pos="720"/>
        </w:tabs>
        <w:spacing w:after="120"/>
        <w:jc w:val="both"/>
        <w:rPr>
          <w:lang w:val="fr-FR"/>
        </w:rPr>
      </w:pPr>
    </w:p>
    <w:p w:rsidR="004F0E4B" w:rsidRDefault="004F0E4B" w:rsidP="004F0E4B">
      <w:pPr>
        <w:tabs>
          <w:tab w:val="num" w:pos="648"/>
          <w:tab w:val="num" w:pos="720"/>
        </w:tabs>
        <w:spacing w:after="120"/>
        <w:jc w:val="both"/>
        <w:rPr>
          <w:lang w:val="fr-FR"/>
        </w:rPr>
      </w:pPr>
    </w:p>
    <w:p w:rsidR="004F0E4B" w:rsidRDefault="004F0E4B" w:rsidP="004F0E4B">
      <w:pPr>
        <w:tabs>
          <w:tab w:val="num" w:pos="648"/>
          <w:tab w:val="num" w:pos="720"/>
        </w:tabs>
        <w:spacing w:after="120"/>
        <w:jc w:val="both"/>
        <w:rPr>
          <w:lang w:val="fr-FR"/>
        </w:rPr>
      </w:pPr>
    </w:p>
    <w:p w:rsidR="004F0E4B" w:rsidRDefault="004F0E4B" w:rsidP="004F0E4B">
      <w:pPr>
        <w:tabs>
          <w:tab w:val="num" w:pos="648"/>
          <w:tab w:val="num" w:pos="720"/>
        </w:tabs>
        <w:spacing w:after="120"/>
        <w:jc w:val="both"/>
        <w:rPr>
          <w:lang w:val="fr-FR"/>
        </w:rPr>
      </w:pPr>
    </w:p>
    <w:p w:rsidR="004F0E4B" w:rsidRDefault="004F0E4B" w:rsidP="004F0E4B">
      <w:pPr>
        <w:tabs>
          <w:tab w:val="num" w:pos="648"/>
          <w:tab w:val="num" w:pos="720"/>
        </w:tabs>
        <w:spacing w:after="120"/>
        <w:jc w:val="both"/>
        <w:rPr>
          <w:lang w:val="fr-FR"/>
        </w:rPr>
      </w:pPr>
    </w:p>
    <w:p w:rsidR="004F0E4B" w:rsidRPr="004F0E4B" w:rsidRDefault="004F0E4B" w:rsidP="004F0E4B">
      <w:pPr>
        <w:tabs>
          <w:tab w:val="num" w:pos="648"/>
          <w:tab w:val="num" w:pos="720"/>
        </w:tabs>
        <w:spacing w:after="120"/>
        <w:jc w:val="both"/>
        <w:rPr>
          <w:lang w:val="fr-FR"/>
        </w:rPr>
      </w:pPr>
    </w:p>
    <w:p w:rsidR="00343125" w:rsidRPr="00A7289C" w:rsidRDefault="00343125" w:rsidP="00D15AD7">
      <w:pPr>
        <w:pStyle w:val="PDSHeading1"/>
        <w:tabs>
          <w:tab w:val="clear" w:pos="0"/>
          <w:tab w:val="num" w:pos="648"/>
        </w:tabs>
        <w:spacing w:after="120"/>
        <w:ind w:left="288"/>
        <w:rPr>
          <w:bCs/>
        </w:rPr>
      </w:pPr>
      <w:bookmarkStart w:id="17" w:name="_Toc362270225"/>
      <w:r>
        <w:rPr>
          <w:bCs/>
        </w:rPr>
        <w:lastRenderedPageBreak/>
        <w:t>RISQUES PRINCIPAUX ET MESURES D’ATTÉNUATION</w:t>
      </w:r>
      <w:bookmarkEnd w:id="17"/>
      <w:r>
        <w:rPr>
          <w:bCs/>
        </w:rPr>
        <w:t xml:space="preserve"> </w:t>
      </w:r>
    </w:p>
    <w:p w:rsidR="00343125" w:rsidRPr="00A7289C" w:rsidRDefault="00343125" w:rsidP="00D15AD7">
      <w:pPr>
        <w:pStyle w:val="PDSHeading2"/>
        <w:tabs>
          <w:tab w:val="clear" w:pos="360"/>
        </w:tabs>
        <w:spacing w:after="120"/>
        <w:ind w:left="648"/>
        <w:rPr>
          <w:bCs/>
        </w:rPr>
      </w:pPr>
      <w:bookmarkStart w:id="18" w:name="_Toc362270226"/>
      <w:proofErr w:type="spellStart"/>
      <w:r>
        <w:rPr>
          <w:bCs/>
        </w:rPr>
        <w:t>Synthèse</w:t>
      </w:r>
      <w:proofErr w:type="spellEnd"/>
      <w:r>
        <w:rPr>
          <w:bCs/>
        </w:rPr>
        <w:t xml:space="preserve"> de </w:t>
      </w:r>
      <w:proofErr w:type="spellStart"/>
      <w:r>
        <w:rPr>
          <w:bCs/>
        </w:rPr>
        <w:t>l’évaluation</w:t>
      </w:r>
      <w:proofErr w:type="spellEnd"/>
      <w:r>
        <w:rPr>
          <w:bCs/>
        </w:rPr>
        <w:t xml:space="preserve"> des </w:t>
      </w:r>
      <w:proofErr w:type="spellStart"/>
      <w:r>
        <w:rPr>
          <w:bCs/>
        </w:rPr>
        <w:t>risques</w:t>
      </w:r>
      <w:bookmarkEnd w:id="18"/>
      <w:proofErr w:type="spellEnd"/>
    </w:p>
    <w:tbl>
      <w:tblPr>
        <w:tblW w:w="6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470"/>
      </w:tblGrid>
      <w:tr w:rsidR="00343125" w:rsidRPr="007E0508" w:rsidTr="00343125">
        <w:trPr>
          <w:jc w:val="center"/>
        </w:trPr>
        <w:tc>
          <w:tcPr>
            <w:tcW w:w="6078" w:type="dxa"/>
            <w:gridSpan w:val="2"/>
            <w:tcBorders>
              <w:top w:val="nil"/>
              <w:left w:val="nil"/>
              <w:bottom w:val="single" w:sz="4" w:space="0" w:color="000000"/>
              <w:right w:val="nil"/>
            </w:tcBorders>
          </w:tcPr>
          <w:p w:rsidR="007E0508" w:rsidRPr="0036404C" w:rsidRDefault="00343125" w:rsidP="007E0508">
            <w:r w:rsidRPr="0036404C">
              <w:rPr>
                <w:b/>
                <w:sz w:val="22"/>
                <w:szCs w:val="22"/>
                <w:lang w:val="fr-FR"/>
              </w:rPr>
              <w:t> </w:t>
            </w:r>
          </w:p>
          <w:p w:rsidR="00343125" w:rsidRPr="0036404C" w:rsidRDefault="007E0508" w:rsidP="004F0E4B">
            <w:pPr>
              <w:pStyle w:val="Caption"/>
              <w:keepNext/>
              <w:spacing w:after="0"/>
              <w:rPr>
                <w:bCs w:val="0"/>
                <w:color w:val="auto"/>
                <w:sz w:val="24"/>
                <w:szCs w:val="24"/>
                <w:lang w:val="fr-FR"/>
              </w:rPr>
            </w:pPr>
            <w:bookmarkStart w:id="19" w:name="_Toc362269423"/>
            <w:r w:rsidRPr="0036404C">
              <w:rPr>
                <w:color w:val="auto"/>
                <w:sz w:val="24"/>
                <w:szCs w:val="24"/>
              </w:rPr>
              <w:t xml:space="preserve">Tableau </w:t>
            </w:r>
            <w:r w:rsidRPr="0036404C">
              <w:rPr>
                <w:color w:val="auto"/>
                <w:sz w:val="24"/>
                <w:szCs w:val="24"/>
              </w:rPr>
              <w:fldChar w:fldCharType="begin"/>
            </w:r>
            <w:r w:rsidRPr="0036404C">
              <w:rPr>
                <w:color w:val="auto"/>
                <w:sz w:val="24"/>
                <w:szCs w:val="24"/>
              </w:rPr>
              <w:instrText xml:space="preserve"> SEQ Tableau \* ARABIC </w:instrText>
            </w:r>
            <w:r w:rsidRPr="0036404C">
              <w:rPr>
                <w:color w:val="auto"/>
                <w:sz w:val="24"/>
                <w:szCs w:val="24"/>
              </w:rPr>
              <w:fldChar w:fldCharType="separate"/>
            </w:r>
            <w:r w:rsidR="0036404C" w:rsidRPr="0036404C">
              <w:rPr>
                <w:noProof/>
                <w:color w:val="auto"/>
                <w:sz w:val="24"/>
                <w:szCs w:val="24"/>
              </w:rPr>
              <w:t>2</w:t>
            </w:r>
            <w:r w:rsidRPr="0036404C">
              <w:rPr>
                <w:color w:val="auto"/>
                <w:sz w:val="24"/>
                <w:szCs w:val="24"/>
              </w:rPr>
              <w:fldChar w:fldCharType="end"/>
            </w:r>
            <w:r w:rsidRPr="0036404C">
              <w:rPr>
                <w:color w:val="auto"/>
                <w:sz w:val="24"/>
                <w:szCs w:val="24"/>
              </w:rPr>
              <w:t xml:space="preserve"> </w:t>
            </w:r>
            <w:r w:rsidR="00343125" w:rsidRPr="0036404C">
              <w:rPr>
                <w:color w:val="auto"/>
                <w:sz w:val="24"/>
                <w:szCs w:val="24"/>
                <w:lang w:val="fr-FR"/>
              </w:rPr>
              <w:t>: Évaluation des niveaux de risque</w:t>
            </w:r>
            <w:bookmarkEnd w:id="19"/>
          </w:p>
        </w:tc>
      </w:tr>
      <w:tr w:rsidR="00343125" w:rsidRPr="00A7289C" w:rsidTr="00343125">
        <w:trPr>
          <w:jc w:val="center"/>
        </w:trPr>
        <w:tc>
          <w:tcPr>
            <w:tcW w:w="4608" w:type="dxa"/>
            <w:tcBorders>
              <w:bottom w:val="single" w:sz="4" w:space="0" w:color="000000"/>
            </w:tcBorders>
          </w:tcPr>
          <w:p w:rsidR="00343125" w:rsidRPr="00A7289C" w:rsidRDefault="00343125" w:rsidP="00343125">
            <w:pPr>
              <w:spacing w:before="60"/>
              <w:rPr>
                <w:rFonts w:eastAsiaTheme="minorEastAsia"/>
                <w:b/>
                <w:sz w:val="20"/>
                <w:szCs w:val="20"/>
              </w:rPr>
            </w:pPr>
            <w:proofErr w:type="spellStart"/>
            <w:r>
              <w:rPr>
                <w:b/>
                <w:sz w:val="20"/>
                <w:szCs w:val="20"/>
              </w:rPr>
              <w:t>Risque</w:t>
            </w:r>
            <w:proofErr w:type="spellEnd"/>
          </w:p>
        </w:tc>
        <w:tc>
          <w:tcPr>
            <w:tcW w:w="1470" w:type="dxa"/>
            <w:tcBorders>
              <w:bottom w:val="single" w:sz="4" w:space="0" w:color="000000"/>
            </w:tcBorders>
            <w:vAlign w:val="bottom"/>
          </w:tcPr>
          <w:p w:rsidR="00343125" w:rsidRPr="00A7289C" w:rsidRDefault="00343125" w:rsidP="00343125">
            <w:pPr>
              <w:spacing w:before="60" w:beforeAutospacing="1" w:after="100" w:afterAutospacing="1"/>
              <w:jc w:val="center"/>
              <w:rPr>
                <w:b/>
                <w:bCs/>
                <w:sz w:val="20"/>
                <w:szCs w:val="20"/>
              </w:rPr>
            </w:pPr>
            <w:r>
              <w:rPr>
                <w:b/>
                <w:bCs/>
                <w:sz w:val="20"/>
                <w:szCs w:val="20"/>
              </w:rPr>
              <w:t>Note</w:t>
            </w:r>
          </w:p>
        </w:tc>
      </w:tr>
      <w:tr w:rsidR="00343125" w:rsidRPr="00A7289C" w:rsidTr="00343125">
        <w:trPr>
          <w:jc w:val="center"/>
        </w:trPr>
        <w:tc>
          <w:tcPr>
            <w:tcW w:w="4608" w:type="dxa"/>
            <w:tcBorders>
              <w:bottom w:val="single" w:sz="4" w:space="0" w:color="000000"/>
            </w:tcBorders>
          </w:tcPr>
          <w:p w:rsidR="00343125" w:rsidRPr="00857EF9" w:rsidRDefault="00343125" w:rsidP="00343125">
            <w:pPr>
              <w:spacing w:before="60"/>
              <w:rPr>
                <w:rFonts w:eastAsiaTheme="minorEastAsia"/>
                <w:b/>
                <w:sz w:val="20"/>
                <w:szCs w:val="20"/>
                <w:lang w:val="fr-FR"/>
              </w:rPr>
            </w:pPr>
            <w:r w:rsidRPr="00857EF9">
              <w:rPr>
                <w:b/>
                <w:sz w:val="20"/>
                <w:szCs w:val="20"/>
                <w:lang w:val="fr-FR"/>
              </w:rPr>
              <w:t>Risque pour les parties prenantes</w:t>
            </w:r>
          </w:p>
        </w:tc>
        <w:tc>
          <w:tcPr>
            <w:tcW w:w="1470" w:type="dxa"/>
            <w:tcBorders>
              <w:bottom w:val="single" w:sz="4" w:space="0" w:color="000000"/>
            </w:tcBorders>
            <w:vAlign w:val="bottom"/>
          </w:tcPr>
          <w:p w:rsidR="00343125" w:rsidRPr="00A7289C" w:rsidRDefault="00343125" w:rsidP="00343125">
            <w:pPr>
              <w:spacing w:before="60" w:beforeAutospacing="1" w:after="100" w:afterAutospacing="1"/>
              <w:jc w:val="center"/>
              <w:rPr>
                <w:b/>
                <w:bCs/>
                <w:sz w:val="20"/>
                <w:szCs w:val="20"/>
              </w:rPr>
            </w:pPr>
            <w:r>
              <w:rPr>
                <w:b/>
                <w:bCs/>
                <w:sz w:val="20"/>
                <w:szCs w:val="20"/>
              </w:rPr>
              <w:t>Important</w:t>
            </w:r>
          </w:p>
        </w:tc>
      </w:tr>
      <w:tr w:rsidR="00343125" w:rsidRPr="00A7289C" w:rsidTr="00343125">
        <w:trPr>
          <w:jc w:val="center"/>
        </w:trPr>
        <w:tc>
          <w:tcPr>
            <w:tcW w:w="4608" w:type="dxa"/>
          </w:tcPr>
          <w:p w:rsidR="00343125" w:rsidRPr="00A7289C" w:rsidRDefault="00343125" w:rsidP="00343125">
            <w:pPr>
              <w:spacing w:before="60"/>
              <w:rPr>
                <w:rFonts w:eastAsiaTheme="minorEastAsia"/>
                <w:b/>
                <w:sz w:val="20"/>
                <w:szCs w:val="20"/>
              </w:rPr>
            </w:pPr>
            <w:proofErr w:type="spellStart"/>
            <w:r>
              <w:rPr>
                <w:b/>
                <w:sz w:val="20"/>
                <w:szCs w:val="20"/>
              </w:rPr>
              <w:t>Risque</w:t>
            </w:r>
            <w:proofErr w:type="spellEnd"/>
            <w:r>
              <w:rPr>
                <w:b/>
                <w:sz w:val="20"/>
                <w:szCs w:val="20"/>
              </w:rPr>
              <w:t xml:space="preserve"> pour </w:t>
            </w:r>
            <w:proofErr w:type="spellStart"/>
            <w:r>
              <w:rPr>
                <w:b/>
                <w:sz w:val="20"/>
                <w:szCs w:val="20"/>
              </w:rPr>
              <w:t>l'organisme</w:t>
            </w:r>
            <w:proofErr w:type="spellEnd"/>
            <w:r>
              <w:rPr>
                <w:b/>
                <w:sz w:val="20"/>
                <w:szCs w:val="20"/>
              </w:rPr>
              <w:t xml:space="preserve"> </w:t>
            </w:r>
            <w:proofErr w:type="spellStart"/>
            <w:r>
              <w:rPr>
                <w:b/>
                <w:sz w:val="20"/>
                <w:szCs w:val="20"/>
              </w:rPr>
              <w:t>d’exécution</w:t>
            </w:r>
            <w:proofErr w:type="spellEnd"/>
          </w:p>
        </w:tc>
        <w:tc>
          <w:tcPr>
            <w:tcW w:w="1470" w:type="dxa"/>
            <w:shd w:val="clear" w:color="auto" w:fill="auto"/>
            <w:vAlign w:val="bottom"/>
          </w:tcPr>
          <w:p w:rsidR="00343125" w:rsidRPr="00A7289C" w:rsidRDefault="00343125" w:rsidP="00343125">
            <w:pPr>
              <w:spacing w:before="60" w:beforeAutospacing="1" w:after="100" w:afterAutospacing="1"/>
              <w:jc w:val="center"/>
              <w:rPr>
                <w:b/>
                <w:bCs/>
                <w:sz w:val="20"/>
                <w:szCs w:val="20"/>
              </w:rPr>
            </w:pPr>
            <w:proofErr w:type="spellStart"/>
            <w:r>
              <w:rPr>
                <w:b/>
                <w:bCs/>
                <w:sz w:val="20"/>
                <w:szCs w:val="20"/>
              </w:rPr>
              <w:t>Élevé</w:t>
            </w:r>
            <w:proofErr w:type="spellEnd"/>
          </w:p>
        </w:tc>
      </w:tr>
      <w:tr w:rsidR="00343125" w:rsidRPr="00A7289C" w:rsidTr="00343125">
        <w:trPr>
          <w:jc w:val="center"/>
        </w:trPr>
        <w:tc>
          <w:tcPr>
            <w:tcW w:w="4608" w:type="dxa"/>
          </w:tcPr>
          <w:p w:rsidR="00343125" w:rsidRPr="00A7289C" w:rsidRDefault="00343125" w:rsidP="00B563F2">
            <w:pPr>
              <w:pStyle w:val="ListParagraph"/>
              <w:numPr>
                <w:ilvl w:val="0"/>
                <w:numId w:val="38"/>
              </w:numPr>
              <w:spacing w:before="60"/>
              <w:ind w:left="270" w:hanging="180"/>
              <w:rPr>
                <w:rFonts w:eastAsiaTheme="minorEastAsia"/>
                <w:sz w:val="20"/>
                <w:szCs w:val="20"/>
              </w:rPr>
            </w:pPr>
            <w:proofErr w:type="spellStart"/>
            <w:r>
              <w:rPr>
                <w:sz w:val="20"/>
                <w:szCs w:val="20"/>
              </w:rPr>
              <w:t>Capacités</w:t>
            </w:r>
            <w:proofErr w:type="spellEnd"/>
          </w:p>
        </w:tc>
        <w:tc>
          <w:tcPr>
            <w:tcW w:w="1470" w:type="dxa"/>
            <w:shd w:val="clear" w:color="auto" w:fill="auto"/>
            <w:vAlign w:val="bottom"/>
          </w:tcPr>
          <w:p w:rsidR="00343125" w:rsidRPr="00A7289C" w:rsidRDefault="00343125" w:rsidP="00343125">
            <w:pPr>
              <w:spacing w:before="60" w:beforeAutospacing="1" w:after="100" w:afterAutospacing="1"/>
              <w:jc w:val="center"/>
              <w:rPr>
                <w:b/>
                <w:bCs/>
                <w:sz w:val="20"/>
                <w:szCs w:val="20"/>
              </w:rPr>
            </w:pPr>
            <w:r>
              <w:rPr>
                <w:b/>
                <w:bCs/>
                <w:sz w:val="20"/>
                <w:szCs w:val="20"/>
              </w:rPr>
              <w:t>Important</w:t>
            </w:r>
          </w:p>
        </w:tc>
      </w:tr>
      <w:tr w:rsidR="00343125" w:rsidRPr="00A7289C" w:rsidTr="00343125">
        <w:trPr>
          <w:jc w:val="center"/>
        </w:trPr>
        <w:tc>
          <w:tcPr>
            <w:tcW w:w="4608" w:type="dxa"/>
            <w:tcBorders>
              <w:bottom w:val="single" w:sz="4" w:space="0" w:color="000000"/>
            </w:tcBorders>
          </w:tcPr>
          <w:p w:rsidR="00343125" w:rsidRPr="00A7289C" w:rsidRDefault="00343125" w:rsidP="00B563F2">
            <w:pPr>
              <w:pStyle w:val="ListParagraph"/>
              <w:numPr>
                <w:ilvl w:val="0"/>
                <w:numId w:val="38"/>
              </w:numPr>
              <w:spacing w:before="60"/>
              <w:ind w:left="270" w:hanging="180"/>
              <w:rPr>
                <w:rFonts w:eastAsiaTheme="minorEastAsia"/>
                <w:sz w:val="20"/>
                <w:szCs w:val="20"/>
              </w:rPr>
            </w:pPr>
            <w:proofErr w:type="spellStart"/>
            <w:r>
              <w:rPr>
                <w:sz w:val="20"/>
                <w:szCs w:val="20"/>
              </w:rPr>
              <w:t>Gouvernance</w:t>
            </w:r>
            <w:proofErr w:type="spellEnd"/>
          </w:p>
        </w:tc>
        <w:tc>
          <w:tcPr>
            <w:tcW w:w="1470" w:type="dxa"/>
            <w:shd w:val="clear" w:color="auto" w:fill="auto"/>
            <w:vAlign w:val="bottom"/>
          </w:tcPr>
          <w:p w:rsidR="00343125" w:rsidRPr="00A7289C" w:rsidRDefault="00343125" w:rsidP="00343125">
            <w:pPr>
              <w:spacing w:before="60" w:beforeAutospacing="1" w:after="100" w:afterAutospacing="1"/>
              <w:jc w:val="center"/>
              <w:rPr>
                <w:b/>
                <w:bCs/>
                <w:sz w:val="20"/>
                <w:szCs w:val="20"/>
              </w:rPr>
            </w:pPr>
            <w:proofErr w:type="spellStart"/>
            <w:r>
              <w:rPr>
                <w:b/>
                <w:bCs/>
                <w:sz w:val="20"/>
                <w:szCs w:val="20"/>
              </w:rPr>
              <w:t>Élevé</w:t>
            </w:r>
            <w:proofErr w:type="spellEnd"/>
          </w:p>
        </w:tc>
      </w:tr>
      <w:tr w:rsidR="00343125" w:rsidRPr="00A7289C" w:rsidTr="00343125">
        <w:trPr>
          <w:jc w:val="center"/>
        </w:trPr>
        <w:tc>
          <w:tcPr>
            <w:tcW w:w="4608" w:type="dxa"/>
          </w:tcPr>
          <w:p w:rsidR="00343125" w:rsidRPr="00A7289C" w:rsidRDefault="00343125" w:rsidP="00343125">
            <w:pPr>
              <w:spacing w:before="60"/>
              <w:rPr>
                <w:rFonts w:eastAsiaTheme="minorEastAsia"/>
                <w:b/>
                <w:sz w:val="20"/>
                <w:szCs w:val="20"/>
              </w:rPr>
            </w:pPr>
            <w:proofErr w:type="spellStart"/>
            <w:r>
              <w:rPr>
                <w:b/>
                <w:sz w:val="20"/>
                <w:szCs w:val="20"/>
              </w:rPr>
              <w:t>Risque</w:t>
            </w:r>
            <w:proofErr w:type="spellEnd"/>
            <w:r>
              <w:rPr>
                <w:b/>
                <w:sz w:val="20"/>
                <w:szCs w:val="20"/>
              </w:rPr>
              <w:t xml:space="preserve"> pour le </w:t>
            </w:r>
            <w:proofErr w:type="spellStart"/>
            <w:r>
              <w:rPr>
                <w:b/>
                <w:sz w:val="20"/>
                <w:szCs w:val="20"/>
              </w:rPr>
              <w:t>projet</w:t>
            </w:r>
            <w:proofErr w:type="spellEnd"/>
          </w:p>
        </w:tc>
        <w:tc>
          <w:tcPr>
            <w:tcW w:w="1470" w:type="dxa"/>
            <w:vAlign w:val="bottom"/>
          </w:tcPr>
          <w:p w:rsidR="00343125" w:rsidRPr="00A7289C" w:rsidRDefault="00343125" w:rsidP="00343125">
            <w:pPr>
              <w:spacing w:before="60" w:beforeAutospacing="1" w:after="100" w:afterAutospacing="1"/>
              <w:jc w:val="center"/>
              <w:rPr>
                <w:b/>
                <w:bCs/>
                <w:sz w:val="20"/>
                <w:szCs w:val="20"/>
              </w:rPr>
            </w:pPr>
            <w:proofErr w:type="spellStart"/>
            <w:r>
              <w:rPr>
                <w:b/>
                <w:bCs/>
                <w:sz w:val="20"/>
                <w:szCs w:val="20"/>
              </w:rPr>
              <w:t>Élevé</w:t>
            </w:r>
            <w:proofErr w:type="spellEnd"/>
          </w:p>
        </w:tc>
      </w:tr>
      <w:tr w:rsidR="00343125" w:rsidRPr="00A7289C" w:rsidTr="00343125">
        <w:trPr>
          <w:jc w:val="center"/>
        </w:trPr>
        <w:tc>
          <w:tcPr>
            <w:tcW w:w="4608" w:type="dxa"/>
          </w:tcPr>
          <w:p w:rsidR="00343125" w:rsidRPr="00A7289C" w:rsidRDefault="00343125" w:rsidP="00B563F2">
            <w:pPr>
              <w:pStyle w:val="ListParagraph"/>
              <w:numPr>
                <w:ilvl w:val="0"/>
                <w:numId w:val="38"/>
              </w:numPr>
              <w:spacing w:before="60"/>
              <w:ind w:left="270" w:hanging="180"/>
              <w:rPr>
                <w:rFonts w:eastAsiaTheme="minorEastAsia"/>
                <w:sz w:val="20"/>
                <w:szCs w:val="20"/>
              </w:rPr>
            </w:pPr>
            <w:r>
              <w:rPr>
                <w:sz w:val="20"/>
                <w:szCs w:val="20"/>
              </w:rPr>
              <w:t>Conception</w:t>
            </w:r>
          </w:p>
        </w:tc>
        <w:tc>
          <w:tcPr>
            <w:tcW w:w="1470" w:type="dxa"/>
            <w:vAlign w:val="bottom"/>
          </w:tcPr>
          <w:p w:rsidR="00343125" w:rsidRPr="00A7289C" w:rsidRDefault="00343125" w:rsidP="00343125">
            <w:pPr>
              <w:spacing w:before="60" w:beforeAutospacing="1" w:after="100" w:afterAutospacing="1"/>
              <w:jc w:val="center"/>
              <w:rPr>
                <w:b/>
                <w:bCs/>
                <w:sz w:val="20"/>
                <w:szCs w:val="20"/>
              </w:rPr>
            </w:pPr>
            <w:r>
              <w:rPr>
                <w:b/>
                <w:bCs/>
                <w:sz w:val="20"/>
                <w:szCs w:val="20"/>
              </w:rPr>
              <w:t>Important</w:t>
            </w:r>
          </w:p>
        </w:tc>
      </w:tr>
      <w:tr w:rsidR="00343125" w:rsidRPr="00A7289C" w:rsidTr="00343125">
        <w:trPr>
          <w:jc w:val="center"/>
        </w:trPr>
        <w:tc>
          <w:tcPr>
            <w:tcW w:w="4608" w:type="dxa"/>
          </w:tcPr>
          <w:p w:rsidR="00343125" w:rsidRPr="00A7289C" w:rsidRDefault="00343125" w:rsidP="00B563F2">
            <w:pPr>
              <w:pStyle w:val="ListParagraph"/>
              <w:numPr>
                <w:ilvl w:val="0"/>
                <w:numId w:val="38"/>
              </w:numPr>
              <w:spacing w:before="60"/>
              <w:ind w:left="270" w:hanging="180"/>
              <w:rPr>
                <w:rFonts w:eastAsiaTheme="minorEastAsia"/>
                <w:sz w:val="20"/>
                <w:szCs w:val="20"/>
              </w:rPr>
            </w:pPr>
            <w:r>
              <w:rPr>
                <w:sz w:val="20"/>
                <w:szCs w:val="20"/>
              </w:rPr>
              <w:t xml:space="preserve">Social et </w:t>
            </w:r>
            <w:proofErr w:type="spellStart"/>
            <w:r>
              <w:rPr>
                <w:sz w:val="20"/>
                <w:szCs w:val="20"/>
              </w:rPr>
              <w:t>environnemental</w:t>
            </w:r>
            <w:proofErr w:type="spellEnd"/>
          </w:p>
        </w:tc>
        <w:tc>
          <w:tcPr>
            <w:tcW w:w="1470" w:type="dxa"/>
            <w:vAlign w:val="bottom"/>
          </w:tcPr>
          <w:p w:rsidR="00343125" w:rsidRPr="00A7289C" w:rsidRDefault="00343125" w:rsidP="00343125">
            <w:pPr>
              <w:spacing w:before="60" w:beforeAutospacing="1" w:after="100" w:afterAutospacing="1"/>
              <w:jc w:val="center"/>
              <w:rPr>
                <w:b/>
                <w:bCs/>
                <w:sz w:val="20"/>
                <w:szCs w:val="20"/>
              </w:rPr>
            </w:pPr>
            <w:proofErr w:type="spellStart"/>
            <w:r>
              <w:rPr>
                <w:b/>
                <w:bCs/>
                <w:sz w:val="20"/>
                <w:szCs w:val="20"/>
              </w:rPr>
              <w:t>Élevé</w:t>
            </w:r>
            <w:proofErr w:type="spellEnd"/>
          </w:p>
        </w:tc>
      </w:tr>
      <w:tr w:rsidR="00343125" w:rsidRPr="00A7289C" w:rsidTr="00343125">
        <w:trPr>
          <w:jc w:val="center"/>
        </w:trPr>
        <w:tc>
          <w:tcPr>
            <w:tcW w:w="4608" w:type="dxa"/>
          </w:tcPr>
          <w:p w:rsidR="00343125" w:rsidRPr="00857EF9" w:rsidRDefault="00343125" w:rsidP="00B563F2">
            <w:pPr>
              <w:pStyle w:val="ListParagraph"/>
              <w:numPr>
                <w:ilvl w:val="0"/>
                <w:numId w:val="38"/>
              </w:numPr>
              <w:spacing w:before="60"/>
              <w:ind w:left="270" w:hanging="180"/>
              <w:rPr>
                <w:rFonts w:eastAsiaTheme="minorEastAsia"/>
                <w:sz w:val="20"/>
                <w:szCs w:val="20"/>
                <w:lang w:val="fr-FR"/>
              </w:rPr>
            </w:pPr>
            <w:r w:rsidRPr="00857EF9">
              <w:rPr>
                <w:sz w:val="20"/>
                <w:szCs w:val="20"/>
                <w:lang w:val="fr-FR"/>
              </w:rPr>
              <w:t>Programme et bailleurs de fonds</w:t>
            </w:r>
          </w:p>
        </w:tc>
        <w:tc>
          <w:tcPr>
            <w:tcW w:w="1470" w:type="dxa"/>
            <w:vAlign w:val="bottom"/>
          </w:tcPr>
          <w:p w:rsidR="00343125" w:rsidRPr="00A7289C" w:rsidRDefault="00343125" w:rsidP="00343125">
            <w:pPr>
              <w:spacing w:before="60" w:beforeAutospacing="1" w:after="100" w:afterAutospacing="1"/>
              <w:jc w:val="center"/>
              <w:rPr>
                <w:b/>
                <w:bCs/>
                <w:sz w:val="20"/>
                <w:szCs w:val="20"/>
              </w:rPr>
            </w:pPr>
            <w:proofErr w:type="spellStart"/>
            <w:r>
              <w:rPr>
                <w:b/>
                <w:bCs/>
                <w:sz w:val="20"/>
                <w:szCs w:val="20"/>
              </w:rPr>
              <w:t>Modéré</w:t>
            </w:r>
            <w:proofErr w:type="spellEnd"/>
          </w:p>
        </w:tc>
      </w:tr>
      <w:tr w:rsidR="00343125" w:rsidRPr="00A7289C" w:rsidTr="00343125">
        <w:trPr>
          <w:jc w:val="center"/>
        </w:trPr>
        <w:tc>
          <w:tcPr>
            <w:tcW w:w="4608" w:type="dxa"/>
          </w:tcPr>
          <w:p w:rsidR="00343125" w:rsidRPr="00857EF9" w:rsidRDefault="00343125" w:rsidP="00B563F2">
            <w:pPr>
              <w:pStyle w:val="ListParagraph"/>
              <w:numPr>
                <w:ilvl w:val="0"/>
                <w:numId w:val="38"/>
              </w:numPr>
              <w:spacing w:before="60"/>
              <w:ind w:left="270" w:hanging="180"/>
              <w:rPr>
                <w:rFonts w:eastAsiaTheme="minorEastAsia"/>
                <w:sz w:val="20"/>
                <w:szCs w:val="20"/>
                <w:lang w:val="fr-FR"/>
              </w:rPr>
            </w:pPr>
            <w:r w:rsidRPr="00857EF9">
              <w:rPr>
                <w:sz w:val="20"/>
                <w:szCs w:val="20"/>
                <w:lang w:val="fr-FR"/>
              </w:rPr>
              <w:t>Suivi des résultats et viabilité</w:t>
            </w:r>
          </w:p>
        </w:tc>
        <w:tc>
          <w:tcPr>
            <w:tcW w:w="1470" w:type="dxa"/>
            <w:vAlign w:val="bottom"/>
          </w:tcPr>
          <w:p w:rsidR="00343125" w:rsidRPr="00A7289C" w:rsidRDefault="00343125" w:rsidP="00343125">
            <w:pPr>
              <w:spacing w:before="60" w:beforeAutospacing="1" w:after="100" w:afterAutospacing="1"/>
              <w:jc w:val="center"/>
              <w:rPr>
                <w:b/>
                <w:bCs/>
                <w:sz w:val="20"/>
                <w:szCs w:val="20"/>
              </w:rPr>
            </w:pPr>
            <w:proofErr w:type="spellStart"/>
            <w:r>
              <w:rPr>
                <w:b/>
                <w:bCs/>
                <w:sz w:val="20"/>
                <w:szCs w:val="20"/>
              </w:rPr>
              <w:t>Élevé</w:t>
            </w:r>
            <w:proofErr w:type="spellEnd"/>
          </w:p>
        </w:tc>
      </w:tr>
      <w:tr w:rsidR="00343125" w:rsidRPr="00A7289C" w:rsidTr="00343125">
        <w:trPr>
          <w:jc w:val="center"/>
        </w:trPr>
        <w:tc>
          <w:tcPr>
            <w:tcW w:w="4608" w:type="dxa"/>
          </w:tcPr>
          <w:p w:rsidR="00343125" w:rsidRPr="00857EF9" w:rsidRDefault="00343125" w:rsidP="00343125">
            <w:pPr>
              <w:spacing w:before="60"/>
              <w:rPr>
                <w:rFonts w:eastAsiaTheme="minorEastAsia"/>
                <w:b/>
                <w:sz w:val="20"/>
                <w:szCs w:val="20"/>
                <w:lang w:val="fr-FR"/>
              </w:rPr>
            </w:pPr>
            <w:r w:rsidRPr="00857EF9">
              <w:rPr>
                <w:b/>
                <w:sz w:val="20"/>
                <w:szCs w:val="20"/>
                <w:lang w:val="fr-FR"/>
              </w:rPr>
              <w:t>Risque pour la mise en œuvre globale</w:t>
            </w:r>
          </w:p>
        </w:tc>
        <w:tc>
          <w:tcPr>
            <w:tcW w:w="1470" w:type="dxa"/>
            <w:shd w:val="clear" w:color="auto" w:fill="auto"/>
            <w:vAlign w:val="bottom"/>
          </w:tcPr>
          <w:p w:rsidR="00343125" w:rsidRPr="00A7289C" w:rsidRDefault="00343125" w:rsidP="00343125">
            <w:pPr>
              <w:spacing w:before="60" w:beforeAutospacing="1" w:after="100" w:afterAutospacing="1"/>
              <w:jc w:val="center"/>
              <w:rPr>
                <w:bCs/>
                <w:sz w:val="20"/>
                <w:szCs w:val="20"/>
                <w:highlight w:val="yellow"/>
              </w:rPr>
            </w:pPr>
            <w:proofErr w:type="spellStart"/>
            <w:r>
              <w:rPr>
                <w:b/>
                <w:bCs/>
                <w:sz w:val="20"/>
                <w:szCs w:val="20"/>
              </w:rPr>
              <w:t>Élevé</w:t>
            </w:r>
            <w:proofErr w:type="spellEnd"/>
          </w:p>
        </w:tc>
      </w:tr>
    </w:tbl>
    <w:p w:rsidR="00343125" w:rsidRPr="00A7289C" w:rsidRDefault="00343125" w:rsidP="00343125">
      <w:pPr>
        <w:ind w:left="288"/>
      </w:pPr>
    </w:p>
    <w:p w:rsidR="00343125" w:rsidRPr="00A7289C" w:rsidRDefault="00343125" w:rsidP="00D15AD7">
      <w:pPr>
        <w:pStyle w:val="PDSHeading2"/>
        <w:tabs>
          <w:tab w:val="clear" w:pos="360"/>
        </w:tabs>
        <w:spacing w:after="120"/>
        <w:ind w:left="648"/>
        <w:rPr>
          <w:bCs/>
        </w:rPr>
      </w:pPr>
      <w:bookmarkStart w:id="20" w:name="_Toc362270227"/>
      <w:r>
        <w:rPr>
          <w:bCs/>
        </w:rPr>
        <w:t xml:space="preserve">Explication de </w:t>
      </w:r>
      <w:proofErr w:type="spellStart"/>
      <w:r>
        <w:rPr>
          <w:bCs/>
        </w:rPr>
        <w:t>l’évaluation</w:t>
      </w:r>
      <w:proofErr w:type="spellEnd"/>
      <w:r>
        <w:rPr>
          <w:bCs/>
        </w:rPr>
        <w:t xml:space="preserve"> des </w:t>
      </w:r>
      <w:proofErr w:type="spellStart"/>
      <w:r>
        <w:rPr>
          <w:bCs/>
        </w:rPr>
        <w:t>risques</w:t>
      </w:r>
      <w:bookmarkEnd w:id="20"/>
      <w:proofErr w:type="spellEnd"/>
    </w:p>
    <w:p w:rsidR="001956C5" w:rsidRPr="00857EF9" w:rsidRDefault="001956C5" w:rsidP="00B563F2">
      <w:pPr>
        <w:pStyle w:val="ListParagraph"/>
        <w:numPr>
          <w:ilvl w:val="0"/>
          <w:numId w:val="25"/>
        </w:numPr>
        <w:tabs>
          <w:tab w:val="num" w:pos="648"/>
          <w:tab w:val="num" w:pos="720"/>
        </w:tabs>
        <w:spacing w:after="120"/>
        <w:contextualSpacing w:val="0"/>
        <w:jc w:val="both"/>
        <w:rPr>
          <w:lang w:val="fr-FR"/>
        </w:rPr>
      </w:pPr>
      <w:r w:rsidRPr="00857EF9">
        <w:rPr>
          <w:lang w:val="fr-FR"/>
        </w:rPr>
        <w:t>Haïti est considéré par le GBM comme un État fragile et affecté par un conflit</w:t>
      </w:r>
      <w:r w:rsidR="00E01433" w:rsidRPr="00857EF9">
        <w:rPr>
          <w:lang w:val="fr-FR"/>
        </w:rPr>
        <w:t xml:space="preserve">. </w:t>
      </w:r>
      <w:r w:rsidRPr="00857EF9">
        <w:rPr>
          <w:lang w:val="fr-FR"/>
        </w:rPr>
        <w:t>En raison de la menace permanente d'instabilité politique, de troubles sociaux et de catastrophes naturelles dans un contexte de capacité institutionnelle insuffisante tant dans le secteur public que privé, le risque global au niveau de la préparation et la mise en œuvre est jugé élevé (impact élevé/probabilité élevée). Le projet tente d’atténuer ce risque de plusieurs manières : (i) en échelonnant les activités pour prendre en compte les capacités des divers organismes impliqués ; (ii) en ancrant le projet dans le MCI, responsable au sein du GH des domaines concernés par ce projet ; (iii) en ayant engagé dès le départ l'UCP qui a déjà mis en œuvre avec succès des projets de l'IDA, en tant qu'unité d'exécution du projet (UEP), en renforçant ses capacités et en prévoyant de transférer les responsabilités fiduciaires au MCI, une fois que sa structure et ses capacités auront été jugées acceptables par l'IDA ; (iv) en faisant appel à une équipe multisectorielle qui s'inspire des expériences de différentes sections du GBM ; (v) en envoyant du personnel du GBM sur le terrain pour soutenir la mise en œuvre du projet ; (vi) en exploitant l'assistance technique fournie par des projets de services de conseil complémentaires ; et (vii) en entretenant un dialogue systématique et régulier avec les acteurs publics et privés parties prenantes au projet. Des missions trimestrielles de supervision sont prévues jusqu'à l'examen à mi-parcours planifié entre 18 et 30 mois après l'entrée en vigueur, et selon l'évolution du projet, ultérieurement. L'examen à mi-parcours fournira l'occasion de passer en revue l'évolution du projet et de procéder aux ajustements nécessaires.</w:t>
      </w:r>
    </w:p>
    <w:p w:rsidR="001956C5" w:rsidRPr="00A7289C" w:rsidRDefault="001956C5" w:rsidP="00B563F2">
      <w:pPr>
        <w:pStyle w:val="ListParagraph"/>
        <w:numPr>
          <w:ilvl w:val="0"/>
          <w:numId w:val="25"/>
        </w:numPr>
        <w:tabs>
          <w:tab w:val="num" w:pos="648"/>
          <w:tab w:val="num" w:pos="720"/>
        </w:tabs>
        <w:spacing w:after="120"/>
        <w:contextualSpacing w:val="0"/>
        <w:jc w:val="both"/>
      </w:pPr>
      <w:r w:rsidRPr="00857EF9">
        <w:rPr>
          <w:lang w:val="fr-FR"/>
        </w:rPr>
        <w:t>Plusieurs autres risques majeurs mis en lumière dans la matrice de l'ORAF pourraient affecter l'accomplissement de l'ODP. L'ORAF (</w:t>
      </w:r>
      <w:r w:rsidR="00FB137A" w:rsidRPr="00857EF9">
        <w:rPr>
          <w:lang w:val="fr-FR"/>
        </w:rPr>
        <w:t>annexe </w:t>
      </w:r>
      <w:r w:rsidRPr="00857EF9">
        <w:rPr>
          <w:lang w:val="fr-FR"/>
        </w:rPr>
        <w:t xml:space="preserve">4) contient une présentation détaillée des risques du projet. </w:t>
      </w:r>
      <w:r>
        <w:t xml:space="preserve">Les </w:t>
      </w:r>
      <w:proofErr w:type="spellStart"/>
      <w:r>
        <w:t>principaux</w:t>
      </w:r>
      <w:proofErr w:type="spellEnd"/>
      <w:r>
        <w:t xml:space="preserve"> </w:t>
      </w:r>
      <w:proofErr w:type="spellStart"/>
      <w:r>
        <w:t>risques</w:t>
      </w:r>
      <w:proofErr w:type="spellEnd"/>
      <w:r>
        <w:t xml:space="preserve"> </w:t>
      </w:r>
      <w:proofErr w:type="spellStart"/>
      <w:r>
        <w:t>détectés</w:t>
      </w:r>
      <w:proofErr w:type="spellEnd"/>
      <w:r>
        <w:t xml:space="preserve"> </w:t>
      </w:r>
      <w:proofErr w:type="spellStart"/>
      <w:r>
        <w:t>sont</w:t>
      </w:r>
      <w:proofErr w:type="spellEnd"/>
      <w:r>
        <w:t xml:space="preserve"> les </w:t>
      </w:r>
      <w:proofErr w:type="spellStart"/>
      <w:r>
        <w:t>suivants</w:t>
      </w:r>
      <w:proofErr w:type="spellEnd"/>
      <w:r>
        <w:t> :</w:t>
      </w:r>
    </w:p>
    <w:p w:rsidR="001956C5" w:rsidRPr="00857EF9" w:rsidRDefault="001956C5" w:rsidP="00B563F2">
      <w:pPr>
        <w:pStyle w:val="ListParagraph"/>
        <w:numPr>
          <w:ilvl w:val="0"/>
          <w:numId w:val="39"/>
        </w:numPr>
        <w:spacing w:after="120"/>
        <w:ind w:left="630"/>
        <w:jc w:val="both"/>
        <w:rPr>
          <w:lang w:val="fr-FR"/>
        </w:rPr>
      </w:pPr>
      <w:r w:rsidRPr="00857EF9">
        <w:rPr>
          <w:lang w:val="fr-FR"/>
        </w:rPr>
        <w:lastRenderedPageBreak/>
        <w:t>En raison de l'instabilité de l'environnement politique, il n'est pas impossible que les lois soient élaborées et soumises, mais non approuvées par le Parlement</w:t>
      </w:r>
      <w:r w:rsidRPr="00A7289C">
        <w:rPr>
          <w:rStyle w:val="FootnoteReference"/>
        </w:rPr>
        <w:footnoteReference w:id="36"/>
      </w:r>
      <w:r w:rsidR="00E01433" w:rsidRPr="00857EF9">
        <w:rPr>
          <w:lang w:val="fr-FR"/>
        </w:rPr>
        <w:t xml:space="preserve"> ;</w:t>
      </w:r>
    </w:p>
    <w:p w:rsidR="001956C5" w:rsidRPr="00857EF9" w:rsidRDefault="001956C5" w:rsidP="00B563F2">
      <w:pPr>
        <w:pStyle w:val="ListParagraph"/>
        <w:numPr>
          <w:ilvl w:val="0"/>
          <w:numId w:val="39"/>
        </w:numPr>
        <w:spacing w:after="120"/>
        <w:ind w:left="630"/>
        <w:jc w:val="both"/>
        <w:rPr>
          <w:lang w:val="fr-FR"/>
        </w:rPr>
      </w:pPr>
      <w:r w:rsidRPr="00857EF9">
        <w:rPr>
          <w:lang w:val="fr-FR"/>
        </w:rPr>
        <w:t xml:space="preserve">Les modalités institutionnelles requises pour garantir la bonne mise en œuvre des ZEI ne seront peut-être pas appliquées de façon satisfaisante ; </w:t>
      </w:r>
    </w:p>
    <w:p w:rsidR="001956C5" w:rsidRPr="00857EF9" w:rsidRDefault="001956C5" w:rsidP="00B563F2">
      <w:pPr>
        <w:pStyle w:val="ListParagraph"/>
        <w:numPr>
          <w:ilvl w:val="0"/>
          <w:numId w:val="39"/>
        </w:numPr>
        <w:spacing w:after="120"/>
        <w:ind w:left="630"/>
        <w:jc w:val="both"/>
        <w:rPr>
          <w:lang w:val="fr-FR"/>
        </w:rPr>
      </w:pPr>
      <w:r w:rsidRPr="00857EF9">
        <w:rPr>
          <w:lang w:val="fr-FR"/>
        </w:rPr>
        <w:t>Les institutions appuyées par le projet risquent de ne pas acquérir les capacités institutionnelles requises et ne pas rester viables si le financement de l'État décline au fil du temps ;</w:t>
      </w:r>
    </w:p>
    <w:p w:rsidR="001956C5" w:rsidRPr="00857EF9" w:rsidRDefault="001956C5" w:rsidP="00B563F2">
      <w:pPr>
        <w:pStyle w:val="ListParagraph"/>
        <w:numPr>
          <w:ilvl w:val="0"/>
          <w:numId w:val="39"/>
        </w:numPr>
        <w:spacing w:after="120"/>
        <w:ind w:left="630"/>
        <w:jc w:val="both"/>
        <w:rPr>
          <w:lang w:val="fr-FR"/>
        </w:rPr>
      </w:pPr>
      <w:r w:rsidRPr="00857EF9">
        <w:rPr>
          <w:lang w:val="fr-FR"/>
        </w:rPr>
        <w:t>Les investissements dans les ZEI ne vont peut-être pas se matérialiser si leur faisabilité n'est pas confirmée ou si le cadre légal et réglementaire ne permet pas de mettre en place les incitations prévues ;</w:t>
      </w:r>
    </w:p>
    <w:p w:rsidR="001956C5" w:rsidRPr="00857EF9" w:rsidRDefault="001956C5" w:rsidP="00B563F2">
      <w:pPr>
        <w:pStyle w:val="ListParagraph"/>
        <w:numPr>
          <w:ilvl w:val="0"/>
          <w:numId w:val="39"/>
        </w:numPr>
        <w:spacing w:after="120"/>
        <w:ind w:left="630"/>
        <w:jc w:val="both"/>
        <w:rPr>
          <w:lang w:val="fr-FR"/>
        </w:rPr>
      </w:pPr>
      <w:r w:rsidRPr="00857EF9">
        <w:rPr>
          <w:lang w:val="fr-FR"/>
        </w:rPr>
        <w:t>La coordination entre les ministères (MEF, MCI, etc.), les autorités locales et les représentants du secteur privé risque de ne pas fonctionner ;</w:t>
      </w:r>
    </w:p>
    <w:p w:rsidR="001956C5" w:rsidRPr="00857EF9" w:rsidRDefault="001956C5" w:rsidP="00B563F2">
      <w:pPr>
        <w:pStyle w:val="ListParagraph"/>
        <w:numPr>
          <w:ilvl w:val="0"/>
          <w:numId w:val="39"/>
        </w:numPr>
        <w:spacing w:after="120"/>
        <w:ind w:left="630"/>
        <w:jc w:val="both"/>
        <w:rPr>
          <w:lang w:val="fr-FR"/>
        </w:rPr>
      </w:pPr>
      <w:r w:rsidRPr="00857EF9">
        <w:rPr>
          <w:lang w:val="fr-FR"/>
        </w:rPr>
        <w:t>Si le MCI ne satisfait pas totalement les normes fiduciaires de l'IDA, les processus de passation des marchés prendront du retard ;</w:t>
      </w:r>
    </w:p>
    <w:p w:rsidR="001956C5" w:rsidRPr="00857EF9" w:rsidRDefault="001956C5" w:rsidP="00B563F2">
      <w:pPr>
        <w:pStyle w:val="ListParagraph"/>
        <w:numPr>
          <w:ilvl w:val="0"/>
          <w:numId w:val="39"/>
        </w:numPr>
        <w:spacing w:after="120"/>
        <w:ind w:left="630"/>
        <w:jc w:val="both"/>
        <w:rPr>
          <w:lang w:val="fr-FR"/>
        </w:rPr>
      </w:pPr>
      <w:r w:rsidRPr="00857EF9">
        <w:rPr>
          <w:lang w:val="fr-FR"/>
        </w:rPr>
        <w:t>Le suivi et l'évaluation du projet risquent d'être affaiblis par la formation insuffisante du personnel ; et</w:t>
      </w:r>
    </w:p>
    <w:p w:rsidR="001956C5" w:rsidRPr="00857EF9" w:rsidRDefault="001956C5" w:rsidP="00B563F2">
      <w:pPr>
        <w:pStyle w:val="ListParagraph"/>
        <w:numPr>
          <w:ilvl w:val="0"/>
          <w:numId w:val="39"/>
        </w:numPr>
        <w:ind w:left="630"/>
        <w:jc w:val="both"/>
        <w:rPr>
          <w:lang w:val="fr-FR"/>
        </w:rPr>
      </w:pPr>
      <w:r w:rsidRPr="00857EF9">
        <w:rPr>
          <w:lang w:val="fr-FR"/>
        </w:rPr>
        <w:t>Le pays reste toujours sujet à des risques de catastrophes naturelles et de troubles sociaux.</w:t>
      </w:r>
    </w:p>
    <w:p w:rsidR="00343125" w:rsidRPr="00857EF9" w:rsidRDefault="00343125" w:rsidP="00FD5C8B">
      <w:pPr>
        <w:pStyle w:val="ListParagraph"/>
        <w:ind w:left="0"/>
        <w:jc w:val="both"/>
        <w:rPr>
          <w:lang w:val="fr-FR"/>
        </w:rPr>
      </w:pPr>
    </w:p>
    <w:p w:rsidR="00B71C8D" w:rsidRPr="00A7289C" w:rsidRDefault="00B71C8D" w:rsidP="00FD5C8B">
      <w:pPr>
        <w:pStyle w:val="PDSHeading1"/>
        <w:tabs>
          <w:tab w:val="clear" w:pos="0"/>
          <w:tab w:val="num" w:pos="648"/>
        </w:tabs>
        <w:spacing w:after="120"/>
        <w:ind w:left="288"/>
      </w:pPr>
      <w:bookmarkStart w:id="21" w:name="_Toc362270228"/>
      <w:r>
        <w:t>RÉSUMÉ DE L’ÉVALUATION</w:t>
      </w:r>
      <w:bookmarkEnd w:id="21"/>
    </w:p>
    <w:p w:rsidR="00B71C8D" w:rsidRPr="00A7289C" w:rsidRDefault="00B71C8D" w:rsidP="00FD5C8B">
      <w:pPr>
        <w:pStyle w:val="PDSHeading2"/>
        <w:tabs>
          <w:tab w:val="clear" w:pos="360"/>
        </w:tabs>
        <w:spacing w:after="120"/>
        <w:ind w:left="648"/>
      </w:pPr>
      <w:bookmarkStart w:id="22" w:name="_Toc362270229"/>
      <w:r>
        <w:rPr>
          <w:bCs/>
        </w:rPr>
        <w:t>Analyses économiques et financières</w:t>
      </w:r>
      <w:bookmarkEnd w:id="22"/>
    </w:p>
    <w:p w:rsidR="00AD3B85" w:rsidRPr="00A7289C" w:rsidRDefault="008E13C1" w:rsidP="00B563F2">
      <w:pPr>
        <w:pStyle w:val="ListParagraph"/>
        <w:numPr>
          <w:ilvl w:val="0"/>
          <w:numId w:val="25"/>
        </w:numPr>
        <w:tabs>
          <w:tab w:val="num" w:pos="648"/>
          <w:tab w:val="num" w:pos="720"/>
        </w:tabs>
        <w:spacing w:after="120"/>
        <w:contextualSpacing w:val="0"/>
        <w:jc w:val="both"/>
      </w:pPr>
      <w:r w:rsidRPr="00857EF9">
        <w:rPr>
          <w:lang w:val="fr-FR"/>
        </w:rPr>
        <w:t>En l'absence de modèles d'évaluation rigoureux pour calculer le taux de rendement de certaines activités du projet, le rendement économique et financier a été mesuré en fonction de la capacité des activités du projet à appuyer la promotion de l'investissement et les services de développement des entreprises, des domaines pour lesquels on dispose d'estimations raisonnables dans la documentation et par l'expérience</w:t>
      </w:r>
      <w:r w:rsidR="00E01433" w:rsidRPr="00857EF9">
        <w:rPr>
          <w:lang w:val="fr-FR"/>
        </w:rPr>
        <w:t xml:space="preserve">. </w:t>
      </w:r>
      <w:r w:rsidRPr="00857EF9">
        <w:rPr>
          <w:lang w:val="fr-FR"/>
        </w:rPr>
        <w:t xml:space="preserve">Si les activités de conseil concernant la promotion de l'investissement et l'étude de faisabilité des ZEI aboutissent à une demande de financement supplémentaire pour le développement d'une ou plusieurs ZEI dans le cadre de ce projet, les taux de rendement économique et financier seront calculés pour ces ZEI proposées. </w:t>
      </w:r>
      <w:r w:rsidR="00E01433" w:rsidRPr="00857EF9">
        <w:rPr>
          <w:lang w:val="fr-FR"/>
        </w:rPr>
        <w:t>Pour contourner la difficulté liée à l'établissement d'une relation directe entre l'appui apporté globalement par le projet aux réformes du climat des affaires et leur impact économique combiné, une analyse qualitative des résultats escomptés au titre de cette sous-composante, fondée sur une analyse documentaire, est proposée dans l'</w:t>
      </w:r>
      <w:r w:rsidR="00FB137A" w:rsidRPr="00857EF9">
        <w:rPr>
          <w:lang w:val="fr-FR"/>
        </w:rPr>
        <w:t>annexe </w:t>
      </w:r>
      <w:r w:rsidR="00E01433" w:rsidRPr="00857EF9">
        <w:rPr>
          <w:lang w:val="fr-FR"/>
        </w:rPr>
        <w:t xml:space="preserve">6. Aucune analyse économique n'a été effectuée pour l'exécution, le suivi et l'évaluation du projet, ou pour la composante relative aux interventions d'urgence. En effet, il n'existe pas de méthodologie communément acceptée pour analyser les activités de renforcement des capacités sous l'angle économique. </w:t>
      </w:r>
      <w:proofErr w:type="spellStart"/>
      <w:r>
        <w:t>C'est</w:t>
      </w:r>
      <w:proofErr w:type="spellEnd"/>
      <w:r>
        <w:t xml:space="preserve"> </w:t>
      </w:r>
      <w:proofErr w:type="spellStart"/>
      <w:r>
        <w:t>pourquoi</w:t>
      </w:r>
      <w:proofErr w:type="spellEnd"/>
      <w:r>
        <w:t xml:space="preserve"> </w:t>
      </w:r>
      <w:proofErr w:type="spellStart"/>
      <w:r>
        <w:t>leur</w:t>
      </w:r>
      <w:proofErr w:type="spellEnd"/>
      <w:r>
        <w:t xml:space="preserve"> inclusion se </w:t>
      </w:r>
      <w:proofErr w:type="spellStart"/>
      <w:r>
        <w:t>justifie</w:t>
      </w:r>
      <w:proofErr w:type="spellEnd"/>
      <w:r>
        <w:t xml:space="preserve"> </w:t>
      </w:r>
      <w:proofErr w:type="spellStart"/>
      <w:r>
        <w:t>par</w:t>
      </w:r>
      <w:proofErr w:type="spellEnd"/>
      <w:r>
        <w:t xml:space="preserve"> la </w:t>
      </w:r>
      <w:proofErr w:type="spellStart"/>
      <w:r>
        <w:t>rentabilité</w:t>
      </w:r>
      <w:proofErr w:type="spellEnd"/>
      <w:r>
        <w:t>.</w:t>
      </w:r>
    </w:p>
    <w:p w:rsidR="00B71C8D" w:rsidRPr="00857EF9" w:rsidRDefault="00E01433"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Les taux de rendement de la promotion de l'investissement et des SDE ont fait l'objet d'une estimation. En se fondant sur des hypothèses prudentes, un taux de rendement économique de 23 % a été mesuré pour l'ensemble du projet, en fonction de ces deux activités exclusivement, avec un bénéfice net de 2,6 millions de dollars et une valeur actualisée nette positive pour les branches correspondantes (voir </w:t>
      </w:r>
      <w:r w:rsidR="00FB137A" w:rsidRPr="00857EF9">
        <w:rPr>
          <w:lang w:val="fr-FR"/>
        </w:rPr>
        <w:t>annexe </w:t>
      </w:r>
      <w:r w:rsidRPr="00857EF9">
        <w:rPr>
          <w:lang w:val="fr-FR"/>
        </w:rPr>
        <w:t>6).</w:t>
      </w:r>
    </w:p>
    <w:p w:rsidR="00B71C8D" w:rsidRPr="00A7289C" w:rsidRDefault="00B71C8D" w:rsidP="00FD5C8B">
      <w:pPr>
        <w:pStyle w:val="PDSHeading2"/>
        <w:tabs>
          <w:tab w:val="clear" w:pos="360"/>
        </w:tabs>
        <w:spacing w:before="120" w:after="120"/>
        <w:ind w:left="648"/>
        <w:rPr>
          <w:bCs/>
        </w:rPr>
      </w:pPr>
      <w:bookmarkStart w:id="23" w:name="_Toc362270230"/>
      <w:r>
        <w:rPr>
          <w:bCs/>
        </w:rPr>
        <w:lastRenderedPageBreak/>
        <w:t>Aspects techniques</w:t>
      </w:r>
      <w:bookmarkEnd w:id="23"/>
    </w:p>
    <w:p w:rsidR="00AD3B85" w:rsidRPr="00857EF9" w:rsidRDefault="00CE0774" w:rsidP="00B563F2">
      <w:pPr>
        <w:pStyle w:val="ListParagraph"/>
        <w:numPr>
          <w:ilvl w:val="0"/>
          <w:numId w:val="25"/>
        </w:numPr>
        <w:tabs>
          <w:tab w:val="num" w:pos="648"/>
          <w:tab w:val="num" w:pos="720"/>
        </w:tabs>
        <w:spacing w:after="120"/>
        <w:ind w:left="187"/>
        <w:contextualSpacing w:val="0"/>
        <w:jc w:val="both"/>
        <w:rPr>
          <w:lang w:val="fr-FR"/>
        </w:rPr>
      </w:pPr>
      <w:r w:rsidRPr="00857EF9">
        <w:rPr>
          <w:lang w:val="fr-FR"/>
        </w:rPr>
        <w:t>Le projet s'appuie sur les expériences acquises au cours de la préparation du projet et sur les meilleures pratiques émanant de projets comparables et d'études sur des projets exécutés ailleurs. La préparation du projet a été assurée avec l'aide de spécialistes issus du gouvernement d'Haïti et du secteur privé, de la BM et de l'IFC. Tous ont participé à la conception des activités en s'inspirant de projets précédents d'amélioration du climat des affaires, de promotion de l'investissement et de services de développement des entreprises.</w:t>
      </w:r>
    </w:p>
    <w:p w:rsidR="00B71C8D" w:rsidRPr="00A7289C" w:rsidRDefault="00B71C8D" w:rsidP="00AB6A75">
      <w:pPr>
        <w:pStyle w:val="PDSHeading2"/>
        <w:tabs>
          <w:tab w:val="clear" w:pos="360"/>
        </w:tabs>
        <w:spacing w:after="120"/>
        <w:ind w:left="648"/>
        <w:rPr>
          <w:bCs/>
        </w:rPr>
      </w:pPr>
      <w:bookmarkStart w:id="24" w:name="_Toc362270231"/>
      <w:proofErr w:type="spellStart"/>
      <w:r>
        <w:rPr>
          <w:bCs/>
        </w:rPr>
        <w:t>Gestion</w:t>
      </w:r>
      <w:proofErr w:type="spellEnd"/>
      <w:r>
        <w:rPr>
          <w:bCs/>
        </w:rPr>
        <w:t xml:space="preserve"> </w:t>
      </w:r>
      <w:proofErr w:type="spellStart"/>
      <w:r>
        <w:rPr>
          <w:bCs/>
        </w:rPr>
        <w:t>financière</w:t>
      </w:r>
      <w:bookmarkEnd w:id="24"/>
      <w:proofErr w:type="spellEnd"/>
    </w:p>
    <w:p w:rsidR="00AD3B85" w:rsidRPr="00857EF9" w:rsidRDefault="00A3362B" w:rsidP="00B563F2">
      <w:pPr>
        <w:pStyle w:val="ListParagraph"/>
        <w:numPr>
          <w:ilvl w:val="0"/>
          <w:numId w:val="25"/>
        </w:numPr>
        <w:tabs>
          <w:tab w:val="num" w:pos="648"/>
          <w:tab w:val="num" w:pos="720"/>
        </w:tabs>
        <w:spacing w:after="120"/>
        <w:contextualSpacing w:val="0"/>
        <w:jc w:val="both"/>
        <w:rPr>
          <w:lang w:val="fr-FR"/>
        </w:rPr>
      </w:pPr>
      <w:r w:rsidRPr="00857EF9">
        <w:rPr>
          <w:lang w:val="fr-FR"/>
        </w:rPr>
        <w:t>L'UCP administre un autre projet de la Banque, le Projet de relèvement d’urgence des infrastructures et des institutions</w:t>
      </w:r>
      <w:r w:rsidR="00B10C78" w:rsidRPr="00A7289C">
        <w:rPr>
          <w:rStyle w:val="FootnoteReference"/>
        </w:rPr>
        <w:footnoteReference w:id="37"/>
      </w:r>
      <w:r w:rsidRPr="00857EF9">
        <w:rPr>
          <w:lang w:val="fr-FR"/>
        </w:rPr>
        <w:t>, sous la supervision régulière du département de gestion financière (GF) de la Banque. L'unité a mis en place des dispositions de gestion financière acceptables en vue d'endosser la responsabilité fiduciaire du projet</w:t>
      </w:r>
      <w:r w:rsidR="00E01433" w:rsidRPr="00857EF9">
        <w:rPr>
          <w:lang w:val="fr-FR"/>
        </w:rPr>
        <w:t xml:space="preserve">. </w:t>
      </w:r>
      <w:r w:rsidRPr="00857EF9">
        <w:rPr>
          <w:lang w:val="fr-FR"/>
        </w:rPr>
        <w:t xml:space="preserve">L'IDA renforcera les capacités de l'UCP pour l'aider à prendre en charge ce projet, et continuera à superviser la performance fiduciaire de l'UCP en vérifiant qu'elle suit l'expansion de ses activités. Les SDE constituant une nouvelle activité pour l'UCP, le personnel de l'UCP suivra une formation spécifique sur les pratiques de gestion financière relatives aux subventions de contrepartie. L'UCP contribuera à l'établissement des capacités fiduciaires du MCI, et les capacités de gestion financière de ce dernier feront l'objet d'une évaluation avant le transfert de la responsabilité fiduciaire. Les risques du projet en matière de gestion financière sont jugés « substantiels ». </w:t>
      </w:r>
    </w:p>
    <w:p w:rsidR="00B71C8D" w:rsidRPr="00A7289C" w:rsidRDefault="00B71C8D" w:rsidP="004E7A7F">
      <w:pPr>
        <w:pStyle w:val="PDSHeading2"/>
        <w:tabs>
          <w:tab w:val="clear" w:pos="360"/>
        </w:tabs>
        <w:spacing w:after="120"/>
        <w:ind w:left="648"/>
        <w:rPr>
          <w:bCs/>
        </w:rPr>
      </w:pPr>
      <w:bookmarkStart w:id="25" w:name="_Toc362270232"/>
      <w:proofErr w:type="spellStart"/>
      <w:r>
        <w:rPr>
          <w:bCs/>
        </w:rPr>
        <w:t>Passation</w:t>
      </w:r>
      <w:proofErr w:type="spellEnd"/>
      <w:r>
        <w:rPr>
          <w:bCs/>
        </w:rPr>
        <w:t xml:space="preserve"> des </w:t>
      </w:r>
      <w:proofErr w:type="spellStart"/>
      <w:r>
        <w:rPr>
          <w:bCs/>
        </w:rPr>
        <w:t>marchés</w:t>
      </w:r>
      <w:bookmarkEnd w:id="25"/>
      <w:proofErr w:type="spellEnd"/>
    </w:p>
    <w:p w:rsidR="006A15DA" w:rsidRPr="00857EF9" w:rsidRDefault="006A15DA" w:rsidP="00B563F2">
      <w:pPr>
        <w:pStyle w:val="ListParagraph"/>
        <w:numPr>
          <w:ilvl w:val="0"/>
          <w:numId w:val="25"/>
        </w:numPr>
        <w:tabs>
          <w:tab w:val="num" w:pos="648"/>
          <w:tab w:val="num" w:pos="720"/>
        </w:tabs>
        <w:spacing w:after="120"/>
        <w:contextualSpacing w:val="0"/>
        <w:jc w:val="both"/>
        <w:rPr>
          <w:lang w:val="fr-FR"/>
        </w:rPr>
      </w:pPr>
      <w:r w:rsidRPr="00857EF9">
        <w:rPr>
          <w:lang w:val="fr-FR"/>
        </w:rPr>
        <w:t>L'UCP fait l'objet d'une supervision régulière de la part de l'équipe de passation des marchés de la Banque et a mis en place des dispositions d'approvisionnement conformes aux règles du GBM. De plus, son manuel opérationnel vient d'être actualisé en coordination avec le GBM. Ce manuel sera utile aussi à ce projet. Il suffira d'y ajouter une annexe décrivant les dispositions institutionnelles spécifiques du projet, notamment le transfert prévu de la responsabilité fiduciaire au MCI. Une formation spécifique en matière de pratiques de passation des marchés pour les opérations de subventions de contrepartie sera dispensée au personnel de l'UCP/MCI en coordination avec la BID.</w:t>
      </w:r>
    </w:p>
    <w:p w:rsidR="00B71C8D" w:rsidRPr="00857EF9" w:rsidRDefault="00B71C8D" w:rsidP="00B563F2">
      <w:pPr>
        <w:pStyle w:val="ListParagraph"/>
        <w:numPr>
          <w:ilvl w:val="0"/>
          <w:numId w:val="25"/>
        </w:numPr>
        <w:tabs>
          <w:tab w:val="num" w:pos="648"/>
          <w:tab w:val="num" w:pos="720"/>
        </w:tabs>
        <w:spacing w:after="120"/>
        <w:contextualSpacing w:val="0"/>
        <w:jc w:val="both"/>
        <w:rPr>
          <w:lang w:val="fr-FR"/>
        </w:rPr>
      </w:pPr>
      <w:r w:rsidRPr="00857EF9">
        <w:rPr>
          <w:lang w:val="fr-FR"/>
        </w:rPr>
        <w:t>Toutefois, le système global de passation des marchés publics reste assez faible en Haïti</w:t>
      </w:r>
      <w:r w:rsidR="00E01433" w:rsidRPr="00857EF9">
        <w:rPr>
          <w:lang w:val="fr-FR"/>
        </w:rPr>
        <w:t xml:space="preserve">. </w:t>
      </w:r>
      <w:r w:rsidRPr="00857EF9">
        <w:rPr>
          <w:lang w:val="fr-FR"/>
        </w:rPr>
        <w:t xml:space="preserve">Malgré quelques réformes du cadre légal et institutionnel de la passation des marchés </w:t>
      </w:r>
      <w:proofErr w:type="gramStart"/>
      <w:r w:rsidRPr="00857EF9">
        <w:rPr>
          <w:lang w:val="fr-FR"/>
        </w:rPr>
        <w:t>adoptées</w:t>
      </w:r>
      <w:proofErr w:type="gramEnd"/>
      <w:r w:rsidRPr="00857EF9">
        <w:rPr>
          <w:lang w:val="fr-FR"/>
        </w:rPr>
        <w:t xml:space="preserve"> avant le tremblement de terre, les capacités humaines et physiques limitées ont retardé l'adoption de pratiques améliorées dans la plupart des organismes publics. Les risques du projet en matière de passation des marchés sont jugés « substantiels ».</w:t>
      </w:r>
    </w:p>
    <w:p w:rsidR="004C6CEA" w:rsidRPr="00857EF9" w:rsidRDefault="004C6CEA" w:rsidP="00333069">
      <w:pPr>
        <w:pStyle w:val="PDSHeading2"/>
        <w:tabs>
          <w:tab w:val="clear" w:pos="360"/>
        </w:tabs>
        <w:spacing w:after="120"/>
        <w:ind w:left="648"/>
        <w:rPr>
          <w:bCs/>
          <w:lang w:val="fr-FR"/>
        </w:rPr>
      </w:pPr>
      <w:bookmarkStart w:id="26" w:name="_Toc362270233"/>
      <w:r w:rsidRPr="00857EF9">
        <w:rPr>
          <w:bCs/>
          <w:lang w:val="fr-FR"/>
        </w:rPr>
        <w:t>Aspects sociaux (y compris mesures de sauvegarde)</w:t>
      </w:r>
      <w:bookmarkEnd w:id="26"/>
    </w:p>
    <w:p w:rsidR="004C6CEA" w:rsidRPr="00857EF9" w:rsidRDefault="004C6CEA" w:rsidP="00B563F2">
      <w:pPr>
        <w:pStyle w:val="ListParagraph"/>
        <w:numPr>
          <w:ilvl w:val="0"/>
          <w:numId w:val="25"/>
        </w:numPr>
        <w:tabs>
          <w:tab w:val="num" w:pos="648"/>
          <w:tab w:val="num" w:pos="720"/>
        </w:tabs>
        <w:spacing w:after="120"/>
        <w:contextualSpacing w:val="0"/>
        <w:jc w:val="both"/>
        <w:rPr>
          <w:lang w:val="fr-FR"/>
        </w:rPr>
      </w:pPr>
      <w:r w:rsidRPr="00857EF9">
        <w:rPr>
          <w:lang w:val="fr-FR"/>
        </w:rPr>
        <w:t>Les activités du projet touchant à la réforme du climat des affaires, à la promotion de l'investissement et aux services de développement des entreprises sont destinées à stimuler la création d'emplois durables dans le secteur privé</w:t>
      </w:r>
      <w:r w:rsidR="00E01433" w:rsidRPr="00857EF9">
        <w:rPr>
          <w:lang w:val="fr-FR"/>
        </w:rPr>
        <w:t xml:space="preserve">. </w:t>
      </w:r>
      <w:r w:rsidRPr="00857EF9">
        <w:rPr>
          <w:lang w:val="fr-FR"/>
        </w:rPr>
        <w:t xml:space="preserve">Les investissements espérés dans une ou plusieurs ZEI contribueront aussi à créer des emplois à moyen et long terme. Les activités des </w:t>
      </w:r>
      <w:r w:rsidRPr="00857EF9">
        <w:rPr>
          <w:lang w:val="fr-FR"/>
        </w:rPr>
        <w:lastRenderedPageBreak/>
        <w:t>SDE sont conçues dans une optique d'inclusion sociale et au profit des groupes de population les plus vulnérables</w:t>
      </w:r>
      <w:r w:rsidR="00E01433" w:rsidRPr="00857EF9">
        <w:rPr>
          <w:lang w:val="fr-FR"/>
        </w:rPr>
        <w:t xml:space="preserve">. </w:t>
      </w:r>
      <w:r w:rsidRPr="00857EF9">
        <w:rPr>
          <w:lang w:val="fr-FR"/>
        </w:rPr>
        <w:t>Les femmes travaillent pour la plupart dans le secteur informel, dans des activités agricoles ou commerciales à faible rendement. Une analyse sociale axée sur le genre sera entreprise pour s'assurer que le projet touche les femmes et les groupes vulnérables, qu'il lève les obstacles au développement des affaires qui sont liés au genre et qu'il génère des emplois inclusifs et des chances égales.</w:t>
      </w:r>
    </w:p>
    <w:p w:rsidR="004C6CEA" w:rsidRPr="00857EF9" w:rsidRDefault="00664782" w:rsidP="00B563F2">
      <w:pPr>
        <w:pStyle w:val="ListParagraph"/>
        <w:numPr>
          <w:ilvl w:val="0"/>
          <w:numId w:val="25"/>
        </w:numPr>
        <w:tabs>
          <w:tab w:val="num" w:pos="648"/>
          <w:tab w:val="num" w:pos="720"/>
        </w:tabs>
        <w:spacing w:after="120"/>
        <w:contextualSpacing w:val="0"/>
        <w:jc w:val="both"/>
        <w:rPr>
          <w:lang w:val="fr-FR"/>
        </w:rPr>
      </w:pPr>
      <w:r w:rsidRPr="00857EF9">
        <w:rPr>
          <w:lang w:val="fr-FR"/>
        </w:rPr>
        <w:t>Même si le projet n'est pas destiné à financer des investissements dans les ZEI, la création d'une ZEI basée sur les études de faisabilité appuyées par le projet impliquera peut-être l'acquisition de terres, le recours à l'expropriation et d'autres mesures couvertes par la Politique opérationnelle de réinstallation involontaire (</w:t>
      </w:r>
      <w:r w:rsidR="00040DBD" w:rsidRPr="00857EF9">
        <w:rPr>
          <w:lang w:val="fr-FR"/>
        </w:rPr>
        <w:t>OP </w:t>
      </w:r>
      <w:r w:rsidRPr="00857EF9">
        <w:rPr>
          <w:lang w:val="fr-FR"/>
        </w:rPr>
        <w:t>4.12) susceptibles d'avoir un impact sur les populations environnantes</w:t>
      </w:r>
      <w:r w:rsidR="00E01433" w:rsidRPr="00857EF9">
        <w:rPr>
          <w:lang w:val="fr-FR"/>
        </w:rPr>
        <w:t xml:space="preserve">. </w:t>
      </w:r>
      <w:r w:rsidRPr="00857EF9">
        <w:rPr>
          <w:lang w:val="fr-FR"/>
        </w:rPr>
        <w:t>La politique OP 4.12 a été déclenchée pour garantir que les études de faisabilité technique des ZEI tiennent compte du contexte social, de la situation des droits fonciers et de l'occupation des sols, mais aussi des besoins d'acquisition de terres et des autres risques en rapport avec la question foncière</w:t>
      </w:r>
      <w:r w:rsidRPr="00A7289C">
        <w:rPr>
          <w:rStyle w:val="FootnoteReference"/>
        </w:rPr>
        <w:footnoteReference w:id="38"/>
      </w:r>
      <w:r w:rsidR="00E01433" w:rsidRPr="00857EF9">
        <w:rPr>
          <w:lang w:val="fr-FR"/>
        </w:rPr>
        <w:t xml:space="preserve">. </w:t>
      </w:r>
      <w:r w:rsidRPr="00857EF9">
        <w:rPr>
          <w:lang w:val="fr-FR"/>
        </w:rPr>
        <w:t>La Politique opérationnelle sur les peuples autochtones (</w:t>
      </w:r>
      <w:r w:rsidR="00040DBD" w:rsidRPr="00857EF9">
        <w:rPr>
          <w:lang w:val="fr-FR"/>
        </w:rPr>
        <w:t>OP </w:t>
      </w:r>
      <w:r w:rsidRPr="00857EF9">
        <w:rPr>
          <w:lang w:val="fr-FR"/>
        </w:rPr>
        <w:t>4.10) n'a pas été déclenchée puisqu'il n'existe pas de peuples indigènes en Haïti correspondant à la définition de la police.</w:t>
      </w:r>
    </w:p>
    <w:p w:rsidR="00B71C8D" w:rsidRPr="00857EF9" w:rsidRDefault="00F54ABD" w:rsidP="00F54ABD">
      <w:pPr>
        <w:pStyle w:val="PDSHeading2"/>
        <w:tabs>
          <w:tab w:val="clear" w:pos="360"/>
        </w:tabs>
        <w:spacing w:after="120"/>
        <w:ind w:left="648"/>
        <w:rPr>
          <w:bCs/>
          <w:lang w:val="fr-FR"/>
        </w:rPr>
      </w:pPr>
      <w:r w:rsidRPr="00857EF9">
        <w:rPr>
          <w:bCs/>
          <w:lang w:val="fr-FR"/>
        </w:rPr>
        <w:t xml:space="preserve">    </w:t>
      </w:r>
      <w:bookmarkStart w:id="27" w:name="_Toc362270234"/>
      <w:r w:rsidRPr="00857EF9">
        <w:rPr>
          <w:bCs/>
          <w:lang w:val="fr-FR"/>
        </w:rPr>
        <w:t>Aspects environnementaux (y compris principes de sauvegarde)</w:t>
      </w:r>
      <w:bookmarkEnd w:id="27"/>
    </w:p>
    <w:p w:rsidR="00113620" w:rsidRPr="00873BDB" w:rsidRDefault="00113620" w:rsidP="00113620">
      <w:pPr>
        <w:pStyle w:val="ListParagraph"/>
        <w:numPr>
          <w:ilvl w:val="0"/>
          <w:numId w:val="25"/>
        </w:numPr>
        <w:tabs>
          <w:tab w:val="num" w:pos="648"/>
          <w:tab w:val="num" w:pos="720"/>
        </w:tabs>
        <w:spacing w:after="120"/>
        <w:contextualSpacing w:val="0"/>
        <w:jc w:val="both"/>
        <w:rPr>
          <w:lang w:val="fr-FR"/>
        </w:rPr>
      </w:pPr>
      <w:r>
        <w:rPr>
          <w:lang w:val="fr-FR"/>
        </w:rPr>
        <w:t xml:space="preserve">Le projet est classé comme à risque environnemental dans la Catégorie B. Cette catégorie de risque est assignée avec la compréhension que le projet ne financera pas l’implémentation des </w:t>
      </w:r>
      <w:proofErr w:type="spellStart"/>
      <w:r>
        <w:rPr>
          <w:lang w:val="fr-FR"/>
        </w:rPr>
        <w:t>ZEIs</w:t>
      </w:r>
      <w:proofErr w:type="spellEnd"/>
      <w:r>
        <w:rPr>
          <w:lang w:val="fr-FR"/>
        </w:rPr>
        <w:t xml:space="preserve"> et que les activités financées avec le support des subventions de contrepartie n’impliqueront pas des travaux avec des impacts environnementaux significatifs</w:t>
      </w:r>
      <w:proofErr w:type="gramStart"/>
      <w:r>
        <w:rPr>
          <w:lang w:val="fr-FR"/>
        </w:rPr>
        <w:t>.</w:t>
      </w:r>
      <w:r w:rsidRPr="00873BDB">
        <w:rPr>
          <w:lang w:val="fr-FR"/>
        </w:rPr>
        <w:t>.</w:t>
      </w:r>
      <w:proofErr w:type="gramEnd"/>
      <w:r w:rsidRPr="00873BDB">
        <w:rPr>
          <w:lang w:val="fr-FR"/>
        </w:rPr>
        <w:t xml:space="preserve"> Le projet appuiera néanmoins une analyse environnementale et sociale dans le cadre des études de faisabilité des ZEI potentielles.</w:t>
      </w:r>
    </w:p>
    <w:p w:rsidR="00C66D3F" w:rsidRPr="00857EF9" w:rsidRDefault="00830C6E" w:rsidP="00B563F2">
      <w:pPr>
        <w:pStyle w:val="ListParagraph"/>
        <w:numPr>
          <w:ilvl w:val="0"/>
          <w:numId w:val="25"/>
        </w:numPr>
        <w:tabs>
          <w:tab w:val="num" w:pos="648"/>
          <w:tab w:val="num" w:pos="720"/>
        </w:tabs>
        <w:spacing w:after="120"/>
        <w:contextualSpacing w:val="0"/>
        <w:jc w:val="both"/>
        <w:rPr>
          <w:lang w:val="fr-FR"/>
        </w:rPr>
      </w:pPr>
      <w:r w:rsidRPr="00857EF9">
        <w:rPr>
          <w:lang w:val="fr-FR"/>
        </w:rPr>
        <w:t xml:space="preserve">La politique d'évaluation environnementale (OP/BP 4.01) est déclenchée pour plusieurs raisons : (i) l'obligation d'inclure des critères environnementaux et sociaux dans les améliorations du cadre légal, réglementaire et institutionnel proposées pour les ZEI au titre de la première composante ; (ii) l'obligation d'effectuer des évaluations environnementales et sociales dans le cadre des études de faisabilité liées aux propositions de sites ZEI au titre de la première composante ; et (iii) l'éventualité d'impacts environnementaux négatifs liés aux subventions de contrepartie au titre de la deuxième composante. D'autres mesures de sauvegarde sont déclenchées : </w:t>
      </w:r>
      <w:r w:rsidR="00040DBD" w:rsidRPr="00857EF9">
        <w:rPr>
          <w:lang w:val="fr-FR"/>
        </w:rPr>
        <w:t>OP </w:t>
      </w:r>
      <w:r w:rsidRPr="00857EF9">
        <w:rPr>
          <w:lang w:val="fr-FR"/>
        </w:rPr>
        <w:t xml:space="preserve">4.04 (Habitats naturels), </w:t>
      </w:r>
      <w:r w:rsidR="00040DBD" w:rsidRPr="00857EF9">
        <w:rPr>
          <w:lang w:val="fr-FR"/>
        </w:rPr>
        <w:t>OP </w:t>
      </w:r>
      <w:r w:rsidRPr="00857EF9">
        <w:rPr>
          <w:lang w:val="fr-FR"/>
        </w:rPr>
        <w:t xml:space="preserve">4.09 (Lutte contre les ennemis des cultures), </w:t>
      </w:r>
      <w:r w:rsidR="00040DBD" w:rsidRPr="00857EF9">
        <w:rPr>
          <w:lang w:val="fr-FR"/>
        </w:rPr>
        <w:t>OP </w:t>
      </w:r>
      <w:r w:rsidRPr="00857EF9">
        <w:rPr>
          <w:lang w:val="fr-FR"/>
        </w:rPr>
        <w:t xml:space="preserve">4.36 (Forêts) et </w:t>
      </w:r>
      <w:r w:rsidR="00040DBD" w:rsidRPr="00857EF9">
        <w:rPr>
          <w:lang w:val="fr-FR"/>
        </w:rPr>
        <w:t>OP </w:t>
      </w:r>
      <w:r w:rsidRPr="00857EF9">
        <w:rPr>
          <w:lang w:val="fr-FR"/>
        </w:rPr>
        <w:t xml:space="preserve">4.11 (Ressources culturelles physiques). </w:t>
      </w:r>
    </w:p>
    <w:p w:rsidR="003F69D3" w:rsidRPr="00A7289C" w:rsidRDefault="00040DBD" w:rsidP="00B563F2">
      <w:pPr>
        <w:pStyle w:val="ListParagraph"/>
        <w:numPr>
          <w:ilvl w:val="0"/>
          <w:numId w:val="25"/>
        </w:numPr>
        <w:tabs>
          <w:tab w:val="num" w:pos="648"/>
          <w:tab w:val="num" w:pos="720"/>
        </w:tabs>
        <w:spacing w:after="120"/>
        <w:contextualSpacing w:val="0"/>
        <w:jc w:val="both"/>
      </w:pPr>
      <w:r w:rsidRPr="00857EF9">
        <w:rPr>
          <w:lang w:val="fr-FR"/>
        </w:rPr>
        <w:t>S'agissant des instruments de sauvegarde, un CGES préparé par l'UTE après des consultations nationales a été rendu public le 11 avril 2013. Le cadre de gestion environnementale et sociale traite d'un grand nombre de sous-projets qui doivent encore être détaillés, en particulier dans la composante 2 ; ce sont, entre autres, des activités de petite construction ou de réhabilitation de magasins ou d'autres lieux de travail, des équipements et des programmes de formation.</w:t>
      </w:r>
      <w:r w:rsidR="00830C6E" w:rsidRPr="00857EF9">
        <w:rPr>
          <w:lang w:val="fr-FR"/>
        </w:rPr>
        <w:t xml:space="preserve"> </w:t>
      </w:r>
      <w:r w:rsidR="00830C6E">
        <w:t xml:space="preserve">Le CGES </w:t>
      </w:r>
      <w:proofErr w:type="spellStart"/>
      <w:r w:rsidR="00830C6E">
        <w:t>contient</w:t>
      </w:r>
      <w:proofErr w:type="spellEnd"/>
      <w:r w:rsidR="00830C6E">
        <w:t xml:space="preserve"> un </w:t>
      </w:r>
      <w:proofErr w:type="spellStart"/>
      <w:r w:rsidR="00830C6E">
        <w:t>autre</w:t>
      </w:r>
      <w:proofErr w:type="spellEnd"/>
      <w:r w:rsidR="00830C6E">
        <w:t xml:space="preserve"> </w:t>
      </w:r>
      <w:proofErr w:type="spellStart"/>
      <w:r w:rsidR="00830C6E">
        <w:t>outil</w:t>
      </w:r>
      <w:proofErr w:type="spellEnd"/>
      <w:r w:rsidR="00830C6E">
        <w:t xml:space="preserve"> </w:t>
      </w:r>
      <w:proofErr w:type="spellStart"/>
      <w:r w:rsidR="00830C6E">
        <w:t>d'évaluation</w:t>
      </w:r>
      <w:proofErr w:type="spellEnd"/>
      <w:r w:rsidR="00830C6E">
        <w:t xml:space="preserve"> des MPME</w:t>
      </w:r>
      <w:r w:rsidR="00903F4E" w:rsidRPr="00A7289C">
        <w:rPr>
          <w:rStyle w:val="FootnoteReference"/>
        </w:rPr>
        <w:footnoteReference w:id="39"/>
      </w:r>
      <w:r w:rsidR="00830C6E">
        <w:t xml:space="preserve">. </w:t>
      </w:r>
    </w:p>
    <w:p w:rsidR="00A71D65" w:rsidRPr="00857EF9" w:rsidRDefault="00903F4E" w:rsidP="00B563F2">
      <w:pPr>
        <w:pStyle w:val="ListParagraph"/>
        <w:numPr>
          <w:ilvl w:val="0"/>
          <w:numId w:val="25"/>
        </w:numPr>
        <w:tabs>
          <w:tab w:val="num" w:pos="648"/>
          <w:tab w:val="num" w:pos="720"/>
        </w:tabs>
        <w:spacing w:after="120"/>
        <w:contextualSpacing w:val="0"/>
        <w:jc w:val="both"/>
        <w:rPr>
          <w:lang w:val="fr-FR"/>
        </w:rPr>
      </w:pPr>
      <w:r w:rsidRPr="00857EF9">
        <w:rPr>
          <w:lang w:val="fr-FR"/>
        </w:rPr>
        <w:lastRenderedPageBreak/>
        <w:t xml:space="preserve">Au départ, ce sera l'UCP qui sera responsable des initiatives de sauvegarde du projet, jusqu'à ce que cette responsabilité soit transférée au MCI. Puisque les risques environnementaux du projet sont faibles, un spécialiste de l'environnement travaillera à temps partiel pour vérifier la conformité aux dispositions de sauvegarde ; il s'assurera que les MPME sont correctement évaluées et que les éventuels impacts négatifs des petits travaux sur l'environnement sont suivis, atténués (si possible) et supervisés. </w:t>
      </w:r>
    </w:p>
    <w:p w:rsidR="00B71C8D" w:rsidRPr="00A7289C" w:rsidRDefault="00B71C8D" w:rsidP="00903F4E">
      <w:pPr>
        <w:pStyle w:val="PDSHeading2"/>
        <w:tabs>
          <w:tab w:val="clear" w:pos="360"/>
        </w:tabs>
        <w:spacing w:after="120"/>
        <w:ind w:left="648"/>
        <w:rPr>
          <w:bCs/>
        </w:rPr>
      </w:pPr>
      <w:bookmarkStart w:id="28" w:name="_Toc362270235"/>
      <w:proofErr w:type="spellStart"/>
      <w:r>
        <w:rPr>
          <w:bCs/>
        </w:rPr>
        <w:t>Autres</w:t>
      </w:r>
      <w:proofErr w:type="spellEnd"/>
      <w:r>
        <w:rPr>
          <w:bCs/>
        </w:rPr>
        <w:t xml:space="preserve"> </w:t>
      </w:r>
      <w:proofErr w:type="spellStart"/>
      <w:r>
        <w:rPr>
          <w:bCs/>
        </w:rPr>
        <w:t>politiques</w:t>
      </w:r>
      <w:proofErr w:type="spellEnd"/>
      <w:r>
        <w:rPr>
          <w:bCs/>
        </w:rPr>
        <w:t xml:space="preserve"> </w:t>
      </w:r>
      <w:proofErr w:type="spellStart"/>
      <w:r>
        <w:rPr>
          <w:bCs/>
        </w:rPr>
        <w:t>opérationnelles</w:t>
      </w:r>
      <w:proofErr w:type="spellEnd"/>
      <w:r>
        <w:rPr>
          <w:bCs/>
        </w:rPr>
        <w:t xml:space="preserve"> </w:t>
      </w:r>
      <w:proofErr w:type="spellStart"/>
      <w:r>
        <w:rPr>
          <w:bCs/>
        </w:rPr>
        <w:t>déclenchées</w:t>
      </w:r>
      <w:bookmarkEnd w:id="28"/>
      <w:proofErr w:type="spellEnd"/>
      <w:r>
        <w:rPr>
          <w:bCs/>
        </w:rPr>
        <w:t xml:space="preserve"> </w:t>
      </w:r>
    </w:p>
    <w:p w:rsidR="00FD4F0A" w:rsidRPr="00A7289C" w:rsidRDefault="00976A10" w:rsidP="00FD4F0A">
      <w:proofErr w:type="spellStart"/>
      <w:r>
        <w:t>Aucune</w:t>
      </w:r>
      <w:proofErr w:type="spellEnd"/>
    </w:p>
    <w:p w:rsidR="00873364" w:rsidRPr="00A7289C" w:rsidRDefault="00873364" w:rsidP="003C3179">
      <w:pPr>
        <w:sectPr w:rsidR="00873364" w:rsidRPr="00A7289C" w:rsidSect="00F04CA6">
          <w:headerReference w:type="even" r:id="rId17"/>
          <w:headerReference w:type="default" r:id="rId18"/>
          <w:footerReference w:type="default" r:id="rId19"/>
          <w:headerReference w:type="first" r:id="rId20"/>
          <w:pgSz w:w="12240" w:h="15840" w:code="1"/>
          <w:pgMar w:top="1440" w:right="1440" w:bottom="1440" w:left="1440" w:header="720" w:footer="720" w:gutter="0"/>
          <w:pgNumType w:start="1"/>
          <w:cols w:space="720"/>
          <w:docGrid w:linePitch="360"/>
        </w:sectPr>
      </w:pPr>
    </w:p>
    <w:tbl>
      <w:tblPr>
        <w:tblW w:w="14052"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681"/>
        <w:gridCol w:w="704"/>
        <w:gridCol w:w="1403"/>
        <w:gridCol w:w="1124"/>
        <w:gridCol w:w="985"/>
        <w:gridCol w:w="985"/>
        <w:gridCol w:w="985"/>
        <w:gridCol w:w="985"/>
        <w:gridCol w:w="985"/>
        <w:gridCol w:w="1265"/>
        <w:gridCol w:w="1264"/>
        <w:gridCol w:w="1686"/>
      </w:tblGrid>
      <w:tr w:rsidR="00CA329D" w:rsidRPr="00857EF9" w:rsidTr="00B12909">
        <w:trPr>
          <w:trHeight w:val="144"/>
        </w:trPr>
        <w:tc>
          <w:tcPr>
            <w:tcW w:w="14052" w:type="dxa"/>
            <w:gridSpan w:val="12"/>
            <w:tcBorders>
              <w:top w:val="nil"/>
              <w:left w:val="nil"/>
              <w:bottom w:val="nil"/>
              <w:right w:val="nil"/>
            </w:tcBorders>
            <w:shd w:val="clear" w:color="auto" w:fill="FFFFFF"/>
            <w:tcMar>
              <w:top w:w="50" w:type="dxa"/>
              <w:left w:w="50" w:type="dxa"/>
              <w:bottom w:w="50" w:type="dxa"/>
              <w:right w:w="50" w:type="dxa"/>
            </w:tcMar>
            <w:vAlign w:val="center"/>
          </w:tcPr>
          <w:p w:rsidR="00CA329D" w:rsidRPr="00857EF9" w:rsidRDefault="00CA329D" w:rsidP="00B12909">
            <w:pPr>
              <w:pStyle w:val="PDSAnnexHeading"/>
              <w:spacing w:after="0"/>
              <w:rPr>
                <w:sz w:val="20"/>
                <w:lang w:val="fr-FR"/>
              </w:rPr>
            </w:pPr>
            <w:bookmarkStart w:id="29" w:name="_Toc362270236"/>
            <w:r w:rsidRPr="00857EF9">
              <w:rPr>
                <w:lang w:val="fr-FR"/>
              </w:rPr>
              <w:lastRenderedPageBreak/>
              <w:t>Annexe 1 : Structure et suivi des résultats</w:t>
            </w:r>
            <w:bookmarkEnd w:id="29"/>
          </w:p>
        </w:tc>
      </w:tr>
      <w:tr w:rsidR="00CA329D" w:rsidRPr="00857EF9" w:rsidTr="00E02247">
        <w:tc>
          <w:tcPr>
            <w:tcW w:w="14052" w:type="dxa"/>
            <w:gridSpan w:val="12"/>
            <w:tcBorders>
              <w:top w:val="nil"/>
              <w:left w:val="nil"/>
              <w:bottom w:val="nil"/>
              <w:right w:val="nil"/>
            </w:tcBorders>
            <w:shd w:val="clear" w:color="auto" w:fill="FFFFFF"/>
            <w:tcMar>
              <w:top w:w="50" w:type="dxa"/>
              <w:left w:w="50" w:type="dxa"/>
              <w:bottom w:w="50" w:type="dxa"/>
              <w:right w:w="50" w:type="dxa"/>
            </w:tcMar>
            <w:vAlign w:val="center"/>
          </w:tcPr>
          <w:p w:rsidR="00CA329D" w:rsidRPr="00857EF9" w:rsidRDefault="007471E9" w:rsidP="00E01433">
            <w:pPr>
              <w:jc w:val="center"/>
              <w:rPr>
                <w:sz w:val="20"/>
                <w:szCs w:val="20"/>
                <w:lang w:val="fr-FR"/>
              </w:rPr>
            </w:pPr>
            <w:r w:rsidRPr="00857EF9">
              <w:rPr>
                <w:b/>
                <w:bCs/>
                <w:sz w:val="20"/>
                <w:szCs w:val="20"/>
                <w:lang w:val="fr-FR"/>
              </w:rPr>
              <w:t>Haïti</w:t>
            </w:r>
            <w:r w:rsidR="00E01433" w:rsidRPr="00857EF9">
              <w:rPr>
                <w:b/>
                <w:bCs/>
                <w:sz w:val="20"/>
                <w:szCs w:val="20"/>
                <w:lang w:val="fr-FR"/>
              </w:rPr>
              <w:t> :</w:t>
            </w:r>
            <w:r w:rsidRPr="00857EF9">
              <w:rPr>
                <w:b/>
                <w:bCs/>
                <w:sz w:val="20"/>
                <w:szCs w:val="20"/>
                <w:lang w:val="fr-FR"/>
              </w:rPr>
              <w:t xml:space="preserve"> Projet de développement des entreprises et des investissements (P123974)</w:t>
            </w:r>
          </w:p>
        </w:tc>
      </w:tr>
      <w:tr w:rsidR="00CA329D" w:rsidRPr="00113620" w:rsidTr="00E02247">
        <w:tc>
          <w:tcPr>
            <w:tcW w:w="14052" w:type="dxa"/>
            <w:gridSpan w:val="12"/>
            <w:tcBorders>
              <w:top w:val="nil"/>
              <w:left w:val="nil"/>
              <w:bottom w:val="nil"/>
              <w:right w:val="nil"/>
            </w:tcBorders>
            <w:shd w:val="clear" w:color="auto" w:fill="FFFFFF"/>
            <w:tcMar>
              <w:top w:w="50" w:type="dxa"/>
              <w:left w:w="50" w:type="dxa"/>
              <w:bottom w:w="50" w:type="dxa"/>
              <w:right w:w="50" w:type="dxa"/>
            </w:tcMar>
            <w:vAlign w:val="center"/>
          </w:tcPr>
          <w:p w:rsidR="006725BA" w:rsidRPr="00857EF9" w:rsidRDefault="00CA329D" w:rsidP="00B12909">
            <w:pPr>
              <w:jc w:val="center"/>
              <w:rPr>
                <w:sz w:val="20"/>
                <w:szCs w:val="20"/>
                <w:lang w:val="fr-FR"/>
              </w:rPr>
            </w:pPr>
            <w:r w:rsidRPr="00857EF9">
              <w:rPr>
                <w:b/>
                <w:bCs/>
                <w:sz w:val="20"/>
                <w:szCs w:val="20"/>
                <w:lang w:val="fr-FR"/>
              </w:rPr>
              <w:t>Cadre de résultats – Phase de négociation</w:t>
            </w:r>
          </w:p>
        </w:tc>
      </w:tr>
      <w:tr w:rsidR="00C0684D" w:rsidRPr="00A7289C" w:rsidTr="00E02247">
        <w:tc>
          <w:tcPr>
            <w:tcW w:w="1681"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857EF9" w:rsidRDefault="00C0684D" w:rsidP="00B6204D">
            <w:pPr>
              <w:rPr>
                <w:lang w:val="fr-FR"/>
              </w:rPr>
            </w:pPr>
          </w:p>
        </w:tc>
        <w:tc>
          <w:tcPr>
            <w:tcW w:w="70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857EF9" w:rsidRDefault="00C0684D" w:rsidP="00B6204D">
            <w:pPr>
              <w:rPr>
                <w:lang w:val="fr-FR"/>
              </w:rPr>
            </w:pPr>
          </w:p>
        </w:tc>
        <w:tc>
          <w:tcPr>
            <w:tcW w:w="1403"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857EF9" w:rsidRDefault="00C0684D" w:rsidP="00B6204D">
            <w:pPr>
              <w:rPr>
                <w:lang w:val="fr-FR"/>
              </w:rPr>
            </w:pPr>
          </w:p>
        </w:tc>
        <w:tc>
          <w:tcPr>
            <w:tcW w:w="112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857EF9" w:rsidRDefault="00C0684D" w:rsidP="00B6204D">
            <w:pPr>
              <w:rPr>
                <w:lang w:val="fr-FR"/>
              </w:rPr>
            </w:pPr>
          </w:p>
        </w:tc>
        <w:tc>
          <w:tcPr>
            <w:tcW w:w="49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Valeurs</w:t>
            </w:r>
            <w:proofErr w:type="spellEnd"/>
            <w:r>
              <w:rPr>
                <w:color w:val="314F4F"/>
                <w:sz w:val="16"/>
                <w:szCs w:val="16"/>
              </w:rPr>
              <w:t xml:space="preserve"> </w:t>
            </w:r>
            <w:proofErr w:type="spellStart"/>
            <w:r>
              <w:rPr>
                <w:color w:val="314F4F"/>
                <w:sz w:val="16"/>
                <w:szCs w:val="16"/>
              </w:rPr>
              <w:t>cibles</w:t>
            </w:r>
            <w:proofErr w:type="spellEnd"/>
          </w:p>
        </w:tc>
        <w:tc>
          <w:tcPr>
            <w:tcW w:w="1265"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tc>
        <w:tc>
          <w:tcPr>
            <w:tcW w:w="126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C0684D" w:rsidRPr="00A7289C" w:rsidRDefault="00C0684D" w:rsidP="00B6204D">
            <w:pPr>
              <w:rPr>
                <w:color w:val="314F4F"/>
                <w:sz w:val="16"/>
                <w:szCs w:val="16"/>
              </w:rPr>
            </w:pPr>
            <w:r>
              <w:rPr>
                <w:color w:val="314F4F"/>
                <w:sz w:val="16"/>
                <w:szCs w:val="16"/>
              </w:rPr>
              <w:t xml:space="preserve">Source des </w:t>
            </w:r>
            <w:proofErr w:type="spellStart"/>
            <w:r>
              <w:rPr>
                <w:color w:val="314F4F"/>
                <w:sz w:val="16"/>
                <w:szCs w:val="16"/>
              </w:rPr>
              <w:t>données</w:t>
            </w:r>
            <w:proofErr w:type="spellEnd"/>
            <w:r>
              <w:rPr>
                <w:color w:val="314F4F"/>
                <w:sz w:val="16"/>
                <w:szCs w:val="16"/>
              </w:rPr>
              <w:t>/</w:t>
            </w:r>
          </w:p>
        </w:tc>
        <w:tc>
          <w:tcPr>
            <w:tcW w:w="1686" w:type="dxa"/>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C0684D" w:rsidRPr="00A7289C" w:rsidRDefault="00C0684D" w:rsidP="00B6204D">
            <w:pPr>
              <w:rPr>
                <w:color w:val="314F4F"/>
                <w:sz w:val="16"/>
                <w:szCs w:val="16"/>
              </w:rPr>
            </w:pPr>
            <w:proofErr w:type="spellStart"/>
            <w:r>
              <w:rPr>
                <w:color w:val="314F4F"/>
                <w:sz w:val="16"/>
                <w:szCs w:val="16"/>
              </w:rPr>
              <w:t>Responsable</w:t>
            </w:r>
            <w:proofErr w:type="spellEnd"/>
            <w:r>
              <w:rPr>
                <w:color w:val="314F4F"/>
                <w:sz w:val="16"/>
                <w:szCs w:val="16"/>
              </w:rPr>
              <w:t xml:space="preserve"> de</w:t>
            </w:r>
          </w:p>
        </w:tc>
      </w:tr>
      <w:tr w:rsidR="00C0684D" w:rsidRPr="00A7289C" w:rsidTr="00E02247">
        <w:tc>
          <w:tcPr>
            <w:tcW w:w="1681"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color w:val="314F4F"/>
                <w:sz w:val="16"/>
                <w:szCs w:val="16"/>
              </w:rPr>
            </w:pPr>
            <w:r>
              <w:rPr>
                <w:color w:val="314F4F"/>
                <w:sz w:val="16"/>
                <w:szCs w:val="16"/>
              </w:rPr>
              <w:t xml:space="preserve">Nom de </w:t>
            </w:r>
            <w:proofErr w:type="spellStart"/>
            <w:r>
              <w:rPr>
                <w:color w:val="314F4F"/>
                <w:sz w:val="16"/>
                <w:szCs w:val="16"/>
              </w:rPr>
              <w:t>l'indicateur</w:t>
            </w:r>
            <w:proofErr w:type="spellEnd"/>
          </w:p>
        </w:tc>
        <w:tc>
          <w:tcPr>
            <w:tcW w:w="70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Valeur</w:t>
            </w:r>
            <w:proofErr w:type="spellEnd"/>
            <w:r>
              <w:rPr>
                <w:color w:val="314F4F"/>
                <w:sz w:val="16"/>
                <w:szCs w:val="16"/>
              </w:rPr>
              <w:t xml:space="preserve"> </w:t>
            </w:r>
            <w:proofErr w:type="spellStart"/>
            <w:r>
              <w:rPr>
                <w:color w:val="314F4F"/>
                <w:sz w:val="16"/>
                <w:szCs w:val="16"/>
              </w:rPr>
              <w:t>clé</w:t>
            </w:r>
            <w:proofErr w:type="spellEnd"/>
          </w:p>
        </w:tc>
        <w:tc>
          <w:tcPr>
            <w:tcW w:w="1403"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color w:val="314F4F"/>
                <w:sz w:val="16"/>
                <w:szCs w:val="16"/>
              </w:rPr>
            </w:pPr>
            <w:proofErr w:type="spellStart"/>
            <w:r>
              <w:rPr>
                <w:color w:val="314F4F"/>
                <w:sz w:val="16"/>
                <w:szCs w:val="16"/>
              </w:rPr>
              <w:t>Unité</w:t>
            </w:r>
            <w:proofErr w:type="spellEnd"/>
            <w:r>
              <w:rPr>
                <w:color w:val="314F4F"/>
                <w:sz w:val="16"/>
                <w:szCs w:val="16"/>
              </w:rPr>
              <w:t xml:space="preserve"> de </w:t>
            </w:r>
            <w:proofErr w:type="spellStart"/>
            <w:r>
              <w:rPr>
                <w:color w:val="314F4F"/>
                <w:sz w:val="16"/>
                <w:szCs w:val="16"/>
              </w:rPr>
              <w:t>mesure</w:t>
            </w:r>
            <w:proofErr w:type="spellEnd"/>
          </w:p>
        </w:tc>
        <w:tc>
          <w:tcPr>
            <w:tcW w:w="112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Référence</w:t>
            </w:r>
            <w:proofErr w:type="spellEnd"/>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3</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Cible</w:t>
            </w:r>
            <w:proofErr w:type="spellEnd"/>
            <w:r>
              <w:rPr>
                <w:color w:val="314F4F"/>
                <w:sz w:val="16"/>
                <w:szCs w:val="16"/>
              </w:rPr>
              <w:t xml:space="preserve"> finale</w:t>
            </w:r>
          </w:p>
        </w:tc>
        <w:tc>
          <w:tcPr>
            <w:tcW w:w="1265"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color w:val="314F4F"/>
                <w:sz w:val="16"/>
                <w:szCs w:val="16"/>
              </w:rPr>
            </w:pPr>
            <w:proofErr w:type="spellStart"/>
            <w:r>
              <w:rPr>
                <w:color w:val="314F4F"/>
                <w:sz w:val="16"/>
                <w:szCs w:val="16"/>
              </w:rPr>
              <w:t>Fréquence</w:t>
            </w:r>
            <w:proofErr w:type="spellEnd"/>
          </w:p>
        </w:tc>
        <w:tc>
          <w:tcPr>
            <w:tcW w:w="126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color w:val="314F4F"/>
                <w:sz w:val="16"/>
                <w:szCs w:val="16"/>
              </w:rPr>
            </w:pPr>
            <w:proofErr w:type="spellStart"/>
            <w:r>
              <w:rPr>
                <w:color w:val="314F4F"/>
                <w:sz w:val="16"/>
                <w:szCs w:val="16"/>
              </w:rPr>
              <w:t>Méthodologie</w:t>
            </w:r>
            <w:proofErr w:type="spellEnd"/>
          </w:p>
        </w:tc>
        <w:tc>
          <w:tcPr>
            <w:tcW w:w="1686" w:type="dxa"/>
            <w:tcBorders>
              <w:top w:val="nil"/>
              <w:left w:val="nil"/>
              <w:bottom w:val="single" w:sz="4" w:space="0" w:color="000000"/>
              <w:right w:val="nil"/>
            </w:tcBorders>
            <w:shd w:val="clear" w:color="auto" w:fill="FFFFFF"/>
            <w:tcMar>
              <w:top w:w="50" w:type="dxa"/>
              <w:left w:w="50" w:type="dxa"/>
              <w:bottom w:w="50" w:type="dxa"/>
              <w:right w:w="50" w:type="dxa"/>
            </w:tcMar>
          </w:tcPr>
          <w:p w:rsidR="00C0684D" w:rsidRPr="00A7289C" w:rsidRDefault="00C0684D" w:rsidP="00B6204D">
            <w:pPr>
              <w:rPr>
                <w:color w:val="314F4F"/>
                <w:sz w:val="16"/>
                <w:szCs w:val="16"/>
              </w:rPr>
            </w:pPr>
            <w:r>
              <w:rPr>
                <w:color w:val="314F4F"/>
                <w:sz w:val="16"/>
                <w:szCs w:val="16"/>
              </w:rPr>
              <w:t xml:space="preserve">la </w:t>
            </w:r>
            <w:proofErr w:type="spellStart"/>
            <w:r>
              <w:rPr>
                <w:color w:val="314F4F"/>
                <w:sz w:val="16"/>
                <w:szCs w:val="16"/>
              </w:rPr>
              <w:t>collecte</w:t>
            </w:r>
            <w:proofErr w:type="spellEnd"/>
            <w:r>
              <w:rPr>
                <w:color w:val="314F4F"/>
                <w:sz w:val="16"/>
                <w:szCs w:val="16"/>
              </w:rPr>
              <w:t xml:space="preserve"> de </w:t>
            </w:r>
            <w:proofErr w:type="spellStart"/>
            <w:r>
              <w:rPr>
                <w:color w:val="314F4F"/>
                <w:sz w:val="16"/>
                <w:szCs w:val="16"/>
              </w:rPr>
              <w:t>données</w:t>
            </w:r>
            <w:proofErr w:type="spellEnd"/>
          </w:p>
        </w:tc>
      </w:tr>
      <w:tr w:rsidR="00C0684D" w:rsidRPr="00857EF9" w:rsidTr="00E02247">
        <w:tc>
          <w:tcPr>
            <w:tcW w:w="168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b/>
                <w:i/>
                <w:sz w:val="16"/>
                <w:szCs w:val="16"/>
                <w:lang w:val="fr-FR"/>
              </w:rPr>
            </w:pPr>
            <w:r w:rsidRPr="00857EF9">
              <w:rPr>
                <w:b/>
                <w:sz w:val="16"/>
                <w:szCs w:val="16"/>
                <w:lang w:val="fr-FR"/>
              </w:rPr>
              <w:t>1.1 Réforme du climat des affaires</w:t>
            </w:r>
            <w:r w:rsidRPr="00A7289C">
              <w:rPr>
                <w:b/>
                <w:sz w:val="16"/>
                <w:szCs w:val="16"/>
                <w:vertAlign w:val="superscript"/>
              </w:rPr>
              <w:footnoteReference w:id="40"/>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Valeur des prêts garantis par des biens mobiliers</w:t>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Nombre de PME bénéficiant d'une garantie mobilière pour les prêts</w:t>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 xml:space="preserve">Nombre de réformes mesurées par le rapport </w:t>
            </w:r>
            <w:proofErr w:type="spellStart"/>
            <w:r w:rsidRPr="00857EF9">
              <w:rPr>
                <w:sz w:val="16"/>
                <w:szCs w:val="16"/>
                <w:lang w:val="fr-FR"/>
              </w:rPr>
              <w:t>Doing</w:t>
            </w:r>
            <w:proofErr w:type="spellEnd"/>
            <w:r w:rsidRPr="00857EF9">
              <w:rPr>
                <w:sz w:val="16"/>
                <w:szCs w:val="16"/>
                <w:lang w:val="fr-FR"/>
              </w:rPr>
              <w:t xml:space="preserve"> Business</w:t>
            </w:r>
          </w:p>
          <w:p w:rsidR="00C0684D" w:rsidRPr="00857EF9" w:rsidRDefault="00C0684D" w:rsidP="00B6204D">
            <w:pPr>
              <w:rPr>
                <w:sz w:val="16"/>
                <w:szCs w:val="16"/>
                <w:lang w:val="fr-FR"/>
              </w:rPr>
            </w:pPr>
          </w:p>
          <w:p w:rsidR="006704F7" w:rsidRPr="00857EF9" w:rsidRDefault="00C0684D" w:rsidP="007471E9">
            <w:pPr>
              <w:rPr>
                <w:sz w:val="16"/>
                <w:szCs w:val="16"/>
                <w:lang w:val="fr-FR"/>
              </w:rPr>
            </w:pPr>
            <w:r w:rsidRPr="00857EF9">
              <w:rPr>
                <w:sz w:val="16"/>
                <w:szCs w:val="16"/>
                <w:lang w:val="fr-FR"/>
              </w:rPr>
              <w:t>Réductions spécifiques du temps/du coût consacré aux obligations réglementaires liées à l'exploitation d'une entreprise</w:t>
            </w:r>
            <w:r w:rsidR="007471E9" w:rsidRPr="00A7289C">
              <w:rPr>
                <w:rStyle w:val="FootnoteReference"/>
                <w:sz w:val="16"/>
                <w:szCs w:val="16"/>
              </w:rPr>
              <w:footnoteReference w:id="41"/>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4507E" w:rsidRPr="00857EF9" w:rsidRDefault="0044507E" w:rsidP="00AE40C8">
            <w:pPr>
              <w:spacing w:line="320" w:lineRule="atLeast"/>
              <w:jc w:val="center"/>
              <w:rPr>
                <w:lang w:val="fr-FR"/>
              </w:rPr>
            </w:pPr>
          </w:p>
          <w:p w:rsidR="0044507E" w:rsidRPr="00857EF9" w:rsidRDefault="0044507E" w:rsidP="00AE40C8">
            <w:pPr>
              <w:spacing w:line="320" w:lineRule="atLeast"/>
              <w:jc w:val="center"/>
              <w:rPr>
                <w:lang w:val="fr-FR"/>
              </w:rPr>
            </w:pPr>
          </w:p>
          <w:p w:rsidR="0044507E" w:rsidRPr="00857EF9" w:rsidRDefault="0044507E" w:rsidP="00AE40C8">
            <w:pPr>
              <w:spacing w:line="320" w:lineRule="atLeast"/>
              <w:jc w:val="center"/>
              <w:rPr>
                <w:lang w:val="fr-FR"/>
              </w:rPr>
            </w:pPr>
          </w:p>
          <w:p w:rsidR="0044507E" w:rsidRPr="00857EF9" w:rsidRDefault="0044507E" w:rsidP="00AE40C8">
            <w:pPr>
              <w:spacing w:line="320" w:lineRule="atLeast"/>
              <w:jc w:val="center"/>
              <w:rPr>
                <w:lang w:val="fr-FR"/>
              </w:rPr>
            </w:pPr>
          </w:p>
          <w:p w:rsidR="0044507E" w:rsidRPr="00A7289C" w:rsidRDefault="0044507E" w:rsidP="00AE40C8">
            <w:pPr>
              <w:spacing w:line="320" w:lineRule="atLeast"/>
              <w:jc w:val="center"/>
              <w:rPr>
                <w:noProof/>
              </w:rPr>
            </w:pPr>
            <w:r>
              <w:t>X</w:t>
            </w:r>
          </w:p>
          <w:p w:rsidR="00C0684D" w:rsidRPr="00A7289C" w:rsidRDefault="00C0684D" w:rsidP="00AE40C8">
            <w:pPr>
              <w:spacing w:line="320" w:lineRule="atLeast"/>
              <w:jc w:val="cente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USD (prêts couverts/an)</w:t>
            </w:r>
          </w:p>
          <w:p w:rsidR="00C0684D" w:rsidRPr="00857EF9" w:rsidRDefault="00C0684D" w:rsidP="00B6204D">
            <w:pPr>
              <w:rPr>
                <w:sz w:val="16"/>
                <w:szCs w:val="16"/>
                <w:lang w:val="fr-FR"/>
              </w:rPr>
            </w:pPr>
          </w:p>
          <w:p w:rsidR="005C63E2" w:rsidRPr="00857EF9" w:rsidRDefault="005C63E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PME (unité commerciale)</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7471E9" w:rsidRPr="00857EF9" w:rsidRDefault="007471E9" w:rsidP="00B6204D">
            <w:pPr>
              <w:rPr>
                <w:sz w:val="16"/>
                <w:szCs w:val="16"/>
                <w:lang w:val="fr-FR"/>
              </w:rPr>
            </w:pPr>
          </w:p>
          <w:p w:rsidR="00C0684D" w:rsidRPr="00A7289C" w:rsidRDefault="00C0684D" w:rsidP="00B6204D">
            <w:pPr>
              <w:rPr>
                <w:sz w:val="16"/>
                <w:szCs w:val="16"/>
              </w:rPr>
            </w:pPr>
            <w:proofErr w:type="spellStart"/>
            <w:r>
              <w:rPr>
                <w:sz w:val="16"/>
                <w:szCs w:val="16"/>
              </w:rPr>
              <w:t>Nombre</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roofErr w:type="spellStart"/>
            <w:r>
              <w:rPr>
                <w:sz w:val="16"/>
                <w:szCs w:val="16"/>
              </w:rPr>
              <w:t>Nombre</w:t>
            </w:r>
            <w:proofErr w:type="spellEnd"/>
          </w:p>
          <w:p w:rsidR="006704F7" w:rsidRPr="00A7289C" w:rsidRDefault="006704F7" w:rsidP="00B6204D">
            <w:pPr>
              <w:rPr>
                <w:sz w:val="16"/>
                <w:szCs w:val="16"/>
              </w:rPr>
            </w:pPr>
          </w:p>
          <w:p w:rsidR="00AA57A1" w:rsidRPr="00A7289C" w:rsidRDefault="00AA57A1" w:rsidP="00B12909">
            <w:pPr>
              <w:rPr>
                <w:sz w:val="16"/>
                <w:szCs w:val="16"/>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2F1763" w:rsidP="00B6204D">
            <w:pPr>
              <w:rPr>
                <w:sz w:val="16"/>
                <w:szCs w:val="16"/>
              </w:rPr>
            </w:pPr>
            <w:r>
              <w:rPr>
                <w:sz w:val="16"/>
                <w:szCs w:val="16"/>
              </w:rPr>
              <w:t>0</w:t>
            </w:r>
          </w:p>
          <w:p w:rsidR="00C0684D" w:rsidRPr="00A7289C" w:rsidRDefault="00C0684D" w:rsidP="00B6204D">
            <w:pPr>
              <w:rPr>
                <w:sz w:val="16"/>
                <w:szCs w:val="16"/>
              </w:rPr>
            </w:pPr>
          </w:p>
          <w:p w:rsidR="00C0684D" w:rsidRPr="00A7289C" w:rsidRDefault="00C0684D" w:rsidP="00B6204D">
            <w:pPr>
              <w:rPr>
                <w:sz w:val="16"/>
                <w:szCs w:val="16"/>
              </w:rPr>
            </w:pPr>
          </w:p>
          <w:p w:rsidR="005C63E2" w:rsidRDefault="005C63E2" w:rsidP="00B6204D">
            <w:pPr>
              <w:rPr>
                <w:sz w:val="16"/>
                <w:szCs w:val="16"/>
              </w:rPr>
            </w:pPr>
          </w:p>
          <w:p w:rsidR="00C0684D" w:rsidRPr="00A7289C" w:rsidRDefault="00C0684D" w:rsidP="00B6204D">
            <w:pPr>
              <w:rPr>
                <w:sz w:val="16"/>
                <w:szCs w:val="16"/>
              </w:rPr>
            </w:pPr>
            <w:r>
              <w:rPr>
                <w:sz w:val="16"/>
                <w:szCs w:val="16"/>
              </w:rPr>
              <w:t>N. d.</w:t>
            </w:r>
          </w:p>
          <w:p w:rsidR="00C0684D" w:rsidRPr="00A7289C" w:rsidRDefault="00C0684D" w:rsidP="00B6204D">
            <w:pPr>
              <w:rPr>
                <w:sz w:val="16"/>
                <w:szCs w:val="16"/>
              </w:rPr>
            </w:pPr>
          </w:p>
          <w:p w:rsidR="00C0684D" w:rsidRPr="00A7289C" w:rsidRDefault="00C0684D" w:rsidP="00B6204D">
            <w:pPr>
              <w:rPr>
                <w:sz w:val="16"/>
                <w:szCs w:val="16"/>
              </w:rPr>
            </w:pPr>
          </w:p>
          <w:p w:rsidR="006704F7" w:rsidRPr="00A7289C" w:rsidRDefault="006704F7" w:rsidP="00B6204D">
            <w:pPr>
              <w:rPr>
                <w:sz w:val="16"/>
                <w:szCs w:val="16"/>
              </w:rPr>
            </w:pPr>
          </w:p>
          <w:p w:rsidR="007471E9" w:rsidRPr="00A7289C" w:rsidRDefault="007471E9" w:rsidP="00B6204D">
            <w:pPr>
              <w:rPr>
                <w:sz w:val="16"/>
                <w:szCs w:val="16"/>
              </w:rPr>
            </w:pPr>
          </w:p>
          <w:p w:rsidR="00C0684D" w:rsidRPr="00A7289C" w:rsidRDefault="00C0684D" w:rsidP="00B6204D">
            <w:pPr>
              <w:rPr>
                <w:sz w:val="16"/>
                <w:szCs w:val="16"/>
              </w:rPr>
            </w:pPr>
            <w:r>
              <w:rPr>
                <w:sz w:val="16"/>
                <w:szCs w:val="16"/>
              </w:rPr>
              <w:t>0</w:t>
            </w: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3C3179" w:rsidP="00B6204D">
            <w:pPr>
              <w:rPr>
                <w:sz w:val="16"/>
                <w:szCs w:val="16"/>
              </w:rPr>
            </w:pPr>
            <w:r>
              <w:rPr>
                <w:sz w:val="16"/>
                <w:szCs w:val="16"/>
              </w:rPr>
              <w:t>0</w:t>
            </w:r>
          </w:p>
          <w:p w:rsidR="00C0684D" w:rsidRPr="00A7289C" w:rsidRDefault="00C0684D" w:rsidP="00B6204D">
            <w:pPr>
              <w:rPr>
                <w:sz w:val="16"/>
                <w:szCs w:val="16"/>
              </w:rPr>
            </w:pPr>
          </w:p>
          <w:p w:rsidR="006704F7" w:rsidRPr="00A7289C" w:rsidRDefault="006704F7" w:rsidP="00B12909">
            <w:pPr>
              <w:rPr>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0</w:t>
            </w:r>
          </w:p>
          <w:p w:rsidR="00C0684D" w:rsidRPr="00A7289C" w:rsidRDefault="00C0684D" w:rsidP="00B6204D">
            <w:pPr>
              <w:rPr>
                <w:sz w:val="16"/>
                <w:szCs w:val="16"/>
              </w:rPr>
            </w:pPr>
          </w:p>
          <w:p w:rsidR="00C0684D" w:rsidRPr="00A7289C" w:rsidRDefault="00C0684D" w:rsidP="00B6204D">
            <w:pPr>
              <w:rPr>
                <w:sz w:val="16"/>
                <w:szCs w:val="16"/>
              </w:rPr>
            </w:pPr>
          </w:p>
          <w:p w:rsidR="005C63E2" w:rsidRDefault="005C63E2" w:rsidP="00B6204D">
            <w:pPr>
              <w:rPr>
                <w:sz w:val="16"/>
                <w:szCs w:val="16"/>
              </w:rPr>
            </w:pPr>
          </w:p>
          <w:p w:rsidR="00C0684D" w:rsidRPr="00A7289C" w:rsidRDefault="00C0684D" w:rsidP="00B6204D">
            <w:pPr>
              <w:rPr>
                <w:sz w:val="16"/>
                <w:szCs w:val="16"/>
              </w:rPr>
            </w:pPr>
            <w:r>
              <w:rPr>
                <w:sz w:val="16"/>
                <w:szCs w:val="16"/>
              </w:rPr>
              <w:t>0</w:t>
            </w:r>
          </w:p>
          <w:p w:rsidR="00C0684D" w:rsidRPr="00A7289C" w:rsidRDefault="00C0684D" w:rsidP="00B6204D">
            <w:pPr>
              <w:rPr>
                <w:sz w:val="16"/>
                <w:szCs w:val="16"/>
              </w:rPr>
            </w:pPr>
          </w:p>
          <w:p w:rsidR="00B12909" w:rsidRPr="00A7289C" w:rsidRDefault="00B12909" w:rsidP="00B6204D">
            <w:pPr>
              <w:rPr>
                <w:sz w:val="16"/>
                <w:szCs w:val="16"/>
              </w:rPr>
            </w:pPr>
          </w:p>
          <w:p w:rsidR="00C0684D" w:rsidRPr="00A7289C" w:rsidRDefault="00C0684D" w:rsidP="00B6204D">
            <w:pPr>
              <w:rPr>
                <w:sz w:val="16"/>
                <w:szCs w:val="16"/>
              </w:rPr>
            </w:pPr>
          </w:p>
          <w:p w:rsidR="007471E9" w:rsidRPr="00A7289C" w:rsidRDefault="007471E9" w:rsidP="00B6204D">
            <w:pPr>
              <w:rPr>
                <w:sz w:val="16"/>
                <w:szCs w:val="16"/>
              </w:rPr>
            </w:pPr>
          </w:p>
          <w:p w:rsidR="00C0684D" w:rsidRPr="00A7289C" w:rsidRDefault="00C0684D" w:rsidP="00B6204D">
            <w:pPr>
              <w:rPr>
                <w:sz w:val="16"/>
                <w:szCs w:val="16"/>
              </w:rPr>
            </w:pPr>
            <w:r>
              <w:rPr>
                <w:sz w:val="16"/>
                <w:szCs w:val="16"/>
              </w:rPr>
              <w:t>1</w:t>
            </w:r>
          </w:p>
          <w:p w:rsidR="003C3179" w:rsidRPr="00A7289C" w:rsidRDefault="003C3179"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r>
              <w:rPr>
                <w:sz w:val="16"/>
                <w:szCs w:val="16"/>
              </w:rPr>
              <w:t>1</w:t>
            </w:r>
          </w:p>
          <w:p w:rsidR="003C3179" w:rsidRPr="00A7289C" w:rsidRDefault="003C3179" w:rsidP="00B6204D">
            <w:pPr>
              <w:rPr>
                <w:sz w:val="16"/>
                <w:szCs w:val="16"/>
              </w:rPr>
            </w:pPr>
          </w:p>
          <w:p w:rsidR="003C3179" w:rsidRPr="00A7289C" w:rsidRDefault="003C3179" w:rsidP="00B12909">
            <w:pPr>
              <w:rPr>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0</w:t>
            </w:r>
          </w:p>
          <w:p w:rsidR="00C0684D" w:rsidRPr="00A7289C" w:rsidRDefault="00C0684D" w:rsidP="00B6204D">
            <w:pPr>
              <w:rPr>
                <w:sz w:val="16"/>
                <w:szCs w:val="16"/>
              </w:rPr>
            </w:pPr>
          </w:p>
          <w:p w:rsidR="00C0684D" w:rsidRPr="00A7289C" w:rsidRDefault="00C0684D" w:rsidP="00B6204D">
            <w:pPr>
              <w:rPr>
                <w:sz w:val="16"/>
                <w:szCs w:val="16"/>
              </w:rPr>
            </w:pPr>
          </w:p>
          <w:p w:rsidR="005C63E2" w:rsidRDefault="005C63E2" w:rsidP="00B6204D">
            <w:pPr>
              <w:rPr>
                <w:sz w:val="16"/>
                <w:szCs w:val="16"/>
              </w:rPr>
            </w:pPr>
          </w:p>
          <w:p w:rsidR="00C0684D" w:rsidRPr="00A7289C" w:rsidRDefault="00C0684D" w:rsidP="00B6204D">
            <w:pPr>
              <w:rPr>
                <w:sz w:val="16"/>
                <w:szCs w:val="16"/>
              </w:rPr>
            </w:pPr>
            <w:r>
              <w:rPr>
                <w:sz w:val="16"/>
                <w:szCs w:val="16"/>
              </w:rPr>
              <w:t>0</w:t>
            </w:r>
          </w:p>
          <w:p w:rsidR="00C0684D" w:rsidRPr="00A7289C" w:rsidRDefault="00C0684D" w:rsidP="00B6204D">
            <w:pPr>
              <w:rPr>
                <w:sz w:val="16"/>
                <w:szCs w:val="16"/>
              </w:rPr>
            </w:pPr>
          </w:p>
          <w:p w:rsidR="00B12909" w:rsidRPr="00A7289C" w:rsidRDefault="00B12909" w:rsidP="00B6204D">
            <w:pPr>
              <w:rPr>
                <w:sz w:val="16"/>
                <w:szCs w:val="16"/>
              </w:rPr>
            </w:pPr>
          </w:p>
          <w:p w:rsidR="007471E9" w:rsidRPr="00A7289C" w:rsidRDefault="007471E9"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1</w:t>
            </w:r>
          </w:p>
          <w:p w:rsidR="00C0684D" w:rsidRPr="00A7289C" w:rsidRDefault="00C0684D"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r>
              <w:rPr>
                <w:sz w:val="16"/>
                <w:szCs w:val="16"/>
              </w:rPr>
              <w:t>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1 million USD</w:t>
            </w:r>
          </w:p>
          <w:p w:rsidR="00C0684D" w:rsidRPr="00A7289C" w:rsidRDefault="00C0684D" w:rsidP="00B6204D">
            <w:pPr>
              <w:rPr>
                <w:sz w:val="16"/>
                <w:szCs w:val="16"/>
              </w:rPr>
            </w:pPr>
          </w:p>
          <w:p w:rsidR="005C63E2" w:rsidRDefault="005C63E2" w:rsidP="00B6204D">
            <w:pPr>
              <w:rPr>
                <w:sz w:val="16"/>
                <w:szCs w:val="16"/>
              </w:rPr>
            </w:pPr>
          </w:p>
          <w:p w:rsidR="00C0684D" w:rsidRPr="00A7289C" w:rsidRDefault="00C0684D" w:rsidP="00B6204D">
            <w:pPr>
              <w:rPr>
                <w:sz w:val="16"/>
                <w:szCs w:val="16"/>
              </w:rPr>
            </w:pPr>
            <w:r>
              <w:rPr>
                <w:sz w:val="16"/>
                <w:szCs w:val="16"/>
              </w:rPr>
              <w:t>50</w:t>
            </w:r>
          </w:p>
          <w:p w:rsidR="00C0684D" w:rsidRPr="00A7289C" w:rsidRDefault="00C0684D" w:rsidP="00B6204D">
            <w:pPr>
              <w:rPr>
                <w:sz w:val="16"/>
                <w:szCs w:val="16"/>
              </w:rPr>
            </w:pPr>
          </w:p>
          <w:p w:rsidR="00C0684D" w:rsidRPr="00A7289C" w:rsidRDefault="00C0684D" w:rsidP="00B6204D">
            <w:pPr>
              <w:rPr>
                <w:sz w:val="16"/>
                <w:szCs w:val="16"/>
              </w:rPr>
            </w:pPr>
          </w:p>
          <w:p w:rsidR="00B12909" w:rsidRPr="00A7289C" w:rsidRDefault="00B12909" w:rsidP="00B6204D">
            <w:pPr>
              <w:rPr>
                <w:sz w:val="16"/>
                <w:szCs w:val="16"/>
              </w:rPr>
            </w:pPr>
          </w:p>
          <w:p w:rsidR="007471E9" w:rsidRPr="00A7289C" w:rsidRDefault="007471E9" w:rsidP="00B6204D">
            <w:pPr>
              <w:rPr>
                <w:sz w:val="16"/>
                <w:szCs w:val="16"/>
              </w:rPr>
            </w:pPr>
          </w:p>
          <w:p w:rsidR="00C0684D" w:rsidRPr="00A7289C" w:rsidRDefault="00C0684D" w:rsidP="00B6204D">
            <w:pPr>
              <w:rPr>
                <w:sz w:val="16"/>
                <w:szCs w:val="16"/>
              </w:rPr>
            </w:pPr>
            <w:r>
              <w:rPr>
                <w:sz w:val="16"/>
                <w:szCs w:val="16"/>
              </w:rPr>
              <w:t>1</w:t>
            </w:r>
          </w:p>
          <w:p w:rsidR="003C3179" w:rsidRPr="00A7289C" w:rsidRDefault="003C3179"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r>
              <w:rPr>
                <w:sz w:val="16"/>
                <w:szCs w:val="16"/>
              </w:rPr>
              <w:t>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3 </w:t>
            </w:r>
            <w:proofErr w:type="spellStart"/>
            <w:r>
              <w:rPr>
                <w:sz w:val="16"/>
                <w:szCs w:val="16"/>
              </w:rPr>
              <w:t>millions</w:t>
            </w:r>
            <w:proofErr w:type="spellEnd"/>
            <w:r>
              <w:rPr>
                <w:sz w:val="16"/>
                <w:szCs w:val="16"/>
              </w:rPr>
              <w:t xml:space="preserve"> USD</w:t>
            </w: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35694" w:rsidP="00B6204D">
            <w:pPr>
              <w:rPr>
                <w:sz w:val="16"/>
                <w:szCs w:val="16"/>
              </w:rPr>
            </w:pPr>
            <w:r>
              <w:rPr>
                <w:sz w:val="16"/>
                <w:szCs w:val="16"/>
              </w:rPr>
              <w:t>150</w:t>
            </w:r>
          </w:p>
          <w:p w:rsidR="00C0684D" w:rsidRPr="00A7289C" w:rsidRDefault="00C0684D" w:rsidP="00B6204D">
            <w:pPr>
              <w:rPr>
                <w:sz w:val="16"/>
                <w:szCs w:val="16"/>
              </w:rPr>
            </w:pPr>
          </w:p>
          <w:p w:rsidR="00B12909" w:rsidRPr="00A7289C" w:rsidRDefault="00B12909" w:rsidP="00B6204D">
            <w:pPr>
              <w:rPr>
                <w:sz w:val="16"/>
                <w:szCs w:val="16"/>
              </w:rPr>
            </w:pPr>
          </w:p>
          <w:p w:rsidR="007471E9" w:rsidRPr="00A7289C" w:rsidRDefault="007471E9"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2</w:t>
            </w:r>
          </w:p>
          <w:p w:rsidR="003C3179" w:rsidRPr="00A7289C" w:rsidRDefault="003C3179"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p>
          <w:p w:rsidR="003C3179" w:rsidRPr="00A7289C" w:rsidRDefault="003C3179" w:rsidP="00B6204D">
            <w:pPr>
              <w:rPr>
                <w:sz w:val="16"/>
                <w:szCs w:val="16"/>
              </w:rPr>
            </w:pPr>
            <w:r>
              <w:rPr>
                <w:sz w:val="16"/>
                <w:szCs w:val="16"/>
              </w:rPr>
              <w:t>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10 </w:t>
            </w:r>
            <w:proofErr w:type="spellStart"/>
            <w:r>
              <w:rPr>
                <w:sz w:val="16"/>
                <w:szCs w:val="16"/>
              </w:rPr>
              <w:t>millions</w:t>
            </w:r>
            <w:proofErr w:type="spellEnd"/>
            <w:r>
              <w:rPr>
                <w:sz w:val="16"/>
                <w:szCs w:val="16"/>
              </w:rPr>
              <w:t xml:space="preserve"> USD</w:t>
            </w: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35694" w:rsidP="00B6204D">
            <w:pPr>
              <w:rPr>
                <w:sz w:val="16"/>
                <w:szCs w:val="16"/>
              </w:rPr>
            </w:pPr>
            <w:r>
              <w:rPr>
                <w:sz w:val="16"/>
                <w:szCs w:val="16"/>
              </w:rPr>
              <w:t>500</w:t>
            </w:r>
          </w:p>
          <w:p w:rsidR="00C0684D" w:rsidRPr="00A7289C" w:rsidRDefault="00C0684D" w:rsidP="00B6204D">
            <w:pPr>
              <w:rPr>
                <w:sz w:val="16"/>
                <w:szCs w:val="16"/>
              </w:rPr>
            </w:pPr>
          </w:p>
          <w:p w:rsidR="00B12909" w:rsidRPr="00A7289C" w:rsidRDefault="00B12909" w:rsidP="00B6204D">
            <w:pPr>
              <w:rPr>
                <w:sz w:val="16"/>
                <w:szCs w:val="16"/>
              </w:rPr>
            </w:pPr>
          </w:p>
          <w:p w:rsidR="007471E9" w:rsidRPr="00A7289C" w:rsidRDefault="007471E9"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r>
              <w:rPr>
                <w:sz w:val="16"/>
                <w:szCs w:val="16"/>
              </w:rPr>
              <w:t>5</w:t>
            </w:r>
          </w:p>
          <w:p w:rsidR="00B17AC3" w:rsidRPr="00A7289C" w:rsidRDefault="00B17AC3" w:rsidP="00B6204D">
            <w:pPr>
              <w:rPr>
                <w:sz w:val="16"/>
                <w:szCs w:val="16"/>
              </w:rPr>
            </w:pPr>
          </w:p>
          <w:p w:rsidR="00B17AC3" w:rsidRPr="00A7289C" w:rsidRDefault="00B17AC3" w:rsidP="00B6204D">
            <w:pPr>
              <w:rPr>
                <w:sz w:val="16"/>
                <w:szCs w:val="16"/>
              </w:rPr>
            </w:pPr>
          </w:p>
          <w:p w:rsidR="00B17AC3" w:rsidRPr="00A7289C" w:rsidRDefault="00B17AC3" w:rsidP="00B6204D">
            <w:pPr>
              <w:rPr>
                <w:sz w:val="16"/>
                <w:szCs w:val="16"/>
              </w:rPr>
            </w:pPr>
          </w:p>
          <w:p w:rsidR="00B17AC3" w:rsidRPr="00A7289C" w:rsidRDefault="00B17AC3" w:rsidP="00B6204D">
            <w:pPr>
              <w:rPr>
                <w:sz w:val="16"/>
                <w:szCs w:val="16"/>
              </w:rPr>
            </w:pPr>
            <w:r>
              <w:rPr>
                <w:sz w:val="16"/>
                <w:szCs w:val="16"/>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5C63E2" w:rsidP="00B6204D">
            <w:pPr>
              <w:rPr>
                <w:sz w:val="16"/>
                <w:szCs w:val="16"/>
              </w:rPr>
            </w:pPr>
            <w:proofErr w:type="spellStart"/>
            <w:r>
              <w:rPr>
                <w:sz w:val="16"/>
                <w:szCs w:val="16"/>
              </w:rPr>
              <w:t>Annuelle</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5C63E2" w:rsidRDefault="005C63E2" w:rsidP="00B6204D">
            <w:pPr>
              <w:rPr>
                <w:sz w:val="16"/>
                <w:szCs w:val="16"/>
              </w:rPr>
            </w:pPr>
          </w:p>
          <w:p w:rsidR="00C0684D" w:rsidRPr="00A7289C" w:rsidRDefault="005C63E2" w:rsidP="00B6204D">
            <w:pPr>
              <w:rPr>
                <w:sz w:val="16"/>
                <w:szCs w:val="16"/>
              </w:rPr>
            </w:pPr>
            <w:proofErr w:type="spellStart"/>
            <w:r>
              <w:rPr>
                <w:sz w:val="16"/>
                <w:szCs w:val="16"/>
              </w:rPr>
              <w:t>Annuelle</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7471E9" w:rsidRPr="00A7289C" w:rsidRDefault="007471E9" w:rsidP="00B6204D">
            <w:pPr>
              <w:rPr>
                <w:sz w:val="16"/>
                <w:szCs w:val="16"/>
              </w:rPr>
            </w:pPr>
          </w:p>
          <w:p w:rsidR="00B12909" w:rsidRPr="00A7289C" w:rsidRDefault="00B12909" w:rsidP="00B6204D">
            <w:pPr>
              <w:rPr>
                <w:sz w:val="16"/>
                <w:szCs w:val="16"/>
              </w:rPr>
            </w:pPr>
          </w:p>
          <w:p w:rsidR="00C0684D" w:rsidRPr="00A7289C" w:rsidRDefault="005C63E2" w:rsidP="00B6204D">
            <w:pPr>
              <w:rPr>
                <w:sz w:val="16"/>
                <w:szCs w:val="16"/>
              </w:rPr>
            </w:pPr>
            <w:proofErr w:type="spellStart"/>
            <w:r>
              <w:rPr>
                <w:sz w:val="16"/>
                <w:szCs w:val="16"/>
              </w:rPr>
              <w:t>Annuelle</w:t>
            </w:r>
            <w:proofErr w:type="spellEnd"/>
          </w:p>
          <w:p w:rsidR="00B17AC3" w:rsidRPr="00A7289C" w:rsidRDefault="00B17AC3" w:rsidP="00B6204D">
            <w:pPr>
              <w:rPr>
                <w:sz w:val="16"/>
                <w:szCs w:val="16"/>
              </w:rPr>
            </w:pPr>
          </w:p>
          <w:p w:rsidR="00B17AC3" w:rsidRPr="00A7289C" w:rsidRDefault="00B17AC3" w:rsidP="00B6204D">
            <w:pPr>
              <w:rPr>
                <w:sz w:val="16"/>
                <w:szCs w:val="16"/>
              </w:rPr>
            </w:pPr>
          </w:p>
          <w:p w:rsidR="00B17AC3" w:rsidRPr="00A7289C" w:rsidRDefault="00B17AC3" w:rsidP="00B6204D">
            <w:pPr>
              <w:rPr>
                <w:sz w:val="16"/>
                <w:szCs w:val="16"/>
              </w:rPr>
            </w:pPr>
          </w:p>
          <w:p w:rsidR="00B17AC3" w:rsidRPr="00A7289C" w:rsidRDefault="005C63E2" w:rsidP="00B6204D">
            <w:pPr>
              <w:rPr>
                <w:sz w:val="16"/>
                <w:szCs w:val="16"/>
              </w:rPr>
            </w:pPr>
            <w:proofErr w:type="spellStart"/>
            <w:r>
              <w:rPr>
                <w:sz w:val="16"/>
                <w:szCs w:val="16"/>
              </w:rPr>
              <w:t>Annuelle</w:t>
            </w:r>
            <w:proofErr w:type="spellEnd"/>
          </w:p>
        </w:tc>
        <w:tc>
          <w:tcPr>
            <w:tcW w:w="126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5C63E2" w:rsidRPr="00857EF9" w:rsidRDefault="00C0684D" w:rsidP="00B6204D">
            <w:pPr>
              <w:rPr>
                <w:sz w:val="16"/>
                <w:szCs w:val="16"/>
                <w:lang w:val="fr-FR"/>
              </w:rPr>
            </w:pPr>
            <w:r w:rsidRPr="00857EF9">
              <w:rPr>
                <w:sz w:val="16"/>
                <w:szCs w:val="16"/>
                <w:lang w:val="fr-FR"/>
              </w:rPr>
              <w:t xml:space="preserve">Registre des garanties (à créer) </w:t>
            </w: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Registre des garanties (à créer)</w:t>
            </w:r>
          </w:p>
          <w:p w:rsidR="00B12909" w:rsidRPr="00857EF9" w:rsidRDefault="00B12909" w:rsidP="00B6204D">
            <w:pPr>
              <w:rPr>
                <w:sz w:val="16"/>
                <w:szCs w:val="16"/>
                <w:lang w:val="fr-FR"/>
              </w:rPr>
            </w:pPr>
          </w:p>
          <w:p w:rsidR="007471E9" w:rsidRPr="00857EF9" w:rsidRDefault="007471E9" w:rsidP="00B6204D">
            <w:pPr>
              <w:rPr>
                <w:sz w:val="16"/>
                <w:szCs w:val="16"/>
                <w:lang w:val="fr-FR"/>
              </w:rPr>
            </w:pPr>
          </w:p>
          <w:p w:rsidR="005C63E2" w:rsidRPr="00857EF9" w:rsidRDefault="005C63E2" w:rsidP="00B6204D">
            <w:pPr>
              <w:rPr>
                <w:sz w:val="16"/>
                <w:szCs w:val="16"/>
                <w:lang w:val="fr-FR"/>
              </w:rPr>
            </w:pPr>
          </w:p>
          <w:p w:rsidR="00C0684D" w:rsidRPr="00BC7304" w:rsidRDefault="00C0684D" w:rsidP="00B6204D">
            <w:pPr>
              <w:rPr>
                <w:sz w:val="16"/>
                <w:szCs w:val="16"/>
              </w:rPr>
            </w:pPr>
            <w:r w:rsidRPr="00BC7304">
              <w:rPr>
                <w:sz w:val="16"/>
                <w:szCs w:val="16"/>
              </w:rPr>
              <w:t>Rapport Doing Business</w:t>
            </w:r>
          </w:p>
          <w:p w:rsidR="00091AD6" w:rsidRPr="00BC7304" w:rsidRDefault="00091AD6" w:rsidP="00B6204D">
            <w:pPr>
              <w:rPr>
                <w:sz w:val="16"/>
                <w:szCs w:val="16"/>
              </w:rPr>
            </w:pPr>
          </w:p>
          <w:p w:rsidR="00091AD6" w:rsidRPr="00BC7304" w:rsidRDefault="00091AD6" w:rsidP="00B6204D">
            <w:pPr>
              <w:rPr>
                <w:sz w:val="16"/>
                <w:szCs w:val="16"/>
              </w:rPr>
            </w:pPr>
          </w:p>
          <w:p w:rsidR="006704F7" w:rsidRPr="00BC7304" w:rsidRDefault="00091AD6" w:rsidP="00B6204D">
            <w:pPr>
              <w:rPr>
                <w:sz w:val="16"/>
                <w:szCs w:val="16"/>
              </w:rPr>
            </w:pPr>
            <w:r w:rsidRPr="00BC7304">
              <w:rPr>
                <w:sz w:val="16"/>
                <w:szCs w:val="16"/>
              </w:rPr>
              <w:t>Rapport Doing Business</w:t>
            </w:r>
          </w:p>
          <w:p w:rsidR="006704F7" w:rsidRPr="00BC7304" w:rsidRDefault="006704F7" w:rsidP="00B12909">
            <w:pPr>
              <w:rPr>
                <w:sz w:val="16"/>
                <w:szCs w:val="16"/>
              </w:rPr>
            </w:pPr>
          </w:p>
        </w:tc>
        <w:tc>
          <w:tcPr>
            <w:tcW w:w="1686"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BC7304" w:rsidRDefault="00C0684D" w:rsidP="00B6204D">
            <w:pPr>
              <w:rPr>
                <w:sz w:val="16"/>
                <w:szCs w:val="16"/>
              </w:rPr>
            </w:pPr>
          </w:p>
          <w:p w:rsidR="00C0684D" w:rsidRPr="00BC7304" w:rsidRDefault="00C0684D" w:rsidP="00B6204D">
            <w:pPr>
              <w:rPr>
                <w:sz w:val="16"/>
                <w:szCs w:val="16"/>
              </w:rPr>
            </w:pPr>
          </w:p>
          <w:p w:rsidR="00C0684D" w:rsidRPr="00BC7304" w:rsidRDefault="00C0684D" w:rsidP="00B6204D">
            <w:pPr>
              <w:rPr>
                <w:sz w:val="16"/>
                <w:szCs w:val="16"/>
              </w:rPr>
            </w:pPr>
          </w:p>
          <w:p w:rsidR="00C0684D" w:rsidRPr="00857EF9" w:rsidRDefault="00C0684D" w:rsidP="00B6204D">
            <w:pPr>
              <w:rPr>
                <w:sz w:val="16"/>
                <w:szCs w:val="16"/>
                <w:lang w:val="fr-FR"/>
              </w:rPr>
            </w:pPr>
            <w:r w:rsidRPr="00857EF9">
              <w:rPr>
                <w:sz w:val="16"/>
                <w:szCs w:val="16"/>
                <w:lang w:val="fr-FR"/>
              </w:rPr>
              <w:t>Personnel de l'UCP / MCI et de la BM, coordonné avec le MEF</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7471E9" w:rsidRPr="00857EF9" w:rsidRDefault="007471E9" w:rsidP="00B6204D">
            <w:pPr>
              <w:rPr>
                <w:sz w:val="16"/>
                <w:szCs w:val="16"/>
                <w:lang w:val="fr-FR"/>
              </w:rPr>
            </w:pPr>
          </w:p>
          <w:p w:rsidR="00B12909" w:rsidRPr="00857EF9" w:rsidRDefault="00B12909" w:rsidP="00B6204D">
            <w:pPr>
              <w:rPr>
                <w:sz w:val="16"/>
                <w:szCs w:val="16"/>
                <w:lang w:val="fr-FR"/>
              </w:rPr>
            </w:pPr>
          </w:p>
          <w:p w:rsidR="005C63E2" w:rsidRPr="00857EF9" w:rsidRDefault="005C63E2" w:rsidP="00B6204D">
            <w:pPr>
              <w:rPr>
                <w:sz w:val="16"/>
                <w:szCs w:val="16"/>
                <w:lang w:val="fr-FR"/>
              </w:rPr>
            </w:pPr>
          </w:p>
          <w:p w:rsidR="00091AD6" w:rsidRPr="00857EF9" w:rsidRDefault="00C0684D" w:rsidP="00B6204D">
            <w:pPr>
              <w:rPr>
                <w:sz w:val="16"/>
                <w:szCs w:val="16"/>
                <w:lang w:val="fr-FR"/>
              </w:rPr>
            </w:pPr>
            <w:r w:rsidRPr="00857EF9">
              <w:rPr>
                <w:sz w:val="16"/>
                <w:szCs w:val="16"/>
                <w:lang w:val="fr-FR"/>
              </w:rPr>
              <w:t xml:space="preserve">Équipe du rapport </w:t>
            </w:r>
            <w:proofErr w:type="spellStart"/>
            <w:r w:rsidRPr="00857EF9">
              <w:rPr>
                <w:sz w:val="16"/>
                <w:szCs w:val="16"/>
                <w:lang w:val="fr-FR"/>
              </w:rPr>
              <w:t>Doing</w:t>
            </w:r>
            <w:proofErr w:type="spellEnd"/>
            <w:r w:rsidRPr="00857EF9">
              <w:rPr>
                <w:sz w:val="16"/>
                <w:szCs w:val="16"/>
                <w:lang w:val="fr-FR"/>
              </w:rPr>
              <w:t xml:space="preserve"> Business</w:t>
            </w:r>
          </w:p>
          <w:p w:rsidR="00091AD6" w:rsidRPr="00857EF9" w:rsidRDefault="00091AD6" w:rsidP="00B6204D">
            <w:pPr>
              <w:rPr>
                <w:sz w:val="16"/>
                <w:szCs w:val="16"/>
                <w:lang w:val="fr-FR"/>
              </w:rPr>
            </w:pPr>
          </w:p>
          <w:p w:rsidR="00091AD6" w:rsidRPr="00857EF9" w:rsidRDefault="00091AD6" w:rsidP="00B6204D">
            <w:pPr>
              <w:rPr>
                <w:sz w:val="16"/>
                <w:szCs w:val="16"/>
                <w:lang w:val="fr-FR"/>
              </w:rPr>
            </w:pPr>
          </w:p>
          <w:p w:rsidR="006704F7" w:rsidRPr="00857EF9" w:rsidRDefault="00091AD6" w:rsidP="00B12909">
            <w:pPr>
              <w:rPr>
                <w:sz w:val="16"/>
                <w:szCs w:val="16"/>
                <w:lang w:val="fr-FR"/>
              </w:rPr>
            </w:pPr>
            <w:r w:rsidRPr="00857EF9">
              <w:rPr>
                <w:sz w:val="16"/>
                <w:szCs w:val="16"/>
                <w:lang w:val="fr-FR"/>
              </w:rPr>
              <w:t xml:space="preserve">Équipe du rapport </w:t>
            </w:r>
            <w:proofErr w:type="spellStart"/>
            <w:r w:rsidRPr="00857EF9">
              <w:rPr>
                <w:sz w:val="16"/>
                <w:szCs w:val="16"/>
                <w:lang w:val="fr-FR"/>
              </w:rPr>
              <w:t>Doing</w:t>
            </w:r>
            <w:proofErr w:type="spellEnd"/>
            <w:r w:rsidRPr="00857EF9">
              <w:rPr>
                <w:sz w:val="16"/>
                <w:szCs w:val="16"/>
                <w:lang w:val="fr-FR"/>
              </w:rPr>
              <w:t xml:space="preserve"> Business </w:t>
            </w:r>
          </w:p>
        </w:tc>
      </w:tr>
      <w:tr w:rsidR="007471E9" w:rsidRPr="00857EF9" w:rsidTr="007471E9">
        <w:tc>
          <w:tcPr>
            <w:tcW w:w="168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471E9" w:rsidRPr="00857EF9" w:rsidRDefault="007471E9" w:rsidP="00175270">
            <w:pPr>
              <w:rPr>
                <w:b/>
                <w:sz w:val="16"/>
                <w:szCs w:val="16"/>
                <w:lang w:val="fr-FR"/>
              </w:rPr>
            </w:pPr>
            <w:r w:rsidRPr="00857EF9">
              <w:rPr>
                <w:b/>
                <w:sz w:val="16"/>
                <w:szCs w:val="16"/>
                <w:lang w:val="fr-FR"/>
              </w:rPr>
              <w:t>1.2 Promotion de l'investissement</w:t>
            </w:r>
            <w:r w:rsidRPr="00857EF9">
              <w:rPr>
                <w:b/>
                <w:sz w:val="16"/>
                <w:szCs w:val="16"/>
                <w:lang w:val="fr-FR"/>
              </w:rPr>
              <w:br/>
            </w:r>
          </w:p>
          <w:p w:rsidR="007471E9" w:rsidRPr="00857EF9" w:rsidRDefault="007471E9" w:rsidP="00175270">
            <w:pPr>
              <w:rPr>
                <w:sz w:val="16"/>
                <w:szCs w:val="16"/>
                <w:lang w:val="fr-FR"/>
              </w:rPr>
            </w:pPr>
            <w:r w:rsidRPr="00857EF9">
              <w:rPr>
                <w:b/>
                <w:sz w:val="16"/>
                <w:szCs w:val="16"/>
                <w:lang w:val="fr-FR"/>
              </w:rPr>
              <w:br/>
            </w:r>
            <w:r w:rsidRPr="00857EF9">
              <w:rPr>
                <w:sz w:val="16"/>
                <w:szCs w:val="16"/>
                <w:lang w:val="fr-FR"/>
              </w:rPr>
              <w:t>Investissements supplémentaires découlant du projet</w:t>
            </w:r>
          </w:p>
          <w:p w:rsidR="007471E9" w:rsidRPr="00857EF9" w:rsidRDefault="007471E9" w:rsidP="00175270">
            <w:pPr>
              <w:rPr>
                <w:sz w:val="16"/>
                <w:szCs w:val="16"/>
                <w:lang w:val="fr-FR"/>
              </w:rPr>
            </w:pPr>
          </w:p>
          <w:p w:rsidR="007471E9" w:rsidRPr="00A7289C" w:rsidDel="00344A9A" w:rsidRDefault="007471E9" w:rsidP="00175270">
            <w:pPr>
              <w:rPr>
                <w:b/>
                <w:sz w:val="16"/>
                <w:szCs w:val="16"/>
              </w:rPr>
            </w:pPr>
            <w:proofErr w:type="spellStart"/>
            <w:r>
              <w:rPr>
                <w:sz w:val="16"/>
                <w:szCs w:val="16"/>
              </w:rPr>
              <w:lastRenderedPageBreak/>
              <w:t>Nombre</w:t>
            </w:r>
            <w:proofErr w:type="spellEnd"/>
            <w:r>
              <w:rPr>
                <w:sz w:val="16"/>
                <w:szCs w:val="16"/>
              </w:rPr>
              <w:t xml:space="preserve"> </w:t>
            </w:r>
            <w:proofErr w:type="spellStart"/>
            <w:r>
              <w:rPr>
                <w:sz w:val="16"/>
                <w:szCs w:val="16"/>
              </w:rPr>
              <w:t>d'emplois</w:t>
            </w:r>
            <w:proofErr w:type="spellEnd"/>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7471E9">
            <w:pPr>
              <w:spacing w:line="320" w:lineRule="atLeast"/>
              <w:rPr>
                <w:noProof/>
              </w:rPr>
            </w:pPr>
          </w:p>
          <w:p w:rsidR="007471E9" w:rsidRPr="00A7289C" w:rsidRDefault="007471E9" w:rsidP="007471E9">
            <w:pPr>
              <w:spacing w:line="320" w:lineRule="atLeast"/>
              <w:rPr>
                <w:noProof/>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857EF9" w:rsidRDefault="007471E9" w:rsidP="00175270">
            <w:pPr>
              <w:rPr>
                <w:sz w:val="16"/>
                <w:szCs w:val="16"/>
                <w:lang w:val="fr-FR"/>
              </w:rPr>
            </w:pPr>
            <w:r w:rsidRPr="00857EF9">
              <w:rPr>
                <w:sz w:val="16"/>
                <w:szCs w:val="16"/>
                <w:lang w:val="fr-FR"/>
              </w:rPr>
              <w:t>Montant des investissements (USD/an)</w:t>
            </w:r>
          </w:p>
          <w:p w:rsidR="007471E9" w:rsidRPr="00857EF9" w:rsidRDefault="007471E9" w:rsidP="00175270">
            <w:pPr>
              <w:rPr>
                <w:sz w:val="16"/>
                <w:szCs w:val="16"/>
                <w:lang w:val="fr-FR"/>
              </w:rPr>
            </w:pPr>
          </w:p>
          <w:p w:rsidR="007471E9" w:rsidRPr="00857EF9" w:rsidRDefault="007471E9" w:rsidP="00175270">
            <w:pPr>
              <w:rPr>
                <w:sz w:val="16"/>
                <w:szCs w:val="16"/>
                <w:lang w:val="fr-FR"/>
              </w:rPr>
            </w:pPr>
            <w:r w:rsidRPr="00857EF9">
              <w:rPr>
                <w:sz w:val="16"/>
                <w:szCs w:val="16"/>
                <w:lang w:val="fr-FR"/>
              </w:rPr>
              <w:t>Nombre de projets d'investissement/an</w:t>
            </w:r>
          </w:p>
          <w:p w:rsidR="007471E9" w:rsidRPr="00857EF9" w:rsidRDefault="007471E9" w:rsidP="00175270">
            <w:pPr>
              <w:rPr>
                <w:sz w:val="16"/>
                <w:szCs w:val="16"/>
                <w:lang w:val="fr-FR"/>
              </w:rPr>
            </w:pPr>
          </w:p>
          <w:p w:rsidR="005C63E2" w:rsidRPr="00857EF9" w:rsidRDefault="005C63E2" w:rsidP="00175270">
            <w:pPr>
              <w:rPr>
                <w:sz w:val="16"/>
                <w:szCs w:val="16"/>
                <w:lang w:val="fr-FR"/>
              </w:rPr>
            </w:pPr>
          </w:p>
          <w:p w:rsidR="007471E9" w:rsidRPr="00857EF9" w:rsidRDefault="007471E9" w:rsidP="00175270">
            <w:pPr>
              <w:rPr>
                <w:sz w:val="16"/>
                <w:szCs w:val="16"/>
                <w:lang w:val="fr-FR"/>
              </w:rPr>
            </w:pPr>
            <w:r w:rsidRPr="00857EF9">
              <w:rPr>
                <w:sz w:val="16"/>
                <w:szCs w:val="16"/>
                <w:lang w:val="fr-FR"/>
              </w:rPr>
              <w:lastRenderedPageBreak/>
              <w:t>Nombre d'emplois créés avec les nouveaux investissements (par sexe)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175270">
            <w:pPr>
              <w:rPr>
                <w:sz w:val="16"/>
                <w:szCs w:val="16"/>
              </w:rPr>
            </w:pPr>
            <w:r>
              <w:rPr>
                <w:sz w:val="16"/>
                <w:szCs w:val="16"/>
              </w:rPr>
              <w:lastRenderedPageBreak/>
              <w:t>$0</w:t>
            </w:r>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7471E9" w:rsidP="00175270">
            <w:pPr>
              <w:rPr>
                <w:sz w:val="16"/>
                <w:szCs w:val="16"/>
              </w:rPr>
            </w:pPr>
            <w:r>
              <w:rPr>
                <w:sz w:val="16"/>
                <w:szCs w:val="16"/>
              </w:rPr>
              <w:t>0</w:t>
            </w:r>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7471E9" w:rsidP="00175270">
            <w:pPr>
              <w:rPr>
                <w:sz w:val="16"/>
                <w:szCs w:val="16"/>
              </w:rPr>
            </w:pPr>
            <w:r>
              <w:rPr>
                <w:sz w:val="16"/>
                <w:szCs w:val="16"/>
              </w:rPr>
              <w:t>0</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7471E9">
            <w:pPr>
              <w:rPr>
                <w:sz w:val="16"/>
                <w:szCs w:val="16"/>
              </w:rPr>
            </w:pPr>
            <w:r>
              <w:rPr>
                <w:sz w:val="16"/>
                <w:szCs w:val="16"/>
              </w:rPr>
              <w:lastRenderedPageBreak/>
              <w:t>0</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0</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0</w:t>
            </w:r>
          </w:p>
          <w:p w:rsidR="007471E9" w:rsidRPr="00A7289C" w:rsidRDefault="007471E9" w:rsidP="00175270">
            <w:pPr>
              <w:rPr>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7471E9">
            <w:pPr>
              <w:rPr>
                <w:sz w:val="16"/>
                <w:szCs w:val="16"/>
              </w:rPr>
            </w:pPr>
            <w:r>
              <w:rPr>
                <w:sz w:val="16"/>
                <w:szCs w:val="16"/>
              </w:rPr>
              <w:lastRenderedPageBreak/>
              <w:t>0</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0</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891826" w:rsidP="007471E9">
            <w:pPr>
              <w:rPr>
                <w:sz w:val="16"/>
                <w:szCs w:val="16"/>
              </w:rPr>
            </w:pPr>
            <w:r>
              <w:rPr>
                <w:sz w:val="16"/>
                <w:szCs w:val="16"/>
              </w:rPr>
              <w:t>0</w:t>
            </w:r>
          </w:p>
          <w:p w:rsidR="007471E9" w:rsidRPr="00A7289C" w:rsidRDefault="007471E9" w:rsidP="007471E9">
            <w:pPr>
              <w:rPr>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7471E9">
            <w:pPr>
              <w:rPr>
                <w:sz w:val="16"/>
                <w:szCs w:val="16"/>
              </w:rPr>
            </w:pPr>
            <w:r>
              <w:rPr>
                <w:sz w:val="16"/>
                <w:szCs w:val="16"/>
              </w:rPr>
              <w:lastRenderedPageBreak/>
              <w:t>700</w:t>
            </w:r>
            <w:r w:rsidR="00E01433">
              <w:rPr>
                <w:sz w:val="16"/>
                <w:szCs w:val="16"/>
              </w:rPr>
              <w:t> </w:t>
            </w:r>
            <w:r>
              <w:rPr>
                <w:sz w:val="16"/>
                <w:szCs w:val="16"/>
              </w:rPr>
              <w:t>000</w:t>
            </w:r>
            <w:r w:rsidR="00E01433">
              <w:rPr>
                <w:sz w:val="16"/>
                <w:szCs w:val="16"/>
              </w:rPr>
              <w:t xml:space="preserve"> USD</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2</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196</w:t>
            </w:r>
            <w:r w:rsidRPr="00A7289C">
              <w:rPr>
                <w:rStyle w:val="FootnoteReference"/>
                <w:sz w:val="16"/>
                <w:szCs w:val="16"/>
              </w:rPr>
              <w:footnoteReference w:id="42"/>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7471E9">
            <w:pPr>
              <w:rPr>
                <w:sz w:val="16"/>
                <w:szCs w:val="16"/>
              </w:rPr>
            </w:pPr>
            <w:r>
              <w:rPr>
                <w:sz w:val="16"/>
                <w:szCs w:val="16"/>
              </w:rPr>
              <w:lastRenderedPageBreak/>
              <w:t xml:space="preserve"> 1,8 million USD</w:t>
            </w:r>
            <w:r w:rsidRPr="00A7289C">
              <w:rPr>
                <w:rStyle w:val="FootnoteReference"/>
                <w:sz w:val="16"/>
                <w:szCs w:val="16"/>
              </w:rPr>
              <w:footnoteReference w:id="43"/>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3</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504</w:t>
            </w:r>
          </w:p>
          <w:p w:rsidR="007471E9" w:rsidRPr="00A7289C" w:rsidRDefault="007471E9" w:rsidP="007471E9">
            <w:pPr>
              <w:rPr>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7471E9">
            <w:pPr>
              <w:rPr>
                <w:sz w:val="16"/>
                <w:szCs w:val="16"/>
              </w:rPr>
            </w:pPr>
            <w:r>
              <w:rPr>
                <w:sz w:val="16"/>
                <w:szCs w:val="16"/>
              </w:rPr>
              <w:lastRenderedPageBreak/>
              <w:t xml:space="preserve"> 3,6 </w:t>
            </w:r>
            <w:proofErr w:type="spellStart"/>
            <w:r>
              <w:rPr>
                <w:sz w:val="16"/>
                <w:szCs w:val="16"/>
              </w:rPr>
              <w:t>millions</w:t>
            </w:r>
            <w:proofErr w:type="spellEnd"/>
            <w:r>
              <w:rPr>
                <w:sz w:val="16"/>
                <w:szCs w:val="16"/>
              </w:rPr>
              <w:t xml:space="preserve"> USD</w:t>
            </w:r>
            <w:r w:rsidRPr="00A7289C">
              <w:rPr>
                <w:rStyle w:val="FootnoteReference"/>
                <w:sz w:val="16"/>
                <w:szCs w:val="16"/>
              </w:rPr>
              <w:footnoteReference w:id="44"/>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4</w:t>
            </w: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p>
          <w:p w:rsidR="007471E9" w:rsidRPr="00A7289C" w:rsidRDefault="007471E9" w:rsidP="007471E9">
            <w:pPr>
              <w:rPr>
                <w:sz w:val="16"/>
                <w:szCs w:val="16"/>
              </w:rPr>
            </w:pPr>
            <w:r>
              <w:rPr>
                <w:sz w:val="16"/>
                <w:szCs w:val="16"/>
              </w:rPr>
              <w:t>1008</w:t>
            </w:r>
          </w:p>
          <w:p w:rsidR="007471E9" w:rsidRPr="00A7289C" w:rsidRDefault="007471E9" w:rsidP="007471E9">
            <w:pPr>
              <w:rPr>
                <w:sz w:val="16"/>
                <w:szCs w:val="16"/>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5C63E2" w:rsidP="00175270">
            <w:pPr>
              <w:rPr>
                <w:sz w:val="16"/>
                <w:szCs w:val="16"/>
              </w:rPr>
            </w:pPr>
            <w:proofErr w:type="spellStart"/>
            <w:r>
              <w:rPr>
                <w:sz w:val="16"/>
                <w:szCs w:val="16"/>
              </w:rPr>
              <w:lastRenderedPageBreak/>
              <w:t>Annuelle</w:t>
            </w:r>
            <w:proofErr w:type="spellEnd"/>
            <w:r w:rsidR="007471E9">
              <w:rPr>
                <w:sz w:val="16"/>
                <w:szCs w:val="16"/>
              </w:rPr>
              <w:t xml:space="preserve"> </w:t>
            </w:r>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5C63E2" w:rsidP="00175270">
            <w:pPr>
              <w:rPr>
                <w:sz w:val="16"/>
                <w:szCs w:val="16"/>
              </w:rPr>
            </w:pPr>
            <w:proofErr w:type="spellStart"/>
            <w:r>
              <w:rPr>
                <w:sz w:val="16"/>
                <w:szCs w:val="16"/>
              </w:rPr>
              <w:t>Annuelle</w:t>
            </w:r>
            <w:proofErr w:type="spellEnd"/>
          </w:p>
          <w:p w:rsidR="007471E9" w:rsidRPr="00A7289C" w:rsidRDefault="007471E9" w:rsidP="00175270">
            <w:pPr>
              <w:rPr>
                <w:sz w:val="16"/>
                <w:szCs w:val="16"/>
              </w:rPr>
            </w:pPr>
          </w:p>
          <w:p w:rsidR="007471E9" w:rsidRPr="00A7289C" w:rsidRDefault="007471E9" w:rsidP="00175270">
            <w:pPr>
              <w:rPr>
                <w:sz w:val="16"/>
                <w:szCs w:val="16"/>
              </w:rPr>
            </w:pPr>
          </w:p>
          <w:p w:rsidR="007471E9" w:rsidRPr="00A7289C" w:rsidRDefault="007471E9" w:rsidP="00175270">
            <w:pPr>
              <w:rPr>
                <w:sz w:val="16"/>
                <w:szCs w:val="16"/>
              </w:rPr>
            </w:pPr>
          </w:p>
          <w:p w:rsidR="005C63E2" w:rsidRDefault="005C63E2" w:rsidP="00175270">
            <w:pPr>
              <w:rPr>
                <w:sz w:val="16"/>
                <w:szCs w:val="16"/>
              </w:rPr>
            </w:pPr>
          </w:p>
          <w:p w:rsidR="007471E9" w:rsidRPr="00A7289C" w:rsidRDefault="005C63E2" w:rsidP="00175270">
            <w:pPr>
              <w:rPr>
                <w:sz w:val="16"/>
                <w:szCs w:val="16"/>
              </w:rPr>
            </w:pPr>
            <w:proofErr w:type="spellStart"/>
            <w:r>
              <w:rPr>
                <w:sz w:val="16"/>
                <w:szCs w:val="16"/>
              </w:rPr>
              <w:t>Annuelle</w:t>
            </w:r>
            <w:proofErr w:type="spellEnd"/>
          </w:p>
        </w:tc>
        <w:tc>
          <w:tcPr>
            <w:tcW w:w="126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857EF9" w:rsidRDefault="007471E9" w:rsidP="00175270">
            <w:pPr>
              <w:rPr>
                <w:sz w:val="16"/>
                <w:szCs w:val="16"/>
                <w:lang w:val="fr-FR"/>
              </w:rPr>
            </w:pPr>
            <w:r w:rsidRPr="00857EF9">
              <w:rPr>
                <w:sz w:val="16"/>
                <w:szCs w:val="16"/>
                <w:lang w:val="fr-FR"/>
              </w:rPr>
              <w:lastRenderedPageBreak/>
              <w:t>MCI, BRH, autorités locales et organisations professionnelles, enquêtes auprès des investisseurs</w:t>
            </w:r>
          </w:p>
        </w:tc>
        <w:tc>
          <w:tcPr>
            <w:tcW w:w="1686"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471E9" w:rsidRPr="00857EF9" w:rsidRDefault="007471E9" w:rsidP="00175270">
            <w:pPr>
              <w:rPr>
                <w:sz w:val="16"/>
                <w:szCs w:val="16"/>
                <w:lang w:val="fr-FR"/>
              </w:rPr>
            </w:pPr>
            <w:r w:rsidRPr="00857EF9">
              <w:rPr>
                <w:sz w:val="16"/>
                <w:szCs w:val="16"/>
                <w:lang w:val="fr-FR"/>
              </w:rPr>
              <w:t>MCI, CFI et Banque centrale – Spécialiste SE du projet, Autorité des ZEI (lorsqu'elle sera fonctionnelle)</w:t>
            </w:r>
          </w:p>
        </w:tc>
      </w:tr>
      <w:tr w:rsidR="007471E9" w:rsidRPr="00A7289C" w:rsidTr="00175270">
        <w:tc>
          <w:tcPr>
            <w:tcW w:w="1681"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471E9" w:rsidRPr="00857EF9" w:rsidRDefault="007471E9" w:rsidP="00175270">
            <w:pPr>
              <w:rPr>
                <w:lang w:val="fr-FR"/>
              </w:rPr>
            </w:pPr>
          </w:p>
        </w:tc>
        <w:tc>
          <w:tcPr>
            <w:tcW w:w="70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471E9" w:rsidRPr="00857EF9" w:rsidRDefault="007471E9" w:rsidP="00175270">
            <w:pPr>
              <w:rPr>
                <w:lang w:val="fr-FR"/>
              </w:rPr>
            </w:pPr>
          </w:p>
        </w:tc>
        <w:tc>
          <w:tcPr>
            <w:tcW w:w="1403"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471E9" w:rsidRPr="00857EF9" w:rsidRDefault="007471E9" w:rsidP="00175270">
            <w:pPr>
              <w:rPr>
                <w:lang w:val="fr-FR"/>
              </w:rPr>
            </w:pPr>
          </w:p>
        </w:tc>
        <w:tc>
          <w:tcPr>
            <w:tcW w:w="112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471E9" w:rsidRPr="00857EF9" w:rsidRDefault="007471E9" w:rsidP="00175270">
            <w:pPr>
              <w:rPr>
                <w:lang w:val="fr-FR"/>
              </w:rPr>
            </w:pPr>
          </w:p>
        </w:tc>
        <w:tc>
          <w:tcPr>
            <w:tcW w:w="49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proofErr w:type="spellStart"/>
            <w:r>
              <w:rPr>
                <w:color w:val="314F4F"/>
                <w:sz w:val="16"/>
                <w:szCs w:val="16"/>
              </w:rPr>
              <w:t>Valeurs</w:t>
            </w:r>
            <w:proofErr w:type="spellEnd"/>
            <w:r>
              <w:rPr>
                <w:color w:val="314F4F"/>
                <w:sz w:val="16"/>
                <w:szCs w:val="16"/>
              </w:rPr>
              <w:t xml:space="preserve"> </w:t>
            </w:r>
            <w:proofErr w:type="spellStart"/>
            <w:r>
              <w:rPr>
                <w:color w:val="314F4F"/>
                <w:sz w:val="16"/>
                <w:szCs w:val="16"/>
              </w:rPr>
              <w:t>cibles</w:t>
            </w:r>
            <w:proofErr w:type="spellEnd"/>
          </w:p>
        </w:tc>
        <w:tc>
          <w:tcPr>
            <w:tcW w:w="1265"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tc>
        <w:tc>
          <w:tcPr>
            <w:tcW w:w="126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7471E9" w:rsidRPr="00A7289C" w:rsidRDefault="007471E9" w:rsidP="00175270">
            <w:pPr>
              <w:rPr>
                <w:color w:val="314F4F"/>
                <w:sz w:val="16"/>
                <w:szCs w:val="16"/>
              </w:rPr>
            </w:pPr>
            <w:r>
              <w:rPr>
                <w:color w:val="314F4F"/>
                <w:sz w:val="16"/>
                <w:szCs w:val="16"/>
              </w:rPr>
              <w:t xml:space="preserve">Source des </w:t>
            </w:r>
            <w:proofErr w:type="spellStart"/>
            <w:r>
              <w:rPr>
                <w:color w:val="314F4F"/>
                <w:sz w:val="16"/>
                <w:szCs w:val="16"/>
              </w:rPr>
              <w:t>données</w:t>
            </w:r>
            <w:proofErr w:type="spellEnd"/>
            <w:r>
              <w:rPr>
                <w:color w:val="314F4F"/>
                <w:sz w:val="16"/>
                <w:szCs w:val="16"/>
              </w:rPr>
              <w:t>/</w:t>
            </w:r>
          </w:p>
        </w:tc>
        <w:tc>
          <w:tcPr>
            <w:tcW w:w="1686" w:type="dxa"/>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7471E9" w:rsidRPr="00A7289C" w:rsidRDefault="007471E9" w:rsidP="00175270">
            <w:pPr>
              <w:rPr>
                <w:color w:val="314F4F"/>
                <w:sz w:val="16"/>
                <w:szCs w:val="16"/>
              </w:rPr>
            </w:pPr>
            <w:proofErr w:type="spellStart"/>
            <w:r>
              <w:rPr>
                <w:color w:val="314F4F"/>
                <w:sz w:val="16"/>
                <w:szCs w:val="16"/>
              </w:rPr>
              <w:t>Responsable</w:t>
            </w:r>
            <w:proofErr w:type="spellEnd"/>
            <w:r>
              <w:rPr>
                <w:color w:val="314F4F"/>
                <w:sz w:val="16"/>
                <w:szCs w:val="16"/>
              </w:rPr>
              <w:t xml:space="preserve"> de</w:t>
            </w:r>
          </w:p>
        </w:tc>
      </w:tr>
      <w:tr w:rsidR="007471E9" w:rsidRPr="00A7289C" w:rsidTr="00175270">
        <w:tc>
          <w:tcPr>
            <w:tcW w:w="1681"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rPr>
                <w:color w:val="314F4F"/>
                <w:sz w:val="16"/>
                <w:szCs w:val="16"/>
              </w:rPr>
            </w:pPr>
            <w:r>
              <w:rPr>
                <w:color w:val="314F4F"/>
                <w:sz w:val="16"/>
                <w:szCs w:val="16"/>
              </w:rPr>
              <w:t xml:space="preserve">Nom de </w:t>
            </w:r>
            <w:proofErr w:type="spellStart"/>
            <w:r>
              <w:rPr>
                <w:color w:val="314F4F"/>
                <w:sz w:val="16"/>
                <w:szCs w:val="16"/>
              </w:rPr>
              <w:t>l'indicateur</w:t>
            </w:r>
            <w:proofErr w:type="spellEnd"/>
          </w:p>
        </w:tc>
        <w:tc>
          <w:tcPr>
            <w:tcW w:w="70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proofErr w:type="spellStart"/>
            <w:r>
              <w:rPr>
                <w:color w:val="314F4F"/>
                <w:sz w:val="16"/>
                <w:szCs w:val="16"/>
              </w:rPr>
              <w:t>Valeur</w:t>
            </w:r>
            <w:proofErr w:type="spellEnd"/>
            <w:r>
              <w:rPr>
                <w:color w:val="314F4F"/>
                <w:sz w:val="16"/>
                <w:szCs w:val="16"/>
              </w:rPr>
              <w:t xml:space="preserve"> </w:t>
            </w:r>
            <w:proofErr w:type="spellStart"/>
            <w:r>
              <w:rPr>
                <w:color w:val="314F4F"/>
                <w:sz w:val="16"/>
                <w:szCs w:val="16"/>
              </w:rPr>
              <w:t>clé</w:t>
            </w:r>
            <w:proofErr w:type="spellEnd"/>
          </w:p>
        </w:tc>
        <w:tc>
          <w:tcPr>
            <w:tcW w:w="1403"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rPr>
                <w:color w:val="314F4F"/>
                <w:sz w:val="16"/>
                <w:szCs w:val="16"/>
              </w:rPr>
            </w:pPr>
            <w:proofErr w:type="spellStart"/>
            <w:r>
              <w:rPr>
                <w:color w:val="314F4F"/>
                <w:sz w:val="16"/>
                <w:szCs w:val="16"/>
              </w:rPr>
              <w:t>Unité</w:t>
            </w:r>
            <w:proofErr w:type="spellEnd"/>
            <w:r>
              <w:rPr>
                <w:color w:val="314F4F"/>
                <w:sz w:val="16"/>
                <w:szCs w:val="16"/>
              </w:rPr>
              <w:t xml:space="preserve"> de </w:t>
            </w:r>
            <w:proofErr w:type="spellStart"/>
            <w:r>
              <w:rPr>
                <w:color w:val="314F4F"/>
                <w:sz w:val="16"/>
                <w:szCs w:val="16"/>
              </w:rPr>
              <w:t>mesure</w:t>
            </w:r>
            <w:proofErr w:type="spellEnd"/>
          </w:p>
        </w:tc>
        <w:tc>
          <w:tcPr>
            <w:tcW w:w="112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proofErr w:type="spellStart"/>
            <w:r>
              <w:rPr>
                <w:color w:val="314F4F"/>
                <w:sz w:val="16"/>
                <w:szCs w:val="16"/>
              </w:rPr>
              <w:t>Référence</w:t>
            </w:r>
            <w:proofErr w:type="spellEnd"/>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r>
              <w:rPr>
                <w:color w:val="314F4F"/>
                <w:sz w:val="16"/>
                <w:szCs w:val="16"/>
              </w:rPr>
              <w:t>AN 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r>
              <w:rPr>
                <w:color w:val="314F4F"/>
                <w:sz w:val="16"/>
                <w:szCs w:val="16"/>
              </w:rPr>
              <w:t>AN 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r>
              <w:rPr>
                <w:color w:val="314F4F"/>
                <w:sz w:val="16"/>
                <w:szCs w:val="16"/>
              </w:rPr>
              <w:t>AN 3</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r>
              <w:rPr>
                <w:color w:val="314F4F"/>
                <w:sz w:val="16"/>
                <w:szCs w:val="16"/>
              </w:rPr>
              <w:t>AN 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jc w:val="center"/>
              <w:rPr>
                <w:color w:val="314F4F"/>
                <w:sz w:val="16"/>
                <w:szCs w:val="16"/>
              </w:rPr>
            </w:pPr>
            <w:proofErr w:type="spellStart"/>
            <w:r>
              <w:rPr>
                <w:color w:val="314F4F"/>
                <w:sz w:val="16"/>
                <w:szCs w:val="16"/>
              </w:rPr>
              <w:t>Cible</w:t>
            </w:r>
            <w:proofErr w:type="spellEnd"/>
            <w:r>
              <w:rPr>
                <w:color w:val="314F4F"/>
                <w:sz w:val="16"/>
                <w:szCs w:val="16"/>
              </w:rPr>
              <w:t xml:space="preserve"> finale</w:t>
            </w:r>
          </w:p>
        </w:tc>
        <w:tc>
          <w:tcPr>
            <w:tcW w:w="1265"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471E9" w:rsidRPr="00A7289C" w:rsidRDefault="007471E9" w:rsidP="00175270">
            <w:pPr>
              <w:rPr>
                <w:color w:val="314F4F"/>
                <w:sz w:val="16"/>
                <w:szCs w:val="16"/>
              </w:rPr>
            </w:pPr>
            <w:proofErr w:type="spellStart"/>
            <w:r>
              <w:rPr>
                <w:color w:val="314F4F"/>
                <w:sz w:val="16"/>
                <w:szCs w:val="16"/>
              </w:rPr>
              <w:t>Fréquence</w:t>
            </w:r>
            <w:proofErr w:type="spellEnd"/>
          </w:p>
        </w:tc>
        <w:tc>
          <w:tcPr>
            <w:tcW w:w="126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175270">
            <w:pPr>
              <w:rPr>
                <w:color w:val="314F4F"/>
                <w:sz w:val="16"/>
                <w:szCs w:val="16"/>
              </w:rPr>
            </w:pPr>
            <w:proofErr w:type="spellStart"/>
            <w:r>
              <w:rPr>
                <w:color w:val="314F4F"/>
                <w:sz w:val="16"/>
                <w:szCs w:val="16"/>
              </w:rPr>
              <w:t>Méthodologie</w:t>
            </w:r>
            <w:proofErr w:type="spellEnd"/>
          </w:p>
        </w:tc>
        <w:tc>
          <w:tcPr>
            <w:tcW w:w="1686" w:type="dxa"/>
            <w:tcBorders>
              <w:top w:val="nil"/>
              <w:left w:val="nil"/>
              <w:bottom w:val="single" w:sz="4" w:space="0" w:color="000000"/>
              <w:right w:val="nil"/>
            </w:tcBorders>
            <w:shd w:val="clear" w:color="auto" w:fill="FFFFFF"/>
            <w:tcMar>
              <w:top w:w="50" w:type="dxa"/>
              <w:left w:w="50" w:type="dxa"/>
              <w:bottom w:w="50" w:type="dxa"/>
              <w:right w:w="50" w:type="dxa"/>
            </w:tcMar>
          </w:tcPr>
          <w:p w:rsidR="007471E9" w:rsidRPr="00A7289C" w:rsidRDefault="007471E9" w:rsidP="00175270">
            <w:pPr>
              <w:rPr>
                <w:color w:val="314F4F"/>
                <w:sz w:val="16"/>
                <w:szCs w:val="16"/>
              </w:rPr>
            </w:pPr>
            <w:r>
              <w:rPr>
                <w:color w:val="314F4F"/>
                <w:sz w:val="16"/>
                <w:szCs w:val="16"/>
              </w:rPr>
              <w:t xml:space="preserve">la </w:t>
            </w:r>
            <w:proofErr w:type="spellStart"/>
            <w:r>
              <w:rPr>
                <w:color w:val="314F4F"/>
                <w:sz w:val="16"/>
                <w:szCs w:val="16"/>
              </w:rPr>
              <w:t>collecte</w:t>
            </w:r>
            <w:proofErr w:type="spellEnd"/>
            <w:r>
              <w:rPr>
                <w:color w:val="314F4F"/>
                <w:sz w:val="16"/>
                <w:szCs w:val="16"/>
              </w:rPr>
              <w:t xml:space="preserve"> de </w:t>
            </w:r>
            <w:proofErr w:type="spellStart"/>
            <w:r>
              <w:rPr>
                <w:color w:val="314F4F"/>
                <w:sz w:val="16"/>
                <w:szCs w:val="16"/>
              </w:rPr>
              <w:t>données</w:t>
            </w:r>
            <w:proofErr w:type="spellEnd"/>
          </w:p>
        </w:tc>
      </w:tr>
      <w:tr w:rsidR="007471E9" w:rsidRPr="00857EF9" w:rsidTr="007471E9">
        <w:tc>
          <w:tcPr>
            <w:tcW w:w="168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471E9" w:rsidRPr="00857EF9" w:rsidRDefault="007471E9" w:rsidP="00175270">
            <w:pPr>
              <w:rPr>
                <w:b/>
                <w:sz w:val="16"/>
                <w:szCs w:val="16"/>
                <w:lang w:val="fr-FR"/>
              </w:rPr>
            </w:pPr>
            <w:r w:rsidRPr="00857EF9">
              <w:rPr>
                <w:b/>
                <w:sz w:val="16"/>
                <w:szCs w:val="16"/>
                <w:lang w:val="fr-FR"/>
              </w:rPr>
              <w:t xml:space="preserve">1.3 Croissance et emplois dans les MPME </w:t>
            </w:r>
          </w:p>
          <w:p w:rsidR="007471E9" w:rsidRPr="00857EF9" w:rsidRDefault="007471E9" w:rsidP="00175270">
            <w:pPr>
              <w:rPr>
                <w:sz w:val="16"/>
                <w:szCs w:val="16"/>
                <w:lang w:val="fr-FR"/>
              </w:rPr>
            </w:pPr>
            <w:r w:rsidRPr="00857EF9">
              <w:rPr>
                <w:sz w:val="16"/>
                <w:szCs w:val="16"/>
                <w:lang w:val="fr-FR"/>
              </w:rPr>
              <w:t>Emplois supplémentaires dans les MPME appuyées par le projet</w:t>
            </w:r>
          </w:p>
          <w:p w:rsidR="007471E9" w:rsidRPr="00857EF9" w:rsidRDefault="007471E9" w:rsidP="00175270">
            <w:pPr>
              <w:rPr>
                <w:b/>
                <w:sz w:val="16"/>
                <w:szCs w:val="16"/>
                <w:lang w:val="fr-FR"/>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4507E" w:rsidRPr="00857EF9" w:rsidRDefault="0044507E" w:rsidP="00AE40C8">
            <w:pPr>
              <w:spacing w:line="320" w:lineRule="atLeast"/>
              <w:jc w:val="center"/>
              <w:rPr>
                <w:noProof/>
                <w:lang w:val="fr-FR"/>
              </w:rPr>
            </w:pPr>
          </w:p>
          <w:p w:rsidR="0044507E" w:rsidRPr="00A7289C" w:rsidRDefault="0044507E" w:rsidP="00AE40C8">
            <w:pPr>
              <w:spacing w:line="320" w:lineRule="atLeast"/>
              <w:jc w:val="center"/>
              <w:rPr>
                <w:noProof/>
              </w:rPr>
            </w:pPr>
            <w:r>
              <w:t>X</w:t>
            </w:r>
          </w:p>
          <w:p w:rsidR="007471E9" w:rsidRPr="00A7289C" w:rsidRDefault="007471E9" w:rsidP="007471E9">
            <w:pPr>
              <w:spacing w:line="320" w:lineRule="atLeast"/>
              <w:rPr>
                <w:noProof/>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857EF9" w:rsidRDefault="007471E9" w:rsidP="00175270">
            <w:pPr>
              <w:rPr>
                <w:sz w:val="16"/>
                <w:szCs w:val="16"/>
                <w:lang w:val="fr-FR"/>
              </w:rPr>
            </w:pPr>
            <w:r w:rsidRPr="00857EF9">
              <w:rPr>
                <w:sz w:val="16"/>
                <w:szCs w:val="16"/>
                <w:lang w:val="fr-FR"/>
              </w:rPr>
              <w:t>Nombre (ventilé en fonction du sexe et de la région)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857EF9" w:rsidRDefault="007471E9" w:rsidP="00175270">
            <w:pPr>
              <w:rPr>
                <w:sz w:val="16"/>
                <w:szCs w:val="16"/>
                <w:lang w:val="fr-FR"/>
              </w:rPr>
            </w:pPr>
            <w:r w:rsidRPr="00857EF9">
              <w:rPr>
                <w:sz w:val="16"/>
                <w:szCs w:val="16"/>
                <w:lang w:val="fr-FR"/>
              </w:rPr>
              <w:t>Données de référence à collecter auprès de tous les bénéficiaires des SDE</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175270">
            <w:pPr>
              <w:rPr>
                <w:sz w:val="16"/>
                <w:szCs w:val="16"/>
              </w:rPr>
            </w:pPr>
            <w:r>
              <w:rPr>
                <w:sz w:val="16"/>
                <w:szCs w:val="16"/>
              </w:rPr>
              <w:t>0</w:t>
            </w:r>
          </w:p>
          <w:p w:rsidR="007471E9" w:rsidRPr="00A7289C" w:rsidRDefault="007471E9" w:rsidP="00175270">
            <w:pPr>
              <w:rPr>
                <w:sz w:val="16"/>
                <w:szCs w:val="16"/>
              </w:rPr>
            </w:pPr>
          </w:p>
          <w:p w:rsidR="007471E9" w:rsidRPr="00A7289C" w:rsidRDefault="007471E9" w:rsidP="00175270">
            <w:pPr>
              <w:rPr>
                <w:sz w:val="16"/>
                <w:szCs w:val="16"/>
              </w:rPr>
            </w:pPr>
            <w:r>
              <w:rPr>
                <w:sz w:val="16"/>
                <w:szCs w:val="16"/>
              </w:rPr>
              <w:t>0</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E01433">
            <w:pPr>
              <w:rPr>
                <w:sz w:val="16"/>
                <w:szCs w:val="16"/>
              </w:rPr>
            </w:pPr>
            <w:proofErr w:type="spellStart"/>
            <w:r>
              <w:rPr>
                <w:sz w:val="16"/>
                <w:szCs w:val="16"/>
              </w:rPr>
              <w:t>Valeur</w:t>
            </w:r>
            <w:proofErr w:type="spellEnd"/>
            <w:r>
              <w:rPr>
                <w:sz w:val="16"/>
                <w:szCs w:val="16"/>
              </w:rPr>
              <w:t xml:space="preserve"> de </w:t>
            </w:r>
            <w:proofErr w:type="spellStart"/>
            <w:r>
              <w:rPr>
                <w:sz w:val="16"/>
                <w:szCs w:val="16"/>
              </w:rPr>
              <w:t>référence</w:t>
            </w:r>
            <w:proofErr w:type="spellEnd"/>
            <w:r>
              <w:rPr>
                <w:sz w:val="16"/>
                <w:szCs w:val="16"/>
              </w:rPr>
              <w:t xml:space="preserve"> plus 2</w:t>
            </w:r>
            <w:r w:rsidR="00E01433">
              <w:rPr>
                <w:sz w:val="16"/>
                <w:szCs w:val="16"/>
              </w:rPr>
              <w:t xml:space="preserve"> %</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E01433">
            <w:pPr>
              <w:rPr>
                <w:sz w:val="16"/>
                <w:szCs w:val="16"/>
              </w:rPr>
            </w:pPr>
            <w:proofErr w:type="spellStart"/>
            <w:r>
              <w:rPr>
                <w:sz w:val="16"/>
                <w:szCs w:val="16"/>
              </w:rPr>
              <w:t>Valeur</w:t>
            </w:r>
            <w:proofErr w:type="spellEnd"/>
            <w:r>
              <w:rPr>
                <w:sz w:val="16"/>
                <w:szCs w:val="16"/>
              </w:rPr>
              <w:t xml:space="preserve"> de </w:t>
            </w:r>
            <w:proofErr w:type="spellStart"/>
            <w:r>
              <w:rPr>
                <w:sz w:val="16"/>
                <w:szCs w:val="16"/>
              </w:rPr>
              <w:t>référence</w:t>
            </w:r>
            <w:proofErr w:type="spellEnd"/>
            <w:r>
              <w:rPr>
                <w:sz w:val="16"/>
                <w:szCs w:val="16"/>
              </w:rPr>
              <w:t xml:space="preserve"> plus 4</w:t>
            </w:r>
            <w:r w:rsidR="00E01433">
              <w:rPr>
                <w:sz w:val="16"/>
                <w:szCs w:val="16"/>
              </w:rPr>
              <w:t xml:space="preserve"> %</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E01433">
            <w:pPr>
              <w:rPr>
                <w:sz w:val="16"/>
                <w:szCs w:val="16"/>
              </w:rPr>
            </w:pPr>
            <w:proofErr w:type="spellStart"/>
            <w:r>
              <w:rPr>
                <w:sz w:val="16"/>
                <w:szCs w:val="16"/>
              </w:rPr>
              <w:t>Valeur</w:t>
            </w:r>
            <w:proofErr w:type="spellEnd"/>
            <w:r>
              <w:rPr>
                <w:sz w:val="16"/>
                <w:szCs w:val="16"/>
              </w:rPr>
              <w:t xml:space="preserve"> de </w:t>
            </w:r>
            <w:proofErr w:type="spellStart"/>
            <w:r>
              <w:rPr>
                <w:sz w:val="16"/>
                <w:szCs w:val="16"/>
              </w:rPr>
              <w:t>référence</w:t>
            </w:r>
            <w:proofErr w:type="spellEnd"/>
            <w:r>
              <w:rPr>
                <w:sz w:val="16"/>
                <w:szCs w:val="16"/>
              </w:rPr>
              <w:t xml:space="preserve"> plus 6</w:t>
            </w:r>
            <w:r w:rsidR="00E01433">
              <w:rPr>
                <w:sz w:val="16"/>
                <w:szCs w:val="16"/>
              </w:rPr>
              <w:t xml:space="preserve"> %</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7471E9" w:rsidP="00E01433">
            <w:pPr>
              <w:rPr>
                <w:sz w:val="16"/>
                <w:szCs w:val="16"/>
              </w:rPr>
            </w:pPr>
            <w:proofErr w:type="spellStart"/>
            <w:r>
              <w:rPr>
                <w:sz w:val="16"/>
                <w:szCs w:val="16"/>
              </w:rPr>
              <w:t>Valeur</w:t>
            </w:r>
            <w:proofErr w:type="spellEnd"/>
            <w:r>
              <w:rPr>
                <w:sz w:val="16"/>
                <w:szCs w:val="16"/>
              </w:rPr>
              <w:t xml:space="preserve"> de </w:t>
            </w:r>
            <w:proofErr w:type="spellStart"/>
            <w:r>
              <w:rPr>
                <w:sz w:val="16"/>
                <w:szCs w:val="16"/>
              </w:rPr>
              <w:t>référence</w:t>
            </w:r>
            <w:proofErr w:type="spellEnd"/>
            <w:r>
              <w:rPr>
                <w:sz w:val="16"/>
                <w:szCs w:val="16"/>
              </w:rPr>
              <w:t xml:space="preserve"> plus 10</w:t>
            </w:r>
            <w:r w:rsidR="00E01433">
              <w:rPr>
                <w:sz w:val="16"/>
                <w:szCs w:val="16"/>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A7289C" w:rsidRDefault="005C63E2" w:rsidP="00175270">
            <w:pPr>
              <w:rPr>
                <w:sz w:val="16"/>
                <w:szCs w:val="16"/>
              </w:rPr>
            </w:pPr>
            <w:proofErr w:type="spellStart"/>
            <w:r>
              <w:rPr>
                <w:sz w:val="16"/>
                <w:szCs w:val="16"/>
              </w:rPr>
              <w:t>Annuelle</w:t>
            </w:r>
            <w:proofErr w:type="spellEnd"/>
          </w:p>
        </w:tc>
        <w:tc>
          <w:tcPr>
            <w:tcW w:w="126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471E9" w:rsidRPr="00857EF9" w:rsidRDefault="007471E9" w:rsidP="00175270">
            <w:pPr>
              <w:rPr>
                <w:sz w:val="16"/>
                <w:szCs w:val="16"/>
                <w:lang w:val="fr-FR"/>
              </w:rPr>
            </w:pPr>
            <w:r w:rsidRPr="00857EF9">
              <w:rPr>
                <w:sz w:val="16"/>
                <w:szCs w:val="16"/>
                <w:lang w:val="fr-FR"/>
              </w:rPr>
              <w:t xml:space="preserve">Enquête auprès d'un échantillon aléatoire au sein d'un groupe de bénéficiaires des SDE  </w:t>
            </w:r>
          </w:p>
        </w:tc>
        <w:tc>
          <w:tcPr>
            <w:tcW w:w="1686"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471E9" w:rsidRPr="00857EF9" w:rsidRDefault="007471E9" w:rsidP="00175270">
            <w:pPr>
              <w:rPr>
                <w:sz w:val="16"/>
                <w:szCs w:val="16"/>
                <w:lang w:val="fr-FR"/>
              </w:rPr>
            </w:pPr>
            <w:r w:rsidRPr="00857EF9">
              <w:rPr>
                <w:sz w:val="16"/>
                <w:szCs w:val="16"/>
                <w:lang w:val="fr-FR"/>
              </w:rPr>
              <w:t>Fournisseurs de services SDE, personnel du CDEE et du GBM</w:t>
            </w:r>
          </w:p>
        </w:tc>
      </w:tr>
    </w:tbl>
    <w:p w:rsidR="00E02247" w:rsidRDefault="00E02247" w:rsidP="007D6265">
      <w:pPr>
        <w:spacing w:line="276" w:lineRule="auto"/>
        <w:rPr>
          <w:lang w:val="fr-FR"/>
        </w:rPr>
      </w:pPr>
    </w:p>
    <w:p w:rsidR="007D6265" w:rsidRPr="00857EF9" w:rsidRDefault="007D6265" w:rsidP="007D6265">
      <w:pPr>
        <w:spacing w:line="276" w:lineRule="auto"/>
        <w:rPr>
          <w:lang w:val="fr-FR"/>
        </w:rPr>
      </w:pPr>
    </w:p>
    <w:tbl>
      <w:tblPr>
        <w:tblW w:w="14052"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672"/>
        <w:gridCol w:w="701"/>
        <w:gridCol w:w="1403"/>
        <w:gridCol w:w="1124"/>
        <w:gridCol w:w="985"/>
        <w:gridCol w:w="985"/>
        <w:gridCol w:w="985"/>
        <w:gridCol w:w="986"/>
        <w:gridCol w:w="990"/>
        <w:gridCol w:w="1265"/>
        <w:gridCol w:w="1264"/>
        <w:gridCol w:w="9"/>
        <w:gridCol w:w="1683"/>
      </w:tblGrid>
      <w:tr w:rsidR="00C0684D" w:rsidRPr="00A7289C" w:rsidTr="007471E9">
        <w:tc>
          <w:tcPr>
            <w:tcW w:w="14052" w:type="dxa"/>
            <w:gridSpan w:val="13"/>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C0684D" w:rsidRPr="00A7289C" w:rsidRDefault="00C0684D" w:rsidP="00B6204D">
            <w:pPr>
              <w:rPr>
                <w:sz w:val="20"/>
                <w:szCs w:val="20"/>
              </w:rPr>
            </w:pPr>
            <w:proofErr w:type="spellStart"/>
            <w:r>
              <w:rPr>
                <w:b/>
                <w:bCs/>
                <w:sz w:val="20"/>
                <w:szCs w:val="20"/>
              </w:rPr>
              <w:t>Indicateurs</w:t>
            </w:r>
            <w:proofErr w:type="spellEnd"/>
            <w:r>
              <w:rPr>
                <w:b/>
                <w:bCs/>
                <w:sz w:val="20"/>
                <w:szCs w:val="20"/>
              </w:rPr>
              <w:t xml:space="preserve"> de </w:t>
            </w:r>
            <w:proofErr w:type="spellStart"/>
            <w:r>
              <w:rPr>
                <w:b/>
                <w:bCs/>
                <w:sz w:val="20"/>
                <w:szCs w:val="20"/>
              </w:rPr>
              <w:t>résultats</w:t>
            </w:r>
            <w:proofErr w:type="spellEnd"/>
            <w:r>
              <w:rPr>
                <w:b/>
                <w:bCs/>
                <w:sz w:val="20"/>
                <w:szCs w:val="20"/>
              </w:rPr>
              <w:t xml:space="preserve"> </w:t>
            </w:r>
            <w:proofErr w:type="spellStart"/>
            <w:r>
              <w:rPr>
                <w:b/>
                <w:bCs/>
                <w:sz w:val="20"/>
                <w:szCs w:val="20"/>
              </w:rPr>
              <w:t>intermédiaires</w:t>
            </w:r>
            <w:proofErr w:type="spellEnd"/>
            <w:r>
              <w:rPr>
                <w:b/>
                <w:bCs/>
                <w:sz w:val="20"/>
                <w:szCs w:val="20"/>
              </w:rPr>
              <w:t xml:space="preserve"> </w:t>
            </w:r>
          </w:p>
        </w:tc>
      </w:tr>
      <w:tr w:rsidR="00C0684D" w:rsidRPr="00A7289C" w:rsidTr="00296CFD">
        <w:tc>
          <w:tcPr>
            <w:tcW w:w="1672"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tc>
        <w:tc>
          <w:tcPr>
            <w:tcW w:w="701"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tc>
        <w:tc>
          <w:tcPr>
            <w:tcW w:w="1403"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tc>
        <w:tc>
          <w:tcPr>
            <w:tcW w:w="112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tc>
        <w:tc>
          <w:tcPr>
            <w:tcW w:w="493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Valeurs</w:t>
            </w:r>
            <w:proofErr w:type="spellEnd"/>
            <w:r>
              <w:rPr>
                <w:color w:val="314F4F"/>
                <w:sz w:val="16"/>
                <w:szCs w:val="16"/>
              </w:rPr>
              <w:t xml:space="preserve"> </w:t>
            </w:r>
            <w:proofErr w:type="spellStart"/>
            <w:r>
              <w:rPr>
                <w:color w:val="314F4F"/>
                <w:sz w:val="16"/>
                <w:szCs w:val="16"/>
              </w:rPr>
              <w:t>cibles</w:t>
            </w:r>
            <w:proofErr w:type="spellEnd"/>
          </w:p>
        </w:tc>
        <w:tc>
          <w:tcPr>
            <w:tcW w:w="1265"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tc>
        <w:tc>
          <w:tcPr>
            <w:tcW w:w="126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C0684D" w:rsidRPr="00A7289C" w:rsidRDefault="00C0684D" w:rsidP="00B6204D">
            <w:pPr>
              <w:rPr>
                <w:color w:val="314F4F"/>
                <w:sz w:val="16"/>
                <w:szCs w:val="16"/>
              </w:rPr>
            </w:pPr>
            <w:r>
              <w:rPr>
                <w:color w:val="314F4F"/>
                <w:sz w:val="16"/>
                <w:szCs w:val="16"/>
              </w:rPr>
              <w:t xml:space="preserve">Source des </w:t>
            </w:r>
            <w:proofErr w:type="spellStart"/>
            <w:r>
              <w:rPr>
                <w:color w:val="314F4F"/>
                <w:sz w:val="16"/>
                <w:szCs w:val="16"/>
              </w:rPr>
              <w:t>données</w:t>
            </w:r>
            <w:proofErr w:type="spellEnd"/>
            <w:r>
              <w:rPr>
                <w:color w:val="314F4F"/>
                <w:sz w:val="16"/>
                <w:szCs w:val="16"/>
              </w:rPr>
              <w:t>/</w:t>
            </w:r>
          </w:p>
        </w:tc>
        <w:tc>
          <w:tcPr>
            <w:tcW w:w="1692" w:type="dxa"/>
            <w:gridSpan w:val="2"/>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C0684D" w:rsidRPr="00A7289C" w:rsidRDefault="00C0684D" w:rsidP="00B6204D">
            <w:pPr>
              <w:rPr>
                <w:color w:val="314F4F"/>
                <w:sz w:val="16"/>
                <w:szCs w:val="16"/>
              </w:rPr>
            </w:pPr>
            <w:proofErr w:type="spellStart"/>
            <w:r>
              <w:rPr>
                <w:color w:val="314F4F"/>
                <w:sz w:val="16"/>
                <w:szCs w:val="16"/>
              </w:rPr>
              <w:t>Responsable</w:t>
            </w:r>
            <w:proofErr w:type="spellEnd"/>
            <w:r>
              <w:rPr>
                <w:color w:val="314F4F"/>
                <w:sz w:val="16"/>
                <w:szCs w:val="16"/>
              </w:rPr>
              <w:t xml:space="preserve"> de</w:t>
            </w:r>
          </w:p>
        </w:tc>
      </w:tr>
      <w:tr w:rsidR="00C0684D" w:rsidRPr="00A7289C" w:rsidTr="00296CFD">
        <w:tc>
          <w:tcPr>
            <w:tcW w:w="1672"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color w:val="314F4F"/>
                <w:sz w:val="16"/>
                <w:szCs w:val="16"/>
              </w:rPr>
            </w:pPr>
            <w:r>
              <w:rPr>
                <w:color w:val="314F4F"/>
                <w:sz w:val="16"/>
                <w:szCs w:val="16"/>
              </w:rPr>
              <w:t xml:space="preserve">Nom de </w:t>
            </w:r>
            <w:proofErr w:type="spellStart"/>
            <w:r>
              <w:rPr>
                <w:color w:val="314F4F"/>
                <w:sz w:val="16"/>
                <w:szCs w:val="16"/>
              </w:rPr>
              <w:t>l'indicateur</w:t>
            </w:r>
            <w:proofErr w:type="spellEnd"/>
          </w:p>
        </w:tc>
        <w:tc>
          <w:tcPr>
            <w:tcW w:w="701"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Valeur</w:t>
            </w:r>
            <w:proofErr w:type="spellEnd"/>
            <w:r>
              <w:rPr>
                <w:color w:val="314F4F"/>
                <w:sz w:val="16"/>
                <w:szCs w:val="16"/>
              </w:rPr>
              <w:t xml:space="preserve"> </w:t>
            </w:r>
            <w:proofErr w:type="spellStart"/>
            <w:r>
              <w:rPr>
                <w:color w:val="314F4F"/>
                <w:sz w:val="16"/>
                <w:szCs w:val="16"/>
              </w:rPr>
              <w:t>clé</w:t>
            </w:r>
            <w:proofErr w:type="spellEnd"/>
          </w:p>
        </w:tc>
        <w:tc>
          <w:tcPr>
            <w:tcW w:w="1403"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color w:val="314F4F"/>
                <w:sz w:val="16"/>
                <w:szCs w:val="16"/>
              </w:rPr>
            </w:pPr>
            <w:proofErr w:type="spellStart"/>
            <w:r>
              <w:rPr>
                <w:color w:val="314F4F"/>
                <w:sz w:val="16"/>
                <w:szCs w:val="16"/>
              </w:rPr>
              <w:t>Unité</w:t>
            </w:r>
            <w:proofErr w:type="spellEnd"/>
            <w:r>
              <w:rPr>
                <w:color w:val="314F4F"/>
                <w:sz w:val="16"/>
                <w:szCs w:val="16"/>
              </w:rPr>
              <w:t xml:space="preserve"> de </w:t>
            </w:r>
            <w:proofErr w:type="spellStart"/>
            <w:r>
              <w:rPr>
                <w:color w:val="314F4F"/>
                <w:sz w:val="16"/>
                <w:szCs w:val="16"/>
              </w:rPr>
              <w:t>mesure</w:t>
            </w:r>
            <w:proofErr w:type="spellEnd"/>
          </w:p>
        </w:tc>
        <w:tc>
          <w:tcPr>
            <w:tcW w:w="112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Référence</w:t>
            </w:r>
            <w:proofErr w:type="spellEnd"/>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3</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r>
              <w:rPr>
                <w:color w:val="314F4F"/>
                <w:sz w:val="16"/>
                <w:szCs w:val="16"/>
              </w:rPr>
              <w:t>AN 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jc w:val="center"/>
              <w:rPr>
                <w:color w:val="314F4F"/>
                <w:sz w:val="16"/>
                <w:szCs w:val="16"/>
              </w:rPr>
            </w:pPr>
            <w:proofErr w:type="spellStart"/>
            <w:r>
              <w:rPr>
                <w:color w:val="314F4F"/>
                <w:sz w:val="16"/>
                <w:szCs w:val="16"/>
              </w:rPr>
              <w:t>Cible</w:t>
            </w:r>
            <w:proofErr w:type="spellEnd"/>
            <w:r>
              <w:rPr>
                <w:color w:val="314F4F"/>
                <w:sz w:val="16"/>
                <w:szCs w:val="16"/>
              </w:rPr>
              <w:t xml:space="preserve"> finale</w:t>
            </w:r>
          </w:p>
        </w:tc>
        <w:tc>
          <w:tcPr>
            <w:tcW w:w="1265"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color w:val="314F4F"/>
                <w:sz w:val="16"/>
                <w:szCs w:val="16"/>
              </w:rPr>
            </w:pPr>
            <w:proofErr w:type="spellStart"/>
            <w:r>
              <w:rPr>
                <w:color w:val="314F4F"/>
                <w:sz w:val="16"/>
                <w:szCs w:val="16"/>
              </w:rPr>
              <w:t>Fréquence</w:t>
            </w:r>
            <w:proofErr w:type="spellEnd"/>
          </w:p>
        </w:tc>
        <w:tc>
          <w:tcPr>
            <w:tcW w:w="126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color w:val="314F4F"/>
                <w:sz w:val="16"/>
                <w:szCs w:val="16"/>
              </w:rPr>
            </w:pPr>
            <w:proofErr w:type="spellStart"/>
            <w:r>
              <w:rPr>
                <w:color w:val="314F4F"/>
                <w:sz w:val="16"/>
                <w:szCs w:val="16"/>
              </w:rPr>
              <w:t>Méthodologie</w:t>
            </w:r>
            <w:proofErr w:type="spellEnd"/>
          </w:p>
        </w:tc>
        <w:tc>
          <w:tcPr>
            <w:tcW w:w="1692" w:type="dxa"/>
            <w:gridSpan w:val="2"/>
            <w:tcBorders>
              <w:top w:val="nil"/>
              <w:left w:val="nil"/>
              <w:bottom w:val="single" w:sz="4" w:space="0" w:color="000000"/>
              <w:right w:val="nil"/>
            </w:tcBorders>
            <w:shd w:val="clear" w:color="auto" w:fill="FFFFFF"/>
            <w:tcMar>
              <w:top w:w="50" w:type="dxa"/>
              <w:left w:w="50" w:type="dxa"/>
              <w:bottom w:w="50" w:type="dxa"/>
              <w:right w:w="50" w:type="dxa"/>
            </w:tcMar>
          </w:tcPr>
          <w:p w:rsidR="00C0684D" w:rsidRPr="00A7289C" w:rsidRDefault="00C0684D" w:rsidP="00B6204D">
            <w:pPr>
              <w:rPr>
                <w:color w:val="314F4F"/>
                <w:sz w:val="16"/>
                <w:szCs w:val="16"/>
              </w:rPr>
            </w:pPr>
            <w:r>
              <w:rPr>
                <w:color w:val="314F4F"/>
                <w:sz w:val="16"/>
                <w:szCs w:val="16"/>
              </w:rPr>
              <w:t xml:space="preserve">la </w:t>
            </w:r>
            <w:proofErr w:type="spellStart"/>
            <w:r>
              <w:rPr>
                <w:color w:val="314F4F"/>
                <w:sz w:val="16"/>
                <w:szCs w:val="16"/>
              </w:rPr>
              <w:t>collecte</w:t>
            </w:r>
            <w:proofErr w:type="spellEnd"/>
            <w:r>
              <w:rPr>
                <w:color w:val="314F4F"/>
                <w:sz w:val="16"/>
                <w:szCs w:val="16"/>
              </w:rPr>
              <w:t xml:space="preserve"> de </w:t>
            </w:r>
            <w:proofErr w:type="spellStart"/>
            <w:r>
              <w:rPr>
                <w:color w:val="314F4F"/>
                <w:sz w:val="16"/>
                <w:szCs w:val="16"/>
              </w:rPr>
              <w:t>données</w:t>
            </w:r>
            <w:proofErr w:type="spellEnd"/>
          </w:p>
        </w:tc>
      </w:tr>
      <w:tr w:rsidR="00C0684D" w:rsidRPr="00113620" w:rsidTr="00296CFD">
        <w:tc>
          <w:tcPr>
            <w:tcW w:w="167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b/>
                <w:i/>
                <w:sz w:val="16"/>
                <w:szCs w:val="16"/>
                <w:lang w:val="fr-FR"/>
              </w:rPr>
            </w:pPr>
            <w:r w:rsidRPr="00857EF9">
              <w:rPr>
                <w:b/>
                <w:sz w:val="16"/>
                <w:szCs w:val="16"/>
                <w:lang w:val="fr-FR"/>
              </w:rPr>
              <w:t>2.1 Réforme du climat des affaires</w:t>
            </w:r>
            <w:r w:rsidRPr="00A7289C">
              <w:rPr>
                <w:b/>
                <w:sz w:val="16"/>
                <w:szCs w:val="16"/>
                <w:vertAlign w:val="superscript"/>
              </w:rPr>
              <w:footnoteReference w:id="45"/>
            </w:r>
          </w:p>
          <w:p w:rsidR="00C0684D" w:rsidRPr="00857EF9" w:rsidRDefault="00C0684D" w:rsidP="00B6204D">
            <w:pPr>
              <w:rPr>
                <w:b/>
                <w:i/>
                <w:sz w:val="16"/>
                <w:szCs w:val="16"/>
                <w:lang w:val="fr-FR"/>
              </w:rPr>
            </w:pPr>
          </w:p>
          <w:p w:rsidR="00C0684D" w:rsidRPr="00857EF9" w:rsidRDefault="00C0684D" w:rsidP="00B6204D">
            <w:pPr>
              <w:rPr>
                <w:sz w:val="16"/>
                <w:szCs w:val="16"/>
                <w:lang w:val="fr-FR"/>
              </w:rPr>
            </w:pPr>
            <w:r w:rsidRPr="00857EF9">
              <w:rPr>
                <w:sz w:val="16"/>
                <w:szCs w:val="16"/>
                <w:lang w:val="fr-FR"/>
              </w:rPr>
              <w:t>Plan d'action pour le climat des affaires (indicateur de processus)</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4B07FC" w:rsidRPr="00857EF9" w:rsidRDefault="004B07FC" w:rsidP="00B6204D">
            <w:pPr>
              <w:rPr>
                <w:sz w:val="16"/>
                <w:szCs w:val="16"/>
                <w:lang w:val="fr-FR"/>
              </w:rPr>
            </w:pPr>
          </w:p>
          <w:p w:rsidR="007D6265" w:rsidRPr="00857EF9" w:rsidRDefault="007D6265" w:rsidP="00B6204D">
            <w:pPr>
              <w:rPr>
                <w:sz w:val="16"/>
                <w:szCs w:val="16"/>
                <w:lang w:val="fr-FR"/>
              </w:rPr>
            </w:pPr>
          </w:p>
          <w:p w:rsidR="005C63E2" w:rsidRPr="00857EF9" w:rsidRDefault="005C63E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lastRenderedPageBreak/>
              <w:t>Révision de la loi sur les transactions sécurisées, création d'un registre de garanties</w:t>
            </w:r>
            <w:r w:rsidRPr="00857EF9">
              <w:rPr>
                <w:sz w:val="16"/>
                <w:szCs w:val="16"/>
                <w:lang w:val="fr-FR"/>
              </w:rPr>
              <w:br/>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Encadrement de la concurrence</w:t>
            </w:r>
          </w:p>
          <w:p w:rsidR="00C0684D" w:rsidRPr="00857EF9" w:rsidRDefault="00C0684D" w:rsidP="00B6204D">
            <w:pPr>
              <w:rPr>
                <w:sz w:val="16"/>
                <w:szCs w:val="16"/>
                <w:lang w:val="fr-FR"/>
              </w:rPr>
            </w:pPr>
            <w:r w:rsidRPr="00857EF9">
              <w:rPr>
                <w:sz w:val="16"/>
                <w:szCs w:val="16"/>
                <w:lang w:val="fr-FR"/>
              </w:rPr>
              <w:t>(indicateur de processus)</w:t>
            </w:r>
          </w:p>
          <w:p w:rsidR="00C0684D" w:rsidRPr="00857EF9" w:rsidRDefault="00C0684D" w:rsidP="00B6204D">
            <w:pPr>
              <w:rPr>
                <w:sz w:val="16"/>
                <w:szCs w:val="16"/>
                <w:lang w:val="fr-FR"/>
              </w:rPr>
            </w:pPr>
          </w:p>
        </w:tc>
        <w:tc>
          <w:tcPr>
            <w:tcW w:w="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spacing w:line="320" w:lineRule="atLeast"/>
              <w:jc w:val="center"/>
              <w:rPr>
                <w:lang w:val="fr-FR"/>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Étapes du processus (accomplies ou non)</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lastRenderedPageBreak/>
              <w:t xml:space="preserve">Étapes du processus </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296CFD" w:rsidRPr="00857EF9" w:rsidRDefault="00296CF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Étapes du processus</w:t>
            </w:r>
          </w:p>
          <w:p w:rsidR="00C0684D" w:rsidRPr="00857EF9" w:rsidRDefault="00C0684D" w:rsidP="00B6204D">
            <w:pPr>
              <w:rPr>
                <w:sz w:val="16"/>
                <w:szCs w:val="16"/>
                <w:lang w:val="fr-FR"/>
              </w:rPr>
            </w:pPr>
          </w:p>
          <w:p w:rsidR="00C0684D" w:rsidRPr="00857EF9" w:rsidRDefault="00C0684D" w:rsidP="00B6204D">
            <w:pPr>
              <w:rPr>
                <w:sz w:val="16"/>
                <w:szCs w:val="16"/>
                <w:lang w:val="fr-FR"/>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A7289C" w:rsidRDefault="00C0684D" w:rsidP="00B6204D">
            <w:pPr>
              <w:rPr>
                <w:sz w:val="16"/>
                <w:szCs w:val="16"/>
              </w:rPr>
            </w:pPr>
            <w:proofErr w:type="spellStart"/>
            <w:r>
              <w:rPr>
                <w:sz w:val="16"/>
                <w:szCs w:val="16"/>
              </w:rPr>
              <w:t>Inexistant</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5C63E2" w:rsidRDefault="005C63E2" w:rsidP="00B6204D">
            <w:pPr>
              <w:rPr>
                <w:sz w:val="16"/>
                <w:szCs w:val="16"/>
              </w:rPr>
            </w:pPr>
          </w:p>
          <w:p w:rsidR="005C63E2" w:rsidRDefault="005C63E2" w:rsidP="00B6204D">
            <w:pPr>
              <w:rPr>
                <w:sz w:val="16"/>
                <w:szCs w:val="16"/>
              </w:rPr>
            </w:pPr>
          </w:p>
          <w:p w:rsidR="00C0684D" w:rsidRPr="00A7289C" w:rsidRDefault="00C0684D" w:rsidP="00B6204D">
            <w:pPr>
              <w:rPr>
                <w:sz w:val="16"/>
                <w:szCs w:val="16"/>
              </w:rPr>
            </w:pPr>
            <w:proofErr w:type="spellStart"/>
            <w:r>
              <w:rPr>
                <w:sz w:val="16"/>
                <w:szCs w:val="16"/>
              </w:rPr>
              <w:lastRenderedPageBreak/>
              <w:t>Inexistant</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roofErr w:type="spellStart"/>
            <w:r>
              <w:rPr>
                <w:sz w:val="16"/>
                <w:szCs w:val="16"/>
              </w:rPr>
              <w:t>Inexistant</w:t>
            </w:r>
            <w:proofErr w:type="spellEnd"/>
          </w:p>
          <w:p w:rsidR="00C0684D" w:rsidRPr="00A7289C" w:rsidRDefault="00C0684D" w:rsidP="00B6204D">
            <w:pPr>
              <w:rPr>
                <w:sz w:val="16"/>
                <w:szCs w:val="16"/>
              </w:rPr>
            </w:pPr>
          </w:p>
          <w:p w:rsidR="007A5205" w:rsidRPr="00A7289C" w:rsidRDefault="007A5205" w:rsidP="00B6204D">
            <w:pPr>
              <w:rPr>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Domaines de réforme prioritaires convenus avec le GH et les autres parties prenantes</w:t>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lastRenderedPageBreak/>
              <w:t xml:space="preserve">Préparation du cadre législatif et conception du registre de garanties effectuées </w:t>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Diagnostic de deux secteurs clés achevé</w:t>
            </w:r>
          </w:p>
          <w:p w:rsidR="00C0684D" w:rsidRPr="00857EF9" w:rsidRDefault="00C0684D" w:rsidP="00B6204D">
            <w:pPr>
              <w:rPr>
                <w:sz w:val="16"/>
                <w:szCs w:val="16"/>
                <w:lang w:val="fr-FR"/>
              </w:rPr>
            </w:pPr>
          </w:p>
          <w:p w:rsidR="00C0684D" w:rsidRPr="00857EF9" w:rsidRDefault="00C0684D" w:rsidP="00B6204D">
            <w:pPr>
              <w:rPr>
                <w:sz w:val="16"/>
                <w:szCs w:val="16"/>
                <w:lang w:val="fr-FR"/>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Lancement de réformes dans 1 ou 2 secteur(s)</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5C63E2" w:rsidRPr="00857EF9" w:rsidRDefault="005C63E2" w:rsidP="00B6204D">
            <w:pPr>
              <w:rPr>
                <w:sz w:val="16"/>
                <w:szCs w:val="16"/>
                <w:lang w:val="fr-FR"/>
              </w:rPr>
            </w:pPr>
          </w:p>
          <w:p w:rsidR="00C0684D" w:rsidRPr="00857EF9" w:rsidRDefault="00C0684D" w:rsidP="005C63E2">
            <w:pPr>
              <w:ind w:right="-64"/>
              <w:rPr>
                <w:sz w:val="16"/>
                <w:szCs w:val="16"/>
                <w:lang w:val="fr-FR"/>
              </w:rPr>
            </w:pPr>
            <w:r w:rsidRPr="00857EF9">
              <w:rPr>
                <w:sz w:val="16"/>
                <w:szCs w:val="16"/>
                <w:lang w:val="fr-FR"/>
              </w:rPr>
              <w:lastRenderedPageBreak/>
              <w:t xml:space="preserve">Approbation du cadre législatif par le gouvernement et présentation au Parlement </w:t>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Préparation d'un projet de cadre législatif/d'amendements</w:t>
            </w:r>
          </w:p>
          <w:p w:rsidR="007A5205" w:rsidRPr="00857EF9" w:rsidRDefault="007A5205" w:rsidP="00B6204D">
            <w:pPr>
              <w:rPr>
                <w:sz w:val="16"/>
                <w:szCs w:val="16"/>
                <w:lang w:val="fr-FR"/>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1-2 réformes achevées ; 1-2 réformes supplémentaires entamées</w:t>
            </w:r>
          </w:p>
          <w:p w:rsidR="00C0684D" w:rsidRPr="00857EF9" w:rsidRDefault="00C0684D" w:rsidP="00B6204D">
            <w:pPr>
              <w:rPr>
                <w:sz w:val="16"/>
                <w:szCs w:val="16"/>
                <w:lang w:val="fr-FR"/>
              </w:rPr>
            </w:pP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lastRenderedPageBreak/>
              <w:t xml:space="preserve">Test du registre </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21422" w:rsidRPr="00857EF9" w:rsidRDefault="00C2142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Propositions de lois/d'amendements soumises au Parlement</w:t>
            </w:r>
          </w:p>
          <w:p w:rsidR="00C0684D" w:rsidRPr="00857EF9" w:rsidRDefault="00C0684D" w:rsidP="00B6204D">
            <w:pPr>
              <w:rPr>
                <w:sz w:val="16"/>
                <w:szCs w:val="16"/>
                <w:lang w:val="fr-FR"/>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1-2 réformes achevées</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lastRenderedPageBreak/>
              <w:t>Registre fonctionnel</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Équipe centrale du MCI formée avec d'autres acteurs du secteur privé</w:t>
            </w:r>
          </w:p>
          <w:p w:rsidR="007A5205" w:rsidRPr="00857EF9" w:rsidRDefault="007A5205" w:rsidP="00B6204D">
            <w:pPr>
              <w:rPr>
                <w:sz w:val="16"/>
                <w:szCs w:val="16"/>
                <w:lang w:val="fr-FR"/>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A7289C" w:rsidRDefault="00C0684D" w:rsidP="00B6204D">
            <w:pPr>
              <w:rPr>
                <w:sz w:val="16"/>
                <w:szCs w:val="16"/>
              </w:rPr>
            </w:pPr>
            <w:r>
              <w:rPr>
                <w:sz w:val="16"/>
                <w:szCs w:val="16"/>
              </w:rPr>
              <w:t xml:space="preserve">1-2 </w:t>
            </w:r>
            <w:proofErr w:type="spellStart"/>
            <w:r>
              <w:rPr>
                <w:sz w:val="16"/>
                <w:szCs w:val="16"/>
              </w:rPr>
              <w:t>réformes</w:t>
            </w:r>
            <w:proofErr w:type="spellEnd"/>
            <w:r>
              <w:rPr>
                <w:sz w:val="16"/>
                <w:szCs w:val="16"/>
              </w:rPr>
              <w:t xml:space="preserve"> </w:t>
            </w:r>
            <w:proofErr w:type="spellStart"/>
            <w:r>
              <w:rPr>
                <w:sz w:val="16"/>
                <w:szCs w:val="16"/>
              </w:rPr>
              <w:t>achevées</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7A5205" w:rsidRPr="00A7289C" w:rsidRDefault="007A5205" w:rsidP="00B6204D">
            <w:pPr>
              <w:rPr>
                <w:sz w:val="16"/>
                <w:szCs w:val="16"/>
              </w:rPr>
            </w:pPr>
          </w:p>
          <w:p w:rsidR="007A5205" w:rsidRPr="00A7289C" w:rsidRDefault="007A5205" w:rsidP="007A5205">
            <w:pPr>
              <w:rPr>
                <w:sz w:val="16"/>
                <w:szCs w:val="16"/>
              </w:rPr>
            </w:pPr>
          </w:p>
          <w:p w:rsidR="007A5205" w:rsidRPr="00A7289C" w:rsidRDefault="007A5205" w:rsidP="008D391E">
            <w:pPr>
              <w:rPr>
                <w:sz w:val="16"/>
                <w:szCs w:val="16"/>
              </w:rPr>
            </w:pPr>
          </w:p>
          <w:p w:rsidR="007A5205" w:rsidRPr="00A7289C" w:rsidRDefault="007A5205">
            <w:pPr>
              <w:rPr>
                <w:sz w:val="16"/>
                <w:szCs w:val="16"/>
              </w:rPr>
            </w:pPr>
          </w:p>
          <w:p w:rsidR="007A5205" w:rsidRPr="00A7289C" w:rsidRDefault="007A5205">
            <w:pPr>
              <w:rPr>
                <w:sz w:val="16"/>
                <w:szCs w:val="16"/>
              </w:rPr>
            </w:pPr>
          </w:p>
          <w:p w:rsidR="007A5205" w:rsidRPr="00A7289C" w:rsidRDefault="007A5205">
            <w:pPr>
              <w:rPr>
                <w:sz w:val="16"/>
                <w:szCs w:val="16"/>
              </w:rPr>
            </w:pPr>
          </w:p>
          <w:p w:rsidR="007A5205" w:rsidRPr="00A7289C" w:rsidRDefault="007A5205">
            <w:pPr>
              <w:rPr>
                <w:sz w:val="16"/>
                <w:szCs w:val="16"/>
              </w:rPr>
            </w:pPr>
          </w:p>
          <w:p w:rsidR="007A5205" w:rsidRPr="00A7289C" w:rsidRDefault="007A5205">
            <w:pPr>
              <w:rPr>
                <w:sz w:val="16"/>
                <w:szCs w:val="16"/>
              </w:rPr>
            </w:pPr>
          </w:p>
          <w:p w:rsidR="007A5205" w:rsidRPr="00A7289C" w:rsidRDefault="007A5205">
            <w:pPr>
              <w:rPr>
                <w:sz w:val="16"/>
                <w:szCs w:val="16"/>
              </w:rPr>
            </w:pPr>
          </w:p>
          <w:p w:rsidR="007A5205" w:rsidRPr="00A7289C" w:rsidRDefault="007A5205">
            <w:pPr>
              <w:rPr>
                <w:sz w:val="16"/>
                <w:szCs w:val="16"/>
              </w:rPr>
            </w:pPr>
          </w:p>
          <w:p w:rsidR="007A5205" w:rsidRPr="00A7289C" w:rsidRDefault="007A5205">
            <w:pPr>
              <w:rPr>
                <w:sz w:val="16"/>
                <w:szCs w:val="16"/>
              </w:rPr>
            </w:pPr>
          </w:p>
          <w:p w:rsidR="00C0684D" w:rsidRPr="00A7289C" w:rsidRDefault="00C0684D" w:rsidP="00C31D8C">
            <w:pPr>
              <w:tabs>
                <w:tab w:val="left" w:pos="463"/>
              </w:tabs>
              <w:rPr>
                <w:sz w:val="16"/>
                <w:szCs w:val="16"/>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5C63E2" w:rsidP="00B6204D">
            <w:pPr>
              <w:rPr>
                <w:sz w:val="16"/>
                <w:szCs w:val="16"/>
              </w:rPr>
            </w:pPr>
            <w:proofErr w:type="spellStart"/>
            <w:r>
              <w:rPr>
                <w:sz w:val="16"/>
                <w:szCs w:val="16"/>
              </w:rPr>
              <w:t>Annuelle</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5C63E2" w:rsidRDefault="005C63E2" w:rsidP="00B6204D">
            <w:pPr>
              <w:rPr>
                <w:sz w:val="16"/>
                <w:szCs w:val="16"/>
              </w:rPr>
            </w:pPr>
          </w:p>
          <w:p w:rsidR="005C63E2" w:rsidRDefault="005C63E2" w:rsidP="00B6204D">
            <w:pPr>
              <w:rPr>
                <w:sz w:val="16"/>
                <w:szCs w:val="16"/>
              </w:rPr>
            </w:pPr>
          </w:p>
          <w:p w:rsidR="00C0684D" w:rsidRPr="00A7289C" w:rsidRDefault="005C63E2" w:rsidP="00B6204D">
            <w:pPr>
              <w:rPr>
                <w:sz w:val="16"/>
                <w:szCs w:val="16"/>
              </w:rPr>
            </w:pPr>
            <w:proofErr w:type="spellStart"/>
            <w:r>
              <w:rPr>
                <w:sz w:val="16"/>
                <w:szCs w:val="16"/>
              </w:rPr>
              <w:lastRenderedPageBreak/>
              <w:t>Annuelle</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5C63E2" w:rsidP="00B6204D">
            <w:pPr>
              <w:rPr>
                <w:sz w:val="16"/>
                <w:szCs w:val="16"/>
              </w:rPr>
            </w:pPr>
            <w:proofErr w:type="spellStart"/>
            <w:r>
              <w:rPr>
                <w:sz w:val="16"/>
                <w:szCs w:val="16"/>
              </w:rPr>
              <w:t>Annuelle</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7A5205" w:rsidRPr="00A7289C" w:rsidRDefault="007A5205" w:rsidP="00B6204D">
            <w:pPr>
              <w:rPr>
                <w:sz w:val="16"/>
                <w:szCs w:val="16"/>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Groupe de travail chargé de l'amélioration du climat des affaires</w:t>
            </w:r>
          </w:p>
          <w:p w:rsidR="00C0684D" w:rsidRPr="00857EF9" w:rsidRDefault="00C0684D" w:rsidP="00B6204D">
            <w:pPr>
              <w:rPr>
                <w:sz w:val="16"/>
                <w:szCs w:val="16"/>
                <w:lang w:val="fr-FR"/>
              </w:rPr>
            </w:pPr>
          </w:p>
          <w:p w:rsidR="005C63E2" w:rsidRPr="00857EF9" w:rsidRDefault="005C63E2" w:rsidP="005C63E2">
            <w:pPr>
              <w:rPr>
                <w:sz w:val="16"/>
                <w:szCs w:val="16"/>
                <w:lang w:val="fr-FR"/>
              </w:rPr>
            </w:pPr>
          </w:p>
          <w:p w:rsidR="005C63E2" w:rsidRPr="00857EF9" w:rsidRDefault="005C63E2" w:rsidP="005C63E2">
            <w:pPr>
              <w:rPr>
                <w:sz w:val="16"/>
                <w:szCs w:val="16"/>
                <w:lang w:val="fr-FR"/>
              </w:rPr>
            </w:pPr>
          </w:p>
          <w:p w:rsidR="005C63E2" w:rsidRPr="00857EF9" w:rsidRDefault="005C63E2" w:rsidP="005C63E2">
            <w:pPr>
              <w:rPr>
                <w:sz w:val="16"/>
                <w:szCs w:val="16"/>
                <w:lang w:val="fr-FR"/>
              </w:rPr>
            </w:pPr>
          </w:p>
          <w:p w:rsidR="005C63E2" w:rsidRPr="00857EF9" w:rsidRDefault="005C63E2" w:rsidP="005C63E2">
            <w:pPr>
              <w:rPr>
                <w:sz w:val="16"/>
                <w:szCs w:val="16"/>
                <w:lang w:val="fr-FR"/>
              </w:rPr>
            </w:pPr>
          </w:p>
          <w:p w:rsidR="00C0684D" w:rsidRPr="00A7289C" w:rsidRDefault="00C0684D" w:rsidP="005C63E2">
            <w:pPr>
              <w:rPr>
                <w:sz w:val="16"/>
                <w:szCs w:val="16"/>
              </w:rPr>
            </w:pPr>
            <w:r>
              <w:rPr>
                <w:sz w:val="16"/>
                <w:szCs w:val="16"/>
              </w:rPr>
              <w:lastRenderedPageBreak/>
              <w:t>MCI</w:t>
            </w: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5C63E2" w:rsidRDefault="005C63E2" w:rsidP="00B6204D">
            <w:pPr>
              <w:rPr>
                <w:sz w:val="16"/>
                <w:szCs w:val="16"/>
              </w:rPr>
            </w:pPr>
          </w:p>
          <w:p w:rsidR="00C0684D" w:rsidRPr="00A7289C" w:rsidRDefault="00C0684D" w:rsidP="00B6204D">
            <w:pPr>
              <w:rPr>
                <w:sz w:val="16"/>
                <w:szCs w:val="16"/>
              </w:rPr>
            </w:pPr>
            <w:r>
              <w:rPr>
                <w:sz w:val="16"/>
                <w:szCs w:val="16"/>
              </w:rPr>
              <w:t>MCI</w:t>
            </w:r>
          </w:p>
          <w:p w:rsidR="00C0684D" w:rsidRPr="00A7289C" w:rsidRDefault="00C0684D" w:rsidP="00B6204D">
            <w:pPr>
              <w:rPr>
                <w:sz w:val="16"/>
                <w:szCs w:val="16"/>
              </w:rPr>
            </w:pPr>
          </w:p>
          <w:p w:rsidR="00C0684D" w:rsidRPr="00A7289C" w:rsidRDefault="00C0684D" w:rsidP="00B6204D">
            <w:pPr>
              <w:rPr>
                <w:sz w:val="16"/>
                <w:szCs w:val="16"/>
              </w:rPr>
            </w:pPr>
            <w:r>
              <w:rPr>
                <w:sz w:val="16"/>
                <w:szCs w:val="16"/>
              </w:rPr>
              <w:t>MEF</w:t>
            </w:r>
          </w:p>
          <w:p w:rsidR="007A5205" w:rsidRPr="00A7289C" w:rsidRDefault="007A5205" w:rsidP="00B6204D">
            <w:pPr>
              <w:rPr>
                <w:sz w:val="16"/>
                <w:szCs w:val="16"/>
              </w:rPr>
            </w:pPr>
          </w:p>
          <w:p w:rsidR="007A5205" w:rsidRPr="00A7289C" w:rsidRDefault="007A5205" w:rsidP="00B6204D">
            <w:pPr>
              <w:rPr>
                <w:sz w:val="16"/>
                <w:szCs w:val="16"/>
              </w:rPr>
            </w:pPr>
            <w:r>
              <w:rPr>
                <w:sz w:val="16"/>
                <w:szCs w:val="16"/>
              </w:rPr>
              <w:t>MCI</w:t>
            </w:r>
          </w:p>
        </w:tc>
        <w:tc>
          <w:tcPr>
            <w:tcW w:w="1683"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MCI</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4B07FC" w:rsidRPr="00857EF9" w:rsidRDefault="004B07FC" w:rsidP="00B6204D">
            <w:pPr>
              <w:rPr>
                <w:sz w:val="16"/>
                <w:szCs w:val="16"/>
                <w:lang w:val="fr-FR"/>
              </w:rPr>
            </w:pPr>
          </w:p>
          <w:p w:rsidR="004B07FC" w:rsidRPr="00857EF9" w:rsidRDefault="004B07FC" w:rsidP="00B6204D">
            <w:pPr>
              <w:rPr>
                <w:sz w:val="16"/>
                <w:szCs w:val="16"/>
                <w:lang w:val="fr-FR"/>
              </w:rPr>
            </w:pPr>
          </w:p>
          <w:p w:rsidR="00C0684D" w:rsidRPr="00857EF9" w:rsidRDefault="00C0684D" w:rsidP="00B6204D">
            <w:pPr>
              <w:rPr>
                <w:sz w:val="16"/>
                <w:szCs w:val="16"/>
                <w:lang w:val="fr-FR"/>
              </w:rPr>
            </w:pP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C0684D" w:rsidRPr="00857EF9" w:rsidRDefault="00C0684D" w:rsidP="00B6204D">
            <w:pPr>
              <w:rPr>
                <w:sz w:val="16"/>
                <w:szCs w:val="16"/>
                <w:lang w:val="fr-FR"/>
              </w:rPr>
            </w:pPr>
            <w:r w:rsidRPr="00857EF9">
              <w:rPr>
                <w:sz w:val="16"/>
                <w:szCs w:val="16"/>
                <w:lang w:val="fr-FR"/>
              </w:rPr>
              <w:lastRenderedPageBreak/>
              <w:t>Personnel du MCI et du Groupe de la Banque mondiale</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Personnel du MCI et du Groupe de la Banque mondiale</w:t>
            </w:r>
          </w:p>
          <w:p w:rsidR="00C0684D" w:rsidRPr="00857EF9" w:rsidRDefault="00C0684D" w:rsidP="00B6204D">
            <w:pPr>
              <w:rPr>
                <w:sz w:val="16"/>
                <w:szCs w:val="16"/>
                <w:lang w:val="fr-FR"/>
              </w:rPr>
            </w:pPr>
          </w:p>
          <w:p w:rsidR="007A5205" w:rsidRPr="00857EF9" w:rsidRDefault="007A5205" w:rsidP="00B6204D">
            <w:pPr>
              <w:rPr>
                <w:sz w:val="16"/>
                <w:szCs w:val="16"/>
                <w:lang w:val="fr-FR"/>
              </w:rPr>
            </w:pPr>
          </w:p>
        </w:tc>
      </w:tr>
    </w:tbl>
    <w:p w:rsidR="00296CFD" w:rsidRDefault="00296CFD">
      <w:pPr>
        <w:rPr>
          <w:lang w:val="fr-FR"/>
        </w:rPr>
      </w:pPr>
    </w:p>
    <w:p w:rsidR="00120509" w:rsidRPr="00857EF9" w:rsidRDefault="00120509">
      <w:pPr>
        <w:rPr>
          <w:lang w:val="fr-FR"/>
        </w:rPr>
      </w:pPr>
    </w:p>
    <w:tbl>
      <w:tblPr>
        <w:tblW w:w="14037"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648"/>
        <w:gridCol w:w="714"/>
        <w:gridCol w:w="8"/>
        <w:gridCol w:w="1435"/>
        <w:gridCol w:w="1079"/>
        <w:gridCol w:w="983"/>
        <w:gridCol w:w="6"/>
        <w:gridCol w:w="989"/>
        <w:gridCol w:w="1079"/>
        <w:gridCol w:w="989"/>
        <w:gridCol w:w="890"/>
        <w:gridCol w:w="1264"/>
        <w:gridCol w:w="1263"/>
        <w:gridCol w:w="1649"/>
        <w:gridCol w:w="41"/>
      </w:tblGrid>
      <w:tr w:rsidR="00891826" w:rsidRPr="00A7289C" w:rsidTr="007D6265">
        <w:trPr>
          <w:trHeight w:val="383"/>
        </w:trPr>
        <w:tc>
          <w:tcPr>
            <w:tcW w:w="1648"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91826" w:rsidRPr="00857EF9" w:rsidRDefault="00891826" w:rsidP="009F130B">
            <w:pPr>
              <w:rPr>
                <w:lang w:val="fr-FR"/>
              </w:rPr>
            </w:pPr>
          </w:p>
        </w:tc>
        <w:tc>
          <w:tcPr>
            <w:tcW w:w="722"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91826" w:rsidRPr="00857EF9" w:rsidRDefault="00891826" w:rsidP="009F130B">
            <w:pPr>
              <w:rPr>
                <w:lang w:val="fr-FR"/>
              </w:rPr>
            </w:pPr>
          </w:p>
        </w:tc>
        <w:tc>
          <w:tcPr>
            <w:tcW w:w="1435"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91826" w:rsidRPr="00857EF9" w:rsidRDefault="00891826" w:rsidP="009F130B">
            <w:pPr>
              <w:rPr>
                <w:lang w:val="fr-FR"/>
              </w:rPr>
            </w:pPr>
          </w:p>
        </w:tc>
        <w:tc>
          <w:tcPr>
            <w:tcW w:w="1079"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91826" w:rsidRPr="00857EF9" w:rsidRDefault="00891826" w:rsidP="009F130B">
            <w:pPr>
              <w:rPr>
                <w:lang w:val="fr-FR"/>
              </w:rPr>
            </w:pPr>
          </w:p>
        </w:tc>
        <w:tc>
          <w:tcPr>
            <w:tcW w:w="493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proofErr w:type="spellStart"/>
            <w:r>
              <w:rPr>
                <w:color w:val="314F4F"/>
                <w:sz w:val="16"/>
                <w:szCs w:val="16"/>
              </w:rPr>
              <w:t>Valeurs</w:t>
            </w:r>
            <w:proofErr w:type="spellEnd"/>
            <w:r>
              <w:rPr>
                <w:color w:val="314F4F"/>
                <w:sz w:val="16"/>
                <w:szCs w:val="16"/>
              </w:rPr>
              <w:t xml:space="preserve"> </w:t>
            </w:r>
            <w:proofErr w:type="spellStart"/>
            <w:r>
              <w:rPr>
                <w:color w:val="314F4F"/>
                <w:sz w:val="16"/>
                <w:szCs w:val="16"/>
              </w:rPr>
              <w:t>cibles</w:t>
            </w:r>
            <w:proofErr w:type="spellEnd"/>
          </w:p>
        </w:tc>
        <w:tc>
          <w:tcPr>
            <w:tcW w:w="126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tc>
        <w:tc>
          <w:tcPr>
            <w:tcW w:w="1263"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891826" w:rsidRPr="00A7289C" w:rsidRDefault="00891826" w:rsidP="009F130B">
            <w:pPr>
              <w:rPr>
                <w:color w:val="314F4F"/>
                <w:sz w:val="16"/>
                <w:szCs w:val="16"/>
              </w:rPr>
            </w:pPr>
            <w:r>
              <w:rPr>
                <w:color w:val="314F4F"/>
                <w:sz w:val="16"/>
                <w:szCs w:val="16"/>
              </w:rPr>
              <w:t xml:space="preserve">Source des </w:t>
            </w:r>
            <w:proofErr w:type="spellStart"/>
            <w:r>
              <w:rPr>
                <w:color w:val="314F4F"/>
                <w:sz w:val="16"/>
                <w:szCs w:val="16"/>
              </w:rPr>
              <w:t>données</w:t>
            </w:r>
            <w:proofErr w:type="spellEnd"/>
            <w:r>
              <w:rPr>
                <w:color w:val="314F4F"/>
                <w:sz w:val="16"/>
                <w:szCs w:val="16"/>
              </w:rPr>
              <w:t>/</w:t>
            </w:r>
          </w:p>
        </w:tc>
        <w:tc>
          <w:tcPr>
            <w:tcW w:w="1690" w:type="dxa"/>
            <w:gridSpan w:val="2"/>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891826" w:rsidRPr="00A7289C" w:rsidRDefault="00891826" w:rsidP="009F130B">
            <w:pPr>
              <w:rPr>
                <w:color w:val="314F4F"/>
                <w:sz w:val="16"/>
                <w:szCs w:val="16"/>
              </w:rPr>
            </w:pPr>
            <w:proofErr w:type="spellStart"/>
            <w:r>
              <w:rPr>
                <w:color w:val="314F4F"/>
                <w:sz w:val="16"/>
                <w:szCs w:val="16"/>
              </w:rPr>
              <w:t>Responsable</w:t>
            </w:r>
            <w:proofErr w:type="spellEnd"/>
            <w:r>
              <w:rPr>
                <w:color w:val="314F4F"/>
                <w:sz w:val="16"/>
                <w:szCs w:val="16"/>
              </w:rPr>
              <w:t xml:space="preserve"> de</w:t>
            </w:r>
          </w:p>
        </w:tc>
      </w:tr>
      <w:tr w:rsidR="00891826" w:rsidRPr="00A7289C" w:rsidTr="007D6265">
        <w:trPr>
          <w:trHeight w:val="250"/>
        </w:trPr>
        <w:tc>
          <w:tcPr>
            <w:tcW w:w="1648"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rPr>
                <w:color w:val="314F4F"/>
                <w:sz w:val="16"/>
                <w:szCs w:val="16"/>
              </w:rPr>
            </w:pPr>
            <w:r>
              <w:rPr>
                <w:color w:val="314F4F"/>
                <w:sz w:val="16"/>
                <w:szCs w:val="16"/>
              </w:rPr>
              <w:t xml:space="preserve">Nom de </w:t>
            </w:r>
            <w:proofErr w:type="spellStart"/>
            <w:r>
              <w:rPr>
                <w:color w:val="314F4F"/>
                <w:sz w:val="16"/>
                <w:szCs w:val="16"/>
              </w:rPr>
              <w:t>l'indicateur</w:t>
            </w:r>
            <w:proofErr w:type="spellEnd"/>
          </w:p>
        </w:tc>
        <w:tc>
          <w:tcPr>
            <w:tcW w:w="722"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proofErr w:type="spellStart"/>
            <w:r>
              <w:rPr>
                <w:color w:val="314F4F"/>
                <w:sz w:val="16"/>
                <w:szCs w:val="16"/>
              </w:rPr>
              <w:t>Valeur</w:t>
            </w:r>
            <w:proofErr w:type="spellEnd"/>
            <w:r>
              <w:rPr>
                <w:color w:val="314F4F"/>
                <w:sz w:val="16"/>
                <w:szCs w:val="16"/>
              </w:rPr>
              <w:t xml:space="preserve"> </w:t>
            </w:r>
            <w:proofErr w:type="spellStart"/>
            <w:r>
              <w:rPr>
                <w:color w:val="314F4F"/>
                <w:sz w:val="16"/>
                <w:szCs w:val="16"/>
              </w:rPr>
              <w:t>clé</w:t>
            </w:r>
            <w:proofErr w:type="spellEnd"/>
          </w:p>
        </w:tc>
        <w:tc>
          <w:tcPr>
            <w:tcW w:w="1435"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rPr>
                <w:color w:val="314F4F"/>
                <w:sz w:val="16"/>
                <w:szCs w:val="16"/>
              </w:rPr>
            </w:pPr>
            <w:proofErr w:type="spellStart"/>
            <w:r>
              <w:rPr>
                <w:color w:val="314F4F"/>
                <w:sz w:val="16"/>
                <w:szCs w:val="16"/>
              </w:rPr>
              <w:t>Unité</w:t>
            </w:r>
            <w:proofErr w:type="spellEnd"/>
            <w:r>
              <w:rPr>
                <w:color w:val="314F4F"/>
                <w:sz w:val="16"/>
                <w:szCs w:val="16"/>
              </w:rPr>
              <w:t xml:space="preserve"> de </w:t>
            </w:r>
            <w:proofErr w:type="spellStart"/>
            <w:r>
              <w:rPr>
                <w:color w:val="314F4F"/>
                <w:sz w:val="16"/>
                <w:szCs w:val="16"/>
              </w:rPr>
              <w:t>mesure</w:t>
            </w:r>
            <w:proofErr w:type="spellEnd"/>
          </w:p>
        </w:tc>
        <w:tc>
          <w:tcPr>
            <w:tcW w:w="1079"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proofErr w:type="spellStart"/>
            <w:r>
              <w:rPr>
                <w:color w:val="314F4F"/>
                <w:sz w:val="16"/>
                <w:szCs w:val="16"/>
              </w:rPr>
              <w:t>Référence</w:t>
            </w:r>
            <w:proofErr w:type="spellEnd"/>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r>
              <w:rPr>
                <w:color w:val="314F4F"/>
                <w:sz w:val="16"/>
                <w:szCs w:val="16"/>
              </w:rPr>
              <w:t>AN 1</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r>
              <w:rPr>
                <w:color w:val="314F4F"/>
                <w:sz w:val="16"/>
                <w:szCs w:val="16"/>
              </w:rPr>
              <w:t>AN 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r>
              <w:rPr>
                <w:color w:val="314F4F"/>
                <w:sz w:val="16"/>
                <w:szCs w:val="16"/>
              </w:rPr>
              <w:t>AN 3</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r>
              <w:rPr>
                <w:color w:val="314F4F"/>
                <w:sz w:val="16"/>
                <w:szCs w:val="16"/>
              </w:rPr>
              <w:t>AN 4</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jc w:val="center"/>
              <w:rPr>
                <w:color w:val="314F4F"/>
                <w:sz w:val="16"/>
                <w:szCs w:val="16"/>
              </w:rPr>
            </w:pPr>
            <w:proofErr w:type="spellStart"/>
            <w:r>
              <w:rPr>
                <w:color w:val="314F4F"/>
                <w:sz w:val="16"/>
                <w:szCs w:val="16"/>
              </w:rPr>
              <w:t>Cible</w:t>
            </w:r>
            <w:proofErr w:type="spellEnd"/>
            <w:r>
              <w:rPr>
                <w:color w:val="314F4F"/>
                <w:sz w:val="16"/>
                <w:szCs w:val="16"/>
              </w:rPr>
              <w:t xml:space="preserve"> finale</w:t>
            </w:r>
          </w:p>
        </w:tc>
        <w:tc>
          <w:tcPr>
            <w:tcW w:w="126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91826" w:rsidRPr="00A7289C" w:rsidRDefault="00891826" w:rsidP="009F130B">
            <w:pPr>
              <w:rPr>
                <w:color w:val="314F4F"/>
                <w:sz w:val="16"/>
                <w:szCs w:val="16"/>
              </w:rPr>
            </w:pPr>
            <w:proofErr w:type="spellStart"/>
            <w:r>
              <w:rPr>
                <w:color w:val="314F4F"/>
                <w:sz w:val="16"/>
                <w:szCs w:val="16"/>
              </w:rPr>
              <w:t>Fréquence</w:t>
            </w:r>
            <w:proofErr w:type="spellEnd"/>
          </w:p>
        </w:tc>
        <w:tc>
          <w:tcPr>
            <w:tcW w:w="1263"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891826" w:rsidRPr="00A7289C" w:rsidRDefault="00891826" w:rsidP="009F130B">
            <w:pPr>
              <w:rPr>
                <w:color w:val="314F4F"/>
                <w:sz w:val="16"/>
                <w:szCs w:val="16"/>
              </w:rPr>
            </w:pPr>
            <w:proofErr w:type="spellStart"/>
            <w:r>
              <w:rPr>
                <w:color w:val="314F4F"/>
                <w:sz w:val="16"/>
                <w:szCs w:val="16"/>
              </w:rPr>
              <w:t>Méthodologie</w:t>
            </w:r>
            <w:proofErr w:type="spellEnd"/>
          </w:p>
        </w:tc>
        <w:tc>
          <w:tcPr>
            <w:tcW w:w="1690" w:type="dxa"/>
            <w:gridSpan w:val="2"/>
            <w:tcBorders>
              <w:top w:val="nil"/>
              <w:left w:val="nil"/>
              <w:bottom w:val="single" w:sz="4" w:space="0" w:color="000000"/>
              <w:right w:val="nil"/>
            </w:tcBorders>
            <w:shd w:val="clear" w:color="auto" w:fill="FFFFFF"/>
            <w:tcMar>
              <w:top w:w="50" w:type="dxa"/>
              <w:left w:w="50" w:type="dxa"/>
              <w:bottom w:w="50" w:type="dxa"/>
              <w:right w:w="50" w:type="dxa"/>
            </w:tcMar>
          </w:tcPr>
          <w:p w:rsidR="00891826" w:rsidRPr="00A7289C" w:rsidRDefault="00891826" w:rsidP="009F130B">
            <w:pPr>
              <w:rPr>
                <w:color w:val="314F4F"/>
                <w:sz w:val="16"/>
                <w:szCs w:val="16"/>
              </w:rPr>
            </w:pPr>
            <w:r>
              <w:rPr>
                <w:color w:val="314F4F"/>
                <w:sz w:val="16"/>
                <w:szCs w:val="16"/>
              </w:rPr>
              <w:t xml:space="preserve">la </w:t>
            </w:r>
            <w:proofErr w:type="spellStart"/>
            <w:r>
              <w:rPr>
                <w:color w:val="314F4F"/>
                <w:sz w:val="16"/>
                <w:szCs w:val="16"/>
              </w:rPr>
              <w:t>collecte</w:t>
            </w:r>
            <w:proofErr w:type="spellEnd"/>
            <w:r>
              <w:rPr>
                <w:color w:val="314F4F"/>
                <w:sz w:val="16"/>
                <w:szCs w:val="16"/>
              </w:rPr>
              <w:t xml:space="preserve"> de </w:t>
            </w:r>
            <w:proofErr w:type="spellStart"/>
            <w:r>
              <w:rPr>
                <w:color w:val="314F4F"/>
                <w:sz w:val="16"/>
                <w:szCs w:val="16"/>
              </w:rPr>
              <w:t>données</w:t>
            </w:r>
            <w:proofErr w:type="spellEnd"/>
          </w:p>
        </w:tc>
      </w:tr>
      <w:tr w:rsidR="00C0684D" w:rsidRPr="00113620" w:rsidTr="007D6265">
        <w:trPr>
          <w:gridAfter w:val="1"/>
          <w:wAfter w:w="41" w:type="dxa"/>
          <w:trHeight w:val="4470"/>
        </w:trPr>
        <w:tc>
          <w:tcPr>
            <w:tcW w:w="164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r w:rsidRPr="00857EF9">
              <w:rPr>
                <w:b/>
                <w:sz w:val="16"/>
                <w:szCs w:val="16"/>
                <w:lang w:val="fr-FR"/>
              </w:rPr>
              <w:t>2.2 Promotion de l'investissement</w:t>
            </w:r>
            <w:r w:rsidRPr="00857EF9">
              <w:rPr>
                <w:sz w:val="16"/>
                <w:szCs w:val="16"/>
                <w:lang w:val="fr-FR"/>
              </w:rPr>
              <w:br/>
            </w:r>
          </w:p>
          <w:p w:rsidR="00C0684D" w:rsidRPr="00857EF9" w:rsidRDefault="00C0684D" w:rsidP="00B6204D">
            <w:pPr>
              <w:rPr>
                <w:sz w:val="16"/>
                <w:szCs w:val="16"/>
                <w:lang w:val="fr-FR"/>
              </w:rPr>
            </w:pPr>
            <w:r w:rsidRPr="00857EF9">
              <w:rPr>
                <w:sz w:val="16"/>
                <w:szCs w:val="16"/>
                <w:lang w:val="fr-FR"/>
              </w:rPr>
              <w:t>Cadre réglementaire et institutionnel des ZEI (indicateur de processus)</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32775" w:rsidRPr="00857EF9" w:rsidRDefault="00C32775" w:rsidP="00B6204D">
            <w:pPr>
              <w:rPr>
                <w:sz w:val="16"/>
                <w:szCs w:val="16"/>
                <w:lang w:val="fr-FR"/>
              </w:rPr>
            </w:pPr>
          </w:p>
          <w:p w:rsidR="00C32775" w:rsidRPr="00857EF9" w:rsidRDefault="00C32775" w:rsidP="00B6204D">
            <w:pPr>
              <w:rPr>
                <w:sz w:val="16"/>
                <w:szCs w:val="16"/>
                <w:lang w:val="fr-FR"/>
              </w:rPr>
            </w:pPr>
          </w:p>
          <w:p w:rsidR="00C32775" w:rsidRPr="00857EF9" w:rsidRDefault="00C32775"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 xml:space="preserve">Étude de faisabilité des ZEI </w:t>
            </w:r>
          </w:p>
          <w:p w:rsidR="00C0684D" w:rsidRPr="00857EF9" w:rsidRDefault="00C0684D" w:rsidP="00B6204D">
            <w:pPr>
              <w:rPr>
                <w:sz w:val="16"/>
                <w:szCs w:val="16"/>
                <w:lang w:val="fr-FR"/>
              </w:rPr>
            </w:pPr>
          </w:p>
          <w:p w:rsidR="007471E9" w:rsidRPr="00857EF9" w:rsidRDefault="007471E9" w:rsidP="00B6204D">
            <w:pPr>
              <w:rPr>
                <w:sz w:val="16"/>
                <w:szCs w:val="16"/>
                <w:lang w:val="fr-FR"/>
              </w:rPr>
            </w:pPr>
          </w:p>
          <w:p w:rsidR="007471E9" w:rsidRPr="00857EF9" w:rsidRDefault="007471E9" w:rsidP="00B6204D">
            <w:pPr>
              <w:rPr>
                <w:sz w:val="16"/>
                <w:szCs w:val="16"/>
                <w:lang w:val="fr-FR"/>
              </w:rPr>
            </w:pPr>
          </w:p>
          <w:p w:rsidR="007471E9" w:rsidRPr="00857EF9" w:rsidRDefault="007471E9" w:rsidP="00B6204D">
            <w:pPr>
              <w:rPr>
                <w:sz w:val="16"/>
                <w:szCs w:val="16"/>
                <w:lang w:val="fr-FR"/>
              </w:rPr>
            </w:pPr>
          </w:p>
          <w:p w:rsidR="00296CFD" w:rsidRPr="00857EF9" w:rsidRDefault="00296CFD" w:rsidP="00B6204D">
            <w:pPr>
              <w:rPr>
                <w:sz w:val="16"/>
                <w:szCs w:val="16"/>
                <w:lang w:val="fr-FR"/>
              </w:rPr>
            </w:pPr>
          </w:p>
          <w:p w:rsidR="00296CFD" w:rsidRPr="00857EF9" w:rsidRDefault="00296CFD" w:rsidP="00B6204D">
            <w:pPr>
              <w:rPr>
                <w:sz w:val="16"/>
                <w:szCs w:val="16"/>
                <w:lang w:val="fr-FR"/>
              </w:rPr>
            </w:pPr>
          </w:p>
          <w:p w:rsidR="005C63E2" w:rsidRPr="00857EF9" w:rsidRDefault="005C63E2" w:rsidP="00B6204D">
            <w:pPr>
              <w:rPr>
                <w:sz w:val="16"/>
                <w:szCs w:val="16"/>
                <w:lang w:val="fr-FR"/>
              </w:rPr>
            </w:pPr>
          </w:p>
          <w:p w:rsidR="00C0684D" w:rsidRPr="00857EF9" w:rsidDel="00344A9A" w:rsidRDefault="00296CFD">
            <w:pPr>
              <w:rPr>
                <w:sz w:val="16"/>
                <w:szCs w:val="16"/>
                <w:lang w:val="fr-FR"/>
              </w:rPr>
            </w:pPr>
            <w:r w:rsidRPr="00857EF9">
              <w:rPr>
                <w:sz w:val="16"/>
                <w:szCs w:val="16"/>
                <w:lang w:val="fr-FR"/>
              </w:rPr>
              <w:t>Création d'un guichet unique pour les investisseurs</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spacing w:line="320" w:lineRule="atLeast"/>
              <w:rPr>
                <w:noProof/>
                <w:lang w:val="fr-FR"/>
              </w:rPr>
            </w:pPr>
          </w:p>
          <w:p w:rsidR="00C21422" w:rsidRPr="00857EF9" w:rsidRDefault="00C21422" w:rsidP="00B6204D">
            <w:pPr>
              <w:spacing w:line="320" w:lineRule="atLeast"/>
              <w:rPr>
                <w:noProof/>
                <w:lang w:val="fr-FR"/>
              </w:rPr>
            </w:pPr>
          </w:p>
          <w:p w:rsidR="00C0684D" w:rsidRPr="00857EF9" w:rsidRDefault="00C21422" w:rsidP="00C21422">
            <w:pPr>
              <w:tabs>
                <w:tab w:val="left" w:pos="472"/>
              </w:tabs>
              <w:rPr>
                <w:lang w:val="fr-FR"/>
              </w:rPr>
            </w:pPr>
            <w:r w:rsidRPr="00857EF9">
              <w:rPr>
                <w:lang w:val="fr-FR"/>
              </w:rPr>
              <w:tab/>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Étapes du processus</w:t>
            </w:r>
          </w:p>
          <w:p w:rsidR="00C0684D" w:rsidRPr="00857EF9" w:rsidRDefault="00C0684D" w:rsidP="00B6204D">
            <w:pPr>
              <w:rPr>
                <w:sz w:val="16"/>
                <w:szCs w:val="16"/>
                <w:lang w:val="fr-FR"/>
              </w:rPr>
            </w:pPr>
          </w:p>
          <w:p w:rsidR="004A122C" w:rsidRPr="00857EF9" w:rsidRDefault="004A122C" w:rsidP="00B6204D">
            <w:pPr>
              <w:rPr>
                <w:sz w:val="16"/>
                <w:szCs w:val="16"/>
                <w:lang w:val="fr-FR"/>
              </w:rPr>
            </w:pPr>
          </w:p>
          <w:p w:rsidR="004A122C" w:rsidRPr="00857EF9" w:rsidRDefault="004A122C"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7471E9" w:rsidRPr="00857EF9" w:rsidRDefault="007471E9"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Étapes du processus</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296CFD" w:rsidRPr="00857EF9" w:rsidRDefault="00296CFD" w:rsidP="00B6204D">
            <w:pPr>
              <w:rPr>
                <w:sz w:val="16"/>
                <w:szCs w:val="16"/>
                <w:lang w:val="fr-FR"/>
              </w:rPr>
            </w:pPr>
          </w:p>
          <w:p w:rsidR="005C63E2" w:rsidRPr="00857EF9" w:rsidRDefault="005C63E2" w:rsidP="00B6204D">
            <w:pPr>
              <w:rPr>
                <w:sz w:val="16"/>
                <w:szCs w:val="16"/>
                <w:lang w:val="fr-FR"/>
              </w:rPr>
            </w:pPr>
          </w:p>
          <w:p w:rsidR="005C63E2" w:rsidRPr="00857EF9" w:rsidRDefault="005C63E2" w:rsidP="00B6204D">
            <w:pPr>
              <w:rPr>
                <w:sz w:val="16"/>
                <w:szCs w:val="16"/>
                <w:lang w:val="fr-FR"/>
              </w:rPr>
            </w:pPr>
          </w:p>
          <w:p w:rsidR="00296CFD" w:rsidRPr="00A7289C" w:rsidRDefault="00296CFD" w:rsidP="00B6204D">
            <w:pPr>
              <w:rPr>
                <w:sz w:val="16"/>
                <w:szCs w:val="16"/>
              </w:rPr>
            </w:pPr>
            <w:proofErr w:type="spellStart"/>
            <w:r>
              <w:rPr>
                <w:sz w:val="16"/>
                <w:szCs w:val="16"/>
              </w:rPr>
              <w:t>Étapes</w:t>
            </w:r>
            <w:proofErr w:type="spellEnd"/>
            <w:r>
              <w:rPr>
                <w:sz w:val="16"/>
                <w:szCs w:val="16"/>
              </w:rPr>
              <w:t xml:space="preserve"> du </w:t>
            </w:r>
            <w:proofErr w:type="spellStart"/>
            <w:r>
              <w:rPr>
                <w:sz w:val="16"/>
                <w:szCs w:val="16"/>
              </w:rPr>
              <w:t>processus</w:t>
            </w:r>
            <w:proofErr w:type="spellEnd"/>
          </w:p>
          <w:p w:rsidR="00C0684D" w:rsidRPr="00A7289C" w:rsidRDefault="00C0684D" w:rsidP="00B6204D">
            <w:pPr>
              <w:rPr>
                <w:sz w:val="16"/>
                <w:szCs w:val="16"/>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4A122C" w:rsidRPr="00857EF9" w:rsidRDefault="004A122C" w:rsidP="00B6204D">
            <w:pPr>
              <w:rPr>
                <w:sz w:val="16"/>
                <w:szCs w:val="16"/>
                <w:lang w:val="fr-FR"/>
              </w:rPr>
            </w:pPr>
          </w:p>
          <w:p w:rsidR="004A122C" w:rsidRPr="00857EF9" w:rsidRDefault="004A122C" w:rsidP="00B6204D">
            <w:pPr>
              <w:rPr>
                <w:sz w:val="16"/>
                <w:szCs w:val="16"/>
                <w:lang w:val="fr-FR"/>
              </w:rPr>
            </w:pPr>
          </w:p>
          <w:p w:rsidR="00C0684D" w:rsidRPr="00857EF9" w:rsidRDefault="00E16493" w:rsidP="00B6204D">
            <w:pPr>
              <w:rPr>
                <w:sz w:val="16"/>
                <w:szCs w:val="16"/>
                <w:lang w:val="fr-FR"/>
              </w:rPr>
            </w:pPr>
            <w:r w:rsidRPr="00857EF9">
              <w:rPr>
                <w:sz w:val="16"/>
                <w:szCs w:val="16"/>
                <w:lang w:val="fr-FR"/>
              </w:rPr>
              <w:t>Plusieurs régimes (zones franches, parcs industriels) et institutions (DZF, SONAPI)</w:t>
            </w:r>
          </w:p>
          <w:p w:rsidR="007471E9" w:rsidRPr="00857EF9" w:rsidRDefault="007471E9" w:rsidP="00B6204D">
            <w:pPr>
              <w:rPr>
                <w:sz w:val="16"/>
                <w:szCs w:val="16"/>
                <w:lang w:val="fr-FR"/>
              </w:rPr>
            </w:pPr>
          </w:p>
          <w:p w:rsidR="005C63E2" w:rsidRPr="00857EF9" w:rsidRDefault="005C63E2" w:rsidP="00B6204D">
            <w:pPr>
              <w:rPr>
                <w:sz w:val="16"/>
                <w:szCs w:val="16"/>
                <w:lang w:val="fr-FR"/>
              </w:rPr>
            </w:pPr>
          </w:p>
          <w:p w:rsidR="00C0684D" w:rsidRPr="00A7289C" w:rsidRDefault="00C0684D" w:rsidP="00B6204D">
            <w:pPr>
              <w:rPr>
                <w:sz w:val="16"/>
                <w:szCs w:val="16"/>
              </w:rPr>
            </w:pPr>
            <w:proofErr w:type="spellStart"/>
            <w:r>
              <w:rPr>
                <w:sz w:val="16"/>
                <w:szCs w:val="16"/>
              </w:rPr>
              <w:t>Inexistant</w:t>
            </w:r>
            <w:proofErr w:type="spellEnd"/>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296CFD" w:rsidRPr="00A7289C" w:rsidRDefault="00296CFD" w:rsidP="00B6204D">
            <w:pPr>
              <w:rPr>
                <w:sz w:val="16"/>
                <w:szCs w:val="16"/>
              </w:rPr>
            </w:pPr>
          </w:p>
          <w:p w:rsidR="005C63E2" w:rsidRDefault="005C63E2" w:rsidP="00B6204D">
            <w:pPr>
              <w:rPr>
                <w:sz w:val="16"/>
                <w:szCs w:val="16"/>
              </w:rPr>
            </w:pPr>
          </w:p>
          <w:p w:rsidR="005C63E2" w:rsidRDefault="005C63E2" w:rsidP="00B6204D">
            <w:pPr>
              <w:rPr>
                <w:sz w:val="16"/>
                <w:szCs w:val="16"/>
              </w:rPr>
            </w:pPr>
          </w:p>
          <w:p w:rsidR="00C0684D" w:rsidRPr="00A7289C" w:rsidRDefault="00296CFD" w:rsidP="00B6204D">
            <w:pPr>
              <w:rPr>
                <w:sz w:val="16"/>
                <w:szCs w:val="16"/>
              </w:rPr>
            </w:pPr>
            <w:proofErr w:type="spellStart"/>
            <w:r>
              <w:rPr>
                <w:sz w:val="16"/>
                <w:szCs w:val="16"/>
              </w:rPr>
              <w:t>Inexistant</w:t>
            </w:r>
            <w:proofErr w:type="spellEnd"/>
          </w:p>
          <w:p w:rsidR="00C0684D" w:rsidRPr="00A7289C" w:rsidRDefault="00C0684D" w:rsidP="00B6204D">
            <w:pPr>
              <w:rPr>
                <w:sz w:val="16"/>
                <w:szCs w:val="16"/>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4A122C" w:rsidRPr="00857EF9" w:rsidRDefault="004A122C"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Cadre réglementaire et institutionnel des ZEI évalué</w:t>
            </w:r>
          </w:p>
          <w:p w:rsidR="00C0684D" w:rsidRPr="00857EF9" w:rsidRDefault="00C0684D" w:rsidP="00B6204D">
            <w:pPr>
              <w:rPr>
                <w:sz w:val="16"/>
                <w:szCs w:val="16"/>
                <w:lang w:val="fr-FR"/>
              </w:rPr>
            </w:pPr>
          </w:p>
          <w:p w:rsidR="007471E9" w:rsidRPr="00857EF9" w:rsidRDefault="007471E9" w:rsidP="00B6204D">
            <w:pPr>
              <w:rPr>
                <w:sz w:val="16"/>
                <w:szCs w:val="16"/>
                <w:lang w:val="fr-FR"/>
              </w:rPr>
            </w:pPr>
          </w:p>
          <w:p w:rsidR="0053261C" w:rsidRPr="00857EF9" w:rsidRDefault="0053261C"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Passation des marchés finalisée pour l'étude, étude entamée</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296CFD" w:rsidRPr="00857EF9" w:rsidRDefault="00296CFD" w:rsidP="00B6204D">
            <w:pPr>
              <w:rPr>
                <w:sz w:val="16"/>
                <w:szCs w:val="16"/>
                <w:lang w:val="fr-FR"/>
              </w:rPr>
            </w:pPr>
          </w:p>
          <w:p w:rsidR="00C0684D" w:rsidRPr="00857EF9" w:rsidRDefault="00C0684D">
            <w:pPr>
              <w:rPr>
                <w:sz w:val="16"/>
                <w:szCs w:val="16"/>
                <w:lang w:val="fr-FR"/>
              </w:rPr>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A122C" w:rsidRPr="00857EF9" w:rsidRDefault="004A122C" w:rsidP="00B6204D">
            <w:pPr>
              <w:rPr>
                <w:sz w:val="16"/>
                <w:szCs w:val="16"/>
                <w:lang w:val="fr-FR"/>
              </w:rPr>
            </w:pPr>
          </w:p>
          <w:p w:rsidR="004A122C" w:rsidRPr="00857EF9" w:rsidRDefault="004A122C" w:rsidP="00B6204D">
            <w:pPr>
              <w:rPr>
                <w:sz w:val="16"/>
                <w:szCs w:val="16"/>
                <w:lang w:val="fr-FR"/>
              </w:rPr>
            </w:pPr>
          </w:p>
          <w:p w:rsidR="004A122C" w:rsidRPr="00857EF9" w:rsidRDefault="004A122C" w:rsidP="00B6204D">
            <w:pPr>
              <w:rPr>
                <w:sz w:val="16"/>
                <w:szCs w:val="16"/>
                <w:lang w:val="fr-FR"/>
              </w:rPr>
            </w:pPr>
          </w:p>
          <w:p w:rsidR="00C0684D" w:rsidRPr="00857EF9" w:rsidRDefault="005231D6" w:rsidP="00B6204D">
            <w:pPr>
              <w:rPr>
                <w:sz w:val="16"/>
                <w:szCs w:val="16"/>
                <w:lang w:val="fr-FR"/>
              </w:rPr>
            </w:pPr>
            <w:r w:rsidRPr="00857EF9">
              <w:rPr>
                <w:sz w:val="16"/>
                <w:szCs w:val="16"/>
                <w:lang w:val="fr-FR"/>
              </w:rPr>
              <w:t>Plan d'action relatif au cadre réglementaire et institutionnel des ZEI approuvé</w:t>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Étude finalisée, décisions relatives aux prochaines étapes prises par les autorités</w:t>
            </w:r>
          </w:p>
          <w:p w:rsidR="00C0684D" w:rsidRPr="00857EF9" w:rsidRDefault="00C0684D" w:rsidP="00B6204D">
            <w:pPr>
              <w:rPr>
                <w:sz w:val="16"/>
                <w:szCs w:val="16"/>
                <w:lang w:val="fr-FR"/>
              </w:rPr>
            </w:pPr>
          </w:p>
          <w:p w:rsidR="00C0684D" w:rsidRDefault="00296CFD" w:rsidP="00B6204D">
            <w:pPr>
              <w:rPr>
                <w:sz w:val="16"/>
                <w:szCs w:val="16"/>
                <w:lang w:val="fr-FR"/>
              </w:rPr>
            </w:pPr>
            <w:r w:rsidRPr="00857EF9">
              <w:rPr>
                <w:sz w:val="16"/>
                <w:szCs w:val="16"/>
                <w:lang w:val="fr-FR"/>
              </w:rPr>
              <w:t>Conception du guichet unique achevée</w:t>
            </w:r>
          </w:p>
          <w:p w:rsidR="00120509" w:rsidRPr="00857EF9" w:rsidRDefault="00120509" w:rsidP="00B6204D">
            <w:pPr>
              <w:rPr>
                <w:sz w:val="16"/>
                <w:szCs w:val="16"/>
                <w:lang w:val="fr-FR"/>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1D6" w:rsidRPr="00857EF9" w:rsidRDefault="005231D6" w:rsidP="00B6204D">
            <w:pPr>
              <w:rPr>
                <w:sz w:val="16"/>
                <w:szCs w:val="16"/>
                <w:lang w:val="fr-FR"/>
              </w:rPr>
            </w:pPr>
          </w:p>
          <w:p w:rsidR="004A122C" w:rsidRPr="00857EF9" w:rsidRDefault="004A122C" w:rsidP="00B6204D">
            <w:pPr>
              <w:rPr>
                <w:sz w:val="16"/>
                <w:szCs w:val="16"/>
                <w:lang w:val="fr-FR"/>
              </w:rPr>
            </w:pPr>
          </w:p>
          <w:p w:rsidR="004A122C" w:rsidRPr="00857EF9" w:rsidRDefault="004A122C" w:rsidP="00B6204D">
            <w:pPr>
              <w:rPr>
                <w:sz w:val="16"/>
                <w:szCs w:val="16"/>
                <w:lang w:val="fr-FR"/>
              </w:rPr>
            </w:pPr>
          </w:p>
          <w:p w:rsidR="00C0684D" w:rsidRPr="00857EF9" w:rsidRDefault="005231D6" w:rsidP="00B6204D">
            <w:pPr>
              <w:rPr>
                <w:sz w:val="16"/>
                <w:szCs w:val="16"/>
                <w:lang w:val="fr-FR"/>
              </w:rPr>
            </w:pPr>
            <w:r w:rsidRPr="00857EF9">
              <w:rPr>
                <w:sz w:val="16"/>
                <w:szCs w:val="16"/>
                <w:lang w:val="fr-FR"/>
              </w:rPr>
              <w:t xml:space="preserve">Plan d'action relatif au cadre réglementaire et institutionnel des ZEI mis en œuvre </w:t>
            </w:r>
          </w:p>
          <w:p w:rsidR="00C0684D" w:rsidRPr="00857EF9" w:rsidRDefault="00C0684D" w:rsidP="00B6204D">
            <w:pPr>
              <w:rPr>
                <w:sz w:val="16"/>
                <w:szCs w:val="16"/>
                <w:lang w:val="fr-FR"/>
              </w:rPr>
            </w:pPr>
          </w:p>
          <w:p w:rsidR="00C0684D" w:rsidRPr="00857EF9" w:rsidRDefault="00C0684D" w:rsidP="00B6204D">
            <w:pPr>
              <w:rPr>
                <w:sz w:val="16"/>
                <w:szCs w:val="16"/>
                <w:lang w:val="fr-FR"/>
              </w:rPr>
            </w:pPr>
          </w:p>
          <w:p w:rsidR="00C21422" w:rsidRPr="00857EF9" w:rsidRDefault="00C21422" w:rsidP="00B6204D">
            <w:pPr>
              <w:rPr>
                <w:sz w:val="16"/>
                <w:szCs w:val="16"/>
                <w:lang w:val="fr-FR"/>
              </w:rPr>
            </w:pPr>
          </w:p>
          <w:p w:rsidR="00C21422" w:rsidRPr="00857EF9" w:rsidRDefault="00C21422" w:rsidP="00B6204D">
            <w:pPr>
              <w:rPr>
                <w:sz w:val="16"/>
                <w:szCs w:val="16"/>
                <w:lang w:val="fr-FR"/>
              </w:rPr>
            </w:pPr>
          </w:p>
          <w:p w:rsidR="00C21422" w:rsidRPr="00857EF9" w:rsidRDefault="00C21422" w:rsidP="00B6204D">
            <w:pPr>
              <w:rPr>
                <w:sz w:val="16"/>
                <w:szCs w:val="16"/>
                <w:lang w:val="fr-FR"/>
              </w:rPr>
            </w:pPr>
          </w:p>
          <w:p w:rsidR="00C21422" w:rsidRPr="00857EF9" w:rsidRDefault="00C21422" w:rsidP="00B6204D">
            <w:pPr>
              <w:rPr>
                <w:sz w:val="16"/>
                <w:szCs w:val="16"/>
                <w:lang w:val="fr-FR"/>
              </w:rPr>
            </w:pPr>
          </w:p>
          <w:p w:rsidR="00C21422" w:rsidRPr="00857EF9" w:rsidRDefault="00C21422" w:rsidP="00B6204D">
            <w:pPr>
              <w:rPr>
                <w:sz w:val="16"/>
                <w:szCs w:val="16"/>
                <w:lang w:val="fr-FR"/>
              </w:rPr>
            </w:pPr>
          </w:p>
          <w:p w:rsidR="00C21422" w:rsidRPr="00857EF9" w:rsidRDefault="00C21422" w:rsidP="00B6204D">
            <w:pPr>
              <w:rPr>
                <w:sz w:val="16"/>
                <w:szCs w:val="16"/>
                <w:lang w:val="fr-FR"/>
              </w:rPr>
            </w:pPr>
          </w:p>
          <w:p w:rsidR="00C21422" w:rsidRPr="00857EF9" w:rsidRDefault="00C21422" w:rsidP="00B6204D">
            <w:pPr>
              <w:rPr>
                <w:sz w:val="16"/>
                <w:szCs w:val="16"/>
                <w:lang w:val="fr-FR"/>
              </w:rPr>
            </w:pPr>
          </w:p>
          <w:p w:rsidR="007471E9" w:rsidRPr="00857EF9" w:rsidRDefault="007471E9" w:rsidP="00B6204D">
            <w:pPr>
              <w:rPr>
                <w:sz w:val="16"/>
                <w:szCs w:val="16"/>
                <w:lang w:val="fr-FR"/>
              </w:rPr>
            </w:pPr>
          </w:p>
          <w:p w:rsidR="005C63E2" w:rsidRPr="00857EF9" w:rsidRDefault="005C63E2" w:rsidP="00B6204D">
            <w:pPr>
              <w:rPr>
                <w:sz w:val="16"/>
                <w:szCs w:val="16"/>
                <w:lang w:val="fr-FR"/>
              </w:rPr>
            </w:pPr>
          </w:p>
          <w:p w:rsidR="00296CFD" w:rsidRPr="00A7289C" w:rsidRDefault="00296CFD" w:rsidP="00B6204D">
            <w:pPr>
              <w:rPr>
                <w:sz w:val="16"/>
                <w:szCs w:val="16"/>
              </w:rPr>
            </w:pPr>
            <w:proofErr w:type="spellStart"/>
            <w:r>
              <w:rPr>
                <w:sz w:val="16"/>
                <w:szCs w:val="16"/>
              </w:rPr>
              <w:t>Guichet</w:t>
            </w:r>
            <w:proofErr w:type="spellEnd"/>
            <w:r>
              <w:rPr>
                <w:sz w:val="16"/>
                <w:szCs w:val="16"/>
              </w:rPr>
              <w:t xml:space="preserve"> unique </w:t>
            </w:r>
            <w:proofErr w:type="spellStart"/>
            <w:r>
              <w:rPr>
                <w:sz w:val="16"/>
                <w:szCs w:val="16"/>
              </w:rPr>
              <w:t>mis</w:t>
            </w:r>
            <w:proofErr w:type="spellEnd"/>
            <w:r>
              <w:rPr>
                <w:sz w:val="16"/>
                <w:szCs w:val="16"/>
              </w:rPr>
              <w:t xml:space="preserve"> en </w:t>
            </w:r>
            <w:proofErr w:type="spellStart"/>
            <w:r>
              <w:rPr>
                <w:sz w:val="16"/>
                <w:szCs w:val="16"/>
              </w:rPr>
              <w:t>œuvre</w:t>
            </w:r>
            <w:proofErr w:type="spellEnd"/>
          </w:p>
          <w:p w:rsidR="00C0684D" w:rsidRPr="00A7289C" w:rsidRDefault="00C0684D" w:rsidP="00C21422">
            <w:pPr>
              <w:rPr>
                <w:sz w:val="16"/>
                <w:szCs w:val="16"/>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p w:rsidR="00C21422" w:rsidRPr="00A7289C" w:rsidRDefault="00C21422" w:rsidP="00B6204D">
            <w:pPr>
              <w:rPr>
                <w:sz w:val="16"/>
                <w:szCs w:val="16"/>
              </w:rPr>
            </w:pPr>
          </w:p>
          <w:p w:rsidR="00C0684D" w:rsidRPr="00A7289C" w:rsidRDefault="00C0684D" w:rsidP="00B6204D">
            <w:pPr>
              <w:rPr>
                <w:sz w:val="16"/>
                <w:szCs w:val="16"/>
              </w:rPr>
            </w:pPr>
          </w:p>
          <w:p w:rsidR="00C0684D" w:rsidRPr="00A7289C" w:rsidRDefault="00C0684D" w:rsidP="00B6204D">
            <w:pPr>
              <w:rPr>
                <w:sz w:val="16"/>
                <w:szCs w:val="16"/>
              </w:rPr>
            </w:pPr>
          </w:p>
          <w:p w:rsidR="00C21422" w:rsidRPr="00A7289C" w:rsidRDefault="00C21422" w:rsidP="00B6204D">
            <w:pPr>
              <w:rPr>
                <w:sz w:val="16"/>
                <w:szCs w:val="16"/>
              </w:rPr>
            </w:pPr>
          </w:p>
          <w:p w:rsidR="00C21422" w:rsidRPr="00A7289C" w:rsidRDefault="00C21422" w:rsidP="00B6204D">
            <w:pPr>
              <w:rPr>
                <w:sz w:val="16"/>
                <w:szCs w:val="16"/>
              </w:rPr>
            </w:pPr>
          </w:p>
          <w:p w:rsidR="00C21422" w:rsidRPr="00A7289C" w:rsidRDefault="00C21422" w:rsidP="00B6204D">
            <w:pPr>
              <w:rPr>
                <w:sz w:val="16"/>
                <w:szCs w:val="16"/>
              </w:rPr>
            </w:pPr>
          </w:p>
          <w:p w:rsidR="00C21422" w:rsidRPr="00A7289C" w:rsidRDefault="00C21422" w:rsidP="00B6204D">
            <w:pPr>
              <w:rPr>
                <w:sz w:val="16"/>
                <w:szCs w:val="16"/>
              </w:rPr>
            </w:pPr>
          </w:p>
          <w:p w:rsidR="00C21422" w:rsidRPr="00A7289C" w:rsidRDefault="00C21422" w:rsidP="00B6204D">
            <w:pPr>
              <w:rPr>
                <w:sz w:val="16"/>
                <w:szCs w:val="16"/>
              </w:rPr>
            </w:pPr>
          </w:p>
          <w:p w:rsidR="00C21422" w:rsidRPr="00A7289C" w:rsidRDefault="00C21422" w:rsidP="00B6204D">
            <w:pPr>
              <w:rPr>
                <w:sz w:val="16"/>
                <w:szCs w:val="16"/>
              </w:rPr>
            </w:pPr>
          </w:p>
          <w:p w:rsidR="00C21422" w:rsidRPr="00A7289C" w:rsidRDefault="00C21422" w:rsidP="00B6204D">
            <w:pPr>
              <w:rPr>
                <w:sz w:val="16"/>
                <w:szCs w:val="16"/>
              </w:rPr>
            </w:pPr>
          </w:p>
          <w:p w:rsidR="00296CFD" w:rsidRPr="00A7289C" w:rsidRDefault="00296CFD" w:rsidP="00B6204D">
            <w:pPr>
              <w:rPr>
                <w:sz w:val="16"/>
                <w:szCs w:val="16"/>
              </w:rPr>
            </w:pPr>
          </w:p>
          <w:p w:rsidR="00C0684D" w:rsidRPr="00A7289C" w:rsidRDefault="00C0684D" w:rsidP="00C21422">
            <w:pPr>
              <w:rPr>
                <w:sz w:val="16"/>
                <w:szCs w:val="16"/>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B6204D">
            <w:pPr>
              <w:rPr>
                <w:sz w:val="16"/>
                <w:szCs w:val="16"/>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5C63E2" w:rsidP="00B6204D">
            <w:pPr>
              <w:rPr>
                <w:sz w:val="16"/>
                <w:szCs w:val="16"/>
              </w:rPr>
            </w:pPr>
            <w:proofErr w:type="spellStart"/>
            <w:r>
              <w:rPr>
                <w:sz w:val="16"/>
                <w:szCs w:val="16"/>
              </w:rPr>
              <w:t>Annuelle</w:t>
            </w:r>
            <w:proofErr w:type="spellEnd"/>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C63E2" w:rsidRPr="00857EF9" w:rsidRDefault="005C63E2"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A878B6" w:rsidRPr="00857EF9" w:rsidRDefault="00A878B6" w:rsidP="00A878B6">
            <w:pPr>
              <w:rPr>
                <w:sz w:val="18"/>
                <w:szCs w:val="18"/>
                <w:lang w:val="fr-FR"/>
              </w:rPr>
            </w:pPr>
          </w:p>
          <w:p w:rsidR="00C0684D" w:rsidRPr="00857EF9" w:rsidRDefault="00C0684D" w:rsidP="00A878B6">
            <w:pPr>
              <w:rPr>
                <w:sz w:val="18"/>
                <w:szCs w:val="18"/>
                <w:lang w:val="fr-FR"/>
              </w:rPr>
            </w:pPr>
            <w:r w:rsidRPr="00857EF9">
              <w:rPr>
                <w:sz w:val="18"/>
                <w:szCs w:val="18"/>
                <w:lang w:val="fr-FR"/>
              </w:rPr>
              <w:t>MCI, CFI, DZF, Autorité des ZEI</w:t>
            </w:r>
          </w:p>
        </w:tc>
        <w:tc>
          <w:tcPr>
            <w:tcW w:w="1649"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C63E2" w:rsidRPr="00857EF9" w:rsidRDefault="005C63E2"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A878B6" w:rsidRPr="00857EF9" w:rsidRDefault="00A878B6" w:rsidP="00A878B6">
            <w:pPr>
              <w:rPr>
                <w:sz w:val="16"/>
                <w:szCs w:val="16"/>
                <w:lang w:val="fr-FR"/>
              </w:rPr>
            </w:pPr>
          </w:p>
          <w:p w:rsidR="00C0684D" w:rsidRPr="00857EF9" w:rsidRDefault="00C0684D" w:rsidP="00A878B6">
            <w:pPr>
              <w:rPr>
                <w:sz w:val="16"/>
                <w:szCs w:val="16"/>
                <w:lang w:val="fr-FR"/>
              </w:rPr>
            </w:pPr>
            <w:r w:rsidRPr="00857EF9">
              <w:rPr>
                <w:sz w:val="16"/>
                <w:szCs w:val="16"/>
                <w:lang w:val="fr-FR"/>
              </w:rPr>
              <w:t>MCI - Spécialiste SE du projet, équipe du Groupe de la Banque mondiale</w:t>
            </w:r>
          </w:p>
        </w:tc>
      </w:tr>
      <w:tr w:rsidR="00C0684D" w:rsidRPr="00113620" w:rsidTr="007D6265">
        <w:trPr>
          <w:gridAfter w:val="1"/>
          <w:wAfter w:w="41" w:type="dxa"/>
          <w:trHeight w:val="120"/>
        </w:trPr>
        <w:tc>
          <w:tcPr>
            <w:tcW w:w="164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C0684D" w:rsidRPr="00857EF9" w:rsidRDefault="0050136F" w:rsidP="00B6204D">
            <w:pPr>
              <w:rPr>
                <w:b/>
                <w:sz w:val="16"/>
                <w:szCs w:val="16"/>
                <w:lang w:val="fr-FR"/>
              </w:rPr>
            </w:pPr>
            <w:r w:rsidRPr="00857EF9">
              <w:rPr>
                <w:b/>
                <w:sz w:val="16"/>
                <w:szCs w:val="16"/>
                <w:lang w:val="fr-FR"/>
              </w:rPr>
              <w:lastRenderedPageBreak/>
              <w:t>2.3 Services de développement des entreprises pour les MPME</w:t>
            </w:r>
          </w:p>
          <w:p w:rsidR="006F1B7B" w:rsidRPr="00857EF9" w:rsidRDefault="006F1B7B"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Pourcentage de municipalités sélectionnées pour l'évaluation des besoins des MPME</w:t>
            </w:r>
          </w:p>
          <w:p w:rsidR="00C0684D" w:rsidRPr="00857EF9" w:rsidRDefault="00C0684D" w:rsidP="00B6204D">
            <w:pPr>
              <w:rPr>
                <w:sz w:val="16"/>
                <w:szCs w:val="16"/>
                <w:lang w:val="fr-FR"/>
              </w:rPr>
            </w:pPr>
          </w:p>
          <w:p w:rsidR="00C0684D" w:rsidRPr="00857EF9" w:rsidRDefault="00C0684D" w:rsidP="00B6204D">
            <w:pPr>
              <w:rPr>
                <w:sz w:val="16"/>
                <w:szCs w:val="16"/>
                <w:lang w:val="fr-FR"/>
              </w:rPr>
            </w:pPr>
            <w:r w:rsidRPr="00857EF9">
              <w:rPr>
                <w:sz w:val="16"/>
                <w:szCs w:val="16"/>
                <w:lang w:val="fr-FR"/>
              </w:rPr>
              <w:t>Pourcentage cumulé d'entreprises sélectionnées pour bénéficier d'une formation ciblée</w:t>
            </w:r>
          </w:p>
          <w:p w:rsidR="00C0684D" w:rsidRPr="00857EF9" w:rsidRDefault="00C0684D" w:rsidP="00B6204D">
            <w:pPr>
              <w:rPr>
                <w:sz w:val="16"/>
                <w:szCs w:val="16"/>
                <w:lang w:val="fr-FR"/>
              </w:rPr>
            </w:pPr>
          </w:p>
          <w:p w:rsidR="00C0684D" w:rsidRPr="00857EF9" w:rsidRDefault="00C0684D" w:rsidP="009E5BE3">
            <w:pPr>
              <w:rPr>
                <w:sz w:val="16"/>
                <w:szCs w:val="16"/>
                <w:lang w:val="fr-FR"/>
              </w:rPr>
            </w:pPr>
            <w:r w:rsidRPr="00857EF9">
              <w:rPr>
                <w:sz w:val="16"/>
                <w:szCs w:val="16"/>
                <w:lang w:val="fr-FR"/>
              </w:rPr>
              <w:t xml:space="preserve">Nombre cumulé de </w:t>
            </w:r>
            <w:r w:rsidR="009E5BE3" w:rsidRPr="00857EF9">
              <w:rPr>
                <w:sz w:val="16"/>
                <w:szCs w:val="16"/>
                <w:lang w:val="fr-FR"/>
              </w:rPr>
              <w:t>sociétés</w:t>
            </w:r>
            <w:r w:rsidRPr="00857EF9">
              <w:rPr>
                <w:sz w:val="16"/>
                <w:szCs w:val="16"/>
                <w:lang w:val="fr-FR"/>
              </w:rPr>
              <w:t xml:space="preserve"> recevant des subventions de contrepartie</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BC7304" w:rsidRDefault="00C0684D" w:rsidP="00B6204D">
            <w:pPr>
              <w:spacing w:line="320" w:lineRule="atLeast"/>
              <w:rPr>
                <w:rFonts w:eastAsiaTheme="minorEastAsia"/>
                <w:lang w:val="fr-FR" w:eastAsia="en-GB"/>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F1B7B" w:rsidRPr="00857EF9" w:rsidRDefault="006F1B7B" w:rsidP="006F1B7B">
            <w:pPr>
              <w:rPr>
                <w:sz w:val="16"/>
                <w:szCs w:val="16"/>
                <w:lang w:val="fr-FR"/>
              </w:rPr>
            </w:pPr>
          </w:p>
          <w:p w:rsidR="006F1B7B" w:rsidRPr="00857EF9" w:rsidRDefault="006F1B7B" w:rsidP="006F1B7B">
            <w:pPr>
              <w:rPr>
                <w:sz w:val="16"/>
                <w:szCs w:val="16"/>
                <w:lang w:val="fr-FR"/>
              </w:rPr>
            </w:pPr>
          </w:p>
          <w:p w:rsidR="006F1B7B" w:rsidRPr="00857EF9" w:rsidRDefault="006F1B7B" w:rsidP="006F1B7B">
            <w:pPr>
              <w:rPr>
                <w:sz w:val="16"/>
                <w:szCs w:val="16"/>
                <w:lang w:val="fr-FR"/>
              </w:rPr>
            </w:pPr>
          </w:p>
          <w:p w:rsidR="006F1B7B" w:rsidRPr="00857EF9" w:rsidRDefault="006F1B7B" w:rsidP="006F1B7B">
            <w:pPr>
              <w:rPr>
                <w:sz w:val="16"/>
                <w:szCs w:val="16"/>
                <w:lang w:val="fr-FR"/>
              </w:rPr>
            </w:pPr>
          </w:p>
          <w:p w:rsidR="006F1B7B" w:rsidRPr="00857EF9" w:rsidRDefault="006F1B7B" w:rsidP="006F1B7B">
            <w:pPr>
              <w:rPr>
                <w:sz w:val="16"/>
                <w:szCs w:val="16"/>
                <w:lang w:val="fr-FR"/>
              </w:rPr>
            </w:pPr>
          </w:p>
          <w:p w:rsidR="00C0684D" w:rsidRPr="00A7289C" w:rsidRDefault="00C0684D" w:rsidP="006F1B7B">
            <w:pPr>
              <w:rPr>
                <w:sz w:val="16"/>
                <w:szCs w:val="16"/>
              </w:rPr>
            </w:pPr>
            <w:proofErr w:type="spellStart"/>
            <w:r>
              <w:rPr>
                <w:sz w:val="16"/>
                <w:szCs w:val="16"/>
              </w:rPr>
              <w:t>Pourcentage</w:t>
            </w:r>
            <w:proofErr w:type="spellEnd"/>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5C63E2" w:rsidRDefault="005C63E2" w:rsidP="006F1B7B">
            <w:pPr>
              <w:rPr>
                <w:sz w:val="16"/>
                <w:szCs w:val="16"/>
              </w:rPr>
            </w:pPr>
          </w:p>
          <w:p w:rsidR="005C63E2" w:rsidRPr="00A7289C" w:rsidRDefault="005C63E2" w:rsidP="006F1B7B">
            <w:pPr>
              <w:rPr>
                <w:sz w:val="16"/>
                <w:szCs w:val="16"/>
              </w:rPr>
            </w:pPr>
          </w:p>
          <w:p w:rsidR="00C0684D" w:rsidRPr="00A7289C" w:rsidRDefault="00C0684D" w:rsidP="006F1B7B">
            <w:pPr>
              <w:rPr>
                <w:sz w:val="16"/>
                <w:szCs w:val="16"/>
              </w:rPr>
            </w:pPr>
            <w:proofErr w:type="spellStart"/>
            <w:r>
              <w:rPr>
                <w:sz w:val="16"/>
                <w:szCs w:val="16"/>
              </w:rPr>
              <w:t>Pourcentage</w:t>
            </w:r>
            <w:proofErr w:type="spellEnd"/>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roofErr w:type="spellStart"/>
            <w:r>
              <w:rPr>
                <w:sz w:val="16"/>
                <w:szCs w:val="16"/>
              </w:rPr>
              <w:t>Nombre</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0</w:t>
            </w:r>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6F1B7B" w:rsidRDefault="006F1B7B"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r>
              <w:rPr>
                <w:sz w:val="16"/>
                <w:szCs w:val="16"/>
              </w:rPr>
              <w:t>0</w:t>
            </w:r>
          </w:p>
          <w:p w:rsidR="00C0684D" w:rsidRPr="00A7289C" w:rsidRDefault="00C0684D" w:rsidP="006F1B7B">
            <w:pPr>
              <w:rPr>
                <w:sz w:val="16"/>
                <w:szCs w:val="16"/>
              </w:rPr>
            </w:pPr>
          </w:p>
          <w:p w:rsidR="00C0684D" w:rsidRDefault="00C0684D"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r>
              <w:rPr>
                <w:sz w:val="16"/>
                <w:szCs w:val="16"/>
              </w:rPr>
              <w:t>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50</w:t>
            </w:r>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6F1B7B" w:rsidRDefault="006F1B7B"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r>
              <w:rPr>
                <w:sz w:val="16"/>
                <w:szCs w:val="16"/>
              </w:rPr>
              <w:t>20</w:t>
            </w:r>
          </w:p>
          <w:p w:rsidR="00C0684D" w:rsidRPr="00A7289C" w:rsidRDefault="00C0684D" w:rsidP="006F1B7B">
            <w:pPr>
              <w:rPr>
                <w:sz w:val="16"/>
                <w:szCs w:val="16"/>
              </w:rPr>
            </w:pPr>
          </w:p>
          <w:p w:rsidR="00C0684D" w:rsidRDefault="00C0684D"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80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80</w:t>
            </w:r>
          </w:p>
          <w:p w:rsidR="00C0684D" w:rsidRPr="00A7289C" w:rsidRDefault="00C0684D" w:rsidP="006F1B7B">
            <w:pPr>
              <w:rPr>
                <w:sz w:val="16"/>
                <w:szCs w:val="16"/>
              </w:rPr>
            </w:pPr>
          </w:p>
          <w:p w:rsidR="00C0684D" w:rsidRDefault="00C0684D" w:rsidP="006F1B7B">
            <w:pPr>
              <w:rPr>
                <w:sz w:val="16"/>
                <w:szCs w:val="16"/>
              </w:rPr>
            </w:pPr>
          </w:p>
          <w:p w:rsidR="006F1B7B" w:rsidRDefault="006F1B7B"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40</w:t>
            </w:r>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210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100</w:t>
            </w:r>
          </w:p>
          <w:p w:rsidR="00C0684D" w:rsidRPr="00A7289C" w:rsidRDefault="00C0684D" w:rsidP="006F1B7B">
            <w:pPr>
              <w:rPr>
                <w:sz w:val="16"/>
                <w:szCs w:val="16"/>
              </w:rPr>
            </w:pPr>
          </w:p>
          <w:p w:rsidR="00C0684D" w:rsidRDefault="00C0684D" w:rsidP="006F1B7B">
            <w:pPr>
              <w:rPr>
                <w:sz w:val="16"/>
                <w:szCs w:val="16"/>
              </w:rPr>
            </w:pPr>
          </w:p>
          <w:p w:rsidR="006F1B7B" w:rsidRDefault="006F1B7B"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60</w:t>
            </w:r>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340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21422" w:rsidP="006F1B7B">
            <w:pPr>
              <w:rPr>
                <w:sz w:val="16"/>
                <w:szCs w:val="16"/>
              </w:rPr>
            </w:pPr>
            <w:r>
              <w:rPr>
                <w:sz w:val="16"/>
                <w:szCs w:val="16"/>
              </w:rPr>
              <w:t>100</w:t>
            </w:r>
          </w:p>
          <w:p w:rsidR="00C0684D" w:rsidRPr="00A7289C" w:rsidRDefault="00C0684D" w:rsidP="006F1B7B">
            <w:pPr>
              <w:rPr>
                <w:sz w:val="16"/>
                <w:szCs w:val="16"/>
              </w:rPr>
            </w:pPr>
          </w:p>
          <w:p w:rsidR="00C0684D" w:rsidRDefault="00C0684D" w:rsidP="006F1B7B">
            <w:pPr>
              <w:rPr>
                <w:sz w:val="16"/>
                <w:szCs w:val="16"/>
              </w:rPr>
            </w:pPr>
          </w:p>
          <w:p w:rsidR="006F1B7B" w:rsidRDefault="006F1B7B"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80</w:t>
            </w:r>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470</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100</w:t>
            </w:r>
          </w:p>
          <w:p w:rsidR="00C0684D" w:rsidRPr="00A7289C" w:rsidRDefault="00C0684D" w:rsidP="006F1B7B">
            <w:pPr>
              <w:rPr>
                <w:sz w:val="16"/>
                <w:szCs w:val="16"/>
              </w:rPr>
            </w:pPr>
          </w:p>
          <w:p w:rsidR="00C0684D" w:rsidRDefault="00C0684D" w:rsidP="006F1B7B">
            <w:pPr>
              <w:rPr>
                <w:sz w:val="16"/>
                <w:szCs w:val="16"/>
              </w:rPr>
            </w:pPr>
          </w:p>
          <w:p w:rsidR="006F1B7B" w:rsidRDefault="006F1B7B"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r>
              <w:rPr>
                <w:sz w:val="16"/>
                <w:szCs w:val="16"/>
              </w:rPr>
              <w:t>100</w:t>
            </w: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Default="00C0684D" w:rsidP="006F1B7B">
            <w:pPr>
              <w:rPr>
                <w:sz w:val="16"/>
                <w:szCs w:val="16"/>
              </w:rPr>
            </w:pPr>
          </w:p>
          <w:p w:rsidR="006F1B7B" w:rsidRPr="00A7289C" w:rsidRDefault="006F1B7B" w:rsidP="006F1B7B">
            <w:pPr>
              <w:rPr>
                <w:sz w:val="16"/>
                <w:szCs w:val="16"/>
              </w:rPr>
            </w:pPr>
          </w:p>
          <w:p w:rsidR="00C0684D" w:rsidRPr="00A7289C" w:rsidRDefault="00C0684D" w:rsidP="006F1B7B">
            <w:pPr>
              <w:rPr>
                <w:sz w:val="16"/>
                <w:szCs w:val="16"/>
              </w:rPr>
            </w:pPr>
            <w:r>
              <w:rPr>
                <w:sz w:val="16"/>
                <w:szCs w:val="16"/>
              </w:rPr>
              <w:t>600 (total)</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5C63E2" w:rsidP="006F1B7B">
            <w:pPr>
              <w:rPr>
                <w:rFonts w:eastAsiaTheme="minorEastAsia"/>
                <w:sz w:val="16"/>
                <w:szCs w:val="16"/>
                <w:lang w:val="en-GB" w:eastAsia="en-GB"/>
              </w:rPr>
            </w:pPr>
            <w:proofErr w:type="spellStart"/>
            <w:r>
              <w:rPr>
                <w:sz w:val="16"/>
                <w:szCs w:val="16"/>
              </w:rPr>
              <w:t>Annuelle</w:t>
            </w:r>
            <w:proofErr w:type="spellEnd"/>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sz w:val="16"/>
                <w:szCs w:val="16"/>
              </w:rPr>
            </w:pPr>
          </w:p>
          <w:p w:rsidR="00C0684D" w:rsidRPr="00A7289C" w:rsidRDefault="00C0684D" w:rsidP="006F1B7B">
            <w:pPr>
              <w:rPr>
                <w:rFonts w:eastAsiaTheme="minorEastAsia"/>
                <w:sz w:val="16"/>
                <w:szCs w:val="16"/>
                <w:lang w:val="en-GB" w:eastAsia="en-GB"/>
              </w:rPr>
            </w:pPr>
            <w:r>
              <w:rPr>
                <w:sz w:val="16"/>
                <w:szCs w:val="16"/>
              </w:rPr>
              <w:t>MCI / UCP</w:t>
            </w:r>
          </w:p>
        </w:tc>
        <w:tc>
          <w:tcPr>
            <w:tcW w:w="1649"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6F1B7B">
            <w:pPr>
              <w:rPr>
                <w:sz w:val="16"/>
                <w:szCs w:val="16"/>
                <w:lang w:val="fr-FR"/>
              </w:rPr>
            </w:pPr>
          </w:p>
          <w:p w:rsidR="00C0684D" w:rsidRPr="00857EF9" w:rsidRDefault="00C0684D" w:rsidP="006F1B7B">
            <w:pPr>
              <w:rPr>
                <w:sz w:val="16"/>
                <w:szCs w:val="16"/>
                <w:lang w:val="fr-FR"/>
              </w:rPr>
            </w:pPr>
          </w:p>
          <w:p w:rsidR="00C0684D" w:rsidRPr="00857EF9" w:rsidRDefault="00C0684D" w:rsidP="006F1B7B">
            <w:pPr>
              <w:rPr>
                <w:sz w:val="16"/>
                <w:szCs w:val="16"/>
                <w:lang w:val="fr-FR"/>
              </w:rPr>
            </w:pPr>
          </w:p>
          <w:p w:rsidR="00C0684D" w:rsidRPr="00857EF9" w:rsidRDefault="00C0684D" w:rsidP="006F1B7B">
            <w:pPr>
              <w:rPr>
                <w:sz w:val="16"/>
                <w:szCs w:val="16"/>
                <w:lang w:val="fr-FR"/>
              </w:rPr>
            </w:pPr>
          </w:p>
          <w:p w:rsidR="00C0684D" w:rsidRPr="00857EF9" w:rsidRDefault="00C0684D" w:rsidP="006F1B7B">
            <w:pPr>
              <w:rPr>
                <w:sz w:val="16"/>
                <w:szCs w:val="16"/>
                <w:lang w:val="fr-FR"/>
              </w:rPr>
            </w:pPr>
          </w:p>
          <w:p w:rsidR="00C0684D" w:rsidRPr="00BC7304" w:rsidRDefault="00C0684D" w:rsidP="006F1B7B">
            <w:pPr>
              <w:rPr>
                <w:rFonts w:eastAsiaTheme="minorEastAsia"/>
                <w:sz w:val="16"/>
                <w:szCs w:val="16"/>
                <w:lang w:val="fr-FR" w:eastAsia="en-GB"/>
              </w:rPr>
            </w:pPr>
            <w:r w:rsidRPr="00857EF9">
              <w:rPr>
                <w:sz w:val="16"/>
                <w:szCs w:val="16"/>
                <w:lang w:val="fr-FR"/>
              </w:rPr>
              <w:t>MCI/UCP - Spécialiste SE du projet, équipe du Groupe de la Banque mondiale</w:t>
            </w:r>
          </w:p>
        </w:tc>
      </w:tr>
    </w:tbl>
    <w:p w:rsidR="00F92654" w:rsidRPr="00857EF9" w:rsidRDefault="00F92654" w:rsidP="004E7A7F">
      <w:pPr>
        <w:rPr>
          <w:rFonts w:ascii="Times" w:hAnsi="Times" w:cs="Times"/>
          <w:color w:val="FFFFFF"/>
          <w:sz w:val="4"/>
          <w:szCs w:val="4"/>
          <w:lang w:val="fr-FR"/>
        </w:rPr>
      </w:pPr>
    </w:p>
    <w:p w:rsidR="00296CFD" w:rsidRPr="00857EF9" w:rsidRDefault="00296CFD">
      <w:pPr>
        <w:rPr>
          <w:lang w:val="fr-FR"/>
        </w:rPr>
      </w:pPr>
      <w:r w:rsidRPr="00857EF9">
        <w:rPr>
          <w:lang w:val="fr-FR"/>
        </w:rPr>
        <w:br w:type="page"/>
      </w:r>
    </w:p>
    <w:tbl>
      <w:tblPr>
        <w:tblW w:w="14462"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785"/>
        <w:gridCol w:w="8677"/>
      </w:tblGrid>
      <w:tr w:rsidR="006752C3" w:rsidRPr="00857EF9" w:rsidTr="004E7A7F">
        <w:tc>
          <w:tcPr>
            <w:tcW w:w="14462" w:type="dxa"/>
            <w:gridSpan w:val="2"/>
            <w:tcBorders>
              <w:top w:val="nil"/>
              <w:left w:val="nil"/>
              <w:bottom w:val="nil"/>
              <w:right w:val="nil"/>
            </w:tcBorders>
            <w:shd w:val="clear" w:color="auto" w:fill="FFFFFF"/>
            <w:tcMar>
              <w:top w:w="50" w:type="dxa"/>
              <w:left w:w="50" w:type="dxa"/>
              <w:bottom w:w="50" w:type="dxa"/>
              <w:right w:w="50" w:type="dxa"/>
            </w:tcMar>
            <w:vAlign w:val="center"/>
          </w:tcPr>
          <w:p w:rsidR="004364AC" w:rsidRPr="00857EF9" w:rsidRDefault="004364AC" w:rsidP="00DF632C">
            <w:pPr>
              <w:jc w:val="center"/>
              <w:rPr>
                <w:b/>
                <w:bCs/>
                <w:lang w:val="fr-FR"/>
              </w:rPr>
            </w:pPr>
          </w:p>
          <w:p w:rsidR="006752C3" w:rsidRPr="00857EF9" w:rsidRDefault="00FB137A" w:rsidP="00DF632C">
            <w:pPr>
              <w:jc w:val="center"/>
              <w:rPr>
                <w:lang w:val="fr-FR"/>
              </w:rPr>
            </w:pPr>
            <w:r w:rsidRPr="00857EF9">
              <w:rPr>
                <w:b/>
                <w:bCs/>
                <w:lang w:val="fr-FR"/>
              </w:rPr>
              <w:t>Annexe </w:t>
            </w:r>
            <w:r w:rsidR="006752C3" w:rsidRPr="00857EF9">
              <w:rPr>
                <w:b/>
                <w:bCs/>
                <w:lang w:val="fr-FR"/>
              </w:rPr>
              <w:t>1 : Structure et suivi des résultats (suite)</w:t>
            </w:r>
          </w:p>
        </w:tc>
      </w:tr>
      <w:tr w:rsidR="006752C3" w:rsidRPr="00857EF9" w:rsidTr="004E7A7F">
        <w:tc>
          <w:tcPr>
            <w:tcW w:w="14462" w:type="dxa"/>
            <w:gridSpan w:val="2"/>
            <w:tcBorders>
              <w:top w:val="nil"/>
              <w:left w:val="nil"/>
              <w:bottom w:val="nil"/>
              <w:right w:val="nil"/>
            </w:tcBorders>
            <w:shd w:val="clear" w:color="auto" w:fill="FFFFFF"/>
            <w:tcMar>
              <w:top w:w="50" w:type="dxa"/>
              <w:left w:w="50" w:type="dxa"/>
              <w:bottom w:w="50" w:type="dxa"/>
              <w:right w:w="50" w:type="dxa"/>
            </w:tcMar>
            <w:vAlign w:val="center"/>
          </w:tcPr>
          <w:p w:rsidR="006752C3" w:rsidRPr="00857EF9" w:rsidRDefault="00C21422" w:rsidP="00E01433">
            <w:pPr>
              <w:jc w:val="center"/>
              <w:rPr>
                <w:sz w:val="20"/>
                <w:szCs w:val="20"/>
                <w:lang w:val="fr-FR"/>
              </w:rPr>
            </w:pPr>
            <w:r w:rsidRPr="00857EF9">
              <w:rPr>
                <w:b/>
                <w:bCs/>
                <w:sz w:val="20"/>
                <w:szCs w:val="20"/>
                <w:lang w:val="fr-FR"/>
              </w:rPr>
              <w:t>Haïti</w:t>
            </w:r>
            <w:r w:rsidR="00E01433" w:rsidRPr="00857EF9">
              <w:rPr>
                <w:b/>
                <w:bCs/>
                <w:sz w:val="20"/>
                <w:szCs w:val="20"/>
                <w:lang w:val="fr-FR"/>
              </w:rPr>
              <w:t> :</w:t>
            </w:r>
            <w:r w:rsidRPr="00857EF9">
              <w:rPr>
                <w:b/>
                <w:bCs/>
                <w:sz w:val="20"/>
                <w:szCs w:val="20"/>
                <w:lang w:val="fr-FR"/>
              </w:rPr>
              <w:t xml:space="preserve"> Projet de développement des entreprises et des investissements</w:t>
            </w:r>
          </w:p>
        </w:tc>
      </w:tr>
      <w:tr w:rsidR="00C0684D" w:rsidRPr="00857EF9" w:rsidTr="004E7A7F">
        <w:tc>
          <w:tcPr>
            <w:tcW w:w="14462" w:type="dxa"/>
            <w:gridSpan w:val="2"/>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C0684D" w:rsidRPr="00857EF9" w:rsidRDefault="00C0684D" w:rsidP="00B6204D">
            <w:pPr>
              <w:rPr>
                <w:sz w:val="20"/>
                <w:szCs w:val="20"/>
                <w:lang w:val="fr-FR"/>
              </w:rPr>
            </w:pPr>
            <w:r w:rsidRPr="00857EF9">
              <w:rPr>
                <w:b/>
                <w:bCs/>
                <w:sz w:val="20"/>
                <w:szCs w:val="20"/>
                <w:lang w:val="fr-FR"/>
              </w:rPr>
              <w:t>Indicateurs de l’objectif de développement du projet</w:t>
            </w:r>
          </w:p>
        </w:tc>
      </w:tr>
      <w:tr w:rsidR="00C0684D" w:rsidRPr="00857EF9" w:rsidTr="004E7A7F">
        <w:trPr>
          <w:trHeight w:val="372"/>
        </w:trPr>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b/>
                <w:color w:val="314F4F"/>
                <w:sz w:val="20"/>
                <w:szCs w:val="16"/>
              </w:rPr>
            </w:pPr>
            <w:r>
              <w:rPr>
                <w:b/>
                <w:color w:val="314F4F"/>
                <w:sz w:val="20"/>
                <w:szCs w:val="16"/>
              </w:rPr>
              <w:t xml:space="preserve">Nom de </w:t>
            </w:r>
            <w:proofErr w:type="spellStart"/>
            <w:r>
              <w:rPr>
                <w:b/>
                <w:color w:val="314F4F"/>
                <w:sz w:val="20"/>
                <w:szCs w:val="16"/>
              </w:rPr>
              <w:t>l'indicateur</w:t>
            </w:r>
            <w:proofErr w:type="spellEnd"/>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C0684D" w:rsidRPr="00857EF9" w:rsidRDefault="00C0684D" w:rsidP="00B6204D">
            <w:pPr>
              <w:rPr>
                <w:b/>
                <w:color w:val="314F4F"/>
                <w:sz w:val="20"/>
                <w:szCs w:val="16"/>
                <w:lang w:val="fr-FR"/>
              </w:rPr>
            </w:pPr>
            <w:r w:rsidRPr="00857EF9">
              <w:rPr>
                <w:b/>
                <w:color w:val="314F4F"/>
                <w:sz w:val="20"/>
                <w:szCs w:val="16"/>
                <w:lang w:val="fr-FR"/>
              </w:rPr>
              <w:t>Description (définition des indicateurs, etc.)</w:t>
            </w:r>
          </w:p>
        </w:tc>
      </w:tr>
      <w:tr w:rsidR="00C0684D" w:rsidRPr="00113620"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Valeur des prêts garantis par des biens mobiliers</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Quantifie la valeur des prêts émis</w:t>
            </w:r>
          </w:p>
        </w:tc>
      </w:tr>
      <w:tr w:rsidR="00C0684D" w:rsidRPr="00113620"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Nombre de MPME bénéficiant d'une garantie mobilière pour sécuriser les prêts</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Complète l'indicateur précédent afin de clarifier le nombre de bénéficiaires des prêts</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891826">
            <w:pPr>
              <w:rPr>
                <w:sz w:val="18"/>
                <w:szCs w:val="18"/>
                <w:lang w:val="fr-FR"/>
              </w:rPr>
            </w:pPr>
            <w:r w:rsidRPr="00857EF9">
              <w:rPr>
                <w:sz w:val="18"/>
                <w:szCs w:val="18"/>
                <w:lang w:val="fr-FR"/>
              </w:rPr>
              <w:t xml:space="preserve">Nombre de réformes mesurées par le rapport </w:t>
            </w:r>
            <w:proofErr w:type="spellStart"/>
            <w:r w:rsidRPr="00857EF9">
              <w:rPr>
                <w:sz w:val="18"/>
                <w:szCs w:val="18"/>
                <w:lang w:val="fr-FR"/>
              </w:rPr>
              <w:t>Doing</w:t>
            </w:r>
            <w:proofErr w:type="spellEnd"/>
            <w:r w:rsidRPr="00857EF9">
              <w:rPr>
                <w:sz w:val="18"/>
                <w:szCs w:val="18"/>
                <w:lang w:val="fr-FR"/>
              </w:rPr>
              <w:t xml:space="preserve"> Business</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 xml:space="preserve">Suit les réformes du climat des affaires dans les aspects mesurés par le rapport </w:t>
            </w:r>
            <w:proofErr w:type="spellStart"/>
            <w:r w:rsidRPr="00857EF9">
              <w:rPr>
                <w:sz w:val="18"/>
                <w:szCs w:val="18"/>
                <w:lang w:val="fr-FR"/>
              </w:rPr>
              <w:t>Doing</w:t>
            </w:r>
            <w:proofErr w:type="spellEnd"/>
            <w:r w:rsidRPr="00857EF9">
              <w:rPr>
                <w:sz w:val="18"/>
                <w:szCs w:val="18"/>
                <w:lang w:val="fr-FR"/>
              </w:rPr>
              <w:t xml:space="preserve"> Business</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Réductions spécifiques du temps/des coûts nécessaires pour créer et exploiter une entreprise (à définir par le GH)</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Quantifie les gains d'efficacité pour la création et l'exploitation d'une entreprise</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Montant des investissements supplémentaires découlant du projet</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Mesure la hausse du volume des investissements due au projet</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Nombre d'investissements supplémentaires découlant du projet</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Mesure la hausse du nombre d'investissements due au projet</w:t>
            </w:r>
          </w:p>
        </w:tc>
      </w:tr>
      <w:tr w:rsidR="00C0684D" w:rsidRPr="00113620"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Nombre de nouveaux emplois créés avec les nouveaux investissements (ventilé par sexe)</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Mesure le nombre de nouveaux emplois créés grâce aux investissements découlant du projet – ventilés par sexe</w:t>
            </w:r>
          </w:p>
        </w:tc>
      </w:tr>
      <w:tr w:rsidR="00C0684D" w:rsidRPr="00113620" w:rsidDel="0000275F"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Del="0000275F" w:rsidRDefault="00C0684D" w:rsidP="00B6204D">
            <w:pPr>
              <w:rPr>
                <w:sz w:val="18"/>
                <w:szCs w:val="18"/>
                <w:lang w:val="fr-FR"/>
              </w:rPr>
            </w:pPr>
            <w:r w:rsidRPr="00857EF9">
              <w:rPr>
                <w:sz w:val="18"/>
                <w:szCs w:val="18"/>
                <w:lang w:val="fr-FR"/>
              </w:rPr>
              <w:t>Emplois supplémentaires dans les MPME appuyées par le projet (composante SDE)</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Del="0000275F" w:rsidRDefault="00C0684D" w:rsidP="00B6204D">
            <w:pPr>
              <w:rPr>
                <w:sz w:val="18"/>
                <w:szCs w:val="18"/>
                <w:lang w:val="fr-FR"/>
              </w:rPr>
            </w:pPr>
            <w:r w:rsidRPr="00857EF9">
              <w:rPr>
                <w:sz w:val="18"/>
                <w:szCs w:val="18"/>
                <w:lang w:val="fr-FR"/>
              </w:rPr>
              <w:t>Mesure l'impact des SDE sur la création d'emplois dans les MPME participantes</w:t>
            </w:r>
          </w:p>
        </w:tc>
      </w:tr>
      <w:tr w:rsidR="00C0684D" w:rsidRPr="00A7289C" w:rsidTr="004E7A7F">
        <w:tc>
          <w:tcPr>
            <w:tcW w:w="14462" w:type="dxa"/>
            <w:gridSpan w:val="2"/>
            <w:tcBorders>
              <w:top w:val="nil"/>
              <w:left w:val="nil"/>
              <w:bottom w:val="nil"/>
              <w:right w:val="nil"/>
            </w:tcBorders>
            <w:shd w:val="clear" w:color="auto" w:fill="FFFFFF"/>
            <w:tcMar>
              <w:top w:w="50" w:type="dxa"/>
              <w:left w:w="50" w:type="dxa"/>
              <w:bottom w:w="50" w:type="dxa"/>
              <w:right w:w="50" w:type="dxa"/>
            </w:tcMar>
            <w:vAlign w:val="center"/>
          </w:tcPr>
          <w:p w:rsidR="00C0684D" w:rsidRDefault="00C0684D" w:rsidP="00B6204D">
            <w:pPr>
              <w:rPr>
                <w:rFonts w:ascii="Times" w:hAnsi="Times" w:cs="Times"/>
                <w:color w:val="FFFFFF"/>
                <w:sz w:val="4"/>
                <w:szCs w:val="4"/>
              </w:rPr>
            </w:pPr>
            <w:r>
              <w:rPr>
                <w:rFonts w:ascii="Times" w:hAnsi="Times" w:cs="Times"/>
                <w:color w:val="FFFFFF"/>
                <w:sz w:val="4"/>
                <w:szCs w:val="4"/>
              </w:rPr>
              <w:t>.</w:t>
            </w:r>
          </w:p>
          <w:p w:rsidR="004B64B5" w:rsidRDefault="004B64B5" w:rsidP="00B6204D">
            <w:pPr>
              <w:rPr>
                <w:rFonts w:ascii="Times" w:hAnsi="Times" w:cs="Times"/>
                <w:color w:val="FFFFFF"/>
                <w:sz w:val="4"/>
                <w:szCs w:val="4"/>
              </w:rPr>
            </w:pPr>
          </w:p>
          <w:p w:rsidR="004B64B5" w:rsidRDefault="004B64B5" w:rsidP="00B6204D">
            <w:pPr>
              <w:rPr>
                <w:rFonts w:ascii="Times" w:hAnsi="Times" w:cs="Times"/>
                <w:color w:val="FFFFFF"/>
                <w:sz w:val="4"/>
                <w:szCs w:val="4"/>
              </w:rPr>
            </w:pPr>
          </w:p>
          <w:p w:rsidR="004B64B5" w:rsidRDefault="004B64B5" w:rsidP="00B6204D">
            <w:pPr>
              <w:rPr>
                <w:rFonts w:ascii="Times" w:hAnsi="Times" w:cs="Times"/>
                <w:color w:val="FFFFFF"/>
                <w:sz w:val="4"/>
                <w:szCs w:val="4"/>
              </w:rPr>
            </w:pPr>
          </w:p>
          <w:p w:rsidR="004B64B5" w:rsidRDefault="004B64B5" w:rsidP="00B6204D">
            <w:pPr>
              <w:rPr>
                <w:rFonts w:ascii="Times" w:hAnsi="Times" w:cs="Times"/>
                <w:color w:val="FFFFFF"/>
                <w:sz w:val="4"/>
                <w:szCs w:val="4"/>
              </w:rPr>
            </w:pPr>
          </w:p>
          <w:p w:rsidR="004B64B5" w:rsidRPr="00A7289C" w:rsidRDefault="004B64B5" w:rsidP="00B6204D">
            <w:pPr>
              <w:rPr>
                <w:rFonts w:ascii="Times" w:hAnsi="Times" w:cs="Times"/>
                <w:color w:val="FFFFFF"/>
                <w:sz w:val="4"/>
                <w:szCs w:val="4"/>
              </w:rPr>
            </w:pPr>
          </w:p>
        </w:tc>
      </w:tr>
      <w:tr w:rsidR="00C0684D" w:rsidRPr="00A7289C" w:rsidTr="004E7A7F">
        <w:tc>
          <w:tcPr>
            <w:tcW w:w="14462" w:type="dxa"/>
            <w:gridSpan w:val="2"/>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C0684D" w:rsidRPr="00A7289C" w:rsidRDefault="00C0684D" w:rsidP="00B6204D">
            <w:pPr>
              <w:rPr>
                <w:sz w:val="20"/>
                <w:szCs w:val="20"/>
              </w:rPr>
            </w:pPr>
            <w:proofErr w:type="spellStart"/>
            <w:r>
              <w:rPr>
                <w:b/>
                <w:bCs/>
                <w:sz w:val="20"/>
                <w:szCs w:val="20"/>
              </w:rPr>
              <w:t>Indicateurs</w:t>
            </w:r>
            <w:proofErr w:type="spellEnd"/>
            <w:r>
              <w:rPr>
                <w:b/>
                <w:bCs/>
                <w:sz w:val="20"/>
                <w:szCs w:val="20"/>
              </w:rPr>
              <w:t xml:space="preserve"> de </w:t>
            </w:r>
            <w:proofErr w:type="spellStart"/>
            <w:r>
              <w:rPr>
                <w:b/>
                <w:bCs/>
                <w:sz w:val="20"/>
                <w:szCs w:val="20"/>
              </w:rPr>
              <w:t>résultats</w:t>
            </w:r>
            <w:proofErr w:type="spellEnd"/>
            <w:r>
              <w:rPr>
                <w:b/>
                <w:bCs/>
                <w:sz w:val="20"/>
                <w:szCs w:val="20"/>
              </w:rPr>
              <w:t xml:space="preserve"> </w:t>
            </w:r>
            <w:proofErr w:type="spellStart"/>
            <w:r>
              <w:rPr>
                <w:b/>
                <w:bCs/>
                <w:sz w:val="20"/>
                <w:szCs w:val="20"/>
              </w:rPr>
              <w:t>intermédiaires</w:t>
            </w:r>
            <w:proofErr w:type="spellEnd"/>
            <w:r>
              <w:rPr>
                <w:b/>
                <w:bCs/>
                <w:sz w:val="20"/>
                <w:szCs w:val="20"/>
              </w:rPr>
              <w:t xml:space="preserve"> </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0684D" w:rsidRPr="00A7289C" w:rsidRDefault="00C0684D" w:rsidP="00B6204D">
            <w:pPr>
              <w:rPr>
                <w:b/>
                <w:color w:val="314F4F"/>
                <w:sz w:val="20"/>
                <w:szCs w:val="16"/>
              </w:rPr>
            </w:pPr>
            <w:r>
              <w:rPr>
                <w:b/>
                <w:color w:val="314F4F"/>
                <w:sz w:val="20"/>
                <w:szCs w:val="16"/>
              </w:rPr>
              <w:t xml:space="preserve">Nom de </w:t>
            </w:r>
            <w:proofErr w:type="spellStart"/>
            <w:r>
              <w:rPr>
                <w:b/>
                <w:color w:val="314F4F"/>
                <w:sz w:val="20"/>
                <w:szCs w:val="16"/>
              </w:rPr>
              <w:t>l'indicateur</w:t>
            </w:r>
            <w:proofErr w:type="spellEnd"/>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C0684D" w:rsidRPr="00857EF9" w:rsidRDefault="00C0684D" w:rsidP="00B6204D">
            <w:pPr>
              <w:rPr>
                <w:b/>
                <w:color w:val="314F4F"/>
                <w:sz w:val="20"/>
                <w:szCs w:val="16"/>
                <w:lang w:val="fr-FR"/>
              </w:rPr>
            </w:pPr>
            <w:r w:rsidRPr="00857EF9">
              <w:rPr>
                <w:b/>
                <w:color w:val="314F4F"/>
                <w:sz w:val="20"/>
                <w:szCs w:val="16"/>
                <w:lang w:val="fr-FR"/>
              </w:rPr>
              <w:t>Description (définition des indicateurs, etc.)</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Plan d'action pour le climat des affaires (indicateur de processus)</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Suit les progrès relatifs à l'identification des priorités et à l'exécution du plan d'action</w:t>
            </w:r>
          </w:p>
        </w:tc>
      </w:tr>
      <w:tr w:rsidR="00C0684D" w:rsidRPr="00113620"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Révision de la loi sur les transactions sécurisées (indicateur de processus)</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Suit la mise en œuvre du cadre législatif destiné à sécuriser les prêts par des garanties mobilières, notamment par la mise en place d'un registre des garanties mobilières</w:t>
            </w:r>
          </w:p>
        </w:tc>
      </w:tr>
      <w:tr w:rsidR="00C0684D" w:rsidRPr="00113620"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6352EF" w:rsidP="006352EF">
            <w:pPr>
              <w:rPr>
                <w:sz w:val="18"/>
                <w:szCs w:val="18"/>
                <w:lang w:val="fr-FR"/>
              </w:rPr>
            </w:pPr>
            <w:r w:rsidRPr="00857EF9">
              <w:rPr>
                <w:sz w:val="18"/>
                <w:szCs w:val="18"/>
                <w:lang w:val="fr-FR"/>
              </w:rPr>
              <w:t>Création d'un cadre légal de la concurrence (indicateur de processus)</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Suit la mise en œuvre d'un cadre légal de la concurrence dans deux secteurs clés (agro-industrie et tourisme), y compris la formation des acteurs publics et privés concernés</w:t>
            </w:r>
          </w:p>
        </w:tc>
      </w:tr>
      <w:tr w:rsidR="00C0684D" w:rsidRPr="00113620"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296CFD">
            <w:pPr>
              <w:rPr>
                <w:sz w:val="18"/>
                <w:szCs w:val="18"/>
                <w:lang w:val="fr-FR"/>
              </w:rPr>
            </w:pPr>
            <w:r w:rsidRPr="00857EF9">
              <w:rPr>
                <w:sz w:val="18"/>
                <w:szCs w:val="18"/>
                <w:lang w:val="fr-FR"/>
              </w:rPr>
              <w:t>Création d'un cadre légal pour les ZEI</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B6204D">
            <w:pPr>
              <w:rPr>
                <w:sz w:val="18"/>
                <w:szCs w:val="18"/>
                <w:lang w:val="fr-FR"/>
              </w:rPr>
            </w:pPr>
            <w:r w:rsidRPr="00857EF9">
              <w:rPr>
                <w:sz w:val="18"/>
                <w:szCs w:val="18"/>
                <w:lang w:val="fr-FR"/>
              </w:rPr>
              <w:t>Suit la mise en œuvre d'un cadre légal cohérent pour les ZEI et la création d'un guichet unique destiné à faciliter l'investissement dans les ZEI</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C0684D" w:rsidP="00296CFD">
            <w:pPr>
              <w:rPr>
                <w:sz w:val="18"/>
                <w:szCs w:val="18"/>
                <w:lang w:val="fr-FR"/>
              </w:rPr>
            </w:pPr>
            <w:r w:rsidRPr="00857EF9">
              <w:rPr>
                <w:sz w:val="18"/>
                <w:szCs w:val="18"/>
                <w:lang w:val="fr-FR"/>
              </w:rPr>
              <w:t>Étude de faisabilité des ZEI achevée</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C0684D" w:rsidP="00296CFD">
            <w:pPr>
              <w:rPr>
                <w:sz w:val="18"/>
                <w:szCs w:val="18"/>
                <w:lang w:val="fr-FR"/>
              </w:rPr>
            </w:pPr>
            <w:r w:rsidRPr="00857EF9">
              <w:rPr>
                <w:sz w:val="18"/>
                <w:szCs w:val="18"/>
                <w:lang w:val="fr-FR"/>
              </w:rPr>
              <w:t>Suit l'exécution de l'étude de faisabilité et l'utilisation des résultats par les pouvoirs publics</w:t>
            </w:r>
          </w:p>
        </w:tc>
      </w:tr>
      <w:tr w:rsidR="00C0684D"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0684D" w:rsidRPr="00857EF9" w:rsidRDefault="00B74207" w:rsidP="00B6204D">
            <w:pPr>
              <w:rPr>
                <w:sz w:val="18"/>
                <w:szCs w:val="18"/>
                <w:lang w:val="fr-FR"/>
              </w:rPr>
            </w:pPr>
            <w:r w:rsidRPr="00857EF9">
              <w:rPr>
                <w:sz w:val="18"/>
                <w:szCs w:val="18"/>
                <w:lang w:val="fr-FR"/>
              </w:rPr>
              <w:t>Création d'un guichet unique pour les investisseurs</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0684D" w:rsidRPr="00857EF9" w:rsidRDefault="00B74207" w:rsidP="00B6204D">
            <w:pPr>
              <w:rPr>
                <w:sz w:val="18"/>
                <w:szCs w:val="18"/>
                <w:lang w:val="fr-FR"/>
              </w:rPr>
            </w:pPr>
            <w:r w:rsidRPr="00857EF9">
              <w:rPr>
                <w:sz w:val="18"/>
                <w:szCs w:val="18"/>
                <w:lang w:val="fr-FR"/>
              </w:rPr>
              <w:t>Suit la mise en place d'un guichet unique destiné à faciliter l'investissement dans les ZEI</w:t>
            </w:r>
          </w:p>
        </w:tc>
      </w:tr>
      <w:tr w:rsidR="00B74207"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4207" w:rsidRPr="00857EF9" w:rsidRDefault="00B74207" w:rsidP="00B6204D">
            <w:pPr>
              <w:rPr>
                <w:sz w:val="18"/>
                <w:szCs w:val="18"/>
                <w:lang w:val="fr-FR"/>
              </w:rPr>
            </w:pPr>
            <w:r w:rsidRPr="00857EF9">
              <w:rPr>
                <w:sz w:val="18"/>
                <w:szCs w:val="18"/>
                <w:lang w:val="fr-FR"/>
              </w:rPr>
              <w:t>Pourcentage de municipalités sélectionnées pour l'évaluation des besoins des MPME</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4207" w:rsidRPr="00857EF9" w:rsidRDefault="00B74207" w:rsidP="00B6204D">
            <w:pPr>
              <w:rPr>
                <w:sz w:val="18"/>
                <w:szCs w:val="18"/>
                <w:lang w:val="fr-FR"/>
              </w:rPr>
            </w:pPr>
            <w:r w:rsidRPr="00857EF9">
              <w:rPr>
                <w:sz w:val="18"/>
                <w:szCs w:val="18"/>
                <w:lang w:val="fr-FR"/>
              </w:rPr>
              <w:t>Suit le pourcentage de municipalités où une évaluation des besoins des MPME a été effectuée</w:t>
            </w:r>
          </w:p>
        </w:tc>
      </w:tr>
      <w:tr w:rsidR="00B74207" w:rsidRPr="00857EF9"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4207" w:rsidRPr="00857EF9" w:rsidRDefault="00B74207" w:rsidP="00B6204D">
            <w:pPr>
              <w:rPr>
                <w:sz w:val="18"/>
                <w:szCs w:val="18"/>
                <w:lang w:val="fr-FR"/>
              </w:rPr>
            </w:pPr>
            <w:r w:rsidRPr="00857EF9">
              <w:rPr>
                <w:sz w:val="18"/>
                <w:szCs w:val="18"/>
                <w:lang w:val="fr-FR"/>
              </w:rPr>
              <w:lastRenderedPageBreak/>
              <w:t>Pourcentage cumulé d'entreprises sélectionnées pour bénéficier d'une formation ciblée</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4207" w:rsidRPr="00857EF9" w:rsidRDefault="00B74207" w:rsidP="00B6204D">
            <w:pPr>
              <w:rPr>
                <w:sz w:val="18"/>
                <w:szCs w:val="18"/>
                <w:lang w:val="fr-FR"/>
              </w:rPr>
            </w:pPr>
            <w:r w:rsidRPr="00857EF9">
              <w:rPr>
                <w:sz w:val="18"/>
                <w:szCs w:val="18"/>
                <w:lang w:val="fr-FR"/>
              </w:rPr>
              <w:t xml:space="preserve">Suit le pourcentage de MPME bénéficiant d'une formation sectorielle ciblée </w:t>
            </w:r>
          </w:p>
        </w:tc>
      </w:tr>
      <w:tr w:rsidR="00B74207" w:rsidRPr="00113620" w:rsidTr="004E7A7F">
        <w:tc>
          <w:tcPr>
            <w:tcW w:w="57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74207" w:rsidRPr="00857EF9" w:rsidRDefault="00B74207" w:rsidP="009E5BE3">
            <w:pPr>
              <w:rPr>
                <w:sz w:val="18"/>
                <w:szCs w:val="18"/>
                <w:lang w:val="fr-FR"/>
              </w:rPr>
            </w:pPr>
            <w:r w:rsidRPr="00857EF9">
              <w:rPr>
                <w:sz w:val="18"/>
                <w:szCs w:val="18"/>
                <w:lang w:val="fr-FR"/>
              </w:rPr>
              <w:t xml:space="preserve">Nombre cumulé de </w:t>
            </w:r>
            <w:r w:rsidR="009E5BE3" w:rsidRPr="00857EF9">
              <w:rPr>
                <w:sz w:val="18"/>
                <w:szCs w:val="18"/>
                <w:lang w:val="fr-FR"/>
              </w:rPr>
              <w:t>sociétés</w:t>
            </w:r>
            <w:r w:rsidRPr="00857EF9">
              <w:rPr>
                <w:sz w:val="18"/>
                <w:szCs w:val="18"/>
                <w:lang w:val="fr-FR"/>
              </w:rPr>
              <w:t xml:space="preserve"> recevant des subventions de contrepartie</w:t>
            </w:r>
          </w:p>
        </w:tc>
        <w:tc>
          <w:tcPr>
            <w:tcW w:w="86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74207" w:rsidRPr="00857EF9" w:rsidRDefault="00B74207" w:rsidP="00B6204D">
            <w:pPr>
              <w:rPr>
                <w:sz w:val="18"/>
                <w:szCs w:val="18"/>
                <w:lang w:val="fr-FR"/>
              </w:rPr>
            </w:pPr>
            <w:r w:rsidRPr="00857EF9">
              <w:rPr>
                <w:sz w:val="18"/>
                <w:szCs w:val="18"/>
                <w:lang w:val="fr-FR"/>
              </w:rPr>
              <w:t>Mesure le nombre de sociétés qui utilisent les services de développement des entreprises</w:t>
            </w:r>
          </w:p>
        </w:tc>
      </w:tr>
      <w:tr w:rsidR="006752C3" w:rsidRPr="00113620" w:rsidTr="004E7A7F">
        <w:tc>
          <w:tcPr>
            <w:tcW w:w="14462" w:type="dxa"/>
            <w:gridSpan w:val="2"/>
            <w:tcBorders>
              <w:top w:val="nil"/>
              <w:left w:val="nil"/>
              <w:bottom w:val="nil"/>
              <w:right w:val="nil"/>
            </w:tcBorders>
            <w:shd w:val="clear" w:color="auto" w:fill="FFFFFF"/>
            <w:tcMar>
              <w:top w:w="50" w:type="dxa"/>
              <w:left w:w="50" w:type="dxa"/>
              <w:bottom w:w="50" w:type="dxa"/>
              <w:right w:w="50" w:type="dxa"/>
            </w:tcMar>
            <w:vAlign w:val="center"/>
          </w:tcPr>
          <w:p w:rsidR="006752C3" w:rsidRPr="00857EF9" w:rsidRDefault="006752C3" w:rsidP="00DF632C">
            <w:pPr>
              <w:rPr>
                <w:rFonts w:ascii="Times" w:hAnsi="Times" w:cs="Times"/>
                <w:color w:val="FFFFFF"/>
                <w:sz w:val="4"/>
                <w:szCs w:val="4"/>
                <w:lang w:val="fr-FR"/>
              </w:rPr>
            </w:pPr>
          </w:p>
        </w:tc>
      </w:tr>
    </w:tbl>
    <w:p w:rsidR="00A7289C" w:rsidRPr="00857EF9" w:rsidRDefault="00A7289C" w:rsidP="004E7A7F">
      <w:pPr>
        <w:ind w:left="288"/>
        <w:rPr>
          <w:b/>
          <w:szCs w:val="20"/>
          <w:lang w:val="fr-FR"/>
        </w:rPr>
      </w:pPr>
    </w:p>
    <w:p w:rsidR="00842CC0" w:rsidRPr="00857EF9" w:rsidRDefault="00842CC0" w:rsidP="004E7A7F">
      <w:pPr>
        <w:ind w:left="288"/>
        <w:rPr>
          <w:b/>
          <w:szCs w:val="20"/>
          <w:lang w:val="fr-FR"/>
        </w:rPr>
        <w:sectPr w:rsidR="00842CC0" w:rsidRPr="00857EF9" w:rsidSect="00C21422">
          <w:pgSz w:w="15840" w:h="12240" w:orient="landscape" w:code="1"/>
          <w:pgMar w:top="1260" w:right="1440" w:bottom="1350" w:left="1440" w:header="720" w:footer="720" w:gutter="0"/>
          <w:cols w:space="720"/>
          <w:docGrid w:linePitch="360"/>
        </w:sectPr>
      </w:pPr>
    </w:p>
    <w:p w:rsidR="00C72F4F" w:rsidRPr="00857EF9" w:rsidRDefault="00FB137A" w:rsidP="004E7A7F">
      <w:pPr>
        <w:pStyle w:val="PDSAnnexHeading"/>
        <w:ind w:left="288"/>
        <w:rPr>
          <w:lang w:val="fr-FR"/>
        </w:rPr>
      </w:pPr>
      <w:bookmarkStart w:id="30" w:name="_Toc362270237"/>
      <w:bookmarkStart w:id="31" w:name="Annex4"/>
      <w:r w:rsidRPr="00857EF9">
        <w:rPr>
          <w:lang w:val="fr-FR"/>
        </w:rPr>
        <w:lastRenderedPageBreak/>
        <w:t>Annexe </w:t>
      </w:r>
      <w:r w:rsidR="00C72F4F" w:rsidRPr="00857EF9">
        <w:rPr>
          <w:lang w:val="fr-FR"/>
        </w:rPr>
        <w:t>2 : Description détaillée du projet</w:t>
      </w:r>
      <w:bookmarkEnd w:id="30"/>
    </w:p>
    <w:p w:rsidR="001D14D9" w:rsidRPr="00857EF9" w:rsidRDefault="001D14D9" w:rsidP="00B563F2">
      <w:pPr>
        <w:pStyle w:val="ListParagraph"/>
        <w:numPr>
          <w:ilvl w:val="0"/>
          <w:numId w:val="16"/>
        </w:numPr>
        <w:spacing w:after="120"/>
        <w:ind w:left="0"/>
        <w:contextualSpacing w:val="0"/>
        <w:jc w:val="both"/>
        <w:rPr>
          <w:lang w:val="fr-FR"/>
        </w:rPr>
      </w:pPr>
      <w:r w:rsidRPr="00857EF9">
        <w:rPr>
          <w:lang w:val="fr-FR"/>
        </w:rPr>
        <w:t>Le projet vise à aider le bénéficiaire (a) à améliorer les conditions d'investissement dans le secteur privé et la croissance inclusive ; et (b) à renforcer ses capacités à réagir rapidement et efficacement à une situation d'urgence éligible.</w:t>
      </w:r>
    </w:p>
    <w:p w:rsidR="00223E84" w:rsidRPr="00857EF9" w:rsidRDefault="00C72F4F" w:rsidP="00B563F2">
      <w:pPr>
        <w:pStyle w:val="ListParagraph"/>
        <w:numPr>
          <w:ilvl w:val="0"/>
          <w:numId w:val="16"/>
        </w:numPr>
        <w:spacing w:after="120"/>
        <w:ind w:left="0"/>
        <w:contextualSpacing w:val="0"/>
        <w:jc w:val="both"/>
        <w:rPr>
          <w:lang w:val="fr-FR"/>
        </w:rPr>
      </w:pPr>
      <w:r w:rsidRPr="00857EF9">
        <w:rPr>
          <w:lang w:val="fr-FR"/>
        </w:rPr>
        <w:t xml:space="preserve">Les composantes du projet contribueront aux initiatives définies par le GH et le secteur privé pour stimuler la croissance économique et l'emploi dans le secteur formel. Le GH a clairement défini ses priorités : (i) réformer profondément le climat des affaires, en particulier les aspects mesurés par le rapport </w:t>
      </w:r>
      <w:proofErr w:type="spellStart"/>
      <w:r w:rsidRPr="00857EF9">
        <w:rPr>
          <w:lang w:val="fr-FR"/>
        </w:rPr>
        <w:t>Doing</w:t>
      </w:r>
      <w:proofErr w:type="spellEnd"/>
      <w:r w:rsidRPr="00857EF9">
        <w:rPr>
          <w:lang w:val="fr-FR"/>
        </w:rPr>
        <w:t xml:space="preserve"> Business ; (ii) créer des zones économiques intégrées (ZEI) et lancer diverses activités visant à attirer l'investissement étranger ; (iii) adopter une approche sectorielle privilégiant l'agro-industrie, l'habillement et le tourisme ; et (iv) mettre en place des programmes destinés à rendre les MPME plus robustes. </w:t>
      </w:r>
    </w:p>
    <w:p w:rsidR="00223E84" w:rsidRPr="00857EF9" w:rsidRDefault="00F66157" w:rsidP="00B563F2">
      <w:pPr>
        <w:pStyle w:val="ListParagraph"/>
        <w:numPr>
          <w:ilvl w:val="0"/>
          <w:numId w:val="16"/>
        </w:numPr>
        <w:spacing w:after="120"/>
        <w:ind w:left="0"/>
        <w:contextualSpacing w:val="0"/>
        <w:jc w:val="both"/>
        <w:rPr>
          <w:sz w:val="16"/>
          <w:szCs w:val="16"/>
          <w:lang w:val="fr-FR"/>
        </w:rPr>
      </w:pPr>
      <w:r w:rsidRPr="00857EF9">
        <w:rPr>
          <w:lang w:val="fr-FR"/>
        </w:rPr>
        <w:t>À l'heure actuelle, le secteur de l'habillement emploie directement 30 000 Haïtiens</w:t>
      </w:r>
      <w:r w:rsidRPr="00A7289C">
        <w:rPr>
          <w:rStyle w:val="FootnoteReference"/>
        </w:rPr>
        <w:footnoteReference w:id="46"/>
      </w:r>
      <w:r w:rsidRPr="00857EF9">
        <w:rPr>
          <w:lang w:val="fr-FR"/>
        </w:rPr>
        <w:t>, exporte pour près de 750 millions de dollars vers les États-Unis et représente, avec le secteur manufacturier, environ 8 % du PIB. Les accords commerciaux préférentiels contenus dans la loi HELP</w:t>
      </w:r>
      <w:r w:rsidRPr="00A7289C">
        <w:rPr>
          <w:rStyle w:val="FootnoteReference"/>
        </w:rPr>
        <w:footnoteReference w:id="47"/>
      </w:r>
      <w:r w:rsidRPr="00857EF9">
        <w:rPr>
          <w:lang w:val="fr-FR"/>
        </w:rPr>
        <w:t xml:space="preserve"> et l'appui de la Commission présidentielle tripartite pour la mise en œuvre de la loi de l'Opportunité hémisphérique haïtienne à travers l’encouragement au partenariat (CTMO-Hope) devraient continuer à stimuler la hausse de ces chiffres et la croissance de la productivité.   Haïti a fait la preuve de son avantage tarifaire sur le Bangladesh, le Cambodge, l'Inde, la République dominicaine, la Chine et le Mexique pour certains produits d'habillement sur ce marché (notamment les tee-shirts et les pantalons </w:t>
      </w:r>
      <w:proofErr w:type="spellStart"/>
      <w:r w:rsidRPr="00857EF9">
        <w:rPr>
          <w:lang w:val="fr-FR"/>
        </w:rPr>
        <w:t>chino</w:t>
      </w:r>
      <w:proofErr w:type="spellEnd"/>
      <w:r w:rsidRPr="00857EF9">
        <w:rPr>
          <w:lang w:val="fr-FR"/>
        </w:rPr>
        <w:t xml:space="preserve">). </w:t>
      </w:r>
      <w:r w:rsidRPr="00857EF9">
        <w:rPr>
          <w:bCs/>
          <w:lang w:val="fr-FR"/>
        </w:rPr>
        <w:t>Avec les conditions commerciales favorables dont elles bénéficient, les entreprises d'habillement haïtiennes existantes et émergentes sont bien placées pour augmenter leur part de marché aux États-Unis, et peuvent livrer 35 millions d'articles en maille et 80 millions de produits tissés supplémentaires chaque année aux acheteurs américains à des tarifs compétitifs.</w:t>
      </w:r>
    </w:p>
    <w:p w:rsidR="00223E84" w:rsidRPr="00857EF9" w:rsidRDefault="00F66157" w:rsidP="00B563F2">
      <w:pPr>
        <w:pStyle w:val="ListParagraph"/>
        <w:numPr>
          <w:ilvl w:val="0"/>
          <w:numId w:val="16"/>
        </w:numPr>
        <w:spacing w:after="120"/>
        <w:ind w:left="0"/>
        <w:contextualSpacing w:val="0"/>
        <w:jc w:val="both"/>
        <w:rPr>
          <w:sz w:val="16"/>
          <w:szCs w:val="16"/>
          <w:lang w:val="fr-FR"/>
        </w:rPr>
      </w:pPr>
      <w:r w:rsidRPr="00857EF9">
        <w:rPr>
          <w:lang w:val="fr-FR"/>
        </w:rPr>
        <w:t xml:space="preserve">L'agriculture, qui représente plus de 22 % du PIB national, est un secteur clé qui concentre les efforts de l'État haïtien. Le </w:t>
      </w:r>
      <w:r w:rsidR="00D33C64" w:rsidRPr="00857EF9">
        <w:rPr>
          <w:lang w:val="fr-FR"/>
        </w:rPr>
        <w:t>p</w:t>
      </w:r>
      <w:r w:rsidRPr="00857EF9">
        <w:rPr>
          <w:lang w:val="fr-FR"/>
        </w:rPr>
        <w:t>lan national d'investissement agricole veut en priorité « faire de l'agriculteur un vrai entrepreneur » et « créer de la valeur ajoutée dans le secteur agricole par le développement de l’agro-industrie dans le cadre d’un développement durable »</w:t>
      </w:r>
      <w:r w:rsidRPr="00A7289C">
        <w:rPr>
          <w:rStyle w:val="FootnoteReference"/>
        </w:rPr>
        <w:footnoteReference w:id="48"/>
      </w:r>
      <w:r w:rsidRPr="00857EF9">
        <w:rPr>
          <w:lang w:val="fr-FR"/>
        </w:rPr>
        <w:t xml:space="preserve">. Si les terres agricoles occupent près de 70 % des sols en Haïti, le taux de croissance annuelle moyen de la valeur ajoutée dans le secteur de l'agriculture se situe à seulement 0,5 % sur les douze dernières années, avec un </w:t>
      </w:r>
      <w:r w:rsidR="00040DBD" w:rsidRPr="00857EF9">
        <w:rPr>
          <w:lang w:val="fr-FR"/>
        </w:rPr>
        <w:t>minimum</w:t>
      </w:r>
      <w:r w:rsidRPr="00857EF9">
        <w:rPr>
          <w:lang w:val="fr-FR"/>
        </w:rPr>
        <w:t xml:space="preserve"> à -7,5 % et une pointe à 5,2 %</w:t>
      </w:r>
      <w:r w:rsidRPr="00A7289C">
        <w:rPr>
          <w:rStyle w:val="FootnoteReference"/>
        </w:rPr>
        <w:footnoteReference w:id="49"/>
      </w:r>
      <w:r w:rsidRPr="00857EF9">
        <w:rPr>
          <w:lang w:val="fr-FR"/>
        </w:rPr>
        <w:t>. Le gouvernement haïtien a identifié les principaux facteurs qui freinent le développement de l'agro-industrie, notamment : le déficit d'infrastructure (surtout de routes et de pistes agricoles) ; (ii) les difficultés à assurer des approvisionnements réguliers et homogènes pour le marché national et l'export ; et (iii) l'absence de normes et de systèmes de contrôle de la qualité</w:t>
      </w:r>
      <w:r w:rsidRPr="00A7289C">
        <w:rPr>
          <w:rStyle w:val="FootnoteReference"/>
        </w:rPr>
        <w:footnoteReference w:id="50"/>
      </w:r>
      <w:r w:rsidRPr="00857EF9">
        <w:rPr>
          <w:lang w:val="fr-FR"/>
        </w:rPr>
        <w:t xml:space="preserve">. Lorsque ces obstacles et d'autres difficultés </w:t>
      </w:r>
      <w:r w:rsidRPr="00857EF9">
        <w:rPr>
          <w:lang w:val="fr-FR"/>
        </w:rPr>
        <w:lastRenderedPageBreak/>
        <w:t xml:space="preserve">seront surmontés, le secteur pourra exploiter son fort potentiel de développement et fournir au marché local et à l'exportation de nombreux produits de grande qualité : fruits tropicaux, riz, viande et volaille, etc. </w:t>
      </w:r>
    </w:p>
    <w:p w:rsidR="00223E84" w:rsidRPr="00A7289C" w:rsidRDefault="00F66157" w:rsidP="00B563F2">
      <w:pPr>
        <w:pStyle w:val="ListParagraph"/>
        <w:numPr>
          <w:ilvl w:val="0"/>
          <w:numId w:val="16"/>
        </w:numPr>
        <w:spacing w:after="120"/>
        <w:ind w:left="0"/>
        <w:contextualSpacing w:val="0"/>
        <w:jc w:val="both"/>
      </w:pPr>
      <w:r w:rsidRPr="00857EF9">
        <w:rPr>
          <w:lang w:val="fr-FR"/>
        </w:rPr>
        <w:t>Les recettes apportées par les touristes étrangers s'élevaient à 312 millions de dollars en 2009, c'est-à-dire 34 % de la valeur totale des exportations de service et 8 % du PIB d'Haïti cette année-là</w:t>
      </w:r>
      <w:r w:rsidRPr="00A7289C">
        <w:rPr>
          <w:rStyle w:val="FootnoteReference"/>
        </w:rPr>
        <w:footnoteReference w:id="51"/>
      </w:r>
      <w:r w:rsidRPr="00857EF9">
        <w:rPr>
          <w:lang w:val="fr-FR"/>
        </w:rPr>
        <w:t xml:space="preserve"> – et ce, en dépit de la faiblesse des compétences et de l'insuffisance des aménagements. On s'attend à une hausse significative des recettes touristiques dans les cinq à dix ans à venir. Un prochain projet de l'IDA, auquel ce projet était initialement associé</w:t>
      </w:r>
      <w:r w:rsidRPr="00A7289C">
        <w:rPr>
          <w:rStyle w:val="FootnoteReference"/>
        </w:rPr>
        <w:footnoteReference w:id="52"/>
      </w:r>
      <w:r w:rsidRPr="00857EF9">
        <w:rPr>
          <w:lang w:val="fr-FR"/>
        </w:rPr>
        <w:t xml:space="preserve">, permettra de reconstruire des sites historiques et culturels dans le nord du pays, et d'autres projets devraient voir le jour à </w:t>
      </w:r>
      <w:proofErr w:type="spellStart"/>
      <w:r w:rsidRPr="00857EF9">
        <w:rPr>
          <w:lang w:val="fr-FR"/>
        </w:rPr>
        <w:t>Jacmel</w:t>
      </w:r>
      <w:proofErr w:type="spellEnd"/>
      <w:r w:rsidRPr="00857EF9">
        <w:rPr>
          <w:lang w:val="fr-FR"/>
        </w:rPr>
        <w:t xml:space="preserve">, Île à Vache et dans d'autres sites touristiques. </w:t>
      </w:r>
      <w:proofErr w:type="spellStart"/>
      <w:r>
        <w:t>Ces</w:t>
      </w:r>
      <w:proofErr w:type="spellEnd"/>
      <w:r>
        <w:t xml:space="preserve"> initiatives </w:t>
      </w:r>
      <w:proofErr w:type="spellStart"/>
      <w:r>
        <w:t>devraient</w:t>
      </w:r>
      <w:proofErr w:type="spellEnd"/>
      <w:r>
        <w:t xml:space="preserve"> </w:t>
      </w:r>
      <w:proofErr w:type="spellStart"/>
      <w:r>
        <w:t>stimuler</w:t>
      </w:r>
      <w:proofErr w:type="spellEnd"/>
      <w:r>
        <w:t xml:space="preserve"> la </w:t>
      </w:r>
      <w:proofErr w:type="spellStart"/>
      <w:r>
        <w:t>croissance</w:t>
      </w:r>
      <w:proofErr w:type="spellEnd"/>
      <w:r>
        <w:t xml:space="preserve"> du </w:t>
      </w:r>
      <w:proofErr w:type="spellStart"/>
      <w:r>
        <w:t>secteur</w:t>
      </w:r>
      <w:proofErr w:type="spellEnd"/>
      <w:r>
        <w:t>.</w:t>
      </w:r>
    </w:p>
    <w:p w:rsidR="00A11D58" w:rsidRPr="00BC7304" w:rsidRDefault="00C72F4F" w:rsidP="00B563F2">
      <w:pPr>
        <w:pStyle w:val="ListParagraph"/>
        <w:numPr>
          <w:ilvl w:val="0"/>
          <w:numId w:val="37"/>
        </w:numPr>
        <w:spacing w:after="120"/>
        <w:ind w:left="0"/>
        <w:contextualSpacing w:val="0"/>
        <w:jc w:val="both"/>
        <w:rPr>
          <w:lang w:val="fr-FR"/>
        </w:rPr>
      </w:pPr>
      <w:r w:rsidRPr="00857EF9">
        <w:rPr>
          <w:lang w:val="fr-FR"/>
        </w:rPr>
        <w:t xml:space="preserve">De plus, pour tenir compte du risque élevé de catastrophes naturelles et d'origine humaine, le projet inclura une composante de réponse aux situations d'urgence. </w:t>
      </w:r>
    </w:p>
    <w:p w:rsidR="00223E84" w:rsidRPr="00BC7304" w:rsidRDefault="00C72F4F" w:rsidP="00B563F2">
      <w:pPr>
        <w:pStyle w:val="ListParagraph"/>
        <w:numPr>
          <w:ilvl w:val="0"/>
          <w:numId w:val="37"/>
        </w:numPr>
        <w:spacing w:after="120"/>
        <w:ind w:left="0"/>
        <w:contextualSpacing w:val="0"/>
        <w:jc w:val="both"/>
        <w:rPr>
          <w:lang w:val="fr-FR"/>
        </w:rPr>
      </w:pPr>
      <w:r w:rsidRPr="00857EF9">
        <w:rPr>
          <w:lang w:val="fr-FR"/>
        </w:rPr>
        <w:t xml:space="preserve">Les activités des diverses composantes seront exécutées progressivement. La première phase s'étend jusqu'à l'examen à mi-parcours, lequel est prévu au plus tard 30 mois après l'entrée en vigueur du projet. Cette première étape se concentrera sur des interventions à résultats rapides et sur le travail préparatoire qui posera les fondements des réformes ultérieures du climat des affaires, de la hausse des investissements dans les ZEI et de l'expansion des SDE à 600 MPME (ces activités seront entreprises dans les 18 à 30 mois après le début de la mise en œuvre). </w:t>
      </w:r>
    </w:p>
    <w:p w:rsidR="008C11E8" w:rsidRPr="00BC7304" w:rsidRDefault="008C11E8" w:rsidP="004364AC">
      <w:pPr>
        <w:pStyle w:val="ListParagraph"/>
        <w:ind w:left="0"/>
        <w:contextualSpacing w:val="0"/>
        <w:rPr>
          <w:lang w:val="fr-FR"/>
        </w:rPr>
      </w:pPr>
    </w:p>
    <w:p w:rsidR="00C72F4F" w:rsidRPr="00BC7304" w:rsidRDefault="00FB137A" w:rsidP="0050136F">
      <w:pPr>
        <w:spacing w:after="120"/>
        <w:ind w:left="270"/>
        <w:jc w:val="both"/>
        <w:rPr>
          <w:b/>
          <w:lang w:val="fr-FR"/>
        </w:rPr>
      </w:pPr>
      <w:r w:rsidRPr="00857EF9">
        <w:rPr>
          <w:b/>
          <w:lang w:val="fr-FR"/>
        </w:rPr>
        <w:t>Composante </w:t>
      </w:r>
      <w:r w:rsidR="00C72F4F" w:rsidRPr="00857EF9">
        <w:rPr>
          <w:b/>
          <w:lang w:val="fr-FR"/>
        </w:rPr>
        <w:t xml:space="preserve">1 – Climat des affaires et promotion de l'investissement (10 millions USD) </w:t>
      </w:r>
    </w:p>
    <w:p w:rsidR="00223E84" w:rsidRPr="00BC7304" w:rsidRDefault="00C72F4F" w:rsidP="00B563F2">
      <w:pPr>
        <w:pStyle w:val="ListParagraph"/>
        <w:numPr>
          <w:ilvl w:val="0"/>
          <w:numId w:val="37"/>
        </w:numPr>
        <w:spacing w:after="120"/>
        <w:ind w:left="0"/>
        <w:contextualSpacing w:val="0"/>
        <w:jc w:val="both"/>
        <w:rPr>
          <w:lang w:val="fr-FR"/>
        </w:rPr>
      </w:pPr>
      <w:r w:rsidRPr="00857EF9">
        <w:rPr>
          <w:lang w:val="fr-FR"/>
        </w:rPr>
        <w:t xml:space="preserve">Cette composante servira à améliorer le climat des affaires en Haïti grâce à des cadres réglementaires et institutionnels renforcés, ainsi qu'à promouvoir et faciliter l'investissement dans les ZEI. Elle sera menée à bien en étroite coopération avec des projets associés d'assistance technique de l'IFC et de la BM ; par exemple, l'assistance technique délivrée par le GBM pour les réformes sur la façon de faire des affaires sera comptabilisée, avec l'appui d'un projet </w:t>
      </w:r>
      <w:proofErr w:type="spellStart"/>
      <w:r w:rsidRPr="00857EF9">
        <w:rPr>
          <w:lang w:val="fr-FR"/>
        </w:rPr>
        <w:t>Doing</w:t>
      </w:r>
      <w:proofErr w:type="spellEnd"/>
      <w:r w:rsidRPr="00857EF9">
        <w:rPr>
          <w:lang w:val="fr-FR"/>
        </w:rPr>
        <w:t xml:space="preserve"> Business financé via un fonds fiduciaire.  </w:t>
      </w:r>
    </w:p>
    <w:p w:rsidR="00223E84" w:rsidRPr="00BC7304" w:rsidRDefault="001B35E5" w:rsidP="00B563F2">
      <w:pPr>
        <w:pStyle w:val="ListParagraph"/>
        <w:numPr>
          <w:ilvl w:val="0"/>
          <w:numId w:val="37"/>
        </w:numPr>
        <w:spacing w:after="120"/>
        <w:ind w:left="0"/>
        <w:contextualSpacing w:val="0"/>
        <w:jc w:val="both"/>
        <w:rPr>
          <w:lang w:val="fr-FR"/>
        </w:rPr>
      </w:pPr>
      <w:r w:rsidRPr="00857EF9">
        <w:rPr>
          <w:lang w:val="fr-FR"/>
        </w:rPr>
        <w:t>Le gouvernement haïtien est en train de constituer un groupe de travail qui coordonnera toutes les réformes relatives au climat des affaires. Le CFI, la SONAPI, la DZF et la nouvelle autorité des Z</w:t>
      </w:r>
      <w:r w:rsidR="009E5BE3" w:rsidRPr="00857EF9">
        <w:rPr>
          <w:lang w:val="fr-FR"/>
        </w:rPr>
        <w:t>EI</w:t>
      </w:r>
      <w:r w:rsidRPr="00857EF9">
        <w:rPr>
          <w:lang w:val="fr-FR"/>
        </w:rPr>
        <w:t xml:space="preserve"> – lorsqu'elle aura vu le jour – seront des partenaires majeurs pour promouvoir les investissements et faire avancer les activités du projet relatives aux ZEI. De surcroit, des réformes législatives de toutes les lois commerciales seront préparées et soumises au Conseil des ministres par l'organisme technique chargé des réformes législatives du climat des affaires sous l'autorité du MCI</w:t>
      </w:r>
      <w:r w:rsidR="00E01433" w:rsidRPr="00857EF9">
        <w:rPr>
          <w:lang w:val="fr-FR"/>
        </w:rPr>
        <w:t xml:space="preserve">. </w:t>
      </w:r>
      <w:r w:rsidR="00040DBD" w:rsidRPr="00857EF9">
        <w:rPr>
          <w:lang w:val="fr-FR"/>
        </w:rPr>
        <w:t xml:space="preserve">Les </w:t>
      </w:r>
      <w:r w:rsidRPr="00857EF9">
        <w:rPr>
          <w:lang w:val="fr-FR"/>
        </w:rPr>
        <w:t>activités de la première composante sont détaillées ci-après :</w:t>
      </w:r>
    </w:p>
    <w:p w:rsidR="00B35090" w:rsidRPr="00857EF9" w:rsidRDefault="009412ED" w:rsidP="00B563F2">
      <w:pPr>
        <w:pStyle w:val="ListParagraph"/>
        <w:numPr>
          <w:ilvl w:val="1"/>
          <w:numId w:val="23"/>
        </w:numPr>
        <w:spacing w:after="120"/>
        <w:ind w:left="708"/>
        <w:contextualSpacing w:val="0"/>
        <w:jc w:val="both"/>
        <w:rPr>
          <w:b/>
          <w:i/>
          <w:lang w:val="fr-FR"/>
        </w:rPr>
      </w:pPr>
      <w:r w:rsidRPr="00857EF9">
        <w:rPr>
          <w:b/>
          <w:i/>
          <w:lang w:val="fr-FR"/>
        </w:rPr>
        <w:t>Réforme du climat des affaires (2 millions USD)</w:t>
      </w:r>
    </w:p>
    <w:p w:rsidR="00223E84" w:rsidRPr="00857EF9" w:rsidRDefault="009412ED" w:rsidP="00B563F2">
      <w:pPr>
        <w:pStyle w:val="ListParagraph"/>
        <w:numPr>
          <w:ilvl w:val="0"/>
          <w:numId w:val="37"/>
        </w:numPr>
        <w:spacing w:after="120"/>
        <w:ind w:left="0"/>
        <w:contextualSpacing w:val="0"/>
        <w:jc w:val="both"/>
        <w:rPr>
          <w:lang w:val="fr-FR"/>
        </w:rPr>
      </w:pPr>
      <w:r w:rsidRPr="00857EF9">
        <w:rPr>
          <w:lang w:val="fr-FR"/>
        </w:rPr>
        <w:t>Les indicateurs mondiaux classent le climat des affaires en Haïti parmi les pires dans le monde : le Forum économique mondial place le pays au 141</w:t>
      </w:r>
      <w:r w:rsidRPr="00857EF9">
        <w:rPr>
          <w:vertAlign w:val="superscript"/>
          <w:lang w:val="fr-FR"/>
        </w:rPr>
        <w:t>e</w:t>
      </w:r>
      <w:r w:rsidRPr="00857EF9">
        <w:rPr>
          <w:lang w:val="fr-FR"/>
        </w:rPr>
        <w:t xml:space="preserve"> rang sur 142 pour la compétitivité globale, et le rapport </w:t>
      </w:r>
      <w:proofErr w:type="spellStart"/>
      <w:r w:rsidRPr="00857EF9">
        <w:rPr>
          <w:lang w:val="fr-FR"/>
        </w:rPr>
        <w:t>Doing</w:t>
      </w:r>
      <w:proofErr w:type="spellEnd"/>
      <w:r w:rsidRPr="00857EF9">
        <w:rPr>
          <w:lang w:val="fr-FR"/>
        </w:rPr>
        <w:t xml:space="preserve"> Business 2013 de la Banque mondiale le classe au 174</w:t>
      </w:r>
      <w:r w:rsidRPr="00857EF9">
        <w:rPr>
          <w:vertAlign w:val="superscript"/>
          <w:lang w:val="fr-FR"/>
        </w:rPr>
        <w:t>e</w:t>
      </w:r>
      <w:r w:rsidRPr="00857EF9">
        <w:rPr>
          <w:lang w:val="fr-FR"/>
        </w:rPr>
        <w:t xml:space="preserve"> rang sur 185 </w:t>
      </w:r>
      <w:r w:rsidRPr="00857EF9">
        <w:rPr>
          <w:lang w:val="fr-FR"/>
        </w:rPr>
        <w:lastRenderedPageBreak/>
        <w:t>pour la facilité de faire des affaires. Par exemple, il faut compter environ un mois pour exporter ou importer des marchandises. Le coût des procédures de création d'entreprise représente 286 % du RNB par habitant, et il faut 105 jours pour les mener à bien</w:t>
      </w:r>
      <w:r w:rsidR="00E01433" w:rsidRPr="00857EF9">
        <w:rPr>
          <w:lang w:val="fr-FR"/>
        </w:rPr>
        <w:t xml:space="preserve">. </w:t>
      </w:r>
      <w:r w:rsidRPr="00857EF9">
        <w:rPr>
          <w:lang w:val="fr-FR"/>
        </w:rPr>
        <w:t>Il faut plus de trois ans pour rassembler tous les permis nécessaires pour construire un entrepôt. Enfin, la concurrence est particulièrement faible en l'absence d'une politique globale gouvernant ce domaine, une situation qui se traduit par un coût élevé des biens de consommation et des intrants pour les entreprises.</w:t>
      </w:r>
    </w:p>
    <w:p w:rsidR="00223E84" w:rsidRPr="00BC7304" w:rsidRDefault="009412ED" w:rsidP="00B563F2">
      <w:pPr>
        <w:pStyle w:val="ListParagraph"/>
        <w:numPr>
          <w:ilvl w:val="0"/>
          <w:numId w:val="37"/>
        </w:numPr>
        <w:spacing w:after="120"/>
        <w:ind w:left="0"/>
        <w:contextualSpacing w:val="0"/>
        <w:jc w:val="both"/>
        <w:rPr>
          <w:lang w:val="fr-FR"/>
        </w:rPr>
      </w:pPr>
      <w:r w:rsidRPr="00857EF9">
        <w:rPr>
          <w:lang w:val="fr-FR"/>
        </w:rPr>
        <w:t xml:space="preserve">Cette sous-composante englobe trois aspects principaux :  </w:t>
      </w:r>
    </w:p>
    <w:p w:rsidR="009412ED" w:rsidRPr="00857EF9" w:rsidRDefault="00887F3D" w:rsidP="00B563F2">
      <w:pPr>
        <w:pStyle w:val="ListParagraph"/>
        <w:numPr>
          <w:ilvl w:val="0"/>
          <w:numId w:val="26"/>
        </w:numPr>
        <w:spacing w:after="120"/>
        <w:ind w:left="360"/>
        <w:contextualSpacing w:val="0"/>
        <w:jc w:val="both"/>
        <w:rPr>
          <w:i/>
          <w:lang w:val="fr-FR"/>
        </w:rPr>
      </w:pPr>
      <w:r w:rsidRPr="00857EF9">
        <w:rPr>
          <w:i/>
          <w:lang w:val="fr-FR"/>
        </w:rPr>
        <w:t xml:space="preserve"> Plan d'action et réformes du climat des affaires</w:t>
      </w:r>
    </w:p>
    <w:p w:rsidR="00AC3DB2" w:rsidRPr="00857EF9" w:rsidRDefault="00AC3DB2" w:rsidP="00B563F2">
      <w:pPr>
        <w:pStyle w:val="ListParagraph"/>
        <w:numPr>
          <w:ilvl w:val="0"/>
          <w:numId w:val="37"/>
        </w:numPr>
        <w:spacing w:after="120"/>
        <w:ind w:left="0"/>
        <w:contextualSpacing w:val="0"/>
        <w:jc w:val="both"/>
        <w:rPr>
          <w:lang w:val="fr-FR"/>
        </w:rPr>
      </w:pPr>
      <w:r w:rsidRPr="00857EF9">
        <w:rPr>
          <w:lang w:val="fr-FR"/>
        </w:rPr>
        <w:t>Il s'agira d'aider le bénéficiaire à concevoir et mettre en œuvre des réformes du climat des affaires dans l'ensemble de l'économie en vue d'améliorer l'environnement des affaires par : (i) l'exécution d'un plan d'action détaillé visant, entre autres, à : (A) réviser le cadre réglementaire des prêts sécurisés</w:t>
      </w:r>
      <w:r w:rsidR="00CE73E6" w:rsidRPr="00857EF9">
        <w:rPr>
          <w:lang w:val="fr-FR"/>
        </w:rPr>
        <w:t> ;</w:t>
      </w:r>
      <w:r w:rsidRPr="00857EF9">
        <w:rPr>
          <w:lang w:val="fr-FR"/>
        </w:rPr>
        <w:t xml:space="preserve"> établir un registre électronique des garanties ; et dispenser une formation pour améliorer les compétences du personnel du registre et des clients des marchés financiers ; (B) renforcer le cadre de l'insolvabilité en actualisant le cadre réglementaire ; sensibiliser les instances judiciaires et développer leurs capacités ; et appuyer l'élaboration d'un cadre réglementaire et de mécanismes de supervision pour les administrateurs de l'insolvabilité ; et (C) mettre en place les réformes réglementaires et administratives du climat des affaires énoncées dans le plan d'action </w:t>
      </w:r>
      <w:r w:rsidR="00113620" w:rsidRPr="00857EF9">
        <w:rPr>
          <w:lang w:val="fr-FR"/>
        </w:rPr>
        <w:t>susmentionné</w:t>
      </w:r>
      <w:r w:rsidRPr="00857EF9">
        <w:rPr>
          <w:lang w:val="fr-FR"/>
        </w:rPr>
        <w:t> ; et (ii) l'amélioration des systèmes d'accréditation et d'inspection dans un certain nombre de secteurs choisis, tout cela par le biais de la fourniture de biens, d'assistance technique, de formation et de fonds opérationnels.</w:t>
      </w:r>
    </w:p>
    <w:p w:rsidR="003E048D" w:rsidRPr="00857EF9" w:rsidRDefault="00AC3DB2" w:rsidP="00B563F2">
      <w:pPr>
        <w:pStyle w:val="ListParagraph"/>
        <w:numPr>
          <w:ilvl w:val="0"/>
          <w:numId w:val="37"/>
        </w:numPr>
        <w:spacing w:after="120"/>
        <w:ind w:left="0"/>
        <w:contextualSpacing w:val="0"/>
        <w:jc w:val="both"/>
        <w:rPr>
          <w:lang w:val="fr-FR"/>
        </w:rPr>
      </w:pPr>
      <w:r w:rsidRPr="00857EF9">
        <w:rPr>
          <w:lang w:val="fr-FR"/>
        </w:rPr>
        <w:t xml:space="preserve">Plus précisément, cette activité contribuera au renforcement des capacités des pouvoirs publics à établir des priorités et à appliquer un plan d'action détaillé en vue d'améliorer le climat des affaires, en s'inspirant du mémorandum sur la réforme de la façon de faire des affaires présenté aux autorités d'Haïti en septembre 2011. Le plan d'action décrit en détail des recommandations de réforme portant sur : la création d'entreprise, les permis de construire, le registre foncier, l'accès au crédit, la protection des actionnaires minoritaires, la logistique des échanges, les contrats commerciaux et les procédures d'insolvabilité. Un appui complémentaire sera dispensé pour aider les dirigeants à réformer quatre ou cinq aspects du climat d'investissement parmi ceux cités ci-dessus ou d'autres, par exemple pour la création d'entreprise ou les accréditations. L'appui comprend un volet financier pour : examiner les propositions de réforme, recueillir l'avis des consultants pour préparer des amendements législatifs ou pour mettre en œuvre le programme de réformes (par ex. pour créer des guichets uniques d'enregistrement des entreprises, d'établissement ou de réorganisation des registres fonciers et de garanties). Les appuis seront fournis de façon coordonnée en veillant à ne pas dupliquer ou aller à l'encontre de formes de soutien existantes associées à d'autres projets du GBM ou d'autres institutions.  </w:t>
      </w:r>
    </w:p>
    <w:p w:rsidR="00385DEC" w:rsidRPr="00A7289C" w:rsidRDefault="00A11D58" w:rsidP="00B563F2">
      <w:pPr>
        <w:pStyle w:val="ListParagraph"/>
        <w:numPr>
          <w:ilvl w:val="0"/>
          <w:numId w:val="37"/>
        </w:numPr>
        <w:spacing w:after="120"/>
        <w:ind w:left="0"/>
        <w:contextualSpacing w:val="0"/>
        <w:jc w:val="both"/>
      </w:pPr>
      <w:r w:rsidRPr="00857EF9">
        <w:rPr>
          <w:lang w:val="fr-FR"/>
        </w:rPr>
        <w:t xml:space="preserve">Actuellement, à la demande du GH, l'appui apporté concerne deux aspects liés à l'accès au financement et à la cessation d'activité : la loi sur les transactions sécurisées et le registre des garanties et l'amélioration du cadre de l'insolvabilité, ainsi que les systèmes d'accréditation et d'inspection. </w:t>
      </w:r>
      <w:proofErr w:type="spellStart"/>
      <w:r>
        <w:t>Cet</w:t>
      </w:r>
      <w:proofErr w:type="spellEnd"/>
      <w:r>
        <w:t xml:space="preserve"> </w:t>
      </w:r>
      <w:proofErr w:type="spellStart"/>
      <w:r>
        <w:t>appui</w:t>
      </w:r>
      <w:proofErr w:type="spellEnd"/>
      <w:r>
        <w:t xml:space="preserve"> </w:t>
      </w:r>
      <w:proofErr w:type="spellStart"/>
      <w:r>
        <w:t>est</w:t>
      </w:r>
      <w:proofErr w:type="spellEnd"/>
      <w:r>
        <w:t xml:space="preserve"> </w:t>
      </w:r>
      <w:proofErr w:type="spellStart"/>
      <w:r>
        <w:t>présenté</w:t>
      </w:r>
      <w:proofErr w:type="spellEnd"/>
      <w:r>
        <w:t xml:space="preserve"> en </w:t>
      </w:r>
      <w:proofErr w:type="spellStart"/>
      <w:r>
        <w:t>détail</w:t>
      </w:r>
      <w:proofErr w:type="spellEnd"/>
      <w:r>
        <w:t xml:space="preserve"> ci-</w:t>
      </w:r>
      <w:proofErr w:type="spellStart"/>
      <w:r>
        <w:t>dessous</w:t>
      </w:r>
      <w:proofErr w:type="spellEnd"/>
      <w:r>
        <w:t xml:space="preserve">. </w:t>
      </w:r>
    </w:p>
    <w:p w:rsidR="009412ED" w:rsidRPr="00A7289C" w:rsidRDefault="005F0619" w:rsidP="00175270">
      <w:pPr>
        <w:pStyle w:val="ListParagraph"/>
        <w:spacing w:after="120"/>
        <w:ind w:left="0"/>
        <w:contextualSpacing w:val="0"/>
        <w:jc w:val="both"/>
      </w:pPr>
      <w:r>
        <w:rPr>
          <w:i/>
        </w:rPr>
        <w:t xml:space="preserve">1. </w:t>
      </w:r>
      <w:proofErr w:type="spellStart"/>
      <w:r>
        <w:rPr>
          <w:i/>
        </w:rPr>
        <w:t>L'appui</w:t>
      </w:r>
      <w:proofErr w:type="spellEnd"/>
      <w:r>
        <w:rPr>
          <w:i/>
        </w:rPr>
        <w:t xml:space="preserve"> aux transactions </w:t>
      </w:r>
      <w:proofErr w:type="spellStart"/>
      <w:r>
        <w:rPr>
          <w:i/>
        </w:rPr>
        <w:t>sécurisé</w:t>
      </w:r>
      <w:proofErr w:type="spellEnd"/>
      <w:r>
        <w:rPr>
          <w:i/>
        </w:rPr>
        <w:t> :</w:t>
      </w:r>
    </w:p>
    <w:p w:rsidR="009412ED" w:rsidRPr="00857EF9" w:rsidRDefault="005F0619" w:rsidP="00175270">
      <w:pPr>
        <w:pStyle w:val="ListParagraph"/>
        <w:spacing w:after="120"/>
        <w:ind w:left="0"/>
        <w:contextualSpacing w:val="0"/>
        <w:jc w:val="both"/>
        <w:rPr>
          <w:lang w:val="fr-FR"/>
        </w:rPr>
      </w:pPr>
      <w:r w:rsidRPr="00857EF9">
        <w:rPr>
          <w:i/>
          <w:lang w:val="fr-FR"/>
        </w:rPr>
        <w:t xml:space="preserve">i. Révision du cadre législatif et réglementaire des prêts sécurisés. </w:t>
      </w:r>
      <w:r w:rsidRPr="00857EF9">
        <w:rPr>
          <w:lang w:val="fr-FR"/>
        </w:rPr>
        <w:t xml:space="preserve">Cette activité vise à revoir les dispositions du Code civil haïtien portant sur les prêts sécurisés ainsi que la loi sur les gages sans </w:t>
      </w:r>
      <w:r w:rsidRPr="00857EF9">
        <w:rPr>
          <w:lang w:val="fr-FR"/>
        </w:rPr>
        <w:lastRenderedPageBreak/>
        <w:t>dépossession d'avril 2009, dans le but d'élargir la gamme des actifs utilisables comme garanties, d'en renforcer l'application, de clarifier l'ordre de priorités des créditeurs et de préparer le terrain pour créer un registre de garanties. La contrepartie principale pour cette activité est le MCI, mais le MEF, le ministère de la Justice et la BRH y contribuent également.</w:t>
      </w:r>
    </w:p>
    <w:p w:rsidR="009412ED" w:rsidRPr="00857EF9" w:rsidRDefault="005F0619" w:rsidP="00175270">
      <w:pPr>
        <w:pStyle w:val="ListParagraph"/>
        <w:spacing w:after="120"/>
        <w:ind w:left="0"/>
        <w:contextualSpacing w:val="0"/>
        <w:jc w:val="both"/>
        <w:rPr>
          <w:lang w:val="fr-FR"/>
        </w:rPr>
      </w:pPr>
      <w:r w:rsidRPr="00857EF9">
        <w:rPr>
          <w:i/>
          <w:lang w:val="fr-FR"/>
        </w:rPr>
        <w:t>ii. Création d'un registre de garanties électronique</w:t>
      </w:r>
      <w:r w:rsidRPr="00857EF9">
        <w:rPr>
          <w:lang w:val="fr-FR"/>
        </w:rPr>
        <w:t>. Cette activité comprend : (i) l'achat de matériels et logiciels informatiques ; (ii) la préparation d'un plan de développement des capacités pour le registre, incluant un modèle de développement viable, des procédures opérationnelles, la dotation en personnel et en équipements ainsi qu'une stratégie de communication</w:t>
      </w:r>
      <w:r w:rsidR="00CE73E6" w:rsidRPr="00857EF9">
        <w:rPr>
          <w:lang w:val="fr-FR"/>
        </w:rPr>
        <w:t> ;</w:t>
      </w:r>
      <w:r w:rsidRPr="00857EF9">
        <w:rPr>
          <w:lang w:val="fr-FR"/>
        </w:rPr>
        <w:t xml:space="preserve"> et (iii) une aide à la conception de la plateforme technologique du registre, y compris l'identification éventuelle de solutions externes si nécessaire. La plateforme technologique du registre offrira une base de données en ligne ouverte, où les créditeurs peuvent enregistrer des promesses d'échanges d'actifs mobiliers contre de nouveaux prêt</w:t>
      </w:r>
      <w:r w:rsidR="009E5BE3" w:rsidRPr="00857EF9">
        <w:rPr>
          <w:lang w:val="fr-FR"/>
        </w:rPr>
        <w:t>s,</w:t>
      </w:r>
      <w:r w:rsidRPr="00857EF9">
        <w:rPr>
          <w:lang w:val="fr-FR"/>
        </w:rPr>
        <w:t xml:space="preserve"> et effectuer des recherches afin de déterminer l'existence de liens pour les actifs proposés en garantie. La contrepartie principale de cette activité est le MEF, qui abritera le registre dans les bureaux des autorités fiscales, la DGI.</w:t>
      </w:r>
    </w:p>
    <w:p w:rsidR="009412ED" w:rsidRPr="00857EF9" w:rsidRDefault="005F0619" w:rsidP="00175270">
      <w:pPr>
        <w:pStyle w:val="ListParagraph"/>
        <w:spacing w:after="120"/>
        <w:ind w:left="0"/>
        <w:contextualSpacing w:val="0"/>
        <w:jc w:val="both"/>
        <w:rPr>
          <w:lang w:val="fr-FR"/>
        </w:rPr>
      </w:pPr>
      <w:r w:rsidRPr="00857EF9">
        <w:rPr>
          <w:i/>
          <w:lang w:val="fr-FR"/>
        </w:rPr>
        <w:t>iii. Sessions de formation et de développement des capacités pour le personnel du registre et les clients du marché financier</w:t>
      </w:r>
      <w:r w:rsidRPr="00857EF9">
        <w:rPr>
          <w:lang w:val="fr-FR"/>
        </w:rPr>
        <w:t>. Cette activité consiste à sensibiliser l'opinion et à former les bénéficiaires de la réforme, dans le secteur public (personnel du registre et des organismes de régulation, agents de l'État, juges commerciaux, huissiers) et chez les partenaires privés (institutions financières, institutions financières non bancaires, communauté des affaires et monde universitaire). La principale contrepartie pour cette activité est le MEF. D'autres instances comme le ministère de la Justice, les services fiscaux et douaniers ainsi que des entreprises privées contribueront aussi à l'identification des activités de suivi.</w:t>
      </w:r>
    </w:p>
    <w:p w:rsidR="009412ED" w:rsidRPr="00A7289C" w:rsidRDefault="005F0619" w:rsidP="00175270">
      <w:pPr>
        <w:pStyle w:val="ListParagraph"/>
        <w:spacing w:after="120"/>
        <w:ind w:left="0"/>
        <w:contextualSpacing w:val="0"/>
        <w:jc w:val="both"/>
        <w:rPr>
          <w:i/>
        </w:rPr>
      </w:pPr>
      <w:r>
        <w:rPr>
          <w:i/>
        </w:rPr>
        <w:t xml:space="preserve">2. </w:t>
      </w:r>
      <w:proofErr w:type="spellStart"/>
      <w:r>
        <w:rPr>
          <w:i/>
        </w:rPr>
        <w:t>Procédures</w:t>
      </w:r>
      <w:proofErr w:type="spellEnd"/>
      <w:r>
        <w:rPr>
          <w:i/>
        </w:rPr>
        <w:t xml:space="preserve"> </w:t>
      </w:r>
      <w:proofErr w:type="spellStart"/>
      <w:r>
        <w:rPr>
          <w:i/>
        </w:rPr>
        <w:t>d'insolvabilité</w:t>
      </w:r>
      <w:proofErr w:type="spellEnd"/>
    </w:p>
    <w:p w:rsidR="009412ED" w:rsidRPr="00BC7304" w:rsidRDefault="0040472D" w:rsidP="00175270">
      <w:pPr>
        <w:pStyle w:val="ListParagraph"/>
        <w:spacing w:after="120"/>
        <w:ind w:left="0"/>
        <w:contextualSpacing w:val="0"/>
        <w:jc w:val="both"/>
        <w:rPr>
          <w:lang w:val="fr-FR"/>
        </w:rPr>
      </w:pPr>
      <w:proofErr w:type="gramStart"/>
      <w:r w:rsidRPr="00857EF9">
        <w:rPr>
          <w:i/>
          <w:lang w:val="fr-FR"/>
        </w:rPr>
        <w:t>i</w:t>
      </w:r>
      <w:proofErr w:type="gramEnd"/>
      <w:r w:rsidRPr="00857EF9">
        <w:rPr>
          <w:i/>
          <w:lang w:val="fr-FR"/>
        </w:rPr>
        <w:t xml:space="preserve">. </w:t>
      </w:r>
      <w:r w:rsidRPr="00857EF9">
        <w:rPr>
          <w:lang w:val="fr-FR"/>
        </w:rPr>
        <w:t>Le Code de Commerce date de 1827 et ne couvre que la liquidation des entreprises en faillite, alors qu'il devrait également traiter de la réorganisation et d'autres mécanismes destinés à préserver la valeur et les emplois des entreprises en difficulté. De plus, les professionnels impliqués dans les procédures d'insolvabilité (juges, banquiers, administrateurs) ne connaissent généralement que la procédure de liquidation et manquent à la fois de capacités de supervision et de qualifications professionnelles. Les activités en rapport sont les suivantes :</w:t>
      </w:r>
    </w:p>
    <w:p w:rsidR="009412ED" w:rsidRPr="00BC7304" w:rsidRDefault="0040472D" w:rsidP="00175270">
      <w:pPr>
        <w:pStyle w:val="ListParagraph"/>
        <w:spacing w:after="120"/>
        <w:ind w:left="0"/>
        <w:contextualSpacing w:val="0"/>
        <w:jc w:val="both"/>
        <w:rPr>
          <w:i/>
          <w:lang w:val="fr-FR"/>
        </w:rPr>
      </w:pPr>
      <w:r w:rsidRPr="00857EF9">
        <w:rPr>
          <w:i/>
          <w:lang w:val="fr-FR"/>
        </w:rPr>
        <w:t xml:space="preserve">ii. Amélioration du cadre législatif. </w:t>
      </w:r>
      <w:r w:rsidRPr="00857EF9">
        <w:rPr>
          <w:lang w:val="fr-FR"/>
        </w:rPr>
        <w:t xml:space="preserve">Au départ, il s'agira en priorité de contribuer à la préparation des mises à jour des dispositions légales régissant actuellement la faillite (Chapitre 3 du Code de Commerce). Tous les amendements à une nouvelle proposition de loi devront être cohérents par rapport à la nouvelle loi relative aux prêts sécurisés. </w:t>
      </w:r>
    </w:p>
    <w:p w:rsidR="009412ED" w:rsidRPr="00BC7304" w:rsidRDefault="005F0619" w:rsidP="00175270">
      <w:pPr>
        <w:pStyle w:val="ListParagraph"/>
        <w:spacing w:after="120"/>
        <w:ind w:left="0"/>
        <w:contextualSpacing w:val="0"/>
        <w:jc w:val="both"/>
        <w:rPr>
          <w:lang w:val="fr-FR"/>
        </w:rPr>
      </w:pPr>
      <w:r w:rsidRPr="00857EF9">
        <w:rPr>
          <w:i/>
          <w:lang w:val="fr-FR"/>
        </w:rPr>
        <w:t xml:space="preserve">iii. Sensibilisation et développement des compétences des tribunaux et des juges pour l'application d'un nouveau régime d'insolvabilité. </w:t>
      </w:r>
      <w:r w:rsidRPr="00857EF9">
        <w:rPr>
          <w:lang w:val="fr-FR"/>
        </w:rPr>
        <w:t>Par ailleurs, le projet contribuera à la formation et la sensibilisation des autres parties concernées, y compris les administrateurs, la Chambre de commerce, l'Association bancaire, la BRH et d'autres institutions de l'État.</w:t>
      </w:r>
    </w:p>
    <w:p w:rsidR="005F0619" w:rsidRPr="00BC7304" w:rsidRDefault="005F0619" w:rsidP="00175270">
      <w:pPr>
        <w:pStyle w:val="ListParagraph"/>
        <w:spacing w:after="120"/>
        <w:ind w:left="0"/>
        <w:contextualSpacing w:val="0"/>
        <w:jc w:val="both"/>
        <w:rPr>
          <w:lang w:val="fr-FR"/>
        </w:rPr>
      </w:pPr>
      <w:r w:rsidRPr="00857EF9">
        <w:rPr>
          <w:i/>
          <w:lang w:val="fr-FR"/>
        </w:rPr>
        <w:t>iv. Appui à l'établissement d'un cadre réglementaire et de mécanismes de supervision pour les administrateurs de l'insolvabilité</w:t>
      </w:r>
      <w:r w:rsidRPr="00857EF9">
        <w:rPr>
          <w:lang w:val="fr-FR"/>
        </w:rPr>
        <w:t xml:space="preserve"> (les </w:t>
      </w:r>
      <w:r w:rsidRPr="00857EF9">
        <w:rPr>
          <w:i/>
          <w:lang w:val="fr-FR"/>
        </w:rPr>
        <w:t>« syndics »</w:t>
      </w:r>
      <w:r w:rsidRPr="00857EF9">
        <w:rPr>
          <w:lang w:val="fr-FR"/>
        </w:rPr>
        <w:t>). Cette activité contribuera au développement d'un groupe central de syndics professionnels et à la définition de normes minimales de qualification et d'accréditation pour les professionnels de l'insolvabilité.</w:t>
      </w:r>
    </w:p>
    <w:p w:rsidR="005F0619" w:rsidRPr="00A7289C" w:rsidRDefault="005F0619" w:rsidP="00175270">
      <w:pPr>
        <w:keepNext/>
        <w:spacing w:after="120"/>
        <w:jc w:val="both"/>
        <w:rPr>
          <w:i/>
        </w:rPr>
      </w:pPr>
      <w:r>
        <w:rPr>
          <w:i/>
        </w:rPr>
        <w:lastRenderedPageBreak/>
        <w:t xml:space="preserve">3. </w:t>
      </w:r>
      <w:proofErr w:type="spellStart"/>
      <w:r>
        <w:rPr>
          <w:i/>
        </w:rPr>
        <w:t>Systèmes</w:t>
      </w:r>
      <w:proofErr w:type="spellEnd"/>
      <w:r>
        <w:rPr>
          <w:i/>
        </w:rPr>
        <w:t xml:space="preserve"> </w:t>
      </w:r>
      <w:proofErr w:type="spellStart"/>
      <w:r>
        <w:rPr>
          <w:i/>
        </w:rPr>
        <w:t>d'accréditation</w:t>
      </w:r>
      <w:proofErr w:type="spellEnd"/>
      <w:r>
        <w:rPr>
          <w:i/>
        </w:rPr>
        <w:t xml:space="preserve"> et </w:t>
      </w:r>
      <w:proofErr w:type="spellStart"/>
      <w:r>
        <w:rPr>
          <w:i/>
        </w:rPr>
        <w:t>d'inspection</w:t>
      </w:r>
      <w:proofErr w:type="spellEnd"/>
    </w:p>
    <w:p w:rsidR="005F0619" w:rsidRPr="00857EF9" w:rsidRDefault="0040472D" w:rsidP="00175270">
      <w:pPr>
        <w:pStyle w:val="ListParagraph"/>
        <w:spacing w:after="120"/>
        <w:ind w:left="0"/>
        <w:contextualSpacing w:val="0"/>
        <w:jc w:val="both"/>
        <w:rPr>
          <w:lang w:val="fr-FR"/>
        </w:rPr>
      </w:pPr>
      <w:r w:rsidRPr="00857EF9">
        <w:rPr>
          <w:i/>
          <w:lang w:val="fr-FR"/>
        </w:rPr>
        <w:t xml:space="preserve">i. </w:t>
      </w:r>
      <w:r w:rsidRPr="00857EF9">
        <w:rPr>
          <w:lang w:val="fr-FR"/>
        </w:rPr>
        <w:t xml:space="preserve">Cette activité sera menée en étroite coordination avec le projet Tourisme et Héritage Culturel, ainsi qu'avec les activités relatives aux ZEI et aux SDE de ce projet pour les secteurs concernés (tourisme et agro-industrie) en vue d'améliorer la qualité réglementaire des inspections et des systèmes d'accréditation. Plusieurs analyses de chaînes de valeurs effectuées par d'autres bailleurs à propos des services touristiques et des produits agricoles soulignent la médiocrité des systèmes d'inspection et d'accréditation. Elles démontrent que l'absence de normes et de contrôle de la qualité </w:t>
      </w:r>
      <w:r w:rsidR="00CE73E6" w:rsidRPr="00857EF9">
        <w:rPr>
          <w:lang w:val="fr-FR"/>
        </w:rPr>
        <w:t>handicape</w:t>
      </w:r>
      <w:r w:rsidRPr="00857EF9">
        <w:rPr>
          <w:lang w:val="fr-FR"/>
        </w:rPr>
        <w:t xml:space="preserve"> les exportations</w:t>
      </w:r>
      <w:r w:rsidR="00E01433" w:rsidRPr="00857EF9">
        <w:rPr>
          <w:lang w:val="fr-FR"/>
        </w:rPr>
        <w:t xml:space="preserve">. </w:t>
      </w:r>
      <w:r w:rsidRPr="00857EF9">
        <w:rPr>
          <w:lang w:val="fr-FR"/>
        </w:rPr>
        <w:t xml:space="preserve">Les professionnels de l'industrie du tourisme relatent, par exemple, qu'aucune inspection sanitaire ou de sécurité n'est effectuée dans leurs établissements, ce qui limite probablement la qualité des services proposés et ternit l'image </w:t>
      </w:r>
      <w:proofErr w:type="gramStart"/>
      <w:r w:rsidRPr="00857EF9">
        <w:rPr>
          <w:lang w:val="fr-FR"/>
        </w:rPr>
        <w:t>de Haïti</w:t>
      </w:r>
      <w:proofErr w:type="gramEnd"/>
      <w:r w:rsidRPr="00857EF9">
        <w:rPr>
          <w:lang w:val="fr-FR"/>
        </w:rPr>
        <w:t xml:space="preserve"> en tant que destination touristique propre et sûre. </w:t>
      </w:r>
    </w:p>
    <w:p w:rsidR="00D306EE" w:rsidRPr="00857EF9" w:rsidRDefault="00D306EE" w:rsidP="00D306EE">
      <w:pPr>
        <w:pStyle w:val="ListParagraph"/>
        <w:spacing w:after="120"/>
        <w:ind w:left="0"/>
        <w:contextualSpacing w:val="0"/>
        <w:jc w:val="both"/>
        <w:rPr>
          <w:lang w:val="fr-FR"/>
        </w:rPr>
      </w:pPr>
      <w:r w:rsidRPr="00857EF9">
        <w:rPr>
          <w:i/>
          <w:lang w:val="fr-FR"/>
        </w:rPr>
        <w:t xml:space="preserve">ii. </w:t>
      </w:r>
      <w:r w:rsidRPr="00857EF9">
        <w:rPr>
          <w:lang w:val="fr-FR"/>
        </w:rPr>
        <w:t>L'activité contribuera à alléger les contraintes qui pèsent sur les MPME, notamment concernant les mécanismes d'inspection. Le projet initiera une analyse de ces contraintes à l'échelon national et régional, en se concentrant initialement sur l'amélioration des normes sanitaires et d'hygiène dans l'industrie du tourisme et ses chaînes de valeur, en synergie avec le projet Tourisme Durable et Héritage Culturel. Un effort particulier sera fait pour sensibiliser les dirigeants des MPME aux questions touchant à la sécurité alimentaire. Cette activité sera menée en étroite collaboration avec le MCI et le ministère du Tourisme. Elle s'appuiera sur l'organisme de test et de normalisation (Bureau de Normalisation) qui est en train d'être créé avec l'aide de l'Union européenne.</w:t>
      </w:r>
    </w:p>
    <w:p w:rsidR="00BF4861" w:rsidRPr="00857EF9" w:rsidRDefault="00BF4861" w:rsidP="006C2DF7">
      <w:pPr>
        <w:pStyle w:val="ListParagraph"/>
        <w:ind w:left="0"/>
        <w:contextualSpacing w:val="0"/>
        <w:jc w:val="both"/>
        <w:rPr>
          <w:i/>
          <w:lang w:val="fr-FR"/>
        </w:rPr>
      </w:pPr>
    </w:p>
    <w:p w:rsidR="009412ED" w:rsidRPr="00BC7304" w:rsidRDefault="009412ED" w:rsidP="00B563F2">
      <w:pPr>
        <w:pStyle w:val="ListParagraph"/>
        <w:numPr>
          <w:ilvl w:val="0"/>
          <w:numId w:val="26"/>
        </w:numPr>
        <w:spacing w:after="120"/>
        <w:ind w:left="360"/>
        <w:contextualSpacing w:val="0"/>
        <w:jc w:val="both"/>
        <w:rPr>
          <w:i/>
          <w:lang w:val="fr-FR"/>
        </w:rPr>
      </w:pPr>
      <w:r w:rsidRPr="00857EF9">
        <w:rPr>
          <w:i/>
          <w:lang w:val="fr-FR"/>
        </w:rPr>
        <w:t>Encadrement de la politique de la concurrence</w:t>
      </w:r>
    </w:p>
    <w:p w:rsidR="00223E84" w:rsidRPr="00BC7304" w:rsidRDefault="009412ED" w:rsidP="00B563F2">
      <w:pPr>
        <w:pStyle w:val="ListParagraph"/>
        <w:numPr>
          <w:ilvl w:val="0"/>
          <w:numId w:val="37"/>
        </w:numPr>
        <w:spacing w:after="120"/>
        <w:ind w:left="0"/>
        <w:contextualSpacing w:val="0"/>
        <w:jc w:val="both"/>
        <w:rPr>
          <w:lang w:val="fr-FR"/>
        </w:rPr>
      </w:pPr>
      <w:r w:rsidRPr="00857EF9">
        <w:rPr>
          <w:lang w:val="fr-FR"/>
        </w:rPr>
        <w:t xml:space="preserve">Il n'existe pas actuellement de cadre global de la politique de la concurrence à Haïti. Des phénomènes de collusion et les prix extrêmement élevés des biens et des services de base imposés aux consommateurs privés et aux entreprises haïtiennes ont pour effet pour ces dernières de faire grimper le coût de leurs intrants et d'affecter négativement leur compétitivité. Le projet s'efforcera de régler ce problème en apportant son appui au MCI pour : (i) effectuer une analyse de la concurrence et une étude de l'étendue des contraintes et des barrières qui freinent la concurrence dans les secteurs de l'agro-industrie et du tourisme ; et (ii) identifier les changements législatifs et institutionnels requis pour favoriser l'ouverture des marchés à la concurrence et surmonter les contraintes spécifiques dans ces secteurs, le tout par le biais de la fourniture de biens, d'assistance technique et de formation. Selon les résultats de l'évaluation, le MCI déterminera les zones prioritaires pour bénéficier d'un support complémentaire, en se focalisant soit sur la lutte antitrust en général dans toute l'économie soit sur l'élimination des contraintes sectorielles. </w:t>
      </w:r>
    </w:p>
    <w:p w:rsidR="00B35090" w:rsidRPr="00857EF9" w:rsidRDefault="00B35090" w:rsidP="006C2DF7">
      <w:pPr>
        <w:pStyle w:val="ListParagraph"/>
        <w:ind w:left="0"/>
        <w:contextualSpacing w:val="0"/>
        <w:jc w:val="both"/>
        <w:rPr>
          <w:lang w:val="fr-FR"/>
        </w:rPr>
      </w:pPr>
    </w:p>
    <w:p w:rsidR="009412ED" w:rsidRPr="00857EF9" w:rsidRDefault="009412ED" w:rsidP="00B563F2">
      <w:pPr>
        <w:pStyle w:val="ListParagraph"/>
        <w:numPr>
          <w:ilvl w:val="0"/>
          <w:numId w:val="26"/>
        </w:numPr>
        <w:spacing w:after="120"/>
        <w:ind w:left="360"/>
        <w:contextualSpacing w:val="0"/>
        <w:jc w:val="both"/>
        <w:rPr>
          <w:i/>
          <w:lang w:val="fr-FR"/>
        </w:rPr>
      </w:pPr>
      <w:r w:rsidRPr="00857EF9">
        <w:rPr>
          <w:i/>
          <w:lang w:val="fr-FR"/>
        </w:rPr>
        <w:t>Développement des capacités relatives au processus de réforme du climat des affaires</w:t>
      </w:r>
    </w:p>
    <w:p w:rsidR="00223E84" w:rsidRPr="00BC7304" w:rsidRDefault="00AC3DB2" w:rsidP="00B563F2">
      <w:pPr>
        <w:pStyle w:val="ListParagraph"/>
        <w:numPr>
          <w:ilvl w:val="0"/>
          <w:numId w:val="37"/>
        </w:numPr>
        <w:spacing w:after="120"/>
        <w:ind w:left="0"/>
        <w:contextualSpacing w:val="0"/>
        <w:jc w:val="both"/>
        <w:rPr>
          <w:lang w:val="fr-FR"/>
        </w:rPr>
      </w:pPr>
      <w:r w:rsidRPr="00857EF9">
        <w:rPr>
          <w:lang w:val="fr-FR"/>
        </w:rPr>
        <w:t xml:space="preserve">Le projet fournira un appui : (i) à l'entité chapeautée par le MCI qui est responsable de la réforme législative relative au climat des affaires ; et (ii) aux organes de coordination désignés par le bénéficiaire pour améliorer le climat des affaires, tout cela par le biais de la fourniture d'assistance technique et de fonds opérationnels. On espère que cet appui aidera le MCI et ses partenaires à modifier les réglementations et à accomplir quelques réformes législatives, un processus complexe qui nécessite un consensus entre le Parlement, le gouvernement et le secteur privé. Les réformes législatives et réglementaires du climat des affaires exigeront probablement </w:t>
      </w:r>
      <w:r w:rsidRPr="00857EF9">
        <w:rPr>
          <w:lang w:val="fr-FR"/>
        </w:rPr>
        <w:lastRenderedPageBreak/>
        <w:t xml:space="preserve">une prolongation supplémentaire du mandat de la CPRA (déjà prolongé de six mois en mars 2013). Le MCI sera chargé du suivi des capacités institutionnelles dédiées à des réformes spécifiques, et pourra adapter son soutien pour le concentrer sur les réformes qui ont le plus d'impact. </w:t>
      </w:r>
    </w:p>
    <w:p w:rsidR="00223E84" w:rsidRPr="00857EF9" w:rsidRDefault="007A5205" w:rsidP="00B563F2">
      <w:pPr>
        <w:pStyle w:val="ListParagraph"/>
        <w:numPr>
          <w:ilvl w:val="0"/>
          <w:numId w:val="37"/>
        </w:numPr>
        <w:spacing w:after="120"/>
        <w:ind w:left="0"/>
        <w:contextualSpacing w:val="0"/>
        <w:jc w:val="both"/>
        <w:rPr>
          <w:lang w:val="fr-FR"/>
        </w:rPr>
      </w:pPr>
      <w:r w:rsidRPr="00857EF9">
        <w:rPr>
          <w:lang w:val="fr-FR"/>
        </w:rPr>
        <w:t>Le GH bénéficiera d'un appui supplémentaire pour mettre en place une stratégie de communication autour du processus de réforme, afin de partager les résultats obtenus avec les acteurs publics et privés concernés dans le but d'obtenir leur soutien pour sa mise en œuvre</w:t>
      </w:r>
      <w:r w:rsidR="00E01433" w:rsidRPr="00857EF9">
        <w:rPr>
          <w:lang w:val="fr-FR"/>
        </w:rPr>
        <w:t xml:space="preserve">. </w:t>
      </w:r>
      <w:r w:rsidRPr="00857EF9">
        <w:rPr>
          <w:lang w:val="fr-FR"/>
        </w:rPr>
        <w:t>À cet effet, un consultant en communication aura pour tâche de planifier, concevoir, exécuter, suivre et évaluer l'impact des stratégies, des activités et des campagnes de communication autour des réformes du climat des affaires ; de rédiger et superviser la préparation, la réalisation et la diffusion de supports d'information routiniers ou plus complexes ; de nouer des relations professionnelles avec des acteurs clés au plan national et à l'étranger (médias, société civile, ONG, universitaires, entreprises privées, organismes publics, parlementaires, etc.).</w:t>
      </w:r>
    </w:p>
    <w:p w:rsidR="00BF4861" w:rsidRPr="00857EF9" w:rsidRDefault="00BF4861" w:rsidP="004364AC">
      <w:pPr>
        <w:pStyle w:val="ListParagraph"/>
        <w:ind w:left="0"/>
        <w:contextualSpacing w:val="0"/>
        <w:jc w:val="both"/>
        <w:rPr>
          <w:lang w:val="fr-FR"/>
        </w:rPr>
      </w:pPr>
    </w:p>
    <w:p w:rsidR="009412ED" w:rsidRPr="00857EF9" w:rsidRDefault="009412ED" w:rsidP="00B563F2">
      <w:pPr>
        <w:pStyle w:val="ListParagraph"/>
        <w:numPr>
          <w:ilvl w:val="1"/>
          <w:numId w:val="23"/>
        </w:numPr>
        <w:spacing w:after="120"/>
        <w:ind w:left="708"/>
        <w:contextualSpacing w:val="0"/>
        <w:jc w:val="both"/>
        <w:rPr>
          <w:b/>
          <w:i/>
          <w:lang w:val="fr-FR"/>
        </w:rPr>
      </w:pPr>
      <w:r w:rsidRPr="00857EF9">
        <w:rPr>
          <w:b/>
          <w:i/>
          <w:lang w:val="fr-FR"/>
        </w:rPr>
        <w:t xml:space="preserve">Promotion de l'investissement (8 millions USD) </w:t>
      </w:r>
    </w:p>
    <w:p w:rsidR="00B74207" w:rsidRPr="00857EF9" w:rsidRDefault="00B74207" w:rsidP="00B563F2">
      <w:pPr>
        <w:pStyle w:val="ListParagraph"/>
        <w:numPr>
          <w:ilvl w:val="0"/>
          <w:numId w:val="37"/>
        </w:numPr>
        <w:tabs>
          <w:tab w:val="num" w:pos="720"/>
        </w:tabs>
        <w:spacing w:after="120"/>
        <w:ind w:left="0"/>
        <w:contextualSpacing w:val="0"/>
        <w:jc w:val="both"/>
        <w:rPr>
          <w:sz w:val="16"/>
          <w:szCs w:val="16"/>
          <w:lang w:val="fr-FR"/>
        </w:rPr>
      </w:pPr>
      <w:r w:rsidRPr="00857EF9">
        <w:rPr>
          <w:lang w:val="fr-FR"/>
        </w:rPr>
        <w:t>Avec les conditions commerciales favorables dont elles bénéficient, les entreprises d'habillement haïtiennes existantes et émergentes sont bien placées pour augmenter leur part de marché aux États-Unis, et peuvent livrer 35 millions d'articles en maille et 80 millions de produits tissés supplémentaires chaque année aux acheteurs américains à des tarifs compétitifs.</w:t>
      </w:r>
      <w:r w:rsidRPr="00857EF9">
        <w:rPr>
          <w:rStyle w:val="FootnoteReference"/>
          <w:bCs/>
          <w:lang w:val="fr-FR"/>
        </w:rPr>
        <w:t xml:space="preserve"> </w:t>
      </w:r>
      <w:r w:rsidRPr="00A7289C">
        <w:rPr>
          <w:rStyle w:val="FootnoteReference"/>
          <w:bCs/>
        </w:rPr>
        <w:footnoteReference w:id="53"/>
      </w:r>
      <w:r w:rsidRPr="00857EF9">
        <w:rPr>
          <w:bCs/>
          <w:lang w:val="fr-FR"/>
        </w:rPr>
        <w:t xml:space="preserve"> Mais l'absence de terrains pourvus de services adéquats, d'espaces industriels et d'un système fonctionnel de ZEI constitue un frein pour les investisseurs locaux et étrangers.</w:t>
      </w:r>
    </w:p>
    <w:p w:rsidR="00D306EE" w:rsidRPr="00BC7304" w:rsidRDefault="00883EFF" w:rsidP="00B563F2">
      <w:pPr>
        <w:pStyle w:val="ListParagraph"/>
        <w:numPr>
          <w:ilvl w:val="0"/>
          <w:numId w:val="37"/>
        </w:numPr>
        <w:spacing w:after="120"/>
        <w:ind w:left="0"/>
        <w:contextualSpacing w:val="0"/>
        <w:jc w:val="both"/>
        <w:rPr>
          <w:lang w:val="fr-FR"/>
        </w:rPr>
      </w:pPr>
      <w:r w:rsidRPr="00857EF9">
        <w:rPr>
          <w:lang w:val="fr-FR"/>
        </w:rPr>
        <w:t>Le manque de clarté du régime de propriété foncière constitue un obstacle sérieux en Haïti, où il semble que la plupart des terrains appartiennent à plusieurs propriétaires dépourvus de tout titre de propriété et qu'il n'existe aucun registre foncier</w:t>
      </w:r>
      <w:r w:rsidR="00E01433" w:rsidRPr="00857EF9">
        <w:rPr>
          <w:lang w:val="fr-FR"/>
        </w:rPr>
        <w:t xml:space="preserve">. </w:t>
      </w:r>
      <w:r w:rsidRPr="00857EF9">
        <w:rPr>
          <w:lang w:val="fr-FR"/>
        </w:rPr>
        <w:t xml:space="preserve">Même un terrain appartenant à l'État peut être revendiqué par ceux qui l'ont exploité pendant dix ans sans interruption. Le GH tend à exercer ses pouvoirs d'expropriation dans les affaires d'intérêt public relatives à des terrains dont la propriété est contestée (même s'ils sont enregistrés comme appartenant à l'État). Les investisseurs privés ont souffert de ces incohérences, et ont parfois dû compenser plusieurs plaignants avant de pouvoir exploiter leur propriété. Les ZEI devraient permettre d'éliminer cet obstacle : à partir du moment où le problème sera réglé par le GH pour une grande parcelle (200-1000 ha) et que la ZEI sera officialisée sur le site, les nouveaux investisseurs pourront négocier de façon transparente avec l'exploitant de la ZEI la location ou l'achat de terrain ou de bâtiments industriels pour y établir leurs activités. </w:t>
      </w:r>
    </w:p>
    <w:p w:rsidR="00223E84" w:rsidRPr="00BC7304" w:rsidRDefault="009C1243" w:rsidP="00B563F2">
      <w:pPr>
        <w:pStyle w:val="ListParagraph"/>
        <w:numPr>
          <w:ilvl w:val="0"/>
          <w:numId w:val="37"/>
        </w:numPr>
        <w:spacing w:after="120"/>
        <w:ind w:left="0"/>
        <w:contextualSpacing w:val="0"/>
        <w:jc w:val="both"/>
        <w:rPr>
          <w:lang w:val="fr-FR"/>
        </w:rPr>
      </w:pPr>
      <w:r w:rsidRPr="00857EF9">
        <w:rPr>
          <w:lang w:val="fr-FR"/>
        </w:rPr>
        <w:t xml:space="preserve">Afin de progresser dans ce domaine, le projet apportera son appui au MCI dans les activités suivantes : pour (a) effectuer une évaluation des institutions qui gouvernent les parcs industriels et les zones franches en vue de déterminer s'il convient de restructurer les cadres réglementaires et institutionnels actuels ; (b) préparer un plan d'action acceptable par l'IDA à partir des recommandations édictées dans cette évaluation ; (c) renforcer le pouvoir de l'autorité de supervision des ZEI à condition que le plan d'action évoqué ci-dessus ait été exécuté de manière jugée satisfaisante par l'IDA ; (d) préparer des études de faisabilité sur la création d'une ou plusieurs ZEI ; (e) effectuer des analyses de la demande du marché et faciliter les </w:t>
      </w:r>
      <w:r w:rsidRPr="00857EF9">
        <w:rPr>
          <w:lang w:val="fr-FR"/>
        </w:rPr>
        <w:lastRenderedPageBreak/>
        <w:t>investissements dans les ZEI existantes ou futures ; et (f) créer un guichet unique pour les investisseurs dans les ZEI, tout cela par le biais de la fourniture de biens, d'assistance technique, de formation et de fonds opérationnels. Cette activité, qui s'appuie sur le travail et les résultats du projet consultatif associé (Promotion de l'investissement en Haïti)</w:t>
      </w:r>
      <w:r w:rsidR="009412ED" w:rsidRPr="00A7289C">
        <w:footnoteReference w:id="54"/>
      </w:r>
      <w:r w:rsidRPr="00857EF9">
        <w:rPr>
          <w:lang w:val="fr-FR"/>
        </w:rPr>
        <w:t xml:space="preserve">, vise à combler les insuffisances des capacités institutionnelles pour l'exploitation des ZEI et la promotion de l'investissement dans les ZEI. L'IFC et la BM travailleront en commun pour soutenir les activités suivantes : </w:t>
      </w:r>
    </w:p>
    <w:p w:rsidR="009412ED" w:rsidRPr="00BC7304" w:rsidRDefault="009412ED" w:rsidP="00B563F2">
      <w:pPr>
        <w:pStyle w:val="ListParagraph"/>
        <w:numPr>
          <w:ilvl w:val="2"/>
          <w:numId w:val="17"/>
        </w:numPr>
        <w:spacing w:after="120"/>
        <w:contextualSpacing w:val="0"/>
        <w:jc w:val="both"/>
        <w:rPr>
          <w:bCs/>
          <w:i/>
          <w:lang w:val="fr-FR"/>
        </w:rPr>
      </w:pPr>
      <w:r w:rsidRPr="00857EF9">
        <w:rPr>
          <w:i/>
          <w:lang w:val="fr-FR"/>
        </w:rPr>
        <w:t xml:space="preserve">Développement d'un nouveau cadre réglementaire et institutionnel pour les ZEI et établissement d'une autorité des ZEI </w:t>
      </w:r>
    </w:p>
    <w:p w:rsidR="00223E84" w:rsidRPr="00BC7304" w:rsidRDefault="009412ED" w:rsidP="00B563F2">
      <w:pPr>
        <w:pStyle w:val="ListParagraph"/>
        <w:numPr>
          <w:ilvl w:val="0"/>
          <w:numId w:val="37"/>
        </w:numPr>
        <w:spacing w:after="120"/>
        <w:ind w:left="0"/>
        <w:contextualSpacing w:val="0"/>
        <w:jc w:val="both"/>
        <w:rPr>
          <w:lang w:val="fr-FR"/>
        </w:rPr>
      </w:pPr>
      <w:r w:rsidRPr="00857EF9">
        <w:rPr>
          <w:lang w:val="fr-FR"/>
        </w:rPr>
        <w:t>Les trois régimes politiques et réglementaires actuels – loi sur les zones franches, loi sur les parcs industriels, et code industriel – ne permettent pas d'attirer de nouveaux investissements créateurs d'emplois et susceptibles d'exploiter les avantages comparatifs d'Haïti</w:t>
      </w:r>
      <w:r w:rsidR="00F5728B" w:rsidRPr="00A7289C">
        <w:rPr>
          <w:rStyle w:val="FootnoteReference"/>
          <w:lang w:val="en-GB"/>
        </w:rPr>
        <w:footnoteReference w:id="55"/>
      </w:r>
      <w:r w:rsidRPr="00857EF9">
        <w:rPr>
          <w:lang w:val="fr-FR"/>
        </w:rPr>
        <w:t>. Ils ont provoqué une certaine confusion chez les investisseurs et fait grimper les prix, ce qui explique en partie les faibles performances du système de zones en Haïti. L'activité s'appuiera sur les règles d'exploitation des zones franches, qui constituent une première tentative d'amélioration du cadre existant.</w:t>
      </w:r>
    </w:p>
    <w:p w:rsidR="009412ED" w:rsidRPr="00BC7304" w:rsidRDefault="00883EFF" w:rsidP="00B563F2">
      <w:pPr>
        <w:pStyle w:val="ListParagraph"/>
        <w:numPr>
          <w:ilvl w:val="0"/>
          <w:numId w:val="37"/>
        </w:numPr>
        <w:spacing w:after="120"/>
        <w:ind w:left="0"/>
        <w:contextualSpacing w:val="0"/>
        <w:jc w:val="both"/>
        <w:rPr>
          <w:lang w:val="fr-FR"/>
        </w:rPr>
      </w:pPr>
      <w:r w:rsidRPr="00857EF9">
        <w:rPr>
          <w:lang w:val="fr-FR"/>
        </w:rPr>
        <w:t>Le MCI sera le chef de file du processus de réforme législative des ZEI, en collaboration avec l'entité technique de réforme législative en son sein</w:t>
      </w:r>
      <w:r w:rsidR="00E01433" w:rsidRPr="00857EF9">
        <w:rPr>
          <w:lang w:val="fr-FR"/>
        </w:rPr>
        <w:t xml:space="preserve">. </w:t>
      </w:r>
      <w:r w:rsidRPr="00857EF9">
        <w:rPr>
          <w:lang w:val="fr-FR"/>
        </w:rPr>
        <w:t>Le projet fournira les fonds nécessaires pour le travail préparatoire et de mise en œuvre requis par le nouveau cadre réglementaire des ZEI, en commençant par la préparation d'un projet de loi sur les ZEI. Un projet consultatif associé fournira des conseils techniques pour préparer cette nouvelle législation conformément aux meilleures pratiques internationales. Une activité complémentaire du projet consistera à accompagner les initiatives de plaidoyer de l'État visant à mobiliser les principales parties prenantes du secteur privé ainsi que les décideurs au gouvernement et au Parlement, et à contribuer à l'élaboration des propositions de réglementation correspondantes pour l'exploitation des Z</w:t>
      </w:r>
      <w:r w:rsidR="009E5BE3" w:rsidRPr="00857EF9">
        <w:rPr>
          <w:lang w:val="fr-FR"/>
        </w:rPr>
        <w:t>EI</w:t>
      </w:r>
      <w:r w:rsidRPr="00857EF9">
        <w:rPr>
          <w:lang w:val="fr-FR"/>
        </w:rPr>
        <w:t xml:space="preserve">. </w:t>
      </w:r>
    </w:p>
    <w:p w:rsidR="0040472D" w:rsidRPr="00BC7304" w:rsidRDefault="009412ED" w:rsidP="00B563F2">
      <w:pPr>
        <w:pStyle w:val="ListParagraph"/>
        <w:numPr>
          <w:ilvl w:val="0"/>
          <w:numId w:val="37"/>
        </w:numPr>
        <w:spacing w:after="120"/>
        <w:ind w:left="0"/>
        <w:contextualSpacing w:val="0"/>
        <w:jc w:val="both"/>
        <w:rPr>
          <w:lang w:val="fr-FR"/>
        </w:rPr>
      </w:pPr>
      <w:r w:rsidRPr="00857EF9">
        <w:rPr>
          <w:lang w:val="fr-FR"/>
        </w:rPr>
        <w:t>Actuellement, l'espace industriel est régi par des mandats juridictionnels concurrents, divergents et souvent contradictoires, émanant de différents organismes publics. La loi sur les ZEI proposée établira une autorité réglementaire unique et autonome pour gouverner et superviser toutes les ZEI d'Haïti, avec l'appui du projet. En attendant et jusqu'à l'approbation de la loi proposée, le MCI définira quel organe existant assumera les rôles et les responsabilités dévolus à la future autorité des ZEI</w:t>
      </w:r>
      <w:r w:rsidR="00E16493" w:rsidRPr="00A7289C">
        <w:rPr>
          <w:rStyle w:val="FootnoteReference"/>
          <w:lang w:val="en-GB"/>
        </w:rPr>
        <w:footnoteReference w:id="56"/>
      </w:r>
      <w:r w:rsidRPr="00857EF9">
        <w:rPr>
          <w:lang w:val="fr-FR"/>
        </w:rPr>
        <w:t>.</w:t>
      </w:r>
    </w:p>
    <w:p w:rsidR="00223E84" w:rsidRPr="00857EF9" w:rsidRDefault="009412ED" w:rsidP="00B563F2">
      <w:pPr>
        <w:pStyle w:val="ListParagraph"/>
        <w:numPr>
          <w:ilvl w:val="0"/>
          <w:numId w:val="37"/>
        </w:numPr>
        <w:spacing w:after="120"/>
        <w:ind w:left="0"/>
        <w:contextualSpacing w:val="0"/>
        <w:jc w:val="both"/>
        <w:rPr>
          <w:bCs/>
          <w:lang w:val="fr-FR"/>
        </w:rPr>
      </w:pPr>
      <w:r w:rsidRPr="00857EF9">
        <w:rPr>
          <w:lang w:val="fr-FR"/>
        </w:rPr>
        <w:t xml:space="preserve">Établir une autorité de supervision des ZEI, de préférence en fusionnant et renforçant des entités existantes telles que la Direction des Zones Franches et/ou la SONAPI, nécessitera un </w:t>
      </w:r>
      <w:r w:rsidRPr="00857EF9">
        <w:rPr>
          <w:lang w:val="fr-FR"/>
        </w:rPr>
        <w:lastRenderedPageBreak/>
        <w:t xml:space="preserve">appui au développement institutionnel, la nomination, le recrutement, la formation et l'encadrement du personnel ainsi qu'un appui budgétaire pour l'investissement et l'exploitation. Le projet appuiera ce développement institutionnel par le renforcement des capacités de supervision de l'autorité des ZEI à tous points de vue, y compris son aptitude à superviser correctement la conformité de chaque site aux mesures de protection environnementale et sociale en vigueur. Le projet associé d'assistance technique fournira des conseils techniques sur le cadre institutionnel, les procédures opérationnelles et la formation du personnel. </w:t>
      </w:r>
    </w:p>
    <w:p w:rsidR="005E29F4" w:rsidRPr="00857EF9" w:rsidRDefault="005E29F4" w:rsidP="00657C17">
      <w:pPr>
        <w:pStyle w:val="ListParagraph"/>
        <w:ind w:left="0"/>
        <w:contextualSpacing w:val="0"/>
        <w:jc w:val="both"/>
        <w:rPr>
          <w:bCs/>
          <w:lang w:val="fr-FR"/>
        </w:rPr>
      </w:pPr>
    </w:p>
    <w:p w:rsidR="009412ED" w:rsidRPr="00857EF9" w:rsidRDefault="009412ED" w:rsidP="00B563F2">
      <w:pPr>
        <w:pStyle w:val="ListParagraph"/>
        <w:numPr>
          <w:ilvl w:val="2"/>
          <w:numId w:val="17"/>
        </w:numPr>
        <w:spacing w:after="120"/>
        <w:contextualSpacing w:val="0"/>
        <w:jc w:val="both"/>
        <w:rPr>
          <w:i/>
          <w:lang w:val="fr-FR"/>
        </w:rPr>
      </w:pPr>
      <w:r w:rsidRPr="00857EF9">
        <w:rPr>
          <w:i/>
          <w:lang w:val="fr-FR"/>
        </w:rPr>
        <w:t xml:space="preserve">Études de faisabilité pour la création d'une ou plusieurs nouvelles ZEI </w:t>
      </w:r>
    </w:p>
    <w:p w:rsidR="00223E84" w:rsidRPr="00857EF9" w:rsidRDefault="009412ED" w:rsidP="00B563F2">
      <w:pPr>
        <w:pStyle w:val="ListParagraph"/>
        <w:numPr>
          <w:ilvl w:val="0"/>
          <w:numId w:val="37"/>
        </w:numPr>
        <w:spacing w:after="120"/>
        <w:ind w:left="0"/>
        <w:contextualSpacing w:val="0"/>
        <w:jc w:val="both"/>
        <w:rPr>
          <w:bCs/>
          <w:lang w:val="fr-FR"/>
        </w:rPr>
      </w:pPr>
      <w:r w:rsidRPr="00857EF9">
        <w:rPr>
          <w:bCs/>
          <w:lang w:val="fr-FR"/>
        </w:rPr>
        <w:t xml:space="preserve">Cette activité portera sur les études de faisabilité d'une ou plusieurs ZEI viables du point de vue commercial en Haïti, avec la participation du secteur privé à leur développement et leur administration. Dans le but de contribuer à la création d'emplois dans le pays, les pouvoirs publics se sont fixés pour objectif de mettre en place deux nouvelles ZEI dans les trois ans à venir. Le but est de créer 500 000 emplois pendant cette période. Même si les ZEI exigent du temps pour se développer, elles représentent l'une des meilleures chances d'atteindre cet objectif. </w:t>
      </w:r>
    </w:p>
    <w:p w:rsidR="00223E84" w:rsidRPr="00857EF9" w:rsidRDefault="009412ED" w:rsidP="00B563F2">
      <w:pPr>
        <w:pStyle w:val="ListParagraph"/>
        <w:numPr>
          <w:ilvl w:val="0"/>
          <w:numId w:val="37"/>
        </w:numPr>
        <w:spacing w:after="120"/>
        <w:ind w:left="0"/>
        <w:contextualSpacing w:val="0"/>
        <w:jc w:val="both"/>
        <w:rPr>
          <w:bCs/>
          <w:lang w:val="fr-FR"/>
        </w:rPr>
      </w:pPr>
      <w:r w:rsidRPr="00857EF9">
        <w:rPr>
          <w:bCs/>
          <w:lang w:val="fr-FR"/>
        </w:rPr>
        <w:t>La partie « concrète » d'une zone économique, c'est-à-dire des sites pleinement équipés avec des installations adaptées disponibles à l'achat ou à la location, est destinée à stimuler la compétitivité des entreprises manufacturières ou de services, tout en réalisant des économies d'échelle par la concentration des entreprises dans un même lieu géographique. Au cours des cinq prochaines années, 600 hectares de terrains aménagés devront être disponibles pour le développement industriel en Haïti. Conscient de ce besoin, l'IFC/BM a entrepris un processus d'évaluation technique, y compris des impacts environnementaux et sociaux potentiels, pour identifier sept sites performants à partir d'une liste initiale de 65 sites (à développer à l'aide d'une approche PPP).</w:t>
      </w:r>
      <w:r w:rsidRPr="00A7289C">
        <w:rPr>
          <w:bCs/>
          <w:vertAlign w:val="superscript"/>
        </w:rPr>
        <w:footnoteReference w:id="57"/>
      </w:r>
      <w:r w:rsidR="006F1B7B" w:rsidRPr="00857EF9">
        <w:rPr>
          <w:bCs/>
          <w:lang w:val="fr-FR"/>
        </w:rPr>
        <w:t xml:space="preserve"> </w:t>
      </w:r>
      <w:r w:rsidRPr="00857EF9">
        <w:rPr>
          <w:bCs/>
          <w:lang w:val="fr-FR"/>
        </w:rPr>
        <w:t xml:space="preserve">À la demande des pouvoirs publics, une seconde évaluation complémentaire des sites sera menée pour conforter les analyses précédentes. </w:t>
      </w:r>
    </w:p>
    <w:p w:rsidR="00223E84" w:rsidRPr="00857EF9" w:rsidRDefault="009412ED" w:rsidP="00B563F2">
      <w:pPr>
        <w:pStyle w:val="ListParagraph"/>
        <w:numPr>
          <w:ilvl w:val="0"/>
          <w:numId w:val="37"/>
        </w:numPr>
        <w:spacing w:after="120"/>
        <w:ind w:left="0"/>
        <w:contextualSpacing w:val="0"/>
        <w:jc w:val="both"/>
        <w:rPr>
          <w:bCs/>
          <w:lang w:val="fr-FR"/>
        </w:rPr>
      </w:pPr>
      <w:r w:rsidRPr="00857EF9">
        <w:rPr>
          <w:bCs/>
          <w:lang w:val="fr-FR"/>
        </w:rPr>
        <w:t xml:space="preserve">Le projet consultatif associé participera à </w:t>
      </w:r>
      <w:r w:rsidRPr="00857EF9">
        <w:rPr>
          <w:lang w:val="fr-FR"/>
        </w:rPr>
        <w:t>l'évaluation préliminaire de dix nouveaux sites, dont certains ont déjà été examinés dans l'évaluation précédente. Les évaluations préliminaires couvriront notamment les aspects environnementaux et sociaux stratégiques touchant aux sites et aux communautés environnantes. À partir de là, la sélection sera ensuite réduite à un ou deux sites favoris. Préalablement à cette activité, les pouvoirs publics devront désigner les sites à évaluer</w:t>
      </w:r>
      <w:r w:rsidR="00E01433" w:rsidRPr="00857EF9">
        <w:rPr>
          <w:lang w:val="fr-FR"/>
        </w:rPr>
        <w:t xml:space="preserve">. </w:t>
      </w:r>
      <w:r w:rsidRPr="00857EF9">
        <w:rPr>
          <w:lang w:val="fr-FR"/>
        </w:rPr>
        <w:t>Les sites retenus devront présenter des conditions favorables à la création d'emplois et à la décentralisation économique, posséder des facteurs d'attractivité pour les investisseurs et une localisation appropriée aux marchés potentiels, et se situer dans des régions où les impacts sociaux et environnementaux peuvent être atténués pour un coût raisonnable.</w:t>
      </w:r>
    </w:p>
    <w:p w:rsidR="00223E84" w:rsidRPr="00857EF9" w:rsidRDefault="00EB7F86" w:rsidP="00B563F2">
      <w:pPr>
        <w:pStyle w:val="ListParagraph"/>
        <w:numPr>
          <w:ilvl w:val="0"/>
          <w:numId w:val="37"/>
        </w:numPr>
        <w:spacing w:after="120"/>
        <w:ind w:left="0"/>
        <w:contextualSpacing w:val="0"/>
        <w:jc w:val="both"/>
        <w:rPr>
          <w:bCs/>
          <w:lang w:val="fr-FR"/>
        </w:rPr>
      </w:pPr>
      <w:r w:rsidRPr="00857EF9">
        <w:rPr>
          <w:bCs/>
          <w:lang w:val="fr-FR"/>
        </w:rPr>
        <w:t xml:space="preserve"> Si les études préliminaires débouchent sur des résultats positifs, le projet appuiera l'exécution de deux études de faisabilité complètes, incluant une évaluation environnementale et </w:t>
      </w:r>
      <w:r w:rsidRPr="00857EF9">
        <w:rPr>
          <w:bCs/>
          <w:lang w:val="fr-FR"/>
        </w:rPr>
        <w:lastRenderedPageBreak/>
        <w:t xml:space="preserve">sociale du ou des sites retenus. Le projet consultatif de l'IFC/BM fournira des modèles et des conseils techniques aux pouvoirs publics pour les études de faisabilité des ZEI. </w:t>
      </w:r>
    </w:p>
    <w:p w:rsidR="00223E84" w:rsidRPr="00857EF9" w:rsidRDefault="009412ED" w:rsidP="00B563F2">
      <w:pPr>
        <w:pStyle w:val="ListParagraph"/>
        <w:numPr>
          <w:ilvl w:val="0"/>
          <w:numId w:val="37"/>
        </w:numPr>
        <w:spacing w:after="120"/>
        <w:ind w:left="0"/>
        <w:contextualSpacing w:val="0"/>
        <w:jc w:val="both"/>
        <w:rPr>
          <w:bCs/>
          <w:lang w:val="fr-FR"/>
        </w:rPr>
      </w:pPr>
      <w:r w:rsidRPr="00857EF9">
        <w:rPr>
          <w:bCs/>
          <w:lang w:val="fr-FR"/>
        </w:rPr>
        <w:t>Les études de faisabilité incluront des informations spécifiques sur les services publics, l'infrastructure physique et sociale ainsi que la capacité institutionnelle de chaque site à gérer l'afflux potentiel de nouveaux habitants dans ou à proximité de la ZEI. Les modalités des études de faisabilité varieront pour chacun des sites sélectionnés et tiendront compte à la fois des investissements dans la ZEI proprement dite et des infrastructures publiques et privées nécessaires autour des sites. L'étude proposera des solutions durables d'hébergement et de services publics ainsi que des recommandations sur les liens à établir avec les MPME et les moyens de minimiser les impacts sociaux négatifs sur la région</w:t>
      </w:r>
      <w:r w:rsidRPr="00A7289C">
        <w:rPr>
          <w:bCs/>
          <w:vertAlign w:val="superscript"/>
        </w:rPr>
        <w:footnoteReference w:id="58"/>
      </w:r>
      <w:r w:rsidRPr="00857EF9">
        <w:rPr>
          <w:bCs/>
          <w:lang w:val="fr-FR"/>
        </w:rPr>
        <w:t xml:space="preserve">.   </w:t>
      </w:r>
    </w:p>
    <w:p w:rsidR="00223E84" w:rsidRPr="00857EF9" w:rsidRDefault="00212300" w:rsidP="00B563F2">
      <w:pPr>
        <w:pStyle w:val="ListParagraph"/>
        <w:numPr>
          <w:ilvl w:val="0"/>
          <w:numId w:val="37"/>
        </w:numPr>
        <w:spacing w:after="120"/>
        <w:ind w:left="0"/>
        <w:contextualSpacing w:val="0"/>
        <w:jc w:val="both"/>
        <w:rPr>
          <w:bCs/>
          <w:lang w:val="fr-FR"/>
        </w:rPr>
      </w:pPr>
      <w:r w:rsidRPr="00857EF9">
        <w:rPr>
          <w:bCs/>
          <w:lang w:val="fr-FR"/>
        </w:rPr>
        <w:t xml:space="preserve">Au cours de la première année d'exécution, le projet appuiera également une analyse préliminaire destinée à sélectionner un deuxième site sur proposition de l'État. </w:t>
      </w:r>
    </w:p>
    <w:p w:rsidR="00223E84" w:rsidRPr="00857EF9" w:rsidRDefault="00CD74F3" w:rsidP="00B563F2">
      <w:pPr>
        <w:pStyle w:val="ListParagraph"/>
        <w:numPr>
          <w:ilvl w:val="0"/>
          <w:numId w:val="37"/>
        </w:numPr>
        <w:spacing w:after="120"/>
        <w:ind w:left="0"/>
        <w:contextualSpacing w:val="0"/>
        <w:jc w:val="both"/>
        <w:rPr>
          <w:bCs/>
          <w:lang w:val="fr-FR"/>
        </w:rPr>
      </w:pPr>
      <w:r w:rsidRPr="00857EF9">
        <w:rPr>
          <w:bCs/>
          <w:lang w:val="fr-FR"/>
        </w:rPr>
        <w:t>L'identification des sites et la sélection finale seront effectuées par le MCI dans le respect des critères techniques, financiers, sociaux et environnementaux requis par l'IDA et en consultation avec le Premier ministre, le MEF, la Commission Interministérielle pour l'Aménagement du Territoire (CIAT), la DZF, la SONAPI, les ministères concernés (par ex. le ministère de l'Agriculture pour des ZEI agro-industrielles) ainsi que le secteur privé, de manière à s'assurer de leur implication et leur appui. La réalisation des études de faisabilité (financées par le projet) sera coordonnée par la nouvelle autorité des ZEI ou l'organe existant qui la relaie en attendant sa mise en place.</w:t>
      </w:r>
    </w:p>
    <w:p w:rsidR="0040472D" w:rsidRPr="00857EF9" w:rsidRDefault="0040472D" w:rsidP="001956C5">
      <w:pPr>
        <w:pStyle w:val="ListParagraph"/>
        <w:spacing w:after="120"/>
        <w:ind w:left="288"/>
        <w:contextualSpacing w:val="0"/>
        <w:jc w:val="both"/>
        <w:rPr>
          <w:bCs/>
          <w:lang w:val="fr-FR"/>
        </w:rPr>
      </w:pPr>
    </w:p>
    <w:p w:rsidR="004E2663" w:rsidRPr="00857EF9" w:rsidRDefault="004E2663" w:rsidP="00B563F2">
      <w:pPr>
        <w:pStyle w:val="ListParagraph"/>
        <w:numPr>
          <w:ilvl w:val="2"/>
          <w:numId w:val="17"/>
        </w:numPr>
        <w:spacing w:after="120"/>
        <w:contextualSpacing w:val="0"/>
        <w:jc w:val="both"/>
        <w:rPr>
          <w:i/>
          <w:lang w:val="fr-FR"/>
        </w:rPr>
      </w:pPr>
      <w:r w:rsidRPr="00857EF9">
        <w:rPr>
          <w:i/>
          <w:lang w:val="fr-FR"/>
        </w:rPr>
        <w:t xml:space="preserve">Renforcer les analyses de la demande des marchés et la promotion de l'investissement pour les ZEI existantes et futures </w:t>
      </w:r>
    </w:p>
    <w:p w:rsidR="00223E84" w:rsidRPr="00857EF9" w:rsidRDefault="004E2663" w:rsidP="00B563F2">
      <w:pPr>
        <w:pStyle w:val="ListParagraph"/>
        <w:numPr>
          <w:ilvl w:val="0"/>
          <w:numId w:val="37"/>
        </w:numPr>
        <w:spacing w:after="120"/>
        <w:ind w:left="0"/>
        <w:contextualSpacing w:val="0"/>
        <w:jc w:val="both"/>
        <w:rPr>
          <w:color w:val="000000"/>
          <w:lang w:val="fr-FR"/>
        </w:rPr>
      </w:pPr>
      <w:r w:rsidRPr="00857EF9">
        <w:rPr>
          <w:color w:val="000000"/>
          <w:lang w:val="fr-FR"/>
        </w:rPr>
        <w:t>Les activités incluront (i) une analyse détaillée de la demande par secteur/marché pour les ZEI proposées en vue d'identifier les secteurs à cibler pour les initiatives de promotion, (ii) l'identification d'un groupe potentiel de développeurs de ZEI appropriés, (iii) l'exploitation de l'analyse de la demande des marchés et d'une liste d'utilisateurs potentiels pour promouvoir le concept des ZEI, (iv) l'identification et l'attraction des investisseurs et des développeurs de ZEI pour les ZEI existantes et futures.</w:t>
      </w:r>
    </w:p>
    <w:p w:rsidR="00BF4861" w:rsidRPr="00857EF9" w:rsidRDefault="00BF4861" w:rsidP="00BF4861">
      <w:pPr>
        <w:spacing w:after="120"/>
        <w:jc w:val="both"/>
        <w:rPr>
          <w:color w:val="000000"/>
          <w:lang w:val="fr-FR"/>
        </w:rPr>
      </w:pPr>
    </w:p>
    <w:p w:rsidR="009412ED" w:rsidRPr="00BC7304" w:rsidRDefault="009412ED" w:rsidP="00B563F2">
      <w:pPr>
        <w:pStyle w:val="ListParagraph"/>
        <w:numPr>
          <w:ilvl w:val="2"/>
          <w:numId w:val="17"/>
        </w:numPr>
        <w:spacing w:after="120"/>
        <w:contextualSpacing w:val="0"/>
        <w:jc w:val="both"/>
        <w:rPr>
          <w:bCs/>
          <w:i/>
          <w:lang w:val="fr-FR"/>
        </w:rPr>
      </w:pPr>
      <w:r w:rsidRPr="00857EF9">
        <w:rPr>
          <w:bCs/>
          <w:i/>
          <w:lang w:val="fr-FR"/>
        </w:rPr>
        <w:t>Création d'un guichet unique pour les investisseurs des ZEI</w:t>
      </w:r>
    </w:p>
    <w:p w:rsidR="00223E84" w:rsidRPr="00BC7304" w:rsidRDefault="009412ED" w:rsidP="00B563F2">
      <w:pPr>
        <w:pStyle w:val="ListParagraph"/>
        <w:numPr>
          <w:ilvl w:val="0"/>
          <w:numId w:val="37"/>
        </w:numPr>
        <w:spacing w:after="120"/>
        <w:ind w:left="0"/>
        <w:contextualSpacing w:val="0"/>
        <w:jc w:val="both"/>
        <w:rPr>
          <w:color w:val="000000" w:themeColor="text1"/>
          <w:lang w:val="fr-FR"/>
        </w:rPr>
      </w:pPr>
      <w:r w:rsidRPr="00857EF9">
        <w:rPr>
          <w:lang w:val="fr-FR"/>
        </w:rPr>
        <w:t>L'appui du projet comprendra aussi une assistance technique à l'État pour la conception, l'organisation, l'architecture et l'implantation du nouveau guichet unique dédié aux ZEI, inspiré des meilleures pratiques internationales. La conception et le test du guichet unique seront effectués pendant la première phase et sa mise en œuvre se déroulera essentiellement pendant la seconde phase. Au départ, et jusqu'à l'entrée en vigueur de la nouvelle autorité des ZEI, le guichet unique sera géré par le CFI. Ensuite, ce sera la nouvelle autorité des ZEI qui en sera responsable.</w:t>
      </w:r>
    </w:p>
    <w:p w:rsidR="0001451B" w:rsidRPr="00BC7304" w:rsidRDefault="0001451B" w:rsidP="004364AC">
      <w:pPr>
        <w:pStyle w:val="ListParagraph"/>
        <w:ind w:left="0"/>
        <w:contextualSpacing w:val="0"/>
        <w:jc w:val="both"/>
        <w:rPr>
          <w:color w:val="000000" w:themeColor="text1"/>
          <w:lang w:val="fr-FR"/>
        </w:rPr>
      </w:pPr>
    </w:p>
    <w:p w:rsidR="00A9598A" w:rsidRPr="00BC7304" w:rsidRDefault="00FB137A" w:rsidP="005E29F4">
      <w:pPr>
        <w:pStyle w:val="ListParagraph"/>
        <w:spacing w:after="120"/>
        <w:ind w:left="288"/>
        <w:contextualSpacing w:val="0"/>
        <w:jc w:val="both"/>
        <w:rPr>
          <w:b/>
          <w:lang w:val="fr-FR"/>
        </w:rPr>
      </w:pPr>
      <w:r w:rsidRPr="00857EF9">
        <w:rPr>
          <w:b/>
          <w:lang w:val="fr-FR"/>
        </w:rPr>
        <w:t>Composante </w:t>
      </w:r>
      <w:r w:rsidR="00A9598A" w:rsidRPr="00857EF9">
        <w:rPr>
          <w:b/>
          <w:lang w:val="fr-FR"/>
        </w:rPr>
        <w:t>2 – Services de développement des entreprises (7 millions USD)</w:t>
      </w:r>
    </w:p>
    <w:p w:rsidR="00223E84" w:rsidRPr="00BC7304" w:rsidRDefault="00F66157" w:rsidP="00B563F2">
      <w:pPr>
        <w:pStyle w:val="ListParagraph"/>
        <w:numPr>
          <w:ilvl w:val="0"/>
          <w:numId w:val="37"/>
        </w:numPr>
        <w:spacing w:after="120"/>
        <w:ind w:left="0"/>
        <w:contextualSpacing w:val="0"/>
        <w:jc w:val="both"/>
        <w:rPr>
          <w:lang w:val="fr-FR"/>
        </w:rPr>
      </w:pPr>
      <w:r w:rsidRPr="00857EF9">
        <w:rPr>
          <w:lang w:val="fr-FR"/>
        </w:rPr>
        <w:t>Selon le FME, les entreprises haïtiennes manquent globalement de sophistication, y compris pour la qualité des biens et des services fournis localement, pour les processus de production et les compétences commerciales</w:t>
      </w:r>
      <w:r w:rsidRPr="00A7289C">
        <w:rPr>
          <w:rStyle w:val="FootnoteReference"/>
        </w:rPr>
        <w:footnoteReference w:id="59"/>
      </w:r>
      <w:r w:rsidRPr="00857EF9">
        <w:rPr>
          <w:lang w:val="fr-FR"/>
        </w:rPr>
        <w:t>. D'autres sources en Haïti témoignent de l'insuffisance générale des compétences élémentaires de gestion et de comptabilité, par exemple l'incapacité à définir un tarif pour les biens et les services</w:t>
      </w:r>
      <w:r w:rsidRPr="00A7289C">
        <w:rPr>
          <w:rStyle w:val="FootnoteReference"/>
        </w:rPr>
        <w:footnoteReference w:id="60"/>
      </w:r>
      <w:r w:rsidRPr="00857EF9">
        <w:rPr>
          <w:lang w:val="fr-FR"/>
        </w:rPr>
        <w:t xml:space="preserve"> ou à séparer les finances professionnelles des fonds personnels. La croissance escomptée des secteurs de l'agro-industrie, de l'habillement</w:t>
      </w:r>
      <w:r w:rsidRPr="00A7289C">
        <w:rPr>
          <w:rStyle w:val="FootnoteReference"/>
        </w:rPr>
        <w:footnoteReference w:id="61"/>
      </w:r>
      <w:r w:rsidRPr="00857EF9">
        <w:rPr>
          <w:lang w:val="fr-FR"/>
        </w:rPr>
        <w:t xml:space="preserve"> et du tourisme ainsi que les investissements dans des zones économiques intégrées (ZEI) se traduiront pour les sociétés haïtiennes par des opportunités d'intégrer ces chaînes d'approvisionnement et de répondre à la hausse de la demande de produits et de services locaux</w:t>
      </w:r>
      <w:r w:rsidR="00E01433" w:rsidRPr="00857EF9">
        <w:rPr>
          <w:lang w:val="fr-FR"/>
        </w:rPr>
        <w:t xml:space="preserve">. </w:t>
      </w:r>
      <w:r w:rsidRPr="00857EF9">
        <w:rPr>
          <w:lang w:val="fr-FR"/>
        </w:rPr>
        <w:t>Cette composante aidera les MPME, initialement celles œuvrant dans le secteur du tourisme et les chaînes de valeur des ZEI (agro-industrie et habillement), à préparer et mettre en œuvre des projets d'investissement viables.</w:t>
      </w:r>
    </w:p>
    <w:p w:rsidR="00223E84" w:rsidRPr="00BC7304" w:rsidRDefault="00585121" w:rsidP="00B563F2">
      <w:pPr>
        <w:pStyle w:val="ListParagraph"/>
        <w:numPr>
          <w:ilvl w:val="0"/>
          <w:numId w:val="37"/>
        </w:numPr>
        <w:spacing w:after="120"/>
        <w:ind w:left="0"/>
        <w:contextualSpacing w:val="0"/>
        <w:jc w:val="both"/>
        <w:rPr>
          <w:lang w:val="fr-FR"/>
        </w:rPr>
      </w:pPr>
      <w:r w:rsidRPr="00857EF9">
        <w:rPr>
          <w:lang w:val="fr-FR"/>
        </w:rPr>
        <w:t xml:space="preserve">Cette activité contribuera à la croissance et au développement des MPME par l'entremise d'un programme SDE de subventions de contrepartie destiné à aider les entreprises à surmonter les obstacles résultant des insuffisances du marché en matière de développement des compétences, de transfert technologique et de génération de connaissances. Ce soutien sera fourni simultanément à deux projets financés par la BID en faveur du développement des MPME de plus grande taille : le projet HA-L1057 </w:t>
      </w:r>
      <w:r w:rsidR="00CE73E6" w:rsidRPr="00857EF9">
        <w:rPr>
          <w:lang w:val="fr-FR"/>
        </w:rPr>
        <w:t xml:space="preserve">– </w:t>
      </w:r>
      <w:r w:rsidRPr="00857EF9">
        <w:rPr>
          <w:lang w:val="fr-FR"/>
        </w:rPr>
        <w:t xml:space="preserve">Programme de services de formation et de développement des entreprises pour l'investissement (11 millions USD) et le projet HA-L1068 </w:t>
      </w:r>
      <w:r w:rsidR="00CE73E6" w:rsidRPr="00857EF9">
        <w:rPr>
          <w:lang w:val="fr-FR"/>
        </w:rPr>
        <w:t xml:space="preserve">– </w:t>
      </w:r>
      <w:r w:rsidRPr="00857EF9">
        <w:rPr>
          <w:lang w:val="fr-FR"/>
        </w:rPr>
        <w:t>Programme d'accélération des entreprises du pôle commercial du Nord (3,5 millions USD)</w:t>
      </w:r>
      <w:r w:rsidR="00E01433" w:rsidRPr="00857EF9">
        <w:rPr>
          <w:lang w:val="fr-FR"/>
        </w:rPr>
        <w:t xml:space="preserve">. </w:t>
      </w:r>
      <w:r w:rsidRPr="00857EF9">
        <w:rPr>
          <w:lang w:val="fr-FR"/>
        </w:rPr>
        <w:t>Cependant, contrairement aux programmes de la BID qui ont une envergure nationale et sont tournés vers MPME petites, moyennes et grandes, ce projet ciblera les petites MPME associées à la chaîne de valeur du tourisme et celles qui fournissent des produits et des services dans les ZEI et leurs environs. Si une nouvelle ZEI est créée et appuyée ultérieurement, le projet fournira également des subventions de contrepartie aux MPME installées dans cette zone.</w:t>
      </w:r>
    </w:p>
    <w:p w:rsidR="00223E84" w:rsidRPr="00BC7304" w:rsidRDefault="00585121" w:rsidP="00B563F2">
      <w:pPr>
        <w:pStyle w:val="ListParagraph"/>
        <w:numPr>
          <w:ilvl w:val="0"/>
          <w:numId w:val="37"/>
        </w:numPr>
        <w:spacing w:after="120"/>
        <w:ind w:left="0"/>
        <w:contextualSpacing w:val="0"/>
        <w:jc w:val="both"/>
        <w:rPr>
          <w:lang w:val="fr-FR"/>
        </w:rPr>
      </w:pPr>
      <w:r w:rsidRPr="00857EF9">
        <w:rPr>
          <w:lang w:val="fr-FR"/>
        </w:rPr>
        <w:t>Les activités suivantes seront financées par le projet au titre de la deuxième composante :</w:t>
      </w:r>
    </w:p>
    <w:p w:rsidR="00223E84" w:rsidRPr="00BC7304" w:rsidRDefault="009C1243" w:rsidP="00B563F2">
      <w:pPr>
        <w:pStyle w:val="ListParagraph"/>
        <w:numPr>
          <w:ilvl w:val="1"/>
          <w:numId w:val="37"/>
        </w:numPr>
        <w:spacing w:after="120"/>
        <w:ind w:left="540"/>
        <w:contextualSpacing w:val="0"/>
        <w:jc w:val="both"/>
        <w:rPr>
          <w:lang w:val="fr-FR"/>
        </w:rPr>
      </w:pPr>
      <w:r w:rsidRPr="00857EF9">
        <w:rPr>
          <w:lang w:val="fr-FR"/>
        </w:rPr>
        <w:t xml:space="preserve">Encadrement et appui au MCI pour : (a) préparer une évaluation des besoins des MPME dans une sélection de municipalités ; (b) entreprendre des diagnostics de la chaîne de valeur dans certains secteurs ; (c) préparer le manuel relatif aux subventions de contrepartie ; (d) élaborer une stratégie de communication pour promouvoir les services de développement des entreprises ; et (e) analyser les données du recensement, le tout via la fourniture d'une assistance technique. </w:t>
      </w:r>
    </w:p>
    <w:p w:rsidR="00223E84" w:rsidRPr="00BC7304" w:rsidRDefault="009C1243" w:rsidP="00B563F2">
      <w:pPr>
        <w:pStyle w:val="ListParagraph"/>
        <w:numPr>
          <w:ilvl w:val="1"/>
          <w:numId w:val="37"/>
        </w:numPr>
        <w:spacing w:after="120"/>
        <w:ind w:left="540"/>
        <w:contextualSpacing w:val="0"/>
        <w:jc w:val="both"/>
        <w:rPr>
          <w:lang w:val="fr-FR"/>
        </w:rPr>
      </w:pPr>
      <w:r w:rsidRPr="00857EF9">
        <w:rPr>
          <w:lang w:val="fr-FR"/>
        </w:rPr>
        <w:lastRenderedPageBreak/>
        <w:t>Fourniture de services de développement des entreprises aux MPME, via : (a) une formation pour améliorer les compétences commerciales des MPME ; (b) une assistance technique pour aider les MPME formées à préparer leurs plans d'amélioration des entreprises ; et (c) des subventions de contrepartie pour permettre aux bénéficiaires de mener à bien leurs sous-projets</w:t>
      </w:r>
      <w:r w:rsidR="000B16E3" w:rsidRPr="00A7289C">
        <w:rPr>
          <w:rStyle w:val="FootnoteReference"/>
        </w:rPr>
        <w:footnoteReference w:id="62"/>
      </w:r>
      <w:r w:rsidRPr="00857EF9">
        <w:rPr>
          <w:lang w:val="fr-FR"/>
        </w:rPr>
        <w:t xml:space="preserve">. </w:t>
      </w:r>
    </w:p>
    <w:p w:rsidR="00223E84" w:rsidRPr="00BC7304" w:rsidRDefault="000B16E3" w:rsidP="00B563F2">
      <w:pPr>
        <w:pStyle w:val="ListParagraph"/>
        <w:numPr>
          <w:ilvl w:val="1"/>
          <w:numId w:val="37"/>
        </w:numPr>
        <w:spacing w:after="120"/>
        <w:ind w:left="540"/>
        <w:contextualSpacing w:val="0"/>
        <w:jc w:val="both"/>
        <w:rPr>
          <w:lang w:val="fr-FR"/>
        </w:rPr>
      </w:pPr>
      <w:r w:rsidRPr="00857EF9">
        <w:rPr>
          <w:lang w:val="fr-FR"/>
        </w:rPr>
        <w:t>Développement des capacités des bureaux régionaux du MCI en matière de gestion, d'exécution, de suivi et d'évaluation des activités SDE mentionnées ci-dessus via la fourniture de biens, de services de consultants, de formation et de fonds opérationnels.</w:t>
      </w:r>
    </w:p>
    <w:p w:rsidR="000B16E3" w:rsidRPr="00A7289C" w:rsidRDefault="000B16E3" w:rsidP="00175270">
      <w:pPr>
        <w:spacing w:after="120"/>
        <w:rPr>
          <w:i/>
          <w:lang w:val="en-GB"/>
        </w:rPr>
      </w:pPr>
      <w:r>
        <w:rPr>
          <w:i/>
        </w:rPr>
        <w:t>Assistance technique</w:t>
      </w:r>
    </w:p>
    <w:p w:rsidR="00223E84" w:rsidRPr="00BC7304" w:rsidRDefault="00981F75" w:rsidP="00B563F2">
      <w:pPr>
        <w:pStyle w:val="ListParagraph"/>
        <w:numPr>
          <w:ilvl w:val="0"/>
          <w:numId w:val="37"/>
        </w:numPr>
        <w:spacing w:after="120"/>
        <w:ind w:left="0"/>
        <w:contextualSpacing w:val="0"/>
        <w:jc w:val="both"/>
        <w:rPr>
          <w:lang w:val="fr-FR"/>
        </w:rPr>
      </w:pPr>
      <w:r w:rsidRPr="00857EF9">
        <w:rPr>
          <w:lang w:val="fr-FR"/>
        </w:rPr>
        <w:t xml:space="preserve">La </w:t>
      </w:r>
      <w:r w:rsidR="00FB137A" w:rsidRPr="00857EF9">
        <w:rPr>
          <w:lang w:val="fr-FR"/>
        </w:rPr>
        <w:t>composante </w:t>
      </w:r>
      <w:r w:rsidRPr="00857EF9">
        <w:rPr>
          <w:lang w:val="fr-FR"/>
        </w:rPr>
        <w:t xml:space="preserve">2 financera l'assistance technique pour </w:t>
      </w:r>
      <w:r w:rsidRPr="00857EF9">
        <w:rPr>
          <w:iCs/>
          <w:szCs w:val="22"/>
          <w:lang w:val="fr-FR"/>
        </w:rPr>
        <w:t xml:space="preserve">l'évaluation qui permettra de déterminer les besoins des MPME en termes de compétences commerciales, en commençant par les cinq municipalités sélectionnées à proximité des centres touristiques dans le nord (Cap-Haïtien, Dondon et </w:t>
      </w:r>
      <w:proofErr w:type="spellStart"/>
      <w:r w:rsidRPr="00857EF9">
        <w:rPr>
          <w:iCs/>
          <w:szCs w:val="22"/>
          <w:lang w:val="fr-FR"/>
        </w:rPr>
        <w:t>Milot</w:t>
      </w:r>
      <w:proofErr w:type="spellEnd"/>
      <w:r w:rsidRPr="00857EF9">
        <w:rPr>
          <w:iCs/>
          <w:szCs w:val="22"/>
          <w:lang w:val="fr-FR"/>
        </w:rPr>
        <w:t>) et au voisinage des zones industrielles (</w:t>
      </w:r>
      <w:proofErr w:type="spellStart"/>
      <w:r w:rsidRPr="00857EF9">
        <w:rPr>
          <w:iCs/>
          <w:szCs w:val="22"/>
          <w:lang w:val="fr-FR"/>
        </w:rPr>
        <w:t>Caracol</w:t>
      </w:r>
      <w:proofErr w:type="spellEnd"/>
      <w:r w:rsidRPr="00857EF9">
        <w:rPr>
          <w:iCs/>
          <w:szCs w:val="22"/>
          <w:lang w:val="fr-FR"/>
        </w:rPr>
        <w:t xml:space="preserve"> et </w:t>
      </w:r>
      <w:proofErr w:type="spellStart"/>
      <w:r w:rsidRPr="00857EF9">
        <w:rPr>
          <w:iCs/>
          <w:szCs w:val="22"/>
          <w:lang w:val="fr-FR"/>
        </w:rPr>
        <w:t>Ounaminthe</w:t>
      </w:r>
      <w:proofErr w:type="spellEnd"/>
      <w:r w:rsidRPr="00857EF9">
        <w:rPr>
          <w:iCs/>
          <w:szCs w:val="22"/>
          <w:lang w:val="fr-FR"/>
        </w:rPr>
        <w:t>). L'évaluation est indispensable pour déterminer le nombre de MPME ayant le potentiel d'intégrer les chaînes de valeur du tourisme et des activités d'agro-industrie et d'habillement des ZEI, et pour identifier leurs besoins spécifiques. Là aussi, l'assistance technique fournie permettra d'effectuer une analyse de la chaîne de valeur du tourisme pour déterminer l'aide à apporter aux MPME</w:t>
      </w:r>
      <w:r w:rsidRPr="00A7289C">
        <w:rPr>
          <w:rStyle w:val="FootnoteReference"/>
          <w:iCs/>
          <w:szCs w:val="22"/>
          <w:lang w:val="en-GB"/>
        </w:rPr>
        <w:footnoteReference w:id="63"/>
      </w:r>
      <w:r w:rsidRPr="00857EF9">
        <w:rPr>
          <w:lang w:val="fr-FR"/>
        </w:rPr>
        <w:t>.</w:t>
      </w:r>
    </w:p>
    <w:p w:rsidR="00223E84" w:rsidRPr="00BC7304" w:rsidRDefault="00981F75" w:rsidP="00B563F2">
      <w:pPr>
        <w:pStyle w:val="ListParagraph"/>
        <w:numPr>
          <w:ilvl w:val="0"/>
          <w:numId w:val="37"/>
        </w:numPr>
        <w:spacing w:after="120"/>
        <w:ind w:left="0"/>
        <w:contextualSpacing w:val="0"/>
        <w:jc w:val="both"/>
        <w:rPr>
          <w:lang w:val="fr-FR"/>
        </w:rPr>
      </w:pPr>
      <w:r w:rsidRPr="00857EF9">
        <w:rPr>
          <w:lang w:val="fr-FR"/>
        </w:rPr>
        <w:t xml:space="preserve">De plus, la </w:t>
      </w:r>
      <w:r w:rsidR="00FB137A" w:rsidRPr="00857EF9">
        <w:rPr>
          <w:lang w:val="fr-FR"/>
        </w:rPr>
        <w:t>composante </w:t>
      </w:r>
      <w:r w:rsidRPr="00857EF9">
        <w:rPr>
          <w:lang w:val="fr-FR"/>
        </w:rPr>
        <w:t xml:space="preserve">2 financera l'assistance technique nécessaire pour préparer le manuel relatif aux subventions de contrepartie. Le décaissement des subventions de contrepartie remises aux MPME haïtiennes éligibles est conditionné à la production d'un manuel relatif aux subventions de contrepartie jugé acceptable par l'IDA. Le CDEE (du MCI) sera chargé de présenter à l'IDA pour approbation le manuel relatif aux subventions de contrepartie détaillant les règles et les méthodes administratives et fiduciaires à suivre. Le manuel décrira, entre autres : (i) les critères d'éligibilité et les spécifications détaillées des bénéficiaires potentiels, ii) les montants moyens des subventions de contrepartie, iii) le pourcentage de subventions de contrepartie à financer, iv) le calendrier de décaissement prévu, c) les critères d'évaluation et d'approbation des projets d'amélioration financés par les subventions de contrepartie qui sont présentés par les sociétés, vi) les dispositions institutionnelles relatives à l'administration des subventions, vii) l'établissement d'un processus de décision concernant l'approbation des subventions, viii) des accords standard de dons incluant des procédures de passation des marchés, de gestion financière, de décaissement ainsi que des mesures de protection sociale et environnementale, ix) les méthodes d'évaluation et de suivi, et x) la stratégie de communication. </w:t>
      </w:r>
    </w:p>
    <w:p w:rsidR="00981F75" w:rsidRPr="00857EF9" w:rsidRDefault="00981F75" w:rsidP="00175270">
      <w:pPr>
        <w:spacing w:after="120"/>
        <w:rPr>
          <w:i/>
          <w:lang w:val="fr-FR"/>
        </w:rPr>
      </w:pPr>
      <w:r w:rsidRPr="00857EF9">
        <w:rPr>
          <w:i/>
          <w:lang w:val="fr-FR"/>
        </w:rPr>
        <w:t>Services d'appui aux entreprises pour les MPME</w:t>
      </w:r>
    </w:p>
    <w:p w:rsidR="00223E84" w:rsidRPr="00BC7304" w:rsidRDefault="00981F75" w:rsidP="00B563F2">
      <w:pPr>
        <w:pStyle w:val="ListParagraph"/>
        <w:numPr>
          <w:ilvl w:val="0"/>
          <w:numId w:val="37"/>
        </w:numPr>
        <w:spacing w:after="120"/>
        <w:ind w:left="0"/>
        <w:contextualSpacing w:val="0"/>
        <w:jc w:val="both"/>
        <w:rPr>
          <w:lang w:val="fr-FR"/>
        </w:rPr>
      </w:pPr>
      <w:r w:rsidRPr="00857EF9">
        <w:rPr>
          <w:lang w:val="fr-FR"/>
        </w:rPr>
        <w:t xml:space="preserve">La </w:t>
      </w:r>
      <w:r w:rsidR="00FB137A" w:rsidRPr="00857EF9">
        <w:rPr>
          <w:lang w:val="fr-FR"/>
        </w:rPr>
        <w:t>composante </w:t>
      </w:r>
      <w:r w:rsidRPr="00857EF9">
        <w:rPr>
          <w:lang w:val="fr-FR"/>
        </w:rPr>
        <w:t>2 fournira trois types de SDE aux MPME d'Haïti.</w:t>
      </w:r>
    </w:p>
    <w:p w:rsidR="00D306EE" w:rsidRPr="00857EF9" w:rsidRDefault="00D306EE" w:rsidP="00B563F2">
      <w:pPr>
        <w:pStyle w:val="ListParagraph"/>
        <w:numPr>
          <w:ilvl w:val="0"/>
          <w:numId w:val="37"/>
        </w:numPr>
        <w:autoSpaceDE w:val="0"/>
        <w:autoSpaceDN w:val="0"/>
        <w:adjustRightInd w:val="0"/>
        <w:spacing w:after="120"/>
        <w:ind w:left="0"/>
        <w:contextualSpacing w:val="0"/>
        <w:jc w:val="both"/>
        <w:rPr>
          <w:lang w:val="fr-FR"/>
        </w:rPr>
      </w:pPr>
      <w:r w:rsidRPr="00857EF9">
        <w:rPr>
          <w:lang w:val="fr-FR"/>
        </w:rPr>
        <w:lastRenderedPageBreak/>
        <w:t>Formation pour l'amélioration des entreprises (SDE1) : Ce type de SDE distribuera aux MPME participantes des directives détaillant les facteurs élémentaires indispensables pour réussir dans différents domaines d'activités. L'objectif est de les aider à prendre conscience qu'il est important pour elles de développer leurs connaissances et d'améliorer leurs compétences par le biais de l'assistance technique et la formation.</w:t>
      </w:r>
    </w:p>
    <w:p w:rsidR="00D306EE" w:rsidRPr="00857EF9" w:rsidRDefault="00D306EE" w:rsidP="00B563F2">
      <w:pPr>
        <w:pStyle w:val="ListParagraph"/>
        <w:numPr>
          <w:ilvl w:val="0"/>
          <w:numId w:val="37"/>
        </w:numPr>
        <w:autoSpaceDE w:val="0"/>
        <w:autoSpaceDN w:val="0"/>
        <w:adjustRightInd w:val="0"/>
        <w:spacing w:after="120"/>
        <w:ind w:left="0"/>
        <w:contextualSpacing w:val="0"/>
        <w:jc w:val="both"/>
        <w:rPr>
          <w:lang w:val="fr-FR"/>
        </w:rPr>
      </w:pPr>
      <w:r w:rsidRPr="00857EF9">
        <w:rPr>
          <w:lang w:val="fr-FR"/>
        </w:rPr>
        <w:t xml:space="preserve">Préparation du projet d'amélioration des entreprises (SDE2) : Ce type de SDE sera fourni aux MPME qui ont suivi le programme de formation (SDE1) afin de les aider à préparer leur plan d'amélioration de l'entreprise, indispensable pour accéder aux subventions de contrepartie. </w:t>
      </w:r>
    </w:p>
    <w:p w:rsidR="00223E84" w:rsidRPr="00857EF9" w:rsidRDefault="00981F75" w:rsidP="00B563F2">
      <w:pPr>
        <w:pStyle w:val="ListParagraph"/>
        <w:numPr>
          <w:ilvl w:val="0"/>
          <w:numId w:val="37"/>
        </w:numPr>
        <w:autoSpaceDE w:val="0"/>
        <w:autoSpaceDN w:val="0"/>
        <w:adjustRightInd w:val="0"/>
        <w:spacing w:after="120"/>
        <w:ind w:left="0"/>
        <w:contextualSpacing w:val="0"/>
        <w:jc w:val="both"/>
        <w:rPr>
          <w:lang w:val="fr-FR"/>
        </w:rPr>
      </w:pPr>
      <w:r w:rsidRPr="00857EF9">
        <w:rPr>
          <w:lang w:val="fr-FR"/>
        </w:rPr>
        <w:t>Prestations de subventions de contrepartie (SDE3) : Une prestation de subvention de contrepartie correspond à des formations, des investissements limités (par ex. des fours, des machines à coudre, la remise en état des locaux) et des services d'assistance technique fournis aux MPME haïtiennes éligibles afin de les aider à mener à bien des activités convenues</w:t>
      </w:r>
      <w:r w:rsidR="00E01433" w:rsidRPr="00857EF9">
        <w:rPr>
          <w:lang w:val="fr-FR"/>
        </w:rPr>
        <w:t xml:space="preserve">. </w:t>
      </w:r>
      <w:r w:rsidRPr="00857EF9">
        <w:rPr>
          <w:lang w:val="fr-FR"/>
        </w:rPr>
        <w:t>Les formations dispensées visent à améliorer les produits et services existants et à en créer de nouveaux, à accompagner les procédures de certification qualitative et à améliorer la gestion de l'entreprise. Les petits investissements servent à augmenter les volumes de production, à normaliser les produits, à réduire les coûts, à développer les recettes et à améliorer l'image de l'entreprise</w:t>
      </w:r>
      <w:r w:rsidRPr="00A7289C">
        <w:rPr>
          <w:rStyle w:val="FootnoteReference"/>
        </w:rPr>
        <w:footnoteReference w:id="64"/>
      </w:r>
      <w:r w:rsidR="00E01433" w:rsidRPr="00857EF9">
        <w:rPr>
          <w:rStyle w:val="FootnoteReference"/>
          <w:lang w:val="fr-FR"/>
        </w:rPr>
        <w:t xml:space="preserve">. </w:t>
      </w:r>
      <w:r w:rsidRPr="00857EF9">
        <w:rPr>
          <w:lang w:val="fr-FR"/>
        </w:rPr>
        <w:t>Des conseils seront prodigués pour apprendre comment trouver de nouveaux clients et fidéliser la clientèle actuelle, comment créer et développer des partenariats au sein des chaînes de valeur du tourisme et des ZEI. Les MPME appartenant à des femmes ou dirigées par des femmes feront l'objet d'une attention particulière.</w:t>
      </w:r>
    </w:p>
    <w:p w:rsidR="00223E84" w:rsidRPr="00857EF9" w:rsidRDefault="00981F75" w:rsidP="00B563F2">
      <w:pPr>
        <w:pStyle w:val="ListParagraph"/>
        <w:numPr>
          <w:ilvl w:val="0"/>
          <w:numId w:val="37"/>
        </w:numPr>
        <w:autoSpaceDE w:val="0"/>
        <w:autoSpaceDN w:val="0"/>
        <w:adjustRightInd w:val="0"/>
        <w:spacing w:after="120"/>
        <w:ind w:left="0"/>
        <w:contextualSpacing w:val="0"/>
        <w:jc w:val="both"/>
        <w:rPr>
          <w:lang w:val="fr-FR"/>
        </w:rPr>
      </w:pPr>
      <w:r w:rsidRPr="00857EF9">
        <w:rPr>
          <w:lang w:val="fr-FR"/>
        </w:rPr>
        <w:t xml:space="preserve">On estime qu'environ 600 MPME fournissant des biens et des services à l'industrie touristique dans le nord d'Haïti et dans d'autres sites touristiques ainsi qu'aux ZEI et alentour bénéficieront des activités décrites ci-dessus. </w:t>
      </w:r>
    </w:p>
    <w:p w:rsidR="005B00A2" w:rsidRPr="00857EF9" w:rsidRDefault="005B00A2" w:rsidP="00175270">
      <w:pPr>
        <w:pStyle w:val="ListParagraph"/>
        <w:spacing w:after="120"/>
        <w:ind w:left="0"/>
        <w:contextualSpacing w:val="0"/>
        <w:rPr>
          <w:i/>
          <w:lang w:val="fr-FR"/>
        </w:rPr>
      </w:pPr>
      <w:r w:rsidRPr="00857EF9">
        <w:rPr>
          <w:i/>
          <w:lang w:val="fr-FR"/>
        </w:rPr>
        <w:t xml:space="preserve">Améliorer la capacité de l'unité d'exécution des SDE </w:t>
      </w:r>
    </w:p>
    <w:p w:rsidR="00223E84" w:rsidRPr="00857EF9" w:rsidRDefault="005B00A2" w:rsidP="00B563F2">
      <w:pPr>
        <w:pStyle w:val="ListParagraph"/>
        <w:numPr>
          <w:ilvl w:val="0"/>
          <w:numId w:val="37"/>
        </w:numPr>
        <w:autoSpaceDE w:val="0"/>
        <w:autoSpaceDN w:val="0"/>
        <w:adjustRightInd w:val="0"/>
        <w:ind w:left="0"/>
        <w:contextualSpacing w:val="0"/>
        <w:jc w:val="both"/>
        <w:rPr>
          <w:lang w:val="fr-FR"/>
        </w:rPr>
      </w:pPr>
      <w:r w:rsidRPr="00857EF9">
        <w:rPr>
          <w:lang w:val="fr-FR"/>
        </w:rPr>
        <w:t>Le Centre de Développement de l’Entreprise et de l’Entrepreneuriat (CDEE), une unité du MCI, et ses antennes régionales seront responsables de la gestion, de l'exécution, du suivi et de l'évaluation des activités SDE. S'agissant des municipalités du Nord, l'antenne régionale de Cap-Haïtien appuiera l'exécution des activités SDE. Afin d'être en mesure d'exécuter sa mission, elle sera renforcée par une équipe technique et fiduciaire, recevra des biens d'équipement, des logiciels et du mobilier et bénéficiera de sessions de développement des capacités.</w:t>
      </w:r>
    </w:p>
    <w:p w:rsidR="006A5BB4" w:rsidRPr="00BC7304" w:rsidRDefault="006A5BB4" w:rsidP="004364AC">
      <w:pPr>
        <w:jc w:val="both"/>
        <w:rPr>
          <w:sz w:val="16"/>
          <w:szCs w:val="16"/>
          <w:lang w:val="fr-FR"/>
        </w:rPr>
      </w:pPr>
    </w:p>
    <w:p w:rsidR="00C72F4F" w:rsidRPr="00BC7304" w:rsidRDefault="00FB137A" w:rsidP="005E29F4">
      <w:pPr>
        <w:pStyle w:val="ListParagraph"/>
        <w:spacing w:after="120"/>
        <w:ind w:left="288"/>
        <w:contextualSpacing w:val="0"/>
        <w:jc w:val="both"/>
        <w:rPr>
          <w:b/>
          <w:lang w:val="fr-FR"/>
        </w:rPr>
      </w:pPr>
      <w:r w:rsidRPr="00857EF9">
        <w:rPr>
          <w:b/>
          <w:lang w:val="fr-FR"/>
        </w:rPr>
        <w:t>Composante </w:t>
      </w:r>
      <w:r w:rsidR="007750E0" w:rsidRPr="00857EF9">
        <w:rPr>
          <w:b/>
          <w:lang w:val="fr-FR"/>
        </w:rPr>
        <w:t>3 – Mise en œuvre, évaluation et suivi du projet (2,5 millions USD)</w:t>
      </w:r>
    </w:p>
    <w:p w:rsidR="00223E84" w:rsidRPr="00857EF9" w:rsidRDefault="00C72F4F" w:rsidP="00B563F2">
      <w:pPr>
        <w:pStyle w:val="ListParagraph"/>
        <w:numPr>
          <w:ilvl w:val="0"/>
          <w:numId w:val="37"/>
        </w:numPr>
        <w:spacing w:after="120"/>
        <w:ind w:left="0"/>
        <w:contextualSpacing w:val="0"/>
        <w:jc w:val="both"/>
        <w:rPr>
          <w:lang w:val="fr-FR"/>
        </w:rPr>
      </w:pPr>
      <w:r w:rsidRPr="00857EF9">
        <w:rPr>
          <w:lang w:val="fr-FR"/>
        </w:rPr>
        <w:t xml:space="preserve">Cette composante contribuera au financement par le MEF et MCI des coûts liés à la mise en œuvre, à l'évaluation et au suivi du projet via la fourniture de biens, d'assistance technique, de formation et de fonds opérationnels. Pour ce faire, elle financera les coûts d'un coordinateur de projet au MCI qui sera responsable de la mise en œuvre technique du projet. La responsabilité fiduciaire de l'exécution du projet sera initialement attribuée à l'Unité de coordination de Projet (UCP) du MEF. Le MCI prévoit de développer les capacités nécessaires pour assumer les aspects fiduciaires de la gestion de projet, ce qui parait envisageable une fois que le MCI aura mis en place la structure nécessaire approuvée par l'IDA. </w:t>
      </w:r>
    </w:p>
    <w:p w:rsidR="00223E84" w:rsidRPr="00857EF9" w:rsidRDefault="00713AC0" w:rsidP="00B563F2">
      <w:pPr>
        <w:pStyle w:val="ListParagraph"/>
        <w:numPr>
          <w:ilvl w:val="0"/>
          <w:numId w:val="37"/>
        </w:numPr>
        <w:spacing w:after="120"/>
        <w:ind w:left="0"/>
        <w:contextualSpacing w:val="0"/>
        <w:jc w:val="both"/>
        <w:rPr>
          <w:lang w:val="fr-FR"/>
        </w:rPr>
      </w:pPr>
      <w:r w:rsidRPr="00857EF9">
        <w:rPr>
          <w:lang w:val="fr-FR"/>
        </w:rPr>
        <w:lastRenderedPageBreak/>
        <w:t xml:space="preserve">Une étroite collaboration entre l'UCP du MEF et le MCI sera indispensable pour la réussite de la mise en œuvre du projet. L'appui fourni au titre de cette composante consistera à veiller à la mise en place de capacités durables au MCI et à l'UCP afin d'exécuter le projet et de suivre l'impact de toutes ses composantes. L'équipe d'exécution du projet comprendra, outre un responsable et des spécialistes sectoriels, des experts de la passation des marchés, de la gestion financière et de la gestion environnementale. Le projet couvrira, si nécessaire, les coûts afférents à des conseillers à court terme qui contribueront à la mise en œuvre des composantes du projet (tant du côté fiduciaire que technique), aux équipements nécessaires pour le fonctionnement de l'UCP et des capacités fiduciaires du MCI ainsi qu'à la formation de son personnel. Cette composante appuiera également la mise en œuvre des activités à l'échelon régional. </w:t>
      </w:r>
    </w:p>
    <w:p w:rsidR="00765BA7" w:rsidRPr="00857EF9" w:rsidRDefault="00442340" w:rsidP="00B563F2">
      <w:pPr>
        <w:pStyle w:val="ListParagraph"/>
        <w:numPr>
          <w:ilvl w:val="0"/>
          <w:numId w:val="37"/>
        </w:numPr>
        <w:spacing w:after="120"/>
        <w:ind w:left="0"/>
        <w:contextualSpacing w:val="0"/>
        <w:jc w:val="both"/>
        <w:rPr>
          <w:lang w:val="fr-FR"/>
        </w:rPr>
      </w:pPr>
      <w:r w:rsidRPr="00857EF9">
        <w:rPr>
          <w:lang w:val="fr-FR"/>
        </w:rPr>
        <w:t xml:space="preserve">Comme le MCI sera responsable du SE, cette composante l'aidera aussi à développer les capacités nécessaires en interne. Ces capacités utiliseront les structures et les activités de SE d'autres entités, notamment du groupe de travail en cours de formation, dans le but d'éviter la duplication des efforts. </w:t>
      </w:r>
    </w:p>
    <w:p w:rsidR="00223E84" w:rsidRPr="00857EF9" w:rsidRDefault="00765BA7" w:rsidP="00B563F2">
      <w:pPr>
        <w:pStyle w:val="ListParagraph"/>
        <w:numPr>
          <w:ilvl w:val="0"/>
          <w:numId w:val="37"/>
        </w:numPr>
        <w:spacing w:after="120"/>
        <w:ind w:left="0"/>
        <w:contextualSpacing w:val="0"/>
        <w:jc w:val="both"/>
        <w:rPr>
          <w:lang w:val="fr-FR"/>
        </w:rPr>
      </w:pPr>
      <w:r w:rsidRPr="00857EF9">
        <w:rPr>
          <w:lang w:val="fr-FR"/>
        </w:rPr>
        <w:t>Enfin, cette composante fournira une assistance technique au MCI pour l'organisation d'une série d'ateliers de sensibilisation du public et de consultation sur l'avancement du projet.</w:t>
      </w:r>
    </w:p>
    <w:p w:rsidR="00C72F4F" w:rsidRPr="00BC7304" w:rsidRDefault="00FB137A" w:rsidP="005E29F4">
      <w:pPr>
        <w:pStyle w:val="ListParagraph"/>
        <w:spacing w:after="120"/>
        <w:ind w:left="288"/>
        <w:contextualSpacing w:val="0"/>
        <w:jc w:val="both"/>
        <w:rPr>
          <w:b/>
          <w:lang w:val="fr-FR"/>
        </w:rPr>
      </w:pPr>
      <w:r w:rsidRPr="00857EF9">
        <w:rPr>
          <w:b/>
          <w:lang w:val="fr-FR"/>
        </w:rPr>
        <w:t>Composante </w:t>
      </w:r>
      <w:r w:rsidR="00C72F4F" w:rsidRPr="00857EF9">
        <w:rPr>
          <w:b/>
          <w:lang w:val="fr-FR"/>
        </w:rPr>
        <w:t>4 – Mécanisme de réponse immédiate (0,5 million USD)</w:t>
      </w:r>
    </w:p>
    <w:p w:rsidR="00223E84" w:rsidRPr="00857EF9" w:rsidRDefault="00C72F4F" w:rsidP="00B563F2">
      <w:pPr>
        <w:pStyle w:val="ListParagraph"/>
        <w:numPr>
          <w:ilvl w:val="0"/>
          <w:numId w:val="37"/>
        </w:numPr>
        <w:spacing w:after="120"/>
        <w:ind w:left="0"/>
        <w:contextualSpacing w:val="0"/>
        <w:jc w:val="both"/>
        <w:rPr>
          <w:lang w:val="fr-FR"/>
        </w:rPr>
      </w:pPr>
      <w:r w:rsidRPr="00857EF9">
        <w:rPr>
          <w:lang w:val="fr-FR"/>
        </w:rPr>
        <w:t>Cette composante fournira un appui pour les réponses aux situations d'urgence éligibles, par exemple en cas de catastrophe naturelle</w:t>
      </w:r>
      <w:r w:rsidR="00E01433" w:rsidRPr="00857EF9">
        <w:rPr>
          <w:lang w:val="fr-FR"/>
        </w:rPr>
        <w:t xml:space="preserve">. </w:t>
      </w:r>
      <w:r w:rsidRPr="00857EF9">
        <w:rPr>
          <w:lang w:val="fr-FR"/>
        </w:rPr>
        <w:t xml:space="preserve">Étant donné que la zone du projet est exposée à une variété de risques, notamment des risques géotechniques (tremblements de terre et catastrophes associées tels que les tsunamis, la liquéfaction des sols ou les glissements de terrain), des risques hydrométéorologiques (vent, ouragans, cyclones, raz de marée) et aux effets du changement climatique (montée des océans, érosion côtière), l'État demandera peut-être à la Banque de réallouer des fonds du projet pour financer des opérations de réponse et de reconstruction en cas de catastrophe naturelle. Une démarche similaire sera adoptée pour faire face aux catastrophes d'origine humaine. Cette composante fournira un appui à l'exécution de sous-projets de restauration et de réhabilitation d'urgence et/ou d'un programme de subventions en faveur des bénéficiaires éligibles affectés par une situation d'urgence. Des fonds supplémentaires pourront aussi être libérés par ce mécanisme dans un but similaire. </w:t>
      </w:r>
    </w:p>
    <w:p w:rsidR="00223E84" w:rsidRPr="00857EF9" w:rsidRDefault="0017602A" w:rsidP="00B563F2">
      <w:pPr>
        <w:pStyle w:val="ListParagraph"/>
        <w:numPr>
          <w:ilvl w:val="0"/>
          <w:numId w:val="37"/>
        </w:numPr>
        <w:spacing w:after="120"/>
        <w:ind w:left="0"/>
        <w:contextualSpacing w:val="0"/>
        <w:jc w:val="both"/>
        <w:rPr>
          <w:lang w:val="fr-FR"/>
        </w:rPr>
      </w:pPr>
      <w:r w:rsidRPr="00857EF9">
        <w:rPr>
          <w:lang w:val="fr-FR"/>
        </w:rPr>
        <w:t>Dans le cas où cette composante est déclenchée, toutes les dépenses devront être conformes à la politique OB/BP 8.00. Elles feront l'objet d'une évaluation préalable et d'un examen pour être acceptées par la Banque avant tout décaissement</w:t>
      </w:r>
      <w:r w:rsidR="00E01433" w:rsidRPr="00857EF9">
        <w:rPr>
          <w:lang w:val="fr-FR"/>
        </w:rPr>
        <w:t xml:space="preserve">. </w:t>
      </w:r>
      <w:r w:rsidRPr="00857EF9">
        <w:rPr>
          <w:lang w:val="fr-FR"/>
        </w:rPr>
        <w:t>Si les fonds alloués à cette composante (0,5 million USD) ne sont pas dépensés 12 mois avant la date de clôture, ils pourront être utilisés pour financer des activités correspondant à d'autres composantes du projet.</w:t>
      </w:r>
    </w:p>
    <w:p w:rsidR="00C72F4F" w:rsidRPr="00857EF9" w:rsidRDefault="00C72F4F" w:rsidP="001956C5">
      <w:pPr>
        <w:spacing w:after="120"/>
        <w:rPr>
          <w:b/>
          <w:szCs w:val="20"/>
          <w:lang w:val="fr-FR"/>
        </w:rPr>
      </w:pPr>
      <w:r w:rsidRPr="00857EF9">
        <w:rPr>
          <w:lang w:val="fr-FR"/>
        </w:rPr>
        <w:br w:type="page"/>
      </w:r>
    </w:p>
    <w:p w:rsidR="007F29B7" w:rsidRPr="00857EF9" w:rsidRDefault="007F29B7" w:rsidP="001956C5">
      <w:pPr>
        <w:pStyle w:val="PDSAnnexHeading"/>
        <w:rPr>
          <w:lang w:val="fr-FR"/>
        </w:rPr>
      </w:pPr>
      <w:bookmarkStart w:id="32" w:name="_Toc362270238"/>
      <w:r w:rsidRPr="00857EF9">
        <w:rPr>
          <w:lang w:val="fr-FR"/>
        </w:rPr>
        <w:lastRenderedPageBreak/>
        <w:t>Annexe 3 : Modalités d’exécution</w:t>
      </w:r>
      <w:bookmarkEnd w:id="32"/>
    </w:p>
    <w:p w:rsidR="007F29B7" w:rsidRPr="00857EF9" w:rsidRDefault="007F29B7" w:rsidP="005E29F4">
      <w:pPr>
        <w:pStyle w:val="ListParagraph"/>
        <w:spacing w:after="120"/>
        <w:ind w:left="0"/>
        <w:contextualSpacing w:val="0"/>
        <w:jc w:val="center"/>
        <w:rPr>
          <w:b/>
          <w:lang w:val="fr-FR"/>
        </w:rPr>
      </w:pPr>
      <w:r w:rsidRPr="00857EF9">
        <w:rPr>
          <w:b/>
          <w:lang w:val="fr-FR"/>
        </w:rPr>
        <w:t>Dispositions institutionnelles et modalités d'exécution du programme</w:t>
      </w:r>
    </w:p>
    <w:p w:rsidR="007F29B7" w:rsidRPr="00857EF9" w:rsidRDefault="007F29B7" w:rsidP="004364AC">
      <w:pPr>
        <w:pStyle w:val="ListParagraph"/>
        <w:ind w:left="0"/>
        <w:contextualSpacing w:val="0"/>
        <w:rPr>
          <w:b/>
          <w:lang w:val="fr-FR"/>
        </w:rPr>
      </w:pPr>
    </w:p>
    <w:p w:rsidR="007F29B7" w:rsidRPr="00A7289C" w:rsidRDefault="007F29B7" w:rsidP="00242B1E">
      <w:pPr>
        <w:pStyle w:val="ListParagraph"/>
        <w:keepNext/>
        <w:spacing w:after="120"/>
        <w:ind w:left="0"/>
        <w:contextualSpacing w:val="0"/>
        <w:rPr>
          <w:b/>
        </w:rPr>
      </w:pPr>
      <w:proofErr w:type="spellStart"/>
      <w:r>
        <w:rPr>
          <w:b/>
        </w:rPr>
        <w:t>Dispositifs</w:t>
      </w:r>
      <w:proofErr w:type="spellEnd"/>
      <w:r>
        <w:rPr>
          <w:b/>
        </w:rPr>
        <w:t xml:space="preserve"> </w:t>
      </w:r>
      <w:proofErr w:type="spellStart"/>
      <w:r>
        <w:rPr>
          <w:b/>
        </w:rPr>
        <w:t>d'administration</w:t>
      </w:r>
      <w:proofErr w:type="spellEnd"/>
      <w:r>
        <w:rPr>
          <w:b/>
        </w:rPr>
        <w:t xml:space="preserve"> du </w:t>
      </w:r>
      <w:proofErr w:type="spellStart"/>
      <w:r>
        <w:rPr>
          <w:b/>
        </w:rPr>
        <w:t>programme</w:t>
      </w:r>
      <w:proofErr w:type="spellEnd"/>
    </w:p>
    <w:p w:rsidR="004B04DD" w:rsidRPr="00857EF9" w:rsidRDefault="00314E01" w:rsidP="00B563F2">
      <w:pPr>
        <w:pStyle w:val="ListParagraph"/>
        <w:numPr>
          <w:ilvl w:val="0"/>
          <w:numId w:val="27"/>
        </w:numPr>
        <w:tabs>
          <w:tab w:val="clear" w:pos="720"/>
          <w:tab w:val="num" w:pos="936"/>
        </w:tabs>
        <w:spacing w:after="120"/>
        <w:ind w:left="0"/>
        <w:contextualSpacing w:val="0"/>
        <w:jc w:val="both"/>
        <w:rPr>
          <w:lang w:val="fr-FR"/>
        </w:rPr>
      </w:pPr>
      <w:r w:rsidRPr="00857EF9">
        <w:rPr>
          <w:lang w:val="fr-FR"/>
        </w:rPr>
        <w:t>Coordina</w:t>
      </w:r>
      <w:r w:rsidR="00CE73E6" w:rsidRPr="00857EF9">
        <w:rPr>
          <w:lang w:val="fr-FR"/>
        </w:rPr>
        <w:t>tion globale.</w:t>
      </w:r>
      <w:r w:rsidRPr="00857EF9">
        <w:rPr>
          <w:lang w:val="fr-FR"/>
        </w:rPr>
        <w:t xml:space="preserve"> Le ministère du Commerce et de l'Industrie (MCI) est la contrepartie du projet</w:t>
      </w:r>
      <w:r w:rsidR="00F14B6E" w:rsidRPr="00A7289C">
        <w:rPr>
          <w:rStyle w:val="FootnoteReference"/>
        </w:rPr>
        <w:footnoteReference w:id="65"/>
      </w:r>
      <w:r w:rsidRPr="00857EF9">
        <w:rPr>
          <w:lang w:val="fr-FR"/>
        </w:rPr>
        <w:t xml:space="preserve">, puisque celui-ci est axé sur la promotion des investissements dans les ZEI et des services SDE pour les MPME (deux activités qui rentrent dans le domaine de compétences du MCI) et qu'il participe à la promotion des réformes du climat des affaires. Les dispositions institutionnelles et les modalités d'exécution du projet s'appuieront au départ sur les institutions et les mécanismes existants. </w:t>
      </w:r>
      <w:r w:rsidRPr="00857EF9">
        <w:rPr>
          <w:lang w:val="fr-FR"/>
        </w:rPr>
        <w:tab/>
        <w:t>L'UCP (Unité de Coordination du Projet) du MEF sera initialement responsable de l'aspect fiduciaire, de la passation des marchés et des mesures de sauvegarde</w:t>
      </w:r>
      <w:r w:rsidR="008830B7" w:rsidRPr="00A7289C">
        <w:rPr>
          <w:rStyle w:val="FootnoteReference"/>
        </w:rPr>
        <w:footnoteReference w:id="66"/>
      </w:r>
      <w:r w:rsidRPr="00857EF9">
        <w:rPr>
          <w:lang w:val="fr-FR"/>
        </w:rPr>
        <w:t xml:space="preserve"> du projet. Cette responsabilité sera ensuite transférée au MCI, lorsque ce dernier aura la capacité de gérer les aspects fiduciaires d'une manière jugée satisfaisante par l'IDA. À cet effet, le MCI conclura un accord avec le MEF, acceptable pour l'IDA, pour une période de 18 mois. Deux mois avant l'échéance de cet accord, l'IDA évaluera la capacité du MCI à gérer les aspects fiduciaires du projet. Le transfert de la responsabilité fiduciaire de l'UCP au MCI n'aura lieu que lorsque l'IDA disposera de preuves satisfaisantes assurant que le MCI satisfait aux exigences requises pour assumer les responsabilités fiduciaires associées au projet.</w:t>
      </w:r>
    </w:p>
    <w:p w:rsidR="0001451B" w:rsidRPr="00857EF9" w:rsidRDefault="0001451B" w:rsidP="00B563F2">
      <w:pPr>
        <w:pStyle w:val="ListParagraph"/>
        <w:numPr>
          <w:ilvl w:val="0"/>
          <w:numId w:val="27"/>
        </w:numPr>
        <w:tabs>
          <w:tab w:val="clear" w:pos="720"/>
          <w:tab w:val="num" w:pos="936"/>
        </w:tabs>
        <w:spacing w:after="120"/>
        <w:ind w:left="0"/>
        <w:contextualSpacing w:val="0"/>
        <w:jc w:val="both"/>
        <w:rPr>
          <w:lang w:val="fr-FR"/>
        </w:rPr>
      </w:pPr>
      <w:r w:rsidRPr="00857EF9">
        <w:rPr>
          <w:lang w:val="fr-FR"/>
        </w:rPr>
        <w:t xml:space="preserve">L'UCP s'est engagée à appuyer l'établissement des capacités fiduciaires au sein du MCI. En conséquence, un plan sera préparé par le MCI en coordination avec l'UCP pour garantir que le MCI sera en mesure de satisfaire aux normes fiduciaires et de passation des marchés de l'IDA. Le projet appuiera la création de capacités fiduciaires au sein du MCI. </w:t>
      </w:r>
    </w:p>
    <w:p w:rsidR="0001451B" w:rsidRPr="00857EF9" w:rsidRDefault="0001451B"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t>Structure et capacités de l'UCP. L'UCP dispose actuellement de 12 employés dont un coordinateur, un coordinateur adjoint, un responsable en chef de l'approvisionnement, un directeur administratif et financier, un comptable et un assistant administratif, aidés en fonction des besoins par des consultants spécialisés dans les questions techniques et de sauvegarde</w:t>
      </w:r>
      <w:r w:rsidR="00E01433" w:rsidRPr="00857EF9">
        <w:rPr>
          <w:lang w:val="fr-FR"/>
        </w:rPr>
        <w:t xml:space="preserve">. </w:t>
      </w:r>
      <w:r w:rsidRPr="00857EF9">
        <w:rPr>
          <w:lang w:val="fr-FR"/>
        </w:rPr>
        <w:t xml:space="preserve">L'UCP gère présentement la mise en œuvre de la </w:t>
      </w:r>
      <w:r w:rsidR="00FB137A" w:rsidRPr="00857EF9">
        <w:rPr>
          <w:lang w:val="fr-FR"/>
        </w:rPr>
        <w:t>composante </w:t>
      </w:r>
      <w:r w:rsidRPr="00857EF9">
        <w:rPr>
          <w:lang w:val="fr-FR"/>
        </w:rPr>
        <w:t xml:space="preserve">1 du Projet de restauration des institutions et des infrastructures de la Banque mondiale (autant le projet initial que le financement complémentaire entré en vigueur en février 2013) ; elle s'occupe également d'un projet de gestion des ressources obtenues au titre de l'allègement de la dette du FMI ainsi que du projet de gouvernance économique de la BID.  </w:t>
      </w:r>
    </w:p>
    <w:p w:rsidR="00C64A61" w:rsidRPr="00857EF9" w:rsidRDefault="00C64A61" w:rsidP="00B563F2">
      <w:pPr>
        <w:pStyle w:val="ListParagraph"/>
        <w:numPr>
          <w:ilvl w:val="0"/>
          <w:numId w:val="27"/>
        </w:numPr>
        <w:tabs>
          <w:tab w:val="clear" w:pos="720"/>
          <w:tab w:val="num" w:pos="936"/>
        </w:tabs>
        <w:spacing w:after="120"/>
        <w:ind w:left="0"/>
        <w:contextualSpacing w:val="0"/>
        <w:jc w:val="both"/>
        <w:rPr>
          <w:lang w:val="fr-FR"/>
        </w:rPr>
      </w:pPr>
      <w:r w:rsidRPr="00857EF9">
        <w:rPr>
          <w:lang w:val="fr-FR"/>
        </w:rPr>
        <w:t>Le MCI va désigner un coordinateur de projet pour coordonner l'exécution du projet avec les différents partenaires publics et privés, superviser les progrès de toutes les activités du projet et vérifier que ses objectifs et ses cibles sont atteints. Les activités spécifiques du projet seront mises en œuvre comme suit.</w:t>
      </w:r>
    </w:p>
    <w:p w:rsidR="00C64A61" w:rsidRPr="00857EF9" w:rsidRDefault="00C64A61" w:rsidP="00B563F2">
      <w:pPr>
        <w:pStyle w:val="ListParagraph"/>
        <w:numPr>
          <w:ilvl w:val="0"/>
          <w:numId w:val="27"/>
        </w:numPr>
        <w:tabs>
          <w:tab w:val="clear" w:pos="720"/>
          <w:tab w:val="num" w:pos="936"/>
        </w:tabs>
        <w:spacing w:after="120"/>
        <w:ind w:left="0"/>
        <w:contextualSpacing w:val="0"/>
        <w:jc w:val="both"/>
        <w:rPr>
          <w:lang w:val="fr-FR"/>
        </w:rPr>
      </w:pPr>
      <w:r w:rsidRPr="00857EF9">
        <w:rPr>
          <w:lang w:val="fr-FR"/>
        </w:rPr>
        <w:lastRenderedPageBreak/>
        <w:t>Le MCI dirigera les activités du projet relatives aux réformes du climat des affaires et à la réforme du cadre législatif et institutionnel des ZEI</w:t>
      </w:r>
      <w:r w:rsidR="00E01433" w:rsidRPr="00857EF9">
        <w:rPr>
          <w:lang w:val="fr-FR"/>
        </w:rPr>
        <w:t xml:space="preserve">. </w:t>
      </w:r>
      <w:r w:rsidRPr="00857EF9">
        <w:rPr>
          <w:lang w:val="fr-FR"/>
        </w:rPr>
        <w:t>Il sélectionnera les sites pour les études de faisabilité (qui seront financées par le projet) en consultation avec le Premier ministre, le MEF, le CIAT, la DZF, la SONAPI, les ministères sectoriels et les agences concernées, les autorités locales ainsi que des représentants du secteur privé et de la société civile – de manière à s'assurer de leur implication, leur validation et leur appui. Le CDEE récemment créé, qui fonctionne sous la houlette du MCI, sera responsable des opérations associées à la mise en œuvre des activités SDE. Le tableau ci-dessous présente un aperçu des responsabilités de l'exécution de chaque activité et des principaux acteurs concernés.</w:t>
      </w:r>
    </w:p>
    <w:p w:rsidR="0001451B" w:rsidRPr="00857EF9" w:rsidRDefault="0001451B"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t>S'agissant de la composante SDE, le CDEE sera chargé de superviser son exécution et d'effectuer le suivi et l'évaluation depuis ses antennes régionales. S'agissant des municipalités du Nord, l'antenne régionale de Cap-Haïtien appuiera l'exécution des activités SDE. Pour exécuter sa mission, elle sera renforcé</w:t>
      </w:r>
      <w:r w:rsidR="00CE73E6" w:rsidRPr="00857EF9">
        <w:rPr>
          <w:lang w:val="fr-FR"/>
        </w:rPr>
        <w:t xml:space="preserve">e </w:t>
      </w:r>
      <w:r w:rsidRPr="00857EF9">
        <w:rPr>
          <w:lang w:val="fr-FR"/>
        </w:rPr>
        <w:t xml:space="preserve">par une équipe technique et fiduciaire. Afin que le CDEE dispose des capacités adéquates, il bénéficiera d'un appui qui complétera celui de la BID pour l'administration générale de la </w:t>
      </w:r>
      <w:r w:rsidR="00FB137A" w:rsidRPr="00857EF9">
        <w:rPr>
          <w:lang w:val="fr-FR"/>
        </w:rPr>
        <w:t>composante </w:t>
      </w:r>
      <w:r w:rsidRPr="00857EF9">
        <w:rPr>
          <w:lang w:val="fr-FR"/>
        </w:rPr>
        <w:t xml:space="preserve">2 : mise à niveau du logiciel de comptabilité, système de gestion de l'information, ordinateurs, mobilier et autres équipements. </w:t>
      </w:r>
    </w:p>
    <w:p w:rsidR="00C64A61" w:rsidRPr="0036404C" w:rsidRDefault="007E0508" w:rsidP="004B64B5">
      <w:pPr>
        <w:pStyle w:val="Caption"/>
        <w:keepNext/>
        <w:spacing w:after="0"/>
        <w:rPr>
          <w:color w:val="auto"/>
          <w:sz w:val="24"/>
          <w:szCs w:val="24"/>
          <w:lang w:val="fr-FR"/>
        </w:rPr>
      </w:pPr>
      <w:bookmarkStart w:id="33" w:name="_Toc362269424"/>
      <w:proofErr w:type="spellStart"/>
      <w:r w:rsidRPr="0036404C">
        <w:rPr>
          <w:color w:val="auto"/>
          <w:sz w:val="24"/>
          <w:szCs w:val="24"/>
          <w:lang w:val="es-BO"/>
        </w:rPr>
        <w:t>Tableau</w:t>
      </w:r>
      <w:proofErr w:type="spellEnd"/>
      <w:r w:rsidRPr="0036404C">
        <w:rPr>
          <w:color w:val="auto"/>
          <w:sz w:val="24"/>
          <w:szCs w:val="24"/>
          <w:lang w:val="es-BO"/>
        </w:rPr>
        <w:t xml:space="preserve"> </w:t>
      </w:r>
      <w:r w:rsidRPr="0036404C">
        <w:rPr>
          <w:color w:val="auto"/>
          <w:sz w:val="24"/>
          <w:szCs w:val="24"/>
        </w:rPr>
        <w:fldChar w:fldCharType="begin"/>
      </w:r>
      <w:r w:rsidRPr="0036404C">
        <w:rPr>
          <w:color w:val="auto"/>
          <w:sz w:val="24"/>
          <w:szCs w:val="24"/>
          <w:lang w:val="es-BO"/>
        </w:rPr>
        <w:instrText xml:space="preserve"> SEQ Tableau \* ARABIC </w:instrText>
      </w:r>
      <w:r w:rsidRPr="0036404C">
        <w:rPr>
          <w:color w:val="auto"/>
          <w:sz w:val="24"/>
          <w:szCs w:val="24"/>
        </w:rPr>
        <w:fldChar w:fldCharType="separate"/>
      </w:r>
      <w:r w:rsidR="0036404C" w:rsidRPr="0036404C">
        <w:rPr>
          <w:noProof/>
          <w:color w:val="auto"/>
          <w:sz w:val="24"/>
          <w:szCs w:val="24"/>
          <w:lang w:val="es-BO"/>
        </w:rPr>
        <w:t>3</w:t>
      </w:r>
      <w:r w:rsidRPr="0036404C">
        <w:rPr>
          <w:color w:val="auto"/>
          <w:sz w:val="24"/>
          <w:szCs w:val="24"/>
        </w:rPr>
        <w:fldChar w:fldCharType="end"/>
      </w:r>
      <w:r w:rsidRPr="0036404C">
        <w:rPr>
          <w:color w:val="auto"/>
          <w:sz w:val="24"/>
          <w:szCs w:val="24"/>
          <w:lang w:val="es-BO"/>
        </w:rPr>
        <w:t xml:space="preserve"> </w:t>
      </w:r>
      <w:r w:rsidR="00783B77" w:rsidRPr="0036404C">
        <w:rPr>
          <w:rStyle w:val="CaptionChar"/>
          <w:color w:val="auto"/>
          <w:sz w:val="24"/>
          <w:szCs w:val="24"/>
          <w:lang w:val="fr-FR"/>
        </w:rPr>
        <w:t>:</w:t>
      </w:r>
      <w:r w:rsidR="00CE73E6" w:rsidRPr="0036404C">
        <w:rPr>
          <w:color w:val="auto"/>
          <w:sz w:val="24"/>
          <w:szCs w:val="24"/>
          <w:lang w:val="fr-FR"/>
        </w:rPr>
        <w:t xml:space="preserve"> </w:t>
      </w:r>
      <w:r w:rsidR="00783B77" w:rsidRPr="0036404C">
        <w:rPr>
          <w:color w:val="auto"/>
          <w:sz w:val="24"/>
          <w:szCs w:val="24"/>
          <w:lang w:val="fr-FR"/>
        </w:rPr>
        <w:t>Organismes responsables de la mise en œuvre</w:t>
      </w:r>
      <w:bookmarkEnd w:id="33"/>
    </w:p>
    <w:tbl>
      <w:tblPr>
        <w:tblStyle w:val="TableGrid"/>
        <w:tblW w:w="9360" w:type="dxa"/>
        <w:tblInd w:w="108" w:type="dxa"/>
        <w:tblLook w:val="04A0" w:firstRow="1" w:lastRow="0" w:firstColumn="1" w:lastColumn="0" w:noHBand="0" w:noVBand="1"/>
      </w:tblPr>
      <w:tblGrid>
        <w:gridCol w:w="1908"/>
        <w:gridCol w:w="1530"/>
        <w:gridCol w:w="5922"/>
      </w:tblGrid>
      <w:tr w:rsidR="00C64A61" w:rsidRPr="00113620" w:rsidTr="00175270">
        <w:tc>
          <w:tcPr>
            <w:tcW w:w="1908" w:type="dxa"/>
          </w:tcPr>
          <w:p w:rsidR="00C64A61" w:rsidRPr="00A7289C" w:rsidRDefault="00C64A61" w:rsidP="00175270">
            <w:pPr>
              <w:pStyle w:val="ListParagraph"/>
              <w:tabs>
                <w:tab w:val="left" w:pos="720"/>
                <w:tab w:val="left" w:pos="1170"/>
              </w:tabs>
              <w:ind w:left="0"/>
              <w:contextualSpacing w:val="0"/>
              <w:jc w:val="both"/>
              <w:rPr>
                <w:sz w:val="20"/>
                <w:szCs w:val="20"/>
              </w:rPr>
            </w:pPr>
            <w:proofErr w:type="spellStart"/>
            <w:r>
              <w:rPr>
                <w:sz w:val="20"/>
                <w:szCs w:val="20"/>
              </w:rPr>
              <w:t>Activité</w:t>
            </w:r>
            <w:proofErr w:type="spellEnd"/>
            <w:r>
              <w:rPr>
                <w:sz w:val="20"/>
                <w:szCs w:val="20"/>
              </w:rPr>
              <w:t xml:space="preserve"> du </w:t>
            </w:r>
            <w:proofErr w:type="spellStart"/>
            <w:r>
              <w:rPr>
                <w:sz w:val="20"/>
                <w:szCs w:val="20"/>
              </w:rPr>
              <w:t>projet</w:t>
            </w:r>
            <w:proofErr w:type="spellEnd"/>
          </w:p>
        </w:tc>
        <w:tc>
          <w:tcPr>
            <w:tcW w:w="1530" w:type="dxa"/>
          </w:tcPr>
          <w:p w:rsidR="00C64A61" w:rsidRPr="00A7289C" w:rsidRDefault="00C64A61" w:rsidP="00175270">
            <w:pPr>
              <w:pStyle w:val="ListParagraph"/>
              <w:tabs>
                <w:tab w:val="left" w:pos="720"/>
                <w:tab w:val="left" w:pos="1170"/>
              </w:tabs>
              <w:ind w:left="0"/>
              <w:contextualSpacing w:val="0"/>
              <w:jc w:val="both"/>
              <w:rPr>
                <w:sz w:val="20"/>
                <w:szCs w:val="20"/>
              </w:rPr>
            </w:pPr>
            <w:proofErr w:type="spellStart"/>
            <w:r>
              <w:rPr>
                <w:sz w:val="20"/>
                <w:szCs w:val="20"/>
              </w:rPr>
              <w:t>Organisme</w:t>
            </w:r>
            <w:proofErr w:type="spellEnd"/>
            <w:r>
              <w:rPr>
                <w:sz w:val="20"/>
                <w:szCs w:val="20"/>
              </w:rPr>
              <w:t xml:space="preserve"> </w:t>
            </w:r>
            <w:proofErr w:type="spellStart"/>
            <w:r>
              <w:rPr>
                <w:sz w:val="20"/>
                <w:szCs w:val="20"/>
              </w:rPr>
              <w:t>responsable</w:t>
            </w:r>
            <w:proofErr w:type="spellEnd"/>
          </w:p>
        </w:tc>
        <w:tc>
          <w:tcPr>
            <w:tcW w:w="5922" w:type="dxa"/>
          </w:tcPr>
          <w:p w:rsidR="00C64A61" w:rsidRPr="00857EF9" w:rsidRDefault="00C64A61" w:rsidP="00175270">
            <w:pPr>
              <w:pStyle w:val="ListParagraph"/>
              <w:tabs>
                <w:tab w:val="left" w:pos="720"/>
                <w:tab w:val="left" w:pos="1170"/>
              </w:tabs>
              <w:ind w:left="0"/>
              <w:contextualSpacing w:val="0"/>
              <w:rPr>
                <w:sz w:val="20"/>
                <w:szCs w:val="20"/>
                <w:lang w:val="fr-FR"/>
              </w:rPr>
            </w:pPr>
            <w:r w:rsidRPr="00857EF9">
              <w:rPr>
                <w:sz w:val="20"/>
                <w:szCs w:val="20"/>
                <w:lang w:val="fr-FR"/>
              </w:rPr>
              <w:t>Autres organismes participant à la mise en œuvre du projet</w:t>
            </w:r>
          </w:p>
        </w:tc>
      </w:tr>
      <w:tr w:rsidR="00C64A61" w:rsidRPr="00113620" w:rsidTr="00175270">
        <w:tc>
          <w:tcPr>
            <w:tcW w:w="1908" w:type="dxa"/>
            <w:vAlign w:val="center"/>
          </w:tcPr>
          <w:p w:rsidR="00C64A61" w:rsidRPr="00857EF9" w:rsidRDefault="00C64A61" w:rsidP="00175270">
            <w:pPr>
              <w:pStyle w:val="ListParagraph"/>
              <w:tabs>
                <w:tab w:val="left" w:pos="720"/>
                <w:tab w:val="left" w:pos="1170"/>
              </w:tabs>
              <w:ind w:left="0"/>
              <w:contextualSpacing w:val="0"/>
              <w:rPr>
                <w:sz w:val="20"/>
                <w:szCs w:val="20"/>
                <w:lang w:val="fr-FR"/>
              </w:rPr>
            </w:pPr>
            <w:r w:rsidRPr="00857EF9">
              <w:rPr>
                <w:sz w:val="20"/>
                <w:szCs w:val="20"/>
                <w:lang w:val="fr-FR"/>
              </w:rPr>
              <w:t>Réforme du climat des affaires</w:t>
            </w:r>
          </w:p>
        </w:tc>
        <w:tc>
          <w:tcPr>
            <w:tcW w:w="1530" w:type="dxa"/>
            <w:vAlign w:val="center"/>
          </w:tcPr>
          <w:p w:rsidR="00C64A61" w:rsidRPr="00A7289C" w:rsidRDefault="00C64A61" w:rsidP="00175270">
            <w:pPr>
              <w:pStyle w:val="ListParagraph"/>
              <w:tabs>
                <w:tab w:val="left" w:pos="720"/>
                <w:tab w:val="left" w:pos="1170"/>
              </w:tabs>
              <w:ind w:left="0"/>
              <w:contextualSpacing w:val="0"/>
              <w:rPr>
                <w:sz w:val="20"/>
                <w:szCs w:val="20"/>
              </w:rPr>
            </w:pPr>
            <w:r>
              <w:rPr>
                <w:sz w:val="20"/>
                <w:szCs w:val="20"/>
              </w:rPr>
              <w:t>MCI</w:t>
            </w:r>
          </w:p>
        </w:tc>
        <w:tc>
          <w:tcPr>
            <w:tcW w:w="5922" w:type="dxa"/>
          </w:tcPr>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CPRA</w:t>
            </w:r>
            <w:r w:rsidRPr="00A7289C">
              <w:rPr>
                <w:rStyle w:val="FootnoteReference"/>
                <w:sz w:val="20"/>
                <w:szCs w:val="20"/>
              </w:rPr>
              <w:footnoteReference w:id="67"/>
            </w:r>
            <w:r w:rsidRPr="00857EF9">
              <w:rPr>
                <w:sz w:val="20"/>
                <w:szCs w:val="20"/>
                <w:lang w:val="fr-FR"/>
              </w:rPr>
              <w:t> : responsable de la préparation des amendements législatifs et réglementaires</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Autres instances consultatives :</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Groupe de travail sur la réforme du climat des affaires (à constituer)</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Ministères et organismes sectoriels concernés</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 xml:space="preserve">Parties prenantes du secteur privé </w:t>
            </w:r>
          </w:p>
        </w:tc>
      </w:tr>
      <w:tr w:rsidR="00C64A61" w:rsidRPr="00857EF9" w:rsidTr="00175270">
        <w:tc>
          <w:tcPr>
            <w:tcW w:w="1908" w:type="dxa"/>
            <w:vAlign w:val="center"/>
          </w:tcPr>
          <w:p w:rsidR="00C64A61" w:rsidRPr="00A7289C" w:rsidRDefault="00C64A61" w:rsidP="00175270">
            <w:pPr>
              <w:pStyle w:val="ListParagraph"/>
              <w:tabs>
                <w:tab w:val="left" w:pos="720"/>
                <w:tab w:val="left" w:pos="1170"/>
              </w:tabs>
              <w:ind w:left="0"/>
              <w:contextualSpacing w:val="0"/>
              <w:rPr>
                <w:sz w:val="20"/>
                <w:szCs w:val="20"/>
              </w:rPr>
            </w:pPr>
            <w:r>
              <w:rPr>
                <w:sz w:val="20"/>
                <w:szCs w:val="20"/>
              </w:rPr>
              <w:t xml:space="preserve">Promotion de </w:t>
            </w:r>
            <w:proofErr w:type="spellStart"/>
            <w:r>
              <w:rPr>
                <w:sz w:val="20"/>
                <w:szCs w:val="20"/>
              </w:rPr>
              <w:t>l'investissement</w:t>
            </w:r>
            <w:proofErr w:type="spellEnd"/>
          </w:p>
        </w:tc>
        <w:tc>
          <w:tcPr>
            <w:tcW w:w="1530" w:type="dxa"/>
            <w:vAlign w:val="center"/>
          </w:tcPr>
          <w:p w:rsidR="00C64A61" w:rsidRPr="00A7289C" w:rsidRDefault="00C64A61" w:rsidP="00175270">
            <w:pPr>
              <w:pStyle w:val="ListParagraph"/>
              <w:tabs>
                <w:tab w:val="left" w:pos="720"/>
                <w:tab w:val="left" w:pos="1170"/>
              </w:tabs>
              <w:ind w:left="0"/>
              <w:contextualSpacing w:val="0"/>
              <w:rPr>
                <w:sz w:val="20"/>
                <w:szCs w:val="20"/>
              </w:rPr>
            </w:pPr>
            <w:r>
              <w:rPr>
                <w:sz w:val="20"/>
                <w:szCs w:val="20"/>
              </w:rPr>
              <w:t>MCI</w:t>
            </w:r>
          </w:p>
        </w:tc>
        <w:tc>
          <w:tcPr>
            <w:tcW w:w="5922" w:type="dxa"/>
          </w:tcPr>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CPRA : responsable de la préparation des amendements législatifs et réglementaires (loi sur les ZEI)</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Autorité des ZEI (à constituer au sein du MCI)</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CFI ou SONAPI </w:t>
            </w:r>
            <w:proofErr w:type="gramStart"/>
            <w:r w:rsidRPr="00857EF9">
              <w:rPr>
                <w:sz w:val="20"/>
                <w:szCs w:val="20"/>
                <w:lang w:val="fr-FR"/>
              </w:rPr>
              <w:t>:  responsables</w:t>
            </w:r>
            <w:proofErr w:type="gramEnd"/>
            <w:r w:rsidRPr="00857EF9">
              <w:rPr>
                <w:sz w:val="20"/>
                <w:szCs w:val="20"/>
                <w:lang w:val="fr-FR"/>
              </w:rPr>
              <w:t xml:space="preserve"> intérimaires du guichet unique pour les ZEI jusqu'à l'établissement de la nouvelle autorité des ZEI</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Autres instances à consulter pour la définition des sites des ZEI</w:t>
            </w:r>
            <w:r w:rsidR="00E01433" w:rsidRPr="00857EF9">
              <w:rPr>
                <w:sz w:val="20"/>
                <w:szCs w:val="20"/>
                <w:lang w:val="fr-FR"/>
              </w:rPr>
              <w:t> :</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Premier ministre, MEF et ministères sectoriels concernés, SONAPI, DZF, CIAT</w:t>
            </w:r>
          </w:p>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Autorités locales et acteurs privés</w:t>
            </w:r>
          </w:p>
        </w:tc>
      </w:tr>
      <w:tr w:rsidR="00C64A61" w:rsidRPr="00113620" w:rsidTr="00175270">
        <w:tc>
          <w:tcPr>
            <w:tcW w:w="1908" w:type="dxa"/>
            <w:vAlign w:val="center"/>
          </w:tcPr>
          <w:p w:rsidR="00C64A61" w:rsidRPr="00A7289C" w:rsidRDefault="00C64A61" w:rsidP="00175270">
            <w:pPr>
              <w:pStyle w:val="ListParagraph"/>
              <w:tabs>
                <w:tab w:val="left" w:pos="720"/>
                <w:tab w:val="left" w:pos="1170"/>
              </w:tabs>
              <w:ind w:left="0"/>
              <w:contextualSpacing w:val="0"/>
              <w:rPr>
                <w:sz w:val="20"/>
                <w:szCs w:val="20"/>
              </w:rPr>
            </w:pPr>
            <w:r>
              <w:rPr>
                <w:sz w:val="20"/>
                <w:szCs w:val="20"/>
              </w:rPr>
              <w:t>SDE</w:t>
            </w:r>
          </w:p>
        </w:tc>
        <w:tc>
          <w:tcPr>
            <w:tcW w:w="1530" w:type="dxa"/>
            <w:vAlign w:val="center"/>
          </w:tcPr>
          <w:p w:rsidR="00C64A61" w:rsidRPr="00A7289C" w:rsidRDefault="00C64A61" w:rsidP="00175270">
            <w:pPr>
              <w:pStyle w:val="ListParagraph"/>
              <w:tabs>
                <w:tab w:val="left" w:pos="720"/>
                <w:tab w:val="left" w:pos="1170"/>
              </w:tabs>
              <w:ind w:left="0"/>
              <w:contextualSpacing w:val="0"/>
              <w:rPr>
                <w:sz w:val="20"/>
                <w:szCs w:val="20"/>
              </w:rPr>
            </w:pPr>
            <w:r>
              <w:rPr>
                <w:sz w:val="20"/>
                <w:szCs w:val="20"/>
              </w:rPr>
              <w:t>MCI</w:t>
            </w:r>
          </w:p>
        </w:tc>
        <w:tc>
          <w:tcPr>
            <w:tcW w:w="5922" w:type="dxa"/>
          </w:tcPr>
          <w:p w:rsidR="00C64A61" w:rsidRPr="00857EF9" w:rsidRDefault="00C64A61" w:rsidP="00175270">
            <w:pPr>
              <w:pStyle w:val="ListParagraph"/>
              <w:tabs>
                <w:tab w:val="left" w:pos="720"/>
                <w:tab w:val="left" w:pos="1170"/>
              </w:tabs>
              <w:ind w:left="0"/>
              <w:contextualSpacing w:val="0"/>
              <w:jc w:val="both"/>
              <w:rPr>
                <w:sz w:val="20"/>
                <w:szCs w:val="20"/>
                <w:lang w:val="fr-FR"/>
              </w:rPr>
            </w:pPr>
            <w:r w:rsidRPr="00857EF9">
              <w:rPr>
                <w:sz w:val="20"/>
                <w:szCs w:val="20"/>
                <w:lang w:val="fr-FR"/>
              </w:rPr>
              <w:t>CDEE (au sein du MCI) : Mise en œuvre des SDE</w:t>
            </w:r>
          </w:p>
        </w:tc>
      </w:tr>
    </w:tbl>
    <w:p w:rsidR="00C64A61" w:rsidRPr="00857EF9" w:rsidRDefault="00C64A61" w:rsidP="00C64A61">
      <w:pPr>
        <w:pStyle w:val="ListParagraph"/>
        <w:spacing w:after="120"/>
        <w:ind w:left="0"/>
        <w:contextualSpacing w:val="0"/>
        <w:jc w:val="both"/>
        <w:rPr>
          <w:lang w:val="fr-FR"/>
        </w:rPr>
      </w:pPr>
    </w:p>
    <w:p w:rsidR="00314E01" w:rsidRPr="00857EF9" w:rsidRDefault="00FB13DF"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t xml:space="preserve">Hormis les responsabilités évoquées plus haut, le rôle et les fonctions fiduciaires de l'UCP puis, ultérieurement, du MCI incluront aussi : (i) l'assistance aux partenaires du projet pour la préparation des procédures de passation de marchés, (ii) le recrutement de consultants pour des missions spécifiques, (iii) le suivi des projets SDE pour contrôler la conformité aux plans de sauvegarde convenus, (iv) la validation des résultats sur le terrain avec les parties prenantes locales, et (v) la signature de contrats pour la fourniture de biens et de services. </w:t>
      </w:r>
    </w:p>
    <w:p w:rsidR="00AD34DA" w:rsidRPr="00857EF9" w:rsidRDefault="00AD34DA"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t xml:space="preserve">Le MCI, pour sa part, sera chargé de préparer les spécifications techniques de toutes les procédures de passation de marché, au départ en coordination avec l'UCP, en s'assurant que ces spécifications permettent d'exécuter les procédures de passation de marché rapidement et avec </w:t>
      </w:r>
      <w:r w:rsidRPr="00857EF9">
        <w:rPr>
          <w:lang w:val="fr-FR"/>
        </w:rPr>
        <w:lastRenderedPageBreak/>
        <w:t xml:space="preserve">efficacité. Le MCI signera l'ensemble des contrats et sera responsable de la supervision des contrats financés au titre du projet.  </w:t>
      </w:r>
    </w:p>
    <w:p w:rsidR="00DB3946" w:rsidRPr="00857EF9" w:rsidRDefault="00DB3946" w:rsidP="00DB3946">
      <w:pPr>
        <w:pStyle w:val="ListParagraph"/>
        <w:spacing w:after="120"/>
        <w:ind w:left="0"/>
        <w:contextualSpacing w:val="0"/>
        <w:jc w:val="both"/>
        <w:rPr>
          <w:lang w:val="fr-F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1229"/>
        <w:gridCol w:w="1327"/>
        <w:gridCol w:w="1283"/>
      </w:tblGrid>
      <w:tr w:rsidR="00F04CA6" w:rsidRPr="00857EF9" w:rsidTr="004E7A7F">
        <w:tc>
          <w:tcPr>
            <w:tcW w:w="9108" w:type="dxa"/>
            <w:gridSpan w:val="4"/>
            <w:tcBorders>
              <w:top w:val="nil"/>
              <w:left w:val="nil"/>
              <w:right w:val="nil"/>
            </w:tcBorders>
            <w:vAlign w:val="bottom"/>
          </w:tcPr>
          <w:p w:rsidR="00F04CA6" w:rsidRPr="0036404C" w:rsidRDefault="007E0508" w:rsidP="004B64B5">
            <w:pPr>
              <w:pStyle w:val="Caption"/>
              <w:keepNext/>
              <w:spacing w:after="0"/>
              <w:rPr>
                <w:color w:val="auto"/>
                <w:sz w:val="24"/>
                <w:szCs w:val="24"/>
                <w:lang w:val="fr-FR"/>
              </w:rPr>
            </w:pPr>
            <w:bookmarkStart w:id="34" w:name="_Toc362269425"/>
            <w:r w:rsidRPr="0036404C">
              <w:rPr>
                <w:color w:val="auto"/>
                <w:sz w:val="24"/>
                <w:szCs w:val="24"/>
              </w:rPr>
              <w:t xml:space="preserve">Tableau </w:t>
            </w:r>
            <w:r w:rsidRPr="0036404C">
              <w:rPr>
                <w:color w:val="auto"/>
                <w:sz w:val="24"/>
                <w:szCs w:val="24"/>
              </w:rPr>
              <w:fldChar w:fldCharType="begin"/>
            </w:r>
            <w:r w:rsidRPr="0036404C">
              <w:rPr>
                <w:color w:val="auto"/>
                <w:sz w:val="24"/>
                <w:szCs w:val="24"/>
              </w:rPr>
              <w:instrText xml:space="preserve"> SEQ Tableau \* ARABIC </w:instrText>
            </w:r>
            <w:r w:rsidRPr="0036404C">
              <w:rPr>
                <w:color w:val="auto"/>
                <w:sz w:val="24"/>
                <w:szCs w:val="24"/>
              </w:rPr>
              <w:fldChar w:fldCharType="separate"/>
            </w:r>
            <w:r w:rsidR="0036404C" w:rsidRPr="0036404C">
              <w:rPr>
                <w:noProof/>
                <w:color w:val="auto"/>
                <w:sz w:val="24"/>
                <w:szCs w:val="24"/>
              </w:rPr>
              <w:t>4</w:t>
            </w:r>
            <w:r w:rsidRPr="0036404C">
              <w:rPr>
                <w:color w:val="auto"/>
                <w:sz w:val="24"/>
                <w:szCs w:val="24"/>
              </w:rPr>
              <w:fldChar w:fldCharType="end"/>
            </w:r>
            <w:r w:rsidRPr="0036404C">
              <w:rPr>
                <w:color w:val="auto"/>
                <w:sz w:val="24"/>
                <w:szCs w:val="24"/>
              </w:rPr>
              <w:t xml:space="preserve"> </w:t>
            </w:r>
            <w:r w:rsidR="00F04CA6" w:rsidRPr="0036404C">
              <w:rPr>
                <w:rStyle w:val="CaptionChar"/>
                <w:color w:val="auto"/>
                <w:sz w:val="24"/>
                <w:szCs w:val="24"/>
                <w:lang w:val="fr-FR"/>
              </w:rPr>
              <w:t>:</w:t>
            </w:r>
            <w:r w:rsidR="00F04CA6" w:rsidRPr="0036404C">
              <w:rPr>
                <w:color w:val="auto"/>
                <w:sz w:val="24"/>
                <w:szCs w:val="24"/>
                <w:lang w:val="fr-FR"/>
              </w:rPr>
              <w:t xml:space="preserve"> Coût et financement du projet</w:t>
            </w:r>
            <w:bookmarkEnd w:id="34"/>
          </w:p>
        </w:tc>
      </w:tr>
      <w:tr w:rsidR="007F29B7" w:rsidRPr="00A7289C" w:rsidTr="004E7A7F">
        <w:tc>
          <w:tcPr>
            <w:tcW w:w="5490" w:type="dxa"/>
            <w:vAlign w:val="bottom"/>
          </w:tcPr>
          <w:p w:rsidR="007F29B7" w:rsidRPr="00A7289C" w:rsidRDefault="007F29B7" w:rsidP="007F29B7">
            <w:pPr>
              <w:jc w:val="center"/>
              <w:rPr>
                <w:b/>
                <w:sz w:val="20"/>
                <w:szCs w:val="20"/>
              </w:rPr>
            </w:pPr>
            <w:proofErr w:type="spellStart"/>
            <w:r>
              <w:rPr>
                <w:b/>
                <w:sz w:val="20"/>
                <w:szCs w:val="20"/>
              </w:rPr>
              <w:t>Composantes</w:t>
            </w:r>
            <w:proofErr w:type="spellEnd"/>
            <w:r>
              <w:rPr>
                <w:b/>
                <w:sz w:val="20"/>
                <w:szCs w:val="20"/>
              </w:rPr>
              <w:t xml:space="preserve"> du </w:t>
            </w:r>
            <w:proofErr w:type="spellStart"/>
            <w:r>
              <w:rPr>
                <w:b/>
                <w:sz w:val="20"/>
                <w:szCs w:val="20"/>
              </w:rPr>
              <w:t>projet</w:t>
            </w:r>
            <w:proofErr w:type="spellEnd"/>
          </w:p>
        </w:tc>
        <w:tc>
          <w:tcPr>
            <w:tcW w:w="1260" w:type="dxa"/>
            <w:vAlign w:val="bottom"/>
          </w:tcPr>
          <w:p w:rsidR="007F29B7" w:rsidRPr="00A7289C" w:rsidRDefault="007F29B7" w:rsidP="007F29B7">
            <w:pPr>
              <w:ind w:left="-18"/>
              <w:jc w:val="center"/>
              <w:rPr>
                <w:b/>
                <w:sz w:val="20"/>
                <w:szCs w:val="20"/>
              </w:rPr>
            </w:pPr>
            <w:proofErr w:type="spellStart"/>
            <w:r>
              <w:rPr>
                <w:b/>
                <w:sz w:val="20"/>
                <w:szCs w:val="20"/>
              </w:rPr>
              <w:t>Coût</w:t>
            </w:r>
            <w:proofErr w:type="spellEnd"/>
            <w:r>
              <w:rPr>
                <w:b/>
                <w:sz w:val="20"/>
                <w:szCs w:val="20"/>
              </w:rPr>
              <w:t xml:space="preserve"> du </w:t>
            </w:r>
            <w:proofErr w:type="spellStart"/>
            <w:r>
              <w:rPr>
                <w:b/>
                <w:sz w:val="20"/>
                <w:szCs w:val="20"/>
              </w:rPr>
              <w:t>projet</w:t>
            </w:r>
            <w:proofErr w:type="spellEnd"/>
          </w:p>
        </w:tc>
        <w:tc>
          <w:tcPr>
            <w:tcW w:w="1170" w:type="dxa"/>
            <w:vAlign w:val="bottom"/>
          </w:tcPr>
          <w:p w:rsidR="007F29B7" w:rsidRPr="00A7289C" w:rsidRDefault="007F29B7" w:rsidP="007F29B7">
            <w:pPr>
              <w:jc w:val="center"/>
              <w:rPr>
                <w:b/>
                <w:sz w:val="20"/>
                <w:szCs w:val="20"/>
              </w:rPr>
            </w:pPr>
            <w:proofErr w:type="spellStart"/>
            <w:r>
              <w:rPr>
                <w:b/>
                <w:sz w:val="20"/>
                <w:szCs w:val="20"/>
              </w:rPr>
              <w:t>Financement</w:t>
            </w:r>
            <w:proofErr w:type="spellEnd"/>
            <w:r>
              <w:rPr>
                <w:b/>
                <w:sz w:val="20"/>
                <w:szCs w:val="20"/>
              </w:rPr>
              <w:t xml:space="preserve"> </w:t>
            </w:r>
            <w:proofErr w:type="spellStart"/>
            <w:r>
              <w:rPr>
                <w:b/>
                <w:sz w:val="20"/>
                <w:szCs w:val="20"/>
              </w:rPr>
              <w:t>par</w:t>
            </w:r>
            <w:proofErr w:type="spellEnd"/>
            <w:r>
              <w:rPr>
                <w:b/>
                <w:sz w:val="20"/>
                <w:szCs w:val="20"/>
              </w:rPr>
              <w:t xml:space="preserve"> </w:t>
            </w:r>
            <w:proofErr w:type="spellStart"/>
            <w:r>
              <w:rPr>
                <w:b/>
                <w:sz w:val="20"/>
                <w:szCs w:val="20"/>
              </w:rPr>
              <w:t>l'IDA</w:t>
            </w:r>
            <w:proofErr w:type="spellEnd"/>
          </w:p>
        </w:tc>
        <w:tc>
          <w:tcPr>
            <w:tcW w:w="1188" w:type="dxa"/>
            <w:vAlign w:val="bottom"/>
          </w:tcPr>
          <w:p w:rsidR="007F29B7" w:rsidRPr="00A7289C" w:rsidRDefault="007F29B7" w:rsidP="007F29B7">
            <w:pPr>
              <w:jc w:val="center"/>
              <w:rPr>
                <w:b/>
                <w:sz w:val="20"/>
                <w:szCs w:val="20"/>
              </w:rPr>
            </w:pPr>
            <w:proofErr w:type="spellStart"/>
            <w:r>
              <w:rPr>
                <w:b/>
                <w:sz w:val="20"/>
                <w:szCs w:val="20"/>
              </w:rPr>
              <w:t>Pourcentage</w:t>
            </w:r>
            <w:proofErr w:type="spellEnd"/>
            <w:r>
              <w:rPr>
                <w:b/>
                <w:sz w:val="20"/>
                <w:szCs w:val="20"/>
              </w:rPr>
              <w:t xml:space="preserve"> de </w:t>
            </w:r>
            <w:proofErr w:type="spellStart"/>
            <w:r>
              <w:rPr>
                <w:b/>
                <w:sz w:val="20"/>
                <w:szCs w:val="20"/>
              </w:rPr>
              <w:t>financement</w:t>
            </w:r>
            <w:proofErr w:type="spellEnd"/>
          </w:p>
        </w:tc>
      </w:tr>
      <w:tr w:rsidR="00FB44D9" w:rsidRPr="00A7289C" w:rsidTr="004E7A7F">
        <w:tc>
          <w:tcPr>
            <w:tcW w:w="5490" w:type="dxa"/>
            <w:tcBorders>
              <w:bottom w:val="single" w:sz="4" w:space="0" w:color="auto"/>
            </w:tcBorders>
            <w:vAlign w:val="bottom"/>
          </w:tcPr>
          <w:p w:rsidR="00FB44D9" w:rsidRPr="00857EF9" w:rsidRDefault="00FB44D9" w:rsidP="000938D5">
            <w:pPr>
              <w:pStyle w:val="ListParagraph"/>
              <w:numPr>
                <w:ilvl w:val="2"/>
                <w:numId w:val="14"/>
              </w:numPr>
              <w:rPr>
                <w:b/>
                <w:sz w:val="20"/>
                <w:szCs w:val="20"/>
                <w:lang w:val="fr-FR"/>
              </w:rPr>
            </w:pPr>
            <w:r w:rsidRPr="00857EF9">
              <w:rPr>
                <w:b/>
                <w:sz w:val="20"/>
                <w:szCs w:val="20"/>
                <w:lang w:val="fr-FR"/>
              </w:rPr>
              <w:t xml:space="preserve">Climat des affaires et promotion de l'investissement </w:t>
            </w:r>
          </w:p>
        </w:tc>
        <w:tc>
          <w:tcPr>
            <w:tcW w:w="1260" w:type="dxa"/>
            <w:tcBorders>
              <w:bottom w:val="single" w:sz="4" w:space="0" w:color="auto"/>
            </w:tcBorders>
            <w:shd w:val="clear" w:color="auto" w:fill="auto"/>
            <w:vAlign w:val="bottom"/>
          </w:tcPr>
          <w:p w:rsidR="00FB44D9" w:rsidRPr="00A7289C" w:rsidRDefault="009907F2" w:rsidP="006B50C2">
            <w:pPr>
              <w:spacing w:before="100" w:beforeAutospacing="1" w:after="100" w:afterAutospacing="1"/>
              <w:jc w:val="center"/>
              <w:rPr>
                <w:b/>
                <w:sz w:val="20"/>
                <w:szCs w:val="20"/>
              </w:rPr>
            </w:pPr>
            <w:r>
              <w:rPr>
                <w:b/>
                <w:sz w:val="20"/>
                <w:szCs w:val="20"/>
              </w:rPr>
              <w:t>10</w:t>
            </w:r>
            <w:r w:rsidR="001938FD">
              <w:rPr>
                <w:b/>
                <w:sz w:val="20"/>
                <w:szCs w:val="20"/>
              </w:rPr>
              <w:t>,</w:t>
            </w:r>
            <w:r>
              <w:rPr>
                <w:b/>
                <w:sz w:val="20"/>
                <w:szCs w:val="20"/>
              </w:rPr>
              <w:t>0</w:t>
            </w:r>
          </w:p>
        </w:tc>
        <w:tc>
          <w:tcPr>
            <w:tcW w:w="1170" w:type="dxa"/>
            <w:tcBorders>
              <w:bottom w:val="single" w:sz="4" w:space="0" w:color="auto"/>
            </w:tcBorders>
            <w:shd w:val="clear" w:color="auto" w:fill="auto"/>
            <w:vAlign w:val="bottom"/>
          </w:tcPr>
          <w:p w:rsidR="00FB44D9" w:rsidRPr="00A7289C" w:rsidRDefault="009907F2" w:rsidP="006B50C2">
            <w:pPr>
              <w:spacing w:before="100" w:beforeAutospacing="1" w:after="100" w:afterAutospacing="1"/>
              <w:jc w:val="center"/>
              <w:rPr>
                <w:b/>
                <w:sz w:val="20"/>
                <w:szCs w:val="20"/>
              </w:rPr>
            </w:pPr>
            <w:r>
              <w:rPr>
                <w:b/>
                <w:sz w:val="20"/>
                <w:szCs w:val="20"/>
              </w:rPr>
              <w:t>10</w:t>
            </w:r>
            <w:r w:rsidR="001938FD">
              <w:rPr>
                <w:b/>
                <w:sz w:val="20"/>
                <w:szCs w:val="20"/>
              </w:rPr>
              <w:t>,</w:t>
            </w:r>
            <w:r>
              <w:rPr>
                <w:b/>
                <w:sz w:val="20"/>
                <w:szCs w:val="20"/>
              </w:rPr>
              <w:t>0</w:t>
            </w:r>
          </w:p>
        </w:tc>
        <w:tc>
          <w:tcPr>
            <w:tcW w:w="1188" w:type="dxa"/>
            <w:tcBorders>
              <w:bottom w:val="single" w:sz="4" w:space="0" w:color="auto"/>
            </w:tcBorders>
            <w:vAlign w:val="bottom"/>
          </w:tcPr>
          <w:p w:rsidR="00FB44D9" w:rsidRPr="00A7289C" w:rsidRDefault="00FB44D9" w:rsidP="006B50C2">
            <w:pPr>
              <w:spacing w:before="100" w:beforeAutospacing="1" w:after="100" w:afterAutospacing="1"/>
              <w:jc w:val="center"/>
              <w:rPr>
                <w:b/>
                <w:sz w:val="20"/>
                <w:szCs w:val="20"/>
              </w:rPr>
            </w:pPr>
            <w:r>
              <w:rPr>
                <w:b/>
                <w:sz w:val="20"/>
                <w:szCs w:val="20"/>
              </w:rPr>
              <w:t>100</w:t>
            </w:r>
          </w:p>
        </w:tc>
      </w:tr>
      <w:tr w:rsidR="00FB44D9" w:rsidRPr="00A7289C" w:rsidTr="004E7A7F">
        <w:tc>
          <w:tcPr>
            <w:tcW w:w="5490" w:type="dxa"/>
            <w:tcBorders>
              <w:top w:val="single" w:sz="4" w:space="0" w:color="auto"/>
              <w:left w:val="single" w:sz="4" w:space="0" w:color="auto"/>
              <w:bottom w:val="nil"/>
              <w:right w:val="single" w:sz="4" w:space="0" w:color="auto"/>
            </w:tcBorders>
          </w:tcPr>
          <w:p w:rsidR="00FB44D9" w:rsidRPr="00BC7304" w:rsidRDefault="00FB44D9" w:rsidP="00004799">
            <w:pPr>
              <w:rPr>
                <w:rFonts w:eastAsiaTheme="minorEastAsia"/>
                <w:sz w:val="20"/>
                <w:szCs w:val="20"/>
                <w:lang w:val="fr-FR" w:eastAsia="en-GB"/>
              </w:rPr>
            </w:pPr>
            <w:r w:rsidRPr="00857EF9">
              <w:rPr>
                <w:sz w:val="20"/>
                <w:szCs w:val="20"/>
                <w:lang w:val="fr-FR"/>
              </w:rPr>
              <w:t xml:space="preserve">     1.1 Réforme du climat des affaires</w:t>
            </w:r>
          </w:p>
        </w:tc>
        <w:tc>
          <w:tcPr>
            <w:tcW w:w="1260" w:type="dxa"/>
            <w:tcBorders>
              <w:top w:val="single" w:sz="4" w:space="0" w:color="auto"/>
              <w:left w:val="single" w:sz="4" w:space="0" w:color="auto"/>
              <w:bottom w:val="nil"/>
              <w:right w:val="single" w:sz="4" w:space="0" w:color="auto"/>
            </w:tcBorders>
            <w:shd w:val="clear" w:color="auto" w:fill="auto"/>
          </w:tcPr>
          <w:p w:rsidR="00FB44D9" w:rsidRPr="00A7289C" w:rsidRDefault="00FB44D9" w:rsidP="006B50C2">
            <w:pPr>
              <w:spacing w:before="100" w:beforeAutospacing="1" w:after="100" w:afterAutospacing="1"/>
              <w:ind w:left="522" w:hanging="630"/>
              <w:jc w:val="center"/>
              <w:rPr>
                <w:sz w:val="20"/>
                <w:szCs w:val="20"/>
              </w:rPr>
            </w:pPr>
            <w:r>
              <w:rPr>
                <w:sz w:val="20"/>
                <w:szCs w:val="20"/>
              </w:rPr>
              <w:t>2</w:t>
            </w:r>
            <w:r w:rsidR="001938FD">
              <w:rPr>
                <w:sz w:val="20"/>
                <w:szCs w:val="20"/>
              </w:rPr>
              <w:t>,</w:t>
            </w:r>
            <w:r>
              <w:rPr>
                <w:sz w:val="20"/>
                <w:szCs w:val="20"/>
              </w:rPr>
              <w:t>0</w:t>
            </w:r>
          </w:p>
        </w:tc>
        <w:tc>
          <w:tcPr>
            <w:tcW w:w="1170" w:type="dxa"/>
            <w:tcBorders>
              <w:top w:val="single" w:sz="4" w:space="0" w:color="auto"/>
              <w:left w:val="single" w:sz="4" w:space="0" w:color="auto"/>
              <w:bottom w:val="nil"/>
              <w:right w:val="single" w:sz="4" w:space="0" w:color="auto"/>
            </w:tcBorders>
            <w:shd w:val="clear" w:color="auto" w:fill="auto"/>
          </w:tcPr>
          <w:p w:rsidR="00FB44D9" w:rsidRPr="00A7289C" w:rsidRDefault="00FB44D9" w:rsidP="006B50C2">
            <w:pPr>
              <w:spacing w:before="100" w:beforeAutospacing="1" w:after="100" w:afterAutospacing="1"/>
              <w:ind w:left="522" w:hanging="630"/>
              <w:jc w:val="center"/>
              <w:rPr>
                <w:sz w:val="20"/>
                <w:szCs w:val="20"/>
              </w:rPr>
            </w:pPr>
            <w:r>
              <w:rPr>
                <w:sz w:val="20"/>
                <w:szCs w:val="20"/>
              </w:rPr>
              <w:t>2</w:t>
            </w:r>
            <w:r w:rsidR="001938FD">
              <w:rPr>
                <w:sz w:val="20"/>
                <w:szCs w:val="20"/>
              </w:rPr>
              <w:t>,</w:t>
            </w:r>
            <w:r>
              <w:rPr>
                <w:sz w:val="20"/>
                <w:szCs w:val="20"/>
              </w:rPr>
              <w:t>0</w:t>
            </w:r>
          </w:p>
        </w:tc>
        <w:tc>
          <w:tcPr>
            <w:tcW w:w="1188" w:type="dxa"/>
            <w:tcBorders>
              <w:top w:val="single" w:sz="4" w:space="0" w:color="auto"/>
              <w:left w:val="single" w:sz="4" w:space="0" w:color="auto"/>
              <w:bottom w:val="nil"/>
              <w:right w:val="single" w:sz="4" w:space="0" w:color="auto"/>
            </w:tcBorders>
          </w:tcPr>
          <w:p w:rsidR="00FB44D9" w:rsidRPr="00A7289C" w:rsidRDefault="00FB44D9" w:rsidP="006B50C2">
            <w:pPr>
              <w:jc w:val="center"/>
              <w:rPr>
                <w:b/>
                <w:sz w:val="20"/>
                <w:szCs w:val="20"/>
              </w:rPr>
            </w:pPr>
          </w:p>
        </w:tc>
      </w:tr>
      <w:tr w:rsidR="00FB44D9" w:rsidRPr="00A7289C" w:rsidTr="004E7A7F">
        <w:tc>
          <w:tcPr>
            <w:tcW w:w="5490" w:type="dxa"/>
            <w:tcBorders>
              <w:top w:val="nil"/>
              <w:left w:val="single" w:sz="4" w:space="0" w:color="auto"/>
              <w:bottom w:val="nil"/>
              <w:right w:val="single" w:sz="4" w:space="0" w:color="auto"/>
            </w:tcBorders>
          </w:tcPr>
          <w:p w:rsidR="00FB44D9" w:rsidRPr="00857EF9" w:rsidRDefault="00FB44D9" w:rsidP="006B50C2">
            <w:pPr>
              <w:rPr>
                <w:sz w:val="20"/>
                <w:szCs w:val="20"/>
                <w:lang w:val="fr-FR"/>
              </w:rPr>
            </w:pPr>
            <w:r w:rsidRPr="00857EF9">
              <w:rPr>
                <w:sz w:val="20"/>
                <w:szCs w:val="20"/>
                <w:lang w:val="fr-FR"/>
              </w:rPr>
              <w:t xml:space="preserve">     1.2 Promotion de l'investissement, incluant le cadre réglementaire et institutionnel des ZEI, les études de faisabilité, un mécanisme de promotion de l'investissement et un guichet unique</w:t>
            </w:r>
          </w:p>
        </w:tc>
        <w:tc>
          <w:tcPr>
            <w:tcW w:w="1260" w:type="dxa"/>
            <w:tcBorders>
              <w:top w:val="nil"/>
              <w:left w:val="single" w:sz="4" w:space="0" w:color="auto"/>
              <w:bottom w:val="nil"/>
              <w:right w:val="single" w:sz="4" w:space="0" w:color="auto"/>
            </w:tcBorders>
            <w:shd w:val="clear" w:color="auto" w:fill="auto"/>
          </w:tcPr>
          <w:p w:rsidR="00FB44D9" w:rsidRPr="00A7289C" w:rsidRDefault="00FB44D9" w:rsidP="006B50C2">
            <w:pPr>
              <w:spacing w:before="100" w:beforeAutospacing="1" w:after="100" w:afterAutospacing="1"/>
              <w:ind w:left="522" w:hanging="630"/>
              <w:jc w:val="center"/>
              <w:rPr>
                <w:sz w:val="20"/>
                <w:szCs w:val="20"/>
              </w:rPr>
            </w:pPr>
            <w:r>
              <w:rPr>
                <w:sz w:val="20"/>
                <w:szCs w:val="20"/>
              </w:rPr>
              <w:t>8</w:t>
            </w:r>
            <w:r w:rsidR="001938FD">
              <w:rPr>
                <w:sz w:val="20"/>
                <w:szCs w:val="20"/>
              </w:rPr>
              <w:t>,</w:t>
            </w:r>
            <w:r>
              <w:rPr>
                <w:sz w:val="20"/>
                <w:szCs w:val="20"/>
              </w:rPr>
              <w:t>0</w:t>
            </w:r>
          </w:p>
          <w:p w:rsidR="00FB44D9" w:rsidRPr="00A7289C" w:rsidRDefault="00FB44D9" w:rsidP="006B50C2">
            <w:pPr>
              <w:jc w:val="center"/>
              <w:rPr>
                <w:sz w:val="20"/>
                <w:szCs w:val="20"/>
              </w:rPr>
            </w:pPr>
          </w:p>
        </w:tc>
        <w:tc>
          <w:tcPr>
            <w:tcW w:w="1170" w:type="dxa"/>
            <w:tcBorders>
              <w:top w:val="nil"/>
              <w:left w:val="single" w:sz="4" w:space="0" w:color="auto"/>
              <w:bottom w:val="nil"/>
              <w:right w:val="single" w:sz="4" w:space="0" w:color="auto"/>
            </w:tcBorders>
            <w:shd w:val="clear" w:color="auto" w:fill="auto"/>
          </w:tcPr>
          <w:p w:rsidR="00FB44D9" w:rsidRPr="00A7289C" w:rsidRDefault="00FB44D9" w:rsidP="006B50C2">
            <w:pPr>
              <w:spacing w:before="100" w:beforeAutospacing="1" w:after="100" w:afterAutospacing="1"/>
              <w:ind w:left="522" w:hanging="630"/>
              <w:jc w:val="center"/>
              <w:rPr>
                <w:sz w:val="20"/>
                <w:szCs w:val="20"/>
              </w:rPr>
            </w:pPr>
            <w:r>
              <w:rPr>
                <w:sz w:val="20"/>
                <w:szCs w:val="20"/>
              </w:rPr>
              <w:t>8</w:t>
            </w:r>
            <w:r w:rsidR="001938FD">
              <w:rPr>
                <w:sz w:val="20"/>
                <w:szCs w:val="20"/>
              </w:rPr>
              <w:t>,</w:t>
            </w:r>
            <w:r>
              <w:rPr>
                <w:sz w:val="20"/>
                <w:szCs w:val="20"/>
              </w:rPr>
              <w:t>0</w:t>
            </w:r>
          </w:p>
          <w:p w:rsidR="00FB44D9" w:rsidRPr="00A7289C" w:rsidRDefault="00FB44D9" w:rsidP="006B50C2">
            <w:pPr>
              <w:jc w:val="center"/>
              <w:rPr>
                <w:sz w:val="20"/>
                <w:szCs w:val="20"/>
              </w:rPr>
            </w:pPr>
          </w:p>
        </w:tc>
        <w:tc>
          <w:tcPr>
            <w:tcW w:w="1188" w:type="dxa"/>
            <w:tcBorders>
              <w:top w:val="nil"/>
              <w:left w:val="single" w:sz="4" w:space="0" w:color="auto"/>
              <w:bottom w:val="nil"/>
              <w:right w:val="single" w:sz="4" w:space="0" w:color="auto"/>
            </w:tcBorders>
          </w:tcPr>
          <w:p w:rsidR="00FB44D9" w:rsidRPr="00A7289C" w:rsidRDefault="00FB44D9" w:rsidP="006B50C2">
            <w:pPr>
              <w:jc w:val="center"/>
              <w:rPr>
                <w:b/>
                <w:sz w:val="20"/>
                <w:szCs w:val="20"/>
              </w:rPr>
            </w:pPr>
          </w:p>
        </w:tc>
      </w:tr>
      <w:tr w:rsidR="00FB44D9" w:rsidRPr="00A7289C" w:rsidTr="004E7A7F">
        <w:tc>
          <w:tcPr>
            <w:tcW w:w="5490" w:type="dxa"/>
            <w:tcBorders>
              <w:bottom w:val="single" w:sz="4" w:space="0" w:color="auto"/>
            </w:tcBorders>
            <w:vAlign w:val="bottom"/>
          </w:tcPr>
          <w:p w:rsidR="00FB44D9" w:rsidRPr="00857EF9" w:rsidRDefault="00FB44D9" w:rsidP="007F29B7">
            <w:pPr>
              <w:pStyle w:val="ListParagraph"/>
              <w:numPr>
                <w:ilvl w:val="2"/>
                <w:numId w:val="14"/>
              </w:numPr>
              <w:rPr>
                <w:b/>
                <w:sz w:val="20"/>
                <w:szCs w:val="20"/>
                <w:lang w:val="fr-FR"/>
              </w:rPr>
            </w:pPr>
            <w:r w:rsidRPr="00857EF9">
              <w:rPr>
                <w:b/>
                <w:sz w:val="20"/>
                <w:szCs w:val="20"/>
                <w:lang w:val="fr-FR"/>
              </w:rPr>
              <w:t xml:space="preserve">Services de développement des entreprises </w:t>
            </w:r>
          </w:p>
        </w:tc>
        <w:tc>
          <w:tcPr>
            <w:tcW w:w="1260" w:type="dxa"/>
            <w:tcBorders>
              <w:bottom w:val="single" w:sz="4" w:space="0" w:color="auto"/>
            </w:tcBorders>
            <w:shd w:val="clear" w:color="auto" w:fill="auto"/>
            <w:vAlign w:val="bottom"/>
          </w:tcPr>
          <w:p w:rsidR="00FB44D9" w:rsidRPr="00A7289C" w:rsidRDefault="00FB44D9" w:rsidP="006B50C2">
            <w:pPr>
              <w:spacing w:before="100" w:beforeAutospacing="1" w:after="100" w:afterAutospacing="1"/>
              <w:jc w:val="center"/>
              <w:rPr>
                <w:b/>
                <w:sz w:val="20"/>
                <w:szCs w:val="20"/>
              </w:rPr>
            </w:pPr>
            <w:r>
              <w:rPr>
                <w:b/>
                <w:sz w:val="20"/>
                <w:szCs w:val="20"/>
              </w:rPr>
              <w:t>7</w:t>
            </w:r>
            <w:r w:rsidR="001938FD">
              <w:rPr>
                <w:b/>
                <w:sz w:val="20"/>
                <w:szCs w:val="20"/>
              </w:rPr>
              <w:t>,</w:t>
            </w:r>
            <w:r>
              <w:rPr>
                <w:b/>
                <w:sz w:val="20"/>
                <w:szCs w:val="20"/>
              </w:rPr>
              <w:t>0</w:t>
            </w:r>
          </w:p>
        </w:tc>
        <w:tc>
          <w:tcPr>
            <w:tcW w:w="1170" w:type="dxa"/>
            <w:tcBorders>
              <w:bottom w:val="single" w:sz="4" w:space="0" w:color="auto"/>
            </w:tcBorders>
            <w:shd w:val="clear" w:color="auto" w:fill="auto"/>
            <w:vAlign w:val="bottom"/>
          </w:tcPr>
          <w:p w:rsidR="00FB44D9" w:rsidRPr="00A7289C" w:rsidRDefault="00FB44D9" w:rsidP="006B50C2">
            <w:pPr>
              <w:spacing w:before="100" w:beforeAutospacing="1" w:after="100" w:afterAutospacing="1"/>
              <w:jc w:val="center"/>
              <w:rPr>
                <w:b/>
                <w:sz w:val="20"/>
                <w:szCs w:val="20"/>
              </w:rPr>
            </w:pPr>
            <w:r>
              <w:rPr>
                <w:b/>
                <w:sz w:val="20"/>
                <w:szCs w:val="20"/>
              </w:rPr>
              <w:t>7</w:t>
            </w:r>
            <w:r w:rsidR="001938FD">
              <w:rPr>
                <w:b/>
                <w:sz w:val="20"/>
                <w:szCs w:val="20"/>
              </w:rPr>
              <w:t>,</w:t>
            </w:r>
            <w:r>
              <w:rPr>
                <w:b/>
                <w:sz w:val="20"/>
                <w:szCs w:val="20"/>
              </w:rPr>
              <w:t>0</w:t>
            </w:r>
          </w:p>
        </w:tc>
        <w:tc>
          <w:tcPr>
            <w:tcW w:w="1188" w:type="dxa"/>
            <w:tcBorders>
              <w:bottom w:val="single" w:sz="4" w:space="0" w:color="auto"/>
            </w:tcBorders>
            <w:vAlign w:val="bottom"/>
          </w:tcPr>
          <w:p w:rsidR="00FB44D9" w:rsidRPr="00A7289C" w:rsidRDefault="00FB44D9" w:rsidP="006B50C2">
            <w:pPr>
              <w:spacing w:before="100" w:beforeAutospacing="1" w:after="100" w:afterAutospacing="1"/>
              <w:jc w:val="center"/>
              <w:rPr>
                <w:b/>
                <w:sz w:val="20"/>
                <w:szCs w:val="20"/>
              </w:rPr>
            </w:pPr>
          </w:p>
        </w:tc>
      </w:tr>
      <w:tr w:rsidR="00FB44D9" w:rsidRPr="00A7289C" w:rsidTr="004E7A7F">
        <w:tc>
          <w:tcPr>
            <w:tcW w:w="5490" w:type="dxa"/>
            <w:tcBorders>
              <w:bottom w:val="single" w:sz="4" w:space="0" w:color="auto"/>
            </w:tcBorders>
            <w:vAlign w:val="bottom"/>
          </w:tcPr>
          <w:p w:rsidR="00FB44D9" w:rsidRPr="00857EF9" w:rsidRDefault="009907F2" w:rsidP="003F07EA">
            <w:pPr>
              <w:pStyle w:val="ListParagraph"/>
              <w:numPr>
                <w:ilvl w:val="2"/>
                <w:numId w:val="14"/>
              </w:numPr>
              <w:rPr>
                <w:b/>
                <w:sz w:val="20"/>
                <w:szCs w:val="20"/>
                <w:lang w:val="fr-FR"/>
              </w:rPr>
            </w:pPr>
            <w:r w:rsidRPr="00857EF9">
              <w:rPr>
                <w:b/>
                <w:sz w:val="20"/>
                <w:szCs w:val="20"/>
                <w:lang w:val="fr-FR"/>
              </w:rPr>
              <w:t xml:space="preserve">Mise en œuvre, évaluation et suivi du projet </w:t>
            </w:r>
          </w:p>
        </w:tc>
        <w:tc>
          <w:tcPr>
            <w:tcW w:w="1260" w:type="dxa"/>
            <w:tcBorders>
              <w:bottom w:val="single" w:sz="4" w:space="0" w:color="auto"/>
            </w:tcBorders>
            <w:vAlign w:val="center"/>
          </w:tcPr>
          <w:p w:rsidR="00FB44D9" w:rsidRPr="00A7289C" w:rsidRDefault="00FB44D9" w:rsidP="006B50C2">
            <w:pPr>
              <w:spacing w:before="100" w:beforeAutospacing="1" w:after="100" w:afterAutospacing="1"/>
              <w:jc w:val="center"/>
              <w:rPr>
                <w:b/>
                <w:sz w:val="20"/>
                <w:szCs w:val="20"/>
              </w:rPr>
            </w:pPr>
            <w:r>
              <w:rPr>
                <w:b/>
                <w:sz w:val="20"/>
                <w:szCs w:val="20"/>
              </w:rPr>
              <w:t>2</w:t>
            </w:r>
            <w:r w:rsidR="001938FD">
              <w:rPr>
                <w:b/>
                <w:sz w:val="20"/>
                <w:szCs w:val="20"/>
              </w:rPr>
              <w:t>,</w:t>
            </w:r>
            <w:r>
              <w:rPr>
                <w:b/>
                <w:sz w:val="20"/>
                <w:szCs w:val="20"/>
              </w:rPr>
              <w:t>5</w:t>
            </w:r>
          </w:p>
        </w:tc>
        <w:tc>
          <w:tcPr>
            <w:tcW w:w="1170" w:type="dxa"/>
            <w:tcBorders>
              <w:bottom w:val="single" w:sz="4" w:space="0" w:color="auto"/>
            </w:tcBorders>
            <w:vAlign w:val="center"/>
          </w:tcPr>
          <w:p w:rsidR="00FB44D9" w:rsidRPr="00A7289C" w:rsidRDefault="00FB44D9" w:rsidP="006B50C2">
            <w:pPr>
              <w:spacing w:before="100" w:beforeAutospacing="1" w:after="100" w:afterAutospacing="1"/>
              <w:jc w:val="center"/>
              <w:rPr>
                <w:b/>
                <w:sz w:val="20"/>
                <w:szCs w:val="20"/>
              </w:rPr>
            </w:pPr>
            <w:r>
              <w:rPr>
                <w:b/>
                <w:sz w:val="20"/>
                <w:szCs w:val="20"/>
              </w:rPr>
              <w:t>2</w:t>
            </w:r>
            <w:r w:rsidR="001938FD">
              <w:rPr>
                <w:b/>
                <w:sz w:val="20"/>
                <w:szCs w:val="20"/>
              </w:rPr>
              <w:t>,</w:t>
            </w:r>
            <w:r>
              <w:rPr>
                <w:b/>
                <w:sz w:val="20"/>
                <w:szCs w:val="20"/>
              </w:rPr>
              <w:t>5</w:t>
            </w:r>
          </w:p>
        </w:tc>
        <w:tc>
          <w:tcPr>
            <w:tcW w:w="1188" w:type="dxa"/>
            <w:tcBorders>
              <w:bottom w:val="single" w:sz="4" w:space="0" w:color="auto"/>
            </w:tcBorders>
            <w:vAlign w:val="bottom"/>
          </w:tcPr>
          <w:p w:rsidR="00FB44D9" w:rsidRPr="00A7289C" w:rsidRDefault="00FB44D9" w:rsidP="006B50C2">
            <w:pPr>
              <w:spacing w:before="100" w:beforeAutospacing="1" w:after="100" w:afterAutospacing="1"/>
              <w:jc w:val="center"/>
              <w:rPr>
                <w:b/>
                <w:sz w:val="20"/>
                <w:szCs w:val="20"/>
              </w:rPr>
            </w:pPr>
            <w:r>
              <w:rPr>
                <w:b/>
                <w:sz w:val="20"/>
                <w:szCs w:val="20"/>
              </w:rPr>
              <w:t>100</w:t>
            </w:r>
          </w:p>
        </w:tc>
      </w:tr>
      <w:tr w:rsidR="00FB44D9" w:rsidRPr="00A7289C" w:rsidTr="004E7A7F">
        <w:tc>
          <w:tcPr>
            <w:tcW w:w="5490" w:type="dxa"/>
            <w:tcBorders>
              <w:bottom w:val="nil"/>
            </w:tcBorders>
            <w:vAlign w:val="bottom"/>
          </w:tcPr>
          <w:p w:rsidR="00FB44D9" w:rsidRPr="00A7289C" w:rsidRDefault="00FB44D9" w:rsidP="007750E0">
            <w:pPr>
              <w:ind w:left="252"/>
              <w:rPr>
                <w:sz w:val="20"/>
                <w:szCs w:val="20"/>
              </w:rPr>
            </w:pPr>
            <w:r>
              <w:rPr>
                <w:sz w:val="20"/>
                <w:szCs w:val="20"/>
              </w:rPr>
              <w:t xml:space="preserve"> 3.1 </w:t>
            </w:r>
            <w:proofErr w:type="spellStart"/>
            <w:r>
              <w:rPr>
                <w:sz w:val="20"/>
                <w:szCs w:val="20"/>
              </w:rPr>
              <w:t>Gestion</w:t>
            </w:r>
            <w:proofErr w:type="spellEnd"/>
            <w:r>
              <w:rPr>
                <w:sz w:val="20"/>
                <w:szCs w:val="20"/>
              </w:rPr>
              <w:t xml:space="preserve"> du </w:t>
            </w:r>
            <w:proofErr w:type="spellStart"/>
            <w:r>
              <w:rPr>
                <w:sz w:val="20"/>
                <w:szCs w:val="20"/>
              </w:rPr>
              <w:t>projet</w:t>
            </w:r>
            <w:proofErr w:type="spellEnd"/>
          </w:p>
        </w:tc>
        <w:tc>
          <w:tcPr>
            <w:tcW w:w="1260" w:type="dxa"/>
            <w:tcBorders>
              <w:bottom w:val="nil"/>
            </w:tcBorders>
            <w:vAlign w:val="bottom"/>
          </w:tcPr>
          <w:p w:rsidR="00FB44D9" w:rsidRPr="00A7289C" w:rsidRDefault="00FB44D9" w:rsidP="006B50C2">
            <w:pPr>
              <w:spacing w:before="100" w:beforeAutospacing="1" w:after="100" w:afterAutospacing="1"/>
              <w:ind w:left="522" w:hanging="630"/>
              <w:jc w:val="center"/>
              <w:rPr>
                <w:sz w:val="20"/>
                <w:szCs w:val="20"/>
              </w:rPr>
            </w:pPr>
            <w:r>
              <w:rPr>
                <w:sz w:val="20"/>
                <w:szCs w:val="20"/>
              </w:rPr>
              <w:t>2</w:t>
            </w:r>
            <w:r w:rsidR="001938FD">
              <w:rPr>
                <w:sz w:val="20"/>
                <w:szCs w:val="20"/>
              </w:rPr>
              <w:t>,</w:t>
            </w:r>
            <w:r>
              <w:rPr>
                <w:sz w:val="20"/>
                <w:szCs w:val="20"/>
              </w:rPr>
              <w:t>0</w:t>
            </w:r>
          </w:p>
        </w:tc>
        <w:tc>
          <w:tcPr>
            <w:tcW w:w="1170" w:type="dxa"/>
            <w:tcBorders>
              <w:bottom w:val="nil"/>
            </w:tcBorders>
            <w:vAlign w:val="bottom"/>
          </w:tcPr>
          <w:p w:rsidR="00FB44D9" w:rsidRPr="00A7289C" w:rsidRDefault="00FB44D9" w:rsidP="006B50C2">
            <w:pPr>
              <w:spacing w:before="100" w:beforeAutospacing="1" w:after="100" w:afterAutospacing="1"/>
              <w:ind w:left="522" w:hanging="630"/>
              <w:jc w:val="center"/>
              <w:rPr>
                <w:sz w:val="20"/>
                <w:szCs w:val="20"/>
              </w:rPr>
            </w:pPr>
            <w:r>
              <w:rPr>
                <w:sz w:val="20"/>
                <w:szCs w:val="20"/>
              </w:rPr>
              <w:t>2</w:t>
            </w:r>
            <w:r w:rsidR="001938FD">
              <w:rPr>
                <w:sz w:val="20"/>
                <w:szCs w:val="20"/>
              </w:rPr>
              <w:t>,</w:t>
            </w:r>
            <w:r>
              <w:rPr>
                <w:sz w:val="20"/>
                <w:szCs w:val="20"/>
              </w:rPr>
              <w:t>0</w:t>
            </w:r>
          </w:p>
        </w:tc>
        <w:tc>
          <w:tcPr>
            <w:tcW w:w="1188" w:type="dxa"/>
            <w:tcBorders>
              <w:bottom w:val="nil"/>
            </w:tcBorders>
            <w:vAlign w:val="bottom"/>
          </w:tcPr>
          <w:p w:rsidR="00FB44D9" w:rsidRPr="00A7289C" w:rsidRDefault="00FB44D9" w:rsidP="006B50C2">
            <w:pPr>
              <w:jc w:val="center"/>
              <w:rPr>
                <w:b/>
                <w:sz w:val="20"/>
                <w:szCs w:val="20"/>
              </w:rPr>
            </w:pPr>
          </w:p>
        </w:tc>
      </w:tr>
      <w:tr w:rsidR="00FB44D9" w:rsidRPr="00A7289C" w:rsidTr="004E7A7F">
        <w:tc>
          <w:tcPr>
            <w:tcW w:w="5490" w:type="dxa"/>
            <w:tcBorders>
              <w:top w:val="nil"/>
            </w:tcBorders>
            <w:vAlign w:val="bottom"/>
          </w:tcPr>
          <w:p w:rsidR="00FB44D9" w:rsidRPr="00A7289C" w:rsidRDefault="00FB44D9" w:rsidP="007F29B7">
            <w:pPr>
              <w:ind w:left="252"/>
              <w:rPr>
                <w:sz w:val="20"/>
                <w:szCs w:val="20"/>
              </w:rPr>
            </w:pPr>
            <w:r>
              <w:rPr>
                <w:sz w:val="20"/>
                <w:szCs w:val="20"/>
              </w:rPr>
              <w:t xml:space="preserve"> 3.2 </w:t>
            </w:r>
            <w:proofErr w:type="spellStart"/>
            <w:r>
              <w:rPr>
                <w:sz w:val="20"/>
                <w:szCs w:val="20"/>
              </w:rPr>
              <w:t>Suivi</w:t>
            </w:r>
            <w:proofErr w:type="spellEnd"/>
            <w:r>
              <w:rPr>
                <w:sz w:val="20"/>
                <w:szCs w:val="20"/>
              </w:rPr>
              <w:t xml:space="preserve"> et </w:t>
            </w:r>
            <w:proofErr w:type="spellStart"/>
            <w:r>
              <w:rPr>
                <w:sz w:val="20"/>
                <w:szCs w:val="20"/>
              </w:rPr>
              <w:t>évaluation</w:t>
            </w:r>
            <w:proofErr w:type="spellEnd"/>
          </w:p>
        </w:tc>
        <w:tc>
          <w:tcPr>
            <w:tcW w:w="1260" w:type="dxa"/>
            <w:tcBorders>
              <w:top w:val="nil"/>
            </w:tcBorders>
            <w:vAlign w:val="bottom"/>
          </w:tcPr>
          <w:p w:rsidR="00FB44D9" w:rsidRPr="00A7289C" w:rsidRDefault="00FB44D9" w:rsidP="006B50C2">
            <w:pPr>
              <w:spacing w:before="100" w:beforeAutospacing="1" w:after="100" w:afterAutospacing="1"/>
              <w:ind w:left="522" w:hanging="630"/>
              <w:jc w:val="center"/>
              <w:rPr>
                <w:sz w:val="20"/>
                <w:szCs w:val="20"/>
              </w:rPr>
            </w:pPr>
            <w:r>
              <w:rPr>
                <w:sz w:val="20"/>
                <w:szCs w:val="20"/>
              </w:rPr>
              <w:t>0</w:t>
            </w:r>
            <w:r w:rsidR="001938FD">
              <w:rPr>
                <w:sz w:val="20"/>
                <w:szCs w:val="20"/>
              </w:rPr>
              <w:t>,</w:t>
            </w:r>
            <w:r>
              <w:rPr>
                <w:sz w:val="20"/>
                <w:szCs w:val="20"/>
              </w:rPr>
              <w:t>5</w:t>
            </w:r>
          </w:p>
        </w:tc>
        <w:tc>
          <w:tcPr>
            <w:tcW w:w="1170" w:type="dxa"/>
            <w:tcBorders>
              <w:top w:val="nil"/>
            </w:tcBorders>
            <w:vAlign w:val="bottom"/>
          </w:tcPr>
          <w:p w:rsidR="00FB44D9" w:rsidRPr="00A7289C" w:rsidRDefault="00FB44D9" w:rsidP="006B50C2">
            <w:pPr>
              <w:spacing w:before="100" w:beforeAutospacing="1" w:after="100" w:afterAutospacing="1"/>
              <w:ind w:left="522" w:hanging="630"/>
              <w:jc w:val="center"/>
              <w:rPr>
                <w:sz w:val="20"/>
                <w:szCs w:val="20"/>
              </w:rPr>
            </w:pPr>
            <w:r>
              <w:rPr>
                <w:sz w:val="20"/>
                <w:szCs w:val="20"/>
              </w:rPr>
              <w:t>0</w:t>
            </w:r>
            <w:r w:rsidR="001938FD">
              <w:rPr>
                <w:sz w:val="20"/>
                <w:szCs w:val="20"/>
              </w:rPr>
              <w:t>,</w:t>
            </w:r>
            <w:r>
              <w:rPr>
                <w:sz w:val="20"/>
                <w:szCs w:val="20"/>
              </w:rPr>
              <w:t>5</w:t>
            </w:r>
          </w:p>
        </w:tc>
        <w:tc>
          <w:tcPr>
            <w:tcW w:w="1188" w:type="dxa"/>
            <w:tcBorders>
              <w:top w:val="nil"/>
            </w:tcBorders>
            <w:vAlign w:val="bottom"/>
          </w:tcPr>
          <w:p w:rsidR="00FB44D9" w:rsidRPr="00A7289C" w:rsidRDefault="00FB44D9" w:rsidP="006B50C2">
            <w:pPr>
              <w:jc w:val="center"/>
              <w:rPr>
                <w:b/>
                <w:sz w:val="20"/>
                <w:szCs w:val="20"/>
              </w:rPr>
            </w:pPr>
          </w:p>
        </w:tc>
      </w:tr>
      <w:tr w:rsidR="00FB44D9" w:rsidRPr="00A7289C" w:rsidTr="004E7A7F">
        <w:tc>
          <w:tcPr>
            <w:tcW w:w="5490" w:type="dxa"/>
            <w:tcBorders>
              <w:bottom w:val="single" w:sz="4" w:space="0" w:color="auto"/>
            </w:tcBorders>
            <w:vAlign w:val="bottom"/>
          </w:tcPr>
          <w:p w:rsidR="00FB44D9" w:rsidRPr="00A7289C" w:rsidRDefault="00FB44D9" w:rsidP="007750E0">
            <w:pPr>
              <w:rPr>
                <w:b/>
                <w:sz w:val="20"/>
                <w:szCs w:val="20"/>
              </w:rPr>
            </w:pPr>
            <w:r>
              <w:rPr>
                <w:b/>
                <w:sz w:val="20"/>
                <w:szCs w:val="20"/>
              </w:rPr>
              <w:t>4.</w:t>
            </w:r>
            <w:r>
              <w:rPr>
                <w:b/>
                <w:sz w:val="20"/>
                <w:szCs w:val="20"/>
              </w:rPr>
              <w:tab/>
            </w:r>
            <w:proofErr w:type="spellStart"/>
            <w:r>
              <w:rPr>
                <w:b/>
                <w:sz w:val="20"/>
                <w:szCs w:val="20"/>
              </w:rPr>
              <w:t>Mécanisme</w:t>
            </w:r>
            <w:proofErr w:type="spellEnd"/>
            <w:r>
              <w:rPr>
                <w:b/>
                <w:sz w:val="20"/>
                <w:szCs w:val="20"/>
              </w:rPr>
              <w:t xml:space="preserve"> de </w:t>
            </w:r>
            <w:proofErr w:type="spellStart"/>
            <w:r>
              <w:rPr>
                <w:b/>
                <w:sz w:val="20"/>
                <w:szCs w:val="20"/>
              </w:rPr>
              <w:t>réponse</w:t>
            </w:r>
            <w:proofErr w:type="spellEnd"/>
            <w:r>
              <w:rPr>
                <w:b/>
                <w:sz w:val="20"/>
                <w:szCs w:val="20"/>
              </w:rPr>
              <w:t xml:space="preserve"> </w:t>
            </w:r>
            <w:proofErr w:type="spellStart"/>
            <w:r>
              <w:rPr>
                <w:b/>
                <w:sz w:val="20"/>
                <w:szCs w:val="20"/>
              </w:rPr>
              <w:t>immédiate</w:t>
            </w:r>
            <w:proofErr w:type="spellEnd"/>
          </w:p>
        </w:tc>
        <w:tc>
          <w:tcPr>
            <w:tcW w:w="1260" w:type="dxa"/>
            <w:tcBorders>
              <w:bottom w:val="single" w:sz="4" w:space="0" w:color="auto"/>
            </w:tcBorders>
            <w:vAlign w:val="bottom"/>
          </w:tcPr>
          <w:p w:rsidR="00FB44D9" w:rsidRPr="00A7289C" w:rsidRDefault="007750E0" w:rsidP="006B50C2">
            <w:pPr>
              <w:spacing w:before="100" w:beforeAutospacing="1" w:after="100" w:afterAutospacing="1"/>
              <w:jc w:val="center"/>
              <w:rPr>
                <w:b/>
                <w:sz w:val="20"/>
                <w:szCs w:val="20"/>
              </w:rPr>
            </w:pPr>
            <w:r>
              <w:rPr>
                <w:b/>
                <w:sz w:val="20"/>
                <w:szCs w:val="20"/>
              </w:rPr>
              <w:t>0</w:t>
            </w:r>
            <w:r w:rsidR="001938FD">
              <w:rPr>
                <w:b/>
                <w:sz w:val="20"/>
                <w:szCs w:val="20"/>
              </w:rPr>
              <w:t>,</w:t>
            </w:r>
            <w:r>
              <w:rPr>
                <w:b/>
                <w:sz w:val="20"/>
                <w:szCs w:val="20"/>
              </w:rPr>
              <w:t>5</w:t>
            </w:r>
          </w:p>
        </w:tc>
        <w:tc>
          <w:tcPr>
            <w:tcW w:w="1170" w:type="dxa"/>
            <w:tcBorders>
              <w:bottom w:val="single" w:sz="4" w:space="0" w:color="auto"/>
            </w:tcBorders>
            <w:vAlign w:val="bottom"/>
          </w:tcPr>
          <w:p w:rsidR="00FB44D9" w:rsidRPr="00A7289C" w:rsidRDefault="007750E0" w:rsidP="006B50C2">
            <w:pPr>
              <w:spacing w:before="100" w:beforeAutospacing="1" w:after="100" w:afterAutospacing="1"/>
              <w:jc w:val="center"/>
              <w:rPr>
                <w:b/>
                <w:sz w:val="20"/>
                <w:szCs w:val="20"/>
              </w:rPr>
            </w:pPr>
            <w:r>
              <w:rPr>
                <w:b/>
                <w:sz w:val="20"/>
                <w:szCs w:val="20"/>
              </w:rPr>
              <w:t>0</w:t>
            </w:r>
            <w:r w:rsidR="001938FD">
              <w:rPr>
                <w:b/>
                <w:sz w:val="20"/>
                <w:szCs w:val="20"/>
              </w:rPr>
              <w:t>,</w:t>
            </w:r>
            <w:r>
              <w:rPr>
                <w:b/>
                <w:sz w:val="20"/>
                <w:szCs w:val="20"/>
              </w:rPr>
              <w:t>5</w:t>
            </w:r>
          </w:p>
        </w:tc>
        <w:tc>
          <w:tcPr>
            <w:tcW w:w="1188" w:type="dxa"/>
            <w:tcBorders>
              <w:bottom w:val="single" w:sz="4" w:space="0" w:color="auto"/>
            </w:tcBorders>
            <w:vAlign w:val="bottom"/>
          </w:tcPr>
          <w:p w:rsidR="00FB44D9" w:rsidRPr="00A7289C" w:rsidRDefault="00FB44D9" w:rsidP="006B50C2">
            <w:pPr>
              <w:jc w:val="center"/>
              <w:rPr>
                <w:b/>
                <w:sz w:val="20"/>
                <w:szCs w:val="20"/>
              </w:rPr>
            </w:pPr>
          </w:p>
        </w:tc>
      </w:tr>
      <w:tr w:rsidR="007750E0" w:rsidRPr="00A7289C" w:rsidTr="004E7A7F">
        <w:tc>
          <w:tcPr>
            <w:tcW w:w="5490" w:type="dxa"/>
            <w:vAlign w:val="bottom"/>
          </w:tcPr>
          <w:p w:rsidR="007750E0" w:rsidRPr="00A7289C" w:rsidRDefault="007750E0" w:rsidP="007F29B7">
            <w:pPr>
              <w:jc w:val="right"/>
              <w:rPr>
                <w:b/>
                <w:sz w:val="20"/>
                <w:szCs w:val="20"/>
              </w:rPr>
            </w:pPr>
            <w:proofErr w:type="spellStart"/>
            <w:r>
              <w:rPr>
                <w:b/>
                <w:sz w:val="20"/>
                <w:szCs w:val="20"/>
              </w:rPr>
              <w:t>Coût</w:t>
            </w:r>
            <w:proofErr w:type="spellEnd"/>
            <w:r>
              <w:rPr>
                <w:b/>
                <w:sz w:val="20"/>
                <w:szCs w:val="20"/>
              </w:rPr>
              <w:t xml:space="preserve"> total du </w:t>
            </w:r>
            <w:proofErr w:type="spellStart"/>
            <w:r>
              <w:rPr>
                <w:b/>
                <w:sz w:val="20"/>
                <w:szCs w:val="20"/>
              </w:rPr>
              <w:t>projet</w:t>
            </w:r>
            <w:proofErr w:type="spellEnd"/>
          </w:p>
        </w:tc>
        <w:tc>
          <w:tcPr>
            <w:tcW w:w="1260" w:type="dxa"/>
            <w:vAlign w:val="bottom"/>
          </w:tcPr>
          <w:p w:rsidR="007750E0" w:rsidRPr="00A7289C" w:rsidRDefault="007750E0" w:rsidP="006B50C2">
            <w:pPr>
              <w:spacing w:before="100" w:beforeAutospacing="1" w:after="100" w:afterAutospacing="1"/>
              <w:jc w:val="center"/>
              <w:rPr>
                <w:b/>
                <w:sz w:val="20"/>
                <w:szCs w:val="20"/>
              </w:rPr>
            </w:pPr>
            <w:r>
              <w:rPr>
                <w:b/>
                <w:sz w:val="20"/>
                <w:szCs w:val="20"/>
              </w:rPr>
              <w:t>20</w:t>
            </w:r>
            <w:r w:rsidR="001938FD">
              <w:rPr>
                <w:b/>
                <w:sz w:val="20"/>
                <w:szCs w:val="20"/>
              </w:rPr>
              <w:t>,</w:t>
            </w:r>
            <w:r>
              <w:rPr>
                <w:b/>
                <w:sz w:val="20"/>
                <w:szCs w:val="20"/>
              </w:rPr>
              <w:t>0</w:t>
            </w:r>
          </w:p>
        </w:tc>
        <w:tc>
          <w:tcPr>
            <w:tcW w:w="1170" w:type="dxa"/>
            <w:vAlign w:val="bottom"/>
          </w:tcPr>
          <w:p w:rsidR="007750E0" w:rsidRPr="00A7289C" w:rsidRDefault="007750E0" w:rsidP="006B50C2">
            <w:pPr>
              <w:spacing w:before="100" w:beforeAutospacing="1" w:after="100" w:afterAutospacing="1"/>
              <w:jc w:val="center"/>
              <w:rPr>
                <w:b/>
                <w:sz w:val="20"/>
                <w:szCs w:val="20"/>
              </w:rPr>
            </w:pPr>
            <w:r>
              <w:rPr>
                <w:b/>
                <w:sz w:val="20"/>
                <w:szCs w:val="20"/>
              </w:rPr>
              <w:t>20</w:t>
            </w:r>
            <w:r w:rsidR="001938FD">
              <w:rPr>
                <w:b/>
                <w:sz w:val="20"/>
                <w:szCs w:val="20"/>
              </w:rPr>
              <w:t>,</w:t>
            </w:r>
            <w:r>
              <w:rPr>
                <w:b/>
                <w:sz w:val="20"/>
                <w:szCs w:val="20"/>
              </w:rPr>
              <w:t>0</w:t>
            </w:r>
          </w:p>
        </w:tc>
        <w:tc>
          <w:tcPr>
            <w:tcW w:w="1188" w:type="dxa"/>
            <w:vAlign w:val="bottom"/>
          </w:tcPr>
          <w:p w:rsidR="007750E0" w:rsidRPr="00A7289C" w:rsidRDefault="007750E0" w:rsidP="006B50C2">
            <w:pPr>
              <w:spacing w:before="100" w:beforeAutospacing="1" w:after="100" w:afterAutospacing="1"/>
              <w:jc w:val="center"/>
              <w:rPr>
                <w:b/>
                <w:sz w:val="20"/>
                <w:szCs w:val="20"/>
              </w:rPr>
            </w:pPr>
            <w:r>
              <w:rPr>
                <w:b/>
                <w:sz w:val="20"/>
                <w:szCs w:val="20"/>
              </w:rPr>
              <w:t>100</w:t>
            </w:r>
          </w:p>
        </w:tc>
      </w:tr>
      <w:tr w:rsidR="007750E0" w:rsidRPr="00A7289C" w:rsidTr="004E7A7F">
        <w:tc>
          <w:tcPr>
            <w:tcW w:w="5490" w:type="dxa"/>
            <w:vAlign w:val="bottom"/>
          </w:tcPr>
          <w:p w:rsidR="007750E0" w:rsidRPr="00A7289C" w:rsidRDefault="007750E0" w:rsidP="007F29B7">
            <w:pPr>
              <w:jc w:val="right"/>
              <w:rPr>
                <w:b/>
                <w:sz w:val="20"/>
                <w:szCs w:val="20"/>
              </w:rPr>
            </w:pPr>
            <w:proofErr w:type="spellStart"/>
            <w:r>
              <w:rPr>
                <w:b/>
                <w:sz w:val="20"/>
                <w:szCs w:val="20"/>
              </w:rPr>
              <w:t>Intérêt</w:t>
            </w:r>
            <w:proofErr w:type="spellEnd"/>
            <w:r>
              <w:rPr>
                <w:b/>
                <w:sz w:val="20"/>
                <w:szCs w:val="20"/>
              </w:rPr>
              <w:t xml:space="preserve"> </w:t>
            </w:r>
            <w:proofErr w:type="spellStart"/>
            <w:r>
              <w:rPr>
                <w:b/>
                <w:sz w:val="20"/>
                <w:szCs w:val="20"/>
              </w:rPr>
              <w:t>durant</w:t>
            </w:r>
            <w:proofErr w:type="spellEnd"/>
            <w:r>
              <w:rPr>
                <w:b/>
                <w:sz w:val="20"/>
                <w:szCs w:val="20"/>
              </w:rPr>
              <w:t xml:space="preserve"> </w:t>
            </w:r>
            <w:proofErr w:type="spellStart"/>
            <w:r>
              <w:rPr>
                <w:b/>
                <w:sz w:val="20"/>
                <w:szCs w:val="20"/>
              </w:rPr>
              <w:t>l'exécution</w:t>
            </w:r>
            <w:proofErr w:type="spellEnd"/>
          </w:p>
        </w:tc>
        <w:tc>
          <w:tcPr>
            <w:tcW w:w="1260" w:type="dxa"/>
            <w:vAlign w:val="bottom"/>
          </w:tcPr>
          <w:p w:rsidR="007750E0" w:rsidRPr="00A7289C" w:rsidRDefault="007750E0" w:rsidP="00616E3E">
            <w:pPr>
              <w:spacing w:before="100" w:beforeAutospacing="1" w:after="100" w:afterAutospacing="1"/>
              <w:ind w:left="162"/>
              <w:jc w:val="center"/>
              <w:rPr>
                <w:b/>
                <w:sz w:val="20"/>
                <w:szCs w:val="20"/>
              </w:rPr>
            </w:pPr>
            <w:r>
              <w:rPr>
                <w:b/>
                <w:sz w:val="20"/>
                <w:szCs w:val="20"/>
              </w:rPr>
              <w:t>0</w:t>
            </w:r>
          </w:p>
        </w:tc>
        <w:tc>
          <w:tcPr>
            <w:tcW w:w="1170" w:type="dxa"/>
            <w:vAlign w:val="bottom"/>
          </w:tcPr>
          <w:p w:rsidR="007750E0" w:rsidRPr="00A7289C" w:rsidRDefault="007750E0" w:rsidP="00616E3E">
            <w:pPr>
              <w:spacing w:before="100" w:beforeAutospacing="1" w:after="100" w:afterAutospacing="1"/>
              <w:ind w:left="162"/>
              <w:jc w:val="center"/>
              <w:rPr>
                <w:b/>
                <w:sz w:val="20"/>
                <w:szCs w:val="20"/>
              </w:rPr>
            </w:pPr>
            <w:r>
              <w:rPr>
                <w:b/>
                <w:sz w:val="20"/>
                <w:szCs w:val="20"/>
              </w:rPr>
              <w:t>0</w:t>
            </w:r>
          </w:p>
        </w:tc>
        <w:tc>
          <w:tcPr>
            <w:tcW w:w="1188" w:type="dxa"/>
            <w:vAlign w:val="bottom"/>
          </w:tcPr>
          <w:p w:rsidR="007750E0" w:rsidRPr="00A7289C" w:rsidRDefault="007750E0" w:rsidP="006B50C2">
            <w:pPr>
              <w:jc w:val="center"/>
              <w:rPr>
                <w:b/>
                <w:sz w:val="20"/>
                <w:szCs w:val="20"/>
              </w:rPr>
            </w:pPr>
          </w:p>
        </w:tc>
      </w:tr>
      <w:tr w:rsidR="007750E0" w:rsidRPr="00A7289C" w:rsidTr="004E7A7F">
        <w:trPr>
          <w:trHeight w:val="73"/>
        </w:trPr>
        <w:tc>
          <w:tcPr>
            <w:tcW w:w="5490" w:type="dxa"/>
            <w:vAlign w:val="bottom"/>
          </w:tcPr>
          <w:p w:rsidR="007750E0" w:rsidRPr="00A7289C" w:rsidRDefault="007750E0" w:rsidP="007F29B7">
            <w:pPr>
              <w:jc w:val="right"/>
              <w:rPr>
                <w:b/>
                <w:sz w:val="20"/>
                <w:szCs w:val="20"/>
              </w:rPr>
            </w:pPr>
            <w:proofErr w:type="spellStart"/>
            <w:r>
              <w:rPr>
                <w:b/>
                <w:sz w:val="20"/>
                <w:szCs w:val="20"/>
              </w:rPr>
              <w:t>Frais</w:t>
            </w:r>
            <w:proofErr w:type="spellEnd"/>
            <w:r>
              <w:rPr>
                <w:b/>
                <w:sz w:val="20"/>
                <w:szCs w:val="20"/>
              </w:rPr>
              <w:t xml:space="preserve"> </w:t>
            </w:r>
            <w:proofErr w:type="spellStart"/>
            <w:r>
              <w:rPr>
                <w:b/>
                <w:sz w:val="20"/>
                <w:szCs w:val="20"/>
              </w:rPr>
              <w:t>initiaux</w:t>
            </w:r>
            <w:proofErr w:type="spellEnd"/>
          </w:p>
        </w:tc>
        <w:tc>
          <w:tcPr>
            <w:tcW w:w="1260" w:type="dxa"/>
            <w:vAlign w:val="bottom"/>
          </w:tcPr>
          <w:p w:rsidR="007750E0" w:rsidRPr="00A7289C" w:rsidRDefault="007750E0" w:rsidP="00616E3E">
            <w:pPr>
              <w:spacing w:before="100" w:beforeAutospacing="1" w:after="100" w:afterAutospacing="1"/>
              <w:ind w:left="162"/>
              <w:jc w:val="center"/>
              <w:rPr>
                <w:b/>
                <w:sz w:val="20"/>
                <w:szCs w:val="20"/>
              </w:rPr>
            </w:pPr>
            <w:r>
              <w:rPr>
                <w:b/>
                <w:sz w:val="20"/>
                <w:szCs w:val="20"/>
              </w:rPr>
              <w:t>0</w:t>
            </w:r>
          </w:p>
        </w:tc>
        <w:tc>
          <w:tcPr>
            <w:tcW w:w="1170" w:type="dxa"/>
            <w:vAlign w:val="bottom"/>
          </w:tcPr>
          <w:p w:rsidR="007750E0" w:rsidRPr="00A7289C" w:rsidRDefault="007750E0" w:rsidP="00616E3E">
            <w:pPr>
              <w:spacing w:before="100" w:beforeAutospacing="1" w:after="100" w:afterAutospacing="1"/>
              <w:ind w:left="162"/>
              <w:jc w:val="center"/>
              <w:rPr>
                <w:b/>
                <w:sz w:val="20"/>
                <w:szCs w:val="20"/>
              </w:rPr>
            </w:pPr>
            <w:r>
              <w:rPr>
                <w:b/>
                <w:sz w:val="20"/>
                <w:szCs w:val="20"/>
              </w:rPr>
              <w:t>0</w:t>
            </w:r>
          </w:p>
        </w:tc>
        <w:tc>
          <w:tcPr>
            <w:tcW w:w="1188" w:type="dxa"/>
            <w:vAlign w:val="bottom"/>
          </w:tcPr>
          <w:p w:rsidR="007750E0" w:rsidRPr="00A7289C" w:rsidRDefault="007750E0" w:rsidP="006B50C2">
            <w:pPr>
              <w:jc w:val="center"/>
              <w:rPr>
                <w:b/>
                <w:sz w:val="20"/>
                <w:szCs w:val="20"/>
              </w:rPr>
            </w:pPr>
          </w:p>
        </w:tc>
      </w:tr>
      <w:tr w:rsidR="007750E0" w:rsidRPr="00A7289C" w:rsidTr="004E7A7F">
        <w:tc>
          <w:tcPr>
            <w:tcW w:w="5490" w:type="dxa"/>
            <w:vAlign w:val="bottom"/>
          </w:tcPr>
          <w:p w:rsidR="007750E0" w:rsidRPr="00A7289C" w:rsidRDefault="007750E0" w:rsidP="007F29B7">
            <w:pPr>
              <w:ind w:left="252"/>
              <w:jc w:val="right"/>
              <w:rPr>
                <w:b/>
                <w:sz w:val="20"/>
                <w:szCs w:val="20"/>
              </w:rPr>
            </w:pPr>
            <w:proofErr w:type="spellStart"/>
            <w:r>
              <w:rPr>
                <w:b/>
                <w:sz w:val="20"/>
                <w:szCs w:val="20"/>
              </w:rPr>
              <w:t>Financement</w:t>
            </w:r>
            <w:proofErr w:type="spellEnd"/>
            <w:r>
              <w:rPr>
                <w:b/>
                <w:sz w:val="20"/>
                <w:szCs w:val="20"/>
              </w:rPr>
              <w:t xml:space="preserve"> total </w:t>
            </w:r>
            <w:proofErr w:type="spellStart"/>
            <w:r>
              <w:rPr>
                <w:b/>
                <w:sz w:val="20"/>
                <w:szCs w:val="20"/>
              </w:rPr>
              <w:t>requis</w:t>
            </w:r>
            <w:proofErr w:type="spellEnd"/>
          </w:p>
        </w:tc>
        <w:tc>
          <w:tcPr>
            <w:tcW w:w="1260" w:type="dxa"/>
            <w:vAlign w:val="bottom"/>
          </w:tcPr>
          <w:p w:rsidR="007750E0" w:rsidRPr="00A7289C" w:rsidRDefault="007750E0" w:rsidP="006B50C2">
            <w:pPr>
              <w:jc w:val="center"/>
              <w:rPr>
                <w:b/>
                <w:sz w:val="20"/>
                <w:szCs w:val="20"/>
              </w:rPr>
            </w:pPr>
            <w:r>
              <w:rPr>
                <w:b/>
                <w:sz w:val="20"/>
                <w:szCs w:val="20"/>
              </w:rPr>
              <w:t>20</w:t>
            </w:r>
            <w:r w:rsidR="001938FD">
              <w:rPr>
                <w:b/>
                <w:sz w:val="20"/>
                <w:szCs w:val="20"/>
              </w:rPr>
              <w:t>,</w:t>
            </w:r>
            <w:r>
              <w:rPr>
                <w:b/>
                <w:sz w:val="20"/>
                <w:szCs w:val="20"/>
              </w:rPr>
              <w:t>0</w:t>
            </w:r>
          </w:p>
        </w:tc>
        <w:tc>
          <w:tcPr>
            <w:tcW w:w="1170" w:type="dxa"/>
            <w:vAlign w:val="bottom"/>
          </w:tcPr>
          <w:p w:rsidR="007750E0" w:rsidRPr="00A7289C" w:rsidRDefault="007750E0" w:rsidP="006B50C2">
            <w:pPr>
              <w:jc w:val="center"/>
              <w:rPr>
                <w:b/>
                <w:sz w:val="20"/>
                <w:szCs w:val="20"/>
              </w:rPr>
            </w:pPr>
            <w:r>
              <w:rPr>
                <w:b/>
                <w:sz w:val="20"/>
                <w:szCs w:val="20"/>
              </w:rPr>
              <w:t>20</w:t>
            </w:r>
            <w:r w:rsidR="001938FD">
              <w:rPr>
                <w:b/>
                <w:sz w:val="20"/>
                <w:szCs w:val="20"/>
              </w:rPr>
              <w:t>,</w:t>
            </w:r>
            <w:r>
              <w:rPr>
                <w:b/>
                <w:sz w:val="20"/>
                <w:szCs w:val="20"/>
              </w:rPr>
              <w:t>0</w:t>
            </w:r>
          </w:p>
        </w:tc>
        <w:tc>
          <w:tcPr>
            <w:tcW w:w="1188" w:type="dxa"/>
            <w:vAlign w:val="bottom"/>
          </w:tcPr>
          <w:p w:rsidR="007750E0" w:rsidRPr="00A7289C" w:rsidRDefault="007750E0" w:rsidP="006B50C2">
            <w:pPr>
              <w:jc w:val="center"/>
              <w:rPr>
                <w:b/>
                <w:sz w:val="20"/>
                <w:szCs w:val="20"/>
              </w:rPr>
            </w:pPr>
            <w:r>
              <w:rPr>
                <w:b/>
                <w:sz w:val="20"/>
                <w:szCs w:val="20"/>
              </w:rPr>
              <w:t>100</w:t>
            </w:r>
          </w:p>
        </w:tc>
      </w:tr>
    </w:tbl>
    <w:p w:rsidR="0013472C" w:rsidRPr="00A7289C" w:rsidRDefault="0013472C" w:rsidP="004E7A7F">
      <w:pPr>
        <w:rPr>
          <w:b/>
        </w:rPr>
      </w:pPr>
    </w:p>
    <w:p w:rsidR="00314E01" w:rsidRPr="00857EF9" w:rsidRDefault="00314E01" w:rsidP="004E7A7F">
      <w:pPr>
        <w:pStyle w:val="ListParagraph"/>
        <w:keepNext/>
        <w:spacing w:after="120"/>
        <w:ind w:left="0"/>
        <w:contextualSpacing w:val="0"/>
        <w:rPr>
          <w:b/>
          <w:lang w:val="fr-FR"/>
        </w:rPr>
      </w:pPr>
      <w:r w:rsidRPr="00857EF9">
        <w:rPr>
          <w:b/>
          <w:lang w:val="fr-FR"/>
        </w:rPr>
        <w:t>Gestion financière, décaissements et passation de marchés</w:t>
      </w:r>
    </w:p>
    <w:p w:rsidR="00314E01" w:rsidRPr="00A7289C" w:rsidRDefault="00314E01" w:rsidP="00BF4861">
      <w:pPr>
        <w:pStyle w:val="ListParagraph"/>
        <w:keepNext/>
        <w:spacing w:after="120"/>
        <w:ind w:left="0"/>
        <w:contextualSpacing w:val="0"/>
        <w:rPr>
          <w:i/>
        </w:rPr>
      </w:pPr>
      <w:proofErr w:type="spellStart"/>
      <w:r>
        <w:rPr>
          <w:i/>
        </w:rPr>
        <w:t>Gestion</w:t>
      </w:r>
      <w:proofErr w:type="spellEnd"/>
      <w:r>
        <w:rPr>
          <w:i/>
        </w:rPr>
        <w:t xml:space="preserve"> </w:t>
      </w:r>
      <w:proofErr w:type="spellStart"/>
      <w:r>
        <w:rPr>
          <w:i/>
        </w:rPr>
        <w:t>financière</w:t>
      </w:r>
      <w:proofErr w:type="spellEnd"/>
    </w:p>
    <w:p w:rsidR="00314E01" w:rsidRPr="00857EF9" w:rsidRDefault="00314E01"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t xml:space="preserve">Globalement, le risque de gestion financière (GF) du projet est jugé « Important ». La responsabilité fiduciaire du projet proposé incombe à l'UCP qui sera directement responsable de l'exécution fiduciaire de toutes les composantes du projet jusqu'à ce que cette fonction soit transférée au MCI 18 mois après l'entrée en vigueur. L'UCP, et par la suite le MCI, seront chargés d'établir les rapports financiers et les états financiers annuels vérifiés de l'ensemble du projet. Les modalités actuelles de gestion financière pour le projet proposé mis en place par l'UCP sont conformes aux exigences fiduciaires minimales au titre de l’OP/BP 10.02. L'UCP dispose du personnel compétent en matière de gestion financière. Leurs rôles et responsabilités seront revus afin d'inclure les travaux supplémentaires occasionnés par le projet. Les responsabilités fiduciaires seront transférées au MCI uniquement lorsque celui-ci disposera d'un personnel compétent dans le domaine de la gestion financière. Le MCI veillera ensuite à ce que toutes les procédures opérationnelles soient décrites dans le manuel administratif, financier et comptable et que les manuels d'exécution du projet soient rédigés. Les modalités de la gestion financière du projet s'appliqueront de la manière suivante : </w:t>
      </w:r>
    </w:p>
    <w:p w:rsidR="00314E01" w:rsidRPr="00857EF9" w:rsidRDefault="00314E01" w:rsidP="00B563F2">
      <w:pPr>
        <w:pStyle w:val="ListParagraph"/>
        <w:numPr>
          <w:ilvl w:val="0"/>
          <w:numId w:val="24"/>
        </w:numPr>
        <w:tabs>
          <w:tab w:val="left" w:pos="450"/>
          <w:tab w:val="num" w:pos="720"/>
        </w:tabs>
        <w:spacing w:after="120"/>
        <w:contextualSpacing w:val="0"/>
        <w:jc w:val="both"/>
        <w:rPr>
          <w:b/>
          <w:lang w:val="fr-FR"/>
        </w:rPr>
      </w:pPr>
      <w:r w:rsidRPr="00857EF9">
        <w:rPr>
          <w:lang w:val="fr-FR"/>
        </w:rPr>
        <w:t xml:space="preserve">Compte désigné : deux comptes désignés seront ouverts, un pour le MEF et l'autre pour le MCI. Le MEF établira le compte désigné « A » afin de l'utiliser du début de la mise en œuvre du projet jusqu'au moment où les responsabilités fiduciaires seront transférées au MCI. Les deux comptes seront ouverts auprès de la Banque centrale de la République d’Haïti (BRH). Aussitôt que les capacités fiduciaires du MCI seront considérées comme acceptables par la Banque, le MCI établira le compte désigné « B » qu'il utilisera dès lors jusqu'à la clôture du projet. Cette procédure est mise en place à des fins de contrôle : pièces justificatives, vérification et traitement des décaissements/remboursements. Des comptes auxiliaires libellés </w:t>
      </w:r>
      <w:r w:rsidRPr="00857EF9">
        <w:rPr>
          <w:lang w:val="fr-FR"/>
        </w:rPr>
        <w:lastRenderedPageBreak/>
        <w:t>en gourdes haïtiennes seront également ouverts à la BRH : un premier compte sera ouvert et géré par l'UCP (compte « C ») et un deuxième compte auxiliaire (compte « D ») sera ouvert par le MCI, l'un et l'autre servant à effectuer des paiements en monnaie locale. Les justificatifs de toutes les transactions seront conservés par l'UCP et ultérieurement par le MCI, et seront tenus à la disposition de la Banque mondiale et de ses représentants à des fins de vérification, sur simple demande. Alors que l'UCP s'appuie déjà sur des procédures de décaissement adéquates, de telles procédures devront être stipulées dans les manuels administratifs, financiers et comptables du MCI, avant qu'il ne prenne en charge la responsabilité fiduciaire du projet.</w:t>
      </w:r>
      <w:r w:rsidRPr="00857EF9">
        <w:rPr>
          <w:b/>
          <w:lang w:val="fr-FR"/>
        </w:rPr>
        <w:tab/>
        <w:t xml:space="preserve"> </w:t>
      </w:r>
      <w:r w:rsidRPr="00857EF9">
        <w:rPr>
          <w:lang w:val="fr-FR"/>
        </w:rPr>
        <w:t xml:space="preserve">L'évaluation des manuels du MCI entrera dans le cadre du processus de diligence raisonnable correspondant dont l'IDA doit s'acquitter avant que n'intervienne le transfert de responsabilité fiduciaire. </w:t>
      </w:r>
    </w:p>
    <w:p w:rsidR="00314E01" w:rsidRPr="00857EF9" w:rsidRDefault="00314E01" w:rsidP="00B563F2">
      <w:pPr>
        <w:pStyle w:val="ListParagraph"/>
        <w:numPr>
          <w:ilvl w:val="0"/>
          <w:numId w:val="24"/>
        </w:numPr>
        <w:tabs>
          <w:tab w:val="left" w:pos="450"/>
          <w:tab w:val="num" w:pos="720"/>
        </w:tabs>
        <w:spacing w:after="120"/>
        <w:contextualSpacing w:val="0"/>
        <w:jc w:val="both"/>
        <w:rPr>
          <w:lang w:val="fr-FR"/>
        </w:rPr>
      </w:pPr>
      <w:r w:rsidRPr="00857EF9">
        <w:rPr>
          <w:lang w:val="fr-FR"/>
        </w:rPr>
        <w:t>Budgétisation et flux des fonds : le processus budgétaire sera stipulé dans les manuels administratifs, financiers et comptables. Les budgets et les plans de travail annuels seront coordonnés et préparés par l'UCP et, ultérieurement, par le MCI. Ils seront approuvés par le MCI et consolidés par le coordinateur de l'UCP et ultérieurement par le MCI, et accompagnés d'un avis de non-objection de la part de l'IDA au début de l'exercice fiscal. Toute modification dans le budget et les plans de travail devra également être approuvée par le MCI et accompagnée d'un avis de non-objection de l'IDA. En outre, le MCI examinera les stratégies de mise en œuvre et effectuera le suivi et l'évaluation de l'exécution et des résultats du projet.</w:t>
      </w:r>
    </w:p>
    <w:p w:rsidR="00314E01" w:rsidRPr="00857EF9" w:rsidRDefault="00314E01" w:rsidP="00B563F2">
      <w:pPr>
        <w:pStyle w:val="ListParagraph"/>
        <w:numPr>
          <w:ilvl w:val="0"/>
          <w:numId w:val="24"/>
        </w:numPr>
        <w:tabs>
          <w:tab w:val="left" w:pos="450"/>
          <w:tab w:val="num" w:pos="720"/>
        </w:tabs>
        <w:spacing w:after="120"/>
        <w:contextualSpacing w:val="0"/>
        <w:jc w:val="both"/>
        <w:rPr>
          <w:lang w:val="fr-FR"/>
        </w:rPr>
      </w:pPr>
      <w:r w:rsidRPr="00857EF9">
        <w:rPr>
          <w:lang w:val="fr-FR"/>
        </w:rPr>
        <w:t xml:space="preserve">Comptabilité : </w:t>
      </w:r>
      <w:r w:rsidR="00CE73E6" w:rsidRPr="00857EF9">
        <w:rPr>
          <w:lang w:val="fr-FR"/>
        </w:rPr>
        <w:t>l</w:t>
      </w:r>
      <w:r w:rsidRPr="00857EF9">
        <w:rPr>
          <w:lang w:val="fr-FR"/>
        </w:rPr>
        <w:t>a remise par l'UCP d'un manuel des opérations qui expose en détail les dispositions relatives à la comptabilité, les politiques et les procédures du projet,</w:t>
      </w:r>
      <w:r w:rsidR="006C2EA3" w:rsidRPr="00A7289C">
        <w:rPr>
          <w:rStyle w:val="FootnoteReference"/>
        </w:rPr>
        <w:footnoteReference w:id="68"/>
      </w:r>
      <w:r w:rsidRPr="00857EF9">
        <w:rPr>
          <w:lang w:val="fr-FR"/>
        </w:rPr>
        <w:t xml:space="preserve"> d'une manière jugée acceptable par l'IDA, constitue une condition à l’entrée en vigueur du projet. À cette fin, l'UCP fournira à l'IDA une version provisoire dans les délais impartis et ce avant la date d’entrée en vigueur prévue, afin de pouvoir prendre en considération toutes les observations. Le manuel des procédures administratives, financières et comptables du MCI devra à son tour être examiné et jugé acceptable par l'IDA avant que le MCI ne puisse endosser les responsabilités fiduciaires de ce projet. Les pièces justificatives détaillées de la gestion financière seront conservées dans les dossiers du projet de l'UCP et du MCI pour chaque composante dont ils assureront la gestion pendant la période de leurs responsabilités respectives vis-à-vis de la gestion du projet.</w:t>
      </w:r>
    </w:p>
    <w:p w:rsidR="004F7909" w:rsidRPr="00857EF9" w:rsidRDefault="00314E01" w:rsidP="00B563F2">
      <w:pPr>
        <w:pStyle w:val="ListParagraph"/>
        <w:numPr>
          <w:ilvl w:val="0"/>
          <w:numId w:val="24"/>
        </w:numPr>
        <w:tabs>
          <w:tab w:val="left" w:pos="450"/>
          <w:tab w:val="num" w:pos="720"/>
        </w:tabs>
        <w:spacing w:after="120"/>
        <w:contextualSpacing w:val="0"/>
        <w:jc w:val="both"/>
        <w:rPr>
          <w:lang w:val="fr-FR"/>
        </w:rPr>
      </w:pPr>
      <w:r w:rsidRPr="00857EF9">
        <w:rPr>
          <w:lang w:val="fr-FR"/>
        </w:rPr>
        <w:t xml:space="preserve">Contrôles internes : </w:t>
      </w:r>
      <w:r w:rsidR="00C75A34" w:rsidRPr="00857EF9">
        <w:rPr>
          <w:lang w:val="fr-FR"/>
        </w:rPr>
        <w:t>l</w:t>
      </w:r>
      <w:r w:rsidRPr="00857EF9">
        <w:rPr>
          <w:lang w:val="fr-FR"/>
        </w:rPr>
        <w:t xml:space="preserve">'UCP, et par la suite le MCI, s'assureront que les dispositions prises au niveau du personnel des services de gestion financière du MCI suffisent pour garantir des contrôles internes appropriés, la préparation, l'approbation et l'enregistrement des transactions ainsi que la séparation des fonctions. L'UCP exposera les procédures administratives et de gestion financière dans le manuel administratif, financier et comptable du projet. </w:t>
      </w:r>
    </w:p>
    <w:p w:rsidR="004F7909" w:rsidRPr="00857EF9" w:rsidRDefault="00314E01" w:rsidP="00B563F2">
      <w:pPr>
        <w:pStyle w:val="ListParagraph"/>
        <w:numPr>
          <w:ilvl w:val="0"/>
          <w:numId w:val="24"/>
        </w:numPr>
        <w:tabs>
          <w:tab w:val="left" w:pos="450"/>
          <w:tab w:val="num" w:pos="720"/>
        </w:tabs>
        <w:spacing w:after="120"/>
        <w:contextualSpacing w:val="0"/>
        <w:jc w:val="both"/>
        <w:rPr>
          <w:lang w:val="fr-FR"/>
        </w:rPr>
      </w:pPr>
      <w:r w:rsidRPr="00857EF9">
        <w:rPr>
          <w:lang w:val="fr-FR"/>
        </w:rPr>
        <w:t xml:space="preserve">Établissement de rapports financiers : </w:t>
      </w:r>
      <w:r w:rsidR="00C75A34" w:rsidRPr="00857EF9">
        <w:rPr>
          <w:lang w:val="fr-FR"/>
        </w:rPr>
        <w:t>l</w:t>
      </w:r>
      <w:r w:rsidRPr="00857EF9">
        <w:rPr>
          <w:lang w:val="fr-FR"/>
        </w:rPr>
        <w:t xml:space="preserve">'UCP, et ultérieurement le MCI, auront la charge globale de l'élaboration des rapports. En collaboration avec le spécialiste en gestion financière, le coordinateur du projet s'assurera que les rapports financiers intermédiaires non audités consolidés trimestriels sont élaborés et transmis à l'IDA. Le format des rapports sera consigné dans le manuel administratif, financier et comptable. Les rapports financiers intermédiaires non audités consolidés trimestriels seront fournis à l'IDA au plus tard 45 jours </w:t>
      </w:r>
      <w:r w:rsidRPr="00857EF9">
        <w:rPr>
          <w:lang w:val="fr-FR"/>
        </w:rPr>
        <w:lastRenderedPageBreak/>
        <w:t>après la fin du trimestre. Les états financiers consolidés annuels seront élaborés et assujettis tous les ans à des audits externes. Le rapport d'audit devra être présenté à l'IDA au plus tard six mois après la fin de la période concernée.</w:t>
      </w:r>
    </w:p>
    <w:p w:rsidR="00314E01" w:rsidRPr="00857EF9" w:rsidRDefault="00314E01" w:rsidP="00B563F2">
      <w:pPr>
        <w:pStyle w:val="ListParagraph"/>
        <w:numPr>
          <w:ilvl w:val="0"/>
          <w:numId w:val="24"/>
        </w:numPr>
        <w:tabs>
          <w:tab w:val="left" w:pos="450"/>
          <w:tab w:val="num" w:pos="720"/>
        </w:tabs>
        <w:spacing w:after="120"/>
        <w:contextualSpacing w:val="0"/>
        <w:jc w:val="both"/>
        <w:rPr>
          <w:lang w:val="fr-FR"/>
        </w:rPr>
      </w:pPr>
      <w:r w:rsidRPr="00857EF9">
        <w:rPr>
          <w:lang w:val="fr-FR"/>
        </w:rPr>
        <w:t xml:space="preserve">Audits externes : </w:t>
      </w:r>
      <w:r w:rsidR="00C75A34" w:rsidRPr="00857EF9">
        <w:rPr>
          <w:lang w:val="fr-FR"/>
        </w:rPr>
        <w:t>l</w:t>
      </w:r>
      <w:r w:rsidRPr="00857EF9">
        <w:rPr>
          <w:lang w:val="fr-FR"/>
        </w:rPr>
        <w:t xml:space="preserve">es états financiers annuels du projet ainsi que le système de contrôles internes feront l'objet d'un audit annuel par une société d'audit reconnue, compétente et indépendante dans le cadre d'un mandat satisfaisant pour l'IDA. L'auditeur émettra un avis sur les états financiers consolidés du projet élaborés par l'UEP, conformément à des normes d’audit jugées acceptables par l'IDA. Le rapport d'audit sera soumis à l'IDA au plus tard six mois après la fin de la période couverte par l'audit. Outre le rapport d'audit, l'auditeur fournira également, dans un document séparé, une note de gestion exposant en détail le statut des systèmes de contrôles internes mis en place pour le projet. </w:t>
      </w:r>
    </w:p>
    <w:p w:rsidR="00314E01" w:rsidRPr="00857EF9" w:rsidRDefault="00606A81" w:rsidP="00B563F2">
      <w:pPr>
        <w:pStyle w:val="ListParagraph"/>
        <w:numPr>
          <w:ilvl w:val="0"/>
          <w:numId w:val="24"/>
        </w:numPr>
        <w:tabs>
          <w:tab w:val="left" w:pos="450"/>
          <w:tab w:val="num" w:pos="720"/>
        </w:tabs>
        <w:spacing w:after="120"/>
        <w:contextualSpacing w:val="0"/>
        <w:jc w:val="both"/>
        <w:rPr>
          <w:lang w:val="fr-FR"/>
        </w:rPr>
      </w:pPr>
      <w:r w:rsidRPr="00857EF9">
        <w:rPr>
          <w:lang w:val="fr-FR"/>
        </w:rPr>
        <w:t xml:space="preserve">Missions d'appui à la mise en œuvre : </w:t>
      </w:r>
      <w:r w:rsidR="00C75A34" w:rsidRPr="00857EF9">
        <w:rPr>
          <w:lang w:val="fr-FR"/>
        </w:rPr>
        <w:t>o</w:t>
      </w:r>
      <w:r w:rsidRPr="00857EF9">
        <w:rPr>
          <w:lang w:val="fr-FR"/>
        </w:rPr>
        <w:t xml:space="preserve">utre les audits réguliers, l'équipe de l'IDA mènera de fréquentes missions d'appui à la mise en œuvre (cf. </w:t>
      </w:r>
      <w:r w:rsidR="00FB137A" w:rsidRPr="00857EF9">
        <w:rPr>
          <w:lang w:val="fr-FR"/>
        </w:rPr>
        <w:t>annexe </w:t>
      </w:r>
      <w:r w:rsidRPr="00857EF9">
        <w:rPr>
          <w:lang w:val="fr-FR"/>
        </w:rPr>
        <w:t>5). Au cours de ces missions d'appui à la mise en œuvre, le personnel de gestion financière de l'IDA évaluera les modalités de gestion financière afin de s'assurer qu'elles demeurent en adéquation avec la mise en œuvre du projet proposé.</w:t>
      </w:r>
    </w:p>
    <w:p w:rsidR="00314E01" w:rsidRPr="00A7289C" w:rsidRDefault="00314E01" w:rsidP="004E7A7F">
      <w:pPr>
        <w:pStyle w:val="ListParagraph"/>
        <w:spacing w:after="120"/>
        <w:ind w:left="0"/>
        <w:contextualSpacing w:val="0"/>
        <w:rPr>
          <w:i/>
        </w:rPr>
      </w:pPr>
      <w:proofErr w:type="spellStart"/>
      <w:r>
        <w:rPr>
          <w:i/>
        </w:rPr>
        <w:t>Décaissements</w:t>
      </w:r>
      <w:proofErr w:type="spellEnd"/>
    </w:p>
    <w:p w:rsidR="00414AE6" w:rsidRPr="00857EF9" w:rsidRDefault="00314E01" w:rsidP="00B563F2">
      <w:pPr>
        <w:pStyle w:val="ListParagraph"/>
        <w:numPr>
          <w:ilvl w:val="0"/>
          <w:numId w:val="24"/>
        </w:numPr>
        <w:tabs>
          <w:tab w:val="left" w:pos="450"/>
          <w:tab w:val="num" w:pos="720"/>
        </w:tabs>
        <w:spacing w:after="120"/>
        <w:contextualSpacing w:val="0"/>
        <w:jc w:val="both"/>
        <w:rPr>
          <w:lang w:val="fr-FR"/>
        </w:rPr>
      </w:pPr>
      <w:r w:rsidRPr="00857EF9">
        <w:rPr>
          <w:lang w:val="fr-FR"/>
        </w:rPr>
        <w:t>Les décaissements imputés sur le don IDA se feront sur la base des transactions, à savoir, les procédures habituelles de la Banque : (i) les avances, (ii) les remboursements par relevés de dépenses, (iii) les paiements directs, et (iv) les engagements spéciaux. Le dépôt initial sur le compte désigné reposera sur une prévision de quatre mois préparée par l'UCP, et ultérieurement le MCI, à soumettre avec la demande de retrait. Les décaissements ultérieurs imputés sur le compte désigné seront basés sur les relevés de dépenses, et seront accompagnés de demandes de retrait, de relevés bancaires rapprochés et des copies de tous les relevés bancaires. Parmi les pièces justificatives pour les demandes de paiement direct</w:t>
      </w:r>
      <w:r w:rsidR="00D33C64" w:rsidRPr="00857EF9">
        <w:rPr>
          <w:lang w:val="fr-FR"/>
        </w:rPr>
        <w:t>,</w:t>
      </w:r>
      <w:r w:rsidRPr="00857EF9">
        <w:rPr>
          <w:lang w:val="fr-FR"/>
        </w:rPr>
        <w:t xml:space="preserve"> devront figurer les documents prouvant l'authenticité des dépenses éligibles (copies des reçus, factures des fournisseurs). </w:t>
      </w:r>
    </w:p>
    <w:p w:rsidR="00314E01" w:rsidRDefault="00414AE6" w:rsidP="00B563F2">
      <w:pPr>
        <w:pStyle w:val="ListParagraph"/>
        <w:numPr>
          <w:ilvl w:val="0"/>
          <w:numId w:val="24"/>
        </w:numPr>
        <w:tabs>
          <w:tab w:val="left" w:pos="450"/>
          <w:tab w:val="num" w:pos="720"/>
        </w:tabs>
        <w:spacing w:after="120"/>
        <w:contextualSpacing w:val="0"/>
        <w:jc w:val="both"/>
        <w:rPr>
          <w:lang w:val="fr-FR"/>
        </w:rPr>
      </w:pPr>
      <w:r w:rsidRPr="00857EF9">
        <w:rPr>
          <w:lang w:val="fr-FR"/>
        </w:rPr>
        <w:t>Le tableau ci-dessous indique les catégories de dépenses éligibles qui peuvent être financées au moyen des fonds du Financement (« Catégorie »), les montants alloués au financement de chaque catégorie, et le pourcentage de dépenses éligibles devant être financé dans chaque Catégorie:</w:t>
      </w:r>
    </w:p>
    <w:p w:rsidR="00141422" w:rsidRPr="00141422" w:rsidRDefault="00141422" w:rsidP="00141422">
      <w:pPr>
        <w:tabs>
          <w:tab w:val="left" w:pos="450"/>
          <w:tab w:val="num" w:pos="720"/>
        </w:tabs>
        <w:spacing w:after="120"/>
        <w:jc w:val="both"/>
        <w:rPr>
          <w:lang w:val="fr-FR"/>
        </w:rPr>
      </w:pPr>
    </w:p>
    <w:p w:rsidR="00414AE6" w:rsidRPr="0036404C" w:rsidRDefault="007E0508" w:rsidP="004B64B5">
      <w:pPr>
        <w:pStyle w:val="Caption"/>
        <w:keepNext/>
        <w:spacing w:after="0"/>
        <w:ind w:left="270"/>
        <w:jc w:val="both"/>
        <w:rPr>
          <w:color w:val="auto"/>
          <w:sz w:val="24"/>
          <w:szCs w:val="24"/>
          <w:lang w:val="fr-FR"/>
        </w:rPr>
      </w:pPr>
      <w:bookmarkStart w:id="35" w:name="_Toc362269426"/>
      <w:r w:rsidRPr="0036404C">
        <w:rPr>
          <w:color w:val="auto"/>
          <w:sz w:val="24"/>
          <w:szCs w:val="24"/>
        </w:rPr>
        <w:t xml:space="preserve">Tableau </w:t>
      </w:r>
      <w:r w:rsidRPr="0036404C">
        <w:rPr>
          <w:color w:val="auto"/>
          <w:sz w:val="24"/>
          <w:szCs w:val="24"/>
        </w:rPr>
        <w:fldChar w:fldCharType="begin"/>
      </w:r>
      <w:r w:rsidRPr="0036404C">
        <w:rPr>
          <w:color w:val="auto"/>
          <w:sz w:val="24"/>
          <w:szCs w:val="24"/>
        </w:rPr>
        <w:instrText xml:space="preserve"> SEQ Tableau \* ARABIC </w:instrText>
      </w:r>
      <w:r w:rsidRPr="0036404C">
        <w:rPr>
          <w:color w:val="auto"/>
          <w:sz w:val="24"/>
          <w:szCs w:val="24"/>
        </w:rPr>
        <w:fldChar w:fldCharType="separate"/>
      </w:r>
      <w:r w:rsidR="0036404C" w:rsidRPr="0036404C">
        <w:rPr>
          <w:noProof/>
          <w:color w:val="auto"/>
          <w:sz w:val="24"/>
          <w:szCs w:val="24"/>
        </w:rPr>
        <w:t>5</w:t>
      </w:r>
      <w:r w:rsidRPr="0036404C">
        <w:rPr>
          <w:color w:val="auto"/>
          <w:sz w:val="24"/>
          <w:szCs w:val="24"/>
        </w:rPr>
        <w:fldChar w:fldCharType="end"/>
      </w:r>
      <w:r w:rsidRPr="0036404C">
        <w:rPr>
          <w:color w:val="auto"/>
          <w:sz w:val="24"/>
          <w:szCs w:val="24"/>
        </w:rPr>
        <w:t xml:space="preserve"> </w:t>
      </w:r>
      <w:r w:rsidR="00414AE6" w:rsidRPr="0036404C">
        <w:rPr>
          <w:color w:val="auto"/>
          <w:sz w:val="24"/>
          <w:szCs w:val="24"/>
          <w:lang w:val="fr-FR"/>
        </w:rPr>
        <w:t>: Allocation des fonds de l’accord financier avec l'IDA</w:t>
      </w:r>
      <w:bookmarkEnd w:id="35"/>
    </w:p>
    <w:tbl>
      <w:tblPr>
        <w:tblW w:w="929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3"/>
      </w:tblGrid>
      <w:tr w:rsidR="00E742C9" w:rsidRPr="00A7289C" w:rsidTr="00414AE6">
        <w:trPr>
          <w:trHeight w:val="225"/>
        </w:trPr>
        <w:tc>
          <w:tcPr>
            <w:tcW w:w="9293" w:type="dxa"/>
            <w:tcBorders>
              <w:top w:val="nil"/>
              <w:left w:val="nil"/>
              <w:bottom w:val="single" w:sz="4" w:space="0" w:color="auto"/>
              <w:right w:val="nil"/>
            </w:tcBorders>
            <w:noWrap/>
            <w:vAlign w:val="center"/>
          </w:tcPr>
          <w:tbl>
            <w:tblPr>
              <w:tblW w:w="90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800"/>
              <w:gridCol w:w="2520"/>
            </w:tblGrid>
            <w:tr w:rsidR="00414AE6" w:rsidRPr="00857EF9" w:rsidTr="00DB3946">
              <w:tc>
                <w:tcPr>
                  <w:tcW w:w="4680" w:type="dxa"/>
                </w:tcPr>
                <w:p w:rsidR="00414AE6" w:rsidRPr="00A7289C" w:rsidRDefault="00414AE6" w:rsidP="001D050E">
                  <w:pPr>
                    <w:pStyle w:val="ModelNrmlSingle"/>
                    <w:ind w:firstLine="0"/>
                    <w:jc w:val="center"/>
                    <w:rPr>
                      <w:b/>
                      <w:bCs/>
                      <w:szCs w:val="22"/>
                    </w:rPr>
                  </w:pPr>
                  <w:proofErr w:type="spellStart"/>
                  <w:r>
                    <w:rPr>
                      <w:b/>
                      <w:bCs/>
                      <w:szCs w:val="22"/>
                    </w:rPr>
                    <w:t>Catégories</w:t>
                  </w:r>
                  <w:proofErr w:type="spellEnd"/>
                </w:p>
              </w:tc>
              <w:tc>
                <w:tcPr>
                  <w:tcW w:w="1800" w:type="dxa"/>
                </w:tcPr>
                <w:p w:rsidR="00414AE6" w:rsidRPr="00857EF9" w:rsidRDefault="00414AE6" w:rsidP="008F4065">
                  <w:pPr>
                    <w:pStyle w:val="ModelNrmlSingle"/>
                    <w:ind w:firstLine="0"/>
                    <w:jc w:val="center"/>
                    <w:rPr>
                      <w:b/>
                      <w:bCs/>
                      <w:szCs w:val="22"/>
                      <w:lang w:val="fr-FR"/>
                    </w:rPr>
                  </w:pPr>
                  <w:r w:rsidRPr="00857EF9">
                    <w:rPr>
                      <w:b/>
                      <w:bCs/>
                      <w:szCs w:val="22"/>
                      <w:lang w:val="fr-FR"/>
                    </w:rPr>
                    <w:t>Montant du don alloué (exprimé en DTS)</w:t>
                  </w:r>
                  <w:r w:rsidR="002142CF" w:rsidRPr="00A7289C">
                    <w:rPr>
                      <w:rStyle w:val="FootnoteReference"/>
                      <w:b/>
                      <w:bCs/>
                      <w:szCs w:val="22"/>
                    </w:rPr>
                    <w:footnoteReference w:id="69"/>
                  </w:r>
                </w:p>
              </w:tc>
              <w:tc>
                <w:tcPr>
                  <w:tcW w:w="2520" w:type="dxa"/>
                </w:tcPr>
                <w:p w:rsidR="00414AE6" w:rsidRPr="00857EF9" w:rsidRDefault="00414AE6" w:rsidP="001D050E">
                  <w:pPr>
                    <w:pStyle w:val="ModelNrmlSingle"/>
                    <w:spacing w:after="0"/>
                    <w:ind w:firstLine="0"/>
                    <w:jc w:val="center"/>
                    <w:rPr>
                      <w:b/>
                      <w:bCs/>
                      <w:szCs w:val="22"/>
                      <w:lang w:val="fr-FR"/>
                    </w:rPr>
                  </w:pPr>
                  <w:r w:rsidRPr="00857EF9">
                    <w:rPr>
                      <w:b/>
                      <w:bCs/>
                      <w:szCs w:val="22"/>
                      <w:lang w:val="fr-FR"/>
                    </w:rPr>
                    <w:t>Pourcentage de dépenses à financer</w:t>
                  </w:r>
                </w:p>
                <w:p w:rsidR="00414AE6" w:rsidRPr="00857EF9" w:rsidRDefault="00414AE6" w:rsidP="001D050E">
                  <w:pPr>
                    <w:pStyle w:val="ModelNrmlSingle"/>
                    <w:spacing w:after="0"/>
                    <w:ind w:firstLine="0"/>
                    <w:jc w:val="center"/>
                    <w:rPr>
                      <w:b/>
                      <w:bCs/>
                      <w:szCs w:val="22"/>
                      <w:lang w:val="fr-FR"/>
                    </w:rPr>
                  </w:pPr>
                  <w:r w:rsidRPr="00857EF9">
                    <w:rPr>
                      <w:b/>
                      <w:bCs/>
                      <w:szCs w:val="22"/>
                      <w:lang w:val="fr-FR"/>
                    </w:rPr>
                    <w:t>(y compris les taxes)</w:t>
                  </w:r>
                </w:p>
              </w:tc>
            </w:tr>
            <w:tr w:rsidR="00414AE6" w:rsidRPr="00A7289C" w:rsidTr="00DB3946">
              <w:tc>
                <w:tcPr>
                  <w:tcW w:w="4680" w:type="dxa"/>
                </w:tcPr>
                <w:p w:rsidR="00BD7648" w:rsidRPr="00857EF9" w:rsidRDefault="00BD7648" w:rsidP="00BD7648">
                  <w:pPr>
                    <w:pStyle w:val="ModelNrmlSingle"/>
                    <w:ind w:firstLine="0"/>
                    <w:jc w:val="left"/>
                    <w:rPr>
                      <w:szCs w:val="22"/>
                      <w:lang w:val="fr-FR"/>
                    </w:rPr>
                  </w:pPr>
                  <w:r w:rsidRPr="00857EF9">
                    <w:rPr>
                      <w:szCs w:val="22"/>
                      <w:lang w:val="fr-FR"/>
                    </w:rPr>
                    <w:t>(1) Biens, services autres que les services de consultants, services de consultants et formations pour :</w:t>
                  </w:r>
                </w:p>
                <w:p w:rsidR="00BD7648" w:rsidRPr="00857EF9" w:rsidRDefault="00BD7648" w:rsidP="00BD7648">
                  <w:pPr>
                    <w:pStyle w:val="ModelNrmlSingle"/>
                    <w:spacing w:before="240"/>
                    <w:ind w:firstLine="0"/>
                    <w:jc w:val="left"/>
                    <w:rPr>
                      <w:szCs w:val="22"/>
                      <w:lang w:val="fr-FR"/>
                    </w:rPr>
                  </w:pPr>
                  <w:r w:rsidRPr="00857EF9">
                    <w:rPr>
                      <w:szCs w:val="22"/>
                      <w:lang w:val="fr-FR"/>
                    </w:rPr>
                    <w:lastRenderedPageBreak/>
                    <w:t xml:space="preserve">(a) </w:t>
                  </w:r>
                  <w:r w:rsidR="00FB137A" w:rsidRPr="00857EF9">
                    <w:rPr>
                      <w:szCs w:val="22"/>
                      <w:lang w:val="fr-FR"/>
                    </w:rPr>
                    <w:t>Composante </w:t>
                  </w:r>
                  <w:r w:rsidRPr="00857EF9">
                    <w:rPr>
                      <w:szCs w:val="22"/>
                      <w:lang w:val="fr-FR"/>
                    </w:rPr>
                    <w:t xml:space="preserve">1 du projet, à l'exception du : (i) du financement du renforcement du pouvoir de l'autorité de supervision des ZEI et (ii) du financement des études de faisabilité des ZEI (Parties A.1, A.2(a), A.2(b), A.2(e) et A2(f) du projet comme précisé dans le </w:t>
                  </w:r>
                  <w:r w:rsidR="00A878B6" w:rsidRPr="00857EF9">
                    <w:rPr>
                      <w:szCs w:val="22"/>
                      <w:lang w:val="fr-FR"/>
                    </w:rPr>
                    <w:t>Calendrier </w:t>
                  </w:r>
                  <w:r w:rsidRPr="00857EF9">
                    <w:rPr>
                      <w:szCs w:val="22"/>
                      <w:lang w:val="fr-FR"/>
                    </w:rPr>
                    <w:t>1 de l'AF)</w:t>
                  </w:r>
                </w:p>
                <w:p w:rsidR="00414AE6" w:rsidRPr="00857EF9" w:rsidRDefault="00BD7648" w:rsidP="00BD7648">
                  <w:pPr>
                    <w:pStyle w:val="ModelNrmlSingle"/>
                    <w:spacing w:after="0"/>
                    <w:ind w:firstLine="0"/>
                    <w:jc w:val="left"/>
                    <w:rPr>
                      <w:szCs w:val="22"/>
                      <w:lang w:val="fr-FR"/>
                    </w:rPr>
                  </w:pPr>
                  <w:r w:rsidRPr="00857EF9">
                    <w:rPr>
                      <w:szCs w:val="22"/>
                      <w:lang w:val="fr-FR"/>
                    </w:rPr>
                    <w:t xml:space="preserve">(b) du financement du renforcement du pouvoir de l'autorité de supervision des ZEI comme précisé dans la Partie A.2(c) du </w:t>
                  </w:r>
                  <w:r w:rsidR="00A878B6" w:rsidRPr="00857EF9">
                    <w:rPr>
                      <w:szCs w:val="22"/>
                      <w:lang w:val="fr-FR"/>
                    </w:rPr>
                    <w:t>Calendrier </w:t>
                  </w:r>
                  <w:r w:rsidRPr="00857EF9">
                    <w:rPr>
                      <w:szCs w:val="22"/>
                      <w:lang w:val="fr-FR"/>
                    </w:rPr>
                    <w:t>1 de l'AF</w:t>
                  </w:r>
                </w:p>
                <w:p w:rsidR="004A122C" w:rsidRPr="00857EF9" w:rsidRDefault="004A122C" w:rsidP="00BD7648">
                  <w:pPr>
                    <w:pStyle w:val="ModelNrmlSingle"/>
                    <w:spacing w:after="0"/>
                    <w:ind w:firstLine="0"/>
                    <w:jc w:val="left"/>
                    <w:rPr>
                      <w:szCs w:val="22"/>
                      <w:lang w:val="fr-FR"/>
                    </w:rPr>
                  </w:pPr>
                </w:p>
                <w:p w:rsidR="004A122C" w:rsidRPr="00857EF9" w:rsidRDefault="004A122C" w:rsidP="00A878B6">
                  <w:pPr>
                    <w:pStyle w:val="ModelNrmlSingle"/>
                    <w:spacing w:after="0"/>
                    <w:ind w:firstLine="0"/>
                    <w:jc w:val="left"/>
                    <w:rPr>
                      <w:szCs w:val="22"/>
                      <w:lang w:val="fr-FR"/>
                    </w:rPr>
                  </w:pPr>
                  <w:r w:rsidRPr="00857EF9">
                    <w:rPr>
                      <w:szCs w:val="22"/>
                      <w:lang w:val="fr-FR"/>
                    </w:rPr>
                    <w:t xml:space="preserve">(c) du financement des études de faisabilité des ZEI comme précisé dans la Partie A.2(d) du </w:t>
                  </w:r>
                  <w:r w:rsidR="00A878B6" w:rsidRPr="00857EF9">
                    <w:rPr>
                      <w:szCs w:val="22"/>
                      <w:lang w:val="fr-FR"/>
                    </w:rPr>
                    <w:t>Calendrier </w:t>
                  </w:r>
                  <w:r w:rsidRPr="00857EF9">
                    <w:rPr>
                      <w:szCs w:val="22"/>
                      <w:lang w:val="fr-FR"/>
                    </w:rPr>
                    <w:t>1 de l'AF</w:t>
                  </w:r>
                </w:p>
              </w:tc>
              <w:tc>
                <w:tcPr>
                  <w:tcW w:w="1800" w:type="dxa"/>
                </w:tcPr>
                <w:p w:rsidR="00414AE6" w:rsidRPr="00857EF9" w:rsidRDefault="00414AE6" w:rsidP="001D050E">
                  <w:pPr>
                    <w:pStyle w:val="ModelNrmlSingle"/>
                    <w:spacing w:after="0"/>
                    <w:ind w:firstLine="0"/>
                    <w:jc w:val="center"/>
                    <w:rPr>
                      <w:szCs w:val="22"/>
                      <w:lang w:val="fr-FR"/>
                    </w:rPr>
                  </w:pPr>
                </w:p>
                <w:p w:rsidR="008F4065" w:rsidRPr="00857EF9" w:rsidRDefault="008F4065" w:rsidP="001D050E">
                  <w:pPr>
                    <w:pStyle w:val="ModelNrmlSingle"/>
                    <w:spacing w:after="0"/>
                    <w:ind w:firstLine="0"/>
                    <w:jc w:val="center"/>
                    <w:rPr>
                      <w:szCs w:val="22"/>
                      <w:lang w:val="fr-FR"/>
                    </w:rPr>
                  </w:pPr>
                </w:p>
                <w:p w:rsidR="008F4065" w:rsidRPr="00857EF9" w:rsidRDefault="008F4065" w:rsidP="001D050E">
                  <w:pPr>
                    <w:pStyle w:val="ModelNrmlSingle"/>
                    <w:spacing w:after="0"/>
                    <w:ind w:firstLine="0"/>
                    <w:jc w:val="center"/>
                    <w:rPr>
                      <w:szCs w:val="22"/>
                      <w:lang w:val="fr-FR"/>
                    </w:rPr>
                  </w:pPr>
                </w:p>
                <w:p w:rsidR="008F4065" w:rsidRPr="00857EF9" w:rsidRDefault="008F4065" w:rsidP="001D050E">
                  <w:pPr>
                    <w:pStyle w:val="ModelNrmlSingle"/>
                    <w:spacing w:after="0"/>
                    <w:ind w:firstLine="0"/>
                    <w:jc w:val="center"/>
                    <w:rPr>
                      <w:szCs w:val="22"/>
                      <w:lang w:val="fr-FR"/>
                    </w:rPr>
                  </w:pPr>
                </w:p>
                <w:p w:rsidR="008F4065" w:rsidRPr="00857EF9" w:rsidRDefault="008F4065" w:rsidP="001D050E">
                  <w:pPr>
                    <w:pStyle w:val="ModelNrmlSingle"/>
                    <w:spacing w:after="0"/>
                    <w:ind w:firstLine="0"/>
                    <w:jc w:val="center"/>
                    <w:rPr>
                      <w:szCs w:val="22"/>
                      <w:lang w:val="fr-FR"/>
                    </w:rPr>
                  </w:pPr>
                </w:p>
                <w:p w:rsidR="004A122C" w:rsidRPr="00A7289C" w:rsidRDefault="008F4065" w:rsidP="008F4065">
                  <w:pPr>
                    <w:pStyle w:val="ModelNrmlSingle"/>
                    <w:spacing w:after="0"/>
                    <w:ind w:firstLine="0"/>
                    <w:jc w:val="center"/>
                    <w:rPr>
                      <w:szCs w:val="22"/>
                    </w:rPr>
                  </w:pPr>
                  <w:r>
                    <w:rPr>
                      <w:szCs w:val="22"/>
                    </w:rPr>
                    <w:t>3</w:t>
                  </w:r>
                  <w:r w:rsidR="004B64B5">
                    <w:rPr>
                      <w:szCs w:val="22"/>
                    </w:rPr>
                    <w:t>,</w:t>
                  </w:r>
                  <w:r>
                    <w:rPr>
                      <w:szCs w:val="22"/>
                    </w:rPr>
                    <w:t>149</w:t>
                  </w:r>
                  <w:r w:rsidR="004B64B5">
                    <w:rPr>
                      <w:szCs w:val="22"/>
                    </w:rPr>
                    <w:t>,</w:t>
                  </w:r>
                  <w:r>
                    <w:rPr>
                      <w:szCs w:val="22"/>
                    </w:rPr>
                    <w:t>000</w:t>
                  </w:r>
                </w:p>
                <w:p w:rsidR="004A122C" w:rsidRPr="00A7289C" w:rsidRDefault="004A122C" w:rsidP="001D050E">
                  <w:pPr>
                    <w:pStyle w:val="ModelNrmlSingle"/>
                    <w:spacing w:after="0"/>
                    <w:ind w:firstLine="0"/>
                    <w:jc w:val="center"/>
                    <w:rPr>
                      <w:szCs w:val="22"/>
                    </w:rPr>
                  </w:pPr>
                </w:p>
                <w:p w:rsidR="004A122C" w:rsidRPr="00A7289C" w:rsidRDefault="004A122C" w:rsidP="001D050E">
                  <w:pPr>
                    <w:pStyle w:val="ModelNrmlSingle"/>
                    <w:spacing w:after="0"/>
                    <w:ind w:firstLine="0"/>
                    <w:jc w:val="center"/>
                    <w:rPr>
                      <w:szCs w:val="22"/>
                    </w:rPr>
                  </w:pPr>
                </w:p>
                <w:p w:rsidR="008214D8" w:rsidRPr="00A7289C" w:rsidRDefault="008214D8" w:rsidP="001D050E">
                  <w:pPr>
                    <w:pStyle w:val="ModelNrmlSingle"/>
                    <w:spacing w:after="0"/>
                    <w:ind w:firstLine="0"/>
                    <w:jc w:val="center"/>
                    <w:rPr>
                      <w:szCs w:val="22"/>
                    </w:rPr>
                  </w:pPr>
                </w:p>
                <w:p w:rsidR="008F4065" w:rsidRPr="00A7289C" w:rsidRDefault="008F4065" w:rsidP="008F4065">
                  <w:pPr>
                    <w:pStyle w:val="ModelNrmlSingle"/>
                    <w:spacing w:after="0"/>
                    <w:ind w:firstLine="0"/>
                    <w:jc w:val="center"/>
                    <w:rPr>
                      <w:szCs w:val="22"/>
                    </w:rPr>
                  </w:pPr>
                </w:p>
                <w:p w:rsidR="00414AE6" w:rsidRPr="00A7289C" w:rsidRDefault="008F4065" w:rsidP="008F4065">
                  <w:pPr>
                    <w:pStyle w:val="ModelNrmlSingle"/>
                    <w:spacing w:after="0"/>
                    <w:ind w:firstLine="0"/>
                    <w:jc w:val="center"/>
                    <w:rPr>
                      <w:szCs w:val="22"/>
                    </w:rPr>
                  </w:pPr>
                  <w:r>
                    <w:rPr>
                      <w:szCs w:val="22"/>
                    </w:rPr>
                    <w:t>670</w:t>
                  </w:r>
                  <w:r w:rsidR="004B64B5">
                    <w:rPr>
                      <w:szCs w:val="22"/>
                    </w:rPr>
                    <w:t>,</w:t>
                  </w:r>
                  <w:r>
                    <w:rPr>
                      <w:szCs w:val="22"/>
                    </w:rPr>
                    <w:t>000</w:t>
                  </w:r>
                </w:p>
                <w:p w:rsidR="008F4065" w:rsidRPr="00A7289C" w:rsidRDefault="008F4065" w:rsidP="008F4065">
                  <w:pPr>
                    <w:pStyle w:val="ModelNrmlSingle"/>
                    <w:spacing w:after="0"/>
                    <w:ind w:firstLine="0"/>
                    <w:jc w:val="center"/>
                    <w:rPr>
                      <w:szCs w:val="22"/>
                    </w:rPr>
                  </w:pPr>
                </w:p>
                <w:p w:rsidR="00BD7648" w:rsidRPr="00A7289C" w:rsidRDefault="00BD7648" w:rsidP="00BD7648">
                  <w:pPr>
                    <w:pStyle w:val="ModelNrmlSingle"/>
                    <w:spacing w:after="0"/>
                    <w:ind w:firstLine="0"/>
                    <w:jc w:val="center"/>
                    <w:rPr>
                      <w:szCs w:val="22"/>
                    </w:rPr>
                  </w:pPr>
                </w:p>
                <w:p w:rsidR="00BD7648" w:rsidRPr="00A7289C" w:rsidRDefault="00BD7648" w:rsidP="00BD7648">
                  <w:pPr>
                    <w:pStyle w:val="ModelNrmlSingle"/>
                    <w:spacing w:after="0"/>
                    <w:ind w:firstLine="0"/>
                    <w:jc w:val="center"/>
                    <w:rPr>
                      <w:szCs w:val="22"/>
                    </w:rPr>
                  </w:pPr>
                </w:p>
                <w:p w:rsidR="00593FA8" w:rsidRPr="00A7289C" w:rsidRDefault="008F4065" w:rsidP="008F4065">
                  <w:pPr>
                    <w:pStyle w:val="ModelNrmlSingle"/>
                    <w:spacing w:after="0"/>
                    <w:ind w:firstLine="0"/>
                    <w:jc w:val="center"/>
                    <w:rPr>
                      <w:szCs w:val="22"/>
                    </w:rPr>
                  </w:pPr>
                  <w:r>
                    <w:rPr>
                      <w:szCs w:val="22"/>
                    </w:rPr>
                    <w:t>2</w:t>
                  </w:r>
                  <w:r w:rsidR="004B64B5">
                    <w:rPr>
                      <w:szCs w:val="22"/>
                    </w:rPr>
                    <w:t>,</w:t>
                  </w:r>
                  <w:r>
                    <w:rPr>
                      <w:szCs w:val="22"/>
                    </w:rPr>
                    <w:t>680</w:t>
                  </w:r>
                  <w:r w:rsidR="004B64B5">
                    <w:rPr>
                      <w:szCs w:val="22"/>
                    </w:rPr>
                    <w:t>,</w:t>
                  </w:r>
                  <w:r>
                    <w:rPr>
                      <w:szCs w:val="22"/>
                    </w:rPr>
                    <w:t>000</w:t>
                  </w:r>
                </w:p>
                <w:p w:rsidR="00BD7648" w:rsidRPr="00A7289C" w:rsidRDefault="00BD7648" w:rsidP="00A82C9D">
                  <w:pPr>
                    <w:pStyle w:val="ModelNrmlSingle"/>
                    <w:spacing w:after="0"/>
                    <w:ind w:firstLine="0"/>
                    <w:jc w:val="center"/>
                    <w:rPr>
                      <w:szCs w:val="22"/>
                    </w:rPr>
                  </w:pPr>
                </w:p>
              </w:tc>
              <w:tc>
                <w:tcPr>
                  <w:tcW w:w="2520" w:type="dxa"/>
                </w:tcPr>
                <w:p w:rsidR="00414AE6" w:rsidRPr="00A7289C" w:rsidRDefault="003A3405" w:rsidP="00414AE6">
                  <w:pPr>
                    <w:pStyle w:val="ModelNrmlSingle"/>
                    <w:spacing w:after="0"/>
                    <w:ind w:firstLine="0"/>
                    <w:jc w:val="center"/>
                    <w:rPr>
                      <w:szCs w:val="22"/>
                    </w:rPr>
                  </w:pPr>
                  <w:r>
                    <w:rPr>
                      <w:szCs w:val="22"/>
                    </w:rPr>
                    <w:lastRenderedPageBreak/>
                    <w:t>100 %</w:t>
                  </w:r>
                </w:p>
              </w:tc>
            </w:tr>
            <w:tr w:rsidR="00414AE6" w:rsidRPr="00A7289C" w:rsidTr="00DB3946">
              <w:tc>
                <w:tcPr>
                  <w:tcW w:w="4680" w:type="dxa"/>
                </w:tcPr>
                <w:p w:rsidR="00414AE6" w:rsidRPr="00857EF9" w:rsidRDefault="00414AE6" w:rsidP="00A878B6">
                  <w:pPr>
                    <w:pStyle w:val="ModelNrmlSingle"/>
                    <w:spacing w:after="0"/>
                    <w:ind w:firstLine="0"/>
                    <w:jc w:val="left"/>
                    <w:rPr>
                      <w:szCs w:val="22"/>
                      <w:lang w:val="fr-FR"/>
                    </w:rPr>
                  </w:pPr>
                  <w:r w:rsidRPr="00857EF9">
                    <w:rPr>
                      <w:szCs w:val="22"/>
                      <w:lang w:val="fr-FR"/>
                    </w:rPr>
                    <w:lastRenderedPageBreak/>
                    <w:t xml:space="preserve">(2)  Biens, services autres que les services de consultants, services de consultants et formations pour la </w:t>
                  </w:r>
                  <w:r w:rsidR="00FB137A" w:rsidRPr="00857EF9">
                    <w:rPr>
                      <w:szCs w:val="22"/>
                      <w:lang w:val="fr-FR"/>
                    </w:rPr>
                    <w:t>composante </w:t>
                  </w:r>
                  <w:r w:rsidRPr="00857EF9">
                    <w:rPr>
                      <w:szCs w:val="22"/>
                      <w:lang w:val="fr-FR"/>
                    </w:rPr>
                    <w:t xml:space="preserve">2 du projet comme précisé dans les Parties B.1, B.2 (a), B.2 (b) et B.3 du </w:t>
                  </w:r>
                  <w:r w:rsidR="00A878B6" w:rsidRPr="00857EF9">
                    <w:rPr>
                      <w:szCs w:val="22"/>
                      <w:lang w:val="fr-FR"/>
                    </w:rPr>
                    <w:t>Calendrier </w:t>
                  </w:r>
                  <w:r w:rsidRPr="00857EF9">
                    <w:rPr>
                      <w:szCs w:val="22"/>
                      <w:lang w:val="fr-FR"/>
                    </w:rPr>
                    <w:t>1 de l'AF</w:t>
                  </w:r>
                </w:p>
              </w:tc>
              <w:tc>
                <w:tcPr>
                  <w:tcW w:w="1800" w:type="dxa"/>
                </w:tcPr>
                <w:p w:rsidR="00414AE6" w:rsidRPr="00857EF9" w:rsidRDefault="00414AE6" w:rsidP="001D050E">
                  <w:pPr>
                    <w:pStyle w:val="ModelNrmlSingle"/>
                    <w:spacing w:after="0"/>
                    <w:ind w:firstLine="0"/>
                    <w:jc w:val="center"/>
                    <w:rPr>
                      <w:szCs w:val="22"/>
                      <w:lang w:val="fr-FR"/>
                    </w:rPr>
                  </w:pPr>
                </w:p>
                <w:p w:rsidR="00414AE6" w:rsidRPr="00857EF9" w:rsidRDefault="00414AE6" w:rsidP="001D050E">
                  <w:pPr>
                    <w:pStyle w:val="ModelNrmlSingle"/>
                    <w:spacing w:after="0"/>
                    <w:ind w:firstLine="0"/>
                    <w:jc w:val="center"/>
                    <w:rPr>
                      <w:szCs w:val="22"/>
                      <w:lang w:val="fr-FR"/>
                    </w:rPr>
                  </w:pPr>
                </w:p>
                <w:p w:rsidR="00414AE6" w:rsidRPr="00A7289C" w:rsidRDefault="008F4065" w:rsidP="00A82C9D">
                  <w:pPr>
                    <w:pStyle w:val="ModelNrmlSingle"/>
                    <w:spacing w:after="0"/>
                    <w:ind w:firstLine="0"/>
                    <w:jc w:val="center"/>
                    <w:rPr>
                      <w:szCs w:val="22"/>
                    </w:rPr>
                  </w:pPr>
                  <w:r>
                    <w:rPr>
                      <w:szCs w:val="22"/>
                    </w:rPr>
                    <w:t>1</w:t>
                  </w:r>
                  <w:r w:rsidR="00141422">
                    <w:rPr>
                      <w:szCs w:val="22"/>
                    </w:rPr>
                    <w:t>,</w:t>
                  </w:r>
                  <w:r>
                    <w:rPr>
                      <w:szCs w:val="22"/>
                    </w:rPr>
                    <w:t>714</w:t>
                  </w:r>
                  <w:r w:rsidR="00141422">
                    <w:rPr>
                      <w:szCs w:val="22"/>
                    </w:rPr>
                    <w:t>,</w:t>
                  </w:r>
                  <w:r>
                    <w:rPr>
                      <w:szCs w:val="22"/>
                    </w:rPr>
                    <w:t>500</w:t>
                  </w:r>
                </w:p>
              </w:tc>
              <w:tc>
                <w:tcPr>
                  <w:tcW w:w="2520" w:type="dxa"/>
                </w:tcPr>
                <w:p w:rsidR="00414AE6" w:rsidRPr="00A7289C" w:rsidRDefault="003A3405" w:rsidP="00414AE6">
                  <w:pPr>
                    <w:pStyle w:val="ModelNrmlSingle"/>
                    <w:spacing w:after="0"/>
                    <w:ind w:firstLine="0"/>
                    <w:jc w:val="center"/>
                    <w:rPr>
                      <w:szCs w:val="22"/>
                    </w:rPr>
                  </w:pPr>
                  <w:r>
                    <w:rPr>
                      <w:szCs w:val="22"/>
                    </w:rPr>
                    <w:t>100 %</w:t>
                  </w:r>
                </w:p>
              </w:tc>
            </w:tr>
            <w:tr w:rsidR="00A967C7" w:rsidRPr="00113620" w:rsidTr="00DB3946">
              <w:trPr>
                <w:trHeight w:val="881"/>
              </w:trPr>
              <w:tc>
                <w:tcPr>
                  <w:tcW w:w="4680" w:type="dxa"/>
                </w:tcPr>
                <w:p w:rsidR="00A967C7" w:rsidRPr="00857EF9" w:rsidRDefault="00A967C7" w:rsidP="00A878B6">
                  <w:pPr>
                    <w:pStyle w:val="ModelNrmlSingle"/>
                    <w:spacing w:after="0"/>
                    <w:ind w:firstLine="0"/>
                    <w:jc w:val="left"/>
                    <w:rPr>
                      <w:szCs w:val="22"/>
                      <w:lang w:val="fr-FR"/>
                    </w:rPr>
                  </w:pPr>
                  <w:r w:rsidRPr="00857EF9">
                    <w:rPr>
                      <w:szCs w:val="22"/>
                      <w:lang w:val="fr-FR"/>
                    </w:rPr>
                    <w:t xml:space="preserve">(3)  </w:t>
                  </w:r>
                  <w:r w:rsidRPr="00857EF9">
                    <w:rPr>
                      <w:color w:val="000000"/>
                      <w:szCs w:val="22"/>
                      <w:lang w:val="fr-FR"/>
                    </w:rPr>
                    <w:t xml:space="preserve">Biens, travaux, services de consultants et formations relatifs aux subventions de contrepartie de la </w:t>
                  </w:r>
                  <w:r w:rsidR="00FB137A" w:rsidRPr="00857EF9">
                    <w:rPr>
                      <w:color w:val="000000"/>
                      <w:szCs w:val="22"/>
                      <w:lang w:val="fr-FR"/>
                    </w:rPr>
                    <w:t>composante </w:t>
                  </w:r>
                  <w:r w:rsidRPr="00857EF9">
                    <w:rPr>
                      <w:color w:val="000000"/>
                      <w:szCs w:val="22"/>
                      <w:lang w:val="fr-FR"/>
                    </w:rPr>
                    <w:t>2 du projet</w:t>
                  </w:r>
                  <w:r w:rsidRPr="00857EF9">
                    <w:rPr>
                      <w:szCs w:val="22"/>
                      <w:lang w:val="fr-FR"/>
                    </w:rPr>
                    <w:t xml:space="preserve"> comme précisé dans la Partie B.2(c) du </w:t>
                  </w:r>
                  <w:r w:rsidR="00A878B6" w:rsidRPr="00857EF9">
                    <w:rPr>
                      <w:szCs w:val="22"/>
                      <w:lang w:val="fr-FR"/>
                    </w:rPr>
                    <w:t>Calendrier </w:t>
                  </w:r>
                  <w:r w:rsidRPr="00857EF9">
                    <w:rPr>
                      <w:szCs w:val="22"/>
                      <w:lang w:val="fr-FR"/>
                    </w:rPr>
                    <w:t>1 de l'AF</w:t>
                  </w:r>
                </w:p>
              </w:tc>
              <w:tc>
                <w:tcPr>
                  <w:tcW w:w="1800" w:type="dxa"/>
                </w:tcPr>
                <w:p w:rsidR="00A967C7" w:rsidRPr="00857EF9" w:rsidRDefault="00A967C7" w:rsidP="00A967C7">
                  <w:pPr>
                    <w:pStyle w:val="ModelNrmlSingle"/>
                    <w:spacing w:after="0"/>
                    <w:ind w:firstLine="0"/>
                    <w:jc w:val="center"/>
                    <w:rPr>
                      <w:szCs w:val="22"/>
                      <w:lang w:val="fr-FR"/>
                    </w:rPr>
                  </w:pPr>
                </w:p>
                <w:p w:rsidR="00A967C7" w:rsidRPr="00857EF9" w:rsidRDefault="00A967C7" w:rsidP="00A967C7">
                  <w:pPr>
                    <w:pStyle w:val="ModelNrmlSingle"/>
                    <w:spacing w:after="0"/>
                    <w:ind w:firstLine="0"/>
                    <w:jc w:val="center"/>
                    <w:rPr>
                      <w:szCs w:val="22"/>
                      <w:lang w:val="fr-FR"/>
                    </w:rPr>
                  </w:pPr>
                </w:p>
                <w:p w:rsidR="00A967C7" w:rsidRPr="00A7289C" w:rsidRDefault="008F4065" w:rsidP="008F4065">
                  <w:pPr>
                    <w:pStyle w:val="ModelNrmlSingle"/>
                    <w:spacing w:after="0"/>
                    <w:ind w:firstLine="0"/>
                    <w:jc w:val="center"/>
                    <w:rPr>
                      <w:szCs w:val="22"/>
                    </w:rPr>
                  </w:pPr>
                  <w:r>
                    <w:rPr>
                      <w:szCs w:val="22"/>
                    </w:rPr>
                    <w:t>2</w:t>
                  </w:r>
                  <w:r w:rsidR="00141422">
                    <w:rPr>
                      <w:szCs w:val="22"/>
                    </w:rPr>
                    <w:t>,</w:t>
                  </w:r>
                  <w:r>
                    <w:rPr>
                      <w:szCs w:val="22"/>
                    </w:rPr>
                    <w:t>713</w:t>
                  </w:r>
                  <w:r w:rsidR="00141422">
                    <w:rPr>
                      <w:szCs w:val="22"/>
                    </w:rPr>
                    <w:t>,</w:t>
                  </w:r>
                  <w:r>
                    <w:rPr>
                      <w:szCs w:val="22"/>
                    </w:rPr>
                    <w:t>500</w:t>
                  </w:r>
                </w:p>
              </w:tc>
              <w:tc>
                <w:tcPr>
                  <w:tcW w:w="2520" w:type="dxa"/>
                </w:tcPr>
                <w:p w:rsidR="00A967C7" w:rsidRPr="00857EF9" w:rsidRDefault="00A967C7" w:rsidP="00414AE6">
                  <w:pPr>
                    <w:pStyle w:val="ModelNrmlSingle"/>
                    <w:spacing w:after="0"/>
                    <w:ind w:firstLine="0"/>
                    <w:jc w:val="center"/>
                    <w:rPr>
                      <w:szCs w:val="22"/>
                      <w:lang w:val="fr-FR"/>
                    </w:rPr>
                  </w:pPr>
                  <w:r w:rsidRPr="00857EF9">
                    <w:rPr>
                      <w:color w:val="000000"/>
                      <w:szCs w:val="22"/>
                      <w:lang w:val="fr-FR"/>
                    </w:rPr>
                    <w:t xml:space="preserve">100 % du montant éligible d'une subvention de contrepartie conformément à la formule énoncée dans le manuel des opérations et le </w:t>
                  </w:r>
                  <w:r w:rsidRPr="00857EF9">
                    <w:rPr>
                      <w:bCs/>
                      <w:color w:val="000000"/>
                      <w:szCs w:val="22"/>
                      <w:lang w:val="fr-FR"/>
                    </w:rPr>
                    <w:t>manuel relatif aux subventions de contrepartie</w:t>
                  </w:r>
                </w:p>
              </w:tc>
            </w:tr>
            <w:tr w:rsidR="00A967C7" w:rsidRPr="00A7289C" w:rsidTr="00DB3946">
              <w:trPr>
                <w:trHeight w:val="881"/>
              </w:trPr>
              <w:tc>
                <w:tcPr>
                  <w:tcW w:w="4680" w:type="dxa"/>
                </w:tcPr>
                <w:p w:rsidR="00A967C7" w:rsidRPr="00857EF9" w:rsidRDefault="00A967C7" w:rsidP="00FB137A">
                  <w:pPr>
                    <w:pStyle w:val="ModelNrmlSingle"/>
                    <w:spacing w:after="0"/>
                    <w:ind w:firstLine="0"/>
                    <w:jc w:val="left"/>
                    <w:rPr>
                      <w:szCs w:val="22"/>
                      <w:lang w:val="fr-FR"/>
                    </w:rPr>
                  </w:pPr>
                  <w:r w:rsidRPr="00857EF9">
                    <w:rPr>
                      <w:szCs w:val="22"/>
                      <w:lang w:val="fr-FR"/>
                    </w:rPr>
                    <w:t xml:space="preserve">(4)  Biens, services autres que les services de consultants, services de consultants et formations pour la </w:t>
                  </w:r>
                  <w:r w:rsidR="00FB137A" w:rsidRPr="00857EF9">
                    <w:rPr>
                      <w:szCs w:val="22"/>
                      <w:lang w:val="fr-FR"/>
                    </w:rPr>
                    <w:t>composante </w:t>
                  </w:r>
                  <w:r w:rsidRPr="00857EF9">
                    <w:rPr>
                      <w:szCs w:val="22"/>
                      <w:lang w:val="fr-FR"/>
                    </w:rPr>
                    <w:t>3 du projet</w:t>
                  </w:r>
                </w:p>
              </w:tc>
              <w:tc>
                <w:tcPr>
                  <w:tcW w:w="1800" w:type="dxa"/>
                </w:tcPr>
                <w:p w:rsidR="00A967C7" w:rsidRPr="00857EF9" w:rsidRDefault="00A967C7" w:rsidP="001D050E">
                  <w:pPr>
                    <w:pStyle w:val="ModelNrmlSingle"/>
                    <w:spacing w:after="0"/>
                    <w:ind w:firstLine="0"/>
                    <w:jc w:val="center"/>
                    <w:rPr>
                      <w:szCs w:val="22"/>
                      <w:lang w:val="fr-FR"/>
                    </w:rPr>
                  </w:pPr>
                </w:p>
                <w:p w:rsidR="00A967C7" w:rsidRPr="00A7289C" w:rsidRDefault="008F4065" w:rsidP="00141422">
                  <w:pPr>
                    <w:pStyle w:val="ModelNrmlSingle"/>
                    <w:spacing w:after="0"/>
                    <w:ind w:firstLine="0"/>
                    <w:jc w:val="center"/>
                    <w:rPr>
                      <w:szCs w:val="22"/>
                    </w:rPr>
                  </w:pPr>
                  <w:r>
                    <w:rPr>
                      <w:szCs w:val="22"/>
                    </w:rPr>
                    <w:t>1</w:t>
                  </w:r>
                  <w:r w:rsidR="00141422">
                    <w:rPr>
                      <w:szCs w:val="22"/>
                    </w:rPr>
                    <w:t>,</w:t>
                  </w:r>
                  <w:r>
                    <w:rPr>
                      <w:szCs w:val="22"/>
                    </w:rPr>
                    <w:t>337</w:t>
                  </w:r>
                  <w:r w:rsidR="00141422">
                    <w:rPr>
                      <w:szCs w:val="22"/>
                    </w:rPr>
                    <w:t>,</w:t>
                  </w:r>
                  <w:r>
                    <w:rPr>
                      <w:szCs w:val="22"/>
                    </w:rPr>
                    <w:t>000</w:t>
                  </w:r>
                </w:p>
              </w:tc>
              <w:tc>
                <w:tcPr>
                  <w:tcW w:w="2520" w:type="dxa"/>
                </w:tcPr>
                <w:p w:rsidR="00A967C7" w:rsidRPr="00A7289C" w:rsidRDefault="003A3405" w:rsidP="00414AE6">
                  <w:pPr>
                    <w:pStyle w:val="ModelNrmlSingle"/>
                    <w:spacing w:after="0"/>
                    <w:ind w:firstLine="0"/>
                    <w:jc w:val="center"/>
                    <w:rPr>
                      <w:szCs w:val="22"/>
                    </w:rPr>
                  </w:pPr>
                  <w:r>
                    <w:rPr>
                      <w:szCs w:val="22"/>
                    </w:rPr>
                    <w:t>100 %</w:t>
                  </w:r>
                </w:p>
              </w:tc>
            </w:tr>
            <w:tr w:rsidR="00A967C7" w:rsidRPr="00A7289C" w:rsidTr="00DB3946">
              <w:tc>
                <w:tcPr>
                  <w:tcW w:w="4680" w:type="dxa"/>
                </w:tcPr>
                <w:p w:rsidR="00A967C7" w:rsidRPr="00857EF9" w:rsidRDefault="00A967C7" w:rsidP="00A878B6">
                  <w:pPr>
                    <w:pStyle w:val="ModelNrmlSingle"/>
                    <w:spacing w:after="0"/>
                    <w:ind w:firstLine="0"/>
                    <w:jc w:val="left"/>
                    <w:rPr>
                      <w:szCs w:val="22"/>
                      <w:lang w:val="fr-FR"/>
                    </w:rPr>
                  </w:pPr>
                  <w:r w:rsidRPr="00857EF9">
                    <w:rPr>
                      <w:szCs w:val="22"/>
                      <w:lang w:val="fr-FR"/>
                    </w:rPr>
                    <w:t xml:space="preserve">(5)  Charges d’exploitation des </w:t>
                  </w:r>
                  <w:r w:rsidR="00FB137A" w:rsidRPr="00857EF9">
                    <w:rPr>
                      <w:szCs w:val="22"/>
                      <w:lang w:val="fr-FR"/>
                    </w:rPr>
                    <w:t>composantes </w:t>
                  </w:r>
                  <w:r w:rsidRPr="00857EF9">
                    <w:rPr>
                      <w:szCs w:val="22"/>
                      <w:lang w:val="fr-FR"/>
                    </w:rPr>
                    <w:t xml:space="preserve">1, 2 et 3 du projet comme précisé dans le </w:t>
                  </w:r>
                  <w:r w:rsidR="00A878B6" w:rsidRPr="00857EF9">
                    <w:rPr>
                      <w:szCs w:val="22"/>
                      <w:lang w:val="fr-FR"/>
                    </w:rPr>
                    <w:t>Calendrier </w:t>
                  </w:r>
                  <w:r w:rsidRPr="00857EF9">
                    <w:rPr>
                      <w:szCs w:val="22"/>
                      <w:lang w:val="fr-FR"/>
                    </w:rPr>
                    <w:t>1 de l'AF</w:t>
                  </w:r>
                </w:p>
              </w:tc>
              <w:tc>
                <w:tcPr>
                  <w:tcW w:w="1800" w:type="dxa"/>
                </w:tcPr>
                <w:p w:rsidR="00A967C7" w:rsidRPr="00A7289C" w:rsidRDefault="008F4065" w:rsidP="008F4065">
                  <w:pPr>
                    <w:pStyle w:val="ModelNrmlSingle"/>
                    <w:spacing w:after="0"/>
                    <w:ind w:firstLine="0"/>
                    <w:jc w:val="center"/>
                    <w:rPr>
                      <w:szCs w:val="22"/>
                    </w:rPr>
                  </w:pPr>
                  <w:r>
                    <w:rPr>
                      <w:szCs w:val="22"/>
                    </w:rPr>
                    <w:t>335</w:t>
                  </w:r>
                  <w:r w:rsidR="00141422">
                    <w:rPr>
                      <w:szCs w:val="22"/>
                    </w:rPr>
                    <w:t>,</w:t>
                  </w:r>
                  <w:r>
                    <w:rPr>
                      <w:szCs w:val="22"/>
                    </w:rPr>
                    <w:t>000</w:t>
                  </w:r>
                </w:p>
              </w:tc>
              <w:tc>
                <w:tcPr>
                  <w:tcW w:w="2520" w:type="dxa"/>
                </w:tcPr>
                <w:p w:rsidR="00A967C7" w:rsidRPr="00A7289C" w:rsidRDefault="003A3405" w:rsidP="00414AE6">
                  <w:pPr>
                    <w:pStyle w:val="ModelNrmlSingle"/>
                    <w:spacing w:after="0"/>
                    <w:ind w:firstLine="0"/>
                    <w:jc w:val="center"/>
                    <w:rPr>
                      <w:b/>
                      <w:szCs w:val="22"/>
                    </w:rPr>
                  </w:pPr>
                  <w:r>
                    <w:rPr>
                      <w:szCs w:val="22"/>
                    </w:rPr>
                    <w:t>100 %</w:t>
                  </w:r>
                </w:p>
              </w:tc>
            </w:tr>
            <w:tr w:rsidR="00A967C7" w:rsidRPr="00A7289C" w:rsidTr="00DB3946">
              <w:tc>
                <w:tcPr>
                  <w:tcW w:w="4680" w:type="dxa"/>
                </w:tcPr>
                <w:p w:rsidR="00A967C7" w:rsidRPr="00857EF9" w:rsidRDefault="00A967C7" w:rsidP="00FB137A">
                  <w:pPr>
                    <w:pStyle w:val="ModelNrmlSingle"/>
                    <w:spacing w:after="0"/>
                    <w:ind w:firstLine="0"/>
                    <w:jc w:val="left"/>
                    <w:rPr>
                      <w:szCs w:val="22"/>
                      <w:lang w:val="fr-FR"/>
                    </w:rPr>
                  </w:pPr>
                  <w:r w:rsidRPr="00857EF9">
                    <w:rPr>
                      <w:szCs w:val="22"/>
                      <w:lang w:val="fr-FR"/>
                    </w:rPr>
                    <w:t xml:space="preserve">(6)  Dépenses d'urgence de la </w:t>
                  </w:r>
                  <w:r w:rsidR="00FB137A" w:rsidRPr="00857EF9">
                    <w:rPr>
                      <w:szCs w:val="22"/>
                      <w:lang w:val="fr-FR"/>
                    </w:rPr>
                    <w:t>composante </w:t>
                  </w:r>
                  <w:r w:rsidRPr="00857EF9">
                    <w:rPr>
                      <w:szCs w:val="22"/>
                      <w:lang w:val="fr-FR"/>
                    </w:rPr>
                    <w:t>4 du projet</w:t>
                  </w:r>
                </w:p>
              </w:tc>
              <w:tc>
                <w:tcPr>
                  <w:tcW w:w="1800" w:type="dxa"/>
                </w:tcPr>
                <w:p w:rsidR="00A967C7" w:rsidRPr="00A7289C" w:rsidRDefault="008F4065" w:rsidP="001D050E">
                  <w:pPr>
                    <w:pStyle w:val="ModelNrmlSingle"/>
                    <w:spacing w:after="0"/>
                    <w:ind w:firstLine="0"/>
                    <w:jc w:val="center"/>
                    <w:rPr>
                      <w:szCs w:val="22"/>
                    </w:rPr>
                  </w:pPr>
                  <w:r>
                    <w:rPr>
                      <w:szCs w:val="22"/>
                    </w:rPr>
                    <w:t>335</w:t>
                  </w:r>
                  <w:r w:rsidR="00141422">
                    <w:rPr>
                      <w:szCs w:val="22"/>
                    </w:rPr>
                    <w:t>,</w:t>
                  </w:r>
                  <w:r>
                    <w:rPr>
                      <w:szCs w:val="22"/>
                    </w:rPr>
                    <w:t>000</w:t>
                  </w:r>
                </w:p>
              </w:tc>
              <w:tc>
                <w:tcPr>
                  <w:tcW w:w="2520" w:type="dxa"/>
                </w:tcPr>
                <w:p w:rsidR="00A967C7" w:rsidRPr="00A7289C" w:rsidRDefault="003A3405" w:rsidP="00414AE6">
                  <w:pPr>
                    <w:pStyle w:val="ModelNrmlSingle"/>
                    <w:spacing w:after="0"/>
                    <w:ind w:firstLine="0"/>
                    <w:jc w:val="center"/>
                    <w:rPr>
                      <w:szCs w:val="22"/>
                    </w:rPr>
                  </w:pPr>
                  <w:r>
                    <w:rPr>
                      <w:szCs w:val="22"/>
                    </w:rPr>
                    <w:t>100 %</w:t>
                  </w:r>
                </w:p>
              </w:tc>
            </w:tr>
            <w:tr w:rsidR="00593FA8" w:rsidRPr="00857EF9" w:rsidTr="00DB3946">
              <w:tc>
                <w:tcPr>
                  <w:tcW w:w="4680" w:type="dxa"/>
                </w:tcPr>
                <w:p w:rsidR="00593FA8" w:rsidRPr="00857EF9" w:rsidRDefault="00593FA8" w:rsidP="00593FA8">
                  <w:pPr>
                    <w:pStyle w:val="ModelNrmlSingle"/>
                    <w:spacing w:after="0"/>
                    <w:ind w:firstLine="0"/>
                    <w:jc w:val="left"/>
                    <w:rPr>
                      <w:szCs w:val="22"/>
                      <w:lang w:val="fr-FR"/>
                    </w:rPr>
                  </w:pPr>
                  <w:r w:rsidRPr="00857EF9">
                    <w:rPr>
                      <w:szCs w:val="22"/>
                      <w:lang w:val="fr-FR"/>
                    </w:rPr>
                    <w:t>(7) Remboursement de l’avance pour la préparation du projet</w:t>
                  </w:r>
                </w:p>
              </w:tc>
              <w:tc>
                <w:tcPr>
                  <w:tcW w:w="1800" w:type="dxa"/>
                </w:tcPr>
                <w:p w:rsidR="00593FA8" w:rsidRPr="00A7289C" w:rsidRDefault="008F4065" w:rsidP="008F4065">
                  <w:pPr>
                    <w:pStyle w:val="ModelNrmlSingle"/>
                    <w:spacing w:after="0"/>
                    <w:ind w:firstLine="0"/>
                    <w:jc w:val="center"/>
                    <w:rPr>
                      <w:b/>
                      <w:szCs w:val="22"/>
                    </w:rPr>
                  </w:pPr>
                  <w:r>
                    <w:rPr>
                      <w:szCs w:val="22"/>
                    </w:rPr>
                    <w:t>466</w:t>
                  </w:r>
                  <w:r w:rsidR="00141422">
                    <w:rPr>
                      <w:szCs w:val="22"/>
                    </w:rPr>
                    <w:t>,</w:t>
                  </w:r>
                  <w:r>
                    <w:rPr>
                      <w:szCs w:val="22"/>
                    </w:rPr>
                    <w:t>000</w:t>
                  </w:r>
                </w:p>
              </w:tc>
              <w:tc>
                <w:tcPr>
                  <w:tcW w:w="2520" w:type="dxa"/>
                </w:tcPr>
                <w:p w:rsidR="00593FA8" w:rsidRPr="00857EF9" w:rsidRDefault="00593FA8" w:rsidP="00414AE6">
                  <w:pPr>
                    <w:pStyle w:val="ModelNrmlSingle"/>
                    <w:spacing w:after="0"/>
                    <w:ind w:firstLine="0"/>
                    <w:jc w:val="center"/>
                    <w:rPr>
                      <w:szCs w:val="22"/>
                      <w:lang w:val="fr-FR"/>
                    </w:rPr>
                  </w:pPr>
                  <w:r w:rsidRPr="00857EF9">
                    <w:rPr>
                      <w:szCs w:val="22"/>
                      <w:lang w:val="fr-FR"/>
                    </w:rPr>
                    <w:t xml:space="preserve">Montant à verser conformément à la Section 2.07 des Conditions générales </w:t>
                  </w:r>
                </w:p>
              </w:tc>
            </w:tr>
            <w:tr w:rsidR="00593FA8" w:rsidRPr="00A7289C" w:rsidTr="00DB3946">
              <w:tc>
                <w:tcPr>
                  <w:tcW w:w="4680" w:type="dxa"/>
                </w:tcPr>
                <w:p w:rsidR="00593FA8" w:rsidRPr="00A7289C" w:rsidRDefault="00593FA8" w:rsidP="00414AE6">
                  <w:pPr>
                    <w:pStyle w:val="ModelNrmlSingle"/>
                    <w:spacing w:after="0"/>
                    <w:ind w:firstLine="0"/>
                    <w:rPr>
                      <w:b/>
                      <w:bCs/>
                      <w:szCs w:val="22"/>
                    </w:rPr>
                  </w:pPr>
                  <w:r>
                    <w:rPr>
                      <w:b/>
                      <w:bCs/>
                      <w:szCs w:val="22"/>
                    </w:rPr>
                    <w:t>MONTANT TOTAL</w:t>
                  </w:r>
                </w:p>
              </w:tc>
              <w:tc>
                <w:tcPr>
                  <w:tcW w:w="1800" w:type="dxa"/>
                </w:tcPr>
                <w:p w:rsidR="00593FA8" w:rsidRPr="00A7289C" w:rsidRDefault="008F4065" w:rsidP="00BD7648">
                  <w:pPr>
                    <w:pStyle w:val="ModelNrmlSingle"/>
                    <w:spacing w:after="0"/>
                    <w:ind w:firstLine="0"/>
                    <w:jc w:val="center"/>
                    <w:rPr>
                      <w:szCs w:val="22"/>
                    </w:rPr>
                  </w:pPr>
                  <w:r>
                    <w:rPr>
                      <w:szCs w:val="22"/>
                    </w:rPr>
                    <w:t>13</w:t>
                  </w:r>
                  <w:r w:rsidR="00141422">
                    <w:rPr>
                      <w:szCs w:val="22"/>
                    </w:rPr>
                    <w:t>,</w:t>
                  </w:r>
                  <w:r>
                    <w:rPr>
                      <w:szCs w:val="22"/>
                    </w:rPr>
                    <w:t>400</w:t>
                  </w:r>
                  <w:r w:rsidR="00141422">
                    <w:rPr>
                      <w:szCs w:val="22"/>
                    </w:rPr>
                    <w:t>,</w:t>
                  </w:r>
                  <w:r>
                    <w:rPr>
                      <w:szCs w:val="22"/>
                    </w:rPr>
                    <w:t>000</w:t>
                  </w:r>
                </w:p>
              </w:tc>
              <w:tc>
                <w:tcPr>
                  <w:tcW w:w="2520" w:type="dxa"/>
                </w:tcPr>
                <w:p w:rsidR="00593FA8" w:rsidRPr="00A7289C" w:rsidRDefault="00593FA8" w:rsidP="001D050E">
                  <w:pPr>
                    <w:pStyle w:val="ModelNrmlSingle"/>
                    <w:spacing w:after="0"/>
                    <w:ind w:firstLine="0"/>
                    <w:jc w:val="left"/>
                    <w:rPr>
                      <w:szCs w:val="22"/>
                    </w:rPr>
                  </w:pPr>
                </w:p>
              </w:tc>
            </w:tr>
          </w:tbl>
          <w:p w:rsidR="00E742C9" w:rsidRPr="00A7289C" w:rsidRDefault="00E742C9" w:rsidP="004364AC">
            <w:pPr>
              <w:pStyle w:val="Caption"/>
              <w:keepNext/>
              <w:spacing w:after="0"/>
              <w:rPr>
                <w:color w:val="auto"/>
                <w:sz w:val="22"/>
                <w:szCs w:val="22"/>
                <w:highlight w:val="yellow"/>
              </w:rPr>
            </w:pPr>
          </w:p>
        </w:tc>
      </w:tr>
    </w:tbl>
    <w:p w:rsidR="003F4768" w:rsidRPr="00A7289C" w:rsidRDefault="003F4768" w:rsidP="004E7A7F">
      <w:pPr>
        <w:pStyle w:val="ListParagraph"/>
        <w:ind w:left="0"/>
        <w:jc w:val="both"/>
        <w:rPr>
          <w:highlight w:val="yellow"/>
        </w:rPr>
      </w:pPr>
    </w:p>
    <w:p w:rsidR="00414AE6" w:rsidRPr="00A7289C" w:rsidRDefault="00982F15" w:rsidP="00982F15">
      <w:pPr>
        <w:pStyle w:val="ListParagraph"/>
        <w:keepNext/>
        <w:spacing w:after="120"/>
        <w:ind w:left="0"/>
        <w:contextualSpacing w:val="0"/>
        <w:rPr>
          <w:i/>
        </w:rPr>
      </w:pPr>
      <w:r>
        <w:rPr>
          <w:i/>
        </w:rPr>
        <w:t xml:space="preserve">Conditions de </w:t>
      </w:r>
      <w:proofErr w:type="spellStart"/>
      <w:r>
        <w:rPr>
          <w:i/>
        </w:rPr>
        <w:t>retrait</w:t>
      </w:r>
      <w:proofErr w:type="spellEnd"/>
      <w:r>
        <w:rPr>
          <w:i/>
        </w:rPr>
        <w:t xml:space="preserve"> des </w:t>
      </w:r>
      <w:proofErr w:type="spellStart"/>
      <w:r>
        <w:rPr>
          <w:i/>
        </w:rPr>
        <w:t>fonds</w:t>
      </w:r>
      <w:proofErr w:type="spellEnd"/>
    </w:p>
    <w:p w:rsidR="00414AE6" w:rsidRPr="00857EF9" w:rsidRDefault="00982F15" w:rsidP="00B563F2">
      <w:pPr>
        <w:pStyle w:val="ListParagraph"/>
        <w:numPr>
          <w:ilvl w:val="0"/>
          <w:numId w:val="27"/>
        </w:numPr>
        <w:tabs>
          <w:tab w:val="clear" w:pos="720"/>
          <w:tab w:val="num" w:pos="540"/>
        </w:tabs>
        <w:spacing w:after="120"/>
        <w:ind w:left="0"/>
        <w:contextualSpacing w:val="0"/>
        <w:jc w:val="both"/>
        <w:rPr>
          <w:lang w:val="fr-FR"/>
        </w:rPr>
      </w:pPr>
      <w:r w:rsidRPr="00857EF9">
        <w:rPr>
          <w:lang w:val="fr-FR"/>
        </w:rPr>
        <w:t>Aucun montant ne peut être retiré :</w:t>
      </w:r>
    </w:p>
    <w:p w:rsidR="00F0374A" w:rsidRPr="00857EF9" w:rsidRDefault="00593FA8" w:rsidP="00982F15">
      <w:pPr>
        <w:pStyle w:val="ModelNrmlSingle"/>
        <w:spacing w:after="120"/>
        <w:ind w:left="540" w:hanging="540"/>
        <w:rPr>
          <w:bCs/>
          <w:sz w:val="24"/>
          <w:szCs w:val="24"/>
          <w:lang w:val="fr-FR"/>
        </w:rPr>
      </w:pPr>
      <w:r w:rsidRPr="00857EF9">
        <w:rPr>
          <w:bCs/>
          <w:szCs w:val="22"/>
          <w:lang w:val="fr-FR"/>
        </w:rPr>
        <w:t>(a)</w:t>
      </w:r>
      <w:r w:rsidRPr="00857EF9">
        <w:rPr>
          <w:bCs/>
          <w:szCs w:val="22"/>
          <w:lang w:val="fr-FR"/>
        </w:rPr>
        <w:tab/>
      </w:r>
      <w:r w:rsidRPr="00857EF9">
        <w:rPr>
          <w:bCs/>
          <w:sz w:val="24"/>
          <w:szCs w:val="24"/>
          <w:lang w:val="fr-FR"/>
        </w:rPr>
        <w:t>au titre de paiements réalisés avant la date du présent Accord</w:t>
      </w:r>
      <w:r w:rsidR="00CE73E6" w:rsidRPr="00857EF9">
        <w:rPr>
          <w:bCs/>
          <w:sz w:val="24"/>
          <w:szCs w:val="24"/>
          <w:lang w:val="fr-FR"/>
        </w:rPr>
        <w:t> ;</w:t>
      </w:r>
      <w:r w:rsidRPr="00857EF9">
        <w:rPr>
          <w:bCs/>
          <w:sz w:val="24"/>
          <w:szCs w:val="24"/>
          <w:lang w:val="fr-FR"/>
        </w:rPr>
        <w:t xml:space="preserve"> et</w:t>
      </w:r>
    </w:p>
    <w:p w:rsidR="00F0374A" w:rsidRPr="00857EF9" w:rsidRDefault="00F0374A" w:rsidP="00982F15">
      <w:pPr>
        <w:pStyle w:val="ModelNrmlSingle"/>
        <w:spacing w:after="120"/>
        <w:ind w:left="540" w:hanging="540"/>
        <w:rPr>
          <w:bCs/>
          <w:sz w:val="24"/>
          <w:szCs w:val="24"/>
          <w:lang w:val="fr-FR"/>
        </w:rPr>
      </w:pPr>
      <w:r w:rsidRPr="00857EF9">
        <w:rPr>
          <w:bCs/>
          <w:sz w:val="24"/>
          <w:szCs w:val="24"/>
          <w:lang w:val="fr-FR"/>
        </w:rPr>
        <w:t>(b)</w:t>
      </w:r>
      <w:r w:rsidRPr="00857EF9">
        <w:rPr>
          <w:bCs/>
          <w:sz w:val="24"/>
          <w:szCs w:val="24"/>
          <w:lang w:val="fr-FR"/>
        </w:rPr>
        <w:tab/>
        <w:t xml:space="preserve">dans la catégorie 1b pour le financement d'activités destinées à renforcer le pouvoir de l'autorité de supervision des ZEI au titre de la </w:t>
      </w:r>
      <w:r w:rsidR="00FB137A" w:rsidRPr="00857EF9">
        <w:rPr>
          <w:bCs/>
          <w:sz w:val="24"/>
          <w:szCs w:val="24"/>
          <w:lang w:val="fr-FR"/>
        </w:rPr>
        <w:t>composante </w:t>
      </w:r>
      <w:r w:rsidRPr="00857EF9">
        <w:rPr>
          <w:bCs/>
          <w:sz w:val="24"/>
          <w:szCs w:val="24"/>
          <w:lang w:val="fr-FR"/>
        </w:rPr>
        <w:t xml:space="preserve">1 du projet, à condition qu'un </w:t>
      </w:r>
      <w:r w:rsidRPr="00857EF9">
        <w:rPr>
          <w:bCs/>
          <w:sz w:val="24"/>
          <w:szCs w:val="24"/>
          <w:lang w:val="fr-FR"/>
        </w:rPr>
        <w:lastRenderedPageBreak/>
        <w:t>plan d'action approprié relatif à l'établissement d'un cadre réglementaire et institutionnel des ZEI ait été exécuté de manière jugée satisfaisante par l'IDA</w:t>
      </w:r>
      <w:r w:rsidR="00CE73E6" w:rsidRPr="00857EF9">
        <w:rPr>
          <w:bCs/>
          <w:sz w:val="24"/>
          <w:szCs w:val="24"/>
          <w:lang w:val="fr-FR"/>
        </w:rPr>
        <w:t> ;</w:t>
      </w:r>
    </w:p>
    <w:p w:rsidR="00F0374A" w:rsidRPr="00857EF9" w:rsidRDefault="00F0374A" w:rsidP="00982F15">
      <w:pPr>
        <w:pStyle w:val="ModelNrmlSingle"/>
        <w:spacing w:after="120"/>
        <w:ind w:left="540" w:hanging="540"/>
        <w:rPr>
          <w:bCs/>
          <w:sz w:val="24"/>
          <w:szCs w:val="24"/>
          <w:lang w:val="fr-FR"/>
        </w:rPr>
      </w:pPr>
      <w:r w:rsidRPr="00857EF9">
        <w:rPr>
          <w:bCs/>
          <w:sz w:val="24"/>
          <w:szCs w:val="24"/>
          <w:lang w:val="fr-FR"/>
        </w:rPr>
        <w:t>(c)</w:t>
      </w:r>
      <w:r w:rsidRPr="00857EF9">
        <w:rPr>
          <w:bCs/>
          <w:sz w:val="24"/>
          <w:szCs w:val="24"/>
          <w:lang w:val="fr-FR"/>
        </w:rPr>
        <w:tab/>
        <w:t xml:space="preserve">dans la catégorie 1c pour le financement des études de faisabilité des ZEI au titre de la </w:t>
      </w:r>
      <w:r w:rsidR="00FB137A" w:rsidRPr="00857EF9">
        <w:rPr>
          <w:bCs/>
          <w:sz w:val="24"/>
          <w:szCs w:val="24"/>
          <w:lang w:val="fr-FR"/>
        </w:rPr>
        <w:t>composante </w:t>
      </w:r>
      <w:r w:rsidRPr="00857EF9">
        <w:rPr>
          <w:bCs/>
          <w:sz w:val="24"/>
          <w:szCs w:val="24"/>
          <w:lang w:val="fr-FR"/>
        </w:rPr>
        <w:t>1 du projet, à condition que le bénéficiaire soumette à l'Association des critères de sélection des ZEI jugés satisfaisants par l'IDA ;</w:t>
      </w:r>
    </w:p>
    <w:p w:rsidR="00F0374A" w:rsidRPr="00857EF9" w:rsidRDefault="00F0374A" w:rsidP="00982F15">
      <w:pPr>
        <w:pStyle w:val="ModelNrmlSingle"/>
        <w:spacing w:after="120"/>
        <w:ind w:left="540" w:hanging="540"/>
        <w:rPr>
          <w:bCs/>
          <w:sz w:val="24"/>
          <w:szCs w:val="24"/>
          <w:lang w:val="fr-FR"/>
        </w:rPr>
      </w:pPr>
      <w:r w:rsidRPr="00857EF9">
        <w:rPr>
          <w:bCs/>
          <w:sz w:val="24"/>
          <w:szCs w:val="24"/>
          <w:lang w:val="fr-FR"/>
        </w:rPr>
        <w:t xml:space="preserve">(d) </w:t>
      </w:r>
      <w:r w:rsidRPr="00857EF9">
        <w:rPr>
          <w:bCs/>
          <w:sz w:val="24"/>
          <w:szCs w:val="24"/>
          <w:lang w:val="fr-FR"/>
        </w:rPr>
        <w:tab/>
        <w:t xml:space="preserve">dans la </w:t>
      </w:r>
      <w:r w:rsidR="00FB137A" w:rsidRPr="00857EF9">
        <w:rPr>
          <w:bCs/>
          <w:sz w:val="24"/>
          <w:szCs w:val="24"/>
          <w:lang w:val="fr-FR"/>
        </w:rPr>
        <w:t>catégorie </w:t>
      </w:r>
      <w:r w:rsidRPr="00857EF9">
        <w:rPr>
          <w:bCs/>
          <w:sz w:val="24"/>
          <w:szCs w:val="24"/>
          <w:lang w:val="fr-FR"/>
        </w:rPr>
        <w:t xml:space="preserve">4 pour le financement des subventions de contrepartie au titre de la </w:t>
      </w:r>
      <w:r w:rsidR="00FB137A" w:rsidRPr="00857EF9">
        <w:rPr>
          <w:bCs/>
          <w:sz w:val="24"/>
          <w:szCs w:val="24"/>
          <w:lang w:val="fr-FR"/>
        </w:rPr>
        <w:t>composante </w:t>
      </w:r>
      <w:r w:rsidRPr="00857EF9">
        <w:rPr>
          <w:bCs/>
          <w:sz w:val="24"/>
          <w:szCs w:val="24"/>
          <w:lang w:val="fr-FR"/>
        </w:rPr>
        <w:t>2 du projet, jusqu'à ce que le bénéficiaire applique le manuel relatif aux subventions de contrepartie selon les conditions jugées acceptables par l'IDA</w:t>
      </w:r>
      <w:r w:rsidR="00CE73E6" w:rsidRPr="00857EF9">
        <w:rPr>
          <w:bCs/>
          <w:sz w:val="24"/>
          <w:szCs w:val="24"/>
          <w:lang w:val="fr-FR"/>
        </w:rPr>
        <w:t> ;</w:t>
      </w:r>
    </w:p>
    <w:p w:rsidR="00593FA8" w:rsidRPr="00857EF9" w:rsidRDefault="00593FA8" w:rsidP="00982F15">
      <w:pPr>
        <w:pStyle w:val="ModelNrmlSingle"/>
        <w:spacing w:after="120"/>
        <w:ind w:left="540" w:hanging="540"/>
        <w:rPr>
          <w:bCs/>
          <w:sz w:val="24"/>
          <w:szCs w:val="24"/>
          <w:lang w:val="fr-FR"/>
        </w:rPr>
      </w:pPr>
      <w:r w:rsidRPr="00857EF9">
        <w:rPr>
          <w:bCs/>
          <w:sz w:val="24"/>
          <w:szCs w:val="24"/>
          <w:lang w:val="fr-FR"/>
        </w:rPr>
        <w:t>(e)</w:t>
      </w:r>
      <w:r w:rsidRPr="00857EF9">
        <w:rPr>
          <w:bCs/>
          <w:sz w:val="24"/>
          <w:szCs w:val="24"/>
          <w:lang w:val="fr-FR"/>
        </w:rPr>
        <w:tab/>
        <w:t xml:space="preserve">dans la </w:t>
      </w:r>
      <w:r w:rsidR="00FB137A" w:rsidRPr="00857EF9">
        <w:rPr>
          <w:bCs/>
          <w:sz w:val="24"/>
          <w:szCs w:val="24"/>
          <w:lang w:val="fr-FR"/>
        </w:rPr>
        <w:t>catégorie </w:t>
      </w:r>
      <w:r w:rsidRPr="00857EF9">
        <w:rPr>
          <w:bCs/>
          <w:sz w:val="24"/>
          <w:szCs w:val="24"/>
          <w:lang w:val="fr-FR"/>
        </w:rPr>
        <w:t xml:space="preserve">6, pour les dépenses d'urgence mentionnées dans la </w:t>
      </w:r>
      <w:r w:rsidR="00FB137A" w:rsidRPr="00857EF9">
        <w:rPr>
          <w:bCs/>
          <w:sz w:val="24"/>
          <w:szCs w:val="24"/>
          <w:lang w:val="fr-FR"/>
        </w:rPr>
        <w:t>composante </w:t>
      </w:r>
      <w:r w:rsidRPr="00857EF9">
        <w:rPr>
          <w:bCs/>
          <w:sz w:val="24"/>
          <w:szCs w:val="24"/>
          <w:lang w:val="fr-FR"/>
        </w:rPr>
        <w:t>4 du projet, à condition que l'Association soit satisfaite et le fasse savoir au bénéficiaire, que toutes les conditions ont été remplies pour les activités énoncées :</w:t>
      </w:r>
    </w:p>
    <w:p w:rsidR="00593FA8" w:rsidRPr="00857EF9" w:rsidRDefault="00593FA8" w:rsidP="00982F15">
      <w:pPr>
        <w:pStyle w:val="ModelNrmlSingle"/>
        <w:spacing w:after="120"/>
        <w:ind w:left="810" w:hanging="360"/>
        <w:contextualSpacing/>
        <w:rPr>
          <w:bCs/>
          <w:sz w:val="24"/>
          <w:szCs w:val="24"/>
          <w:lang w:val="fr-FR"/>
        </w:rPr>
      </w:pPr>
      <w:r w:rsidRPr="00857EF9">
        <w:rPr>
          <w:bCs/>
          <w:sz w:val="24"/>
          <w:szCs w:val="24"/>
          <w:lang w:val="fr-FR"/>
        </w:rPr>
        <w:t>(i)</w:t>
      </w:r>
      <w:r w:rsidRPr="00857EF9">
        <w:rPr>
          <w:bCs/>
          <w:sz w:val="24"/>
          <w:szCs w:val="24"/>
          <w:lang w:val="fr-FR"/>
        </w:rPr>
        <w:tab/>
        <w:t>le bénéficiaire a estimé qu'une urgence éligible était survenue, a déposé à l'Association une demande en vue d'inclure les activités énoncées dans la partie relative au mécanisme de réponse immédiate afin de répondre à l'urgence éligible énoncée, et l'Association a convenu d'une telle estimation, a accepté la demande énoncée et en a informé le bénéficiaire ;</w:t>
      </w:r>
    </w:p>
    <w:p w:rsidR="00593FA8" w:rsidRPr="00857EF9" w:rsidRDefault="00593FA8" w:rsidP="00982F15">
      <w:pPr>
        <w:pStyle w:val="ModelNrmlSingle"/>
        <w:spacing w:after="120"/>
        <w:ind w:left="810" w:hanging="360"/>
        <w:contextualSpacing/>
        <w:rPr>
          <w:bCs/>
          <w:sz w:val="24"/>
          <w:szCs w:val="24"/>
          <w:lang w:val="fr-FR"/>
        </w:rPr>
      </w:pPr>
      <w:r w:rsidRPr="00857EF9">
        <w:rPr>
          <w:bCs/>
          <w:sz w:val="24"/>
          <w:szCs w:val="24"/>
          <w:lang w:val="fr-FR"/>
        </w:rPr>
        <w:t>(ii)</w:t>
      </w:r>
      <w:r w:rsidRPr="00857EF9">
        <w:rPr>
          <w:bCs/>
          <w:sz w:val="24"/>
          <w:szCs w:val="24"/>
          <w:lang w:val="fr-FR"/>
        </w:rPr>
        <w:tab/>
        <w:t xml:space="preserve">le bénéficiaire a préparé et publié tous les dispositifs de sauvegarde nécessaires aux activités énoncées, et le bénéficiaire a mis en œuvre toutes les actions devant être prises au titre des dispositifs énoncés, conformément aux dispositions de la Section I.C.3 (b) du </w:t>
      </w:r>
      <w:r w:rsidR="00A878B6" w:rsidRPr="00857EF9">
        <w:rPr>
          <w:bCs/>
          <w:sz w:val="24"/>
          <w:szCs w:val="24"/>
          <w:lang w:val="fr-FR"/>
        </w:rPr>
        <w:t>Calendrier </w:t>
      </w:r>
      <w:r w:rsidRPr="00857EF9">
        <w:rPr>
          <w:bCs/>
          <w:sz w:val="24"/>
          <w:szCs w:val="24"/>
          <w:lang w:val="fr-FR"/>
        </w:rPr>
        <w:t>2 de l'AF ;</w:t>
      </w:r>
    </w:p>
    <w:p w:rsidR="00593FA8" w:rsidRPr="00857EF9" w:rsidRDefault="00593FA8" w:rsidP="00982F15">
      <w:pPr>
        <w:pStyle w:val="ModelNrmlSingle"/>
        <w:spacing w:after="120"/>
        <w:ind w:left="810" w:hanging="360"/>
        <w:contextualSpacing/>
        <w:rPr>
          <w:bCs/>
          <w:sz w:val="24"/>
          <w:szCs w:val="24"/>
          <w:lang w:val="fr-FR"/>
        </w:rPr>
      </w:pPr>
      <w:r w:rsidRPr="00857EF9">
        <w:rPr>
          <w:bCs/>
          <w:sz w:val="24"/>
          <w:szCs w:val="24"/>
          <w:lang w:val="fr-FR"/>
        </w:rPr>
        <w:t>(iii)</w:t>
      </w:r>
      <w:r w:rsidRPr="00857EF9">
        <w:rPr>
          <w:bCs/>
          <w:sz w:val="24"/>
          <w:szCs w:val="24"/>
          <w:lang w:val="fr-FR"/>
        </w:rPr>
        <w:tab/>
        <w:t xml:space="preserve">l'autorité de coordination du bénéficiaire dispose du personnel et des ressources nécessaires, conformément aux dispositions de la Section I.C.2 du </w:t>
      </w:r>
      <w:r w:rsidR="00A878B6" w:rsidRPr="00857EF9">
        <w:rPr>
          <w:bCs/>
          <w:sz w:val="24"/>
          <w:szCs w:val="24"/>
          <w:lang w:val="fr-FR"/>
        </w:rPr>
        <w:t>Calendrier </w:t>
      </w:r>
      <w:r w:rsidRPr="00857EF9">
        <w:rPr>
          <w:bCs/>
          <w:sz w:val="24"/>
          <w:szCs w:val="24"/>
          <w:lang w:val="fr-FR"/>
        </w:rPr>
        <w:t>2 de l'AF, aux fins des activités énoncées ; et</w:t>
      </w:r>
    </w:p>
    <w:p w:rsidR="007750E0" w:rsidRPr="00857EF9" w:rsidRDefault="00593FA8" w:rsidP="00982F15">
      <w:pPr>
        <w:pStyle w:val="ModelNrmlSingle"/>
        <w:spacing w:after="120"/>
        <w:ind w:left="810" w:hanging="360"/>
        <w:contextualSpacing/>
        <w:rPr>
          <w:lang w:val="fr-FR"/>
        </w:rPr>
      </w:pPr>
      <w:r w:rsidRPr="00857EF9">
        <w:rPr>
          <w:bCs/>
          <w:sz w:val="24"/>
          <w:szCs w:val="24"/>
          <w:lang w:val="fr-FR"/>
        </w:rPr>
        <w:t>(iv)</w:t>
      </w:r>
      <w:r w:rsidRPr="00857EF9">
        <w:rPr>
          <w:bCs/>
          <w:sz w:val="24"/>
          <w:szCs w:val="24"/>
          <w:lang w:val="fr-FR"/>
        </w:rPr>
        <w:tab/>
        <w:t>le bénéficiaire a adopté le manuel des opérations relatives au mécanisme de réponse immédiate d'une manière satisfaisant l'Association tant sur la forme que sur le fond ; les dispositions du manuel des opérations relatives au mécanisme de réponse immédiate demeurent – ou ont été mises à jour conformément aux dispositions de la section I.C.1 du Calendrier 2 de l'AF – afin d'autoriser l'inclusion et l'exécution des activités énoncées dans la partie relative au mécanisme de réponse immédiate.</w:t>
      </w:r>
    </w:p>
    <w:p w:rsidR="007F29B7" w:rsidRPr="00A7289C" w:rsidRDefault="007F29B7" w:rsidP="00DB3946">
      <w:pPr>
        <w:pStyle w:val="ListParagraph"/>
        <w:keepNext/>
        <w:spacing w:after="120"/>
        <w:ind w:left="0"/>
        <w:contextualSpacing w:val="0"/>
        <w:rPr>
          <w:i/>
        </w:rPr>
      </w:pPr>
      <w:proofErr w:type="spellStart"/>
      <w:r>
        <w:rPr>
          <w:i/>
        </w:rPr>
        <w:t>Passation</w:t>
      </w:r>
      <w:proofErr w:type="spellEnd"/>
      <w:r>
        <w:rPr>
          <w:i/>
        </w:rPr>
        <w:t xml:space="preserve"> des </w:t>
      </w:r>
      <w:proofErr w:type="spellStart"/>
      <w:r>
        <w:rPr>
          <w:i/>
        </w:rPr>
        <w:t>marchés</w:t>
      </w:r>
      <w:proofErr w:type="spellEnd"/>
    </w:p>
    <w:p w:rsidR="0006402D" w:rsidRPr="00857EF9" w:rsidRDefault="004E7A7F"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t>La passation des marchés dans le cadre du projet proposé sera effectuée en accord avec les directives de la Banque : Passations de marchés de biens, de travaux et de services – autres que ceux de consultants – dans le cadre des prêts de la BIRD et des crédits et dons de l'IDA, publiées en janvier 2011 et les directives : Sélection et emploi de consultants par les emprunteurs de la Banque mondiale financés par les prêt</w:t>
      </w:r>
      <w:r w:rsidR="00E434F9" w:rsidRPr="00857EF9">
        <w:rPr>
          <w:lang w:val="fr-FR"/>
        </w:rPr>
        <w:t>s de la BIRD et les crédits de l’I</w:t>
      </w:r>
      <w:r w:rsidRPr="00857EF9">
        <w:rPr>
          <w:lang w:val="fr-FR"/>
        </w:rPr>
        <w:t xml:space="preserve">DA, publiées en janvier 2011, ainsi que les dispositions de l'accord financier. Pour chaque marché à financer par le projet, les diverses méthodes de passation des marchés et de sélection des consultants, la présélection des offres, les devis estimatifs, les modalités d’examen préalable et les délais d’exécution ont été convenus entre le bénéficiaire et l'IDA et sont indiqués dans le </w:t>
      </w:r>
      <w:r w:rsidR="00D33C64" w:rsidRPr="00857EF9">
        <w:rPr>
          <w:lang w:val="fr-FR"/>
        </w:rPr>
        <w:t>p</w:t>
      </w:r>
      <w:r w:rsidRPr="00857EF9">
        <w:rPr>
          <w:lang w:val="fr-FR"/>
        </w:rPr>
        <w:t>lan de passation des marchés</w:t>
      </w:r>
      <w:r w:rsidR="00D33C64" w:rsidRPr="00857EF9">
        <w:rPr>
          <w:lang w:val="fr-FR"/>
        </w:rPr>
        <w:t>.</w:t>
      </w:r>
      <w:r w:rsidRPr="00857EF9">
        <w:rPr>
          <w:lang w:val="fr-FR"/>
        </w:rPr>
        <w:t xml:space="preserve"> Le plan de passation des marchés sera mis à jour au moins tous les ans ou selon les besoins, afin de refléter les besoins réels pour la mise en œuvre du projet et les améliorations au niveau des capacités institutionnelles.</w:t>
      </w:r>
    </w:p>
    <w:p w:rsidR="004E7A7F" w:rsidRPr="00857EF9" w:rsidRDefault="004E7A7F"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lastRenderedPageBreak/>
        <w:t xml:space="preserve">Les activités de passation des marchés dans le cadre du projet seront d'abord </w:t>
      </w:r>
      <w:proofErr w:type="gramStart"/>
      <w:r w:rsidRPr="00857EF9">
        <w:rPr>
          <w:lang w:val="fr-FR"/>
        </w:rPr>
        <w:t>menées</w:t>
      </w:r>
      <w:proofErr w:type="gramEnd"/>
      <w:r w:rsidRPr="00857EF9">
        <w:rPr>
          <w:lang w:val="fr-FR"/>
        </w:rPr>
        <w:t xml:space="preserve"> sous la responsabilité de l'UCP pour toutes les activités liées au projet car elle dispose de l'expérience suffisante et affiche un bilan satisfaisant dans la mise en œuvre des activités de passation des marchés financées par l'IDA et d'autres donateurs. Le manuel opérationnel, dont se sert l'UCP dans sa mise en œuvre du Projet de relèvement d’urgence des infrastructures et des institutions, actualisé récemment en raison des financements supplémentaires, sera enrichi d'une annexe qui exposera les modalités institutionnelles du projet. D'autres accords seront scellés dans un protocole d’accord entre le MEF et le MCI qui exposeront en détail la manière dont l'UCP appuiera le MCI dans l'établissement des capacités appropriées en matière de passation des marchés afin de gérer le projet et, tout particulièrement sur la façon dont la responsabilité générale dans les processus de passation des marchés de ce projet sera transférée de l'UCP au MCI</w:t>
      </w:r>
      <w:r w:rsidR="00082FB9" w:rsidRPr="00A7289C">
        <w:rPr>
          <w:rStyle w:val="FootnoteReference"/>
        </w:rPr>
        <w:footnoteReference w:id="70"/>
      </w:r>
      <w:r w:rsidRPr="00857EF9">
        <w:rPr>
          <w:lang w:val="fr-FR"/>
        </w:rPr>
        <w:t>. Le projet apportera un appui aux deux organismes (l'UCP et le MCI) afin de renforcer leurs capacités durant et après le processus de transition. À la faveur de ce renforcement, l'UCP et le MCI seront pourvus des compétences suffisantes pour effectuer la passation des marchés en accord avec les directives de l'IDA. Toutefois, le système global de passation des marchés publics reste assez faible en Haïti</w:t>
      </w:r>
      <w:r w:rsidR="00E01433" w:rsidRPr="00857EF9">
        <w:rPr>
          <w:lang w:val="fr-FR"/>
        </w:rPr>
        <w:t xml:space="preserve">. </w:t>
      </w:r>
      <w:r w:rsidRPr="00857EF9">
        <w:rPr>
          <w:lang w:val="fr-FR"/>
        </w:rPr>
        <w:t xml:space="preserve">Malgré quelques réformes du cadre légal et institutionnel de la passation des marchés </w:t>
      </w:r>
      <w:proofErr w:type="gramStart"/>
      <w:r w:rsidRPr="00857EF9">
        <w:rPr>
          <w:lang w:val="fr-FR"/>
        </w:rPr>
        <w:t>adoptées</w:t>
      </w:r>
      <w:proofErr w:type="gramEnd"/>
      <w:r w:rsidRPr="00857EF9">
        <w:rPr>
          <w:lang w:val="fr-FR"/>
        </w:rPr>
        <w:t xml:space="preserve"> avant le tremblement de terre, les capacités humaines et physiques limitées ont retardé l'adoption de pratiques améliorées dans la plupart des organismes publics</w:t>
      </w:r>
      <w:r w:rsidR="00E01433" w:rsidRPr="00857EF9">
        <w:rPr>
          <w:lang w:val="fr-FR"/>
        </w:rPr>
        <w:t xml:space="preserve">. </w:t>
      </w:r>
      <w:r w:rsidRPr="00857EF9">
        <w:rPr>
          <w:lang w:val="fr-FR"/>
        </w:rPr>
        <w:t>Par conséquent, le risque global concernant la passation des marchés du projet est élevé.</w:t>
      </w:r>
    </w:p>
    <w:p w:rsidR="004E7A7F" w:rsidRPr="00857EF9" w:rsidRDefault="004E7A7F" w:rsidP="00B563F2">
      <w:pPr>
        <w:pStyle w:val="ListParagraph"/>
        <w:numPr>
          <w:ilvl w:val="0"/>
          <w:numId w:val="27"/>
        </w:numPr>
        <w:tabs>
          <w:tab w:val="clear" w:pos="720"/>
          <w:tab w:val="num" w:pos="630"/>
        </w:tabs>
        <w:spacing w:after="120"/>
        <w:ind w:left="0"/>
        <w:contextualSpacing w:val="0"/>
        <w:jc w:val="both"/>
        <w:rPr>
          <w:lang w:val="fr-FR"/>
        </w:rPr>
      </w:pPr>
      <w:r w:rsidRPr="00857EF9">
        <w:rPr>
          <w:lang w:val="fr-FR"/>
        </w:rPr>
        <w:t xml:space="preserve">Plan de passation de marchés, Seuils pour les méthodes de passation des marchés et examen par l'IDA. </w:t>
      </w:r>
      <w:r w:rsidR="00D33C64" w:rsidRPr="00857EF9">
        <w:rPr>
          <w:lang w:val="fr-FR"/>
        </w:rPr>
        <w:t>Le plan résumé de passation des marchés pour la mise en œuvre du projet proposé a fait l'objet d'un accord entre le bénéficiaire et l'équipe du projet le 11 avril 2013. Il est présenté ci-dessous dans le tableau 6. Le plan sera mis à jour au moins une fois par an ou davantage, pour refléter les besoins réels dans la mise en œuvre du projet et les améliorations apportées aux capacités institutionnelles.</w:t>
      </w:r>
      <w:r w:rsidRPr="00857EF9">
        <w:rPr>
          <w:lang w:val="fr-FR"/>
        </w:rPr>
        <w:t xml:space="preserve"> Les documents de soumission seront mis à la disposition du public sur le site Web du MEF. Les seuils recommandés pour les méthodes de passation des marchés, explicités dans l'accord de financement, sont présentés dans le tableau 7 ci-dessous. La supervision des activités de passation des marchés sera menée, pour l'essentiel, par le biais d'examens préalables complétés par des missions de supervision au moins deux fois par an.</w:t>
      </w:r>
    </w:p>
    <w:bookmarkEnd w:id="31"/>
    <w:p w:rsidR="00857EF9" w:rsidRDefault="00857EF9">
      <w:pPr>
        <w:rPr>
          <w:lang w:val="fr-FR"/>
        </w:rPr>
      </w:pPr>
      <w:r>
        <w:rPr>
          <w:lang w:val="fr-FR"/>
        </w:rPr>
        <w:br w:type="page"/>
      </w:r>
    </w:p>
    <w:p w:rsidR="00857EF9" w:rsidRDefault="00857EF9" w:rsidP="00A7289C">
      <w:pPr>
        <w:rPr>
          <w:lang w:val="fr-FR"/>
        </w:rPr>
        <w:sectPr w:rsidR="00857EF9" w:rsidSect="00857EF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pPr>
    </w:p>
    <w:p w:rsidR="00857EF9" w:rsidRPr="00857EF9" w:rsidRDefault="00AE7702" w:rsidP="00A7289C">
      <w:pPr>
        <w:rPr>
          <w:lang w:val="fr-FR"/>
        </w:rPr>
      </w:pPr>
      <w:r w:rsidRPr="00857EF9">
        <w:rPr>
          <w:lang w:val="fr-FR"/>
        </w:rPr>
        <w:lastRenderedPageBreak/>
        <w:t xml:space="preserve"> </w:t>
      </w:r>
    </w:p>
    <w:tbl>
      <w:tblPr>
        <w:tblW w:w="13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495"/>
        <w:gridCol w:w="3664"/>
        <w:gridCol w:w="1684"/>
        <w:gridCol w:w="1146"/>
        <w:gridCol w:w="1269"/>
        <w:gridCol w:w="1368"/>
        <w:gridCol w:w="1463"/>
        <w:gridCol w:w="1327"/>
      </w:tblGrid>
      <w:tr w:rsidR="00857EF9" w:rsidRPr="00113620" w:rsidTr="009F130B">
        <w:trPr>
          <w:trHeight w:val="260"/>
        </w:trPr>
        <w:tc>
          <w:tcPr>
            <w:tcW w:w="13416" w:type="dxa"/>
            <w:gridSpan w:val="8"/>
            <w:tcBorders>
              <w:top w:val="nil"/>
              <w:left w:val="nil"/>
              <w:right w:val="nil"/>
            </w:tcBorders>
            <w:shd w:val="clear" w:color="auto" w:fill="FFFFFF" w:themeFill="background1"/>
          </w:tcPr>
          <w:p w:rsidR="00857EF9" w:rsidRPr="009F130B" w:rsidRDefault="00857EF9" w:rsidP="009F130B">
            <w:pPr>
              <w:rPr>
                <w:lang w:val="es-BO"/>
              </w:rPr>
            </w:pPr>
          </w:p>
          <w:p w:rsidR="00857EF9" w:rsidRPr="0036404C" w:rsidRDefault="0036404C" w:rsidP="00141422">
            <w:pPr>
              <w:pStyle w:val="Caption"/>
              <w:keepNext/>
              <w:spacing w:after="0"/>
              <w:rPr>
                <w:color w:val="auto"/>
                <w:sz w:val="24"/>
                <w:szCs w:val="24"/>
                <w:lang w:val="fr-FR"/>
              </w:rPr>
            </w:pPr>
            <w:bookmarkStart w:id="36" w:name="_Toc362269427"/>
            <w:proofErr w:type="spellStart"/>
            <w:r w:rsidRPr="0036404C">
              <w:rPr>
                <w:color w:val="auto"/>
                <w:sz w:val="24"/>
                <w:szCs w:val="24"/>
                <w:lang w:val="es-BO"/>
              </w:rPr>
              <w:t>Tableau</w:t>
            </w:r>
            <w:proofErr w:type="spellEnd"/>
            <w:r w:rsidRPr="0036404C">
              <w:rPr>
                <w:color w:val="auto"/>
                <w:sz w:val="24"/>
                <w:szCs w:val="24"/>
                <w:lang w:val="es-BO"/>
              </w:rPr>
              <w:t xml:space="preserve"> </w:t>
            </w:r>
            <w:r w:rsidRPr="0036404C">
              <w:rPr>
                <w:color w:val="auto"/>
                <w:sz w:val="24"/>
                <w:szCs w:val="24"/>
              </w:rPr>
              <w:fldChar w:fldCharType="begin"/>
            </w:r>
            <w:r w:rsidRPr="0036404C">
              <w:rPr>
                <w:color w:val="auto"/>
                <w:sz w:val="24"/>
                <w:szCs w:val="24"/>
                <w:lang w:val="es-BO"/>
              </w:rPr>
              <w:instrText xml:space="preserve"> SEQ Tableau \* ARABIC </w:instrText>
            </w:r>
            <w:r w:rsidRPr="0036404C">
              <w:rPr>
                <w:color w:val="auto"/>
                <w:sz w:val="24"/>
                <w:szCs w:val="24"/>
              </w:rPr>
              <w:fldChar w:fldCharType="separate"/>
            </w:r>
            <w:r w:rsidRPr="0036404C">
              <w:rPr>
                <w:noProof/>
                <w:color w:val="auto"/>
                <w:sz w:val="24"/>
                <w:szCs w:val="24"/>
                <w:lang w:val="es-BO"/>
              </w:rPr>
              <w:t>6</w:t>
            </w:r>
            <w:r w:rsidRPr="0036404C">
              <w:rPr>
                <w:color w:val="auto"/>
                <w:sz w:val="24"/>
                <w:szCs w:val="24"/>
              </w:rPr>
              <w:fldChar w:fldCharType="end"/>
            </w:r>
            <w:r w:rsidRPr="0036404C">
              <w:rPr>
                <w:color w:val="auto"/>
                <w:sz w:val="24"/>
                <w:szCs w:val="24"/>
                <w:lang w:val="es-BO"/>
              </w:rPr>
              <w:t xml:space="preserve"> </w:t>
            </w:r>
            <w:r w:rsidR="00857EF9" w:rsidRPr="0036404C">
              <w:rPr>
                <w:color w:val="auto"/>
                <w:sz w:val="24"/>
                <w:szCs w:val="24"/>
                <w:lang w:val="fr-FR"/>
              </w:rPr>
              <w:t>: Récapitulatif du plan de passation des marchés</w:t>
            </w:r>
            <w:bookmarkEnd w:id="36"/>
          </w:p>
        </w:tc>
      </w:tr>
      <w:tr w:rsidR="00857EF9" w:rsidRPr="00113620" w:rsidTr="009F130B">
        <w:trPr>
          <w:trHeight w:val="544"/>
        </w:trPr>
        <w:tc>
          <w:tcPr>
            <w:tcW w:w="13416" w:type="dxa"/>
            <w:gridSpan w:val="8"/>
            <w:shd w:val="clear" w:color="auto" w:fill="D9D9D9" w:themeFill="background1" w:themeFillShade="D9"/>
          </w:tcPr>
          <w:p w:rsidR="00857EF9" w:rsidRPr="00857EF9" w:rsidRDefault="00857EF9" w:rsidP="009F130B">
            <w:pPr>
              <w:jc w:val="center"/>
              <w:rPr>
                <w:b/>
                <w:bCs/>
                <w:sz w:val="20"/>
                <w:szCs w:val="20"/>
                <w:lang w:val="fr-FR"/>
              </w:rPr>
            </w:pPr>
          </w:p>
          <w:p w:rsidR="00857EF9" w:rsidRPr="00857EF9" w:rsidRDefault="00857EF9" w:rsidP="009F130B">
            <w:pPr>
              <w:shd w:val="clear" w:color="auto" w:fill="D9D9D9" w:themeFill="background1" w:themeFillShade="D9"/>
              <w:jc w:val="center"/>
              <w:rPr>
                <w:b/>
                <w:bCs/>
                <w:sz w:val="20"/>
                <w:szCs w:val="20"/>
                <w:lang w:val="fr-FR"/>
              </w:rPr>
            </w:pPr>
            <w:r w:rsidRPr="00857EF9">
              <w:rPr>
                <w:b/>
                <w:bCs/>
                <w:sz w:val="20"/>
                <w:szCs w:val="20"/>
                <w:lang w:val="fr-FR"/>
              </w:rPr>
              <w:t xml:space="preserve">Plan de passation des marchés de biens, de travaux et de services de consultants </w:t>
            </w:r>
            <w:r w:rsidRPr="00857EF9">
              <w:rPr>
                <w:b/>
                <w:bCs/>
                <w:sz w:val="20"/>
                <w:szCs w:val="20"/>
                <w:lang w:val="fr-FR"/>
              </w:rPr>
              <w:br/>
              <w:t>(Principalement pour la Phase I + quelques activités déjà définies pour la Phase II)</w:t>
            </w:r>
          </w:p>
          <w:p w:rsidR="00857EF9" w:rsidRPr="00857EF9" w:rsidRDefault="00857EF9" w:rsidP="009F130B">
            <w:pPr>
              <w:shd w:val="clear" w:color="auto" w:fill="D9D9D9" w:themeFill="background1" w:themeFillShade="D9"/>
              <w:jc w:val="center"/>
              <w:rPr>
                <w:b/>
                <w:bCs/>
                <w:sz w:val="20"/>
                <w:szCs w:val="20"/>
                <w:lang w:val="fr-FR"/>
              </w:rPr>
            </w:pPr>
          </w:p>
        </w:tc>
      </w:tr>
      <w:tr w:rsidR="00857EF9" w:rsidRPr="00857EF9" w:rsidTr="009F130B">
        <w:trPr>
          <w:trHeight w:val="944"/>
        </w:trPr>
        <w:tc>
          <w:tcPr>
            <w:tcW w:w="1495" w:type="dxa"/>
            <w:shd w:val="clear" w:color="auto" w:fill="D9D9D9" w:themeFill="background1" w:themeFillShade="D9"/>
            <w:vAlign w:val="center"/>
          </w:tcPr>
          <w:p w:rsidR="00857EF9" w:rsidRPr="00414E07" w:rsidRDefault="00857EF9" w:rsidP="009F130B">
            <w:pPr>
              <w:jc w:val="center"/>
              <w:rPr>
                <w:b/>
                <w:bCs/>
                <w:sz w:val="20"/>
                <w:szCs w:val="20"/>
              </w:rPr>
            </w:pPr>
            <w:proofErr w:type="spellStart"/>
            <w:r>
              <w:rPr>
                <w:b/>
                <w:bCs/>
                <w:sz w:val="20"/>
                <w:szCs w:val="20"/>
              </w:rPr>
              <w:t>Réf</w:t>
            </w:r>
            <w:proofErr w:type="spellEnd"/>
            <w:r>
              <w:rPr>
                <w:b/>
                <w:bCs/>
                <w:sz w:val="20"/>
                <w:szCs w:val="20"/>
              </w:rPr>
              <w:t>.</w:t>
            </w:r>
          </w:p>
        </w:tc>
        <w:tc>
          <w:tcPr>
            <w:tcW w:w="3664" w:type="dxa"/>
            <w:shd w:val="clear" w:color="auto" w:fill="D9D9D9" w:themeFill="background1" w:themeFillShade="D9"/>
            <w:vAlign w:val="center"/>
          </w:tcPr>
          <w:p w:rsidR="00857EF9" w:rsidRPr="00414E07" w:rsidRDefault="00857EF9" w:rsidP="009F130B">
            <w:pPr>
              <w:jc w:val="center"/>
              <w:rPr>
                <w:b/>
                <w:bCs/>
                <w:sz w:val="20"/>
                <w:szCs w:val="20"/>
              </w:rPr>
            </w:pPr>
            <w:r>
              <w:rPr>
                <w:b/>
                <w:bCs/>
                <w:sz w:val="20"/>
                <w:szCs w:val="20"/>
              </w:rPr>
              <w:t xml:space="preserve">Description des </w:t>
            </w:r>
            <w:proofErr w:type="spellStart"/>
            <w:r>
              <w:rPr>
                <w:b/>
                <w:bCs/>
                <w:sz w:val="20"/>
                <w:szCs w:val="20"/>
              </w:rPr>
              <w:t>contrats</w:t>
            </w:r>
            <w:proofErr w:type="spellEnd"/>
          </w:p>
        </w:tc>
        <w:tc>
          <w:tcPr>
            <w:tcW w:w="1684" w:type="dxa"/>
            <w:shd w:val="clear" w:color="auto" w:fill="D9D9D9" w:themeFill="background1" w:themeFillShade="D9"/>
            <w:vAlign w:val="center"/>
          </w:tcPr>
          <w:p w:rsidR="00857EF9" w:rsidRPr="00414E07" w:rsidRDefault="00857EF9" w:rsidP="009F130B">
            <w:pPr>
              <w:jc w:val="center"/>
              <w:rPr>
                <w:b/>
                <w:bCs/>
                <w:sz w:val="20"/>
                <w:szCs w:val="20"/>
              </w:rPr>
            </w:pPr>
            <w:proofErr w:type="spellStart"/>
            <w:r>
              <w:rPr>
                <w:b/>
                <w:bCs/>
                <w:sz w:val="20"/>
                <w:szCs w:val="20"/>
              </w:rPr>
              <w:t>Coût</w:t>
            </w:r>
            <w:proofErr w:type="spellEnd"/>
          </w:p>
          <w:p w:rsidR="00857EF9" w:rsidRPr="00414E07" w:rsidRDefault="00857EF9" w:rsidP="009F130B">
            <w:pPr>
              <w:jc w:val="center"/>
              <w:rPr>
                <w:b/>
                <w:sz w:val="20"/>
                <w:szCs w:val="20"/>
              </w:rPr>
            </w:pPr>
            <w:proofErr w:type="spellStart"/>
            <w:r>
              <w:rPr>
                <w:b/>
                <w:sz w:val="20"/>
                <w:szCs w:val="20"/>
              </w:rPr>
              <w:t>estimé</w:t>
            </w:r>
            <w:proofErr w:type="spellEnd"/>
          </w:p>
          <w:p w:rsidR="00857EF9" w:rsidRPr="00414E07" w:rsidRDefault="00857EF9" w:rsidP="009F130B">
            <w:pPr>
              <w:jc w:val="center"/>
              <w:rPr>
                <w:b/>
                <w:sz w:val="20"/>
                <w:szCs w:val="20"/>
              </w:rPr>
            </w:pPr>
            <w:r>
              <w:rPr>
                <w:b/>
                <w:sz w:val="20"/>
                <w:szCs w:val="20"/>
              </w:rPr>
              <w:t>(USD)</w:t>
            </w:r>
          </w:p>
        </w:tc>
        <w:tc>
          <w:tcPr>
            <w:tcW w:w="1146" w:type="dxa"/>
            <w:shd w:val="clear" w:color="auto" w:fill="D9D9D9" w:themeFill="background1" w:themeFillShade="D9"/>
            <w:vAlign w:val="center"/>
          </w:tcPr>
          <w:p w:rsidR="00857EF9" w:rsidRPr="00414E07" w:rsidRDefault="00857EF9" w:rsidP="009F130B">
            <w:pPr>
              <w:ind w:left="72"/>
              <w:jc w:val="center"/>
              <w:rPr>
                <w:b/>
                <w:bCs/>
                <w:sz w:val="20"/>
                <w:szCs w:val="20"/>
              </w:rPr>
            </w:pPr>
            <w:proofErr w:type="spellStart"/>
            <w:r>
              <w:rPr>
                <w:b/>
                <w:bCs/>
                <w:sz w:val="20"/>
                <w:szCs w:val="20"/>
              </w:rPr>
              <w:t>Nombre</w:t>
            </w:r>
            <w:proofErr w:type="spellEnd"/>
            <w:r>
              <w:rPr>
                <w:b/>
                <w:bCs/>
                <w:sz w:val="20"/>
                <w:szCs w:val="20"/>
              </w:rPr>
              <w:t xml:space="preserve"> de</w:t>
            </w:r>
          </w:p>
          <w:p w:rsidR="00857EF9" w:rsidRPr="00414E07" w:rsidRDefault="00857EF9" w:rsidP="009F130B">
            <w:pPr>
              <w:ind w:left="72"/>
              <w:jc w:val="center"/>
              <w:rPr>
                <w:b/>
                <w:bCs/>
                <w:sz w:val="20"/>
                <w:szCs w:val="20"/>
              </w:rPr>
            </w:pPr>
            <w:r>
              <w:rPr>
                <w:b/>
                <w:bCs/>
                <w:sz w:val="20"/>
                <w:szCs w:val="20"/>
              </w:rPr>
              <w:t>lots</w:t>
            </w:r>
          </w:p>
        </w:tc>
        <w:tc>
          <w:tcPr>
            <w:tcW w:w="1269" w:type="dxa"/>
            <w:shd w:val="clear" w:color="auto" w:fill="D9D9D9" w:themeFill="background1" w:themeFillShade="D9"/>
            <w:vAlign w:val="center"/>
          </w:tcPr>
          <w:p w:rsidR="00857EF9" w:rsidRPr="00857EF9" w:rsidRDefault="00857EF9" w:rsidP="009F130B">
            <w:pPr>
              <w:jc w:val="center"/>
              <w:rPr>
                <w:b/>
                <w:bCs/>
                <w:sz w:val="20"/>
                <w:szCs w:val="20"/>
                <w:lang w:val="fr-FR"/>
              </w:rPr>
            </w:pPr>
            <w:r w:rsidRPr="00857EF9">
              <w:rPr>
                <w:b/>
                <w:bCs/>
                <w:sz w:val="20"/>
                <w:szCs w:val="20"/>
                <w:lang w:val="fr-FR"/>
              </w:rPr>
              <w:t>Examen par la Banque</w:t>
            </w:r>
          </w:p>
          <w:p w:rsidR="00857EF9" w:rsidRPr="00857EF9" w:rsidRDefault="00857EF9" w:rsidP="009F130B">
            <w:pPr>
              <w:ind w:left="-18"/>
              <w:jc w:val="center"/>
              <w:rPr>
                <w:b/>
                <w:bCs/>
                <w:sz w:val="20"/>
                <w:szCs w:val="20"/>
                <w:lang w:val="fr-FR"/>
              </w:rPr>
            </w:pPr>
            <w:r w:rsidRPr="00857EF9">
              <w:rPr>
                <w:b/>
                <w:bCs/>
                <w:sz w:val="20"/>
                <w:szCs w:val="20"/>
                <w:lang w:val="fr-FR"/>
              </w:rPr>
              <w:t>(Préalable/</w:t>
            </w:r>
            <w:r w:rsidRPr="00857EF9">
              <w:rPr>
                <w:b/>
                <w:bCs/>
                <w:sz w:val="20"/>
                <w:szCs w:val="20"/>
                <w:lang w:val="fr-FR"/>
              </w:rPr>
              <w:br/>
              <w:t>Postérieur)</w:t>
            </w:r>
          </w:p>
        </w:tc>
        <w:tc>
          <w:tcPr>
            <w:tcW w:w="1368" w:type="dxa"/>
            <w:shd w:val="clear" w:color="auto" w:fill="D9D9D9" w:themeFill="background1" w:themeFillShade="D9"/>
            <w:vAlign w:val="center"/>
          </w:tcPr>
          <w:p w:rsidR="00857EF9" w:rsidRPr="00414E07" w:rsidRDefault="00857EF9" w:rsidP="009F130B">
            <w:pPr>
              <w:ind w:left="-18"/>
              <w:jc w:val="center"/>
              <w:rPr>
                <w:b/>
                <w:bCs/>
                <w:sz w:val="20"/>
                <w:szCs w:val="20"/>
              </w:rPr>
            </w:pPr>
            <w:proofErr w:type="spellStart"/>
            <w:r>
              <w:rPr>
                <w:b/>
                <w:bCs/>
                <w:sz w:val="20"/>
                <w:szCs w:val="20"/>
              </w:rPr>
              <w:t>Méthode</w:t>
            </w:r>
            <w:proofErr w:type="spellEnd"/>
          </w:p>
        </w:tc>
        <w:tc>
          <w:tcPr>
            <w:tcW w:w="1463" w:type="dxa"/>
            <w:shd w:val="clear" w:color="auto" w:fill="D9D9D9" w:themeFill="background1" w:themeFillShade="D9"/>
            <w:vAlign w:val="center"/>
          </w:tcPr>
          <w:p w:rsidR="00857EF9" w:rsidRPr="00857EF9" w:rsidRDefault="00857EF9" w:rsidP="009F130B">
            <w:pPr>
              <w:ind w:left="-45"/>
              <w:jc w:val="center"/>
              <w:rPr>
                <w:b/>
                <w:bCs/>
                <w:sz w:val="20"/>
                <w:szCs w:val="20"/>
                <w:lang w:val="fr-FR"/>
              </w:rPr>
            </w:pPr>
            <w:r w:rsidRPr="00857EF9">
              <w:rPr>
                <w:b/>
                <w:bCs/>
                <w:sz w:val="20"/>
                <w:szCs w:val="20"/>
                <w:lang w:val="fr-FR"/>
              </w:rPr>
              <w:t>Demande de propositions/</w:t>
            </w:r>
            <w:r w:rsidRPr="00857EF9">
              <w:rPr>
                <w:b/>
                <w:bCs/>
                <w:sz w:val="20"/>
                <w:szCs w:val="20"/>
                <w:lang w:val="fr-FR"/>
              </w:rPr>
              <w:br/>
              <w:t>dossier d’appel d’offres publié(e)</w:t>
            </w:r>
          </w:p>
        </w:tc>
        <w:tc>
          <w:tcPr>
            <w:tcW w:w="1327" w:type="dxa"/>
            <w:shd w:val="clear" w:color="auto" w:fill="D9D9D9" w:themeFill="background1" w:themeFillShade="D9"/>
            <w:vAlign w:val="center"/>
          </w:tcPr>
          <w:p w:rsidR="00857EF9" w:rsidRPr="00857EF9" w:rsidRDefault="00857EF9" w:rsidP="009F130B">
            <w:pPr>
              <w:jc w:val="center"/>
              <w:rPr>
                <w:b/>
                <w:bCs/>
                <w:sz w:val="20"/>
                <w:szCs w:val="20"/>
                <w:lang w:val="fr-FR"/>
              </w:rPr>
            </w:pPr>
            <w:r w:rsidRPr="00857EF9">
              <w:rPr>
                <w:b/>
                <w:bCs/>
                <w:sz w:val="20"/>
                <w:szCs w:val="20"/>
                <w:lang w:val="fr-FR"/>
              </w:rPr>
              <w:t>Date de signature du contrat</w:t>
            </w:r>
          </w:p>
        </w:tc>
      </w:tr>
      <w:tr w:rsidR="00857EF9" w:rsidRPr="00414E07" w:rsidTr="009F130B">
        <w:trPr>
          <w:trHeight w:val="207"/>
        </w:trPr>
        <w:tc>
          <w:tcPr>
            <w:tcW w:w="13416" w:type="dxa"/>
            <w:gridSpan w:val="8"/>
          </w:tcPr>
          <w:p w:rsidR="00857EF9" w:rsidRPr="00414E07" w:rsidRDefault="00857EF9" w:rsidP="009F130B">
            <w:pPr>
              <w:jc w:val="center"/>
              <w:rPr>
                <w:b/>
                <w:sz w:val="20"/>
                <w:szCs w:val="20"/>
              </w:rPr>
            </w:pPr>
            <w:proofErr w:type="spellStart"/>
            <w:r>
              <w:rPr>
                <w:b/>
                <w:sz w:val="20"/>
                <w:szCs w:val="20"/>
              </w:rPr>
              <w:t>Biens</w:t>
            </w:r>
            <w:proofErr w:type="spellEnd"/>
            <w:r>
              <w:rPr>
                <w:b/>
                <w:sz w:val="20"/>
                <w:szCs w:val="20"/>
              </w:rPr>
              <w:t xml:space="preserve"> et </w:t>
            </w:r>
            <w:proofErr w:type="spellStart"/>
            <w:r>
              <w:rPr>
                <w:b/>
                <w:sz w:val="20"/>
                <w:szCs w:val="20"/>
              </w:rPr>
              <w:t>travaux</w:t>
            </w:r>
            <w:proofErr w:type="spellEnd"/>
          </w:p>
        </w:tc>
      </w:tr>
      <w:tr w:rsidR="00857EF9" w:rsidRPr="00414E07" w:rsidTr="009F130B">
        <w:trPr>
          <w:trHeight w:val="236"/>
        </w:trPr>
        <w:tc>
          <w:tcPr>
            <w:tcW w:w="1495"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1</w:t>
            </w:r>
          </w:p>
        </w:tc>
        <w:tc>
          <w:tcPr>
            <w:tcW w:w="3664" w:type="dxa"/>
            <w:tcBorders>
              <w:top w:val="single" w:sz="4" w:space="0" w:color="auto"/>
              <w:left w:val="single" w:sz="4" w:space="0" w:color="auto"/>
              <w:bottom w:val="single" w:sz="4" w:space="0" w:color="auto"/>
              <w:right w:val="single" w:sz="4" w:space="0" w:color="auto"/>
            </w:tcBorders>
          </w:tcPr>
          <w:p w:rsidR="00857EF9" w:rsidRPr="00857EF9" w:rsidRDefault="00857EF9" w:rsidP="009F130B">
            <w:pPr>
              <w:rPr>
                <w:color w:val="000000"/>
                <w:sz w:val="20"/>
                <w:szCs w:val="20"/>
                <w:lang w:val="fr-FR"/>
              </w:rPr>
            </w:pPr>
            <w:r w:rsidRPr="00857EF9">
              <w:rPr>
                <w:color w:val="000000"/>
                <w:sz w:val="20"/>
                <w:szCs w:val="20"/>
                <w:lang w:val="fr-FR"/>
              </w:rPr>
              <w:t>1 véhicule UCP et 2 véhicules CDEE</w:t>
            </w:r>
          </w:p>
        </w:tc>
        <w:tc>
          <w:tcPr>
            <w:tcW w:w="168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160 000</w:t>
            </w:r>
          </w:p>
        </w:tc>
        <w:tc>
          <w:tcPr>
            <w:tcW w:w="1146"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1</w:t>
            </w:r>
          </w:p>
        </w:tc>
        <w:tc>
          <w:tcPr>
            <w:tcW w:w="1269"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 xml:space="preserve">Consultation des </w:t>
            </w:r>
            <w:proofErr w:type="spellStart"/>
            <w:r>
              <w:rPr>
                <w:color w:val="000000"/>
                <w:sz w:val="20"/>
                <w:szCs w:val="20"/>
              </w:rPr>
              <w:t>fournisseurs</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roofErr w:type="spellStart"/>
            <w:r>
              <w:rPr>
                <w:color w:val="000000"/>
                <w:sz w:val="20"/>
                <w:szCs w:val="20"/>
              </w:rPr>
              <w:t>Juil</w:t>
            </w:r>
            <w:proofErr w:type="spellEnd"/>
            <w:r>
              <w:rPr>
                <w:color w:val="000000"/>
                <w:sz w:val="20"/>
                <w:szCs w:val="20"/>
              </w:rPr>
              <w:t>. 2013</w:t>
            </w:r>
          </w:p>
        </w:tc>
        <w:tc>
          <w:tcPr>
            <w:tcW w:w="1327"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Nov. 2013</w:t>
            </w:r>
          </w:p>
        </w:tc>
      </w:tr>
      <w:tr w:rsidR="00857EF9" w:rsidRPr="00414E07" w:rsidTr="009F130B">
        <w:trPr>
          <w:trHeight w:val="236"/>
        </w:trPr>
        <w:tc>
          <w:tcPr>
            <w:tcW w:w="1495"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2</w:t>
            </w:r>
          </w:p>
        </w:tc>
        <w:tc>
          <w:tcPr>
            <w:tcW w:w="3664" w:type="dxa"/>
            <w:tcBorders>
              <w:top w:val="single" w:sz="4" w:space="0" w:color="auto"/>
              <w:left w:val="single" w:sz="4" w:space="0" w:color="auto"/>
              <w:bottom w:val="single" w:sz="4" w:space="0" w:color="auto"/>
              <w:right w:val="single" w:sz="4" w:space="0" w:color="auto"/>
            </w:tcBorders>
          </w:tcPr>
          <w:p w:rsidR="00857EF9" w:rsidRPr="00857EF9" w:rsidRDefault="00857EF9" w:rsidP="009F130B">
            <w:pPr>
              <w:rPr>
                <w:color w:val="000000"/>
                <w:sz w:val="20"/>
                <w:szCs w:val="20"/>
                <w:lang w:val="fr-FR"/>
              </w:rPr>
            </w:pPr>
            <w:r w:rsidRPr="00857EF9">
              <w:rPr>
                <w:color w:val="000000"/>
                <w:sz w:val="20"/>
                <w:szCs w:val="20"/>
                <w:lang w:val="fr-FR"/>
              </w:rPr>
              <w:t xml:space="preserve">Ordinateurs et matériel informatique – UCP </w:t>
            </w:r>
          </w:p>
        </w:tc>
        <w:tc>
          <w:tcPr>
            <w:tcW w:w="168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20 000</w:t>
            </w:r>
          </w:p>
        </w:tc>
        <w:tc>
          <w:tcPr>
            <w:tcW w:w="1146"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4</w:t>
            </w:r>
          </w:p>
        </w:tc>
        <w:tc>
          <w:tcPr>
            <w:tcW w:w="1269"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 xml:space="preserve">Consultation des </w:t>
            </w:r>
            <w:proofErr w:type="spellStart"/>
            <w:r>
              <w:rPr>
                <w:color w:val="000000"/>
                <w:sz w:val="20"/>
                <w:szCs w:val="20"/>
              </w:rPr>
              <w:t>fournisseurs</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roofErr w:type="spellStart"/>
            <w:r>
              <w:rPr>
                <w:color w:val="000000"/>
                <w:sz w:val="20"/>
                <w:szCs w:val="20"/>
              </w:rPr>
              <w:t>Juil</w:t>
            </w:r>
            <w:proofErr w:type="spellEnd"/>
            <w:r>
              <w:rPr>
                <w:color w:val="000000"/>
                <w:sz w:val="20"/>
                <w:szCs w:val="20"/>
              </w:rPr>
              <w:t>. 2013</w:t>
            </w:r>
          </w:p>
        </w:tc>
        <w:tc>
          <w:tcPr>
            <w:tcW w:w="1327"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236"/>
        </w:trPr>
        <w:tc>
          <w:tcPr>
            <w:tcW w:w="1495"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r>
              <w:rPr>
                <w:sz w:val="20"/>
                <w:szCs w:val="20"/>
              </w:rPr>
              <w:t>3</w:t>
            </w:r>
          </w:p>
        </w:tc>
        <w:tc>
          <w:tcPr>
            <w:tcW w:w="3664" w:type="dxa"/>
            <w:tcBorders>
              <w:top w:val="single" w:sz="4" w:space="0" w:color="auto"/>
              <w:left w:val="single" w:sz="4" w:space="0" w:color="auto"/>
              <w:bottom w:val="single" w:sz="4" w:space="0" w:color="auto"/>
              <w:right w:val="single" w:sz="4" w:space="0" w:color="auto"/>
            </w:tcBorders>
          </w:tcPr>
          <w:p w:rsidR="00857EF9" w:rsidRPr="00857EF9" w:rsidRDefault="00857EF9" w:rsidP="009F130B">
            <w:pPr>
              <w:rPr>
                <w:color w:val="000000"/>
                <w:sz w:val="20"/>
                <w:szCs w:val="20"/>
                <w:lang w:val="fr-FR"/>
              </w:rPr>
            </w:pPr>
            <w:r w:rsidRPr="00857EF9">
              <w:rPr>
                <w:color w:val="000000"/>
                <w:sz w:val="20"/>
                <w:szCs w:val="20"/>
                <w:lang w:val="fr-FR"/>
              </w:rPr>
              <w:t xml:space="preserve">Logiciels – SDE du CDEE et antenne régionale </w:t>
            </w:r>
          </w:p>
        </w:tc>
        <w:tc>
          <w:tcPr>
            <w:tcW w:w="168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80 000</w:t>
            </w:r>
          </w:p>
        </w:tc>
        <w:tc>
          <w:tcPr>
            <w:tcW w:w="1146"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 xml:space="preserve">Consultation des </w:t>
            </w:r>
            <w:proofErr w:type="spellStart"/>
            <w:r>
              <w:rPr>
                <w:color w:val="000000"/>
                <w:sz w:val="20"/>
                <w:szCs w:val="20"/>
              </w:rPr>
              <w:t>fournisseurs</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roofErr w:type="spellStart"/>
            <w:r>
              <w:rPr>
                <w:color w:val="000000"/>
                <w:sz w:val="20"/>
                <w:szCs w:val="20"/>
              </w:rPr>
              <w:t>Juil</w:t>
            </w:r>
            <w:proofErr w:type="spellEnd"/>
            <w:r>
              <w:rPr>
                <w:color w:val="000000"/>
                <w:sz w:val="20"/>
                <w:szCs w:val="20"/>
              </w:rPr>
              <w:t>. 2013</w:t>
            </w:r>
          </w:p>
        </w:tc>
        <w:tc>
          <w:tcPr>
            <w:tcW w:w="1327"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236"/>
        </w:trPr>
        <w:tc>
          <w:tcPr>
            <w:tcW w:w="1495"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r>
              <w:rPr>
                <w:sz w:val="20"/>
                <w:szCs w:val="20"/>
              </w:rPr>
              <w:t>4</w:t>
            </w:r>
          </w:p>
        </w:tc>
        <w:tc>
          <w:tcPr>
            <w:tcW w:w="3664" w:type="dxa"/>
            <w:tcBorders>
              <w:top w:val="single" w:sz="4" w:space="0" w:color="auto"/>
              <w:left w:val="single" w:sz="4" w:space="0" w:color="auto"/>
              <w:bottom w:val="single" w:sz="4" w:space="0" w:color="auto"/>
              <w:right w:val="single" w:sz="4" w:space="0" w:color="auto"/>
            </w:tcBorders>
          </w:tcPr>
          <w:p w:rsidR="00857EF9" w:rsidRPr="00857EF9" w:rsidRDefault="00857EF9" w:rsidP="009F130B">
            <w:pPr>
              <w:rPr>
                <w:color w:val="000000"/>
                <w:sz w:val="20"/>
                <w:szCs w:val="20"/>
                <w:lang w:val="fr-FR"/>
              </w:rPr>
            </w:pPr>
            <w:r w:rsidRPr="00857EF9">
              <w:rPr>
                <w:color w:val="000000"/>
                <w:sz w:val="20"/>
                <w:szCs w:val="20"/>
                <w:lang w:val="fr-FR"/>
              </w:rPr>
              <w:t>Mobilier – SDE du CDEE et antenne régionale</w:t>
            </w:r>
          </w:p>
        </w:tc>
        <w:tc>
          <w:tcPr>
            <w:tcW w:w="168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21 000</w:t>
            </w:r>
          </w:p>
        </w:tc>
        <w:tc>
          <w:tcPr>
            <w:tcW w:w="1146"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1</w:t>
            </w:r>
          </w:p>
        </w:tc>
        <w:tc>
          <w:tcPr>
            <w:tcW w:w="1269"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 xml:space="preserve">Consultation des </w:t>
            </w:r>
            <w:proofErr w:type="spellStart"/>
            <w:r>
              <w:rPr>
                <w:color w:val="000000"/>
                <w:sz w:val="20"/>
                <w:szCs w:val="20"/>
              </w:rPr>
              <w:t>fournisseurs</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roofErr w:type="spellStart"/>
            <w:r>
              <w:rPr>
                <w:color w:val="000000"/>
                <w:sz w:val="20"/>
                <w:szCs w:val="20"/>
              </w:rPr>
              <w:t>Juil</w:t>
            </w:r>
            <w:proofErr w:type="spellEnd"/>
            <w:r>
              <w:rPr>
                <w:color w:val="000000"/>
                <w:sz w:val="20"/>
                <w:szCs w:val="20"/>
              </w:rPr>
              <w:t>. 2013</w:t>
            </w:r>
          </w:p>
        </w:tc>
        <w:tc>
          <w:tcPr>
            <w:tcW w:w="1327"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236"/>
        </w:trPr>
        <w:tc>
          <w:tcPr>
            <w:tcW w:w="1495"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r>
              <w:rPr>
                <w:sz w:val="20"/>
                <w:szCs w:val="20"/>
              </w:rPr>
              <w:t>5</w:t>
            </w:r>
          </w:p>
        </w:tc>
        <w:tc>
          <w:tcPr>
            <w:tcW w:w="3664" w:type="dxa"/>
            <w:tcBorders>
              <w:top w:val="single" w:sz="4" w:space="0" w:color="auto"/>
              <w:left w:val="single" w:sz="4" w:space="0" w:color="auto"/>
              <w:bottom w:val="single" w:sz="4" w:space="0" w:color="auto"/>
              <w:right w:val="single" w:sz="4" w:space="0" w:color="auto"/>
            </w:tcBorders>
          </w:tcPr>
          <w:p w:rsidR="00857EF9" w:rsidRPr="00857EF9" w:rsidRDefault="00857EF9" w:rsidP="009F130B">
            <w:pPr>
              <w:rPr>
                <w:color w:val="000000"/>
                <w:sz w:val="20"/>
                <w:szCs w:val="20"/>
                <w:lang w:val="fr-FR"/>
              </w:rPr>
            </w:pPr>
            <w:r w:rsidRPr="00857EF9">
              <w:rPr>
                <w:color w:val="000000"/>
                <w:sz w:val="20"/>
                <w:szCs w:val="20"/>
                <w:lang w:val="fr-FR"/>
              </w:rPr>
              <w:t>Équipement – SDE du CDEE et antenne régionale</w:t>
            </w:r>
          </w:p>
        </w:tc>
        <w:tc>
          <w:tcPr>
            <w:tcW w:w="168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28 000</w:t>
            </w:r>
          </w:p>
        </w:tc>
        <w:tc>
          <w:tcPr>
            <w:tcW w:w="1146"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1</w:t>
            </w:r>
          </w:p>
        </w:tc>
        <w:tc>
          <w:tcPr>
            <w:tcW w:w="1269"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r>
              <w:rPr>
                <w:color w:val="000000"/>
                <w:sz w:val="20"/>
                <w:szCs w:val="20"/>
              </w:rPr>
              <w:t xml:space="preserve">Consultation des </w:t>
            </w:r>
            <w:proofErr w:type="spellStart"/>
            <w:r>
              <w:rPr>
                <w:color w:val="000000"/>
                <w:sz w:val="20"/>
                <w:szCs w:val="20"/>
              </w:rPr>
              <w:t>fournisseurs</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roofErr w:type="spellStart"/>
            <w:r>
              <w:rPr>
                <w:color w:val="000000"/>
                <w:sz w:val="20"/>
                <w:szCs w:val="20"/>
              </w:rPr>
              <w:t>Juil</w:t>
            </w:r>
            <w:proofErr w:type="spellEnd"/>
            <w:r>
              <w:rPr>
                <w:color w:val="000000"/>
                <w:sz w:val="20"/>
                <w:szCs w:val="20"/>
              </w:rPr>
              <w:t>. 2013</w:t>
            </w:r>
          </w:p>
        </w:tc>
        <w:tc>
          <w:tcPr>
            <w:tcW w:w="1327"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236"/>
        </w:trPr>
        <w:tc>
          <w:tcPr>
            <w:tcW w:w="1495"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p>
        </w:tc>
        <w:tc>
          <w:tcPr>
            <w:tcW w:w="3664"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rPr>
                <w:color w:val="000000"/>
                <w:sz w:val="20"/>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
        </w:tc>
        <w:tc>
          <w:tcPr>
            <w:tcW w:w="1368"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tcPr>
          <w:p w:rsidR="00857EF9" w:rsidRPr="00414E07" w:rsidRDefault="00857EF9" w:rsidP="009F130B">
            <w:pPr>
              <w:jc w:val="center"/>
              <w:rPr>
                <w:color w:val="000000"/>
                <w:sz w:val="20"/>
                <w:szCs w:val="20"/>
              </w:rPr>
            </w:pPr>
          </w:p>
        </w:tc>
      </w:tr>
      <w:tr w:rsidR="00857EF9" w:rsidRPr="00414E07" w:rsidTr="009F130B">
        <w:trPr>
          <w:trHeight w:val="236"/>
        </w:trPr>
        <w:tc>
          <w:tcPr>
            <w:tcW w:w="1495"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b/>
                <w:sz w:val="20"/>
                <w:szCs w:val="20"/>
              </w:rPr>
            </w:pPr>
            <w:proofErr w:type="spellStart"/>
            <w:r>
              <w:rPr>
                <w:b/>
                <w:sz w:val="20"/>
                <w:szCs w:val="20"/>
              </w:rPr>
              <w:t>Biens</w:t>
            </w:r>
            <w:proofErr w:type="spellEnd"/>
            <w:r>
              <w:rPr>
                <w:b/>
                <w:sz w:val="20"/>
                <w:szCs w:val="20"/>
              </w:rPr>
              <w:t xml:space="preserve"> et </w:t>
            </w:r>
            <w:proofErr w:type="spellStart"/>
            <w:r>
              <w:rPr>
                <w:b/>
                <w:sz w:val="20"/>
                <w:szCs w:val="20"/>
              </w:rPr>
              <w:t>travaux</w:t>
            </w:r>
            <w:proofErr w:type="spellEnd"/>
          </w:p>
        </w:tc>
        <w:tc>
          <w:tcPr>
            <w:tcW w:w="366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b/>
                <w:sz w:val="20"/>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b/>
                <w:sz w:val="20"/>
                <w:szCs w:val="20"/>
              </w:rPr>
            </w:pPr>
            <w:r>
              <w:rPr>
                <w:b/>
                <w:sz w:val="20"/>
                <w:szCs w:val="20"/>
              </w:rPr>
              <w:t>309 000</w:t>
            </w:r>
          </w:p>
        </w:tc>
        <w:tc>
          <w:tcPr>
            <w:tcW w:w="1146"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857EF9" w:rsidRPr="00414E07" w:rsidRDefault="00857EF9" w:rsidP="009F130B">
            <w:pPr>
              <w:jc w:val="center"/>
              <w:rPr>
                <w:sz w:val="20"/>
                <w:szCs w:val="20"/>
              </w:rPr>
            </w:pPr>
          </w:p>
        </w:tc>
      </w:tr>
      <w:tr w:rsidR="00857EF9" w:rsidRPr="00414E07" w:rsidTr="009F130B">
        <w:trPr>
          <w:trHeight w:val="236"/>
        </w:trPr>
        <w:tc>
          <w:tcPr>
            <w:tcW w:w="13416" w:type="dxa"/>
            <w:gridSpan w:val="8"/>
          </w:tcPr>
          <w:p w:rsidR="00857EF9" w:rsidRPr="00414E07" w:rsidRDefault="00857EF9" w:rsidP="009F130B">
            <w:pPr>
              <w:jc w:val="center"/>
              <w:rPr>
                <w:b/>
                <w:sz w:val="20"/>
                <w:szCs w:val="20"/>
              </w:rPr>
            </w:pPr>
          </w:p>
        </w:tc>
      </w:tr>
      <w:tr w:rsidR="00857EF9" w:rsidRPr="00414E07" w:rsidTr="009F130B">
        <w:trPr>
          <w:trHeight w:val="236"/>
        </w:trPr>
        <w:tc>
          <w:tcPr>
            <w:tcW w:w="13416" w:type="dxa"/>
            <w:gridSpan w:val="8"/>
          </w:tcPr>
          <w:p w:rsidR="00857EF9" w:rsidRPr="00414E07" w:rsidRDefault="00857EF9" w:rsidP="009F130B">
            <w:pPr>
              <w:jc w:val="center"/>
              <w:rPr>
                <w:b/>
                <w:sz w:val="20"/>
                <w:szCs w:val="20"/>
              </w:rPr>
            </w:pPr>
            <w:r>
              <w:rPr>
                <w:b/>
                <w:sz w:val="20"/>
                <w:szCs w:val="20"/>
              </w:rPr>
              <w:t>Consultants</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t>1</w:t>
            </w:r>
          </w:p>
        </w:tc>
        <w:tc>
          <w:tcPr>
            <w:tcW w:w="3664" w:type="dxa"/>
          </w:tcPr>
          <w:p w:rsidR="00857EF9" w:rsidRPr="00927D19" w:rsidRDefault="00857EF9" w:rsidP="009F130B">
            <w:pPr>
              <w:rPr>
                <w:color w:val="000000"/>
                <w:sz w:val="20"/>
                <w:szCs w:val="20"/>
                <w:lang w:val="fr-FR"/>
              </w:rPr>
            </w:pPr>
            <w:r w:rsidRPr="00927D19">
              <w:rPr>
                <w:color w:val="000000"/>
                <w:sz w:val="20"/>
                <w:szCs w:val="20"/>
                <w:lang w:val="fr-FR"/>
              </w:rPr>
              <w:t>Établissement du registre de garanties (</w:t>
            </w:r>
            <w:proofErr w:type="spellStart"/>
            <w:r w:rsidRPr="00927D19">
              <w:rPr>
                <w:color w:val="000000"/>
                <w:sz w:val="20"/>
                <w:szCs w:val="20"/>
                <w:lang w:val="fr-FR"/>
              </w:rPr>
              <w:t>ré-ingénierie</w:t>
            </w:r>
            <w:proofErr w:type="spellEnd"/>
            <w:r w:rsidRPr="00927D19">
              <w:rPr>
                <w:color w:val="000000"/>
                <w:sz w:val="20"/>
                <w:szCs w:val="20"/>
                <w:lang w:val="fr-FR"/>
              </w:rPr>
              <w:t xml:space="preserve">, numérisation des données, solutions logicielles, etc.) </w:t>
            </w:r>
          </w:p>
        </w:tc>
        <w:tc>
          <w:tcPr>
            <w:tcW w:w="1684" w:type="dxa"/>
            <w:vAlign w:val="center"/>
          </w:tcPr>
          <w:p w:rsidR="00857EF9" w:rsidRPr="00414E07" w:rsidRDefault="00857EF9" w:rsidP="009F130B">
            <w:pPr>
              <w:jc w:val="center"/>
              <w:rPr>
                <w:color w:val="000000"/>
                <w:sz w:val="20"/>
                <w:szCs w:val="20"/>
              </w:rPr>
            </w:pPr>
            <w:r>
              <w:rPr>
                <w:color w:val="000000"/>
                <w:sz w:val="20"/>
                <w:szCs w:val="20"/>
              </w:rPr>
              <w:t>500 000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1</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proofErr w:type="spellStart"/>
            <w:r>
              <w:rPr>
                <w:color w:val="000000"/>
                <w:sz w:val="20"/>
                <w:szCs w:val="20"/>
              </w:rPr>
              <w:t>SMiD</w:t>
            </w:r>
            <w:proofErr w:type="spellEnd"/>
          </w:p>
        </w:tc>
        <w:tc>
          <w:tcPr>
            <w:tcW w:w="1463" w:type="dxa"/>
            <w:vAlign w:val="center"/>
          </w:tcPr>
          <w:p w:rsidR="00857EF9" w:rsidRPr="00414E07" w:rsidRDefault="00857EF9" w:rsidP="009F130B">
            <w:pPr>
              <w:jc w:val="center"/>
              <w:rPr>
                <w:color w:val="000000"/>
                <w:sz w:val="20"/>
                <w:szCs w:val="20"/>
              </w:rPr>
            </w:pPr>
            <w:r>
              <w:rPr>
                <w:color w:val="000000"/>
                <w:sz w:val="20"/>
                <w:szCs w:val="20"/>
              </w:rPr>
              <w:t>Sept.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Déc</w:t>
            </w:r>
            <w:proofErr w:type="spellEnd"/>
            <w:r>
              <w:rPr>
                <w:color w:val="000000"/>
                <w:sz w:val="20"/>
                <w:szCs w:val="20"/>
              </w:rPr>
              <w:t>. 2013</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t>2</w:t>
            </w:r>
          </w:p>
        </w:tc>
        <w:tc>
          <w:tcPr>
            <w:tcW w:w="3664" w:type="dxa"/>
            <w:vAlign w:val="bottom"/>
          </w:tcPr>
          <w:p w:rsidR="00857EF9" w:rsidRPr="00927D19" w:rsidRDefault="00857EF9" w:rsidP="009F130B">
            <w:pPr>
              <w:rPr>
                <w:color w:val="000000"/>
                <w:sz w:val="20"/>
                <w:szCs w:val="20"/>
                <w:lang w:val="fr-FR"/>
              </w:rPr>
            </w:pPr>
            <w:r w:rsidRPr="00927D19">
              <w:rPr>
                <w:color w:val="000000"/>
                <w:sz w:val="20"/>
                <w:szCs w:val="20"/>
                <w:lang w:val="fr-FR"/>
              </w:rPr>
              <w:t>Consultants – Climat des affaires (5 ans)</w:t>
            </w:r>
          </w:p>
        </w:tc>
        <w:tc>
          <w:tcPr>
            <w:tcW w:w="1684" w:type="dxa"/>
            <w:vAlign w:val="center"/>
          </w:tcPr>
          <w:p w:rsidR="00857EF9" w:rsidRPr="00414E07" w:rsidRDefault="00857EF9" w:rsidP="009F130B">
            <w:pPr>
              <w:jc w:val="center"/>
              <w:rPr>
                <w:color w:val="000000"/>
                <w:sz w:val="20"/>
                <w:szCs w:val="20"/>
              </w:rPr>
            </w:pPr>
            <w:r>
              <w:rPr>
                <w:color w:val="000000"/>
                <w:sz w:val="20"/>
                <w:szCs w:val="20"/>
              </w:rPr>
              <w:t>690 000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proofErr w:type="spellStart"/>
            <w:r>
              <w:rPr>
                <w:color w:val="000000"/>
                <w:sz w:val="20"/>
                <w:szCs w:val="20"/>
              </w:rPr>
              <w:t>SMiD</w:t>
            </w:r>
            <w:proofErr w:type="spellEnd"/>
          </w:p>
        </w:tc>
        <w:tc>
          <w:tcPr>
            <w:tcW w:w="1463" w:type="dxa"/>
            <w:vAlign w:val="center"/>
          </w:tcPr>
          <w:p w:rsidR="00857EF9" w:rsidRPr="00414E07" w:rsidRDefault="00857EF9" w:rsidP="009F130B">
            <w:pPr>
              <w:jc w:val="center"/>
              <w:rPr>
                <w:color w:val="000000"/>
                <w:sz w:val="20"/>
                <w:szCs w:val="20"/>
              </w:rPr>
            </w:pPr>
            <w:r>
              <w:rPr>
                <w:color w:val="000000"/>
                <w:sz w:val="20"/>
                <w:szCs w:val="20"/>
              </w:rPr>
              <w:t>Sept.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Déc</w:t>
            </w:r>
            <w:proofErr w:type="spellEnd"/>
            <w:r>
              <w:rPr>
                <w:color w:val="000000"/>
                <w:sz w:val="20"/>
                <w:szCs w:val="20"/>
              </w:rPr>
              <w:t>. 2013</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t>3</w:t>
            </w:r>
          </w:p>
        </w:tc>
        <w:tc>
          <w:tcPr>
            <w:tcW w:w="3664" w:type="dxa"/>
          </w:tcPr>
          <w:p w:rsidR="00857EF9" w:rsidRPr="00927D19" w:rsidRDefault="00857EF9" w:rsidP="009F130B">
            <w:pPr>
              <w:rPr>
                <w:color w:val="000000"/>
                <w:sz w:val="20"/>
                <w:szCs w:val="20"/>
                <w:lang w:val="fr-FR"/>
              </w:rPr>
            </w:pPr>
            <w:r w:rsidRPr="00927D19">
              <w:rPr>
                <w:color w:val="000000"/>
                <w:sz w:val="20"/>
                <w:szCs w:val="20"/>
                <w:lang w:val="fr-FR"/>
              </w:rPr>
              <w:t xml:space="preserve">Adaptation du cadre des ZEI à la législation haïtienne </w:t>
            </w:r>
          </w:p>
        </w:tc>
        <w:tc>
          <w:tcPr>
            <w:tcW w:w="1684" w:type="dxa"/>
            <w:vAlign w:val="center"/>
          </w:tcPr>
          <w:p w:rsidR="00857EF9" w:rsidRPr="00414E07" w:rsidRDefault="00857EF9" w:rsidP="009F130B">
            <w:pPr>
              <w:jc w:val="center"/>
              <w:rPr>
                <w:color w:val="000000"/>
                <w:sz w:val="20"/>
                <w:szCs w:val="20"/>
              </w:rPr>
            </w:pPr>
            <w:r>
              <w:rPr>
                <w:color w:val="000000"/>
                <w:sz w:val="20"/>
                <w:szCs w:val="20"/>
              </w:rPr>
              <w:t>150 000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Postérieur</w:t>
            </w:r>
            <w:proofErr w:type="spellEnd"/>
          </w:p>
        </w:tc>
        <w:tc>
          <w:tcPr>
            <w:tcW w:w="1368" w:type="dxa"/>
            <w:vAlign w:val="center"/>
          </w:tcPr>
          <w:p w:rsidR="00857EF9" w:rsidRPr="00414E07" w:rsidRDefault="00857EF9" w:rsidP="009F130B">
            <w:pPr>
              <w:jc w:val="center"/>
              <w:rPr>
                <w:color w:val="000000"/>
                <w:sz w:val="20"/>
                <w:szCs w:val="20"/>
              </w:rPr>
            </w:pPr>
            <w:proofErr w:type="spellStart"/>
            <w:r>
              <w:rPr>
                <w:color w:val="000000"/>
                <w:sz w:val="20"/>
                <w:szCs w:val="20"/>
              </w:rPr>
              <w:t>SMiD</w:t>
            </w:r>
            <w:proofErr w:type="spellEnd"/>
          </w:p>
        </w:tc>
        <w:tc>
          <w:tcPr>
            <w:tcW w:w="1463" w:type="dxa"/>
            <w:vAlign w:val="center"/>
          </w:tcPr>
          <w:p w:rsidR="00857EF9" w:rsidRPr="00414E07" w:rsidRDefault="00857EF9" w:rsidP="009F130B">
            <w:pPr>
              <w:jc w:val="center"/>
              <w:rPr>
                <w:color w:val="000000"/>
                <w:sz w:val="20"/>
                <w:szCs w:val="20"/>
              </w:rPr>
            </w:pPr>
            <w:proofErr w:type="spellStart"/>
            <w:r>
              <w:rPr>
                <w:color w:val="000000"/>
                <w:sz w:val="20"/>
                <w:szCs w:val="20"/>
              </w:rPr>
              <w:t>Août</w:t>
            </w:r>
            <w:proofErr w:type="spellEnd"/>
            <w:r>
              <w:rPr>
                <w:color w:val="000000"/>
                <w:sz w:val="20"/>
                <w:szCs w:val="20"/>
              </w:rPr>
              <w:t xml:space="preserve">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Oct. 2013</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t>4</w:t>
            </w:r>
          </w:p>
        </w:tc>
        <w:tc>
          <w:tcPr>
            <w:tcW w:w="3664" w:type="dxa"/>
          </w:tcPr>
          <w:p w:rsidR="00857EF9" w:rsidRPr="00927D19" w:rsidRDefault="00857EF9" w:rsidP="009F130B">
            <w:pPr>
              <w:rPr>
                <w:color w:val="000000"/>
                <w:sz w:val="20"/>
                <w:szCs w:val="20"/>
                <w:lang w:val="fr-FR"/>
              </w:rPr>
            </w:pPr>
            <w:r w:rsidRPr="00927D19">
              <w:rPr>
                <w:color w:val="000000"/>
                <w:sz w:val="20"/>
                <w:szCs w:val="20"/>
                <w:lang w:val="fr-FR"/>
              </w:rPr>
              <w:t>Sensibilisation autour du cadre des ZEI – 5 ans</w:t>
            </w:r>
          </w:p>
        </w:tc>
        <w:tc>
          <w:tcPr>
            <w:tcW w:w="1684" w:type="dxa"/>
            <w:vAlign w:val="center"/>
          </w:tcPr>
          <w:p w:rsidR="00857EF9" w:rsidRPr="00414E07" w:rsidRDefault="00857EF9" w:rsidP="009F130B">
            <w:pPr>
              <w:jc w:val="center"/>
              <w:rPr>
                <w:color w:val="000000"/>
                <w:sz w:val="20"/>
                <w:szCs w:val="20"/>
              </w:rPr>
            </w:pPr>
            <w:r>
              <w:rPr>
                <w:color w:val="000000"/>
                <w:sz w:val="20"/>
                <w:szCs w:val="20"/>
              </w:rPr>
              <w:t>150 000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CD</w:t>
            </w:r>
          </w:p>
        </w:tc>
        <w:tc>
          <w:tcPr>
            <w:tcW w:w="1463" w:type="dxa"/>
            <w:vAlign w:val="center"/>
          </w:tcPr>
          <w:p w:rsidR="00857EF9" w:rsidRPr="00414E07" w:rsidRDefault="00857EF9" w:rsidP="009F130B">
            <w:pPr>
              <w:jc w:val="center"/>
              <w:rPr>
                <w:color w:val="000000"/>
                <w:sz w:val="20"/>
                <w:szCs w:val="20"/>
              </w:rPr>
            </w:pPr>
            <w:r>
              <w:rPr>
                <w:color w:val="000000"/>
                <w:sz w:val="20"/>
                <w:szCs w:val="20"/>
              </w:rPr>
              <w:t>Sept.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Déc</w:t>
            </w:r>
            <w:proofErr w:type="spellEnd"/>
            <w:r>
              <w:rPr>
                <w:color w:val="000000"/>
                <w:sz w:val="20"/>
                <w:szCs w:val="20"/>
              </w:rPr>
              <w:t>. 2013</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t>5</w:t>
            </w:r>
          </w:p>
        </w:tc>
        <w:tc>
          <w:tcPr>
            <w:tcW w:w="3664" w:type="dxa"/>
          </w:tcPr>
          <w:p w:rsidR="00857EF9" w:rsidRPr="00414E07" w:rsidRDefault="00857EF9" w:rsidP="009F130B">
            <w:pPr>
              <w:rPr>
                <w:color w:val="000000"/>
                <w:sz w:val="20"/>
                <w:szCs w:val="20"/>
              </w:rPr>
            </w:pPr>
            <w:proofErr w:type="spellStart"/>
            <w:r>
              <w:rPr>
                <w:color w:val="000000"/>
                <w:sz w:val="20"/>
                <w:szCs w:val="20"/>
              </w:rPr>
              <w:t>Conseil</w:t>
            </w:r>
            <w:proofErr w:type="spellEnd"/>
            <w:r>
              <w:rPr>
                <w:color w:val="000000"/>
                <w:sz w:val="20"/>
                <w:szCs w:val="20"/>
              </w:rPr>
              <w:t xml:space="preserve"> aux </w:t>
            </w:r>
            <w:proofErr w:type="spellStart"/>
            <w:r>
              <w:rPr>
                <w:color w:val="000000"/>
                <w:sz w:val="20"/>
                <w:szCs w:val="20"/>
              </w:rPr>
              <w:t>investisseurs</w:t>
            </w:r>
            <w:proofErr w:type="spellEnd"/>
          </w:p>
        </w:tc>
        <w:tc>
          <w:tcPr>
            <w:tcW w:w="1684" w:type="dxa"/>
            <w:vAlign w:val="center"/>
          </w:tcPr>
          <w:p w:rsidR="00857EF9" w:rsidRPr="00414E07" w:rsidRDefault="00857EF9" w:rsidP="009F130B">
            <w:pPr>
              <w:jc w:val="center"/>
              <w:rPr>
                <w:color w:val="000000"/>
                <w:sz w:val="20"/>
                <w:szCs w:val="20"/>
              </w:rPr>
            </w:pPr>
            <w:r>
              <w:rPr>
                <w:color w:val="000000"/>
                <w:sz w:val="20"/>
                <w:szCs w:val="20"/>
              </w:rPr>
              <w:t>75 000</w:t>
            </w:r>
          </w:p>
        </w:tc>
        <w:tc>
          <w:tcPr>
            <w:tcW w:w="1146" w:type="dxa"/>
            <w:vAlign w:val="center"/>
          </w:tcPr>
          <w:p w:rsidR="00857EF9" w:rsidRPr="00414E07" w:rsidRDefault="00857EF9" w:rsidP="009F130B">
            <w:pPr>
              <w:jc w:val="center"/>
              <w:rPr>
                <w:color w:val="000000"/>
                <w:sz w:val="20"/>
                <w:szCs w:val="20"/>
              </w:rPr>
            </w:pPr>
            <w:r>
              <w:rPr>
                <w:color w:val="000000"/>
                <w:sz w:val="20"/>
                <w:szCs w:val="20"/>
              </w:rPr>
              <w:t>2</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
        </w:tc>
        <w:tc>
          <w:tcPr>
            <w:tcW w:w="1463" w:type="dxa"/>
            <w:vAlign w:val="center"/>
          </w:tcPr>
          <w:p w:rsidR="00857EF9" w:rsidRPr="00414E07" w:rsidRDefault="00857EF9" w:rsidP="009F130B">
            <w:pPr>
              <w:jc w:val="center"/>
              <w:rPr>
                <w:color w:val="000000"/>
                <w:sz w:val="20"/>
                <w:szCs w:val="20"/>
              </w:rPr>
            </w:pPr>
            <w:proofErr w:type="spellStart"/>
            <w:r>
              <w:rPr>
                <w:color w:val="000000"/>
                <w:sz w:val="20"/>
                <w:szCs w:val="20"/>
              </w:rPr>
              <w:t>Août</w:t>
            </w:r>
            <w:proofErr w:type="spellEnd"/>
            <w:r>
              <w:rPr>
                <w:color w:val="000000"/>
                <w:sz w:val="20"/>
                <w:szCs w:val="20"/>
              </w:rPr>
              <w:t xml:space="preserve">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Oct. 2013</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t>6</w:t>
            </w:r>
          </w:p>
        </w:tc>
        <w:tc>
          <w:tcPr>
            <w:tcW w:w="3664" w:type="dxa"/>
          </w:tcPr>
          <w:p w:rsidR="00857EF9" w:rsidRPr="00927D19" w:rsidRDefault="00857EF9" w:rsidP="009F130B">
            <w:pPr>
              <w:rPr>
                <w:color w:val="000000"/>
                <w:sz w:val="20"/>
                <w:szCs w:val="20"/>
                <w:lang w:val="fr-FR"/>
              </w:rPr>
            </w:pPr>
            <w:r w:rsidRPr="00927D19">
              <w:rPr>
                <w:color w:val="000000"/>
                <w:sz w:val="20"/>
                <w:szCs w:val="20"/>
                <w:lang w:val="fr-FR"/>
              </w:rPr>
              <w:t>Étude(s) de faisabilité des ZEI</w:t>
            </w:r>
          </w:p>
        </w:tc>
        <w:tc>
          <w:tcPr>
            <w:tcW w:w="1684" w:type="dxa"/>
            <w:vAlign w:val="center"/>
          </w:tcPr>
          <w:p w:rsidR="00857EF9" w:rsidRPr="00414E07" w:rsidRDefault="00857EF9" w:rsidP="009F130B">
            <w:pPr>
              <w:jc w:val="center"/>
              <w:rPr>
                <w:color w:val="000000"/>
                <w:sz w:val="20"/>
                <w:szCs w:val="20"/>
              </w:rPr>
            </w:pPr>
            <w:r>
              <w:rPr>
                <w:color w:val="000000"/>
                <w:sz w:val="20"/>
                <w:szCs w:val="20"/>
              </w:rPr>
              <w:t>2 000 000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 xml:space="preserve">1 </w:t>
            </w:r>
            <w:proofErr w:type="spellStart"/>
            <w:r>
              <w:rPr>
                <w:color w:val="000000"/>
                <w:sz w:val="20"/>
                <w:szCs w:val="20"/>
              </w:rPr>
              <w:t>ou</w:t>
            </w:r>
            <w:proofErr w:type="spellEnd"/>
            <w:r>
              <w:rPr>
                <w:color w:val="000000"/>
                <w:sz w:val="20"/>
                <w:szCs w:val="20"/>
              </w:rPr>
              <w:t xml:space="preserve"> plus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SFQC</w:t>
            </w:r>
          </w:p>
        </w:tc>
        <w:tc>
          <w:tcPr>
            <w:tcW w:w="1463" w:type="dxa"/>
            <w:vAlign w:val="center"/>
          </w:tcPr>
          <w:p w:rsidR="00857EF9" w:rsidRPr="00414E07" w:rsidRDefault="00857EF9" w:rsidP="009F130B">
            <w:pPr>
              <w:jc w:val="center"/>
              <w:rPr>
                <w:color w:val="000000"/>
                <w:sz w:val="20"/>
                <w:szCs w:val="20"/>
              </w:rPr>
            </w:pPr>
            <w:r>
              <w:rPr>
                <w:color w:val="000000"/>
                <w:sz w:val="20"/>
                <w:szCs w:val="20"/>
              </w:rPr>
              <w:t>Sept.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Déc</w:t>
            </w:r>
            <w:proofErr w:type="spellEnd"/>
            <w:r>
              <w:rPr>
                <w:color w:val="000000"/>
                <w:sz w:val="20"/>
                <w:szCs w:val="20"/>
              </w:rPr>
              <w:t>. 2013</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t>7</w:t>
            </w:r>
          </w:p>
        </w:tc>
        <w:tc>
          <w:tcPr>
            <w:tcW w:w="3664" w:type="dxa"/>
            <w:vAlign w:val="center"/>
          </w:tcPr>
          <w:p w:rsidR="00857EF9" w:rsidRPr="00927D19" w:rsidRDefault="00857EF9" w:rsidP="009F130B">
            <w:pPr>
              <w:rPr>
                <w:color w:val="000000"/>
                <w:sz w:val="20"/>
                <w:szCs w:val="20"/>
                <w:lang w:val="fr-FR"/>
              </w:rPr>
            </w:pPr>
            <w:r w:rsidRPr="00927D19">
              <w:rPr>
                <w:color w:val="000000"/>
                <w:sz w:val="20"/>
                <w:szCs w:val="20"/>
                <w:lang w:val="fr-FR"/>
              </w:rPr>
              <w:t>Consultants au CDEE et antenne régionale</w:t>
            </w:r>
          </w:p>
        </w:tc>
        <w:tc>
          <w:tcPr>
            <w:tcW w:w="1684" w:type="dxa"/>
            <w:shd w:val="clear" w:color="auto" w:fill="auto"/>
            <w:vAlign w:val="center"/>
          </w:tcPr>
          <w:p w:rsidR="00857EF9" w:rsidRPr="00414E07" w:rsidRDefault="00857EF9" w:rsidP="009F130B">
            <w:pPr>
              <w:jc w:val="center"/>
              <w:rPr>
                <w:color w:val="000000"/>
                <w:sz w:val="20"/>
                <w:szCs w:val="20"/>
              </w:rPr>
            </w:pPr>
            <w:r>
              <w:rPr>
                <w:color w:val="000000"/>
                <w:sz w:val="20"/>
                <w:szCs w:val="20"/>
              </w:rPr>
              <w:t>250 000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
        </w:tc>
        <w:tc>
          <w:tcPr>
            <w:tcW w:w="1463" w:type="dxa"/>
            <w:vAlign w:val="center"/>
          </w:tcPr>
          <w:p w:rsidR="00857EF9" w:rsidRPr="00414E07" w:rsidRDefault="00857EF9" w:rsidP="009F130B">
            <w:pPr>
              <w:jc w:val="center"/>
              <w:rPr>
                <w:color w:val="000000"/>
                <w:sz w:val="20"/>
                <w:szCs w:val="20"/>
              </w:rPr>
            </w:pPr>
            <w:r>
              <w:rPr>
                <w:color w:val="000000"/>
                <w:sz w:val="20"/>
                <w:szCs w:val="20"/>
              </w:rPr>
              <w:t>Sept.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265"/>
        </w:trPr>
        <w:tc>
          <w:tcPr>
            <w:tcW w:w="1495" w:type="dxa"/>
            <w:vAlign w:val="center"/>
          </w:tcPr>
          <w:p w:rsidR="00857EF9" w:rsidRPr="00414E07" w:rsidRDefault="00857EF9" w:rsidP="009F130B">
            <w:pPr>
              <w:jc w:val="center"/>
              <w:rPr>
                <w:color w:val="000000"/>
                <w:sz w:val="20"/>
                <w:szCs w:val="20"/>
              </w:rPr>
            </w:pPr>
            <w:r>
              <w:rPr>
                <w:color w:val="000000"/>
                <w:sz w:val="20"/>
                <w:szCs w:val="20"/>
              </w:rPr>
              <w:lastRenderedPageBreak/>
              <w:t>8</w:t>
            </w:r>
          </w:p>
        </w:tc>
        <w:tc>
          <w:tcPr>
            <w:tcW w:w="3664" w:type="dxa"/>
          </w:tcPr>
          <w:p w:rsidR="00857EF9" w:rsidRPr="00414E07" w:rsidRDefault="00857EF9" w:rsidP="009F130B">
            <w:pPr>
              <w:rPr>
                <w:color w:val="000000"/>
                <w:sz w:val="20"/>
                <w:szCs w:val="20"/>
              </w:rPr>
            </w:pPr>
            <w:r>
              <w:rPr>
                <w:color w:val="000000"/>
                <w:sz w:val="20"/>
                <w:szCs w:val="20"/>
              </w:rPr>
              <w:t>Consultants – SE</w:t>
            </w:r>
          </w:p>
        </w:tc>
        <w:tc>
          <w:tcPr>
            <w:tcW w:w="1684" w:type="dxa"/>
            <w:shd w:val="clear" w:color="auto" w:fill="auto"/>
            <w:vAlign w:val="center"/>
          </w:tcPr>
          <w:p w:rsidR="00857EF9" w:rsidRPr="00414E07" w:rsidRDefault="00857EF9" w:rsidP="009F130B">
            <w:pPr>
              <w:jc w:val="center"/>
              <w:rPr>
                <w:color w:val="000000"/>
                <w:sz w:val="20"/>
                <w:szCs w:val="20"/>
              </w:rPr>
            </w:pPr>
            <w:r>
              <w:rPr>
                <w:color w:val="000000"/>
                <w:sz w:val="20"/>
                <w:szCs w:val="20"/>
              </w:rPr>
              <w:t>211 000</w:t>
            </w:r>
          </w:p>
        </w:tc>
        <w:tc>
          <w:tcPr>
            <w:tcW w:w="1146" w:type="dxa"/>
            <w:vAlign w:val="center"/>
          </w:tcPr>
          <w:p w:rsidR="00857EF9" w:rsidRPr="00414E07" w:rsidRDefault="00857EF9" w:rsidP="009F130B">
            <w:pPr>
              <w:jc w:val="center"/>
              <w:rPr>
                <w:color w:val="000000"/>
                <w:sz w:val="20"/>
                <w:szCs w:val="20"/>
              </w:rPr>
            </w:pPr>
            <w:r>
              <w:rPr>
                <w:color w:val="000000"/>
                <w:sz w:val="20"/>
                <w:szCs w:val="20"/>
              </w:rPr>
              <w:t>3</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
        </w:tc>
        <w:tc>
          <w:tcPr>
            <w:tcW w:w="1463" w:type="dxa"/>
            <w:vAlign w:val="center"/>
          </w:tcPr>
          <w:p w:rsidR="00857EF9" w:rsidRPr="00414E07" w:rsidRDefault="00857EF9" w:rsidP="009F130B">
            <w:pPr>
              <w:jc w:val="center"/>
              <w:rPr>
                <w:color w:val="000000"/>
                <w:sz w:val="20"/>
                <w:szCs w:val="20"/>
              </w:rPr>
            </w:pPr>
            <w:r>
              <w:rPr>
                <w:color w:val="000000"/>
                <w:sz w:val="20"/>
                <w:szCs w:val="20"/>
              </w:rPr>
              <w:t>Sept.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Déc</w:t>
            </w:r>
            <w:proofErr w:type="spellEnd"/>
            <w:r>
              <w:rPr>
                <w:color w:val="000000"/>
                <w:sz w:val="20"/>
                <w:szCs w:val="20"/>
              </w:rPr>
              <w:t>. 2013</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9</w:t>
            </w:r>
          </w:p>
        </w:tc>
        <w:tc>
          <w:tcPr>
            <w:tcW w:w="3664" w:type="dxa"/>
          </w:tcPr>
          <w:p w:rsidR="00857EF9" w:rsidRPr="00414E07" w:rsidRDefault="00857EF9" w:rsidP="009F130B">
            <w:pPr>
              <w:rPr>
                <w:color w:val="000000"/>
                <w:sz w:val="20"/>
                <w:szCs w:val="20"/>
              </w:rPr>
            </w:pPr>
            <w:r>
              <w:rPr>
                <w:color w:val="000000"/>
                <w:sz w:val="20"/>
                <w:szCs w:val="20"/>
              </w:rPr>
              <w:t xml:space="preserve">Audit </w:t>
            </w:r>
            <w:proofErr w:type="spellStart"/>
            <w:r>
              <w:rPr>
                <w:color w:val="000000"/>
                <w:sz w:val="20"/>
                <w:szCs w:val="20"/>
              </w:rPr>
              <w:t>externe</w:t>
            </w:r>
            <w:proofErr w:type="spellEnd"/>
            <w:r>
              <w:rPr>
                <w:color w:val="000000"/>
                <w:sz w:val="20"/>
                <w:szCs w:val="20"/>
              </w:rPr>
              <w:t xml:space="preserve"> (5 </w:t>
            </w:r>
            <w:proofErr w:type="spellStart"/>
            <w:r>
              <w:rPr>
                <w:color w:val="000000"/>
                <w:sz w:val="20"/>
                <w:szCs w:val="20"/>
              </w:rPr>
              <w:t>ans</w:t>
            </w:r>
            <w:proofErr w:type="spellEnd"/>
            <w:r>
              <w:rPr>
                <w:color w:val="000000"/>
                <w:sz w:val="20"/>
                <w:szCs w:val="20"/>
              </w:rPr>
              <w:t>)</w:t>
            </w:r>
          </w:p>
        </w:tc>
        <w:tc>
          <w:tcPr>
            <w:tcW w:w="1684" w:type="dxa"/>
            <w:vAlign w:val="center"/>
          </w:tcPr>
          <w:p w:rsidR="00857EF9" w:rsidRPr="00414E07" w:rsidRDefault="00857EF9" w:rsidP="009F130B">
            <w:pPr>
              <w:jc w:val="center"/>
              <w:rPr>
                <w:color w:val="000000"/>
                <w:sz w:val="20"/>
                <w:szCs w:val="20"/>
              </w:rPr>
            </w:pPr>
            <w:r>
              <w:rPr>
                <w:color w:val="000000"/>
                <w:sz w:val="20"/>
                <w:szCs w:val="20"/>
              </w:rPr>
              <w:t>125 000</w:t>
            </w:r>
          </w:p>
        </w:tc>
        <w:tc>
          <w:tcPr>
            <w:tcW w:w="1146" w:type="dxa"/>
            <w:vAlign w:val="center"/>
          </w:tcPr>
          <w:p w:rsidR="00857EF9" w:rsidRPr="00414E07" w:rsidRDefault="00857EF9" w:rsidP="009F130B">
            <w:pPr>
              <w:jc w:val="center"/>
              <w:rPr>
                <w:color w:val="000000"/>
                <w:sz w:val="20"/>
                <w:szCs w:val="20"/>
              </w:rPr>
            </w:pPr>
            <w:r>
              <w:rPr>
                <w:color w:val="000000"/>
                <w:sz w:val="20"/>
                <w:szCs w:val="20"/>
              </w:rPr>
              <w:t>2</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SMD</w:t>
            </w:r>
          </w:p>
        </w:tc>
        <w:tc>
          <w:tcPr>
            <w:tcW w:w="1463" w:type="dxa"/>
            <w:vAlign w:val="center"/>
          </w:tcPr>
          <w:p w:rsidR="00857EF9" w:rsidRPr="00414E07" w:rsidRDefault="00857EF9" w:rsidP="009F130B">
            <w:pPr>
              <w:jc w:val="center"/>
              <w:rPr>
                <w:color w:val="000000"/>
                <w:sz w:val="20"/>
                <w:szCs w:val="20"/>
              </w:rPr>
            </w:pPr>
            <w:r>
              <w:rPr>
                <w:color w:val="000000"/>
                <w:sz w:val="20"/>
                <w:szCs w:val="20"/>
              </w:rPr>
              <w:t>Nov.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Nov. 2013</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10</w:t>
            </w:r>
          </w:p>
        </w:tc>
        <w:tc>
          <w:tcPr>
            <w:tcW w:w="3664" w:type="dxa"/>
          </w:tcPr>
          <w:p w:rsidR="00857EF9" w:rsidRPr="00414E07" w:rsidRDefault="00857EF9" w:rsidP="009F130B">
            <w:pPr>
              <w:rPr>
                <w:color w:val="000000"/>
                <w:sz w:val="20"/>
                <w:szCs w:val="20"/>
              </w:rPr>
            </w:pPr>
            <w:proofErr w:type="spellStart"/>
            <w:r>
              <w:rPr>
                <w:color w:val="000000"/>
                <w:sz w:val="20"/>
                <w:szCs w:val="20"/>
              </w:rPr>
              <w:t>Institut</w:t>
            </w:r>
            <w:proofErr w:type="spellEnd"/>
            <w:r>
              <w:rPr>
                <w:color w:val="000000"/>
                <w:sz w:val="20"/>
                <w:szCs w:val="20"/>
              </w:rPr>
              <w:t xml:space="preserve"> de </w:t>
            </w:r>
            <w:proofErr w:type="spellStart"/>
            <w:r>
              <w:rPr>
                <w:color w:val="000000"/>
                <w:sz w:val="20"/>
                <w:szCs w:val="20"/>
              </w:rPr>
              <w:t>sondages</w:t>
            </w:r>
            <w:proofErr w:type="spellEnd"/>
            <w:r>
              <w:rPr>
                <w:color w:val="000000"/>
                <w:sz w:val="20"/>
                <w:szCs w:val="20"/>
              </w:rPr>
              <w:t xml:space="preserve"> – SE </w:t>
            </w:r>
          </w:p>
        </w:tc>
        <w:tc>
          <w:tcPr>
            <w:tcW w:w="1684" w:type="dxa"/>
            <w:vAlign w:val="center"/>
          </w:tcPr>
          <w:p w:rsidR="00857EF9" w:rsidRPr="00414E07" w:rsidRDefault="00857EF9" w:rsidP="009F130B">
            <w:pPr>
              <w:jc w:val="center"/>
              <w:rPr>
                <w:color w:val="000000"/>
                <w:sz w:val="20"/>
                <w:szCs w:val="20"/>
              </w:rPr>
            </w:pPr>
            <w:r>
              <w:rPr>
                <w:color w:val="000000"/>
                <w:sz w:val="20"/>
                <w:szCs w:val="20"/>
              </w:rPr>
              <w:t>600 000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1</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SFQC</w:t>
            </w:r>
          </w:p>
        </w:tc>
        <w:tc>
          <w:tcPr>
            <w:tcW w:w="1463" w:type="dxa"/>
            <w:vAlign w:val="center"/>
          </w:tcPr>
          <w:p w:rsidR="00857EF9" w:rsidRPr="00414E07" w:rsidRDefault="00857EF9" w:rsidP="009F130B">
            <w:pPr>
              <w:jc w:val="center"/>
              <w:rPr>
                <w:color w:val="000000"/>
                <w:sz w:val="20"/>
                <w:szCs w:val="20"/>
              </w:rPr>
            </w:pPr>
            <w:proofErr w:type="spellStart"/>
            <w:r>
              <w:rPr>
                <w:color w:val="000000"/>
                <w:sz w:val="20"/>
                <w:szCs w:val="20"/>
              </w:rPr>
              <w:t>Déc</w:t>
            </w:r>
            <w:proofErr w:type="spellEnd"/>
            <w:r>
              <w:rPr>
                <w:color w:val="000000"/>
                <w:sz w:val="20"/>
                <w:szCs w:val="20"/>
              </w:rPr>
              <w:t>.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Mai 2014</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11</w:t>
            </w:r>
          </w:p>
        </w:tc>
        <w:tc>
          <w:tcPr>
            <w:tcW w:w="3664" w:type="dxa"/>
          </w:tcPr>
          <w:p w:rsidR="00857EF9" w:rsidRPr="00414E07" w:rsidRDefault="00857EF9" w:rsidP="009F130B">
            <w:pPr>
              <w:rPr>
                <w:color w:val="000000"/>
                <w:sz w:val="20"/>
                <w:szCs w:val="20"/>
              </w:rPr>
            </w:pPr>
            <w:r>
              <w:rPr>
                <w:color w:val="000000"/>
                <w:sz w:val="20"/>
                <w:szCs w:val="20"/>
              </w:rPr>
              <w:t>Formation SDE</w:t>
            </w:r>
          </w:p>
        </w:tc>
        <w:tc>
          <w:tcPr>
            <w:tcW w:w="1684" w:type="dxa"/>
            <w:vAlign w:val="center"/>
          </w:tcPr>
          <w:p w:rsidR="00857EF9" w:rsidRPr="00414E07" w:rsidRDefault="00857EF9" w:rsidP="009F130B">
            <w:pPr>
              <w:jc w:val="center"/>
              <w:rPr>
                <w:color w:val="000000"/>
                <w:sz w:val="20"/>
                <w:szCs w:val="20"/>
              </w:rPr>
            </w:pPr>
            <w:r>
              <w:rPr>
                <w:color w:val="000000"/>
                <w:sz w:val="20"/>
                <w:szCs w:val="20"/>
              </w:rPr>
              <w:t>80 000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roofErr w:type="spellStart"/>
            <w:r>
              <w:rPr>
                <w:color w:val="000000"/>
                <w:sz w:val="20"/>
                <w:szCs w:val="20"/>
              </w:rPr>
              <w:t>SMiD</w:t>
            </w:r>
            <w:proofErr w:type="spellEnd"/>
          </w:p>
        </w:tc>
        <w:tc>
          <w:tcPr>
            <w:tcW w:w="1463" w:type="dxa"/>
            <w:vAlign w:val="center"/>
          </w:tcPr>
          <w:p w:rsidR="00857EF9" w:rsidRPr="00414E07" w:rsidRDefault="00857EF9" w:rsidP="009F130B">
            <w:pPr>
              <w:jc w:val="center"/>
              <w:rPr>
                <w:color w:val="000000"/>
                <w:sz w:val="20"/>
                <w:szCs w:val="20"/>
              </w:rPr>
            </w:pPr>
            <w:r>
              <w:rPr>
                <w:color w:val="000000"/>
                <w:sz w:val="20"/>
                <w:szCs w:val="20"/>
              </w:rPr>
              <w:t>Oct.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Janv</w:t>
            </w:r>
            <w:proofErr w:type="spellEnd"/>
            <w:r>
              <w:rPr>
                <w:color w:val="000000"/>
                <w:sz w:val="20"/>
                <w:szCs w:val="20"/>
              </w:rPr>
              <w:t>. 2014</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12</w:t>
            </w:r>
          </w:p>
        </w:tc>
        <w:tc>
          <w:tcPr>
            <w:tcW w:w="3664" w:type="dxa"/>
          </w:tcPr>
          <w:p w:rsidR="00857EF9" w:rsidRPr="00414E07" w:rsidRDefault="00857EF9" w:rsidP="009F130B">
            <w:pPr>
              <w:rPr>
                <w:color w:val="000000"/>
                <w:sz w:val="20"/>
                <w:szCs w:val="20"/>
              </w:rPr>
            </w:pPr>
            <w:proofErr w:type="spellStart"/>
            <w:r>
              <w:rPr>
                <w:color w:val="000000"/>
                <w:sz w:val="20"/>
                <w:szCs w:val="20"/>
              </w:rPr>
              <w:t>Études</w:t>
            </w:r>
            <w:proofErr w:type="spellEnd"/>
            <w:r>
              <w:rPr>
                <w:color w:val="000000"/>
                <w:sz w:val="20"/>
                <w:szCs w:val="20"/>
              </w:rPr>
              <w:t xml:space="preserve"> SDE</w:t>
            </w:r>
          </w:p>
        </w:tc>
        <w:tc>
          <w:tcPr>
            <w:tcW w:w="1684" w:type="dxa"/>
            <w:vAlign w:val="center"/>
          </w:tcPr>
          <w:p w:rsidR="00857EF9" w:rsidRPr="00414E07" w:rsidRDefault="00857EF9" w:rsidP="009F130B">
            <w:pPr>
              <w:jc w:val="center"/>
              <w:rPr>
                <w:color w:val="000000"/>
                <w:sz w:val="20"/>
                <w:szCs w:val="20"/>
              </w:rPr>
            </w:pPr>
            <w:r>
              <w:rPr>
                <w:color w:val="000000"/>
                <w:sz w:val="20"/>
                <w:szCs w:val="20"/>
              </w:rPr>
              <w:t>530 000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proofErr w:type="spellStart"/>
            <w:r>
              <w:rPr>
                <w:color w:val="000000"/>
                <w:sz w:val="20"/>
                <w:szCs w:val="20"/>
              </w:rPr>
              <w:t>SMiD</w:t>
            </w:r>
            <w:proofErr w:type="spellEnd"/>
          </w:p>
        </w:tc>
        <w:tc>
          <w:tcPr>
            <w:tcW w:w="1463" w:type="dxa"/>
            <w:vAlign w:val="center"/>
          </w:tcPr>
          <w:p w:rsidR="00857EF9" w:rsidRPr="00414E07" w:rsidRDefault="00857EF9" w:rsidP="009F130B">
            <w:pPr>
              <w:jc w:val="center"/>
              <w:rPr>
                <w:color w:val="000000"/>
                <w:sz w:val="20"/>
                <w:szCs w:val="20"/>
              </w:rPr>
            </w:pPr>
            <w:r>
              <w:rPr>
                <w:color w:val="000000"/>
                <w:sz w:val="20"/>
                <w:szCs w:val="20"/>
              </w:rPr>
              <w:t>Sept.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Déc</w:t>
            </w:r>
            <w:proofErr w:type="spellEnd"/>
            <w:r>
              <w:rPr>
                <w:color w:val="000000"/>
                <w:sz w:val="20"/>
                <w:szCs w:val="20"/>
              </w:rPr>
              <w:t>. 2013</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13</w:t>
            </w:r>
          </w:p>
        </w:tc>
        <w:tc>
          <w:tcPr>
            <w:tcW w:w="3664" w:type="dxa"/>
          </w:tcPr>
          <w:p w:rsidR="00857EF9" w:rsidRPr="00414E07" w:rsidRDefault="00857EF9" w:rsidP="009F130B">
            <w:pPr>
              <w:rPr>
                <w:color w:val="000000"/>
                <w:sz w:val="20"/>
                <w:szCs w:val="20"/>
              </w:rPr>
            </w:pPr>
            <w:r>
              <w:rPr>
                <w:color w:val="000000"/>
                <w:sz w:val="20"/>
                <w:szCs w:val="20"/>
              </w:rPr>
              <w:t>Assistance technique SDE</w:t>
            </w:r>
          </w:p>
        </w:tc>
        <w:tc>
          <w:tcPr>
            <w:tcW w:w="1684" w:type="dxa"/>
            <w:vAlign w:val="center"/>
          </w:tcPr>
          <w:p w:rsidR="00857EF9" w:rsidRPr="00414E07" w:rsidRDefault="00857EF9" w:rsidP="009F130B">
            <w:pPr>
              <w:jc w:val="center"/>
              <w:rPr>
                <w:color w:val="000000"/>
                <w:sz w:val="20"/>
                <w:szCs w:val="20"/>
              </w:rPr>
            </w:pPr>
            <w:r>
              <w:rPr>
                <w:color w:val="000000"/>
                <w:sz w:val="20"/>
                <w:szCs w:val="20"/>
              </w:rPr>
              <w:t>45 000</w:t>
            </w:r>
          </w:p>
        </w:tc>
        <w:tc>
          <w:tcPr>
            <w:tcW w:w="1146" w:type="dxa"/>
            <w:vAlign w:val="center"/>
          </w:tcPr>
          <w:p w:rsidR="00857EF9" w:rsidRPr="00414E07" w:rsidRDefault="00857EF9" w:rsidP="009F130B">
            <w:pPr>
              <w:jc w:val="center"/>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roofErr w:type="spellStart"/>
            <w:r>
              <w:rPr>
                <w:color w:val="000000"/>
                <w:sz w:val="20"/>
                <w:szCs w:val="20"/>
              </w:rPr>
              <w:t>SMiD</w:t>
            </w:r>
            <w:proofErr w:type="spellEnd"/>
          </w:p>
        </w:tc>
        <w:tc>
          <w:tcPr>
            <w:tcW w:w="1463" w:type="dxa"/>
            <w:vAlign w:val="center"/>
          </w:tcPr>
          <w:p w:rsidR="00857EF9" w:rsidRPr="00414E07" w:rsidRDefault="00857EF9" w:rsidP="009F130B">
            <w:pPr>
              <w:jc w:val="center"/>
              <w:rPr>
                <w:color w:val="000000"/>
                <w:sz w:val="20"/>
                <w:szCs w:val="20"/>
              </w:rPr>
            </w:pPr>
            <w:r>
              <w:rPr>
                <w:color w:val="000000"/>
                <w:sz w:val="20"/>
                <w:szCs w:val="20"/>
              </w:rPr>
              <w:t>Nov. 2013</w:t>
            </w:r>
          </w:p>
        </w:tc>
        <w:tc>
          <w:tcPr>
            <w:tcW w:w="1327" w:type="dxa"/>
            <w:vAlign w:val="center"/>
          </w:tcPr>
          <w:p w:rsidR="00857EF9" w:rsidRPr="00414E07" w:rsidRDefault="00857EF9" w:rsidP="009F130B">
            <w:pPr>
              <w:jc w:val="center"/>
              <w:rPr>
                <w:color w:val="000000"/>
                <w:sz w:val="20"/>
                <w:szCs w:val="20"/>
              </w:rPr>
            </w:pPr>
            <w:proofErr w:type="spellStart"/>
            <w:r>
              <w:rPr>
                <w:color w:val="000000"/>
                <w:sz w:val="20"/>
                <w:szCs w:val="20"/>
              </w:rPr>
              <w:t>Janv</w:t>
            </w:r>
            <w:proofErr w:type="spellEnd"/>
            <w:r>
              <w:rPr>
                <w:color w:val="000000"/>
                <w:sz w:val="20"/>
                <w:szCs w:val="20"/>
              </w:rPr>
              <w:t>. 2014</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14</w:t>
            </w:r>
          </w:p>
        </w:tc>
        <w:tc>
          <w:tcPr>
            <w:tcW w:w="3664" w:type="dxa"/>
            <w:vAlign w:val="center"/>
          </w:tcPr>
          <w:p w:rsidR="00857EF9" w:rsidRPr="00927D19" w:rsidRDefault="00857EF9" w:rsidP="009F130B">
            <w:pPr>
              <w:outlineLvl w:val="1"/>
              <w:rPr>
                <w:color w:val="000000"/>
                <w:sz w:val="20"/>
                <w:szCs w:val="20"/>
                <w:lang w:val="fr-FR"/>
              </w:rPr>
            </w:pPr>
            <w:r w:rsidRPr="00927D19">
              <w:rPr>
                <w:color w:val="000000"/>
                <w:sz w:val="20"/>
                <w:szCs w:val="20"/>
                <w:lang w:val="fr-FR"/>
              </w:rPr>
              <w:t>Lots de subventions de contrepartie SDE</w:t>
            </w:r>
          </w:p>
        </w:tc>
        <w:tc>
          <w:tcPr>
            <w:tcW w:w="1684" w:type="dxa"/>
            <w:vAlign w:val="center"/>
          </w:tcPr>
          <w:p w:rsidR="00857EF9" w:rsidRPr="00414E07" w:rsidRDefault="00857EF9" w:rsidP="009F130B">
            <w:pPr>
              <w:jc w:val="center"/>
              <w:rPr>
                <w:color w:val="000000"/>
                <w:sz w:val="20"/>
                <w:szCs w:val="20"/>
              </w:rPr>
            </w:pPr>
            <w:r>
              <w:rPr>
                <w:color w:val="000000"/>
                <w:sz w:val="20"/>
                <w:szCs w:val="20"/>
              </w:rPr>
              <w:t>670 000</w:t>
            </w:r>
          </w:p>
        </w:tc>
        <w:tc>
          <w:tcPr>
            <w:tcW w:w="1146" w:type="dxa"/>
            <w:vAlign w:val="center"/>
          </w:tcPr>
          <w:p w:rsidR="00857EF9" w:rsidRPr="00414E07" w:rsidRDefault="00857EF9" w:rsidP="009F130B">
            <w:pPr>
              <w:jc w:val="center"/>
              <w:outlineLvl w:val="1"/>
              <w:rPr>
                <w:color w:val="000000"/>
                <w:sz w:val="20"/>
                <w:szCs w:val="20"/>
              </w:rPr>
            </w:pPr>
            <w:r>
              <w:rPr>
                <w:color w:val="000000"/>
                <w:sz w:val="20"/>
                <w:szCs w:val="20"/>
              </w:rPr>
              <w:t>Multiples</w:t>
            </w:r>
          </w:p>
        </w:tc>
        <w:tc>
          <w:tcPr>
            <w:tcW w:w="1269" w:type="dxa"/>
            <w:vAlign w:val="center"/>
          </w:tcPr>
          <w:p w:rsidR="00857EF9" w:rsidRPr="00414E07" w:rsidRDefault="00857EF9" w:rsidP="009F130B">
            <w:pPr>
              <w:jc w:val="center"/>
              <w:outlineLvl w:val="1"/>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outlineLvl w:val="1"/>
              <w:rPr>
                <w:color w:val="000000"/>
                <w:sz w:val="20"/>
                <w:szCs w:val="20"/>
              </w:rPr>
            </w:pPr>
            <w:r>
              <w:rPr>
                <w:color w:val="000000"/>
                <w:sz w:val="20"/>
                <w:szCs w:val="20"/>
              </w:rPr>
              <w:t>CI/</w:t>
            </w:r>
            <w:proofErr w:type="spellStart"/>
            <w:r>
              <w:rPr>
                <w:color w:val="000000"/>
                <w:sz w:val="20"/>
                <w:szCs w:val="20"/>
              </w:rPr>
              <w:t>SMiD</w:t>
            </w:r>
            <w:proofErr w:type="spellEnd"/>
          </w:p>
        </w:tc>
        <w:tc>
          <w:tcPr>
            <w:tcW w:w="1463" w:type="dxa"/>
            <w:vAlign w:val="center"/>
          </w:tcPr>
          <w:p w:rsidR="00857EF9" w:rsidRPr="00414E07" w:rsidRDefault="00857EF9" w:rsidP="009F130B">
            <w:pPr>
              <w:jc w:val="center"/>
              <w:outlineLvl w:val="1"/>
              <w:rPr>
                <w:color w:val="000000"/>
                <w:sz w:val="20"/>
                <w:szCs w:val="20"/>
              </w:rPr>
            </w:pPr>
            <w:proofErr w:type="spellStart"/>
            <w:r>
              <w:rPr>
                <w:color w:val="000000"/>
                <w:sz w:val="20"/>
                <w:szCs w:val="20"/>
              </w:rPr>
              <w:t>Déc</w:t>
            </w:r>
            <w:proofErr w:type="spellEnd"/>
            <w:r>
              <w:rPr>
                <w:color w:val="000000"/>
                <w:sz w:val="20"/>
                <w:szCs w:val="20"/>
              </w:rPr>
              <w:t>. 2013</w:t>
            </w:r>
          </w:p>
        </w:tc>
        <w:tc>
          <w:tcPr>
            <w:tcW w:w="1327" w:type="dxa"/>
            <w:vAlign w:val="center"/>
          </w:tcPr>
          <w:p w:rsidR="00857EF9" w:rsidRPr="00414E07" w:rsidRDefault="00857EF9" w:rsidP="009F130B">
            <w:pPr>
              <w:jc w:val="center"/>
              <w:outlineLvl w:val="1"/>
              <w:rPr>
                <w:color w:val="000000"/>
                <w:sz w:val="20"/>
                <w:szCs w:val="20"/>
              </w:rPr>
            </w:pPr>
            <w:proofErr w:type="spellStart"/>
            <w:r>
              <w:rPr>
                <w:color w:val="000000"/>
                <w:sz w:val="20"/>
                <w:szCs w:val="20"/>
              </w:rPr>
              <w:t>Févr</w:t>
            </w:r>
            <w:proofErr w:type="spellEnd"/>
            <w:r>
              <w:rPr>
                <w:color w:val="000000"/>
                <w:sz w:val="20"/>
                <w:szCs w:val="20"/>
              </w:rPr>
              <w:t>. 2014</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15</w:t>
            </w:r>
          </w:p>
        </w:tc>
        <w:tc>
          <w:tcPr>
            <w:tcW w:w="3664" w:type="dxa"/>
          </w:tcPr>
          <w:p w:rsidR="00857EF9" w:rsidRPr="00927D19" w:rsidRDefault="00857EF9" w:rsidP="009F130B">
            <w:pPr>
              <w:rPr>
                <w:color w:val="000000"/>
                <w:sz w:val="20"/>
                <w:szCs w:val="20"/>
                <w:lang w:val="fr-FR"/>
              </w:rPr>
            </w:pPr>
            <w:r w:rsidRPr="00927D19">
              <w:rPr>
                <w:color w:val="000000"/>
                <w:sz w:val="20"/>
                <w:szCs w:val="20"/>
                <w:lang w:val="fr-FR"/>
              </w:rPr>
              <w:t>Responsable de la passation des marchés (5 ans)</w:t>
            </w:r>
          </w:p>
        </w:tc>
        <w:tc>
          <w:tcPr>
            <w:tcW w:w="1684" w:type="dxa"/>
            <w:vAlign w:val="center"/>
          </w:tcPr>
          <w:p w:rsidR="00857EF9" w:rsidRPr="00414E07" w:rsidRDefault="00857EF9" w:rsidP="009F130B">
            <w:pPr>
              <w:jc w:val="center"/>
              <w:rPr>
                <w:color w:val="000000"/>
                <w:sz w:val="20"/>
                <w:szCs w:val="20"/>
              </w:rPr>
            </w:pPr>
            <w:r>
              <w:rPr>
                <w:color w:val="000000"/>
                <w:sz w:val="20"/>
                <w:szCs w:val="20"/>
              </w:rPr>
              <w:t>240 000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1</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
        </w:tc>
        <w:tc>
          <w:tcPr>
            <w:tcW w:w="1463" w:type="dxa"/>
            <w:vAlign w:val="center"/>
          </w:tcPr>
          <w:p w:rsidR="00857EF9" w:rsidRPr="00414E07" w:rsidRDefault="00857EF9" w:rsidP="009F130B">
            <w:pPr>
              <w:jc w:val="center"/>
              <w:rPr>
                <w:color w:val="000000"/>
                <w:sz w:val="20"/>
                <w:szCs w:val="20"/>
              </w:rPr>
            </w:pPr>
            <w:r>
              <w:rPr>
                <w:color w:val="000000"/>
                <w:sz w:val="20"/>
                <w:szCs w:val="20"/>
              </w:rPr>
              <w:t>Mai</w:t>
            </w:r>
            <w:r w:rsidRPr="00414E07">
              <w:rPr>
                <w:rStyle w:val="FootnoteReference"/>
                <w:color w:val="000000"/>
                <w:sz w:val="20"/>
                <w:szCs w:val="20"/>
              </w:rPr>
              <w:footnoteReference w:id="71"/>
            </w:r>
            <w:r>
              <w:rPr>
                <w:color w:val="000000"/>
                <w:sz w:val="20"/>
                <w:szCs w:val="20"/>
              </w:rPr>
              <w:t xml:space="preserve">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16</w:t>
            </w:r>
          </w:p>
        </w:tc>
        <w:tc>
          <w:tcPr>
            <w:tcW w:w="3664" w:type="dxa"/>
          </w:tcPr>
          <w:p w:rsidR="00857EF9" w:rsidRPr="00927D19" w:rsidRDefault="00857EF9" w:rsidP="009F130B">
            <w:pPr>
              <w:rPr>
                <w:color w:val="000000"/>
                <w:sz w:val="20"/>
                <w:szCs w:val="20"/>
                <w:lang w:val="fr-FR"/>
              </w:rPr>
            </w:pPr>
            <w:r w:rsidRPr="00927D19">
              <w:rPr>
                <w:color w:val="000000"/>
                <w:sz w:val="20"/>
                <w:szCs w:val="20"/>
                <w:lang w:val="fr-FR"/>
              </w:rPr>
              <w:t>Responsable de la gestion financière (5 ans)</w:t>
            </w:r>
          </w:p>
        </w:tc>
        <w:tc>
          <w:tcPr>
            <w:tcW w:w="1684" w:type="dxa"/>
            <w:vAlign w:val="center"/>
          </w:tcPr>
          <w:p w:rsidR="00857EF9" w:rsidRPr="00414E07" w:rsidRDefault="00857EF9" w:rsidP="009F130B">
            <w:pPr>
              <w:jc w:val="center"/>
              <w:rPr>
                <w:color w:val="000000"/>
                <w:sz w:val="20"/>
                <w:szCs w:val="20"/>
              </w:rPr>
            </w:pPr>
            <w:r>
              <w:rPr>
                <w:color w:val="000000"/>
                <w:sz w:val="20"/>
                <w:szCs w:val="20"/>
              </w:rPr>
              <w:t>180 000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1</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
        </w:tc>
        <w:tc>
          <w:tcPr>
            <w:tcW w:w="1463" w:type="dxa"/>
            <w:vAlign w:val="center"/>
          </w:tcPr>
          <w:p w:rsidR="00857EF9" w:rsidRPr="00414E07" w:rsidRDefault="00857EF9" w:rsidP="009F130B">
            <w:pPr>
              <w:jc w:val="center"/>
              <w:rPr>
                <w:color w:val="000000"/>
                <w:sz w:val="20"/>
                <w:szCs w:val="20"/>
              </w:rPr>
            </w:pPr>
            <w:r>
              <w:rPr>
                <w:color w:val="000000"/>
                <w:sz w:val="20"/>
                <w:szCs w:val="20"/>
              </w:rPr>
              <w:t>Mai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236"/>
        </w:trPr>
        <w:tc>
          <w:tcPr>
            <w:tcW w:w="1495" w:type="dxa"/>
            <w:vAlign w:val="center"/>
          </w:tcPr>
          <w:p w:rsidR="00857EF9" w:rsidRPr="00414E07" w:rsidRDefault="00857EF9" w:rsidP="009F130B">
            <w:pPr>
              <w:jc w:val="center"/>
              <w:rPr>
                <w:color w:val="000000"/>
                <w:sz w:val="20"/>
                <w:szCs w:val="20"/>
              </w:rPr>
            </w:pPr>
            <w:r>
              <w:rPr>
                <w:color w:val="000000"/>
                <w:sz w:val="20"/>
                <w:szCs w:val="20"/>
              </w:rPr>
              <w:t>17</w:t>
            </w:r>
          </w:p>
        </w:tc>
        <w:tc>
          <w:tcPr>
            <w:tcW w:w="3664" w:type="dxa"/>
          </w:tcPr>
          <w:p w:rsidR="00857EF9" w:rsidRPr="00414E07" w:rsidRDefault="00857EF9" w:rsidP="009F130B">
            <w:pPr>
              <w:rPr>
                <w:color w:val="000000"/>
                <w:sz w:val="20"/>
                <w:szCs w:val="20"/>
              </w:rPr>
            </w:pPr>
            <w:proofErr w:type="spellStart"/>
            <w:r>
              <w:rPr>
                <w:color w:val="000000"/>
                <w:sz w:val="20"/>
                <w:szCs w:val="20"/>
              </w:rPr>
              <w:t>Responsable</w:t>
            </w:r>
            <w:proofErr w:type="spellEnd"/>
            <w:r>
              <w:rPr>
                <w:color w:val="000000"/>
                <w:sz w:val="20"/>
                <w:szCs w:val="20"/>
              </w:rPr>
              <w:t xml:space="preserve"> </w:t>
            </w:r>
            <w:proofErr w:type="spellStart"/>
            <w:r>
              <w:rPr>
                <w:color w:val="000000"/>
                <w:sz w:val="20"/>
                <w:szCs w:val="20"/>
              </w:rPr>
              <w:t>informatique</w:t>
            </w:r>
            <w:proofErr w:type="spellEnd"/>
          </w:p>
        </w:tc>
        <w:tc>
          <w:tcPr>
            <w:tcW w:w="1684" w:type="dxa"/>
            <w:vAlign w:val="center"/>
          </w:tcPr>
          <w:p w:rsidR="00857EF9" w:rsidRPr="00414E07" w:rsidRDefault="00857EF9" w:rsidP="009F130B">
            <w:pPr>
              <w:jc w:val="center"/>
              <w:rPr>
                <w:color w:val="000000"/>
                <w:sz w:val="20"/>
                <w:szCs w:val="20"/>
              </w:rPr>
            </w:pPr>
            <w:r>
              <w:rPr>
                <w:color w:val="000000"/>
                <w:sz w:val="20"/>
                <w:szCs w:val="20"/>
              </w:rPr>
              <w:t>180 000</w:t>
            </w:r>
          </w:p>
        </w:tc>
        <w:tc>
          <w:tcPr>
            <w:tcW w:w="1146" w:type="dxa"/>
            <w:vAlign w:val="center"/>
          </w:tcPr>
          <w:p w:rsidR="00857EF9" w:rsidRPr="00414E07" w:rsidRDefault="00857EF9" w:rsidP="009F130B">
            <w:pPr>
              <w:jc w:val="center"/>
              <w:rPr>
                <w:color w:val="000000"/>
                <w:sz w:val="20"/>
                <w:szCs w:val="20"/>
              </w:rPr>
            </w:pPr>
            <w:r>
              <w:rPr>
                <w:color w:val="000000"/>
                <w:sz w:val="20"/>
                <w:szCs w:val="20"/>
              </w:rPr>
              <w:t>1</w:t>
            </w:r>
          </w:p>
        </w:tc>
        <w:tc>
          <w:tcPr>
            <w:tcW w:w="1269" w:type="dxa"/>
            <w:vAlign w:val="center"/>
          </w:tcPr>
          <w:p w:rsidR="00857EF9" w:rsidRPr="00414E07" w:rsidRDefault="00857EF9" w:rsidP="009F130B">
            <w:pPr>
              <w:jc w:val="center"/>
              <w:rPr>
                <w:color w:val="000000"/>
                <w:sz w:val="20"/>
                <w:szCs w:val="20"/>
              </w:rPr>
            </w:pPr>
            <w:proofErr w:type="spellStart"/>
            <w:r>
              <w:rPr>
                <w:color w:val="000000"/>
                <w:sz w:val="20"/>
                <w:szCs w:val="20"/>
              </w:rPr>
              <w:t>Préalable</w:t>
            </w:r>
            <w:proofErr w:type="spellEnd"/>
          </w:p>
        </w:tc>
        <w:tc>
          <w:tcPr>
            <w:tcW w:w="1368" w:type="dxa"/>
            <w:vAlign w:val="center"/>
          </w:tcPr>
          <w:p w:rsidR="00857EF9" w:rsidRPr="00414E07" w:rsidRDefault="00857EF9" w:rsidP="009F130B">
            <w:pPr>
              <w:jc w:val="center"/>
              <w:rPr>
                <w:color w:val="000000"/>
                <w:sz w:val="20"/>
                <w:szCs w:val="20"/>
              </w:rPr>
            </w:pPr>
            <w:r>
              <w:rPr>
                <w:color w:val="000000"/>
                <w:sz w:val="20"/>
                <w:szCs w:val="20"/>
              </w:rPr>
              <w:t>CI</w:t>
            </w:r>
          </w:p>
        </w:tc>
        <w:tc>
          <w:tcPr>
            <w:tcW w:w="1463" w:type="dxa"/>
            <w:vAlign w:val="center"/>
          </w:tcPr>
          <w:p w:rsidR="00857EF9" w:rsidRPr="00414E07" w:rsidRDefault="00857EF9" w:rsidP="009F130B">
            <w:pPr>
              <w:jc w:val="center"/>
              <w:rPr>
                <w:color w:val="000000"/>
                <w:sz w:val="20"/>
                <w:szCs w:val="20"/>
              </w:rPr>
            </w:pPr>
            <w:proofErr w:type="spellStart"/>
            <w:r>
              <w:rPr>
                <w:color w:val="000000"/>
                <w:sz w:val="20"/>
                <w:szCs w:val="20"/>
              </w:rPr>
              <w:t>Juil</w:t>
            </w:r>
            <w:proofErr w:type="spellEnd"/>
            <w:r>
              <w:rPr>
                <w:color w:val="000000"/>
                <w:sz w:val="20"/>
                <w:szCs w:val="20"/>
              </w:rPr>
              <w:t>. 2013</w:t>
            </w:r>
          </w:p>
        </w:tc>
        <w:tc>
          <w:tcPr>
            <w:tcW w:w="1327" w:type="dxa"/>
            <w:vAlign w:val="center"/>
          </w:tcPr>
          <w:p w:rsidR="00857EF9" w:rsidRPr="00414E07" w:rsidRDefault="00857EF9" w:rsidP="009F130B">
            <w:pPr>
              <w:jc w:val="center"/>
              <w:rPr>
                <w:color w:val="000000"/>
                <w:sz w:val="20"/>
                <w:szCs w:val="20"/>
              </w:rPr>
            </w:pPr>
            <w:r>
              <w:rPr>
                <w:color w:val="000000"/>
                <w:sz w:val="20"/>
                <w:szCs w:val="20"/>
              </w:rPr>
              <w:t>Sept. 2013</w:t>
            </w:r>
          </w:p>
        </w:tc>
      </w:tr>
      <w:tr w:rsidR="00857EF9" w:rsidRPr="00414E07" w:rsidTr="009F130B">
        <w:trPr>
          <w:trHeight w:val="472"/>
        </w:trPr>
        <w:tc>
          <w:tcPr>
            <w:tcW w:w="1495" w:type="dxa"/>
            <w:vAlign w:val="center"/>
          </w:tcPr>
          <w:p w:rsidR="00857EF9" w:rsidRPr="00414E07" w:rsidRDefault="00857EF9" w:rsidP="009F130B">
            <w:pPr>
              <w:jc w:val="center"/>
              <w:rPr>
                <w:b/>
                <w:sz w:val="20"/>
                <w:szCs w:val="20"/>
              </w:rPr>
            </w:pPr>
            <w:r>
              <w:rPr>
                <w:b/>
                <w:sz w:val="20"/>
                <w:szCs w:val="20"/>
              </w:rPr>
              <w:t>Consultants</w:t>
            </w:r>
          </w:p>
        </w:tc>
        <w:tc>
          <w:tcPr>
            <w:tcW w:w="3664" w:type="dxa"/>
            <w:vAlign w:val="center"/>
          </w:tcPr>
          <w:p w:rsidR="00857EF9" w:rsidRPr="00414E07" w:rsidRDefault="00857EF9" w:rsidP="009F130B">
            <w:pPr>
              <w:jc w:val="center"/>
              <w:rPr>
                <w:b/>
                <w:sz w:val="20"/>
                <w:szCs w:val="20"/>
              </w:rPr>
            </w:pPr>
          </w:p>
        </w:tc>
        <w:tc>
          <w:tcPr>
            <w:tcW w:w="1684" w:type="dxa"/>
            <w:shd w:val="clear" w:color="auto" w:fill="auto"/>
            <w:vAlign w:val="center"/>
          </w:tcPr>
          <w:p w:rsidR="00857EF9" w:rsidRPr="00414E07" w:rsidRDefault="00857EF9" w:rsidP="009F130B">
            <w:pPr>
              <w:jc w:val="center"/>
              <w:rPr>
                <w:b/>
                <w:sz w:val="20"/>
                <w:szCs w:val="20"/>
              </w:rPr>
            </w:pPr>
            <w:r w:rsidRPr="00414E07">
              <w:rPr>
                <w:b/>
                <w:sz w:val="20"/>
                <w:szCs w:val="20"/>
              </w:rPr>
              <w:fldChar w:fldCharType="begin" w:fldLock="1"/>
            </w:r>
            <w:r w:rsidRPr="003C4AAA">
              <w:rPr>
                <w:b/>
                <w:sz w:val="20"/>
                <w:szCs w:val="20"/>
              </w:rPr>
              <w:instrText xml:space="preserve"> =SUM(ABOVE) </w:instrText>
            </w:r>
            <w:r w:rsidRPr="00414E07">
              <w:rPr>
                <w:b/>
                <w:sz w:val="20"/>
                <w:szCs w:val="20"/>
              </w:rPr>
              <w:fldChar w:fldCharType="separate"/>
            </w:r>
            <w:r w:rsidRPr="003C4AAA">
              <w:rPr>
                <w:b/>
                <w:sz w:val="20"/>
                <w:szCs w:val="20"/>
              </w:rPr>
              <w:t>6 676 000</w:t>
            </w:r>
            <w:r w:rsidRPr="00414E07">
              <w:rPr>
                <w:b/>
                <w:sz w:val="20"/>
                <w:szCs w:val="20"/>
              </w:rPr>
              <w:fldChar w:fldCharType="end"/>
            </w:r>
          </w:p>
        </w:tc>
        <w:tc>
          <w:tcPr>
            <w:tcW w:w="1146" w:type="dxa"/>
            <w:vAlign w:val="center"/>
          </w:tcPr>
          <w:p w:rsidR="00857EF9" w:rsidRPr="00414E07" w:rsidRDefault="00857EF9" w:rsidP="009F130B">
            <w:pPr>
              <w:jc w:val="center"/>
              <w:rPr>
                <w:b/>
                <w:sz w:val="20"/>
                <w:szCs w:val="20"/>
              </w:rPr>
            </w:pPr>
          </w:p>
        </w:tc>
        <w:tc>
          <w:tcPr>
            <w:tcW w:w="1269" w:type="dxa"/>
            <w:vAlign w:val="center"/>
          </w:tcPr>
          <w:p w:rsidR="00857EF9" w:rsidRPr="00414E07" w:rsidRDefault="00857EF9" w:rsidP="009F130B">
            <w:pPr>
              <w:jc w:val="center"/>
              <w:rPr>
                <w:b/>
                <w:sz w:val="20"/>
                <w:szCs w:val="20"/>
              </w:rPr>
            </w:pPr>
          </w:p>
        </w:tc>
        <w:tc>
          <w:tcPr>
            <w:tcW w:w="1368" w:type="dxa"/>
            <w:vAlign w:val="center"/>
          </w:tcPr>
          <w:p w:rsidR="00857EF9" w:rsidRPr="00414E07" w:rsidRDefault="00857EF9" w:rsidP="009F130B">
            <w:pPr>
              <w:jc w:val="center"/>
              <w:rPr>
                <w:b/>
                <w:sz w:val="20"/>
                <w:szCs w:val="20"/>
              </w:rPr>
            </w:pPr>
          </w:p>
        </w:tc>
        <w:tc>
          <w:tcPr>
            <w:tcW w:w="1463" w:type="dxa"/>
            <w:vAlign w:val="center"/>
          </w:tcPr>
          <w:p w:rsidR="00857EF9" w:rsidRPr="00414E07" w:rsidRDefault="00857EF9" w:rsidP="009F130B">
            <w:pPr>
              <w:jc w:val="center"/>
              <w:rPr>
                <w:b/>
                <w:sz w:val="20"/>
                <w:szCs w:val="20"/>
              </w:rPr>
            </w:pPr>
          </w:p>
        </w:tc>
        <w:tc>
          <w:tcPr>
            <w:tcW w:w="1327" w:type="dxa"/>
            <w:vAlign w:val="center"/>
          </w:tcPr>
          <w:p w:rsidR="00857EF9" w:rsidRPr="00414E07" w:rsidRDefault="00857EF9" w:rsidP="009F130B">
            <w:pPr>
              <w:jc w:val="center"/>
              <w:rPr>
                <w:b/>
                <w:sz w:val="20"/>
                <w:szCs w:val="20"/>
              </w:rPr>
            </w:pPr>
          </w:p>
        </w:tc>
      </w:tr>
      <w:tr w:rsidR="00857EF9" w:rsidRPr="00414E07" w:rsidTr="009F130B">
        <w:trPr>
          <w:trHeight w:val="708"/>
        </w:trPr>
        <w:tc>
          <w:tcPr>
            <w:tcW w:w="1495" w:type="dxa"/>
            <w:vAlign w:val="center"/>
          </w:tcPr>
          <w:p w:rsidR="00857EF9" w:rsidRPr="00414E07" w:rsidRDefault="00857EF9" w:rsidP="009F130B">
            <w:pPr>
              <w:jc w:val="center"/>
              <w:rPr>
                <w:b/>
                <w:sz w:val="20"/>
                <w:szCs w:val="20"/>
              </w:rPr>
            </w:pPr>
            <w:r>
              <w:rPr>
                <w:b/>
                <w:sz w:val="20"/>
                <w:szCs w:val="20"/>
              </w:rPr>
              <w:t>Total B et C</w:t>
            </w:r>
          </w:p>
        </w:tc>
        <w:tc>
          <w:tcPr>
            <w:tcW w:w="3664" w:type="dxa"/>
            <w:vAlign w:val="center"/>
          </w:tcPr>
          <w:p w:rsidR="00857EF9" w:rsidRPr="00414E07" w:rsidRDefault="00857EF9" w:rsidP="009F130B">
            <w:pPr>
              <w:jc w:val="center"/>
              <w:rPr>
                <w:b/>
                <w:sz w:val="20"/>
                <w:szCs w:val="20"/>
              </w:rPr>
            </w:pPr>
          </w:p>
        </w:tc>
        <w:tc>
          <w:tcPr>
            <w:tcW w:w="1684" w:type="dxa"/>
            <w:shd w:val="clear" w:color="auto" w:fill="auto"/>
            <w:vAlign w:val="center"/>
          </w:tcPr>
          <w:p w:rsidR="00857EF9" w:rsidRPr="00414E07" w:rsidRDefault="00857EF9" w:rsidP="009F130B">
            <w:pPr>
              <w:jc w:val="center"/>
              <w:rPr>
                <w:b/>
                <w:sz w:val="20"/>
                <w:szCs w:val="20"/>
              </w:rPr>
            </w:pPr>
            <w:r>
              <w:rPr>
                <w:b/>
                <w:sz w:val="20"/>
                <w:szCs w:val="20"/>
              </w:rPr>
              <w:t>6 985 000</w:t>
            </w:r>
          </w:p>
        </w:tc>
        <w:tc>
          <w:tcPr>
            <w:tcW w:w="1146" w:type="dxa"/>
            <w:vAlign w:val="center"/>
          </w:tcPr>
          <w:p w:rsidR="00857EF9" w:rsidRPr="00414E07" w:rsidRDefault="00857EF9" w:rsidP="009F130B">
            <w:pPr>
              <w:jc w:val="center"/>
              <w:rPr>
                <w:b/>
                <w:sz w:val="20"/>
                <w:szCs w:val="20"/>
              </w:rPr>
            </w:pPr>
          </w:p>
        </w:tc>
        <w:tc>
          <w:tcPr>
            <w:tcW w:w="1269" w:type="dxa"/>
            <w:vAlign w:val="center"/>
          </w:tcPr>
          <w:p w:rsidR="00857EF9" w:rsidRPr="00414E07" w:rsidRDefault="00857EF9" w:rsidP="009F130B">
            <w:pPr>
              <w:jc w:val="center"/>
              <w:rPr>
                <w:b/>
                <w:sz w:val="20"/>
                <w:szCs w:val="20"/>
              </w:rPr>
            </w:pPr>
          </w:p>
        </w:tc>
        <w:tc>
          <w:tcPr>
            <w:tcW w:w="1368" w:type="dxa"/>
            <w:vAlign w:val="center"/>
          </w:tcPr>
          <w:p w:rsidR="00857EF9" w:rsidRPr="00414E07" w:rsidRDefault="00857EF9" w:rsidP="009F130B">
            <w:pPr>
              <w:jc w:val="center"/>
              <w:rPr>
                <w:b/>
                <w:sz w:val="20"/>
                <w:szCs w:val="20"/>
              </w:rPr>
            </w:pPr>
          </w:p>
        </w:tc>
        <w:tc>
          <w:tcPr>
            <w:tcW w:w="1463" w:type="dxa"/>
            <w:vAlign w:val="center"/>
          </w:tcPr>
          <w:p w:rsidR="00857EF9" w:rsidRPr="00414E07" w:rsidRDefault="00857EF9" w:rsidP="009F130B">
            <w:pPr>
              <w:jc w:val="center"/>
              <w:rPr>
                <w:b/>
                <w:sz w:val="20"/>
                <w:szCs w:val="20"/>
              </w:rPr>
            </w:pPr>
          </w:p>
        </w:tc>
        <w:tc>
          <w:tcPr>
            <w:tcW w:w="1327" w:type="dxa"/>
            <w:vAlign w:val="center"/>
          </w:tcPr>
          <w:p w:rsidR="00857EF9" w:rsidRPr="00414E07" w:rsidRDefault="00857EF9" w:rsidP="009F130B">
            <w:pPr>
              <w:jc w:val="center"/>
              <w:rPr>
                <w:b/>
                <w:sz w:val="20"/>
                <w:szCs w:val="20"/>
              </w:rPr>
            </w:pPr>
          </w:p>
        </w:tc>
      </w:tr>
    </w:tbl>
    <w:p w:rsidR="00857EF9" w:rsidRPr="00414E07" w:rsidRDefault="00857EF9" w:rsidP="00857EF9">
      <w:pPr>
        <w:rPr>
          <w:b/>
          <w:sz w:val="20"/>
          <w:szCs w:val="20"/>
        </w:rPr>
      </w:pPr>
    </w:p>
    <w:p w:rsidR="00857EF9" w:rsidRPr="00414E07" w:rsidRDefault="00857EF9" w:rsidP="00857EF9">
      <w:pPr>
        <w:ind w:firstLine="288"/>
      </w:pPr>
    </w:p>
    <w:p w:rsidR="00857EF9" w:rsidRPr="00414E07" w:rsidRDefault="00857EF9" w:rsidP="00857EF9">
      <w:pPr>
        <w:sectPr w:rsidR="00857EF9" w:rsidRPr="00414E07" w:rsidSect="00857EF9">
          <w:pgSz w:w="15840" w:h="12240" w:orient="landscape" w:code="1"/>
          <w:pgMar w:top="1440" w:right="1440" w:bottom="1440" w:left="1440" w:header="720" w:footer="720" w:gutter="0"/>
          <w:cols w:space="720"/>
          <w:docGrid w:linePitch="360"/>
        </w:sectPr>
      </w:pPr>
    </w:p>
    <w:p w:rsidR="00857EF9" w:rsidRPr="00414E07" w:rsidRDefault="00857EF9" w:rsidP="00857EF9">
      <w:pPr>
        <w:jc w:val="center"/>
        <w:rPr>
          <w:b/>
        </w:rPr>
      </w:pPr>
    </w:p>
    <w:p w:rsidR="00857EF9" w:rsidRPr="00414E07" w:rsidRDefault="00857EF9" w:rsidP="00857EF9">
      <w:pPr>
        <w:pStyle w:val="Caption"/>
        <w:keepNext/>
      </w:pPr>
    </w:p>
    <w:tbl>
      <w:tblPr>
        <w:tblW w:w="8845" w:type="dxa"/>
        <w:jc w:val="center"/>
        <w:tblInd w:w="25" w:type="dxa"/>
        <w:tblLayout w:type="fixed"/>
        <w:tblLook w:val="0000" w:firstRow="0" w:lastRow="0" w:firstColumn="0" w:lastColumn="0" w:noHBand="0" w:noVBand="0"/>
      </w:tblPr>
      <w:tblGrid>
        <w:gridCol w:w="1813"/>
        <w:gridCol w:w="2250"/>
        <w:gridCol w:w="2160"/>
        <w:gridCol w:w="2622"/>
      </w:tblGrid>
      <w:tr w:rsidR="00857EF9" w:rsidRPr="00927D19" w:rsidTr="009F130B">
        <w:trPr>
          <w:jc w:val="center"/>
        </w:trPr>
        <w:tc>
          <w:tcPr>
            <w:tcW w:w="8845" w:type="dxa"/>
            <w:gridSpan w:val="4"/>
            <w:tcBorders>
              <w:bottom w:val="single" w:sz="4" w:space="0" w:color="auto"/>
            </w:tcBorders>
            <w:tcMar>
              <w:top w:w="29" w:type="dxa"/>
              <w:left w:w="29" w:type="dxa"/>
              <w:bottom w:w="29" w:type="dxa"/>
              <w:right w:w="29" w:type="dxa"/>
            </w:tcMar>
          </w:tcPr>
          <w:p w:rsidR="00857EF9" w:rsidRPr="0036404C" w:rsidRDefault="0036404C" w:rsidP="00141422">
            <w:pPr>
              <w:pStyle w:val="Caption"/>
              <w:keepNext/>
              <w:spacing w:after="0"/>
              <w:rPr>
                <w:sz w:val="24"/>
                <w:szCs w:val="24"/>
                <w:lang w:val="fr-FR"/>
              </w:rPr>
            </w:pPr>
            <w:bookmarkStart w:id="37" w:name="_Toc362269428"/>
            <w:r w:rsidRPr="0036404C">
              <w:rPr>
                <w:color w:val="auto"/>
                <w:sz w:val="24"/>
                <w:szCs w:val="24"/>
              </w:rPr>
              <w:t xml:space="preserve">Tableau </w:t>
            </w:r>
            <w:r w:rsidRPr="0036404C">
              <w:rPr>
                <w:color w:val="auto"/>
                <w:sz w:val="24"/>
                <w:szCs w:val="24"/>
              </w:rPr>
              <w:fldChar w:fldCharType="begin"/>
            </w:r>
            <w:r w:rsidRPr="0036404C">
              <w:rPr>
                <w:color w:val="auto"/>
                <w:sz w:val="24"/>
                <w:szCs w:val="24"/>
              </w:rPr>
              <w:instrText xml:space="preserve"> SEQ Tableau \* ARABIC </w:instrText>
            </w:r>
            <w:r w:rsidRPr="0036404C">
              <w:rPr>
                <w:color w:val="auto"/>
                <w:sz w:val="24"/>
                <w:szCs w:val="24"/>
              </w:rPr>
              <w:fldChar w:fldCharType="separate"/>
            </w:r>
            <w:r w:rsidRPr="0036404C">
              <w:rPr>
                <w:noProof/>
                <w:color w:val="auto"/>
                <w:sz w:val="24"/>
                <w:szCs w:val="24"/>
              </w:rPr>
              <w:t>7</w:t>
            </w:r>
            <w:r w:rsidRPr="0036404C">
              <w:rPr>
                <w:color w:val="auto"/>
                <w:sz w:val="24"/>
                <w:szCs w:val="24"/>
              </w:rPr>
              <w:fldChar w:fldCharType="end"/>
            </w:r>
            <w:r w:rsidRPr="0036404C">
              <w:rPr>
                <w:color w:val="auto"/>
                <w:sz w:val="24"/>
                <w:szCs w:val="24"/>
              </w:rPr>
              <w:t xml:space="preserve"> </w:t>
            </w:r>
            <w:r w:rsidRPr="0036404C">
              <w:rPr>
                <w:color w:val="auto"/>
                <w:sz w:val="24"/>
                <w:szCs w:val="24"/>
                <w:lang w:val="fr-FR"/>
              </w:rPr>
              <w:t>:</w:t>
            </w:r>
            <w:r w:rsidR="00857EF9" w:rsidRPr="0036404C">
              <w:rPr>
                <w:color w:val="auto"/>
                <w:sz w:val="24"/>
                <w:szCs w:val="24"/>
                <w:lang w:val="fr-FR"/>
              </w:rPr>
              <w:t xml:space="preserve"> </w:t>
            </w:r>
            <w:r w:rsidR="00857EF9" w:rsidRPr="0036404C">
              <w:rPr>
                <w:bCs w:val="0"/>
                <w:color w:val="auto"/>
                <w:sz w:val="24"/>
                <w:szCs w:val="24"/>
                <w:lang w:val="fr-FR"/>
              </w:rPr>
              <w:t>Seuils applicables aux méthodes de passation de marchés et examens préalables</w:t>
            </w:r>
            <w:r w:rsidR="00857EF9" w:rsidRPr="0036404C">
              <w:rPr>
                <w:rStyle w:val="FootnoteReference"/>
                <w:color w:val="auto"/>
                <w:sz w:val="24"/>
                <w:szCs w:val="24"/>
              </w:rPr>
              <w:footnoteReference w:id="72"/>
            </w:r>
            <w:bookmarkEnd w:id="37"/>
          </w:p>
        </w:tc>
      </w:tr>
      <w:tr w:rsidR="00857EF9" w:rsidRPr="00927D19" w:rsidTr="009F130B">
        <w:trPr>
          <w:jc w:val="center"/>
        </w:trPr>
        <w:tc>
          <w:tcPr>
            <w:tcW w:w="1813"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jc w:val="center"/>
              <w:rPr>
                <w:b/>
                <w:sz w:val="20"/>
                <w:szCs w:val="20"/>
              </w:rPr>
            </w:pPr>
            <w:proofErr w:type="spellStart"/>
            <w:r>
              <w:rPr>
                <w:b/>
                <w:sz w:val="20"/>
                <w:szCs w:val="20"/>
              </w:rPr>
              <w:t>Catégorie</w:t>
            </w:r>
            <w:proofErr w:type="spellEnd"/>
          </w:p>
          <w:p w:rsidR="00857EF9" w:rsidRPr="00414E07" w:rsidRDefault="00857EF9" w:rsidP="009F130B">
            <w:pPr>
              <w:ind w:left="302"/>
              <w:jc w:val="center"/>
              <w:rPr>
                <w:b/>
                <w:sz w:val="20"/>
                <w:szCs w:val="20"/>
              </w:rPr>
            </w:pPr>
            <w:r>
              <w:rPr>
                <w:b/>
                <w:sz w:val="20"/>
                <w:szCs w:val="20"/>
              </w:rPr>
              <w:t xml:space="preserve">de </w:t>
            </w:r>
            <w:proofErr w:type="spellStart"/>
            <w:r>
              <w:rPr>
                <w:b/>
                <w:sz w:val="20"/>
                <w:szCs w:val="20"/>
              </w:rPr>
              <w:t>dépenses</w:t>
            </w:r>
            <w:proofErr w:type="spellEnd"/>
          </w:p>
        </w:tc>
        <w:tc>
          <w:tcPr>
            <w:tcW w:w="2250" w:type="dxa"/>
            <w:tcBorders>
              <w:top w:val="single" w:sz="4" w:space="0" w:color="auto"/>
              <w:left w:val="single" w:sz="4" w:space="0" w:color="auto"/>
              <w:bottom w:val="single" w:sz="4" w:space="0" w:color="auto"/>
              <w:right w:val="single" w:sz="6" w:space="0" w:color="auto"/>
            </w:tcBorders>
            <w:tcMar>
              <w:top w:w="29" w:type="dxa"/>
              <w:left w:w="29" w:type="dxa"/>
              <w:bottom w:w="29" w:type="dxa"/>
              <w:right w:w="29" w:type="dxa"/>
            </w:tcMar>
          </w:tcPr>
          <w:p w:rsidR="00857EF9" w:rsidRPr="00927D19" w:rsidRDefault="00857EF9" w:rsidP="009F130B">
            <w:pPr>
              <w:jc w:val="center"/>
              <w:rPr>
                <w:b/>
                <w:sz w:val="20"/>
                <w:szCs w:val="20"/>
                <w:lang w:val="fr-FR"/>
              </w:rPr>
            </w:pPr>
            <w:r w:rsidRPr="00927D19">
              <w:rPr>
                <w:b/>
                <w:sz w:val="20"/>
                <w:szCs w:val="20"/>
                <w:lang w:val="fr-FR"/>
              </w:rPr>
              <w:t>Valeur du contrat</w:t>
            </w:r>
          </w:p>
          <w:p w:rsidR="00857EF9" w:rsidRPr="00927D19" w:rsidRDefault="00857EF9" w:rsidP="009F130B">
            <w:pPr>
              <w:jc w:val="center"/>
              <w:rPr>
                <w:b/>
                <w:sz w:val="20"/>
                <w:szCs w:val="20"/>
                <w:lang w:val="fr-FR"/>
              </w:rPr>
            </w:pPr>
            <w:r w:rsidRPr="00927D19">
              <w:rPr>
                <w:b/>
                <w:sz w:val="20"/>
                <w:szCs w:val="20"/>
                <w:lang w:val="fr-FR"/>
              </w:rPr>
              <w:t>(seuil)</w:t>
            </w:r>
          </w:p>
          <w:p w:rsidR="00857EF9" w:rsidRPr="00927D19" w:rsidRDefault="00857EF9" w:rsidP="009F130B">
            <w:pPr>
              <w:jc w:val="center"/>
              <w:rPr>
                <w:b/>
                <w:sz w:val="20"/>
                <w:szCs w:val="20"/>
                <w:lang w:val="fr-FR"/>
              </w:rPr>
            </w:pPr>
            <w:r w:rsidRPr="00927D19">
              <w:rPr>
                <w:b/>
                <w:sz w:val="20"/>
                <w:szCs w:val="20"/>
                <w:lang w:val="fr-FR"/>
              </w:rPr>
              <w:t>Milliers USD</w:t>
            </w:r>
          </w:p>
        </w:tc>
        <w:tc>
          <w:tcPr>
            <w:tcW w:w="2160" w:type="dxa"/>
            <w:tcBorders>
              <w:top w:val="single" w:sz="4" w:space="0" w:color="auto"/>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b/>
                <w:sz w:val="20"/>
                <w:szCs w:val="20"/>
              </w:rPr>
            </w:pPr>
            <w:proofErr w:type="spellStart"/>
            <w:r>
              <w:rPr>
                <w:b/>
                <w:sz w:val="20"/>
                <w:szCs w:val="20"/>
              </w:rPr>
              <w:t>Méthode</w:t>
            </w:r>
            <w:proofErr w:type="spellEnd"/>
          </w:p>
          <w:p w:rsidR="00857EF9" w:rsidRPr="00414E07" w:rsidRDefault="00857EF9" w:rsidP="009F130B">
            <w:pPr>
              <w:jc w:val="center"/>
              <w:rPr>
                <w:b/>
                <w:sz w:val="20"/>
                <w:szCs w:val="20"/>
              </w:rPr>
            </w:pPr>
            <w:proofErr w:type="spellStart"/>
            <w:r>
              <w:rPr>
                <w:b/>
                <w:sz w:val="20"/>
                <w:szCs w:val="20"/>
              </w:rPr>
              <w:t>d'approvisionnement</w:t>
            </w:r>
            <w:proofErr w:type="spellEnd"/>
          </w:p>
        </w:tc>
        <w:tc>
          <w:tcPr>
            <w:tcW w:w="2622" w:type="dxa"/>
            <w:tcBorders>
              <w:top w:val="single" w:sz="4" w:space="0" w:color="auto"/>
              <w:left w:val="single" w:sz="6"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jc w:val="center"/>
              <w:rPr>
                <w:b/>
                <w:sz w:val="20"/>
                <w:szCs w:val="20"/>
                <w:lang w:val="fr-FR"/>
              </w:rPr>
            </w:pPr>
            <w:r w:rsidRPr="00927D19">
              <w:rPr>
                <w:b/>
                <w:sz w:val="20"/>
                <w:szCs w:val="20"/>
                <w:lang w:val="fr-FR"/>
              </w:rPr>
              <w:t>Contrats soumis à</w:t>
            </w:r>
          </w:p>
          <w:p w:rsidR="00857EF9" w:rsidRPr="00927D19" w:rsidRDefault="00857EF9" w:rsidP="009F130B">
            <w:pPr>
              <w:jc w:val="center"/>
              <w:rPr>
                <w:b/>
                <w:sz w:val="20"/>
                <w:szCs w:val="20"/>
                <w:lang w:val="fr-FR"/>
              </w:rPr>
            </w:pPr>
            <w:r w:rsidRPr="00927D19">
              <w:rPr>
                <w:b/>
                <w:sz w:val="20"/>
                <w:szCs w:val="20"/>
                <w:lang w:val="fr-FR"/>
              </w:rPr>
              <w:t xml:space="preserve">un examen préalable (milliers USD) </w:t>
            </w:r>
          </w:p>
        </w:tc>
      </w:tr>
      <w:tr w:rsidR="00857EF9" w:rsidRPr="00414E07" w:rsidTr="009F130B">
        <w:trPr>
          <w:jc w:val="center"/>
        </w:trPr>
        <w:tc>
          <w:tcPr>
            <w:tcW w:w="1813" w:type="dxa"/>
            <w:tcBorders>
              <w:left w:val="single" w:sz="4"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both"/>
              <w:rPr>
                <w:b/>
                <w:bCs/>
                <w:sz w:val="20"/>
                <w:szCs w:val="20"/>
              </w:rPr>
            </w:pPr>
            <w:r>
              <w:rPr>
                <w:b/>
                <w:bCs/>
                <w:sz w:val="20"/>
                <w:szCs w:val="20"/>
              </w:rPr>
              <w:t xml:space="preserve">1. </w:t>
            </w:r>
            <w:proofErr w:type="spellStart"/>
            <w:r>
              <w:rPr>
                <w:b/>
                <w:bCs/>
                <w:sz w:val="20"/>
                <w:szCs w:val="20"/>
              </w:rPr>
              <w:t>Travaux</w:t>
            </w:r>
            <w:proofErr w:type="spellEnd"/>
          </w:p>
        </w:tc>
        <w:tc>
          <w:tcPr>
            <w:tcW w:w="225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&gt;1 000</w:t>
            </w:r>
          </w:p>
        </w:tc>
        <w:tc>
          <w:tcPr>
            <w:tcW w:w="216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AOI</w:t>
            </w:r>
          </w:p>
        </w:tc>
        <w:tc>
          <w:tcPr>
            <w:tcW w:w="2622" w:type="dxa"/>
            <w:tcBorders>
              <w:left w:val="single" w:sz="6"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pStyle w:val="Header"/>
              <w:jc w:val="center"/>
              <w:rPr>
                <w:sz w:val="20"/>
                <w:szCs w:val="20"/>
              </w:rPr>
            </w:pPr>
            <w:proofErr w:type="spellStart"/>
            <w:r>
              <w:rPr>
                <w:sz w:val="20"/>
                <w:szCs w:val="20"/>
              </w:rPr>
              <w:t>Tous</w:t>
            </w:r>
            <w:proofErr w:type="spellEnd"/>
          </w:p>
        </w:tc>
      </w:tr>
      <w:tr w:rsidR="00857EF9" w:rsidRPr="00927D19" w:rsidTr="009F130B">
        <w:trPr>
          <w:jc w:val="center"/>
        </w:trPr>
        <w:tc>
          <w:tcPr>
            <w:tcW w:w="1813" w:type="dxa"/>
            <w:tcBorders>
              <w:left w:val="single" w:sz="4"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both"/>
              <w:rPr>
                <w:b/>
                <w:bCs/>
                <w:sz w:val="20"/>
                <w:szCs w:val="20"/>
              </w:rPr>
            </w:pPr>
          </w:p>
        </w:tc>
        <w:tc>
          <w:tcPr>
            <w:tcW w:w="225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100-1 000</w:t>
            </w:r>
          </w:p>
        </w:tc>
        <w:tc>
          <w:tcPr>
            <w:tcW w:w="216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AON</w:t>
            </w:r>
          </w:p>
        </w:tc>
        <w:tc>
          <w:tcPr>
            <w:tcW w:w="2622" w:type="dxa"/>
            <w:tcBorders>
              <w:left w:val="single" w:sz="6"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pStyle w:val="Header"/>
              <w:jc w:val="center"/>
              <w:rPr>
                <w:sz w:val="20"/>
                <w:szCs w:val="20"/>
                <w:lang w:val="fr-FR"/>
              </w:rPr>
            </w:pPr>
            <w:r w:rsidRPr="00927D19">
              <w:rPr>
                <w:sz w:val="20"/>
                <w:szCs w:val="20"/>
                <w:lang w:val="fr-FR"/>
              </w:rPr>
              <w:t xml:space="preserve"> Trois premiers contrats et tous les contrats au-delà de 500</w:t>
            </w:r>
          </w:p>
        </w:tc>
      </w:tr>
      <w:tr w:rsidR="00857EF9" w:rsidRPr="00927D19" w:rsidTr="009F130B">
        <w:trPr>
          <w:jc w:val="center"/>
        </w:trPr>
        <w:tc>
          <w:tcPr>
            <w:tcW w:w="1813" w:type="dxa"/>
            <w:tcBorders>
              <w:left w:val="single" w:sz="4" w:space="0" w:color="auto"/>
              <w:bottom w:val="single" w:sz="4" w:space="0" w:color="auto"/>
              <w:right w:val="single" w:sz="6" w:space="0" w:color="auto"/>
            </w:tcBorders>
            <w:tcMar>
              <w:top w:w="29" w:type="dxa"/>
              <w:left w:w="29" w:type="dxa"/>
              <w:bottom w:w="29" w:type="dxa"/>
              <w:right w:w="29" w:type="dxa"/>
            </w:tcMar>
          </w:tcPr>
          <w:p w:rsidR="00857EF9" w:rsidRPr="00927D19" w:rsidRDefault="00857EF9" w:rsidP="009F130B">
            <w:pPr>
              <w:jc w:val="both"/>
              <w:rPr>
                <w:b/>
                <w:bCs/>
                <w:sz w:val="20"/>
                <w:szCs w:val="20"/>
                <w:lang w:val="fr-FR"/>
              </w:rPr>
            </w:pPr>
          </w:p>
        </w:tc>
        <w:tc>
          <w:tcPr>
            <w:tcW w:w="225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pStyle w:val="ChapterNumber"/>
              <w:autoSpaceDE/>
              <w:autoSpaceDN/>
              <w:spacing w:after="0"/>
              <w:jc w:val="center"/>
              <w:rPr>
                <w:szCs w:val="20"/>
              </w:rPr>
            </w:pPr>
            <w:r>
              <w:rPr>
                <w:szCs w:val="20"/>
              </w:rPr>
              <w:t>&lt;500</w:t>
            </w:r>
          </w:p>
        </w:tc>
        <w:tc>
          <w:tcPr>
            <w:tcW w:w="216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 xml:space="preserve">Consultation des </w:t>
            </w:r>
            <w:proofErr w:type="spellStart"/>
            <w:r>
              <w:rPr>
                <w:sz w:val="20"/>
                <w:szCs w:val="20"/>
              </w:rPr>
              <w:t>fournisseurs</w:t>
            </w:r>
            <w:proofErr w:type="spellEnd"/>
          </w:p>
        </w:tc>
        <w:tc>
          <w:tcPr>
            <w:tcW w:w="2622" w:type="dxa"/>
            <w:tcBorders>
              <w:left w:val="single" w:sz="6"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pStyle w:val="Header"/>
              <w:jc w:val="center"/>
              <w:rPr>
                <w:sz w:val="20"/>
                <w:szCs w:val="20"/>
                <w:lang w:val="fr-FR"/>
              </w:rPr>
            </w:pPr>
            <w:r w:rsidRPr="00927D19">
              <w:rPr>
                <w:sz w:val="20"/>
                <w:szCs w:val="20"/>
                <w:lang w:val="fr-FR"/>
              </w:rPr>
              <w:t xml:space="preserve">Trois premiers contrats et tous les contrats au-delà de 250 </w:t>
            </w:r>
          </w:p>
        </w:tc>
      </w:tr>
      <w:tr w:rsidR="00857EF9" w:rsidRPr="00414E07" w:rsidTr="009F130B">
        <w:trPr>
          <w:jc w:val="center"/>
        </w:trPr>
        <w:tc>
          <w:tcPr>
            <w:tcW w:w="1813" w:type="dxa"/>
            <w:tcBorders>
              <w:left w:val="single" w:sz="4" w:space="0" w:color="auto"/>
              <w:bottom w:val="single" w:sz="4" w:space="0" w:color="auto"/>
              <w:right w:val="single" w:sz="6" w:space="0" w:color="auto"/>
            </w:tcBorders>
            <w:tcMar>
              <w:top w:w="29" w:type="dxa"/>
              <w:left w:w="29" w:type="dxa"/>
              <w:bottom w:w="29" w:type="dxa"/>
              <w:right w:w="29" w:type="dxa"/>
            </w:tcMar>
          </w:tcPr>
          <w:p w:rsidR="00857EF9" w:rsidRPr="00927D19" w:rsidRDefault="00857EF9" w:rsidP="009F130B">
            <w:pPr>
              <w:jc w:val="both"/>
              <w:rPr>
                <w:b/>
                <w:bCs/>
                <w:sz w:val="20"/>
                <w:szCs w:val="20"/>
                <w:lang w:val="fr-FR"/>
              </w:rPr>
            </w:pPr>
          </w:p>
        </w:tc>
        <w:tc>
          <w:tcPr>
            <w:tcW w:w="225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Quelle que soit la valeur</w:t>
            </w:r>
          </w:p>
        </w:tc>
        <w:tc>
          <w:tcPr>
            <w:tcW w:w="216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proofErr w:type="spellStart"/>
            <w:r>
              <w:rPr>
                <w:sz w:val="20"/>
                <w:szCs w:val="20"/>
              </w:rPr>
              <w:t>Contrat</w:t>
            </w:r>
            <w:proofErr w:type="spellEnd"/>
            <w:r>
              <w:rPr>
                <w:sz w:val="20"/>
                <w:szCs w:val="20"/>
              </w:rPr>
              <w:t xml:space="preserve"> direct</w:t>
            </w:r>
          </w:p>
        </w:tc>
        <w:tc>
          <w:tcPr>
            <w:tcW w:w="2622" w:type="dxa"/>
            <w:tcBorders>
              <w:left w:val="single" w:sz="6"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pStyle w:val="Header"/>
              <w:jc w:val="center"/>
              <w:rPr>
                <w:sz w:val="20"/>
                <w:szCs w:val="20"/>
              </w:rPr>
            </w:pPr>
            <w:proofErr w:type="spellStart"/>
            <w:r>
              <w:rPr>
                <w:sz w:val="20"/>
                <w:szCs w:val="20"/>
              </w:rPr>
              <w:t>Tous</w:t>
            </w:r>
            <w:proofErr w:type="spellEnd"/>
          </w:p>
        </w:tc>
      </w:tr>
      <w:tr w:rsidR="00857EF9" w:rsidRPr="00414E07" w:rsidTr="009F130B">
        <w:trPr>
          <w:jc w:val="center"/>
        </w:trPr>
        <w:tc>
          <w:tcPr>
            <w:tcW w:w="1813" w:type="dxa"/>
            <w:tcBorders>
              <w:left w:val="single" w:sz="4"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both"/>
              <w:rPr>
                <w:b/>
                <w:bCs/>
                <w:sz w:val="20"/>
                <w:szCs w:val="20"/>
              </w:rPr>
            </w:pPr>
            <w:r>
              <w:rPr>
                <w:b/>
                <w:bCs/>
                <w:sz w:val="20"/>
                <w:szCs w:val="20"/>
              </w:rPr>
              <w:t xml:space="preserve">2. </w:t>
            </w:r>
            <w:proofErr w:type="spellStart"/>
            <w:r>
              <w:rPr>
                <w:b/>
                <w:bCs/>
                <w:sz w:val="20"/>
                <w:szCs w:val="20"/>
              </w:rPr>
              <w:t>Biens</w:t>
            </w:r>
            <w:proofErr w:type="spellEnd"/>
          </w:p>
        </w:tc>
        <w:tc>
          <w:tcPr>
            <w:tcW w:w="225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&gt;500</w:t>
            </w:r>
          </w:p>
        </w:tc>
        <w:tc>
          <w:tcPr>
            <w:tcW w:w="2160" w:type="dxa"/>
            <w:tcBorders>
              <w:left w:val="single" w:sz="6"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AOI</w:t>
            </w:r>
          </w:p>
        </w:tc>
        <w:tc>
          <w:tcPr>
            <w:tcW w:w="2622" w:type="dxa"/>
            <w:tcBorders>
              <w:left w:val="single" w:sz="6"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pStyle w:val="Header"/>
              <w:jc w:val="center"/>
              <w:rPr>
                <w:sz w:val="20"/>
                <w:szCs w:val="20"/>
              </w:rPr>
            </w:pPr>
            <w:proofErr w:type="spellStart"/>
            <w:r>
              <w:rPr>
                <w:sz w:val="20"/>
                <w:szCs w:val="20"/>
              </w:rPr>
              <w:t>Tous</w:t>
            </w:r>
            <w:proofErr w:type="spellEnd"/>
          </w:p>
        </w:tc>
      </w:tr>
      <w:tr w:rsidR="00857EF9" w:rsidRPr="00927D19" w:rsidTr="009F130B">
        <w:trPr>
          <w:jc w:val="center"/>
        </w:trPr>
        <w:tc>
          <w:tcPr>
            <w:tcW w:w="1813"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jc w:val="both"/>
              <w:rPr>
                <w:sz w:val="20"/>
                <w:szCs w:val="20"/>
              </w:rPr>
            </w:pPr>
          </w:p>
        </w:tc>
        <w:tc>
          <w:tcPr>
            <w:tcW w:w="2250" w:type="dxa"/>
            <w:tcBorders>
              <w:top w:val="single" w:sz="4" w:space="0" w:color="auto"/>
              <w:left w:val="single" w:sz="4" w:space="0" w:color="auto"/>
              <w:bottom w:val="single" w:sz="6"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50 -500</w:t>
            </w:r>
          </w:p>
        </w:tc>
        <w:tc>
          <w:tcPr>
            <w:tcW w:w="2160" w:type="dxa"/>
            <w:tcBorders>
              <w:top w:val="single" w:sz="4" w:space="0" w:color="auto"/>
              <w:left w:val="single" w:sz="6" w:space="0" w:color="auto"/>
              <w:bottom w:val="single" w:sz="6" w:space="0" w:color="auto"/>
              <w:right w:val="single" w:sz="4"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AON</w:t>
            </w:r>
          </w:p>
        </w:tc>
        <w:tc>
          <w:tcPr>
            <w:tcW w:w="262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Trois premiers contrats et tous les contrats au-delà de 250</w:t>
            </w:r>
          </w:p>
        </w:tc>
      </w:tr>
      <w:tr w:rsidR="00857EF9" w:rsidRPr="00927D19" w:rsidTr="009F130B">
        <w:trPr>
          <w:jc w:val="center"/>
        </w:trPr>
        <w:tc>
          <w:tcPr>
            <w:tcW w:w="1813"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jc w:val="both"/>
              <w:rPr>
                <w:sz w:val="20"/>
                <w:szCs w:val="20"/>
                <w:lang w:val="fr-FR"/>
              </w:rPr>
            </w:pPr>
          </w:p>
        </w:tc>
        <w:tc>
          <w:tcPr>
            <w:tcW w:w="2250" w:type="dxa"/>
            <w:tcBorders>
              <w:top w:val="single" w:sz="4" w:space="0" w:color="auto"/>
              <w:left w:val="single" w:sz="4" w:space="0" w:color="auto"/>
              <w:bottom w:val="single" w:sz="6" w:space="0" w:color="auto"/>
              <w:right w:val="single" w:sz="6" w:space="0" w:color="auto"/>
            </w:tcBorders>
            <w:tcMar>
              <w:top w:w="29" w:type="dxa"/>
              <w:left w:w="29" w:type="dxa"/>
              <w:bottom w:w="29" w:type="dxa"/>
              <w:right w:w="29" w:type="dxa"/>
            </w:tcMar>
          </w:tcPr>
          <w:p w:rsidR="00857EF9" w:rsidRPr="00414E07" w:rsidRDefault="00857EF9" w:rsidP="009F130B">
            <w:pPr>
              <w:pStyle w:val="ChapterNumber"/>
              <w:autoSpaceDE/>
              <w:autoSpaceDN/>
              <w:spacing w:after="0"/>
              <w:jc w:val="center"/>
              <w:rPr>
                <w:szCs w:val="20"/>
              </w:rPr>
            </w:pPr>
            <w:r>
              <w:rPr>
                <w:szCs w:val="20"/>
              </w:rPr>
              <w:t>&lt;250</w:t>
            </w:r>
          </w:p>
        </w:tc>
        <w:tc>
          <w:tcPr>
            <w:tcW w:w="2160" w:type="dxa"/>
            <w:tcBorders>
              <w:top w:val="single" w:sz="4" w:space="0" w:color="auto"/>
              <w:left w:val="single" w:sz="6" w:space="0" w:color="auto"/>
              <w:bottom w:val="single" w:sz="6" w:space="0" w:color="auto"/>
              <w:right w:val="single" w:sz="4"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 xml:space="preserve">Consultation des </w:t>
            </w:r>
            <w:proofErr w:type="spellStart"/>
            <w:r>
              <w:rPr>
                <w:sz w:val="20"/>
                <w:szCs w:val="20"/>
              </w:rPr>
              <w:t>fournisseurs</w:t>
            </w:r>
            <w:proofErr w:type="spellEnd"/>
          </w:p>
        </w:tc>
        <w:tc>
          <w:tcPr>
            <w:tcW w:w="262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pStyle w:val="Header"/>
              <w:jc w:val="center"/>
              <w:rPr>
                <w:sz w:val="20"/>
                <w:szCs w:val="20"/>
                <w:lang w:val="fr-FR"/>
              </w:rPr>
            </w:pPr>
            <w:r w:rsidRPr="00927D19">
              <w:rPr>
                <w:sz w:val="20"/>
                <w:szCs w:val="20"/>
                <w:lang w:val="fr-FR"/>
              </w:rPr>
              <w:t>Trois premiers contrats et tous les contrats au-delà de 100</w:t>
            </w:r>
          </w:p>
        </w:tc>
      </w:tr>
      <w:tr w:rsidR="00857EF9" w:rsidRPr="00414E07" w:rsidTr="009F130B">
        <w:trPr>
          <w:jc w:val="center"/>
        </w:trPr>
        <w:tc>
          <w:tcPr>
            <w:tcW w:w="1813" w:type="dxa"/>
            <w:tcBorders>
              <w:top w:val="single" w:sz="4" w:space="0" w:color="auto"/>
              <w:left w:val="single" w:sz="4" w:space="0" w:color="auto"/>
              <w:right w:val="single" w:sz="4" w:space="0" w:color="auto"/>
            </w:tcBorders>
            <w:tcMar>
              <w:top w:w="29" w:type="dxa"/>
              <w:left w:w="29" w:type="dxa"/>
              <w:bottom w:w="29" w:type="dxa"/>
              <w:right w:w="29" w:type="dxa"/>
            </w:tcMar>
          </w:tcPr>
          <w:p w:rsidR="00857EF9" w:rsidRPr="00927D19" w:rsidRDefault="00857EF9" w:rsidP="009F130B">
            <w:pPr>
              <w:jc w:val="both"/>
              <w:rPr>
                <w:b/>
                <w:bCs/>
                <w:sz w:val="20"/>
                <w:szCs w:val="20"/>
                <w:lang w:val="fr-FR"/>
              </w:rPr>
            </w:pPr>
          </w:p>
        </w:tc>
        <w:tc>
          <w:tcPr>
            <w:tcW w:w="2250" w:type="dxa"/>
            <w:tcBorders>
              <w:top w:val="single" w:sz="6" w:space="0" w:color="auto"/>
              <w:left w:val="single" w:sz="4" w:space="0" w:color="auto"/>
              <w:bottom w:val="single" w:sz="4" w:space="0" w:color="auto"/>
              <w:right w:val="single" w:sz="6"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Quelle que soit la valeur</w:t>
            </w:r>
          </w:p>
        </w:tc>
        <w:tc>
          <w:tcPr>
            <w:tcW w:w="2160" w:type="dxa"/>
            <w:tcBorders>
              <w:top w:val="single" w:sz="6" w:space="0" w:color="auto"/>
              <w:left w:val="single" w:sz="6"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jc w:val="center"/>
              <w:rPr>
                <w:sz w:val="20"/>
                <w:szCs w:val="20"/>
              </w:rPr>
            </w:pPr>
            <w:proofErr w:type="spellStart"/>
            <w:r>
              <w:rPr>
                <w:sz w:val="20"/>
                <w:szCs w:val="20"/>
              </w:rPr>
              <w:t>Contrat</w:t>
            </w:r>
            <w:proofErr w:type="spellEnd"/>
            <w:r>
              <w:rPr>
                <w:sz w:val="20"/>
                <w:szCs w:val="20"/>
              </w:rPr>
              <w:t xml:space="preserve"> direct</w:t>
            </w:r>
          </w:p>
        </w:tc>
        <w:tc>
          <w:tcPr>
            <w:tcW w:w="262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pStyle w:val="Header"/>
              <w:jc w:val="center"/>
              <w:rPr>
                <w:sz w:val="20"/>
                <w:szCs w:val="20"/>
              </w:rPr>
            </w:pPr>
            <w:proofErr w:type="spellStart"/>
            <w:r>
              <w:rPr>
                <w:sz w:val="20"/>
                <w:szCs w:val="20"/>
              </w:rPr>
              <w:t>Tous</w:t>
            </w:r>
            <w:proofErr w:type="spellEnd"/>
          </w:p>
        </w:tc>
      </w:tr>
      <w:tr w:rsidR="00857EF9" w:rsidRPr="00927D19" w:rsidTr="009F130B">
        <w:trPr>
          <w:jc w:val="center"/>
        </w:trPr>
        <w:tc>
          <w:tcPr>
            <w:tcW w:w="1813" w:type="dxa"/>
            <w:tcBorders>
              <w:top w:val="single" w:sz="4" w:space="0" w:color="auto"/>
              <w:left w:val="single" w:sz="4" w:space="0" w:color="auto"/>
              <w:right w:val="single" w:sz="4" w:space="0" w:color="auto"/>
            </w:tcBorders>
            <w:tcMar>
              <w:top w:w="29" w:type="dxa"/>
              <w:left w:w="29" w:type="dxa"/>
              <w:bottom w:w="29" w:type="dxa"/>
              <w:right w:w="29" w:type="dxa"/>
            </w:tcMar>
          </w:tcPr>
          <w:p w:rsidR="00857EF9" w:rsidRPr="00414E07" w:rsidRDefault="00857EF9" w:rsidP="009F130B">
            <w:pPr>
              <w:jc w:val="both"/>
              <w:rPr>
                <w:sz w:val="20"/>
                <w:szCs w:val="20"/>
              </w:rPr>
            </w:pPr>
            <w:r>
              <w:rPr>
                <w:b/>
                <w:bCs/>
                <w:sz w:val="20"/>
                <w:szCs w:val="20"/>
              </w:rPr>
              <w:t xml:space="preserve">3. Services de </w:t>
            </w:r>
            <w:proofErr w:type="spellStart"/>
            <w:r>
              <w:rPr>
                <w:b/>
                <w:bCs/>
                <w:sz w:val="20"/>
                <w:szCs w:val="20"/>
              </w:rPr>
              <w:t>conseil</w:t>
            </w:r>
            <w:proofErr w:type="spellEnd"/>
          </w:p>
        </w:tc>
        <w:tc>
          <w:tcPr>
            <w:tcW w:w="2250" w:type="dxa"/>
            <w:tcBorders>
              <w:top w:val="single" w:sz="6" w:space="0" w:color="auto"/>
              <w:left w:val="single" w:sz="4" w:space="0" w:color="auto"/>
              <w:bottom w:val="single" w:sz="4" w:space="0" w:color="auto"/>
              <w:right w:val="single" w:sz="6"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Quelle que soit la valeur</w:t>
            </w:r>
          </w:p>
        </w:tc>
        <w:tc>
          <w:tcPr>
            <w:tcW w:w="2160" w:type="dxa"/>
            <w:tcBorders>
              <w:top w:val="single" w:sz="6" w:space="0" w:color="auto"/>
              <w:left w:val="single" w:sz="6"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SFQC, SMQ, SBF, SMD</w:t>
            </w:r>
          </w:p>
        </w:tc>
        <w:tc>
          <w:tcPr>
            <w:tcW w:w="262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Trois premiers contrats et tous les contrats au-delà de 200</w:t>
            </w:r>
          </w:p>
        </w:tc>
      </w:tr>
      <w:tr w:rsidR="00857EF9" w:rsidRPr="00927D19" w:rsidTr="009F130B">
        <w:trPr>
          <w:jc w:val="center"/>
        </w:trPr>
        <w:tc>
          <w:tcPr>
            <w:tcW w:w="1813" w:type="dxa"/>
            <w:tcBorders>
              <w:left w:val="single" w:sz="4" w:space="0" w:color="auto"/>
              <w:right w:val="single" w:sz="4" w:space="0" w:color="auto"/>
            </w:tcBorders>
            <w:tcMar>
              <w:top w:w="29" w:type="dxa"/>
              <w:left w:w="29" w:type="dxa"/>
              <w:bottom w:w="29" w:type="dxa"/>
              <w:right w:w="29" w:type="dxa"/>
            </w:tcMar>
          </w:tcPr>
          <w:p w:rsidR="00857EF9" w:rsidRPr="00414E07" w:rsidRDefault="00857EF9" w:rsidP="009F130B">
            <w:pPr>
              <w:jc w:val="both"/>
              <w:rPr>
                <w:b/>
                <w:bCs/>
                <w:sz w:val="20"/>
                <w:szCs w:val="20"/>
              </w:rPr>
            </w:pPr>
            <w:r>
              <w:rPr>
                <w:b/>
                <w:bCs/>
                <w:sz w:val="20"/>
                <w:szCs w:val="20"/>
              </w:rPr>
              <w:t xml:space="preserve">- 3.A </w:t>
            </w:r>
            <w:proofErr w:type="spellStart"/>
            <w:r>
              <w:rPr>
                <w:b/>
                <w:bCs/>
                <w:sz w:val="20"/>
                <w:szCs w:val="20"/>
              </w:rPr>
              <w:t>Sociétés</w:t>
            </w:r>
            <w:proofErr w:type="spellEnd"/>
          </w:p>
        </w:tc>
        <w:tc>
          <w:tcPr>
            <w:tcW w:w="2250" w:type="dxa"/>
            <w:tcBorders>
              <w:top w:val="single" w:sz="4" w:space="0" w:color="auto"/>
              <w:left w:val="single" w:sz="4"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&lt;500</w:t>
            </w:r>
          </w:p>
        </w:tc>
        <w:tc>
          <w:tcPr>
            <w:tcW w:w="2160" w:type="dxa"/>
            <w:tcBorders>
              <w:top w:val="single" w:sz="4" w:space="0" w:color="auto"/>
              <w:left w:val="single" w:sz="6" w:space="0" w:color="auto"/>
              <w:bottom w:val="single" w:sz="4" w:space="0" w:color="auto"/>
              <w:right w:val="single" w:sz="4" w:space="0" w:color="auto"/>
            </w:tcBorders>
            <w:tcMar>
              <w:top w:w="29" w:type="dxa"/>
              <w:left w:w="29" w:type="dxa"/>
              <w:bottom w:w="29" w:type="dxa"/>
              <w:right w:w="29" w:type="dxa"/>
            </w:tcMar>
          </w:tcPr>
          <w:p w:rsidR="00857EF9" w:rsidRPr="00414E07" w:rsidRDefault="00857EF9" w:rsidP="009F130B">
            <w:pPr>
              <w:jc w:val="center"/>
              <w:rPr>
                <w:sz w:val="20"/>
                <w:szCs w:val="20"/>
              </w:rPr>
            </w:pPr>
            <w:r>
              <w:rPr>
                <w:b/>
                <w:sz w:val="20"/>
                <w:szCs w:val="20"/>
              </w:rPr>
              <w:t xml:space="preserve"> </w:t>
            </w:r>
            <w:proofErr w:type="spellStart"/>
            <w:r>
              <w:rPr>
                <w:sz w:val="20"/>
                <w:szCs w:val="20"/>
              </w:rPr>
              <w:t>SMiD</w:t>
            </w:r>
            <w:proofErr w:type="spellEnd"/>
          </w:p>
        </w:tc>
        <w:tc>
          <w:tcPr>
            <w:tcW w:w="262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Trois premiers contrats et tous les contrats au-delà de 200</w:t>
            </w:r>
          </w:p>
        </w:tc>
      </w:tr>
      <w:tr w:rsidR="00857EF9" w:rsidRPr="00414E07" w:rsidTr="009F130B">
        <w:trPr>
          <w:jc w:val="center"/>
        </w:trPr>
        <w:tc>
          <w:tcPr>
            <w:tcW w:w="1813" w:type="dxa"/>
            <w:tcBorders>
              <w:left w:val="single" w:sz="4" w:space="0" w:color="auto"/>
              <w:bottom w:val="single" w:sz="4" w:space="0" w:color="auto"/>
              <w:right w:val="single" w:sz="4" w:space="0" w:color="auto"/>
            </w:tcBorders>
            <w:tcMar>
              <w:top w:w="29" w:type="dxa"/>
              <w:left w:w="29" w:type="dxa"/>
              <w:bottom w:w="29" w:type="dxa"/>
              <w:right w:w="29" w:type="dxa"/>
            </w:tcMar>
          </w:tcPr>
          <w:p w:rsidR="00857EF9" w:rsidRPr="00927D19" w:rsidRDefault="00857EF9" w:rsidP="009F130B">
            <w:pPr>
              <w:jc w:val="both"/>
              <w:rPr>
                <w:sz w:val="20"/>
                <w:szCs w:val="20"/>
                <w:lang w:val="fr-FR"/>
              </w:rPr>
            </w:pPr>
          </w:p>
        </w:tc>
        <w:tc>
          <w:tcPr>
            <w:tcW w:w="2250" w:type="dxa"/>
            <w:tcBorders>
              <w:top w:val="single" w:sz="4" w:space="0" w:color="auto"/>
              <w:left w:val="single" w:sz="4" w:space="0" w:color="auto"/>
              <w:bottom w:val="single" w:sz="6" w:space="0" w:color="auto"/>
              <w:right w:val="single" w:sz="6"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Quelle que soit la valeur</w:t>
            </w:r>
          </w:p>
        </w:tc>
        <w:tc>
          <w:tcPr>
            <w:tcW w:w="2160" w:type="dxa"/>
            <w:tcBorders>
              <w:top w:val="single" w:sz="4" w:space="0" w:color="auto"/>
              <w:left w:val="single" w:sz="6" w:space="0" w:color="auto"/>
              <w:bottom w:val="single" w:sz="6" w:space="0" w:color="auto"/>
              <w:right w:val="single" w:sz="6" w:space="0" w:color="auto"/>
            </w:tcBorders>
            <w:tcMar>
              <w:top w:w="29" w:type="dxa"/>
              <w:left w:w="29" w:type="dxa"/>
              <w:bottom w:w="29" w:type="dxa"/>
              <w:right w:w="29" w:type="dxa"/>
            </w:tcMar>
          </w:tcPr>
          <w:p w:rsidR="00857EF9" w:rsidRPr="00414E07" w:rsidRDefault="00857EF9" w:rsidP="009F130B">
            <w:pPr>
              <w:jc w:val="center"/>
              <w:rPr>
                <w:sz w:val="20"/>
                <w:szCs w:val="20"/>
              </w:rPr>
            </w:pPr>
            <w:r>
              <w:rPr>
                <w:sz w:val="20"/>
                <w:szCs w:val="20"/>
              </w:rPr>
              <w:t xml:space="preserve">Entente </w:t>
            </w:r>
            <w:proofErr w:type="spellStart"/>
            <w:r>
              <w:rPr>
                <w:sz w:val="20"/>
                <w:szCs w:val="20"/>
              </w:rPr>
              <w:t>directe</w:t>
            </w:r>
            <w:proofErr w:type="spellEnd"/>
          </w:p>
        </w:tc>
        <w:tc>
          <w:tcPr>
            <w:tcW w:w="2622" w:type="dxa"/>
            <w:tcBorders>
              <w:top w:val="single" w:sz="4" w:space="0" w:color="auto"/>
              <w:left w:val="single" w:sz="6" w:space="0" w:color="auto"/>
              <w:bottom w:val="single" w:sz="6" w:space="0" w:color="auto"/>
              <w:right w:val="single" w:sz="4" w:space="0" w:color="auto"/>
            </w:tcBorders>
            <w:tcMar>
              <w:top w:w="29" w:type="dxa"/>
              <w:left w:w="29" w:type="dxa"/>
              <w:bottom w:w="29" w:type="dxa"/>
              <w:right w:w="29" w:type="dxa"/>
            </w:tcMar>
          </w:tcPr>
          <w:p w:rsidR="00857EF9" w:rsidRPr="00414E07" w:rsidRDefault="00857EF9" w:rsidP="009F130B">
            <w:pPr>
              <w:jc w:val="center"/>
              <w:rPr>
                <w:sz w:val="20"/>
                <w:szCs w:val="20"/>
              </w:rPr>
            </w:pPr>
            <w:proofErr w:type="spellStart"/>
            <w:r>
              <w:rPr>
                <w:sz w:val="20"/>
                <w:szCs w:val="20"/>
              </w:rPr>
              <w:t>Tous</w:t>
            </w:r>
            <w:proofErr w:type="spellEnd"/>
          </w:p>
        </w:tc>
      </w:tr>
      <w:tr w:rsidR="00857EF9" w:rsidRPr="00113620" w:rsidTr="009F130B">
        <w:trPr>
          <w:jc w:val="center"/>
        </w:trPr>
        <w:tc>
          <w:tcPr>
            <w:tcW w:w="1813" w:type="dxa"/>
            <w:tcBorders>
              <w:top w:val="single" w:sz="4" w:space="0" w:color="auto"/>
              <w:left w:val="single" w:sz="4" w:space="0" w:color="auto"/>
              <w:bottom w:val="single" w:sz="4" w:space="0" w:color="auto"/>
              <w:right w:val="single" w:sz="6" w:space="0" w:color="auto"/>
            </w:tcBorders>
            <w:tcMar>
              <w:top w:w="29" w:type="dxa"/>
              <w:left w:w="29" w:type="dxa"/>
              <w:bottom w:w="29" w:type="dxa"/>
              <w:right w:w="29" w:type="dxa"/>
            </w:tcMar>
          </w:tcPr>
          <w:p w:rsidR="00857EF9" w:rsidRPr="00414E07" w:rsidRDefault="00857EF9" w:rsidP="009F130B">
            <w:pPr>
              <w:jc w:val="both"/>
              <w:rPr>
                <w:b/>
                <w:bCs/>
                <w:sz w:val="20"/>
                <w:szCs w:val="20"/>
              </w:rPr>
            </w:pPr>
            <w:r>
              <w:rPr>
                <w:b/>
                <w:bCs/>
                <w:sz w:val="20"/>
                <w:szCs w:val="20"/>
              </w:rPr>
              <w:t xml:space="preserve">-3.B </w:t>
            </w:r>
            <w:proofErr w:type="spellStart"/>
            <w:r>
              <w:rPr>
                <w:b/>
                <w:bCs/>
                <w:sz w:val="20"/>
                <w:szCs w:val="20"/>
              </w:rPr>
              <w:t>Particuliers</w:t>
            </w:r>
            <w:proofErr w:type="spellEnd"/>
          </w:p>
        </w:tc>
        <w:tc>
          <w:tcPr>
            <w:tcW w:w="2250" w:type="dxa"/>
            <w:tcBorders>
              <w:top w:val="single" w:sz="6" w:space="0" w:color="auto"/>
              <w:left w:val="single" w:sz="6" w:space="0" w:color="auto"/>
              <w:bottom w:val="single" w:sz="6" w:space="0" w:color="auto"/>
              <w:right w:val="single" w:sz="6"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 xml:space="preserve"> Quelle que soit la valeur  </w:t>
            </w:r>
          </w:p>
        </w:tc>
        <w:tc>
          <w:tcPr>
            <w:tcW w:w="2160" w:type="dxa"/>
            <w:tcBorders>
              <w:top w:val="single" w:sz="6" w:space="0" w:color="auto"/>
              <w:left w:val="single" w:sz="6" w:space="0" w:color="auto"/>
              <w:bottom w:val="single" w:sz="6" w:space="0" w:color="auto"/>
              <w:right w:val="single" w:sz="6" w:space="0" w:color="auto"/>
            </w:tcBorders>
            <w:tcMar>
              <w:top w:w="29" w:type="dxa"/>
              <w:left w:w="29" w:type="dxa"/>
              <w:bottom w:w="29" w:type="dxa"/>
              <w:right w:w="29" w:type="dxa"/>
            </w:tcMar>
          </w:tcPr>
          <w:p w:rsidR="00857EF9" w:rsidRPr="00927D19" w:rsidRDefault="00857EF9" w:rsidP="009F130B">
            <w:pPr>
              <w:jc w:val="center"/>
              <w:rPr>
                <w:sz w:val="20"/>
                <w:szCs w:val="20"/>
                <w:lang w:val="fr-FR"/>
              </w:rPr>
            </w:pPr>
            <w:r w:rsidRPr="00927D19">
              <w:rPr>
                <w:sz w:val="20"/>
                <w:szCs w:val="20"/>
                <w:lang w:val="fr-FR"/>
              </w:rPr>
              <w:t>En vertu du chapitre V des directives sur les consultants</w:t>
            </w:r>
          </w:p>
        </w:tc>
        <w:tc>
          <w:tcPr>
            <w:tcW w:w="2622" w:type="dxa"/>
            <w:tcBorders>
              <w:top w:val="single" w:sz="6" w:space="0" w:color="auto"/>
              <w:left w:val="single" w:sz="6" w:space="0" w:color="auto"/>
              <w:bottom w:val="single" w:sz="6" w:space="0" w:color="auto"/>
              <w:right w:val="single" w:sz="4" w:space="0" w:color="auto"/>
            </w:tcBorders>
            <w:tcMar>
              <w:top w:w="29" w:type="dxa"/>
              <w:left w:w="29" w:type="dxa"/>
              <w:bottom w:w="29" w:type="dxa"/>
              <w:right w:w="29" w:type="dxa"/>
            </w:tcMar>
          </w:tcPr>
          <w:p w:rsidR="00857EF9" w:rsidRPr="00927D19" w:rsidRDefault="00857EF9" w:rsidP="009F130B">
            <w:pPr>
              <w:rPr>
                <w:rFonts w:eastAsiaTheme="minorEastAsia"/>
                <w:sz w:val="20"/>
                <w:szCs w:val="20"/>
                <w:lang w:val="fr-FR" w:eastAsia="en-GB"/>
              </w:rPr>
            </w:pPr>
            <w:r w:rsidRPr="00927D19">
              <w:rPr>
                <w:sz w:val="20"/>
                <w:szCs w:val="20"/>
                <w:lang w:val="fr-FR"/>
              </w:rPr>
              <w:t xml:space="preserve"> Trois premiers contrats et tous les contrats au-delà de 100 et sélectionnés par entente directe au-delà de 50 </w:t>
            </w:r>
          </w:p>
        </w:tc>
      </w:tr>
    </w:tbl>
    <w:p w:rsidR="00857EF9" w:rsidRPr="00927D19" w:rsidRDefault="00857EF9" w:rsidP="00857EF9">
      <w:pPr>
        <w:ind w:left="270"/>
        <w:rPr>
          <w:i/>
          <w:sz w:val="16"/>
          <w:szCs w:val="16"/>
          <w:lang w:val="fr-FR"/>
        </w:rPr>
      </w:pPr>
    </w:p>
    <w:p w:rsidR="00857EF9" w:rsidRPr="00927D19" w:rsidRDefault="00857EF9" w:rsidP="00857EF9">
      <w:pPr>
        <w:ind w:left="270"/>
        <w:rPr>
          <w:i/>
          <w:sz w:val="20"/>
          <w:szCs w:val="20"/>
          <w:lang w:val="fr-FR"/>
        </w:rPr>
      </w:pPr>
      <w:r w:rsidRPr="00927D19">
        <w:rPr>
          <w:b/>
          <w:i/>
          <w:sz w:val="20"/>
          <w:szCs w:val="20"/>
          <w:lang w:val="fr-FR"/>
        </w:rPr>
        <w:t>Abréviations</w:t>
      </w:r>
      <w:r w:rsidRPr="00927D19">
        <w:rPr>
          <w:i/>
          <w:sz w:val="20"/>
          <w:szCs w:val="20"/>
          <w:lang w:val="fr-FR"/>
        </w:rPr>
        <w:t xml:space="preserve"> : </w:t>
      </w:r>
    </w:p>
    <w:p w:rsidR="00857EF9" w:rsidRPr="00927D19" w:rsidRDefault="00857EF9" w:rsidP="00857EF9">
      <w:pPr>
        <w:ind w:left="270"/>
        <w:rPr>
          <w:sz w:val="20"/>
          <w:szCs w:val="20"/>
          <w:lang w:val="fr-FR"/>
        </w:rPr>
      </w:pPr>
      <w:r w:rsidRPr="00927D19">
        <w:rPr>
          <w:sz w:val="20"/>
          <w:szCs w:val="20"/>
          <w:lang w:val="fr-FR"/>
        </w:rPr>
        <w:t xml:space="preserve">AOI = Appel d’offres international </w:t>
      </w:r>
      <w:r w:rsidRPr="00927D19">
        <w:rPr>
          <w:sz w:val="20"/>
          <w:szCs w:val="20"/>
          <w:lang w:val="fr-FR"/>
        </w:rPr>
        <w:tab/>
      </w:r>
      <w:r w:rsidRPr="00927D19">
        <w:rPr>
          <w:sz w:val="20"/>
          <w:szCs w:val="20"/>
          <w:lang w:val="fr-FR"/>
        </w:rPr>
        <w:tab/>
        <w:t>SFQC = Sélection fondée sur la qualité et le coût</w:t>
      </w:r>
      <w:r w:rsidRPr="00927D19">
        <w:rPr>
          <w:sz w:val="20"/>
          <w:szCs w:val="20"/>
          <w:lang w:val="fr-FR"/>
        </w:rPr>
        <w:tab/>
      </w:r>
    </w:p>
    <w:p w:rsidR="00857EF9" w:rsidRPr="00927D19" w:rsidRDefault="00857EF9" w:rsidP="00857EF9">
      <w:pPr>
        <w:ind w:left="270"/>
        <w:rPr>
          <w:sz w:val="20"/>
          <w:szCs w:val="20"/>
          <w:lang w:val="fr-FR"/>
        </w:rPr>
      </w:pPr>
      <w:r w:rsidRPr="00927D19">
        <w:rPr>
          <w:sz w:val="20"/>
          <w:szCs w:val="20"/>
          <w:lang w:val="fr-FR"/>
        </w:rPr>
        <w:t>AON = Appel d’offres national</w:t>
      </w:r>
      <w:r w:rsidRPr="00927D19">
        <w:rPr>
          <w:sz w:val="20"/>
          <w:szCs w:val="20"/>
          <w:lang w:val="fr-FR"/>
        </w:rPr>
        <w:tab/>
      </w:r>
      <w:r w:rsidRPr="00927D19">
        <w:rPr>
          <w:sz w:val="20"/>
          <w:szCs w:val="20"/>
          <w:lang w:val="fr-FR"/>
        </w:rPr>
        <w:tab/>
      </w:r>
      <w:r w:rsidRPr="00927D19">
        <w:rPr>
          <w:sz w:val="20"/>
          <w:szCs w:val="20"/>
          <w:lang w:val="fr-FR"/>
        </w:rPr>
        <w:tab/>
        <w:t>SMQ = Sélection de la meilleure qualité</w:t>
      </w:r>
    </w:p>
    <w:p w:rsidR="00857EF9" w:rsidRPr="00927D19" w:rsidRDefault="00857EF9" w:rsidP="00857EF9">
      <w:pPr>
        <w:ind w:left="270"/>
        <w:rPr>
          <w:sz w:val="20"/>
          <w:szCs w:val="20"/>
          <w:lang w:val="fr-FR"/>
        </w:rPr>
      </w:pPr>
      <w:r w:rsidRPr="00927D19">
        <w:rPr>
          <w:sz w:val="20"/>
          <w:szCs w:val="20"/>
          <w:lang w:val="fr-FR"/>
        </w:rPr>
        <w:t>CD = Contrat direct</w:t>
      </w:r>
      <w:r w:rsidRPr="00927D19">
        <w:rPr>
          <w:sz w:val="20"/>
          <w:szCs w:val="20"/>
          <w:lang w:val="fr-FR"/>
        </w:rPr>
        <w:tab/>
      </w:r>
      <w:r w:rsidRPr="00927D19">
        <w:rPr>
          <w:sz w:val="20"/>
          <w:szCs w:val="20"/>
          <w:lang w:val="fr-FR"/>
        </w:rPr>
        <w:tab/>
      </w:r>
      <w:r w:rsidRPr="00927D19">
        <w:rPr>
          <w:sz w:val="20"/>
          <w:szCs w:val="20"/>
          <w:lang w:val="fr-FR"/>
        </w:rPr>
        <w:tab/>
      </w:r>
      <w:r w:rsidRPr="00927D19">
        <w:rPr>
          <w:sz w:val="20"/>
          <w:szCs w:val="20"/>
          <w:lang w:val="fr-FR"/>
        </w:rPr>
        <w:tab/>
      </w:r>
      <w:r w:rsidRPr="00927D19">
        <w:rPr>
          <w:sz w:val="20"/>
          <w:szCs w:val="20"/>
          <w:lang w:val="fr-FR"/>
        </w:rPr>
        <w:tab/>
      </w:r>
      <w:r w:rsidRPr="00927D19">
        <w:rPr>
          <w:sz w:val="20"/>
          <w:szCs w:val="20"/>
          <w:lang w:val="fr-FR"/>
        </w:rPr>
        <w:tab/>
        <w:t>SBF = Sélection à budget fixe</w:t>
      </w:r>
      <w:r w:rsidRPr="00927D19">
        <w:rPr>
          <w:sz w:val="20"/>
          <w:szCs w:val="20"/>
          <w:lang w:val="fr-FR"/>
        </w:rPr>
        <w:tab/>
      </w:r>
      <w:r w:rsidRPr="00927D19">
        <w:rPr>
          <w:sz w:val="20"/>
          <w:szCs w:val="20"/>
          <w:lang w:val="fr-FR"/>
        </w:rPr>
        <w:tab/>
      </w:r>
      <w:r w:rsidRPr="00927D19">
        <w:rPr>
          <w:sz w:val="20"/>
          <w:szCs w:val="20"/>
          <w:lang w:val="fr-FR"/>
        </w:rPr>
        <w:tab/>
      </w:r>
    </w:p>
    <w:p w:rsidR="00857EF9" w:rsidRPr="00927D19" w:rsidRDefault="00857EF9" w:rsidP="00857EF9">
      <w:pPr>
        <w:ind w:left="270"/>
        <w:rPr>
          <w:sz w:val="20"/>
          <w:szCs w:val="20"/>
          <w:lang w:val="fr-FR"/>
        </w:rPr>
      </w:pPr>
      <w:r w:rsidRPr="00927D19">
        <w:rPr>
          <w:sz w:val="20"/>
          <w:szCs w:val="20"/>
          <w:lang w:val="fr-FR"/>
        </w:rPr>
        <w:t>SMD = Sélection du moins-disant</w:t>
      </w:r>
      <w:r w:rsidRPr="00927D19">
        <w:rPr>
          <w:sz w:val="20"/>
          <w:szCs w:val="20"/>
          <w:lang w:val="fr-FR"/>
        </w:rPr>
        <w:tab/>
      </w:r>
      <w:r w:rsidRPr="00927D19">
        <w:rPr>
          <w:sz w:val="20"/>
          <w:szCs w:val="20"/>
          <w:lang w:val="fr-FR"/>
        </w:rPr>
        <w:tab/>
        <w:t>SED = Sélection par Entente Directe</w:t>
      </w:r>
    </w:p>
    <w:p w:rsidR="00857EF9" w:rsidRPr="00927D19" w:rsidRDefault="00857EF9" w:rsidP="00857EF9">
      <w:pPr>
        <w:ind w:left="270"/>
        <w:rPr>
          <w:sz w:val="20"/>
          <w:szCs w:val="20"/>
          <w:lang w:val="fr-FR"/>
        </w:rPr>
      </w:pPr>
      <w:proofErr w:type="spellStart"/>
      <w:r w:rsidRPr="00927D19">
        <w:rPr>
          <w:sz w:val="20"/>
          <w:szCs w:val="20"/>
          <w:lang w:val="fr-FR"/>
        </w:rPr>
        <w:t>SMiD</w:t>
      </w:r>
      <w:proofErr w:type="spellEnd"/>
      <w:r w:rsidRPr="00927D19">
        <w:rPr>
          <w:sz w:val="20"/>
          <w:szCs w:val="20"/>
          <w:lang w:val="fr-FR"/>
        </w:rPr>
        <w:t xml:space="preserve"> = Sélection du mieux-disant</w:t>
      </w:r>
    </w:p>
    <w:p w:rsidR="00857EF9" w:rsidRPr="00927D19" w:rsidRDefault="00857EF9" w:rsidP="00857EF9">
      <w:pPr>
        <w:pStyle w:val="ListParagraph"/>
        <w:spacing w:after="200" w:line="276" w:lineRule="auto"/>
        <w:ind w:left="2700"/>
        <w:rPr>
          <w:lang w:val="fr-FR"/>
        </w:rPr>
      </w:pPr>
    </w:p>
    <w:p w:rsidR="00857EF9" w:rsidRPr="00927D19" w:rsidRDefault="00857EF9" w:rsidP="00857EF9">
      <w:pPr>
        <w:pStyle w:val="ListParagraph"/>
        <w:keepNext/>
        <w:spacing w:after="120"/>
        <w:ind w:left="0"/>
        <w:contextualSpacing w:val="0"/>
        <w:rPr>
          <w:b/>
          <w:lang w:val="fr-FR"/>
        </w:rPr>
      </w:pPr>
      <w:r w:rsidRPr="00927D19">
        <w:rPr>
          <w:b/>
          <w:lang w:val="fr-FR"/>
        </w:rPr>
        <w:t>Aspects environnementaux et sociaux (y compris les mesures de sauvegarde)</w:t>
      </w:r>
    </w:p>
    <w:p w:rsidR="00857EF9" w:rsidRPr="00927D19" w:rsidRDefault="00857EF9" w:rsidP="00B563F2">
      <w:pPr>
        <w:pStyle w:val="ListParagraph"/>
        <w:numPr>
          <w:ilvl w:val="0"/>
          <w:numId w:val="27"/>
        </w:numPr>
        <w:tabs>
          <w:tab w:val="clear" w:pos="720"/>
          <w:tab w:val="num" w:pos="630"/>
        </w:tabs>
        <w:ind w:left="0"/>
        <w:jc w:val="both"/>
        <w:rPr>
          <w:lang w:val="fr-FR"/>
        </w:rPr>
      </w:pPr>
      <w:r w:rsidRPr="00927D19">
        <w:rPr>
          <w:lang w:val="fr-FR"/>
        </w:rPr>
        <w:t xml:space="preserve">Le projet déclenche les politiques de sauvegarde suivantes : Évaluation environnementale (OP/BP 4.01). </w:t>
      </w:r>
    </w:p>
    <w:p w:rsidR="00857EF9" w:rsidRPr="00927D19" w:rsidRDefault="00857EF9" w:rsidP="00857EF9">
      <w:pPr>
        <w:pStyle w:val="ListParagraph"/>
        <w:tabs>
          <w:tab w:val="left" w:pos="450"/>
          <w:tab w:val="num" w:pos="720"/>
        </w:tabs>
        <w:ind w:left="0"/>
        <w:jc w:val="both"/>
        <w:rPr>
          <w:lang w:val="fr-FR"/>
        </w:rPr>
      </w:pPr>
    </w:p>
    <w:p w:rsidR="00857EF9" w:rsidRPr="00927D19" w:rsidRDefault="00857EF9" w:rsidP="00857EF9">
      <w:pPr>
        <w:tabs>
          <w:tab w:val="left" w:pos="450"/>
          <w:tab w:val="num" w:pos="720"/>
        </w:tabs>
        <w:jc w:val="both"/>
        <w:rPr>
          <w:i/>
          <w:lang w:val="fr-FR"/>
        </w:rPr>
      </w:pPr>
      <w:r w:rsidRPr="00927D19">
        <w:rPr>
          <w:i/>
          <w:lang w:val="fr-FR"/>
        </w:rPr>
        <w:t>Description des mesures de sauvegarde environnementale déclenchées et modalités d'exécution</w:t>
      </w:r>
    </w:p>
    <w:p w:rsidR="00857EF9" w:rsidRPr="00927D19" w:rsidRDefault="00857EF9" w:rsidP="00857EF9">
      <w:pPr>
        <w:tabs>
          <w:tab w:val="left" w:pos="450"/>
          <w:tab w:val="num" w:pos="720"/>
        </w:tabs>
        <w:jc w:val="both"/>
        <w:rPr>
          <w:i/>
          <w:sz w:val="14"/>
          <w:lang w:val="fr-FR"/>
        </w:rPr>
      </w:pP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 xml:space="preserve">La politique d'évaluation environnementale (OP/BP 4.01) est déclenchée pour plusieurs raisons : (i) l'obligation d'inclure des critères environnementaux et sociaux dans les améliorations </w:t>
      </w:r>
      <w:r w:rsidRPr="00927D19">
        <w:rPr>
          <w:lang w:val="fr-FR"/>
        </w:rPr>
        <w:lastRenderedPageBreak/>
        <w:t>du cadre légal, réglementaire et institutionnel des ZEI proposées au titre de la première composante ; (ii) l'obligation d'effectuer des évaluations environnementales et sociales dans le cadre des études de faisabilité liées aux propositions de sites ZEI au titre de la première composante ; et (iii) l'éventualité d'impacts environnementaux négatifs liés aux lots de subventions de contrepartie au titre de la deuxième composante. D'autres mesures de sauvegarde sont déclenchées : OP 4.04 (Habitats naturels), OP 4.09 (Lutte antiparasitaire), OP 4.36 (Forêts) et OP 4.11 (Patrimoine physique et culturel).</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 xml:space="preserve">Cependant, le projet n’aura pas d’impact irréversible sur l’environnement et d'une manière générale, il est considéré comme présentant un risque faible du point de vue environnemental. Quoique le projet </w:t>
      </w:r>
      <w:r w:rsidR="00113620" w:rsidRPr="00927D19">
        <w:rPr>
          <w:lang w:val="fr-FR"/>
        </w:rPr>
        <w:t>n’investisse</w:t>
      </w:r>
      <w:r w:rsidRPr="00927D19">
        <w:rPr>
          <w:lang w:val="fr-FR"/>
        </w:rPr>
        <w:t xml:space="preserve"> pas dans des travaux ou des services publics dans le cadre des ZEI, ces politiques sont déclenchées car les études de faisabilité des ZEI comporteront une évaluation précise des impacts et des risques potentiels liés à ces politiques ; elles recommanderont des travaux futurs supplémentaires en amont du développement des ZEI ainsi que des mesures d’atténuation et de gestion conformes aux politiques de la Banque. </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 xml:space="preserve">Les études de faisabilité des ZEI incluront une évaluation des impacts environnementaux et sociaux potentiels des industries sur la qualité de l'air et de l'eau en particulier, ainsi que sur les capacités d'utilisation des sols. Ces points seront explicitement mentionnés dans le mandat de l'étude de faisabilité. Une liste négative d'industries non autorisées sur le(s) site(s) en raison de considérations environnementales sera établie. Les capacités des pouvoirs publics à gérer les risques environnementaux afférents seront également </w:t>
      </w:r>
      <w:proofErr w:type="gramStart"/>
      <w:r w:rsidRPr="00927D19">
        <w:rPr>
          <w:lang w:val="fr-FR"/>
        </w:rPr>
        <w:t>évaluées</w:t>
      </w:r>
      <w:proofErr w:type="gramEnd"/>
      <w:r w:rsidRPr="00927D19">
        <w:rPr>
          <w:lang w:val="fr-FR"/>
        </w:rPr>
        <w:t>, et des recommandations sur la manière de surmonter les problèmes de capacités seront fournies. Les conclusions et les recommandations des études détermineront dans quels sites il est acceptable d'investir. Comme l'IFC fournira des services de conseil pendant les travaux préparatoires pour les sites, les spécialistes des mesures de sauvegarde de l'IDA et de l'IFC continueront à travailler en étroite collaboration afin d'évaluer les risques lors de la préparation et au moment de prendre des décisions pour financer le développement des sites des ZEI.</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La politique OP 4.09 (Lutte antiparasitaire) est activée à titre de précaution pour le financement des MPME. Même si le projet n'entend pas financer la passation de marchés de pesticides, des investissements peuvent exister dans des activités liées à une agriculture ayant déjà recours à des pesticides (avant l'investissement). Un plan de gestion des pesticides n'est pas exigé à ce stade, mais l'évaluation d'une utilisation préexistante et en cours dans une MPME déterminera s'il convient de financer cette société. Les MPME se servant de pesticides non approuvés (OMS) ne peuvent être financées. Les autres peuvent être examinées si elles ont mis en place un plan de gestion des pesticides approuvé.</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La politique de Réinstallation forcée (OP/BP 4.12) a été déclenchée pour garantir que les études de faisabilité technique des ZEI tiennent compte du contexte social, de la situation des droits fonciers et de l'occupation des sols, mais aussi des besoins d'acquisitions de terres et des autres risques en rapport avec la question foncière. Cependant, le projet ne financera aucune activité liée au projet qui occasionnerait un déplacement ou une réinstallation temporaire ou permanente. Un outil d'évaluation sera utilisé dans le choix des MPME pour s'assurer que des projets de MPME impliquant une réinstallation ne soient pas sélectionnés.</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 xml:space="preserve">Sensibilisation à la problématique hommes-femmes dans les activités relatives aux ZEI et aux SDE. Le projet comprendra une analyse sociale axée sur le genre dans la première phase, afin d'élaborer une stratégie permettant aux femmes de surmonter les barrières supplémentaires </w:t>
      </w:r>
      <w:r w:rsidRPr="00927D19">
        <w:rPr>
          <w:lang w:val="fr-FR"/>
        </w:rPr>
        <w:lastRenderedPageBreak/>
        <w:t xml:space="preserve">auxquelles elles se heurteraient dans le cas contraire pour bénéficier des services SAE. Les études de faisabilité des ZEI incluront également une analyse des impacts sociaux en fonction du sexe. Le cadre de résultats présentera une ventilation des emplois supplémentaires créés par les MPME soutenues par le projet en fonction du sexe et de la région, en se basant sur les données recueillies par le fournisseur de SDE.  </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L'UCP du MEF, et par la suite le MCI, conserveront la responsabilité de veiller à ce que les aspects sociaux et les mesures de sauvegarde soient abordés et traités de manière adéquate dans les études de faisabilité des ZEI. L'UCP et le MCI concevront et mettront en œuvre la responsabilité sociale des SDE et s'assureront que ses recommandations soient intégrées dans le manuel des opérations.</w:t>
      </w:r>
    </w:p>
    <w:p w:rsidR="00857EF9" w:rsidRPr="00414E07" w:rsidRDefault="00857EF9" w:rsidP="00857EF9">
      <w:pPr>
        <w:spacing w:after="240"/>
        <w:rPr>
          <w:i/>
        </w:rPr>
      </w:pPr>
      <w:proofErr w:type="spellStart"/>
      <w:r>
        <w:rPr>
          <w:i/>
        </w:rPr>
        <w:t>Mise</w:t>
      </w:r>
      <w:proofErr w:type="spellEnd"/>
      <w:r>
        <w:rPr>
          <w:i/>
        </w:rPr>
        <w:t xml:space="preserve"> en </w:t>
      </w:r>
      <w:proofErr w:type="spellStart"/>
      <w:r>
        <w:rPr>
          <w:i/>
        </w:rPr>
        <w:t>œuvre</w:t>
      </w:r>
      <w:proofErr w:type="spellEnd"/>
      <w:r>
        <w:rPr>
          <w:i/>
        </w:rPr>
        <w:t xml:space="preserve"> des ZEI</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Le projet entreprendra des études de faisabilité en vue de la création d'une zone économique intégrée (ZEI) dans le centre du pays et dans une autre région. Les résultats de ces études n'entraînent pas d'impact négatif immédiat sur l'environnement, mais au contraire uniquement des impacts positifs, puisque l'étude de faisabilité évaluera les risques environnementaux et sociaux des sites et deux sites potentiels de ZEI seront choisis en fonction entre autres de ces facteurs. Dans le cas où un site est choisi pour bénéficier d'un financement complémentaire dans le cadre de ce projet ou d'un autre, il sera nécessaire de commanditer une étude de l'EIE.</w:t>
      </w:r>
    </w:p>
    <w:p w:rsidR="00857EF9" w:rsidRPr="00414E07" w:rsidRDefault="00857EF9" w:rsidP="00857EF9">
      <w:pPr>
        <w:spacing w:after="120"/>
        <w:rPr>
          <w:i/>
        </w:rPr>
      </w:pPr>
      <w:proofErr w:type="spellStart"/>
      <w:r>
        <w:rPr>
          <w:i/>
        </w:rPr>
        <w:t>Mise</w:t>
      </w:r>
      <w:proofErr w:type="spellEnd"/>
      <w:r>
        <w:rPr>
          <w:i/>
        </w:rPr>
        <w:t xml:space="preserve"> en </w:t>
      </w:r>
      <w:proofErr w:type="spellStart"/>
      <w:r>
        <w:rPr>
          <w:i/>
        </w:rPr>
        <w:t>œuvre</w:t>
      </w:r>
      <w:proofErr w:type="spellEnd"/>
      <w:r>
        <w:rPr>
          <w:i/>
        </w:rPr>
        <w:t xml:space="preserve"> des MPME</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Un outil d'évaluation de l'impact environnemental et social (contenu dans le CGES) sera utilisé afin d'exclure les MPME qui risquent d'avoir un impact significatif sur l'environnement, par exemple celles qui utilisent beaucoup de bois ou d'autres ressources naturelles rares, celles qui sont implantées dans des zones d'habitat naturel ou celles dont les activités occasionneraient des déplacements, etc. Les MPME devront étayer (dans le CGES et le manuel opérationnel) leurs demandes de subvention avec des informations précises sur leur impact environnemental et social :</w:t>
      </w:r>
    </w:p>
    <w:p w:rsidR="00857EF9" w:rsidRPr="00927D19" w:rsidRDefault="00857EF9" w:rsidP="00B563F2">
      <w:pPr>
        <w:pStyle w:val="ListParagraph"/>
        <w:numPr>
          <w:ilvl w:val="0"/>
          <w:numId w:val="28"/>
        </w:numPr>
        <w:spacing w:after="120"/>
        <w:ind w:left="810"/>
        <w:contextualSpacing w:val="0"/>
        <w:jc w:val="both"/>
        <w:rPr>
          <w:sz w:val="22"/>
          <w:szCs w:val="22"/>
          <w:lang w:val="fr-FR"/>
        </w:rPr>
      </w:pPr>
      <w:r w:rsidRPr="00927D19">
        <w:rPr>
          <w:lang w:val="fr-FR"/>
        </w:rPr>
        <w:t>Description du projet, son implantation géographique, description de toutes les ressources naturelles importantes à proximité (comme les forêts, les zones humides, les rivières, les lacs, etc.), cadre général, catégorisation, degré de respect de la législation locale en matière environnementale et sociale, respect des règles définies dans le présent CSGE sur le plan environnemental et social, programmes en place sur ce même plan, processus de consultation publique, passif existant ou éventuel, risques financiers et de réputation potentiels sur le plan environnemental et social </w:t>
      </w:r>
      <w:r w:rsidRPr="00927D19">
        <w:rPr>
          <w:sz w:val="22"/>
          <w:szCs w:val="22"/>
          <w:lang w:val="fr-FR"/>
        </w:rPr>
        <w:t>;</w:t>
      </w:r>
    </w:p>
    <w:p w:rsidR="00857EF9" w:rsidRPr="00927D19" w:rsidRDefault="00857EF9" w:rsidP="00B563F2">
      <w:pPr>
        <w:pStyle w:val="ListParagraph"/>
        <w:numPr>
          <w:ilvl w:val="0"/>
          <w:numId w:val="28"/>
        </w:numPr>
        <w:spacing w:after="120"/>
        <w:ind w:left="810"/>
        <w:contextualSpacing w:val="0"/>
        <w:jc w:val="both"/>
        <w:rPr>
          <w:lang w:val="fr-FR"/>
        </w:rPr>
      </w:pPr>
      <w:r w:rsidRPr="00927D19">
        <w:rPr>
          <w:lang w:val="fr-FR"/>
        </w:rPr>
        <w:t>Description des mesures d’atténuation et des programmes de suivi environnemental et social à mettre en œuvre, des mesures et programmes à entreprendre en matière de santé et de sécurité, et des procédures d’urgence à mettre en place ; définition des responsabilités en matière d’environnement, de santé et de sécurité ; et estimation des coûts et des délais de mise en œuvre de chacune de ces mesures ;</w:t>
      </w:r>
    </w:p>
    <w:p w:rsidR="00857EF9" w:rsidRPr="00927D19" w:rsidRDefault="00857EF9" w:rsidP="00B563F2">
      <w:pPr>
        <w:pStyle w:val="ListParagraph"/>
        <w:numPr>
          <w:ilvl w:val="0"/>
          <w:numId w:val="28"/>
        </w:numPr>
        <w:spacing w:after="120"/>
        <w:ind w:left="806"/>
        <w:contextualSpacing w:val="0"/>
        <w:jc w:val="both"/>
        <w:rPr>
          <w:lang w:val="fr-FR"/>
        </w:rPr>
      </w:pPr>
      <w:r w:rsidRPr="00927D19">
        <w:rPr>
          <w:lang w:val="fr-FR"/>
        </w:rPr>
        <w:t>Renseignements détaillés sur un éventuel plan d’action environnementale correcteur, si besoin est.</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lastRenderedPageBreak/>
        <w:t xml:space="preserve">Les projets seront classés en fonction du risque qu'ils présentent pour l'environnement. Tous les projets appartenant à la catégorie A seront exclus. S'agissant des dons relatifs aux projets pouvant entrer dans la catégorie B, et pour lesquels le spécialiste de l’environnement identifie des problèmes environnementaux et sociaux modérés durant l'évaluation, leur classement en catégorie B sera déterminé après étude du dossier et une visite du site si nécessaire, en vue d'examiner : </w:t>
      </w:r>
    </w:p>
    <w:p w:rsidR="00857EF9" w:rsidRPr="00927D19" w:rsidRDefault="00857EF9" w:rsidP="00B563F2">
      <w:pPr>
        <w:pStyle w:val="ListParagraph"/>
        <w:numPr>
          <w:ilvl w:val="0"/>
          <w:numId w:val="29"/>
        </w:numPr>
        <w:spacing w:after="120"/>
        <w:ind w:left="810"/>
        <w:contextualSpacing w:val="0"/>
        <w:jc w:val="both"/>
        <w:rPr>
          <w:lang w:val="fr-FR"/>
        </w:rPr>
      </w:pPr>
      <w:r w:rsidRPr="00927D19">
        <w:rPr>
          <w:lang w:val="fr-FR"/>
        </w:rPr>
        <w:t>le degré d’adéquation des études ou analyses d’impact environnemental et social réalisées (y compris des consultations publiques auxquelles elles ont pu donner lieu, ainsi que de leur divulgation et de tout plan d’action qui a pu en résulter) ;</w:t>
      </w:r>
    </w:p>
    <w:p w:rsidR="00857EF9" w:rsidRPr="00927D19" w:rsidRDefault="00857EF9" w:rsidP="00B563F2">
      <w:pPr>
        <w:pStyle w:val="ListParagraph"/>
        <w:numPr>
          <w:ilvl w:val="0"/>
          <w:numId w:val="29"/>
        </w:numPr>
        <w:spacing w:after="120"/>
        <w:ind w:left="810"/>
        <w:contextualSpacing w:val="0"/>
        <w:jc w:val="both"/>
        <w:rPr>
          <w:lang w:val="fr-FR"/>
        </w:rPr>
      </w:pPr>
      <w:r w:rsidRPr="00927D19">
        <w:rPr>
          <w:lang w:val="fr-FR"/>
        </w:rPr>
        <w:t>le niveau de conformité avec les éventuelles obligations contractuelles d’ordre environnemental et social ;</w:t>
      </w:r>
    </w:p>
    <w:p w:rsidR="00857EF9" w:rsidRPr="00927D19" w:rsidRDefault="00857EF9" w:rsidP="00B563F2">
      <w:pPr>
        <w:pStyle w:val="ListParagraph"/>
        <w:numPr>
          <w:ilvl w:val="0"/>
          <w:numId w:val="29"/>
        </w:numPr>
        <w:spacing w:after="120"/>
        <w:ind w:left="810"/>
        <w:contextualSpacing w:val="0"/>
        <w:jc w:val="both"/>
        <w:rPr>
          <w:lang w:val="fr-FR"/>
        </w:rPr>
      </w:pPr>
      <w:r w:rsidRPr="00927D19">
        <w:rPr>
          <w:lang w:val="fr-FR"/>
        </w:rPr>
        <w:t>l’adéquation des éventuelles mesures d'atténuation et de gestion environnementale et sociale prises afin de remédier aux problèmes identifiés.</w:t>
      </w:r>
    </w:p>
    <w:p w:rsidR="00857EF9" w:rsidRPr="00414E07" w:rsidRDefault="00857EF9" w:rsidP="00857EF9">
      <w:pPr>
        <w:spacing w:after="120"/>
        <w:rPr>
          <w:i/>
        </w:rPr>
      </w:pPr>
      <w:proofErr w:type="spellStart"/>
      <w:r>
        <w:rPr>
          <w:i/>
        </w:rPr>
        <w:t>Capacités</w:t>
      </w:r>
      <w:proofErr w:type="spellEnd"/>
      <w:r>
        <w:rPr>
          <w:i/>
        </w:rPr>
        <w:t xml:space="preserve"> de </w:t>
      </w:r>
      <w:proofErr w:type="spellStart"/>
      <w:r>
        <w:rPr>
          <w:i/>
        </w:rPr>
        <w:t>l’emprunteur</w:t>
      </w:r>
      <w:proofErr w:type="spellEnd"/>
    </w:p>
    <w:p w:rsidR="00857EF9" w:rsidRPr="00927D19" w:rsidRDefault="00857EF9" w:rsidP="00B563F2">
      <w:pPr>
        <w:pStyle w:val="ListParagraph"/>
        <w:numPr>
          <w:ilvl w:val="0"/>
          <w:numId w:val="27"/>
        </w:numPr>
        <w:ind w:left="0"/>
        <w:contextualSpacing w:val="0"/>
        <w:jc w:val="both"/>
        <w:rPr>
          <w:lang w:val="fr-FR"/>
        </w:rPr>
      </w:pPr>
      <w:r w:rsidRPr="00927D19">
        <w:rPr>
          <w:lang w:val="fr-FR"/>
        </w:rPr>
        <w:t>Les capacités de gestion environnementale restent faibles en Haïti. L'UCP dispose déjà d'un spécialiste en environnement et des dispositions sont en cours pour recruter un autre spécialiste pour un autre projet de la Banque. Une évaluation sera effectuée afin de déterminer si cette personne pourra également se charger des aspects relatifs aux politiques de sauvegarde de ce projet. Si ce n’est pas le cas, une personne supplémentaire sera recrutée à temps partiel afin de veiller à ce que toutes les MPME soient évaluées correctement et d'assurer une supervision régulière.</w:t>
      </w:r>
      <w:r w:rsidRPr="00927D19">
        <w:rPr>
          <w:lang w:val="fr-FR"/>
        </w:rPr>
        <w:tab/>
      </w:r>
    </w:p>
    <w:p w:rsidR="00857EF9" w:rsidRPr="00927D19" w:rsidRDefault="00857EF9" w:rsidP="00857EF9">
      <w:pPr>
        <w:pStyle w:val="ListParagraph"/>
        <w:ind w:left="0"/>
        <w:contextualSpacing w:val="0"/>
        <w:jc w:val="both"/>
        <w:rPr>
          <w:lang w:val="fr-FR"/>
        </w:rPr>
      </w:pPr>
    </w:p>
    <w:p w:rsidR="00857EF9" w:rsidRPr="00927D19" w:rsidRDefault="00857EF9" w:rsidP="00857EF9">
      <w:pPr>
        <w:pStyle w:val="ListParagraph"/>
        <w:keepNext/>
        <w:spacing w:after="120"/>
        <w:ind w:left="0"/>
        <w:contextualSpacing w:val="0"/>
        <w:rPr>
          <w:b/>
          <w:lang w:val="fr-FR"/>
        </w:rPr>
      </w:pPr>
      <w:r w:rsidRPr="00927D19">
        <w:rPr>
          <w:b/>
          <w:lang w:val="fr-FR"/>
        </w:rPr>
        <w:t>Mise en œuvre des services de développement des entreprises pour les MPME dans le cadre de la composante 2 du projet</w:t>
      </w:r>
    </w:p>
    <w:p w:rsidR="00857EF9" w:rsidRPr="00414E07" w:rsidRDefault="00857EF9" w:rsidP="00857EF9">
      <w:pPr>
        <w:pStyle w:val="ListParagraph"/>
        <w:ind w:left="0"/>
        <w:jc w:val="both"/>
        <w:rPr>
          <w:i/>
        </w:rPr>
      </w:pPr>
      <w:r>
        <w:rPr>
          <w:i/>
        </w:rPr>
        <w:t>Manuel des subventions de contrepartie</w:t>
      </w:r>
    </w:p>
    <w:p w:rsidR="00857EF9" w:rsidRPr="00414E07" w:rsidRDefault="00857EF9" w:rsidP="00857EF9">
      <w:pPr>
        <w:pStyle w:val="ListParagraph"/>
        <w:ind w:left="0"/>
        <w:contextualSpacing w:val="0"/>
        <w:jc w:val="both"/>
      </w:pP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Au plus tard six (6) mois après la date d’entrée en vigueur, le bénéficiaire devra : </w:t>
      </w:r>
    </w:p>
    <w:p w:rsidR="00857EF9" w:rsidRPr="00927D19" w:rsidRDefault="00857EF9" w:rsidP="00857EF9">
      <w:pPr>
        <w:pStyle w:val="ListParagraph"/>
        <w:spacing w:after="120"/>
        <w:ind w:left="360" w:hanging="360"/>
        <w:contextualSpacing w:val="0"/>
        <w:jc w:val="both"/>
        <w:rPr>
          <w:lang w:val="fr-FR"/>
        </w:rPr>
      </w:pPr>
      <w:r w:rsidRPr="00927D19">
        <w:rPr>
          <w:lang w:val="fr-FR"/>
        </w:rPr>
        <w:t>(i)</w:t>
      </w:r>
      <w:r w:rsidRPr="00927D19">
        <w:rPr>
          <w:lang w:val="fr-FR"/>
        </w:rPr>
        <w:tab/>
        <w:t>préparer, selon des conditions satisfaisantes pour l'IDA, et remettre à cette dernière pour examen et approbation un manuel, conformément aux dispositions de l’accord financier (AF) énonçant, entre autres : (A) les critères d'éligibilité d'un bénéficiaire pour obtenir une subvention de contrepartie ; (B) les règles et les procédures régissant l'examen, l'approbation et le traitement des subventions de contrepartie ; (C) les procédures comptables, de décaissement, de gestion financière, de passation des marchés ainsi que les procédures sociales et environnementales qui doivent être respectées dans l'administration des subventions de contrepartie ; (D) une liste d'exemples d'activités susceptibles d'être financées au titre des subventions de contrepartie, et (E) une liste négative d'activités à ne pas financer au titre des subventions de contrepartie ; et</w:t>
      </w:r>
    </w:p>
    <w:p w:rsidR="00857EF9" w:rsidRPr="00927D19" w:rsidRDefault="00857EF9" w:rsidP="00857EF9">
      <w:pPr>
        <w:pStyle w:val="ListParagraph"/>
        <w:spacing w:after="120"/>
        <w:ind w:left="360" w:hanging="360"/>
        <w:contextualSpacing w:val="0"/>
        <w:jc w:val="both"/>
        <w:rPr>
          <w:lang w:val="fr-FR"/>
        </w:rPr>
      </w:pPr>
      <w:r w:rsidRPr="00927D19">
        <w:rPr>
          <w:lang w:val="fr-FR"/>
        </w:rPr>
        <w:t>(ii)</w:t>
      </w:r>
      <w:r w:rsidRPr="00927D19">
        <w:rPr>
          <w:lang w:val="fr-FR"/>
        </w:rPr>
        <w:tab/>
        <w:t>offrir à l'IDA une possibilité raisonnable d'examiner ledit manuel, et par la suite d'adopter rapidement ledit manuel tel qu’il aura été approuvé par l'IDA (« Manuel relatif aux subventions de contrepartie »).</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Pour la rédaction du manuel relatif aux subventions de contrepartie, le MCI fera appel à des consultants conformément à l’accord financier.</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lastRenderedPageBreak/>
        <w:t>Sans préjudice de ce qui précède, chaque subvention de contrepartie sera examinée par un comité composé d'experts techniques possédant l'expérience et les qualifications requises par l'IDA et selon des conditions satisfaisantes pour l'IDA (« Comité de sélection des subventions »).</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Nonobstant toute disposition contraire de l’accord financier, en cas de conflit entre le manuel relatif aux subventions de contrepartie et l'accord financier, les dispositions de l'accord financier prévaudront.</w:t>
      </w:r>
    </w:p>
    <w:p w:rsidR="00857EF9" w:rsidRPr="00927D19" w:rsidRDefault="00857EF9" w:rsidP="00857EF9">
      <w:pPr>
        <w:pStyle w:val="ListParagraph"/>
        <w:spacing w:after="120"/>
        <w:ind w:left="0"/>
        <w:contextualSpacing w:val="0"/>
        <w:jc w:val="both"/>
        <w:rPr>
          <w:i/>
          <w:lang w:val="fr-FR"/>
        </w:rPr>
      </w:pPr>
      <w:r w:rsidRPr="00927D19">
        <w:rPr>
          <w:i/>
          <w:lang w:val="fr-FR"/>
        </w:rPr>
        <w:t>Critères d'éligibilité pour les subventions de contrepartie</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Aucun bénéficiaire n’est éligible à bénéficier d'une subvention de contrepartie, tant que le GH n'a pas déterminé, sur la base d'une évaluation menée par le Comité de sélection des subventions conformément aux dispositions du manuel relatif aux subventions de contrepartie et de l'accord financier, que le bénéficiaire proposé de ladite subvention de contrepartie et que le sous-projet proposé auquel la subvention de contrepartie doit être attribuée satisfont les critères d'éligibilité suivants, tels qu'ils sont développés dans le manuel relatif aux subventions de contrepartie :</w:t>
      </w:r>
    </w:p>
    <w:p w:rsidR="00857EF9" w:rsidRPr="00927D19" w:rsidRDefault="00857EF9" w:rsidP="00857EF9">
      <w:pPr>
        <w:pStyle w:val="ListParagraph"/>
        <w:spacing w:after="120"/>
        <w:ind w:left="0"/>
        <w:contextualSpacing w:val="0"/>
        <w:jc w:val="both"/>
        <w:rPr>
          <w:lang w:val="fr-FR"/>
        </w:rPr>
      </w:pPr>
      <w:r w:rsidRPr="00927D19">
        <w:rPr>
          <w:lang w:val="fr-FR"/>
        </w:rPr>
        <w:t>(a)</w:t>
      </w:r>
      <w:r w:rsidRPr="00927D19">
        <w:rPr>
          <w:lang w:val="fr-FR"/>
        </w:rPr>
        <w:tab/>
        <w:t>Le bénéficiaire proposé : (i) est une entité privée ou un groupe de micro, petites et moyennes entreprises, d'associations professionnelles ou de producteurs locaux ; (ii) dispose de l'organisation, du personnel et des ressources nécessaires pour mettre en œuvre le sous-projet ; (iii) a bénéficié d'une formation sur la préparation des plans d'amélioration des entreprises ; (iv) a élaboré un plan détaillé d'amélioration des entreprises satisfaisant pour le bénéficiaire et l'Association, décrivant les activités proposées qui seront intégrées dans le sous-projet, et un plan de financement desdites activités à élaborer à partir du manuel relatif aux subventions de contrepartie ; et (v) peut fournir le pourcentage de partage des coûts défini dans le manuel relatif aux subventions de contrepartie par rapport au coût total du sous-projet proposé, à l'exclusion de toutes les ressources autres que la subvention de contrepartie.</w:t>
      </w:r>
    </w:p>
    <w:p w:rsidR="00857EF9" w:rsidRPr="00927D19" w:rsidRDefault="00857EF9" w:rsidP="00857EF9">
      <w:pPr>
        <w:pStyle w:val="ListParagraph"/>
        <w:spacing w:after="120"/>
        <w:ind w:left="0"/>
        <w:contextualSpacing w:val="0"/>
        <w:jc w:val="both"/>
        <w:rPr>
          <w:lang w:val="fr-FR"/>
        </w:rPr>
      </w:pPr>
      <w:r w:rsidRPr="00927D19">
        <w:rPr>
          <w:lang w:val="fr-FR"/>
        </w:rPr>
        <w:t>(</w:t>
      </w:r>
      <w:proofErr w:type="gramStart"/>
      <w:r w:rsidRPr="00927D19">
        <w:rPr>
          <w:lang w:val="fr-FR"/>
        </w:rPr>
        <w:t>b</w:t>
      </w:r>
      <w:proofErr w:type="gramEnd"/>
      <w:r w:rsidRPr="00927D19">
        <w:rPr>
          <w:lang w:val="fr-FR"/>
        </w:rPr>
        <w:t>)</w:t>
      </w:r>
      <w:r w:rsidRPr="00927D19">
        <w:rPr>
          <w:lang w:val="fr-FR"/>
        </w:rPr>
        <w:tab/>
        <w:t>Le sous-projet proposé : (i) est économiquement et financièrement viable, réalisable sur le plan technique et respectueux de l'environnement ; (ii) a été élaboré selon le manuel relatif aux subventions de contrepartie ; (iii) a été élaboré conformément aux documents de sauvegarde et (iv) est conforme aux lois et aux réglementations du bénéficiaire.</w:t>
      </w:r>
    </w:p>
    <w:p w:rsidR="00857EF9" w:rsidRPr="00414E07" w:rsidRDefault="00857EF9" w:rsidP="00857EF9">
      <w:pPr>
        <w:pStyle w:val="ListParagraph"/>
        <w:spacing w:after="120"/>
        <w:ind w:left="0"/>
        <w:contextualSpacing w:val="0"/>
        <w:jc w:val="both"/>
        <w:rPr>
          <w:i/>
        </w:rPr>
      </w:pPr>
      <w:r>
        <w:rPr>
          <w:i/>
        </w:rPr>
        <w:t xml:space="preserve">Subventions de </w:t>
      </w:r>
      <w:proofErr w:type="spellStart"/>
      <w:r>
        <w:rPr>
          <w:i/>
        </w:rPr>
        <w:t>contrepartie</w:t>
      </w:r>
      <w:proofErr w:type="spellEnd"/>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Le gouvernement haïtien accordera chaque subvention de contrepartie à un bénéficiaire dans le cadre d'un accord (l'accord de subvention de contrepartie) à des conditions approuvées par l'IDA, qui comprennent notamment les dispositions ci-après :</w:t>
      </w:r>
    </w:p>
    <w:p w:rsidR="00857EF9" w:rsidRPr="00927D19" w:rsidRDefault="00857EF9" w:rsidP="00857EF9">
      <w:pPr>
        <w:pStyle w:val="ListParagraph"/>
        <w:spacing w:after="120"/>
        <w:ind w:left="0"/>
        <w:contextualSpacing w:val="0"/>
        <w:jc w:val="both"/>
        <w:rPr>
          <w:lang w:val="fr-FR"/>
        </w:rPr>
      </w:pPr>
      <w:r w:rsidRPr="00927D19">
        <w:rPr>
          <w:lang w:val="fr-FR"/>
        </w:rPr>
        <w:t>(</w:t>
      </w:r>
      <w:proofErr w:type="gramStart"/>
      <w:r w:rsidRPr="00927D19">
        <w:rPr>
          <w:lang w:val="fr-FR"/>
        </w:rPr>
        <w:t>a</w:t>
      </w:r>
      <w:proofErr w:type="gramEnd"/>
      <w:r w:rsidRPr="00927D19">
        <w:rPr>
          <w:lang w:val="fr-FR"/>
        </w:rPr>
        <w:t>)</w:t>
      </w:r>
      <w:r w:rsidRPr="00927D19">
        <w:rPr>
          <w:lang w:val="fr-FR"/>
        </w:rPr>
        <w:tab/>
        <w:t>La subvention de contrepartie doit : (i) être constituée sous forme de don et (ii) et ne pas dépasser un montant équivalent à 25 000 USD (vingt-cinq mille dollars).</w:t>
      </w:r>
    </w:p>
    <w:p w:rsidR="00857EF9" w:rsidRPr="00927D19" w:rsidRDefault="00857EF9" w:rsidP="00857EF9">
      <w:pPr>
        <w:pStyle w:val="ListParagraph"/>
        <w:spacing w:after="120"/>
        <w:ind w:left="0"/>
        <w:contextualSpacing w:val="0"/>
        <w:jc w:val="both"/>
        <w:rPr>
          <w:lang w:val="fr-FR"/>
        </w:rPr>
      </w:pPr>
      <w:r w:rsidRPr="00927D19">
        <w:rPr>
          <w:lang w:val="fr-FR"/>
        </w:rPr>
        <w:t>(b)</w:t>
      </w:r>
      <w:r w:rsidRPr="00927D19">
        <w:rPr>
          <w:lang w:val="fr-FR"/>
        </w:rPr>
        <w:tab/>
        <w:t xml:space="preserve">Le GH devra disposer des droits nécessaires pour protéger ses intérêts et ceux de l'IDA, notamment le droit de : </w:t>
      </w:r>
    </w:p>
    <w:p w:rsidR="00857EF9" w:rsidRPr="00927D19" w:rsidRDefault="00857EF9" w:rsidP="00857EF9">
      <w:pPr>
        <w:pStyle w:val="ListParagraph"/>
        <w:spacing w:after="120"/>
        <w:ind w:left="360" w:hanging="360"/>
        <w:contextualSpacing w:val="0"/>
        <w:jc w:val="both"/>
        <w:rPr>
          <w:lang w:val="fr-FR"/>
        </w:rPr>
      </w:pPr>
      <w:r w:rsidRPr="00927D19">
        <w:rPr>
          <w:lang w:val="fr-FR"/>
        </w:rPr>
        <w:t>(i)</w:t>
      </w:r>
      <w:r w:rsidRPr="00927D19">
        <w:rPr>
          <w:lang w:val="fr-FR"/>
        </w:rPr>
        <w:tab/>
        <w:t>suspendre ou révoquer le droit du bénéficiaire d’utiliser les fonds de la subvention de contrepartie, ou obtenir le remboursement de tout ou partie du montant de la subvention de contrepartie, en cas de non-respect par le bénéficiaire de l’une ou l’autre de ses obligations dans le cadre de l'accord de subvention de contrepartie ; et</w:t>
      </w:r>
    </w:p>
    <w:p w:rsidR="00857EF9" w:rsidRPr="00927D19" w:rsidRDefault="00857EF9" w:rsidP="00857EF9">
      <w:pPr>
        <w:pStyle w:val="ListParagraph"/>
        <w:spacing w:after="120"/>
        <w:ind w:left="360" w:hanging="360"/>
        <w:contextualSpacing w:val="0"/>
        <w:jc w:val="both"/>
        <w:rPr>
          <w:lang w:val="fr-FR"/>
        </w:rPr>
      </w:pPr>
      <w:r w:rsidRPr="00927D19">
        <w:rPr>
          <w:lang w:val="fr-FR"/>
        </w:rPr>
        <w:t>(ii)</w:t>
      </w:r>
      <w:r w:rsidRPr="00927D19">
        <w:rPr>
          <w:lang w:val="fr-FR"/>
        </w:rPr>
        <w:tab/>
        <w:t xml:space="preserve">demander à chaque bénéficiaire : (A) d'exécuter son sous-projet avec la diligence et l'efficacité requises, et conformément à des normes et pratiques techniques, économiques, </w:t>
      </w:r>
      <w:r w:rsidRPr="00927D19">
        <w:rPr>
          <w:lang w:val="fr-FR"/>
        </w:rPr>
        <w:lastRenderedPageBreak/>
        <w:t>financières, de gestion, environnementales et sociales saines et jugées satisfaisantes par l'Association, et conformément aux dispositions des directives anti-corruption qui s'appliquent aux bénéficiaires de subventions autres que le bénéficiaire et conformément aux documents de sauvegarde ; (B) de fournir les ressources nécessaires au fur et à mesure des besoins ; (C) de passer les marchés de biens, de travaux, de services de consultants et de formations devant être financés sur les fonds de la subvention de contrepartie conformément aux dispositions du présent accord et du manuel relatif aux subventions de contrepartie ; (D) de maintenir des politiques et procédures lui permettant de suivre et d’évaluer, conformément à des indicateurs jugés acceptables par l’Association, l’avancement du sous-projet et la réalisation de ses objectifs ; (E) de permettre au bénéficiaire et à l’Association d’inspecter le sous-projet, ses opérations ainsi que toutes écritures et tous documents pertinents et (F) de préparer et fournir au bénéficiaire et à l’Association tous renseignements que le bénéficiaire ou l’Association peuvent raisonnablement demander sur ce qui précède.</w:t>
      </w:r>
    </w:p>
    <w:p w:rsidR="00857EF9" w:rsidRPr="00927D19" w:rsidRDefault="00857EF9" w:rsidP="00B563F2">
      <w:pPr>
        <w:pStyle w:val="ListParagraph"/>
        <w:numPr>
          <w:ilvl w:val="0"/>
          <w:numId w:val="20"/>
        </w:numPr>
        <w:spacing w:after="120"/>
        <w:ind w:left="0" w:firstLine="0"/>
        <w:contextualSpacing w:val="0"/>
        <w:jc w:val="both"/>
        <w:rPr>
          <w:lang w:val="fr-FR"/>
        </w:rPr>
      </w:pPr>
      <w:r w:rsidRPr="00927D19">
        <w:rPr>
          <w:lang w:val="fr-FR"/>
        </w:rPr>
        <w:t>Le GH exerce les droits qui lui sont conférés et honore les obligations qui lui incombent en vertu de l’accord de subvention de contrepartie de manière à protéger ses intérêts et ceux de l’IDA et à atteindre les objectifs du financement. À moins que l’IDA n’en convienne autrement, le bénéficiaire ne modifie, ni n’abroge l’accord de subvention de contrepartie ou l’une quelconque de ses dispositions, n’y fait dérogation ni n’aliène les droits et obligations y afférents, ni ne manque à l’obligation d’en assurer l’exécution.</w:t>
      </w:r>
    </w:p>
    <w:p w:rsidR="00857EF9" w:rsidRPr="00927D19" w:rsidRDefault="00857EF9" w:rsidP="00857EF9">
      <w:pPr>
        <w:pStyle w:val="ListParagraph"/>
        <w:keepNext/>
        <w:spacing w:after="120"/>
        <w:ind w:left="0"/>
        <w:contextualSpacing w:val="0"/>
        <w:rPr>
          <w:b/>
          <w:lang w:val="fr-FR"/>
        </w:rPr>
      </w:pPr>
      <w:r w:rsidRPr="00927D19">
        <w:rPr>
          <w:b/>
          <w:lang w:val="fr-FR"/>
        </w:rPr>
        <w:t>C.</w:t>
      </w:r>
      <w:r w:rsidRPr="00927D19">
        <w:rPr>
          <w:b/>
          <w:lang w:val="fr-FR"/>
        </w:rPr>
        <w:tab/>
        <w:t>Modalités d'exécution de la composante 4 du projet (Mécanisme de réponse immédiate)</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Afin de garantir la bonne mise en œuvre de la composante 4 du projet («  Partie relative au mécanisme de réponse immédiate »), le GH prendra les mesures suivantes :</w:t>
      </w:r>
    </w:p>
    <w:p w:rsidR="00857EF9" w:rsidRPr="00927D19" w:rsidRDefault="00857EF9" w:rsidP="00857EF9">
      <w:pPr>
        <w:pStyle w:val="ListParagraph"/>
        <w:spacing w:after="120"/>
        <w:contextualSpacing w:val="0"/>
        <w:jc w:val="both"/>
        <w:rPr>
          <w:lang w:val="fr-FR"/>
        </w:rPr>
      </w:pP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t>(a)</w:t>
      </w:r>
      <w:r w:rsidRPr="00927D19">
        <w:rPr>
          <w:lang w:val="fr-FR"/>
        </w:rPr>
        <w:tab/>
        <w:t>préparer et fournir à l'IDA pour examen et approbation un manuel opérationnel (« Manuel des opérations relatives au mécanisme de réponse immédiate ») qui exposera en détail les modalités de mise en œuvre de la partie relative au mécanisme de réponse immédiate, à savoir : (i) la désignation du mandat de l'entité responsable de la coordination et de la mise en œuvre de la partie relative au mécanisme de réponse immédiate (« Autorité de coordination ») et des ressources qui lui sont allouées ; (ii) les activités spécifiques à inclure dans la partie relative au mécanisme de réponse immédiate, les dépenses éligibles nécessaires (« Dépenses d'urgence ») et toutes les procédures relatives à cette inclusion ; (iii) les dispositions de gestion financière de la partie relative au mécanisme de réponse immédiate ; (iv) les méthodes et les procédures de passation des marchés des dépenses d'urgence à financer au titre de la partie relative au mécanisme de réponse immédiate ; (v) les documents requis pour effectuer des retraits pour les dépenses d'urgence ; (vi) les cadres de la gestion des politiques de sauvegarde environnementale et sociale de la partie relative au mécanisme de réponse immédiate, conforme aux politiques de l'Association en la matière et (vii) toutes les dispositions éventuelles nécessaires pour garantir une coordination et une mise en œuvre adaptées de la partie relative au mécanisme de réponse immédiate ;</w:t>
      </w: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t>(b)</w:t>
      </w:r>
      <w:r w:rsidRPr="00927D19">
        <w:rPr>
          <w:lang w:val="fr-FR"/>
        </w:rPr>
        <w:tab/>
        <w:t>offrir à l'IDA la possibilité raisonnable d'examiner le manuel des opérations relatives au mécanisme de réponse immédiate proposé ;</w:t>
      </w: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t>(c)</w:t>
      </w:r>
      <w:r w:rsidRPr="00927D19">
        <w:rPr>
          <w:lang w:val="fr-FR"/>
        </w:rPr>
        <w:tab/>
        <w:t>adopter rapidement le manuel des opérations relatives au mécanisme de réponse immédiate pour la partie relative au mécanisme de réponse immédiate tel qu’il aura été approuvé par l'IDA ;</w:t>
      </w: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lastRenderedPageBreak/>
        <w:t>(d)</w:t>
      </w:r>
      <w:r w:rsidRPr="00927D19">
        <w:rPr>
          <w:lang w:val="fr-FR"/>
        </w:rPr>
        <w:tab/>
        <w:t>s'assurer que la partie relative au mécanisme de réponse immédiate sera mise en œuvre conformément au manuel des opérations relatives au mécanisme de réponse immédiate ; à condition, cependant, qu'en cas de divergence entre les dispositions du manuel des opérations relatives au mécanisme de réponse immédiate et celles de l'accord financier, les dispositions de l'accord financier prévaudront ; et</w:t>
      </w: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t>(e)</w:t>
      </w:r>
      <w:r w:rsidRPr="00927D19">
        <w:rPr>
          <w:lang w:val="fr-FR"/>
        </w:rPr>
        <w:tab/>
        <w:t>s'engager à ne pas modifier, suspendre, abroger, résilier ni supprimer aucune des dispositions du manuel des opérations relatives au mécanisme de réponse immédiate sans l’approbation préalable de l’IDA.</w:t>
      </w: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t>2.</w:t>
      </w:r>
      <w:r w:rsidRPr="00927D19">
        <w:rPr>
          <w:lang w:val="fr-FR"/>
        </w:rPr>
        <w:tab/>
        <w:t>Le bénéficiaire veillera, durant toute la durée d’exécution de la partie relative au mécanisme de réponse immédiate, au maintien de l'autorité de coordination, et s'assurera qu'elle est dotée du personnel et des ressources jugés satisfaisants par l'IDA.</w:t>
      </w: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t>3.</w:t>
      </w:r>
      <w:r w:rsidRPr="00927D19">
        <w:rPr>
          <w:lang w:val="fr-FR"/>
        </w:rPr>
        <w:tab/>
        <w:t>Le bénéficiaire n'entreprendra aucune activité dans le cadre de la partie relative au mécanisme de réponse immédiate (et aucune activité ne saurait être incluse dans cette partie) sauf dans le cas où les conditions suivantes soient remplies pour les activités énoncées :</w:t>
      </w:r>
    </w:p>
    <w:p w:rsidR="00857EF9" w:rsidRPr="00927D19" w:rsidRDefault="00857EF9" w:rsidP="00857EF9">
      <w:pPr>
        <w:pStyle w:val="ListParagraph"/>
        <w:tabs>
          <w:tab w:val="left" w:pos="0"/>
        </w:tabs>
        <w:spacing w:after="120"/>
        <w:ind w:left="0"/>
        <w:contextualSpacing w:val="0"/>
        <w:jc w:val="both"/>
        <w:rPr>
          <w:lang w:val="fr-FR"/>
        </w:rPr>
      </w:pPr>
      <w:r w:rsidRPr="00927D19">
        <w:rPr>
          <w:lang w:val="fr-FR"/>
        </w:rPr>
        <w:t>(a)</w:t>
      </w:r>
      <w:r w:rsidRPr="00927D19">
        <w:rPr>
          <w:lang w:val="fr-FR"/>
        </w:rPr>
        <w:tab/>
        <w:t>le GH a estimé qu'une urgence éligible était survenue, a déposé à l'Association une demande en vue d'inclure les activités énoncées dans la partie relative au mécanisme de réponse immédiate afin de répondre à l'urgence éligible énoncée, et l'IDA a convenu d'une telle estimation, a accepté la demande énoncée et en a informé le bénéficiaire ; et</w:t>
      </w:r>
    </w:p>
    <w:p w:rsidR="00857EF9" w:rsidRPr="00927D19" w:rsidRDefault="00857EF9" w:rsidP="00857EF9">
      <w:pPr>
        <w:pStyle w:val="ListParagraph"/>
        <w:spacing w:after="120"/>
        <w:ind w:left="0"/>
        <w:contextualSpacing w:val="0"/>
        <w:jc w:val="both"/>
        <w:rPr>
          <w:lang w:val="fr-FR"/>
        </w:rPr>
      </w:pPr>
      <w:r w:rsidRPr="00927D19">
        <w:rPr>
          <w:lang w:val="fr-FR"/>
        </w:rPr>
        <w:t>(b)</w:t>
      </w:r>
      <w:r w:rsidRPr="00927D19">
        <w:rPr>
          <w:lang w:val="fr-FR"/>
        </w:rPr>
        <w:tab/>
        <w:t xml:space="preserve"> le GH a préparé et publié tous les dispositifs de sauvegarde nécessaires aux activités énoncées, conformément au manuel des opérations relatives au mécanisme de réponse immédiate, l'IDA a approuvé lesdits dispositifs, et le bénéficiaire a mis en œuvre toutes les actions devant être prises au titre des dispositifs énoncés.</w:t>
      </w:r>
    </w:p>
    <w:p w:rsidR="00857EF9" w:rsidRPr="00414E07" w:rsidRDefault="00857EF9" w:rsidP="00857EF9">
      <w:pPr>
        <w:pStyle w:val="ListParagraph"/>
        <w:keepNext/>
        <w:spacing w:after="120"/>
        <w:ind w:left="0"/>
        <w:contextualSpacing w:val="0"/>
        <w:rPr>
          <w:b/>
        </w:rPr>
      </w:pPr>
      <w:proofErr w:type="spellStart"/>
      <w:r>
        <w:rPr>
          <w:b/>
        </w:rPr>
        <w:t>Suivi</w:t>
      </w:r>
      <w:proofErr w:type="spellEnd"/>
      <w:r>
        <w:rPr>
          <w:b/>
        </w:rPr>
        <w:t xml:space="preserve"> </w:t>
      </w:r>
      <w:proofErr w:type="gramStart"/>
      <w:r>
        <w:rPr>
          <w:b/>
        </w:rPr>
        <w:t>et</w:t>
      </w:r>
      <w:proofErr w:type="gramEnd"/>
      <w:r>
        <w:rPr>
          <w:b/>
        </w:rPr>
        <w:t xml:space="preserve"> </w:t>
      </w:r>
      <w:proofErr w:type="spellStart"/>
      <w:r>
        <w:rPr>
          <w:b/>
        </w:rPr>
        <w:t>évaluation</w:t>
      </w:r>
      <w:proofErr w:type="spellEnd"/>
      <w:r>
        <w:rPr>
          <w:b/>
        </w:rPr>
        <w:t xml:space="preserve"> </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 xml:space="preserve">Veuillez consulter l'annexe I dans laquelle figure un tableau des indicateurs de suivi, des sources de données et des responsabilités. Le suivi sera placé sous la responsabilité commune des agences d’exécution (MCI, CFI, UCP), des prestataires de services (fournisseurs de services SDE, gestion du registre des garanties mobilières) et de l'équipe du GBM. Les données doivent être au format électronique, constamment mises à jour, et accessibles librement aux parties mentionnées ci-dessus. Les informations de suivi sont essentielles à la réussite du projet – elles permettent au gouvernement haïtien d'adapter ses efforts selon les besoins, en fonction du retour régulier d'informations sur les activités de ce projet. Les informations sont également capitales pour l'élaboration des politiques, dans la mesure où elles indiquent quels types d'activités exercent un impact sur les résultats économiques et les effets des processus qui intéressent le gouvernement haïtien.  </w:t>
      </w:r>
    </w:p>
    <w:p w:rsidR="00857EF9" w:rsidRPr="00927D19" w:rsidRDefault="00857EF9" w:rsidP="00B563F2">
      <w:pPr>
        <w:pStyle w:val="ListParagraph"/>
        <w:numPr>
          <w:ilvl w:val="0"/>
          <w:numId w:val="27"/>
        </w:numPr>
        <w:spacing w:after="120"/>
        <w:ind w:left="0"/>
        <w:contextualSpacing w:val="0"/>
        <w:jc w:val="both"/>
        <w:rPr>
          <w:lang w:val="fr-FR"/>
        </w:rPr>
      </w:pPr>
      <w:r w:rsidRPr="00927D19">
        <w:rPr>
          <w:lang w:val="fr-FR"/>
        </w:rPr>
        <w:t xml:space="preserve"> Au-delà d'un simple suivi, ce projet poursuivra également des évaluations rigoureuses de l'impact exercé par plusieurs de ses activités en l'opposant à un contrefactuel. Identifier le nombre d'emplois créés (ou l'ampleur de la croissance générée) en conséquence directe du projet dans sa globalité s'avère délicat, car la plupart des interventions ont une portée nationale ou régionale. Cependant, l'évaluation d'impact servira à mesurer l'impact de deux volets majeurs du projet : (i) les services de développement des entreprises (en comparant l'impact de différents types de subventions sur le groupe expérimental et le groupe de contrôle) et (ii) la réforme des transactions sécurisées et la création d'un registre de garanties. La nature exacte du modèle d'évaluation d'impact de chacun des éléments énoncés précédemment sera déterminée en </w:t>
      </w:r>
      <w:r w:rsidRPr="00927D19">
        <w:rPr>
          <w:lang w:val="fr-FR"/>
        </w:rPr>
        <w:lastRenderedPageBreak/>
        <w:t>consultation avec l'équipe du projet avant approbation. Le plan préliminaire pour chacun de ces éléments s'établit comme suit :</w:t>
      </w:r>
    </w:p>
    <w:p w:rsidR="00857EF9" w:rsidRPr="00927D19" w:rsidRDefault="00857EF9" w:rsidP="00B563F2">
      <w:pPr>
        <w:pStyle w:val="ListParagraph"/>
        <w:numPr>
          <w:ilvl w:val="0"/>
          <w:numId w:val="30"/>
        </w:numPr>
        <w:spacing w:after="120"/>
        <w:contextualSpacing w:val="0"/>
        <w:jc w:val="both"/>
        <w:rPr>
          <w:lang w:val="fr-FR"/>
        </w:rPr>
      </w:pPr>
      <w:r w:rsidRPr="00927D19">
        <w:rPr>
          <w:color w:val="000000"/>
          <w:lang w:val="fr-FR"/>
        </w:rPr>
        <w:t>Le projet mesurera l'impact des SDE et d'autres types de soutien en évaluant au moins deux groupes d'entreprises sélectionnées aléatoirement parmi les bénéficiaires existants. Durant la première phase de l'intervention, tous les candidats aux SDE bénéficieront d'une assistance identique. Durant la seconde phase, l'aide dont jouiront tous les candidats continuera à être de valeur équivalente, mais sa forme variera pour au moins deux groupes de bénéficiaires. Tous les groupes seront suivis et les données seront recueillies pendant toute la durée de vie du projet.   On estime que la différence au niveau des données dans les groupes pourra être attribuée à la conjugaison des SDE et des divers types de soutien supplémentaires.</w:t>
      </w:r>
    </w:p>
    <w:p w:rsidR="00857EF9" w:rsidRPr="00927D19" w:rsidRDefault="00857EF9" w:rsidP="00B563F2">
      <w:pPr>
        <w:pStyle w:val="ListParagraph"/>
        <w:numPr>
          <w:ilvl w:val="0"/>
          <w:numId w:val="30"/>
        </w:numPr>
        <w:spacing w:after="120"/>
        <w:contextualSpacing w:val="0"/>
        <w:jc w:val="both"/>
        <w:rPr>
          <w:lang w:val="fr-FR"/>
        </w:rPr>
      </w:pPr>
      <w:r w:rsidRPr="00927D19">
        <w:rPr>
          <w:lang w:val="fr-FR"/>
        </w:rPr>
        <w:t>La réforme sur les transactions sécurisées et le registre de garanties devrait faciliter l’accès des PME aux financements. Lorsque les dispositions de la loi révisée sur les transactions sécurisées auront été finalisées, l'équipe concevra une méthode d'évaluation d'impact afin de tester l’impact des réformes sur les prêts aux PME. Les données seront recueillies auprès des partenaires en vue de l'enquête d'évaluation d'impact, notamment sur les institutions financières qui proposent des prêts aux PME.</w:t>
      </w:r>
    </w:p>
    <w:p w:rsidR="00857EF9" w:rsidRPr="00927D19" w:rsidRDefault="00857EF9" w:rsidP="00B563F2">
      <w:pPr>
        <w:pStyle w:val="ListParagraph"/>
        <w:numPr>
          <w:ilvl w:val="0"/>
          <w:numId w:val="30"/>
        </w:numPr>
        <w:spacing w:after="120"/>
        <w:contextualSpacing w:val="0"/>
        <w:jc w:val="both"/>
        <w:rPr>
          <w:lang w:val="fr-FR"/>
        </w:rPr>
        <w:sectPr w:rsidR="00857EF9" w:rsidRPr="00927D19" w:rsidSect="00857EF9">
          <w:pgSz w:w="12240" w:h="15840" w:code="1"/>
          <w:pgMar w:top="1440" w:right="1440" w:bottom="1440" w:left="1440" w:header="720" w:footer="720" w:gutter="0"/>
          <w:cols w:space="720"/>
          <w:docGrid w:linePitch="360"/>
        </w:sectPr>
      </w:pPr>
    </w:p>
    <w:p w:rsidR="00857EF9" w:rsidRPr="00927D19" w:rsidRDefault="00857EF9" w:rsidP="00857EF9">
      <w:pPr>
        <w:rPr>
          <w:lang w:val="fr-FR"/>
        </w:rPr>
      </w:pPr>
    </w:p>
    <w:tbl>
      <w:tblPr>
        <w:tblW w:w="14871"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898"/>
        <w:gridCol w:w="710"/>
        <w:gridCol w:w="148"/>
        <w:gridCol w:w="1033"/>
        <w:gridCol w:w="738"/>
        <w:gridCol w:w="1475"/>
        <w:gridCol w:w="1033"/>
        <w:gridCol w:w="1623"/>
        <w:gridCol w:w="738"/>
        <w:gridCol w:w="1475"/>
      </w:tblGrid>
      <w:tr w:rsidR="00857EF9" w:rsidRPr="00927D19" w:rsidTr="009F130B">
        <w:tc>
          <w:tcPr>
            <w:tcW w:w="14871" w:type="dxa"/>
            <w:gridSpan w:val="10"/>
            <w:tcBorders>
              <w:top w:val="nil"/>
              <w:left w:val="nil"/>
              <w:bottom w:val="nil"/>
              <w:right w:val="nil"/>
            </w:tcBorders>
            <w:shd w:val="clear" w:color="auto" w:fill="FFFFFF"/>
            <w:tcMar>
              <w:top w:w="50" w:type="dxa"/>
              <w:left w:w="50" w:type="dxa"/>
              <w:bottom w:w="50" w:type="dxa"/>
              <w:right w:w="50" w:type="dxa"/>
            </w:tcMar>
            <w:vAlign w:val="center"/>
          </w:tcPr>
          <w:p w:rsidR="00857EF9" w:rsidRPr="00927D19" w:rsidRDefault="00857EF9" w:rsidP="009F130B">
            <w:pPr>
              <w:pStyle w:val="PDSAnnexHeading"/>
              <w:rPr>
                <w:sz w:val="20"/>
                <w:lang w:val="fr-FR"/>
              </w:rPr>
            </w:pPr>
            <w:bookmarkStart w:id="38" w:name="_Toc362270239"/>
            <w:r w:rsidRPr="00927D19">
              <w:rPr>
                <w:lang w:val="fr-FR"/>
              </w:rPr>
              <w:t>Annexe 4 : Cadre d’évaluation des risques opérationnels (ORAF)</w:t>
            </w:r>
            <w:bookmarkEnd w:id="38"/>
          </w:p>
        </w:tc>
      </w:tr>
      <w:tr w:rsidR="00857EF9" w:rsidRPr="00927D19" w:rsidTr="009F130B">
        <w:tc>
          <w:tcPr>
            <w:tcW w:w="14871" w:type="dxa"/>
            <w:gridSpan w:val="10"/>
            <w:tcBorders>
              <w:top w:val="nil"/>
              <w:left w:val="nil"/>
              <w:bottom w:val="nil"/>
              <w:right w:val="nil"/>
            </w:tcBorders>
            <w:shd w:val="clear" w:color="auto" w:fill="FFFFFF"/>
            <w:tcMar>
              <w:top w:w="50" w:type="dxa"/>
              <w:left w:w="50" w:type="dxa"/>
              <w:bottom w:w="50" w:type="dxa"/>
              <w:right w:w="50" w:type="dxa"/>
            </w:tcMar>
            <w:vAlign w:val="center"/>
          </w:tcPr>
          <w:p w:rsidR="00857EF9" w:rsidRPr="00927D19" w:rsidRDefault="00857EF9" w:rsidP="009F130B">
            <w:pPr>
              <w:jc w:val="center"/>
              <w:rPr>
                <w:sz w:val="20"/>
                <w:szCs w:val="20"/>
                <w:lang w:val="fr-FR"/>
              </w:rPr>
            </w:pPr>
            <w:r w:rsidRPr="00927D19">
              <w:rPr>
                <w:b/>
                <w:bCs/>
                <w:sz w:val="20"/>
                <w:szCs w:val="20"/>
                <w:lang w:val="fr-FR"/>
              </w:rPr>
              <w:t>Haïti : Projet de développement des entreprises et des investissements (P123974) ; Phase de négociation</w:t>
            </w:r>
          </w:p>
        </w:tc>
      </w:tr>
      <w:tr w:rsidR="00857EF9" w:rsidRPr="00113620" w:rsidTr="009F130B">
        <w:tc>
          <w:tcPr>
            <w:tcW w:w="14871" w:type="dxa"/>
            <w:gridSpan w:val="10"/>
            <w:tcBorders>
              <w:top w:val="single" w:sz="4" w:space="0" w:color="000000"/>
              <w:left w:val="nil"/>
              <w:bottom w:val="nil"/>
              <w:right w:val="nil"/>
            </w:tcBorders>
            <w:shd w:val="clear" w:color="auto" w:fill="FFFFFF"/>
            <w:tcMar>
              <w:top w:w="50" w:type="dxa"/>
              <w:left w:w="50" w:type="dxa"/>
              <w:bottom w:w="50" w:type="dxa"/>
              <w:right w:w="50" w:type="dxa"/>
            </w:tcMar>
          </w:tcPr>
          <w:p w:rsidR="00857EF9" w:rsidRPr="00927D19" w:rsidRDefault="00857EF9" w:rsidP="009F130B">
            <w:pPr>
              <w:pBdr>
                <w:left w:val="single" w:sz="4" w:space="4" w:color="auto"/>
                <w:right w:val="single" w:sz="4" w:space="4" w:color="auto"/>
              </w:pBdr>
              <w:spacing w:after="120"/>
              <w:jc w:val="both"/>
              <w:rPr>
                <w:sz w:val="20"/>
                <w:szCs w:val="20"/>
                <w:lang w:val="fr-FR"/>
              </w:rPr>
            </w:pPr>
            <w:r w:rsidRPr="00927D19">
              <w:rPr>
                <w:sz w:val="20"/>
                <w:szCs w:val="20"/>
                <w:lang w:val="fr-FR"/>
              </w:rPr>
              <w:t>Le projet vise à aider le bénéficiaire : (a) à améliorer les conditions d'investissement dans le secteur privé et la croissance inclusive ; et (b) à renforcer ses capacités à réagir rapidement et efficacement à une situation d'urgence éligible.</w:t>
            </w:r>
          </w:p>
          <w:p w:rsidR="00857EF9" w:rsidRPr="00927D19" w:rsidRDefault="00857EF9" w:rsidP="009F130B">
            <w:pPr>
              <w:pBdr>
                <w:left w:val="single" w:sz="4" w:space="4" w:color="auto"/>
                <w:right w:val="single" w:sz="4" w:space="4" w:color="auto"/>
              </w:pBdr>
              <w:spacing w:after="120"/>
              <w:jc w:val="both"/>
              <w:rPr>
                <w:iCs/>
                <w:sz w:val="20"/>
                <w:szCs w:val="20"/>
                <w:lang w:val="fr-FR"/>
              </w:rPr>
            </w:pPr>
            <w:r w:rsidRPr="00927D19">
              <w:rPr>
                <w:sz w:val="20"/>
                <w:szCs w:val="20"/>
                <w:lang w:val="fr-FR"/>
              </w:rPr>
              <w:t xml:space="preserve"> Il agira au niveau national en aidant la République d'Haïti à améliorer, en particulier, les cadres réglementaires qui gouvernent les activités des entreprises, les procédures associées ainsi que les capacités des organes d'exécution. Pour encourager l'investissement dans le secteur privé, le GH va réviser la loi sur les ZEI et développer les capacités de son organe d'exécution tout en lançant des travaux préparatoires d'évaluation de la faisabilité d'au moins une ZEI. Les services de développement des entreprises (SDE) apporteront aux MPME une assistance technique et fourniront des subventions de contrepartie à celles qui sont installées dans et autour des ZEI ou qui travaillent dans le secteur du tourisme, dans le cadre d'une stratégie de promotion d'un modèle de croissance économique plus inclusif.</w:t>
            </w:r>
          </w:p>
        </w:tc>
      </w:tr>
      <w:tr w:rsidR="00857EF9" w:rsidRPr="00113620" w:rsidTr="009F130B">
        <w:tc>
          <w:tcPr>
            <w:tcW w:w="14871" w:type="dxa"/>
            <w:gridSpan w:val="10"/>
            <w:tcBorders>
              <w:top w:val="nil"/>
              <w:left w:val="nil"/>
              <w:bottom w:val="nil"/>
              <w:right w:val="nil"/>
            </w:tcBorders>
            <w:shd w:val="clear" w:color="auto" w:fill="5B5B5B"/>
            <w:tcMar>
              <w:top w:w="50" w:type="dxa"/>
              <w:left w:w="50" w:type="dxa"/>
              <w:bottom w:w="50" w:type="dxa"/>
              <w:right w:w="50" w:type="dxa"/>
            </w:tcMar>
            <w:vAlign w:val="center"/>
          </w:tcPr>
          <w:p w:rsidR="00857EF9" w:rsidRPr="00927D19" w:rsidRDefault="00857EF9" w:rsidP="009F130B">
            <w:pPr>
              <w:rPr>
                <w:color w:val="FFFFFF"/>
                <w:sz w:val="20"/>
                <w:szCs w:val="20"/>
                <w:lang w:val="fr-FR"/>
              </w:rPr>
            </w:pPr>
            <w:r w:rsidRPr="00927D19">
              <w:rPr>
                <w:color w:val="FFFFFF"/>
                <w:sz w:val="20"/>
                <w:szCs w:val="20"/>
                <w:lang w:val="fr-FR"/>
              </w:rPr>
              <w:t>1. Risques pour les parties prenantes du projet</w:t>
            </w:r>
          </w:p>
        </w:tc>
      </w:tr>
      <w:tr w:rsidR="00857EF9" w:rsidRPr="00414E07" w:rsidTr="009F130B">
        <w:tc>
          <w:tcPr>
            <w:tcW w:w="589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sz w:val="20"/>
                <w:szCs w:val="20"/>
                <w:lang w:val="fr-FR"/>
              </w:rPr>
            </w:pPr>
            <w:r w:rsidRPr="00927D19">
              <w:rPr>
                <w:b/>
                <w:bCs/>
                <w:sz w:val="20"/>
                <w:szCs w:val="20"/>
                <w:lang w:val="fr-FR"/>
              </w:rPr>
              <w:t>1.1 Risque pour les parties prenantes</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r>
              <w:rPr>
                <w:b/>
                <w:bCs/>
                <w:sz w:val="16"/>
                <w:szCs w:val="16"/>
              </w:rPr>
              <w:t>Important</w:t>
            </w:r>
          </w:p>
        </w:tc>
      </w:tr>
      <w:tr w:rsidR="00857EF9" w:rsidRPr="00414E07" w:rsidTr="009F130B">
        <w:tc>
          <w:tcPr>
            <w:tcW w:w="58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b/>
                <w:sz w:val="16"/>
                <w:szCs w:val="16"/>
                <w:lang w:val="fr-FR"/>
              </w:rPr>
            </w:pPr>
            <w:r w:rsidRPr="00927D19">
              <w:rPr>
                <w:b/>
                <w:sz w:val="16"/>
                <w:szCs w:val="16"/>
                <w:lang w:val="fr-FR"/>
              </w:rPr>
              <w:t>Description :</w:t>
            </w:r>
          </w:p>
          <w:p w:rsidR="00857EF9" w:rsidRPr="00927D19" w:rsidRDefault="00857EF9" w:rsidP="009F130B">
            <w:pPr>
              <w:rPr>
                <w:sz w:val="16"/>
                <w:szCs w:val="16"/>
                <w:lang w:val="fr-FR"/>
              </w:rPr>
            </w:pPr>
          </w:p>
          <w:p w:rsidR="00857EF9" w:rsidRPr="00927D19" w:rsidRDefault="00857EF9" w:rsidP="009F130B">
            <w:pPr>
              <w:jc w:val="both"/>
              <w:rPr>
                <w:sz w:val="16"/>
                <w:szCs w:val="16"/>
                <w:lang w:val="fr-FR"/>
              </w:rPr>
            </w:pPr>
            <w:r w:rsidRPr="00927D19">
              <w:rPr>
                <w:sz w:val="16"/>
                <w:szCs w:val="16"/>
                <w:lang w:val="fr-FR"/>
              </w:rPr>
              <w:t xml:space="preserve">1 Un manque de coordination entre les services publics et le secteur privé pourrait advenir, quoiqu'ils aient déjà convenu d'une stratégie générale pour la croissance du secteur privé (notamment la création de pôles de croissance régionaux) après le tremblement de terre. </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r w:rsidRPr="00927D19">
              <w:rPr>
                <w:sz w:val="16"/>
                <w:szCs w:val="16"/>
                <w:lang w:val="fr-FR"/>
              </w:rPr>
              <w:t>2</w:t>
            </w:r>
            <w:r w:rsidRPr="00927D19">
              <w:rPr>
                <w:lang w:val="fr-FR"/>
              </w:rPr>
              <w:t xml:space="preserve"> </w:t>
            </w:r>
            <w:r w:rsidRPr="00927D19">
              <w:rPr>
                <w:sz w:val="16"/>
                <w:szCs w:val="16"/>
                <w:lang w:val="fr-FR"/>
              </w:rPr>
              <w:t>L'amélioration du climat des affaires risque d'être perçue comme favorisant un nombre relativement restreint de grandes entreprises, et non la société dans son ensemble. Cela pourrait créer des tensions nuisibles à l'amélioration du climat des affaires.</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rPr>
                <w:sz w:val="16"/>
                <w:szCs w:val="16"/>
                <w:lang w:val="fr-FR"/>
              </w:rPr>
            </w:pPr>
            <w:r w:rsidRPr="00927D19">
              <w:rPr>
                <w:sz w:val="16"/>
                <w:szCs w:val="16"/>
                <w:lang w:val="fr-FR"/>
              </w:rPr>
              <w:t>3. Des remaniements inattendus au sein de l'État peuvent retarder des activités et produire des résultats moins satisfaisants que prévu. Cela pourrait concerner en particulier l'adoption et la promulgation des lois et des réglementations régissant l'environnement des affaires ainsi que la création d'un cadre réglementaire approprié pour les ZEI offrant un environnement équitable.</w:t>
            </w:r>
          </w:p>
          <w:p w:rsidR="00857EF9" w:rsidRPr="00927D19" w:rsidRDefault="00857EF9" w:rsidP="009F130B">
            <w:pPr>
              <w:rPr>
                <w:sz w:val="16"/>
                <w:szCs w:val="16"/>
                <w:lang w:val="fr-FR"/>
              </w:rPr>
            </w:pPr>
          </w:p>
          <w:p w:rsidR="00857EF9" w:rsidRPr="00927D19" w:rsidRDefault="00857EF9" w:rsidP="009F130B">
            <w:pPr>
              <w:jc w:val="both"/>
              <w:rPr>
                <w:sz w:val="16"/>
                <w:szCs w:val="16"/>
                <w:lang w:val="fr-FR"/>
              </w:rPr>
            </w:pPr>
            <w:r w:rsidRPr="00927D19">
              <w:rPr>
                <w:sz w:val="16"/>
                <w:szCs w:val="16"/>
                <w:lang w:val="fr-FR"/>
              </w:rPr>
              <w:t xml:space="preserve">4. La plupart des organismes publics avec lesquels collaborent les équipes ne disposent pas du personnel suffisant pour être réactifs à la hauteur des exigences du projet. </w:t>
            </w:r>
          </w:p>
          <w:p w:rsidR="00857EF9" w:rsidRPr="00927D19" w:rsidRDefault="00857EF9" w:rsidP="009F130B">
            <w:pPr>
              <w:tabs>
                <w:tab w:val="left" w:pos="766"/>
              </w:tabs>
              <w:rPr>
                <w:sz w:val="16"/>
                <w:szCs w:val="16"/>
                <w:lang w:val="fr-FR"/>
              </w:rPr>
            </w:pPr>
          </w:p>
        </w:tc>
        <w:tc>
          <w:tcPr>
            <w:tcW w:w="89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113620" w:rsidTr="009F130B">
        <w:tc>
          <w:tcPr>
            <w:tcW w:w="5898" w:type="dxa"/>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414E07" w:rsidRDefault="00857EF9" w:rsidP="009F130B">
            <w:pPr>
              <w:rPr>
                <w:color w:val="314F4F"/>
                <w:sz w:val="16"/>
                <w:szCs w:val="16"/>
              </w:rPr>
            </w:pPr>
          </w:p>
        </w:tc>
        <w:tc>
          <w:tcPr>
            <w:tcW w:w="89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rFonts w:eastAsiaTheme="minorEastAsia"/>
                <w:sz w:val="16"/>
                <w:szCs w:val="16"/>
                <w:lang w:val="fr-FR" w:eastAsia="en-GB"/>
              </w:rPr>
            </w:pPr>
            <w:r w:rsidRPr="00927D19">
              <w:rPr>
                <w:sz w:val="16"/>
                <w:szCs w:val="16"/>
                <w:lang w:val="fr-FR"/>
              </w:rPr>
              <w:t>Le projet consultera périodiquement le Forum économique du secteur privé, la Chambre de commerce, la CPRA et les principaux ministères afin de s'assurer que le projet demeure cohérent vis-à-vis des principales parties prenantes.</w:t>
            </w:r>
          </w:p>
        </w:tc>
      </w:tr>
      <w:tr w:rsidR="00857EF9" w:rsidRPr="00414E07" w:rsidTr="009F130B">
        <w:tc>
          <w:tcPr>
            <w:tcW w:w="5898" w:type="dxa"/>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MCI</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xml:space="preserve"> :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b/>
                <w:bCs/>
                <w:color w:val="314F4F"/>
                <w:sz w:val="16"/>
                <w:szCs w:val="16"/>
                <w:lang w:val="fr-FR"/>
              </w:rPr>
            </w:pPr>
            <w:r w:rsidRPr="00927D19">
              <w:rPr>
                <w:b/>
                <w:bCs/>
                <w:color w:val="314F4F"/>
                <w:sz w:val="16"/>
                <w:szCs w:val="16"/>
                <w:lang w:val="fr-FR"/>
              </w:rPr>
              <w:t>préparation et mise en œuvre</w:t>
            </w:r>
          </w:p>
        </w:tc>
        <w:tc>
          <w:tcPr>
            <w:tcW w:w="1033"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xml:space="preserve"> : </w:t>
            </w:r>
          </w:p>
        </w:tc>
        <w:tc>
          <w:tcPr>
            <w:tcW w:w="1623" w:type="dxa"/>
            <w:tcBorders>
              <w:top w:val="nil"/>
              <w:left w:val="nil"/>
              <w:bottom w:val="nil"/>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xml:space="preserve"> :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r>
      <w:tr w:rsidR="00857EF9" w:rsidRPr="00414E07" w:rsidTr="009F130B">
        <w:tc>
          <w:tcPr>
            <w:tcW w:w="5898" w:type="dxa"/>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414E07" w:rsidRDefault="00857EF9" w:rsidP="009F130B"/>
        </w:tc>
        <w:tc>
          <w:tcPr>
            <w:tcW w:w="8973" w:type="dxa"/>
            <w:gridSpan w:val="9"/>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927D19" w:rsidTr="009F130B">
        <w:tc>
          <w:tcPr>
            <w:tcW w:w="5898" w:type="dxa"/>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414E07" w:rsidRDefault="00857EF9" w:rsidP="009F130B">
            <w:pPr>
              <w:rPr>
                <w:color w:val="314F4F"/>
                <w:sz w:val="16"/>
                <w:szCs w:val="16"/>
              </w:rPr>
            </w:pPr>
          </w:p>
        </w:tc>
        <w:tc>
          <w:tcPr>
            <w:tcW w:w="8973" w:type="dxa"/>
            <w:gridSpan w:val="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sz w:val="16"/>
                <w:szCs w:val="16"/>
                <w:lang w:val="fr-FR"/>
              </w:rPr>
            </w:pPr>
            <w:r w:rsidRPr="00927D19">
              <w:rPr>
                <w:sz w:val="16"/>
                <w:szCs w:val="16"/>
                <w:lang w:val="fr-FR"/>
              </w:rPr>
              <w:t xml:space="preserve">Le projet privilégiera le développement des MPME.  Il soutiendra directement les MPME et se concentrera sur les réformes en leur faveur.  Dans le cadre de sa stratégie de communication, le projet mettra également en place des consultations régulières avec des associations incluant des MPME. </w:t>
            </w:r>
          </w:p>
          <w:p w:rsidR="00857EF9" w:rsidRPr="00927D19" w:rsidRDefault="00857EF9" w:rsidP="009F130B">
            <w:pPr>
              <w:rPr>
                <w:sz w:val="16"/>
                <w:szCs w:val="16"/>
                <w:lang w:val="fr-FR"/>
              </w:rPr>
            </w:pPr>
          </w:p>
          <w:p w:rsidR="00857EF9" w:rsidRPr="00927D19" w:rsidRDefault="00857EF9" w:rsidP="009F130B">
            <w:pPr>
              <w:rPr>
                <w:sz w:val="16"/>
                <w:szCs w:val="16"/>
                <w:lang w:val="fr-FR"/>
              </w:rPr>
            </w:pPr>
            <w:r w:rsidRPr="00927D19">
              <w:rPr>
                <w:sz w:val="16"/>
                <w:szCs w:val="16"/>
                <w:lang w:val="fr-FR"/>
              </w:rPr>
              <w:t>Le projet mobilisera constamment toutes les parties prenantes lors de réunions périodiques. L'accent mis par le projet sur le développement des MPME ainsi qu'une stratégie de bonne communication et de sensibilisation permettra d'atténuer ce risque.</w:t>
            </w:r>
          </w:p>
          <w:p w:rsidR="00857EF9" w:rsidRPr="00927D19" w:rsidRDefault="00857EF9" w:rsidP="009F130B">
            <w:pPr>
              <w:rPr>
                <w:sz w:val="16"/>
                <w:szCs w:val="16"/>
                <w:lang w:val="fr-FR"/>
              </w:rPr>
            </w:pPr>
          </w:p>
          <w:p w:rsidR="00857EF9" w:rsidRPr="00927D19" w:rsidRDefault="00857EF9" w:rsidP="009F130B">
            <w:pPr>
              <w:rPr>
                <w:sz w:val="16"/>
                <w:szCs w:val="16"/>
                <w:lang w:val="fr-FR"/>
              </w:rPr>
            </w:pPr>
            <w:r w:rsidRPr="00927D19">
              <w:rPr>
                <w:sz w:val="16"/>
                <w:szCs w:val="16"/>
                <w:lang w:val="fr-FR"/>
              </w:rPr>
              <w:t xml:space="preserve">Le projet appuiera des initiatives de plaidoyer avec les branches exécutive et législative du gouvernement afin de faire connaître les avantages liés aux réformes réglementaires promues par le projet. Le projet prévoit d'organiser des voyages d'études dans une ou plusieurs ZEI et/ou pays qui ont conduit des réformes fructueuses du climat des affaires. </w:t>
            </w:r>
          </w:p>
          <w:p w:rsidR="00857EF9" w:rsidRPr="00927D19" w:rsidRDefault="00857EF9" w:rsidP="009F130B">
            <w:pPr>
              <w:rPr>
                <w:sz w:val="16"/>
                <w:szCs w:val="16"/>
                <w:lang w:val="fr-FR"/>
              </w:rPr>
            </w:pPr>
          </w:p>
          <w:p w:rsidR="00857EF9" w:rsidRPr="00927D19" w:rsidRDefault="00857EF9" w:rsidP="009F130B">
            <w:pPr>
              <w:rPr>
                <w:sz w:val="16"/>
                <w:szCs w:val="16"/>
                <w:lang w:val="fr-FR"/>
              </w:rPr>
            </w:pPr>
            <w:r w:rsidRPr="00927D19">
              <w:rPr>
                <w:sz w:val="16"/>
                <w:szCs w:val="16"/>
                <w:lang w:val="fr-FR"/>
              </w:rPr>
              <w:t>Une part des fonds du projet ira au budget des organismes publics afin qu'ils puissent honorer leurs accords.</w:t>
            </w:r>
          </w:p>
        </w:tc>
      </w:tr>
      <w:tr w:rsidR="00857EF9" w:rsidRPr="00414E07" w:rsidTr="009F130B">
        <w:tc>
          <w:tcPr>
            <w:tcW w:w="589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MCI</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b/>
                <w:bCs/>
                <w:color w:val="314F4F"/>
                <w:sz w:val="16"/>
                <w:szCs w:val="16"/>
                <w:lang w:val="fr-FR"/>
              </w:rPr>
            </w:pPr>
            <w:r w:rsidRPr="00927D19">
              <w:rPr>
                <w:b/>
                <w:bCs/>
                <w:color w:val="314F4F"/>
                <w:sz w:val="16"/>
                <w:szCs w:val="16"/>
                <w:lang w:val="fr-FR"/>
              </w:rPr>
              <w:t>préparation et mise en œuvre</w:t>
            </w:r>
          </w:p>
        </w:tc>
        <w:tc>
          <w:tcPr>
            <w:tcW w:w="1033"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r>
    </w:tbl>
    <w:p w:rsidR="00857EF9" w:rsidRPr="00414E07" w:rsidRDefault="00857EF9" w:rsidP="00857EF9">
      <w:r w:rsidRPr="00414E07">
        <w:br w:type="page"/>
      </w:r>
    </w:p>
    <w:tbl>
      <w:tblPr>
        <w:tblW w:w="14871"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949"/>
        <w:gridCol w:w="2949"/>
        <w:gridCol w:w="710"/>
        <w:gridCol w:w="87"/>
        <w:gridCol w:w="61"/>
        <w:gridCol w:w="738"/>
        <w:gridCol w:w="295"/>
        <w:gridCol w:w="738"/>
        <w:gridCol w:w="1475"/>
        <w:gridCol w:w="443"/>
        <w:gridCol w:w="590"/>
        <w:gridCol w:w="1623"/>
        <w:gridCol w:w="738"/>
        <w:gridCol w:w="1475"/>
      </w:tblGrid>
      <w:tr w:rsidR="00857EF9" w:rsidRPr="00927D19" w:rsidTr="009F130B">
        <w:tc>
          <w:tcPr>
            <w:tcW w:w="14871" w:type="dxa"/>
            <w:gridSpan w:val="14"/>
            <w:tcBorders>
              <w:top w:val="nil"/>
              <w:left w:val="nil"/>
              <w:bottom w:val="nil"/>
              <w:right w:val="nil"/>
            </w:tcBorders>
            <w:shd w:val="clear" w:color="auto" w:fill="5B5B5B"/>
            <w:tcMar>
              <w:top w:w="50" w:type="dxa"/>
              <w:left w:w="50" w:type="dxa"/>
              <w:bottom w:w="50" w:type="dxa"/>
              <w:right w:w="50" w:type="dxa"/>
            </w:tcMar>
            <w:vAlign w:val="center"/>
          </w:tcPr>
          <w:p w:rsidR="00857EF9" w:rsidRPr="00927D19" w:rsidRDefault="00857EF9" w:rsidP="009F130B">
            <w:pPr>
              <w:rPr>
                <w:color w:val="FFFFFF"/>
                <w:sz w:val="20"/>
                <w:szCs w:val="20"/>
                <w:lang w:val="fr-FR"/>
              </w:rPr>
            </w:pPr>
            <w:r w:rsidRPr="00927D19">
              <w:rPr>
                <w:color w:val="FFFFFF"/>
                <w:sz w:val="20"/>
                <w:szCs w:val="20"/>
                <w:lang w:val="fr-FR"/>
              </w:rPr>
              <w:lastRenderedPageBreak/>
              <w:t>2. Risques pour l'organisme d'exécution (y compris les risques fiduciaires)</w:t>
            </w:r>
          </w:p>
        </w:tc>
      </w:tr>
      <w:tr w:rsidR="00857EF9" w:rsidRPr="00414E07" w:rsidTr="009F130B">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20"/>
                <w:szCs w:val="20"/>
              </w:rPr>
            </w:pPr>
            <w:r>
              <w:rPr>
                <w:b/>
                <w:bCs/>
                <w:sz w:val="20"/>
                <w:szCs w:val="20"/>
              </w:rPr>
              <w:t xml:space="preserve">2.1 </w:t>
            </w:r>
            <w:proofErr w:type="spellStart"/>
            <w:r>
              <w:rPr>
                <w:b/>
                <w:bCs/>
                <w:sz w:val="20"/>
                <w:szCs w:val="20"/>
              </w:rPr>
              <w:t>Capacités</w:t>
            </w:r>
            <w:proofErr w:type="spellEnd"/>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r>
              <w:rPr>
                <w:b/>
                <w:bCs/>
                <w:sz w:val="16"/>
                <w:szCs w:val="16"/>
              </w:rPr>
              <w:t>Important</w:t>
            </w:r>
          </w:p>
        </w:tc>
      </w:tr>
      <w:tr w:rsidR="00857EF9" w:rsidRPr="00414E07" w:rsidTr="009F130B">
        <w:tc>
          <w:tcPr>
            <w:tcW w:w="5898" w:type="dxa"/>
            <w:gridSpan w:val="2"/>
            <w:vMerge w:val="restar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r w:rsidRPr="00927D19">
              <w:rPr>
                <w:sz w:val="16"/>
                <w:szCs w:val="16"/>
                <w:lang w:val="fr-FR"/>
              </w:rPr>
              <w:t>Description :</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r w:rsidRPr="00927D19">
              <w:rPr>
                <w:sz w:val="16"/>
                <w:szCs w:val="16"/>
                <w:lang w:val="fr-FR"/>
              </w:rPr>
              <w:t>En dépit de quelques améliorations grâce au renforcement des capacités, les compétences requises pour la mise en œuvre et la supervision de projets importants et complexes restent rares dans le pays. Cela peut retarder la mise en œuvre du projet. Des ressources physiques comme des ordinateurs et des logiciels pourraient également être nécessaires pour effectuer une mise en œuvre du projet satisfaisante.</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r w:rsidRPr="00927D19">
              <w:rPr>
                <w:sz w:val="16"/>
                <w:szCs w:val="16"/>
                <w:lang w:val="fr-FR"/>
              </w:rPr>
              <w:t>La transition de l'UEP depuis l'UCP du MEF vers le MCI risque de ne pas réussir, si le MCI ne parvient pas à se doter des capacités suffisantes pour gérer les aspects fiduciaires des processus de passation des marchés complexes.</w:t>
            </w:r>
          </w:p>
          <w:p w:rsidR="00857EF9" w:rsidRPr="00927D19" w:rsidRDefault="00857EF9" w:rsidP="009F130B">
            <w:pPr>
              <w:rPr>
                <w:sz w:val="16"/>
                <w:szCs w:val="16"/>
                <w:lang w:val="fr-FR"/>
              </w:rPr>
            </w:pPr>
          </w:p>
          <w:p w:rsidR="00857EF9" w:rsidRPr="00927D19" w:rsidRDefault="00857EF9" w:rsidP="009F130B">
            <w:pPr>
              <w:rPr>
                <w:sz w:val="16"/>
                <w:szCs w:val="16"/>
                <w:lang w:val="fr-FR"/>
              </w:rPr>
            </w:pPr>
          </w:p>
        </w:tc>
        <w:tc>
          <w:tcPr>
            <w:tcW w:w="8973" w:type="dxa"/>
            <w:gridSpan w:val="1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113620" w:rsidTr="009F130B">
        <w:tc>
          <w:tcPr>
            <w:tcW w:w="5898" w:type="dxa"/>
            <w:gridSpan w:val="2"/>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414E07" w:rsidRDefault="00857EF9" w:rsidP="009F130B">
            <w:pPr>
              <w:rPr>
                <w:color w:val="314F4F"/>
                <w:sz w:val="16"/>
                <w:szCs w:val="16"/>
              </w:rPr>
            </w:pPr>
          </w:p>
        </w:tc>
        <w:tc>
          <w:tcPr>
            <w:tcW w:w="8973"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sz w:val="16"/>
                <w:szCs w:val="16"/>
                <w:lang w:val="fr-FR"/>
              </w:rPr>
            </w:pPr>
            <w:r w:rsidRPr="00927D19">
              <w:rPr>
                <w:sz w:val="16"/>
                <w:szCs w:val="16"/>
                <w:lang w:val="fr-FR"/>
              </w:rPr>
              <w:t xml:space="preserve">Les mesures d'atténuation impliquent le recrutement de consultants locaux et internationaux à court terme pour appuyer la création des procédures nécessaires, fournir une assistance technique dans la préparation des études indispensables, et participer au lancement et à la supervision des activités ainsi qu'à la définition minutieuse des processus visant à développer les capacités du MCI et à transférer la responsabilité fiduciaire de l'UCP au MCI. Un accord dans ce sens, jugé satisfaisant par l'IDA, sera signé entre le MEF et le MCI. Le début du projet sera exécuté par l'UCP, au sein du MEF, qui a déjà mis en œuvre des projets de la Banque et dont les aptitudes seront encore renforcées par le biais des activités de développement des capacités et du recrutement de consultants expérimentés en gestion de projet, passation des marchés et mesures de sauvegarde. </w:t>
            </w:r>
          </w:p>
          <w:p w:rsidR="00857EF9" w:rsidRPr="00927D19" w:rsidRDefault="00857EF9" w:rsidP="009F130B">
            <w:pPr>
              <w:rPr>
                <w:sz w:val="16"/>
                <w:szCs w:val="16"/>
                <w:lang w:val="fr-FR"/>
              </w:rPr>
            </w:pPr>
            <w:r w:rsidRPr="00927D19">
              <w:rPr>
                <w:sz w:val="16"/>
                <w:szCs w:val="16"/>
                <w:lang w:val="fr-FR"/>
              </w:rPr>
              <w:t>Le MCI devra fournir des preuves satisfaisantes pour l'IDA de sa capacité à gérer de manière adéquate les responsabilités fiduciaires avant qu'un transfert desdites responsabilités puisse être effectué.</w:t>
            </w:r>
          </w:p>
          <w:p w:rsidR="00857EF9" w:rsidRPr="00927D19" w:rsidRDefault="00857EF9" w:rsidP="009F130B">
            <w:pPr>
              <w:rPr>
                <w:sz w:val="16"/>
                <w:szCs w:val="16"/>
                <w:lang w:val="fr-FR"/>
              </w:rPr>
            </w:pPr>
            <w:r w:rsidRPr="00927D19">
              <w:rPr>
                <w:sz w:val="16"/>
                <w:szCs w:val="16"/>
                <w:lang w:val="fr-FR"/>
              </w:rPr>
              <w:t>En outre, l'IDA disposera d'un responsable des opérations sur le terrain, tandis que le personnel des services de conseil du GBM fournira l'assistance technique nécessaire aux organismes publics dans les domaines du climat des affaires et de la promotion de l'investissement.</w:t>
            </w:r>
          </w:p>
          <w:p w:rsidR="00857EF9" w:rsidRPr="00927D19" w:rsidRDefault="00857EF9" w:rsidP="009F130B">
            <w:pPr>
              <w:rPr>
                <w:sz w:val="16"/>
                <w:szCs w:val="16"/>
                <w:lang w:val="fr-FR"/>
              </w:rPr>
            </w:pPr>
            <w:r w:rsidRPr="00927D19">
              <w:rPr>
                <w:sz w:val="16"/>
                <w:szCs w:val="16"/>
                <w:lang w:val="fr-FR"/>
              </w:rPr>
              <w:t>De plus, le projet se déroulera en deux phases, permettant l'ajustement des cibles et des activités au vu de l'examen à mi-parcours des capacités existantes.</w:t>
            </w:r>
          </w:p>
        </w:tc>
      </w:tr>
      <w:tr w:rsidR="00857EF9" w:rsidRPr="00414E07" w:rsidTr="009F130B">
        <w:tc>
          <w:tcPr>
            <w:tcW w:w="5898" w:type="dxa"/>
            <w:gridSpan w:val="2"/>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UCP / UEP au MCI</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mise</w:t>
            </w:r>
            <w:proofErr w:type="spellEnd"/>
            <w:r>
              <w:rPr>
                <w:b/>
                <w:bCs/>
                <w:color w:val="314F4F"/>
                <w:sz w:val="16"/>
                <w:szCs w:val="16"/>
              </w:rPr>
              <w:t xml:space="preserve"> en </w:t>
            </w:r>
            <w:proofErr w:type="spellStart"/>
            <w:r>
              <w:rPr>
                <w:b/>
                <w:bCs/>
                <w:color w:val="314F4F"/>
                <w:sz w:val="16"/>
                <w:szCs w:val="16"/>
              </w:rPr>
              <w:t>œuvre</w:t>
            </w:r>
            <w:proofErr w:type="spellEnd"/>
          </w:p>
        </w:tc>
        <w:tc>
          <w:tcPr>
            <w:tcW w:w="1033"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single" w:sz="4" w:space="0" w:color="auto"/>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achèvement</w:t>
            </w:r>
            <w:proofErr w:type="spellEnd"/>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xml:space="preserve"> :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r>
      <w:tr w:rsidR="00857EF9" w:rsidRPr="00414E07" w:rsidTr="009F130B">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20"/>
                <w:szCs w:val="20"/>
              </w:rPr>
            </w:pPr>
            <w:r>
              <w:rPr>
                <w:b/>
                <w:bCs/>
                <w:sz w:val="20"/>
                <w:szCs w:val="20"/>
              </w:rPr>
              <w:t xml:space="preserve">2.2 </w:t>
            </w:r>
            <w:proofErr w:type="spellStart"/>
            <w:r>
              <w:rPr>
                <w:b/>
                <w:bCs/>
                <w:sz w:val="20"/>
                <w:szCs w:val="20"/>
              </w:rPr>
              <w:t>Gouvernance</w:t>
            </w:r>
            <w:proofErr w:type="spellEnd"/>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proofErr w:type="spellStart"/>
            <w:r>
              <w:rPr>
                <w:b/>
                <w:bCs/>
                <w:sz w:val="16"/>
                <w:szCs w:val="16"/>
              </w:rPr>
              <w:t>Élevé</w:t>
            </w:r>
            <w:proofErr w:type="spellEnd"/>
          </w:p>
        </w:tc>
      </w:tr>
      <w:tr w:rsidR="00857EF9" w:rsidRPr="00414E07" w:rsidTr="009F130B">
        <w:tc>
          <w:tcPr>
            <w:tcW w:w="5898" w:type="dxa"/>
            <w:gridSpan w:val="2"/>
            <w:vMerge w:val="restar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r w:rsidRPr="00927D19">
              <w:rPr>
                <w:sz w:val="16"/>
                <w:szCs w:val="16"/>
                <w:lang w:val="fr-FR"/>
              </w:rPr>
              <w:t>Description :</w:t>
            </w:r>
          </w:p>
          <w:p w:rsidR="00857EF9" w:rsidRPr="00927D19" w:rsidRDefault="00857EF9" w:rsidP="009F130B">
            <w:pPr>
              <w:rPr>
                <w:sz w:val="16"/>
                <w:szCs w:val="16"/>
                <w:lang w:val="fr-FR"/>
              </w:rPr>
            </w:pPr>
          </w:p>
          <w:p w:rsidR="00857EF9" w:rsidRPr="00927D19" w:rsidRDefault="00857EF9" w:rsidP="009F130B">
            <w:pPr>
              <w:jc w:val="both"/>
              <w:rPr>
                <w:sz w:val="16"/>
                <w:szCs w:val="16"/>
                <w:lang w:val="fr-FR"/>
              </w:rPr>
            </w:pPr>
            <w:r w:rsidRPr="00927D19">
              <w:rPr>
                <w:sz w:val="16"/>
                <w:szCs w:val="16"/>
                <w:lang w:val="fr-FR"/>
              </w:rPr>
              <w:t>Une coordination adéquate entre les représentants des ministères (le MEF et le MCI) et du secteur privé est nécessaire pour s'assurer que tous les secteurs impliqués sont pris en compte.</w:t>
            </w:r>
          </w:p>
          <w:p w:rsidR="00857EF9" w:rsidRPr="00927D19" w:rsidRDefault="00857EF9" w:rsidP="009F130B">
            <w:pPr>
              <w:rPr>
                <w:sz w:val="16"/>
                <w:szCs w:val="16"/>
                <w:lang w:val="fr-FR"/>
              </w:rPr>
            </w:pPr>
          </w:p>
        </w:tc>
        <w:tc>
          <w:tcPr>
            <w:tcW w:w="8973" w:type="dxa"/>
            <w:gridSpan w:val="1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113620" w:rsidTr="009F130B">
        <w:tc>
          <w:tcPr>
            <w:tcW w:w="5898" w:type="dxa"/>
            <w:gridSpan w:val="2"/>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414E07" w:rsidRDefault="00857EF9" w:rsidP="009F130B">
            <w:pPr>
              <w:rPr>
                <w:color w:val="314F4F"/>
                <w:sz w:val="16"/>
                <w:szCs w:val="16"/>
              </w:rPr>
            </w:pPr>
          </w:p>
        </w:tc>
        <w:tc>
          <w:tcPr>
            <w:tcW w:w="8973"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sz w:val="16"/>
                <w:szCs w:val="16"/>
                <w:lang w:val="fr-FR"/>
              </w:rPr>
            </w:pPr>
            <w:r w:rsidRPr="00927D19">
              <w:rPr>
                <w:sz w:val="16"/>
                <w:szCs w:val="16"/>
                <w:lang w:val="fr-FR"/>
              </w:rPr>
              <w:t xml:space="preserve">Le MCI disposera d'un coordinateur de projet qui sera chargé de veiller à impliquer les organismes publics concernés et de coordonner les activités du projet. La coordination devrait être facilitée par le fait que le projet est parfaitement en ligne avec le plan stratégique du secteur privé et de l'État. Le Forum économique du secteur privé, la Chambre de commerce ainsi que les parties prenantes locales de l'activité des SDE seront consultés systématiquement. </w:t>
            </w:r>
          </w:p>
        </w:tc>
      </w:tr>
      <w:tr w:rsidR="00857EF9" w:rsidRPr="00414E07" w:rsidTr="009F130B">
        <w:tc>
          <w:tcPr>
            <w:tcW w:w="5898" w:type="dxa"/>
            <w:gridSpan w:val="2"/>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MCI</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mise</w:t>
            </w:r>
            <w:proofErr w:type="spellEnd"/>
            <w:r>
              <w:rPr>
                <w:b/>
                <w:bCs/>
                <w:color w:val="314F4F"/>
                <w:sz w:val="16"/>
                <w:szCs w:val="16"/>
              </w:rPr>
              <w:t xml:space="preserve"> en </w:t>
            </w:r>
            <w:proofErr w:type="spellStart"/>
            <w:r>
              <w:rPr>
                <w:b/>
                <w:bCs/>
                <w:color w:val="314F4F"/>
                <w:sz w:val="16"/>
                <w:szCs w:val="16"/>
              </w:rPr>
              <w:t>œuvre</w:t>
            </w:r>
            <w:proofErr w:type="spellEnd"/>
          </w:p>
        </w:tc>
        <w:tc>
          <w:tcPr>
            <w:tcW w:w="1033"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nil"/>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achèvement</w:t>
            </w:r>
            <w:proofErr w:type="spellEnd"/>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r>
      <w:tr w:rsidR="00857EF9" w:rsidRPr="00414E07" w:rsidTr="009F130B">
        <w:trPr>
          <w:trHeight w:val="20"/>
        </w:trPr>
        <w:tc>
          <w:tcPr>
            <w:tcW w:w="589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tc>
        <w:tc>
          <w:tcPr>
            <w:tcW w:w="8973"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
        </w:tc>
      </w:tr>
      <w:tr w:rsidR="00857EF9" w:rsidRPr="00414E07" w:rsidTr="009F130B">
        <w:tc>
          <w:tcPr>
            <w:tcW w:w="14871" w:type="dxa"/>
            <w:gridSpan w:val="14"/>
            <w:tcBorders>
              <w:top w:val="single" w:sz="4" w:space="0" w:color="000000"/>
              <w:left w:val="nil"/>
              <w:bottom w:val="nil"/>
              <w:right w:val="nil"/>
            </w:tcBorders>
            <w:shd w:val="clear" w:color="auto" w:fill="5B5B5B"/>
            <w:tcMar>
              <w:top w:w="50" w:type="dxa"/>
              <w:left w:w="50" w:type="dxa"/>
              <w:bottom w:w="50" w:type="dxa"/>
              <w:right w:w="50" w:type="dxa"/>
            </w:tcMar>
            <w:vAlign w:val="center"/>
          </w:tcPr>
          <w:p w:rsidR="00857EF9" w:rsidRPr="00414E07" w:rsidRDefault="00857EF9" w:rsidP="009F130B">
            <w:pPr>
              <w:rPr>
                <w:color w:val="FFFFFF"/>
                <w:sz w:val="20"/>
                <w:szCs w:val="20"/>
              </w:rPr>
            </w:pPr>
            <w:r>
              <w:rPr>
                <w:color w:val="FFFFFF"/>
                <w:sz w:val="20"/>
                <w:szCs w:val="20"/>
              </w:rPr>
              <w:t xml:space="preserve">3. </w:t>
            </w:r>
            <w:proofErr w:type="spellStart"/>
            <w:r>
              <w:rPr>
                <w:color w:val="FFFFFF"/>
                <w:sz w:val="20"/>
                <w:szCs w:val="20"/>
              </w:rPr>
              <w:t>Risques</w:t>
            </w:r>
            <w:proofErr w:type="spellEnd"/>
            <w:r>
              <w:rPr>
                <w:color w:val="FFFFFF"/>
                <w:sz w:val="20"/>
                <w:szCs w:val="20"/>
              </w:rPr>
              <w:t xml:space="preserve"> pour le </w:t>
            </w:r>
            <w:proofErr w:type="spellStart"/>
            <w:r>
              <w:rPr>
                <w:color w:val="FFFFFF"/>
                <w:sz w:val="20"/>
                <w:szCs w:val="20"/>
              </w:rPr>
              <w:t>projet</w:t>
            </w:r>
            <w:proofErr w:type="spellEnd"/>
          </w:p>
        </w:tc>
      </w:tr>
      <w:tr w:rsidR="00857EF9" w:rsidRPr="00414E07" w:rsidTr="009F130B">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20"/>
                <w:szCs w:val="20"/>
              </w:rPr>
            </w:pPr>
            <w:r>
              <w:rPr>
                <w:b/>
                <w:bCs/>
                <w:sz w:val="20"/>
                <w:szCs w:val="20"/>
              </w:rPr>
              <w:t>3.1 Conception</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r>
              <w:rPr>
                <w:b/>
                <w:bCs/>
                <w:sz w:val="16"/>
                <w:szCs w:val="16"/>
              </w:rPr>
              <w:t>Important</w:t>
            </w:r>
          </w:p>
        </w:tc>
      </w:tr>
      <w:tr w:rsidR="00857EF9" w:rsidRPr="00414E07" w:rsidTr="009F130B">
        <w:tc>
          <w:tcPr>
            <w:tcW w:w="5898" w:type="dxa"/>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jc w:val="both"/>
              <w:rPr>
                <w:sz w:val="16"/>
                <w:szCs w:val="16"/>
              </w:rPr>
            </w:pPr>
            <w:r>
              <w:rPr>
                <w:sz w:val="16"/>
                <w:szCs w:val="16"/>
              </w:rPr>
              <w:t>Description :</w:t>
            </w:r>
          </w:p>
        </w:tc>
        <w:tc>
          <w:tcPr>
            <w:tcW w:w="8973" w:type="dxa"/>
            <w:gridSpan w:val="1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927D19" w:rsidTr="009F130B">
        <w:tc>
          <w:tcPr>
            <w:tcW w:w="5898" w:type="dxa"/>
            <w:gridSpan w:val="2"/>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B563F2">
            <w:pPr>
              <w:pStyle w:val="ListParagraph"/>
              <w:numPr>
                <w:ilvl w:val="0"/>
                <w:numId w:val="33"/>
              </w:numPr>
              <w:spacing w:before="100" w:beforeAutospacing="1" w:after="100" w:afterAutospacing="1"/>
              <w:ind w:left="345"/>
              <w:jc w:val="both"/>
              <w:rPr>
                <w:sz w:val="16"/>
                <w:szCs w:val="16"/>
                <w:lang w:val="fr-FR"/>
              </w:rPr>
            </w:pPr>
            <w:r w:rsidRPr="00927D19">
              <w:rPr>
                <w:sz w:val="16"/>
                <w:szCs w:val="16"/>
                <w:lang w:val="fr-FR"/>
              </w:rPr>
              <w:t xml:space="preserve">L'exécution du projet risque d'être entravée par la fragilité du cadre institutionnel. </w:t>
            </w:r>
          </w:p>
          <w:p w:rsidR="00857EF9" w:rsidRPr="00927D19" w:rsidRDefault="00857EF9" w:rsidP="009F130B">
            <w:pPr>
              <w:pStyle w:val="ListParagraph"/>
              <w:ind w:left="345"/>
              <w:jc w:val="both"/>
              <w:rPr>
                <w:sz w:val="16"/>
                <w:szCs w:val="16"/>
                <w:lang w:val="fr-FR"/>
              </w:rPr>
            </w:pPr>
          </w:p>
          <w:p w:rsidR="00857EF9" w:rsidRPr="00927D19" w:rsidRDefault="00857EF9" w:rsidP="00B563F2">
            <w:pPr>
              <w:pStyle w:val="ListParagraph"/>
              <w:numPr>
                <w:ilvl w:val="0"/>
                <w:numId w:val="33"/>
              </w:numPr>
              <w:ind w:left="345"/>
              <w:jc w:val="both"/>
              <w:rPr>
                <w:sz w:val="16"/>
                <w:szCs w:val="16"/>
                <w:lang w:val="fr-FR"/>
              </w:rPr>
            </w:pPr>
            <w:r w:rsidRPr="00927D19">
              <w:rPr>
                <w:sz w:val="16"/>
                <w:szCs w:val="16"/>
                <w:lang w:val="fr-FR"/>
              </w:rPr>
              <w:t>De par sa conception, le projet peut empêcher des couches entières de la population de bénéficier des fruits de la croissance car il soutiendra uniquement la croissance d'un nombre limité de MPME, tandis qu'un grand nombre de celles-ci implantées dans des secteurs clés du projet souffrent d'un niveau insuffisant d'expertise.</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tc>
        <w:tc>
          <w:tcPr>
            <w:tcW w:w="8973"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B563F2">
            <w:pPr>
              <w:pStyle w:val="ListParagraph"/>
              <w:numPr>
                <w:ilvl w:val="0"/>
                <w:numId w:val="34"/>
              </w:numPr>
              <w:rPr>
                <w:sz w:val="16"/>
                <w:szCs w:val="16"/>
                <w:lang w:val="fr-FR"/>
              </w:rPr>
            </w:pPr>
            <w:r w:rsidRPr="00927D19">
              <w:rPr>
                <w:sz w:val="16"/>
                <w:szCs w:val="16"/>
                <w:lang w:val="fr-FR"/>
              </w:rPr>
              <w:t>Le projet est conçu pour se dérouler en plusieurs étapes. La conception du projet sera ajustée après un examen à mi-parcours. L'UEP actuel, l'UCP du MEF, a bonne réputation et présente des résultats positifs en matière d'exécution des projets du secteur privé. Les capacités fiduciaires seront développées au MCI avec l'appui de l'UCP et sous la supervision étroite de spécialistes de l'IDA dans le domaine fiduciaire. La conception du projet prévoit un appui vigoureux à la mise en œuvre de la part de l'IDA, sous la forme de fréquentes missions d'appui à la mise en œuvre et avec la présence d'un responsable des opérations du projet sur le terrain. L'assistance technique du GBM fournie en parallèle permettra de renforcer les capacités institutionnelles relatives aux aspects techniques.</w:t>
            </w:r>
          </w:p>
          <w:p w:rsidR="00857EF9" w:rsidRPr="00927D19" w:rsidRDefault="00857EF9" w:rsidP="00B563F2">
            <w:pPr>
              <w:pStyle w:val="ListParagraph"/>
              <w:numPr>
                <w:ilvl w:val="0"/>
                <w:numId w:val="34"/>
              </w:numPr>
              <w:rPr>
                <w:sz w:val="16"/>
                <w:szCs w:val="16"/>
                <w:lang w:val="fr-FR"/>
              </w:rPr>
            </w:pPr>
            <w:r w:rsidRPr="00927D19">
              <w:rPr>
                <w:color w:val="000000"/>
                <w:sz w:val="16"/>
                <w:szCs w:val="16"/>
                <w:lang w:val="fr-FR"/>
              </w:rPr>
              <w:t xml:space="preserve">La priorité sera donnée, en partie du moins, à des interventions du projet liées à des secteurs ou des investissements spécifiques impliquant un fort pourcentage de MPME. Des activités diverses seront menées afin de renforcer les MPME et d'établir des </w:t>
            </w:r>
            <w:r w:rsidRPr="00927D19">
              <w:rPr>
                <w:color w:val="000000"/>
                <w:sz w:val="16"/>
                <w:szCs w:val="16"/>
                <w:lang w:val="fr-FR"/>
              </w:rPr>
              <w:lastRenderedPageBreak/>
              <w:t>relations avec des chaînes de valeur prometteuses</w:t>
            </w:r>
            <w:r w:rsidRPr="00927D19">
              <w:rPr>
                <w:sz w:val="16"/>
                <w:szCs w:val="16"/>
                <w:lang w:val="fr-FR"/>
              </w:rPr>
              <w:t>. Une stratégie de communication sera élaborée afin que les MPME soient parfaitement informées des services et des exigences du projet. Les leçons tirées par le projet seront communiquées aux autres donateurs mettant en œuvre des projets et des programmes dans le pays.</w:t>
            </w:r>
          </w:p>
        </w:tc>
      </w:tr>
      <w:tr w:rsidR="00857EF9" w:rsidRPr="00414E07" w:rsidTr="009F130B">
        <w:tc>
          <w:tcPr>
            <w:tcW w:w="5898" w:type="dxa"/>
            <w:gridSpan w:val="2"/>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UCP / MCI / IDA</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b/>
                <w:bCs/>
                <w:color w:val="314F4F"/>
                <w:sz w:val="16"/>
                <w:szCs w:val="16"/>
                <w:lang w:val="fr-FR"/>
              </w:rPr>
            </w:pPr>
            <w:r w:rsidRPr="00927D19">
              <w:rPr>
                <w:b/>
                <w:bCs/>
                <w:color w:val="314F4F"/>
                <w:sz w:val="16"/>
                <w:szCs w:val="16"/>
                <w:lang w:val="fr-FR"/>
              </w:rPr>
              <w:t>préparation, examen à mi-parcours</w:t>
            </w:r>
          </w:p>
        </w:tc>
        <w:tc>
          <w:tcPr>
            <w:tcW w:w="1033"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nil"/>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examen</w:t>
            </w:r>
            <w:proofErr w:type="spellEnd"/>
            <w:r>
              <w:rPr>
                <w:b/>
                <w:bCs/>
                <w:color w:val="314F4F"/>
                <w:sz w:val="16"/>
                <w:szCs w:val="16"/>
              </w:rPr>
              <w:t xml:space="preserve"> à mi-</w:t>
            </w:r>
            <w:proofErr w:type="spellStart"/>
            <w:r>
              <w:rPr>
                <w:b/>
                <w:bCs/>
                <w:color w:val="314F4F"/>
                <w:sz w:val="16"/>
                <w:szCs w:val="16"/>
              </w:rPr>
              <w:t>parcours</w:t>
            </w:r>
            <w:proofErr w:type="spellEnd"/>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r>
      <w:tr w:rsidR="00857EF9" w:rsidRPr="00414E07" w:rsidTr="009F130B">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20"/>
                <w:szCs w:val="20"/>
              </w:rPr>
            </w:pPr>
            <w:r>
              <w:rPr>
                <w:b/>
                <w:bCs/>
                <w:sz w:val="20"/>
                <w:szCs w:val="20"/>
              </w:rPr>
              <w:t xml:space="preserve">3.2 Social et </w:t>
            </w:r>
            <w:proofErr w:type="spellStart"/>
            <w:r>
              <w:rPr>
                <w:b/>
                <w:bCs/>
                <w:sz w:val="20"/>
                <w:szCs w:val="20"/>
              </w:rPr>
              <w:t>environnemental</w:t>
            </w:r>
            <w:proofErr w:type="spellEnd"/>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proofErr w:type="spellStart"/>
            <w:r>
              <w:rPr>
                <w:b/>
                <w:bCs/>
                <w:sz w:val="16"/>
                <w:szCs w:val="16"/>
              </w:rPr>
              <w:t>Élevé</w:t>
            </w:r>
            <w:proofErr w:type="spellEnd"/>
          </w:p>
        </w:tc>
      </w:tr>
      <w:tr w:rsidR="00857EF9" w:rsidRPr="00414E07" w:rsidTr="009F130B">
        <w:tc>
          <w:tcPr>
            <w:tcW w:w="5898" w:type="dxa"/>
            <w:gridSpan w:val="2"/>
            <w:vMerge w:val="restar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927D19" w:rsidRDefault="00857EF9" w:rsidP="009F130B">
            <w:pPr>
              <w:jc w:val="both"/>
              <w:rPr>
                <w:sz w:val="16"/>
                <w:szCs w:val="16"/>
                <w:lang w:val="fr-FR"/>
              </w:rPr>
            </w:pPr>
            <w:r w:rsidRPr="00927D19">
              <w:rPr>
                <w:sz w:val="16"/>
                <w:szCs w:val="16"/>
                <w:lang w:val="fr-FR"/>
              </w:rPr>
              <w:t>Description :</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r w:rsidRPr="00927D19">
              <w:rPr>
                <w:sz w:val="16"/>
                <w:szCs w:val="16"/>
                <w:lang w:val="fr-FR"/>
              </w:rPr>
              <w:t>1 L'environnement pourrait être menacé par les MPME et l'essor (futur) des plans de développement des infrastructures des ZEI, etc.</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r w:rsidRPr="00927D19">
              <w:rPr>
                <w:sz w:val="16"/>
                <w:szCs w:val="16"/>
                <w:lang w:val="fr-FR"/>
              </w:rPr>
              <w:t xml:space="preserve">2 Risques de troubles sociaux liés à des craintes ou de comportements opportunistes en cas de réinstallation dans et autour des zones qui seront évaluées en vue de l'implantation d'une ZEI.  </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tc>
        <w:tc>
          <w:tcPr>
            <w:tcW w:w="8973" w:type="dxa"/>
            <w:gridSpan w:val="1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113620" w:rsidTr="009F130B">
        <w:tc>
          <w:tcPr>
            <w:tcW w:w="5898" w:type="dxa"/>
            <w:gridSpan w:val="2"/>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414E07" w:rsidRDefault="00857EF9" w:rsidP="009F130B">
            <w:pPr>
              <w:jc w:val="both"/>
              <w:rPr>
                <w:color w:val="314F4F"/>
                <w:sz w:val="16"/>
                <w:szCs w:val="16"/>
              </w:rPr>
            </w:pPr>
          </w:p>
        </w:tc>
        <w:tc>
          <w:tcPr>
            <w:tcW w:w="8973"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B563F2">
            <w:pPr>
              <w:pStyle w:val="ListParagraph"/>
              <w:numPr>
                <w:ilvl w:val="0"/>
                <w:numId w:val="36"/>
              </w:numPr>
              <w:ind w:left="387"/>
              <w:rPr>
                <w:color w:val="000000"/>
                <w:sz w:val="16"/>
                <w:szCs w:val="16"/>
                <w:lang w:val="fr-FR"/>
              </w:rPr>
            </w:pPr>
            <w:r w:rsidRPr="00927D19">
              <w:rPr>
                <w:color w:val="000000"/>
                <w:sz w:val="16"/>
                <w:szCs w:val="16"/>
                <w:lang w:val="fr-FR"/>
              </w:rPr>
              <w:t>Un cadre de gestion environnementale et sociale (CGES) a été élaboré précisant les critères qui permettront de déterminer les activités des MPME soutenues par le projet susceptibles de provoquer des conséquences négatives sur les plans environnemental et social. Une évaluation détaillée des conséquences environnementales et sociales des activités commerciales et industrielles légères fera partie du mandat des études de faisabilité des ZEI. Le CGES contient également des lignes directrices en matière de développement des capacités et de formation des organismes participant à la gestion du  programme SDE des MPME.</w:t>
            </w:r>
          </w:p>
          <w:p w:rsidR="00857EF9" w:rsidRPr="00927D19" w:rsidRDefault="00857EF9" w:rsidP="00B563F2">
            <w:pPr>
              <w:pStyle w:val="ListParagraph"/>
              <w:numPr>
                <w:ilvl w:val="0"/>
                <w:numId w:val="36"/>
              </w:numPr>
              <w:ind w:left="387"/>
              <w:rPr>
                <w:color w:val="000000"/>
                <w:sz w:val="16"/>
                <w:szCs w:val="16"/>
                <w:lang w:val="fr-FR"/>
              </w:rPr>
            </w:pPr>
            <w:r w:rsidRPr="00927D19">
              <w:rPr>
                <w:color w:val="000000"/>
                <w:sz w:val="16"/>
                <w:szCs w:val="16"/>
                <w:lang w:val="fr-FR"/>
              </w:rPr>
              <w:t>Le projet veillera à maximiser la consultation, la participation et la communication avec les populations concernées afin de mobiliser un large soutien des communautés à l'égard de l’approche proposée. Le mandat des études de faisabilité veillera à ce que la réduction du risque de réinstallation potentielle soit considérée comme un facteur important dans la sélection finale du site. Les évaluations multiples garantissent en soi que des solutions techniques alternatives sont examinées dès le départ. Aucun travail ne sera entrepris dans les sites sélectionnés dans le cadre de ce projet.</w:t>
            </w:r>
          </w:p>
        </w:tc>
      </w:tr>
      <w:tr w:rsidR="00857EF9" w:rsidRPr="00414E07" w:rsidTr="009F130B">
        <w:tc>
          <w:tcPr>
            <w:tcW w:w="5898" w:type="dxa"/>
            <w:gridSpan w:val="2"/>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57EF9" w:rsidRPr="00927D19" w:rsidRDefault="00857EF9" w:rsidP="009F130B">
            <w:pPr>
              <w:jc w:val="both"/>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UCP / MCI / IDA</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préparation</w:t>
            </w:r>
            <w:proofErr w:type="spellEnd"/>
            <w:r>
              <w:rPr>
                <w:b/>
                <w:bCs/>
                <w:color w:val="314F4F"/>
                <w:sz w:val="16"/>
                <w:szCs w:val="16"/>
              </w:rPr>
              <w:t xml:space="preserve">/ </w:t>
            </w:r>
            <w:proofErr w:type="spellStart"/>
            <w:r>
              <w:rPr>
                <w:b/>
                <w:bCs/>
                <w:color w:val="314F4F"/>
                <w:sz w:val="16"/>
                <w:szCs w:val="16"/>
              </w:rPr>
              <w:t>mise</w:t>
            </w:r>
            <w:proofErr w:type="spellEnd"/>
            <w:r>
              <w:rPr>
                <w:b/>
                <w:bCs/>
                <w:color w:val="314F4F"/>
                <w:sz w:val="16"/>
                <w:szCs w:val="16"/>
              </w:rPr>
              <w:t xml:space="preserve"> en </w:t>
            </w:r>
            <w:proofErr w:type="spellStart"/>
            <w:r>
              <w:rPr>
                <w:b/>
                <w:bCs/>
                <w:color w:val="314F4F"/>
                <w:sz w:val="16"/>
                <w:szCs w:val="16"/>
              </w:rPr>
              <w:t>œuvre</w:t>
            </w:r>
            <w:proofErr w:type="spellEnd"/>
          </w:p>
        </w:tc>
        <w:tc>
          <w:tcPr>
            <w:tcW w:w="1033"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nil"/>
              <w:right w:val="nil"/>
            </w:tcBorders>
            <w:shd w:val="clear" w:color="auto" w:fill="FFFFFF"/>
            <w:tcMar>
              <w:top w:w="50" w:type="dxa"/>
              <w:left w:w="50" w:type="dxa"/>
              <w:bottom w:w="50" w:type="dxa"/>
              <w:right w:w="50" w:type="dxa"/>
            </w:tcMar>
          </w:tcPr>
          <w:p w:rsidR="00857EF9" w:rsidRPr="00927D19" w:rsidRDefault="00857EF9" w:rsidP="009F130B">
            <w:pPr>
              <w:rPr>
                <w:b/>
                <w:bCs/>
                <w:color w:val="314F4F"/>
                <w:sz w:val="16"/>
                <w:szCs w:val="16"/>
                <w:lang w:val="fr-FR"/>
              </w:rPr>
            </w:pPr>
            <w:r w:rsidRPr="00927D19">
              <w:rPr>
                <w:b/>
                <w:bCs/>
                <w:color w:val="314F4F"/>
                <w:sz w:val="16"/>
                <w:szCs w:val="16"/>
                <w:lang w:val="fr-FR"/>
              </w:rPr>
              <w:t>entrée en vigueur, mise en œuvre</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r>
      <w:tr w:rsidR="00857EF9" w:rsidRPr="00414E07" w:rsidTr="009F130B">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jc w:val="both"/>
              <w:rPr>
                <w:sz w:val="20"/>
                <w:szCs w:val="20"/>
                <w:lang w:val="fr-FR"/>
              </w:rPr>
            </w:pPr>
            <w:r w:rsidRPr="00927D19">
              <w:rPr>
                <w:b/>
                <w:bCs/>
                <w:sz w:val="20"/>
                <w:szCs w:val="20"/>
                <w:lang w:val="fr-FR"/>
              </w:rPr>
              <w:t>3.3 Programme et bailleurs de fonds</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proofErr w:type="spellStart"/>
            <w:r>
              <w:rPr>
                <w:b/>
                <w:bCs/>
                <w:sz w:val="16"/>
                <w:szCs w:val="16"/>
              </w:rPr>
              <w:t>Modéré</w:t>
            </w:r>
            <w:proofErr w:type="spellEnd"/>
          </w:p>
        </w:tc>
      </w:tr>
      <w:tr w:rsidR="00857EF9" w:rsidRPr="00414E07" w:rsidTr="009F130B">
        <w:tc>
          <w:tcPr>
            <w:tcW w:w="5898" w:type="dxa"/>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jc w:val="both"/>
              <w:rPr>
                <w:b/>
                <w:sz w:val="16"/>
                <w:szCs w:val="16"/>
              </w:rPr>
            </w:pPr>
            <w:r>
              <w:rPr>
                <w:b/>
                <w:sz w:val="16"/>
                <w:szCs w:val="16"/>
              </w:rPr>
              <w:t>Description :</w:t>
            </w:r>
          </w:p>
        </w:tc>
        <w:tc>
          <w:tcPr>
            <w:tcW w:w="8973" w:type="dxa"/>
            <w:gridSpan w:val="1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113620" w:rsidTr="009F130B">
        <w:tc>
          <w:tcPr>
            <w:tcW w:w="5898" w:type="dxa"/>
            <w:gridSpan w:val="2"/>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jc w:val="both"/>
              <w:rPr>
                <w:sz w:val="16"/>
                <w:szCs w:val="16"/>
                <w:lang w:val="fr-FR"/>
              </w:rPr>
            </w:pPr>
            <w:r w:rsidRPr="00927D19">
              <w:rPr>
                <w:sz w:val="16"/>
                <w:szCs w:val="16"/>
                <w:lang w:val="fr-FR"/>
              </w:rPr>
              <w:t>1 Ce projet renforcera, conjointement avec la BID, les capacités du CDEE. Bien que la réussite des activités de ce projet ne dépende pas des résultats du projet de la BID, les procédures doivent être alignées, s'il y a lieu, afin de réduire les coûts des transactions du CDEE.</w:t>
            </w:r>
          </w:p>
          <w:p w:rsidR="00857EF9" w:rsidRPr="00927D19" w:rsidRDefault="00857EF9" w:rsidP="009F130B">
            <w:pPr>
              <w:jc w:val="both"/>
              <w:rPr>
                <w:sz w:val="16"/>
                <w:szCs w:val="16"/>
                <w:lang w:val="fr-FR"/>
              </w:rPr>
            </w:pPr>
            <w:r w:rsidRPr="00927D19">
              <w:rPr>
                <w:sz w:val="16"/>
                <w:szCs w:val="16"/>
                <w:lang w:val="fr-FR"/>
              </w:rPr>
              <w:tab/>
            </w:r>
          </w:p>
          <w:p w:rsidR="00857EF9" w:rsidRPr="00927D19" w:rsidRDefault="00857EF9" w:rsidP="009F130B">
            <w:pPr>
              <w:jc w:val="both"/>
              <w:rPr>
                <w:sz w:val="16"/>
                <w:szCs w:val="16"/>
                <w:lang w:val="fr-FR"/>
              </w:rPr>
            </w:pPr>
          </w:p>
        </w:tc>
        <w:tc>
          <w:tcPr>
            <w:tcW w:w="8973"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b/>
                <w:bCs/>
                <w:color w:val="314F4F"/>
                <w:sz w:val="16"/>
                <w:szCs w:val="16"/>
                <w:lang w:val="fr-FR"/>
              </w:rPr>
            </w:pPr>
            <w:r w:rsidRPr="00927D19">
              <w:rPr>
                <w:sz w:val="16"/>
                <w:szCs w:val="16"/>
                <w:lang w:val="fr-FR"/>
              </w:rPr>
              <w:t>L'étroite coordination actuelle avec d'autres bailleurs de fonds, en particulier la BID durant la préparation du projet, sera poursuivie pendant la mise en œuvre. L'appui au CDEE dans les domaines des SDE pour les MPME a été débattu dès le début de la mise en œuvre du projet. Cependant, la réussite du projet ne repose pas nécessairement sur les financements d'autres bailleurs de fonds. Le MCI a coordonné le travail des bailleurs de fonds de manière à garantir une utilisation optimale du financement</w:t>
            </w:r>
            <w:r w:rsidRPr="00927D19">
              <w:rPr>
                <w:b/>
                <w:bCs/>
                <w:color w:val="314F4F"/>
                <w:sz w:val="16"/>
                <w:szCs w:val="16"/>
                <w:lang w:val="fr-FR"/>
              </w:rPr>
              <w:t>.</w:t>
            </w:r>
          </w:p>
        </w:tc>
      </w:tr>
      <w:tr w:rsidR="00857EF9" w:rsidRPr="00414E07" w:rsidTr="009F130B">
        <w:tc>
          <w:tcPr>
            <w:tcW w:w="5898" w:type="dxa"/>
            <w:gridSpan w:val="2"/>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jc w:val="both"/>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Donateurs</w:t>
            </w:r>
            <w:proofErr w:type="spellEnd"/>
            <w:r>
              <w:rPr>
                <w:b/>
                <w:bCs/>
                <w:color w:val="314F4F"/>
                <w:sz w:val="16"/>
                <w:szCs w:val="16"/>
              </w:rPr>
              <w:t>, UCP, MCI</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b/>
                <w:bCs/>
                <w:color w:val="314F4F"/>
                <w:sz w:val="16"/>
                <w:szCs w:val="16"/>
                <w:lang w:val="fr-FR"/>
              </w:rPr>
            </w:pPr>
            <w:r w:rsidRPr="00927D19">
              <w:rPr>
                <w:b/>
                <w:bCs/>
                <w:color w:val="314F4F"/>
                <w:sz w:val="16"/>
                <w:szCs w:val="16"/>
                <w:lang w:val="fr-FR"/>
              </w:rPr>
              <w:t>préparation et mise en œuvre</w:t>
            </w:r>
          </w:p>
        </w:tc>
        <w:tc>
          <w:tcPr>
            <w:tcW w:w="1033"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nil"/>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achèvement</w:t>
            </w:r>
            <w:proofErr w:type="spellEnd"/>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en </w:t>
            </w:r>
            <w:proofErr w:type="spellStart"/>
            <w:r>
              <w:rPr>
                <w:b/>
                <w:bCs/>
                <w:color w:val="314F4F"/>
                <w:sz w:val="16"/>
                <w:szCs w:val="16"/>
              </w:rPr>
              <w:t>cours</w:t>
            </w:r>
            <w:proofErr w:type="spellEnd"/>
          </w:p>
        </w:tc>
      </w:tr>
      <w:tr w:rsidR="00857EF9" w:rsidRPr="00414E07" w:rsidTr="009F130B">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jc w:val="both"/>
              <w:rPr>
                <w:sz w:val="20"/>
                <w:szCs w:val="20"/>
              </w:rPr>
            </w:pPr>
            <w:r>
              <w:rPr>
                <w:b/>
                <w:bCs/>
                <w:sz w:val="20"/>
                <w:szCs w:val="20"/>
              </w:rPr>
              <w:t xml:space="preserve">3.4 </w:t>
            </w:r>
            <w:proofErr w:type="spellStart"/>
            <w:r>
              <w:rPr>
                <w:b/>
                <w:bCs/>
                <w:sz w:val="20"/>
                <w:szCs w:val="20"/>
              </w:rPr>
              <w:t>Suivi</w:t>
            </w:r>
            <w:proofErr w:type="spellEnd"/>
            <w:r>
              <w:rPr>
                <w:b/>
                <w:bCs/>
                <w:sz w:val="20"/>
                <w:szCs w:val="20"/>
              </w:rPr>
              <w:t xml:space="preserve"> et </w:t>
            </w:r>
            <w:proofErr w:type="spellStart"/>
            <w:r>
              <w:rPr>
                <w:b/>
                <w:bCs/>
                <w:sz w:val="20"/>
                <w:szCs w:val="20"/>
              </w:rPr>
              <w:t>viabilité</w:t>
            </w:r>
            <w:proofErr w:type="spellEnd"/>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proofErr w:type="spellStart"/>
            <w:r>
              <w:rPr>
                <w:b/>
                <w:bCs/>
                <w:sz w:val="16"/>
                <w:szCs w:val="16"/>
              </w:rPr>
              <w:t>Élevé</w:t>
            </w:r>
            <w:proofErr w:type="spellEnd"/>
          </w:p>
        </w:tc>
      </w:tr>
      <w:tr w:rsidR="00857EF9" w:rsidRPr="00414E07" w:rsidTr="009F130B">
        <w:tc>
          <w:tcPr>
            <w:tcW w:w="5898" w:type="dxa"/>
            <w:gridSpan w:val="2"/>
            <w:vMerge w:val="restart"/>
            <w:tcBorders>
              <w:top w:val="single" w:sz="4" w:space="0" w:color="000000"/>
              <w:left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jc w:val="both"/>
              <w:rPr>
                <w:b/>
                <w:sz w:val="16"/>
                <w:szCs w:val="16"/>
              </w:rPr>
            </w:pPr>
            <w:r>
              <w:rPr>
                <w:b/>
                <w:sz w:val="16"/>
                <w:szCs w:val="16"/>
              </w:rPr>
              <w:t>Description :</w:t>
            </w:r>
          </w:p>
          <w:p w:rsidR="00857EF9" w:rsidRPr="00414E07" w:rsidRDefault="00857EF9" w:rsidP="009F130B">
            <w:pPr>
              <w:jc w:val="both"/>
              <w:rPr>
                <w:sz w:val="16"/>
                <w:szCs w:val="16"/>
              </w:rPr>
            </w:pPr>
          </w:p>
          <w:p w:rsidR="00857EF9" w:rsidRPr="00927D19" w:rsidRDefault="00857EF9" w:rsidP="00B563F2">
            <w:pPr>
              <w:pStyle w:val="ListParagraph"/>
              <w:numPr>
                <w:ilvl w:val="0"/>
                <w:numId w:val="35"/>
              </w:numPr>
              <w:ind w:left="360"/>
              <w:jc w:val="both"/>
              <w:rPr>
                <w:sz w:val="16"/>
                <w:szCs w:val="16"/>
                <w:lang w:val="fr-FR"/>
              </w:rPr>
            </w:pPr>
            <w:r w:rsidRPr="00927D19">
              <w:rPr>
                <w:sz w:val="16"/>
                <w:szCs w:val="16"/>
                <w:lang w:val="fr-FR"/>
              </w:rPr>
              <w:t>En raison du manque de formation du personnel, le suivi et l'évaluation du projet risquent de ne pas être adéquats.</w:t>
            </w:r>
          </w:p>
          <w:p w:rsidR="00857EF9" w:rsidRPr="00927D19" w:rsidRDefault="00857EF9" w:rsidP="009F130B">
            <w:pPr>
              <w:pStyle w:val="ListParagraph"/>
              <w:ind w:left="360"/>
              <w:jc w:val="both"/>
              <w:rPr>
                <w:sz w:val="16"/>
                <w:szCs w:val="16"/>
                <w:lang w:val="fr-FR"/>
              </w:rPr>
            </w:pPr>
          </w:p>
          <w:p w:rsidR="00857EF9" w:rsidRPr="00927D19" w:rsidRDefault="00857EF9" w:rsidP="00B563F2">
            <w:pPr>
              <w:pStyle w:val="ListParagraph"/>
              <w:numPr>
                <w:ilvl w:val="0"/>
                <w:numId w:val="35"/>
              </w:numPr>
              <w:ind w:left="360"/>
              <w:jc w:val="both"/>
              <w:rPr>
                <w:sz w:val="16"/>
                <w:szCs w:val="16"/>
                <w:lang w:val="fr-FR"/>
              </w:rPr>
            </w:pPr>
            <w:r w:rsidRPr="00927D19">
              <w:rPr>
                <w:sz w:val="16"/>
                <w:szCs w:val="16"/>
                <w:lang w:val="fr-FR"/>
              </w:rPr>
              <w:t xml:space="preserve">Le suivi, en particulier les évaluations d'impact, doit s'appuyer sur des données raisonnablement fiables, lesquelles sont quasiment absentes en Haïti.  </w:t>
            </w:r>
          </w:p>
          <w:p w:rsidR="00857EF9" w:rsidRPr="00927D19" w:rsidRDefault="00857EF9" w:rsidP="009F130B">
            <w:pPr>
              <w:pStyle w:val="ListParagraph"/>
              <w:ind w:left="360"/>
              <w:jc w:val="both"/>
              <w:rPr>
                <w:sz w:val="16"/>
                <w:szCs w:val="16"/>
                <w:lang w:val="fr-FR"/>
              </w:rPr>
            </w:pPr>
          </w:p>
          <w:p w:rsidR="00857EF9" w:rsidRPr="00927D19" w:rsidRDefault="00857EF9" w:rsidP="009F130B">
            <w:pPr>
              <w:pStyle w:val="ListParagraph"/>
              <w:ind w:left="360"/>
              <w:jc w:val="both"/>
              <w:rPr>
                <w:sz w:val="16"/>
                <w:szCs w:val="16"/>
                <w:lang w:val="fr-FR"/>
              </w:rPr>
            </w:pPr>
          </w:p>
          <w:p w:rsidR="00857EF9" w:rsidRPr="00927D19" w:rsidRDefault="00857EF9" w:rsidP="009F130B">
            <w:pPr>
              <w:pStyle w:val="ListParagraph"/>
              <w:ind w:left="360"/>
              <w:jc w:val="both"/>
              <w:rPr>
                <w:sz w:val="16"/>
                <w:szCs w:val="16"/>
                <w:lang w:val="fr-FR"/>
              </w:rPr>
            </w:pPr>
          </w:p>
          <w:p w:rsidR="00857EF9" w:rsidRPr="00927D19" w:rsidRDefault="00857EF9" w:rsidP="009F130B">
            <w:pPr>
              <w:pStyle w:val="ListParagraph"/>
              <w:ind w:left="360"/>
              <w:jc w:val="both"/>
              <w:rPr>
                <w:sz w:val="16"/>
                <w:szCs w:val="16"/>
                <w:lang w:val="fr-FR"/>
              </w:rPr>
            </w:pPr>
          </w:p>
          <w:p w:rsidR="00857EF9" w:rsidRPr="00927D19" w:rsidRDefault="00857EF9" w:rsidP="009F130B">
            <w:pPr>
              <w:pStyle w:val="ListParagraph"/>
              <w:ind w:left="360"/>
              <w:jc w:val="both"/>
              <w:rPr>
                <w:sz w:val="16"/>
                <w:szCs w:val="16"/>
                <w:lang w:val="fr-FR"/>
              </w:rPr>
            </w:pPr>
            <w:r w:rsidRPr="00927D19">
              <w:rPr>
                <w:sz w:val="16"/>
                <w:szCs w:val="16"/>
                <w:lang w:val="fr-FR"/>
              </w:rPr>
              <w:t xml:space="preserve"> </w:t>
            </w:r>
          </w:p>
          <w:p w:rsidR="00857EF9" w:rsidRPr="00927D19" w:rsidRDefault="00857EF9" w:rsidP="00B563F2">
            <w:pPr>
              <w:pStyle w:val="ListParagraph"/>
              <w:numPr>
                <w:ilvl w:val="0"/>
                <w:numId w:val="35"/>
              </w:numPr>
              <w:ind w:left="360"/>
              <w:jc w:val="both"/>
              <w:rPr>
                <w:sz w:val="16"/>
                <w:szCs w:val="16"/>
                <w:lang w:val="fr-FR"/>
              </w:rPr>
            </w:pPr>
            <w:r w:rsidRPr="00927D19">
              <w:rPr>
                <w:sz w:val="16"/>
                <w:szCs w:val="16"/>
                <w:lang w:val="fr-FR"/>
              </w:rPr>
              <w:t>Les activités économiques soutenues risquent de ne pas se montrer compétitives face à la demande internationale</w:t>
            </w: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p w:rsidR="00857EF9" w:rsidRPr="00927D19" w:rsidRDefault="00857EF9" w:rsidP="009F130B">
            <w:pPr>
              <w:jc w:val="both"/>
              <w:rPr>
                <w:sz w:val="16"/>
                <w:szCs w:val="16"/>
                <w:lang w:val="fr-FR"/>
              </w:rPr>
            </w:pPr>
          </w:p>
        </w:tc>
        <w:tc>
          <w:tcPr>
            <w:tcW w:w="8973" w:type="dxa"/>
            <w:gridSpan w:val="1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lastRenderedPageBreak/>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113620" w:rsidTr="009F130B">
        <w:tc>
          <w:tcPr>
            <w:tcW w:w="5898" w:type="dxa"/>
            <w:gridSpan w:val="2"/>
            <w:vMerge/>
            <w:tcBorders>
              <w:left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color w:val="314F4F"/>
                <w:sz w:val="16"/>
                <w:szCs w:val="16"/>
              </w:rPr>
            </w:pPr>
          </w:p>
        </w:tc>
        <w:tc>
          <w:tcPr>
            <w:tcW w:w="8973"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sz w:val="16"/>
                <w:szCs w:val="16"/>
                <w:lang w:val="fr-FR"/>
              </w:rPr>
            </w:pPr>
            <w:r w:rsidRPr="00927D19">
              <w:rPr>
                <w:sz w:val="16"/>
                <w:szCs w:val="16"/>
                <w:lang w:val="fr-FR"/>
              </w:rPr>
              <w:t>Une formation sera assurée si des faiblesses dans le suivi et l'évaluation sont détectées durant la mise en œuvre du projet. Un spécialiste SE du projet sera recruté et dépêché auprès du MCI.</w:t>
            </w:r>
          </w:p>
          <w:p w:rsidR="00857EF9" w:rsidRPr="00927D19" w:rsidRDefault="00857EF9" w:rsidP="009F130B">
            <w:pPr>
              <w:rPr>
                <w:sz w:val="16"/>
                <w:szCs w:val="16"/>
                <w:lang w:val="fr-FR"/>
              </w:rPr>
            </w:pPr>
          </w:p>
          <w:p w:rsidR="00857EF9" w:rsidRPr="00927D19" w:rsidRDefault="00857EF9" w:rsidP="009F130B">
            <w:pPr>
              <w:rPr>
                <w:sz w:val="16"/>
                <w:szCs w:val="16"/>
                <w:lang w:val="fr-FR"/>
              </w:rPr>
            </w:pPr>
            <w:r w:rsidRPr="00927D19">
              <w:rPr>
                <w:sz w:val="16"/>
                <w:szCs w:val="16"/>
                <w:lang w:val="fr-FR"/>
              </w:rPr>
              <w:t>Le projet organisera une collecte de données primaires auprès des entreprises qui mettent en œuvre la composante SDE et des institutions financières (notamment le registre de garanties, une fois qu'il sera opérationnel).</w:t>
            </w:r>
          </w:p>
          <w:p w:rsidR="00857EF9" w:rsidRPr="00927D19" w:rsidRDefault="00857EF9" w:rsidP="009F130B">
            <w:pPr>
              <w:rPr>
                <w:sz w:val="16"/>
                <w:szCs w:val="16"/>
                <w:lang w:val="fr-FR"/>
              </w:rPr>
            </w:pPr>
          </w:p>
        </w:tc>
      </w:tr>
      <w:tr w:rsidR="00857EF9" w:rsidRPr="00414E07" w:rsidTr="009F130B">
        <w:tc>
          <w:tcPr>
            <w:tcW w:w="5898" w:type="dxa"/>
            <w:gridSpan w:val="2"/>
            <w:vMerge/>
            <w:tcBorders>
              <w:left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p>
        </w:tc>
        <w:tc>
          <w:tcPr>
            <w:tcW w:w="710"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18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MCI / IDA</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mise</w:t>
            </w:r>
            <w:proofErr w:type="spellEnd"/>
            <w:r>
              <w:rPr>
                <w:b/>
                <w:bCs/>
                <w:color w:val="314F4F"/>
                <w:sz w:val="16"/>
                <w:szCs w:val="16"/>
              </w:rPr>
              <w:t xml:space="preserve"> en </w:t>
            </w:r>
            <w:proofErr w:type="spellStart"/>
            <w:r>
              <w:rPr>
                <w:b/>
                <w:bCs/>
                <w:color w:val="314F4F"/>
                <w:sz w:val="16"/>
                <w:szCs w:val="16"/>
              </w:rPr>
              <w:t>œuvre</w:t>
            </w:r>
            <w:proofErr w:type="spellEnd"/>
          </w:p>
        </w:tc>
        <w:tc>
          <w:tcPr>
            <w:tcW w:w="1033"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nil"/>
              <w:right w:val="nil"/>
            </w:tcBorders>
            <w:shd w:val="clear" w:color="auto" w:fill="FFFFFF"/>
            <w:tcMar>
              <w:top w:w="50" w:type="dxa"/>
              <w:left w:w="50" w:type="dxa"/>
              <w:bottom w:w="50" w:type="dxa"/>
              <w:right w:w="50" w:type="dxa"/>
            </w:tcMar>
          </w:tcPr>
          <w:p w:rsidR="00857EF9" w:rsidRPr="00927D19" w:rsidRDefault="00857EF9" w:rsidP="009F130B">
            <w:pPr>
              <w:rPr>
                <w:b/>
                <w:bCs/>
                <w:color w:val="314F4F"/>
                <w:sz w:val="16"/>
                <w:szCs w:val="16"/>
                <w:lang w:val="fr-FR"/>
              </w:rPr>
            </w:pPr>
            <w:r w:rsidRPr="00927D19">
              <w:rPr>
                <w:b/>
                <w:bCs/>
                <w:color w:val="314F4F"/>
                <w:sz w:val="16"/>
                <w:szCs w:val="16"/>
                <w:lang w:val="fr-FR"/>
              </w:rPr>
              <w:t>mise en œuvre et clôture</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à </w:t>
            </w:r>
            <w:proofErr w:type="spellStart"/>
            <w:r>
              <w:rPr>
                <w:b/>
                <w:bCs/>
                <w:color w:val="314F4F"/>
                <w:sz w:val="16"/>
                <w:szCs w:val="16"/>
              </w:rPr>
              <w:t>mettre</w:t>
            </w:r>
            <w:proofErr w:type="spellEnd"/>
            <w:r>
              <w:rPr>
                <w:b/>
                <w:bCs/>
                <w:color w:val="314F4F"/>
                <w:sz w:val="16"/>
                <w:szCs w:val="16"/>
              </w:rPr>
              <w:t xml:space="preserve"> en place</w:t>
            </w:r>
          </w:p>
        </w:tc>
      </w:tr>
      <w:tr w:rsidR="00857EF9" w:rsidRPr="00414E07" w:rsidTr="009F130B">
        <w:tc>
          <w:tcPr>
            <w:tcW w:w="5898" w:type="dxa"/>
            <w:gridSpan w:val="2"/>
            <w:vMerge/>
            <w:tcBorders>
              <w:left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tc>
        <w:tc>
          <w:tcPr>
            <w:tcW w:w="8973" w:type="dxa"/>
            <w:gridSpan w:val="1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proofErr w:type="spellStart"/>
            <w:r>
              <w:rPr>
                <w:b/>
                <w:bCs/>
                <w:color w:val="314F4F"/>
                <w:sz w:val="16"/>
                <w:szCs w:val="16"/>
              </w:rPr>
              <w:t>Gestion</w:t>
            </w:r>
            <w:proofErr w:type="spellEnd"/>
            <w:r>
              <w:rPr>
                <w:b/>
                <w:bCs/>
                <w:color w:val="314F4F"/>
                <w:sz w:val="16"/>
                <w:szCs w:val="16"/>
              </w:rPr>
              <w:t xml:space="preserve"> du </w:t>
            </w:r>
            <w:proofErr w:type="spellStart"/>
            <w:r>
              <w:rPr>
                <w:b/>
                <w:bCs/>
                <w:color w:val="314F4F"/>
                <w:sz w:val="16"/>
                <w:szCs w:val="16"/>
              </w:rPr>
              <w:t>risque</w:t>
            </w:r>
            <w:proofErr w:type="spellEnd"/>
            <w:r>
              <w:rPr>
                <w:b/>
                <w:bCs/>
                <w:color w:val="314F4F"/>
                <w:sz w:val="16"/>
                <w:szCs w:val="16"/>
              </w:rPr>
              <w:t> :</w:t>
            </w:r>
          </w:p>
        </w:tc>
      </w:tr>
      <w:tr w:rsidR="00857EF9" w:rsidRPr="00927D19" w:rsidTr="009F130B">
        <w:tc>
          <w:tcPr>
            <w:tcW w:w="5898" w:type="dxa"/>
            <w:gridSpan w:val="2"/>
            <w:vMerge/>
            <w:tcBorders>
              <w:left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color w:val="314F4F"/>
                <w:sz w:val="16"/>
                <w:szCs w:val="16"/>
              </w:rPr>
            </w:pPr>
          </w:p>
        </w:tc>
        <w:tc>
          <w:tcPr>
            <w:tcW w:w="8973"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sz w:val="16"/>
                <w:szCs w:val="16"/>
                <w:lang w:val="fr-FR"/>
              </w:rPr>
            </w:pPr>
            <w:r w:rsidRPr="00927D19">
              <w:rPr>
                <w:sz w:val="16"/>
                <w:szCs w:val="16"/>
                <w:lang w:val="fr-FR"/>
              </w:rPr>
              <w:t>1) Le projet établira des mécanismes de consultation et maintiendra un dialogue rapproché avec le Premier ministre, le MEF, le CIAT et le secteur privé afin de s'assurer que les activités cadrent avec les priorités de l’État et du secteur privé et que les fonds (budgétaires) sont attribués de manière appropriée.</w:t>
            </w:r>
          </w:p>
          <w:p w:rsidR="00857EF9" w:rsidRPr="00927D19" w:rsidRDefault="00857EF9" w:rsidP="009F130B">
            <w:pPr>
              <w:rPr>
                <w:sz w:val="16"/>
                <w:szCs w:val="16"/>
                <w:lang w:val="fr-FR"/>
              </w:rPr>
            </w:pPr>
          </w:p>
          <w:p w:rsidR="00857EF9" w:rsidRPr="00927D19" w:rsidRDefault="00857EF9" w:rsidP="009F130B">
            <w:pPr>
              <w:rPr>
                <w:sz w:val="16"/>
                <w:szCs w:val="16"/>
                <w:lang w:val="fr-FR"/>
              </w:rPr>
            </w:pPr>
            <w:r w:rsidRPr="00927D19">
              <w:rPr>
                <w:sz w:val="16"/>
                <w:szCs w:val="16"/>
                <w:lang w:val="fr-FR"/>
              </w:rPr>
              <w:t>2) La loi HELP fournit un cadre stable au développement d'une industrie du vêtement compétitive. Des mesures seront prises afin d’attirer des investissements et d'améliorer la compétitivité des ZEI du pays.</w:t>
            </w:r>
          </w:p>
        </w:tc>
      </w:tr>
      <w:tr w:rsidR="00857EF9" w:rsidRPr="00414E07" w:rsidTr="009F130B">
        <w:tc>
          <w:tcPr>
            <w:tcW w:w="5898" w:type="dxa"/>
            <w:gridSpan w:val="2"/>
            <w:vMerge/>
            <w:tcBorders>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57EF9" w:rsidRPr="00927D19" w:rsidRDefault="00857EF9" w:rsidP="009F130B">
            <w:pPr>
              <w:rPr>
                <w:sz w:val="16"/>
                <w:szCs w:val="16"/>
                <w:lang w:val="fr-FR"/>
              </w:rPr>
            </w:pPr>
          </w:p>
        </w:tc>
        <w:tc>
          <w:tcPr>
            <w:tcW w:w="797"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Resp. :</w:t>
            </w:r>
          </w:p>
        </w:tc>
        <w:tc>
          <w:tcPr>
            <w:tcW w:w="1094" w:type="dxa"/>
            <w:gridSpan w:val="3"/>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MCI, </w:t>
            </w:r>
            <w:proofErr w:type="spellStart"/>
            <w:r>
              <w:rPr>
                <w:b/>
                <w:bCs/>
                <w:color w:val="314F4F"/>
                <w:sz w:val="16"/>
                <w:szCs w:val="16"/>
              </w:rPr>
              <w:t>autorité</w:t>
            </w:r>
            <w:proofErr w:type="spellEnd"/>
            <w:r>
              <w:rPr>
                <w:b/>
                <w:bCs/>
                <w:color w:val="314F4F"/>
                <w:sz w:val="16"/>
                <w:szCs w:val="16"/>
              </w:rPr>
              <w:t xml:space="preserve"> des ZEI</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Étape</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mise</w:t>
            </w:r>
            <w:proofErr w:type="spellEnd"/>
            <w:r>
              <w:rPr>
                <w:b/>
                <w:bCs/>
                <w:color w:val="314F4F"/>
                <w:sz w:val="16"/>
                <w:szCs w:val="16"/>
              </w:rPr>
              <w:t xml:space="preserve"> en </w:t>
            </w:r>
            <w:proofErr w:type="spellStart"/>
            <w:r>
              <w:rPr>
                <w:b/>
                <w:bCs/>
                <w:color w:val="314F4F"/>
                <w:sz w:val="16"/>
                <w:szCs w:val="16"/>
              </w:rPr>
              <w:t>œuvre</w:t>
            </w:r>
            <w:proofErr w:type="spellEnd"/>
          </w:p>
        </w:tc>
        <w:tc>
          <w:tcPr>
            <w:tcW w:w="1033"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Date </w:t>
            </w:r>
            <w:proofErr w:type="spellStart"/>
            <w:r>
              <w:rPr>
                <w:b/>
                <w:bCs/>
                <w:color w:val="314F4F"/>
                <w:sz w:val="16"/>
                <w:szCs w:val="16"/>
              </w:rPr>
              <w:t>d’échéance</w:t>
            </w:r>
            <w:proofErr w:type="spellEnd"/>
            <w:r>
              <w:rPr>
                <w:b/>
                <w:bCs/>
                <w:color w:val="314F4F"/>
                <w:sz w:val="16"/>
                <w:szCs w:val="16"/>
              </w:rPr>
              <w:t> :</w:t>
            </w:r>
          </w:p>
        </w:tc>
        <w:tc>
          <w:tcPr>
            <w:tcW w:w="1623" w:type="dxa"/>
            <w:tcBorders>
              <w:top w:val="nil"/>
              <w:left w:val="nil"/>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clôture</w:t>
            </w:r>
            <w:proofErr w:type="spellEnd"/>
            <w:r>
              <w:rPr>
                <w:b/>
                <w:bCs/>
                <w:color w:val="314F4F"/>
                <w:sz w:val="16"/>
                <w:szCs w:val="16"/>
              </w:rPr>
              <w:t xml:space="preserve"> </w:t>
            </w:r>
          </w:p>
        </w:tc>
        <w:tc>
          <w:tcPr>
            <w:tcW w:w="738"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proofErr w:type="spellStart"/>
            <w:r>
              <w:rPr>
                <w:b/>
                <w:bCs/>
                <w:color w:val="314F4F"/>
                <w:sz w:val="16"/>
                <w:szCs w:val="16"/>
              </w:rPr>
              <w:t>État</w:t>
            </w:r>
            <w:proofErr w:type="spellEnd"/>
            <w:r>
              <w:rPr>
                <w:b/>
                <w:bCs/>
                <w:color w:val="314F4F"/>
                <w:sz w:val="16"/>
                <w:szCs w:val="16"/>
              </w:rPr>
              <w:t xml:space="preserve"> </w:t>
            </w:r>
            <w:proofErr w:type="spellStart"/>
            <w:r>
              <w:rPr>
                <w:b/>
                <w:bCs/>
                <w:color w:val="314F4F"/>
                <w:sz w:val="16"/>
                <w:szCs w:val="16"/>
              </w:rPr>
              <w:t>d'avancement</w:t>
            </w:r>
            <w:proofErr w:type="spellEnd"/>
            <w:r>
              <w:rPr>
                <w:b/>
                <w:bCs/>
                <w:color w:val="314F4F"/>
                <w:sz w:val="16"/>
                <w:szCs w:val="16"/>
              </w:rPr>
              <w:t> :</w:t>
            </w:r>
          </w:p>
        </w:tc>
        <w:tc>
          <w:tcPr>
            <w:tcW w:w="147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57EF9" w:rsidRPr="00414E07" w:rsidRDefault="00857EF9" w:rsidP="009F130B">
            <w:pPr>
              <w:rPr>
                <w:b/>
                <w:bCs/>
                <w:color w:val="314F4F"/>
                <w:sz w:val="16"/>
                <w:szCs w:val="16"/>
              </w:rPr>
            </w:pPr>
            <w:r>
              <w:rPr>
                <w:b/>
                <w:bCs/>
                <w:color w:val="314F4F"/>
                <w:sz w:val="16"/>
                <w:szCs w:val="16"/>
              </w:rPr>
              <w:t xml:space="preserve">à </w:t>
            </w:r>
            <w:proofErr w:type="spellStart"/>
            <w:r>
              <w:rPr>
                <w:b/>
                <w:bCs/>
                <w:color w:val="314F4F"/>
                <w:sz w:val="16"/>
                <w:szCs w:val="16"/>
              </w:rPr>
              <w:t>mettre</w:t>
            </w:r>
            <w:proofErr w:type="spellEnd"/>
            <w:r>
              <w:rPr>
                <w:b/>
                <w:bCs/>
                <w:color w:val="314F4F"/>
                <w:sz w:val="16"/>
                <w:szCs w:val="16"/>
              </w:rPr>
              <w:t xml:space="preserve"> en place</w:t>
            </w:r>
          </w:p>
        </w:tc>
      </w:tr>
      <w:tr w:rsidR="00857EF9" w:rsidRPr="00414E07" w:rsidTr="009F130B">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20"/>
                <w:szCs w:val="20"/>
              </w:rPr>
            </w:pPr>
            <w:r>
              <w:rPr>
                <w:b/>
                <w:bCs/>
                <w:sz w:val="20"/>
                <w:szCs w:val="20"/>
              </w:rPr>
              <w:t xml:space="preserve">3.5 </w:t>
            </w:r>
            <w:proofErr w:type="spellStart"/>
            <w:r>
              <w:rPr>
                <w:b/>
                <w:bCs/>
                <w:sz w:val="20"/>
                <w:szCs w:val="20"/>
              </w:rPr>
              <w:t>Autre</w:t>
            </w:r>
            <w:proofErr w:type="spellEnd"/>
            <w:r>
              <w:rPr>
                <w:b/>
                <w:bCs/>
                <w:sz w:val="20"/>
                <w:szCs w:val="20"/>
              </w:rPr>
              <w:t xml:space="preserve"> (</w:t>
            </w:r>
            <w:proofErr w:type="spellStart"/>
            <w:r>
              <w:rPr>
                <w:b/>
                <w:bCs/>
                <w:sz w:val="20"/>
                <w:szCs w:val="20"/>
              </w:rPr>
              <w:t>facultatif</w:t>
            </w:r>
            <w:proofErr w:type="spellEnd"/>
            <w:r>
              <w:rPr>
                <w:b/>
                <w:bCs/>
                <w:sz w:val="20"/>
                <w:szCs w:val="20"/>
              </w:rPr>
              <w:t xml:space="preserve">)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color w:val="314F4F"/>
                <w:sz w:val="16"/>
                <w:szCs w:val="16"/>
              </w:rPr>
            </w:pPr>
            <w:r>
              <w:rPr>
                <w:b/>
                <w:bCs/>
                <w:color w:val="314F4F"/>
                <w:sz w:val="16"/>
                <w:szCs w:val="16"/>
              </w:rPr>
              <w:t xml:space="preserve">Note </w:t>
            </w:r>
          </w:p>
        </w:tc>
        <w:tc>
          <w:tcPr>
            <w:tcW w:w="811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tc>
      </w:tr>
      <w:tr w:rsidR="00857EF9" w:rsidRPr="00414E07" w:rsidTr="009F130B">
        <w:tc>
          <w:tcPr>
            <w:tcW w:w="14871" w:type="dxa"/>
            <w:gridSpan w:val="14"/>
            <w:tcBorders>
              <w:top w:val="nil"/>
              <w:left w:val="single" w:sz="4" w:space="0" w:color="000000"/>
              <w:bottom w:val="nil"/>
              <w:right w:val="single" w:sz="4" w:space="0" w:color="000000"/>
            </w:tcBorders>
            <w:shd w:val="clear" w:color="auto" w:fill="5B5B5B"/>
            <w:tcMar>
              <w:top w:w="50" w:type="dxa"/>
              <w:left w:w="50" w:type="dxa"/>
              <w:bottom w:w="50" w:type="dxa"/>
              <w:right w:w="50" w:type="dxa"/>
            </w:tcMar>
            <w:vAlign w:val="center"/>
          </w:tcPr>
          <w:p w:rsidR="00857EF9" w:rsidRPr="00414E07" w:rsidRDefault="00857EF9" w:rsidP="009F130B">
            <w:pPr>
              <w:rPr>
                <w:color w:val="FFFFFF"/>
                <w:sz w:val="20"/>
                <w:szCs w:val="20"/>
              </w:rPr>
            </w:pPr>
            <w:r>
              <w:rPr>
                <w:color w:val="FFFFFF"/>
                <w:sz w:val="20"/>
                <w:szCs w:val="20"/>
              </w:rPr>
              <w:t xml:space="preserve">5. </w:t>
            </w:r>
            <w:proofErr w:type="spellStart"/>
            <w:r>
              <w:rPr>
                <w:color w:val="FFFFFF"/>
                <w:sz w:val="20"/>
                <w:szCs w:val="20"/>
              </w:rPr>
              <w:t>Risque</w:t>
            </w:r>
            <w:proofErr w:type="spellEnd"/>
            <w:r>
              <w:rPr>
                <w:color w:val="FFFFFF"/>
                <w:sz w:val="20"/>
                <w:szCs w:val="20"/>
              </w:rPr>
              <w:t xml:space="preserve"> global </w:t>
            </w:r>
          </w:p>
        </w:tc>
      </w:tr>
      <w:tr w:rsidR="00857EF9" w:rsidRPr="00414E07" w:rsidTr="009F130B">
        <w:tc>
          <w:tcPr>
            <w:tcW w:w="2949"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857EF9" w:rsidRPr="00927D19" w:rsidRDefault="00857EF9" w:rsidP="009F130B">
            <w:pPr>
              <w:rPr>
                <w:color w:val="314F4F"/>
                <w:sz w:val="16"/>
                <w:szCs w:val="16"/>
                <w:lang w:val="fr-FR"/>
              </w:rPr>
            </w:pPr>
            <w:r w:rsidRPr="00927D19">
              <w:rPr>
                <w:b/>
                <w:bCs/>
                <w:color w:val="314F4F"/>
                <w:sz w:val="16"/>
                <w:szCs w:val="16"/>
                <w:lang w:val="fr-FR"/>
              </w:rPr>
              <w:t>Évaluation du risque lors de la préparation :</w:t>
            </w:r>
          </w:p>
        </w:tc>
        <w:tc>
          <w:tcPr>
            <w:tcW w:w="4545" w:type="dxa"/>
            <w:gridSpan w:val="5"/>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proofErr w:type="spellStart"/>
            <w:r>
              <w:rPr>
                <w:b/>
                <w:bCs/>
                <w:sz w:val="16"/>
                <w:szCs w:val="16"/>
              </w:rPr>
              <w:t>Élevé</w:t>
            </w:r>
            <w:proofErr w:type="spellEnd"/>
          </w:p>
        </w:tc>
        <w:tc>
          <w:tcPr>
            <w:tcW w:w="2951" w:type="dxa"/>
            <w:gridSpan w:val="4"/>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857EF9" w:rsidRPr="00927D19" w:rsidRDefault="00857EF9" w:rsidP="009F130B">
            <w:pPr>
              <w:rPr>
                <w:color w:val="314F4F"/>
                <w:sz w:val="16"/>
                <w:szCs w:val="16"/>
                <w:lang w:val="fr-FR"/>
              </w:rPr>
            </w:pPr>
            <w:r w:rsidRPr="00927D19">
              <w:rPr>
                <w:b/>
                <w:bCs/>
                <w:color w:val="314F4F"/>
                <w:sz w:val="16"/>
                <w:szCs w:val="16"/>
                <w:lang w:val="fr-FR"/>
              </w:rPr>
              <w:t>Évaluation du risque lors de l'exécution :</w:t>
            </w:r>
          </w:p>
        </w:tc>
        <w:tc>
          <w:tcPr>
            <w:tcW w:w="4426"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roofErr w:type="spellStart"/>
            <w:r>
              <w:rPr>
                <w:b/>
                <w:bCs/>
                <w:sz w:val="16"/>
                <w:szCs w:val="16"/>
              </w:rPr>
              <w:t>Élevé</w:t>
            </w:r>
            <w:proofErr w:type="spellEnd"/>
          </w:p>
        </w:tc>
      </w:tr>
      <w:tr w:rsidR="00857EF9" w:rsidRPr="00414E07" w:rsidTr="009F130B">
        <w:tc>
          <w:tcPr>
            <w:tcW w:w="7494" w:type="dxa"/>
            <w:gridSpan w:val="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r>
              <w:rPr>
                <w:sz w:val="16"/>
                <w:szCs w:val="16"/>
              </w:rPr>
              <w:t>Description :</w:t>
            </w:r>
          </w:p>
        </w:tc>
        <w:tc>
          <w:tcPr>
            <w:tcW w:w="7377" w:type="dxa"/>
            <w:gridSpan w:val="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pPr>
              <w:rPr>
                <w:sz w:val="16"/>
                <w:szCs w:val="16"/>
              </w:rPr>
            </w:pPr>
            <w:r>
              <w:rPr>
                <w:sz w:val="16"/>
                <w:szCs w:val="16"/>
              </w:rPr>
              <w:t>Description :</w:t>
            </w:r>
          </w:p>
        </w:tc>
      </w:tr>
      <w:tr w:rsidR="00857EF9" w:rsidRPr="00927D19" w:rsidTr="009F130B">
        <w:tc>
          <w:tcPr>
            <w:tcW w:w="7494" w:type="dxa"/>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414E07" w:rsidRDefault="00857EF9" w:rsidP="009F130B"/>
        </w:tc>
        <w:tc>
          <w:tcPr>
            <w:tcW w:w="7377" w:type="dxa"/>
            <w:gridSpan w:val="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57EF9" w:rsidRPr="00927D19" w:rsidRDefault="00857EF9" w:rsidP="009F130B">
            <w:pPr>
              <w:rPr>
                <w:lang w:val="fr-FR"/>
              </w:rPr>
            </w:pPr>
            <w:r w:rsidRPr="00927D19">
              <w:rPr>
                <w:b/>
                <w:sz w:val="16"/>
                <w:lang w:val="fr-FR"/>
              </w:rPr>
              <w:t>Commentaires :</w:t>
            </w:r>
            <w:r w:rsidRPr="00927D19">
              <w:rPr>
                <w:sz w:val="16"/>
                <w:lang w:val="fr-FR"/>
              </w:rPr>
              <w:t xml:space="preserve"> l’évaluation globale du risque est élevée, principalement à cause des points faibles relevés dans les moyens techniques et fiduciaires et des problèmes de gouvernance en Haïti.  </w:t>
            </w:r>
          </w:p>
        </w:tc>
      </w:tr>
    </w:tbl>
    <w:p w:rsidR="00857EF9" w:rsidRPr="00927D19" w:rsidRDefault="00857EF9" w:rsidP="00857EF9">
      <w:pPr>
        <w:jc w:val="both"/>
        <w:rPr>
          <w:lang w:val="fr-FR"/>
        </w:rPr>
      </w:pPr>
    </w:p>
    <w:p w:rsidR="00857EF9" w:rsidRPr="00927D19" w:rsidRDefault="00857EF9" w:rsidP="00857EF9">
      <w:pPr>
        <w:jc w:val="both"/>
        <w:rPr>
          <w:lang w:val="fr-FR"/>
        </w:rPr>
        <w:sectPr w:rsidR="00857EF9" w:rsidRPr="00927D19" w:rsidSect="00857EF9">
          <w:pgSz w:w="15840" w:h="12240" w:orient="landscape" w:code="1"/>
          <w:pgMar w:top="1440" w:right="1440" w:bottom="1440" w:left="1440" w:header="720" w:footer="720" w:gutter="0"/>
          <w:cols w:space="720"/>
          <w:docGrid w:linePitch="360"/>
        </w:sectPr>
      </w:pPr>
    </w:p>
    <w:p w:rsidR="00857EF9" w:rsidRPr="00927D19" w:rsidRDefault="00857EF9" w:rsidP="00857EF9">
      <w:pPr>
        <w:pStyle w:val="PDSAnnexHeading"/>
        <w:rPr>
          <w:lang w:val="fr-FR"/>
        </w:rPr>
      </w:pPr>
      <w:bookmarkStart w:id="39" w:name="_Toc362270240"/>
      <w:r w:rsidRPr="00927D19">
        <w:rPr>
          <w:lang w:val="fr-FR"/>
        </w:rPr>
        <w:lastRenderedPageBreak/>
        <w:t>Annexe 5 : Plan d'appui à la mise en œuvre</w:t>
      </w:r>
      <w:bookmarkEnd w:id="39"/>
    </w:p>
    <w:p w:rsidR="00857EF9" w:rsidRPr="00927D19" w:rsidRDefault="00857EF9" w:rsidP="00857EF9">
      <w:pPr>
        <w:jc w:val="center"/>
        <w:rPr>
          <w:b/>
          <w:bCs/>
          <w:lang w:val="fr-FR"/>
        </w:rPr>
      </w:pPr>
    </w:p>
    <w:p w:rsidR="00857EF9" w:rsidRPr="00927D19" w:rsidRDefault="00857EF9" w:rsidP="00B563F2">
      <w:pPr>
        <w:pStyle w:val="ListParagraph"/>
        <w:numPr>
          <w:ilvl w:val="0"/>
          <w:numId w:val="18"/>
        </w:numPr>
        <w:spacing w:after="200" w:line="276" w:lineRule="auto"/>
        <w:ind w:left="360"/>
        <w:rPr>
          <w:b/>
          <w:color w:val="000000" w:themeColor="text1"/>
          <w:lang w:val="fr-FR"/>
        </w:rPr>
      </w:pPr>
      <w:r w:rsidRPr="00927D19">
        <w:rPr>
          <w:b/>
          <w:color w:val="000000"/>
          <w:lang w:val="fr-FR"/>
        </w:rPr>
        <w:t>Stratégie et démarche d'appui à la mise en œuvre</w:t>
      </w:r>
    </w:p>
    <w:p w:rsidR="00857EF9" w:rsidRPr="00927D19" w:rsidRDefault="00857EF9" w:rsidP="00857EF9">
      <w:pPr>
        <w:pStyle w:val="ListParagraph"/>
        <w:spacing w:after="120" w:line="276" w:lineRule="auto"/>
        <w:ind w:left="0"/>
        <w:contextualSpacing w:val="0"/>
        <w:jc w:val="both"/>
        <w:rPr>
          <w:color w:val="000000"/>
          <w:lang w:val="fr-FR"/>
        </w:rPr>
      </w:pPr>
    </w:p>
    <w:p w:rsidR="00857EF9" w:rsidRPr="00927D19" w:rsidRDefault="00857EF9" w:rsidP="00B563F2">
      <w:pPr>
        <w:pStyle w:val="ListParagraph"/>
        <w:numPr>
          <w:ilvl w:val="0"/>
          <w:numId w:val="31"/>
        </w:numPr>
        <w:tabs>
          <w:tab w:val="clear" w:pos="720"/>
          <w:tab w:val="num" w:pos="630"/>
        </w:tabs>
        <w:spacing w:after="120"/>
        <w:ind w:left="270"/>
        <w:contextualSpacing w:val="0"/>
        <w:jc w:val="both"/>
        <w:rPr>
          <w:color w:val="000000"/>
          <w:lang w:val="fr-FR"/>
        </w:rPr>
      </w:pPr>
      <w:r w:rsidRPr="00927D19">
        <w:rPr>
          <w:color w:val="000000"/>
          <w:lang w:val="fr-FR"/>
        </w:rPr>
        <w:t>La stratégie d'appui à la mise en œuvre est établie en fonction du profil de risque du projet (ORAF, annexe 4) et s'efforce d'améliorer la qualité des prestations des interventions proposées. Ainsi, l'appui à la mise en œuvre se concentre sur les mesures d'atténuation des risques définies dans l'ORAF et l'appui standard à la mise en œuvre offert par la Banque, notamment dans ses aspects techniques, institutionnels, de sauvegarde (environnementale et sociale) et fiduciaires.</w:t>
      </w:r>
    </w:p>
    <w:p w:rsidR="00857EF9" w:rsidRPr="00927D19" w:rsidRDefault="00857EF9" w:rsidP="00B563F2">
      <w:pPr>
        <w:pStyle w:val="ListParagraph"/>
        <w:numPr>
          <w:ilvl w:val="0"/>
          <w:numId w:val="31"/>
        </w:numPr>
        <w:tabs>
          <w:tab w:val="clear" w:pos="720"/>
          <w:tab w:val="num" w:pos="630"/>
        </w:tabs>
        <w:spacing w:after="120"/>
        <w:ind w:left="270"/>
        <w:contextualSpacing w:val="0"/>
        <w:jc w:val="both"/>
        <w:rPr>
          <w:color w:val="000000"/>
          <w:lang w:val="fr-FR"/>
        </w:rPr>
      </w:pPr>
      <w:r w:rsidRPr="00927D19">
        <w:rPr>
          <w:color w:val="000000"/>
          <w:lang w:val="fr-FR"/>
        </w:rPr>
        <w:t xml:space="preserve">Les chefs d'équipe et les spécialistes dédiés à chaque composante seront basés dans les bureaux du siège de la Banque mondiale. Au départ (et au moins jusqu'à l'examen à mi-parcours), ils effectueront quatre missions de supervision par an. Ensuite, la fréquence des missions dépendra du développement du projet. En se fondant sur les dernières expériences d'exécution de projets en Haïti, ce projet recrutera un responsable des opérations basé en Haïti pour soutenir les équipes du projet et leurs dirigeants. Le responsable des opérations complètera la supervision effectuée occasionnellement depuis le siège par des tâches quotidiennes de supervision, de suivi, de résolution des problèmes, de dénouement des blocages du projet et de cohésion entre ses diverses composantes. Il établira aussi les liens indispensables entre les investissements nationaux et régionaux, entreprendra un dialogue politique avec les pouvoirs publics et les parties prenantes, renforcera la coordination entre le MEF, l'UCP et ensuite le MCI ainsi qu'avec les autres institutions partenaires et entre les différents acteurs engagés, et veillera à l'exécution rapide des diverses composantes et activités du projet. </w:t>
      </w:r>
    </w:p>
    <w:p w:rsidR="00857EF9" w:rsidRPr="00927D19" w:rsidRDefault="00857EF9" w:rsidP="00B563F2">
      <w:pPr>
        <w:pStyle w:val="ListParagraph"/>
        <w:numPr>
          <w:ilvl w:val="0"/>
          <w:numId w:val="31"/>
        </w:numPr>
        <w:spacing w:after="120"/>
        <w:ind w:left="270"/>
        <w:contextualSpacing w:val="0"/>
        <w:jc w:val="both"/>
        <w:rPr>
          <w:color w:val="000000"/>
          <w:lang w:val="fr-FR"/>
        </w:rPr>
      </w:pPr>
      <w:r w:rsidRPr="00927D19">
        <w:rPr>
          <w:color w:val="000000"/>
          <w:lang w:val="fr-FR"/>
        </w:rPr>
        <w:t>La supervision générale du projet sera effectuée au travers d'activités fréquentes de supervision et de coordination avec le MCI (initialement avec l'UCP) et d'autres partenaires du projet tels que le ministère de l'Économie et des Finances, des représentants des Chambres de commerce (</w:t>
      </w:r>
      <w:proofErr w:type="gramStart"/>
      <w:r w:rsidRPr="00927D19">
        <w:rPr>
          <w:color w:val="000000"/>
          <w:lang w:val="fr-FR"/>
        </w:rPr>
        <w:t>nationale et régionale</w:t>
      </w:r>
      <w:proofErr w:type="gramEnd"/>
      <w:r w:rsidRPr="00927D19">
        <w:rPr>
          <w:color w:val="000000"/>
          <w:lang w:val="fr-FR"/>
        </w:rPr>
        <w:t>) et, si nécessaire, un représentant national des petites entreprises. Au départ, les missions de supervision seront effectuées tous les trois mois. Après l'examen à mi-parcours, et à condition que les activités du projet se déroulent comme prévu, la supervision se limitera à deux sessions par an. Par contre, des missions techniques dirigées par des spécialistes de l'équipe continueront à être effectuées plus fréquemment tout au long du projet. À cela s'ajouteront des interactions régulières avec l'équipe du projet, y compris les personnels locaux engagés pour le projet. Les premières étapes d'exécution du projet consisteront à préparer l'UCP et le MCI (embauche de personnel supplémentaire, achats d'équipement) et à organiser la coordination avec les partenaires du projet. La supervision effectuée régulièrement par les responsables d'équipes et les spécialistes de l'IDA sera axée sur les domaines suivants :</w:t>
      </w:r>
    </w:p>
    <w:p w:rsidR="00857EF9" w:rsidRPr="00927D19" w:rsidRDefault="00857EF9" w:rsidP="00B563F2">
      <w:pPr>
        <w:pStyle w:val="ListParagraph"/>
        <w:numPr>
          <w:ilvl w:val="0"/>
          <w:numId w:val="19"/>
        </w:numPr>
        <w:spacing w:after="120"/>
        <w:contextualSpacing w:val="0"/>
        <w:jc w:val="both"/>
        <w:rPr>
          <w:color w:val="000000"/>
          <w:lang w:val="fr-FR"/>
        </w:rPr>
      </w:pPr>
      <w:r w:rsidRPr="00927D19">
        <w:rPr>
          <w:b/>
          <w:color w:val="000000"/>
          <w:lang w:val="fr-FR"/>
        </w:rPr>
        <w:t>Stratégique</w:t>
      </w:r>
      <w:r w:rsidRPr="00927D19">
        <w:rPr>
          <w:color w:val="000000"/>
          <w:lang w:val="fr-FR"/>
        </w:rPr>
        <w:t xml:space="preserve"> – Si cela est possible, les missions d'appui à la mise en œuvre rencontreront les entités fiduciaires et les institutions partenaires afin de : (i) passer en revue les activités du projet, (ii) reconfirmer l'alignement stratégique des activités du projet sur l'ODP, et (iii) assurer la coordination nécessaire entre les différentes parties prenantes.</w:t>
      </w:r>
    </w:p>
    <w:p w:rsidR="00857EF9" w:rsidRPr="00927D19" w:rsidRDefault="00857EF9" w:rsidP="00B563F2">
      <w:pPr>
        <w:pStyle w:val="ListParagraph"/>
        <w:numPr>
          <w:ilvl w:val="0"/>
          <w:numId w:val="19"/>
        </w:numPr>
        <w:spacing w:after="120"/>
        <w:contextualSpacing w:val="0"/>
        <w:jc w:val="both"/>
        <w:rPr>
          <w:color w:val="000000"/>
          <w:lang w:val="fr-FR"/>
        </w:rPr>
      </w:pPr>
      <w:r w:rsidRPr="00927D19">
        <w:rPr>
          <w:b/>
          <w:color w:val="000000"/>
          <w:lang w:val="fr-FR"/>
        </w:rPr>
        <w:t>Technique –</w:t>
      </w:r>
      <w:r w:rsidRPr="00927D19">
        <w:rPr>
          <w:color w:val="000000"/>
          <w:lang w:val="fr-FR"/>
        </w:rPr>
        <w:t xml:space="preserve"> L'équipe d'appui à la mise en œuvre du projet sera composée de spécialistes du GBM et de consultants qui seront chargés d'examiner et superviser l'exécution des </w:t>
      </w:r>
      <w:r w:rsidRPr="00927D19">
        <w:rPr>
          <w:color w:val="000000"/>
          <w:lang w:val="fr-FR"/>
        </w:rPr>
        <w:lastRenderedPageBreak/>
        <w:t xml:space="preserve">composantes du projet avec les institutions partenaires, de vérifier la conformité des activités avec l'ODP et d'effectuer les éventuels ajustements nécessaires au niveau de la conception et du plan de passation des marchés. Cette équipe sera complétée par d'autres experts du GBM (spécialistes du développement du secteur privé, spécialistes des investissements) et par des experts techniques externes qui fourniront des conseils au gouvernement en matière de réformes du climat des affaires et de promotion de l'investissement. L'appui permanent fourni au SE (via l'initiative DIME et un appui croisé à court terme, selon les besoins) contribuera à développer les capacités de l'IDA et de l'UEP à suivre les progrès du projet et à évaluer l'impact des interventions. </w:t>
      </w:r>
    </w:p>
    <w:p w:rsidR="00857EF9" w:rsidRPr="00927D19" w:rsidRDefault="00857EF9" w:rsidP="00B563F2">
      <w:pPr>
        <w:pStyle w:val="ListParagraph"/>
        <w:numPr>
          <w:ilvl w:val="0"/>
          <w:numId w:val="19"/>
        </w:numPr>
        <w:spacing w:after="120"/>
        <w:contextualSpacing w:val="0"/>
        <w:jc w:val="both"/>
        <w:rPr>
          <w:color w:val="000000"/>
          <w:lang w:val="fr-FR"/>
        </w:rPr>
      </w:pPr>
      <w:r w:rsidRPr="00927D19">
        <w:rPr>
          <w:b/>
          <w:color w:val="000000"/>
          <w:lang w:val="fr-FR"/>
        </w:rPr>
        <w:t>Mesures de sauvegarde</w:t>
      </w:r>
      <w:r w:rsidRPr="00927D19">
        <w:rPr>
          <w:color w:val="000000"/>
          <w:lang w:val="fr-FR"/>
        </w:rPr>
        <w:t xml:space="preserve"> – Les spécialistes des questions environnementales et sociales de l'IDA et des consultants (basés au siège) ont collaboré avec l'UTE pour la préparation et la consultation du CGES du projet. L'UCP a révisé le CGES avant d'accepter de le mettre en application. L'IDA continuera d'appuyer l'UCP et le MCI tout au long de la mise en œuvre du projet. Les spécialistes des questions sociales seront présents pour : (i) aider l'UCP et le MCI à se familiariser avec les instruments de la Banque, (ii) garantir que l'UEP a la capacité d'entreprendre une analyse sociale et d'élaborer des mesures d'atténuation, et (iii) assurer une supervision régulière des progrès et de l'exécution de ces plans. </w:t>
      </w:r>
    </w:p>
    <w:p w:rsidR="00857EF9" w:rsidRPr="00927D19" w:rsidRDefault="00857EF9" w:rsidP="00B563F2">
      <w:pPr>
        <w:pStyle w:val="ListParagraph"/>
        <w:numPr>
          <w:ilvl w:val="0"/>
          <w:numId w:val="19"/>
        </w:numPr>
        <w:spacing w:after="120"/>
        <w:contextualSpacing w:val="0"/>
        <w:jc w:val="both"/>
        <w:rPr>
          <w:b/>
          <w:color w:val="000000"/>
          <w:lang w:val="fr-FR"/>
        </w:rPr>
      </w:pPr>
      <w:r w:rsidRPr="00927D19">
        <w:rPr>
          <w:b/>
          <w:color w:val="000000"/>
          <w:lang w:val="fr-FR"/>
        </w:rPr>
        <w:t>Aspects fiduciaires</w:t>
      </w:r>
      <w:r w:rsidRPr="00927D19">
        <w:rPr>
          <w:color w:val="000000"/>
          <w:lang w:val="fr-FR"/>
        </w:rPr>
        <w:t xml:space="preserve"> – Les spécialistes en gestion financière et en passation des marchés œuvrant sur le terrain ou depuis le siège de la Banque vont dispenser des formations ciblées au moment opportun aux personnels de l'UCP, du MCI et d'autres institutions d'exécution avant l'entrée en vigueur du projet et à l'occasion de missions périodiques de supervision au cours de la mise en œuvre du projet. Les experts veilleront également à ce que le transfert de la responsabilité fiduciaire de l'UCP du MEF au MCI soit bien préparé, et que le MCI possède les capacités requises pour appliquer les procédures de l'IDA avant que ce transfert ne soit effectué. Ils s'assureront que les UEP sont en mesure de gérer les flux d'argent et de suivre les procédures comptables conformément aux directives de la gestion financière. Deux fois par an et selon les besoins du client, les dispositions de gestion financière du projet feront l'objet d'un exercice de supervision. La passation des marchés sera également soumise à une supervision bisannuelle pendant la mission habituelle de supervision planifiée de la Banque. L'appui se concentrera en priorité sur la gestion des contrats et l'amélioration de la maîtrise et de l'efficacité pendant l'exécution, conformément aux directives de la Banque. Les directives de gestion financière et de passation des marchés s'intéresseront moins à la formation.</w:t>
      </w:r>
    </w:p>
    <w:p w:rsidR="00857EF9" w:rsidRPr="00927D19" w:rsidRDefault="00857EF9" w:rsidP="00B563F2">
      <w:pPr>
        <w:pStyle w:val="ListParagraph"/>
        <w:numPr>
          <w:ilvl w:val="0"/>
          <w:numId w:val="19"/>
        </w:numPr>
        <w:spacing w:after="120"/>
        <w:contextualSpacing w:val="0"/>
        <w:jc w:val="both"/>
        <w:rPr>
          <w:b/>
          <w:color w:val="000000"/>
          <w:lang w:val="fr-FR"/>
        </w:rPr>
      </w:pPr>
      <w:r w:rsidRPr="00927D19">
        <w:rPr>
          <w:b/>
          <w:color w:val="000000"/>
          <w:lang w:val="fr-FR"/>
        </w:rPr>
        <w:t>Relations avec le client</w:t>
      </w:r>
      <w:r w:rsidRPr="00927D19">
        <w:rPr>
          <w:color w:val="000000"/>
          <w:lang w:val="fr-FR"/>
        </w:rPr>
        <w:t xml:space="preserve"> – Les chefs d'équipe et les chargés des opérations  (i) coordonneront les activités de supervision de la Banque pour garantir la cohérence de la mise en œuvre du projet, comme spécifié dans les documents juridiques (accord de don, manuel des opérations du projet), et (ii) rencontreront régulièrement le client pour évaluer les avancées du projet en direction de l'ODP et pour contourner les obstacles qui se présenteront pendant la mise en œuvre. </w:t>
      </w:r>
    </w:p>
    <w:p w:rsidR="00857EF9" w:rsidRPr="00927D19" w:rsidRDefault="00857EF9" w:rsidP="00857EF9">
      <w:pPr>
        <w:pStyle w:val="ListParagraph"/>
        <w:spacing w:after="120"/>
        <w:ind w:left="0"/>
        <w:contextualSpacing w:val="0"/>
        <w:jc w:val="both"/>
        <w:rPr>
          <w:color w:val="000000"/>
          <w:sz w:val="20"/>
          <w:szCs w:val="20"/>
          <w:lang w:val="fr-FR"/>
        </w:rPr>
      </w:pPr>
    </w:p>
    <w:p w:rsidR="00857EF9" w:rsidRPr="00927D19" w:rsidRDefault="00857EF9" w:rsidP="00857EF9">
      <w:pPr>
        <w:pStyle w:val="ListParagraph"/>
        <w:spacing w:after="120"/>
        <w:ind w:left="0"/>
        <w:contextualSpacing w:val="0"/>
        <w:jc w:val="both"/>
        <w:rPr>
          <w:color w:val="000000"/>
          <w:sz w:val="20"/>
          <w:szCs w:val="20"/>
          <w:lang w:val="fr-FR"/>
        </w:rPr>
      </w:pPr>
    </w:p>
    <w:p w:rsidR="00857EF9" w:rsidRPr="00927D19" w:rsidRDefault="00857EF9" w:rsidP="00857EF9">
      <w:pPr>
        <w:pStyle w:val="ListParagraph"/>
        <w:spacing w:after="120"/>
        <w:ind w:left="0"/>
        <w:contextualSpacing w:val="0"/>
        <w:jc w:val="both"/>
        <w:rPr>
          <w:color w:val="000000"/>
          <w:sz w:val="20"/>
          <w:szCs w:val="20"/>
          <w:lang w:val="fr-FR"/>
        </w:rPr>
      </w:pPr>
    </w:p>
    <w:p w:rsidR="00857EF9" w:rsidRPr="00927D19" w:rsidRDefault="00857EF9" w:rsidP="00857EF9">
      <w:pPr>
        <w:pStyle w:val="ListParagraph"/>
        <w:spacing w:after="120"/>
        <w:ind w:left="0"/>
        <w:contextualSpacing w:val="0"/>
        <w:jc w:val="both"/>
        <w:rPr>
          <w:color w:val="000000"/>
          <w:sz w:val="20"/>
          <w:szCs w:val="20"/>
          <w:lang w:val="fr-FR"/>
        </w:rPr>
      </w:pPr>
    </w:p>
    <w:p w:rsidR="00857EF9" w:rsidRPr="00927D19" w:rsidRDefault="00857EF9" w:rsidP="00B563F2">
      <w:pPr>
        <w:pStyle w:val="ListParagraph"/>
        <w:numPr>
          <w:ilvl w:val="0"/>
          <w:numId w:val="18"/>
        </w:numPr>
        <w:ind w:left="360"/>
        <w:contextualSpacing w:val="0"/>
        <w:jc w:val="both"/>
        <w:rPr>
          <w:b/>
          <w:lang w:val="fr-FR"/>
        </w:rPr>
      </w:pPr>
      <w:r w:rsidRPr="00927D19">
        <w:rPr>
          <w:b/>
          <w:color w:val="000000"/>
          <w:lang w:val="fr-FR"/>
        </w:rPr>
        <w:lastRenderedPageBreak/>
        <w:t xml:space="preserve">Combinaison de compétences requise – </w:t>
      </w:r>
      <w:r w:rsidRPr="00927D19">
        <w:rPr>
          <w:b/>
          <w:lang w:val="fr-FR"/>
        </w:rPr>
        <w:t>Appui institutionnel</w:t>
      </w:r>
    </w:p>
    <w:p w:rsidR="00857EF9" w:rsidRPr="00927D19" w:rsidRDefault="00857EF9" w:rsidP="00857EF9">
      <w:pPr>
        <w:pStyle w:val="ListParagraph"/>
        <w:ind w:left="360"/>
        <w:contextualSpacing w:val="0"/>
        <w:jc w:val="both"/>
        <w:rPr>
          <w:b/>
          <w:lang w:val="fr-FR"/>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1890"/>
        <w:gridCol w:w="2070"/>
        <w:gridCol w:w="2070"/>
      </w:tblGrid>
      <w:tr w:rsidR="00857EF9" w:rsidRPr="00414E07" w:rsidTr="009F130B">
        <w:tc>
          <w:tcPr>
            <w:tcW w:w="9000" w:type="dxa"/>
            <w:gridSpan w:val="4"/>
            <w:tcBorders>
              <w:top w:val="nil"/>
              <w:left w:val="nil"/>
              <w:right w:val="nil"/>
            </w:tcBorders>
          </w:tcPr>
          <w:p w:rsidR="0036404C" w:rsidRPr="0036404C" w:rsidRDefault="00857EF9" w:rsidP="009F130B">
            <w:pPr>
              <w:jc w:val="both"/>
              <w:rPr>
                <w:b/>
              </w:rPr>
            </w:pPr>
            <w:r w:rsidRPr="0036404C">
              <w:rPr>
                <w:b/>
              </w:rPr>
              <w:t> </w:t>
            </w:r>
          </w:p>
          <w:p w:rsidR="00857EF9" w:rsidRPr="0036404C" w:rsidRDefault="0036404C" w:rsidP="00141422">
            <w:pPr>
              <w:pStyle w:val="Caption"/>
              <w:keepNext/>
              <w:spacing w:after="0"/>
              <w:jc w:val="both"/>
              <w:rPr>
                <w:sz w:val="24"/>
                <w:szCs w:val="24"/>
              </w:rPr>
            </w:pPr>
            <w:bookmarkStart w:id="40" w:name="_Toc362269429"/>
            <w:r w:rsidRPr="0036404C">
              <w:rPr>
                <w:color w:val="auto"/>
                <w:sz w:val="24"/>
                <w:szCs w:val="24"/>
              </w:rPr>
              <w:t xml:space="preserve">Tableau </w:t>
            </w:r>
            <w:r w:rsidRPr="0036404C">
              <w:rPr>
                <w:color w:val="auto"/>
                <w:sz w:val="24"/>
                <w:szCs w:val="24"/>
              </w:rPr>
              <w:fldChar w:fldCharType="begin"/>
            </w:r>
            <w:r w:rsidRPr="0036404C">
              <w:rPr>
                <w:color w:val="auto"/>
                <w:sz w:val="24"/>
                <w:szCs w:val="24"/>
              </w:rPr>
              <w:instrText xml:space="preserve"> SEQ Tableau \* ARABIC </w:instrText>
            </w:r>
            <w:r w:rsidRPr="0036404C">
              <w:rPr>
                <w:color w:val="auto"/>
                <w:sz w:val="24"/>
                <w:szCs w:val="24"/>
              </w:rPr>
              <w:fldChar w:fldCharType="separate"/>
            </w:r>
            <w:r w:rsidRPr="0036404C">
              <w:rPr>
                <w:noProof/>
                <w:color w:val="auto"/>
                <w:sz w:val="24"/>
                <w:szCs w:val="24"/>
              </w:rPr>
              <w:t>8</w:t>
            </w:r>
            <w:r w:rsidRPr="0036404C">
              <w:rPr>
                <w:color w:val="auto"/>
                <w:sz w:val="24"/>
                <w:szCs w:val="24"/>
              </w:rPr>
              <w:fldChar w:fldCharType="end"/>
            </w:r>
            <w:r w:rsidRPr="0036404C">
              <w:rPr>
                <w:color w:val="auto"/>
                <w:sz w:val="24"/>
                <w:szCs w:val="24"/>
              </w:rPr>
              <w:t xml:space="preserve"> </w:t>
            </w:r>
            <w:r w:rsidR="00857EF9" w:rsidRPr="0036404C">
              <w:rPr>
                <w:color w:val="auto"/>
                <w:sz w:val="24"/>
                <w:szCs w:val="24"/>
              </w:rPr>
              <w:t xml:space="preserve">: </w:t>
            </w:r>
            <w:proofErr w:type="spellStart"/>
            <w:r w:rsidR="00857EF9" w:rsidRPr="0036404C">
              <w:rPr>
                <w:color w:val="auto"/>
                <w:sz w:val="24"/>
                <w:szCs w:val="24"/>
              </w:rPr>
              <w:t>Appui</w:t>
            </w:r>
            <w:proofErr w:type="spellEnd"/>
            <w:r w:rsidR="00857EF9" w:rsidRPr="0036404C">
              <w:rPr>
                <w:color w:val="auto"/>
                <w:sz w:val="24"/>
                <w:szCs w:val="24"/>
              </w:rPr>
              <w:t xml:space="preserve"> </w:t>
            </w:r>
            <w:proofErr w:type="spellStart"/>
            <w:r w:rsidR="00857EF9" w:rsidRPr="0036404C">
              <w:rPr>
                <w:color w:val="auto"/>
                <w:sz w:val="24"/>
                <w:szCs w:val="24"/>
              </w:rPr>
              <w:t>institutionnel</w:t>
            </w:r>
            <w:bookmarkEnd w:id="40"/>
            <w:proofErr w:type="spellEnd"/>
          </w:p>
        </w:tc>
      </w:tr>
      <w:tr w:rsidR="00857EF9" w:rsidRPr="00414E07" w:rsidTr="009F130B">
        <w:tc>
          <w:tcPr>
            <w:tcW w:w="2970" w:type="dxa"/>
          </w:tcPr>
          <w:p w:rsidR="00857EF9" w:rsidRPr="00414E07" w:rsidRDefault="00857EF9" w:rsidP="009F130B">
            <w:pPr>
              <w:jc w:val="both"/>
              <w:rPr>
                <w:b/>
                <w:i/>
                <w:sz w:val="20"/>
                <w:szCs w:val="20"/>
              </w:rPr>
            </w:pPr>
            <w:proofErr w:type="spellStart"/>
            <w:r>
              <w:rPr>
                <w:b/>
                <w:i/>
                <w:sz w:val="20"/>
                <w:szCs w:val="20"/>
              </w:rPr>
              <w:t>Compétences</w:t>
            </w:r>
            <w:proofErr w:type="spellEnd"/>
            <w:r>
              <w:rPr>
                <w:b/>
                <w:i/>
                <w:sz w:val="20"/>
                <w:szCs w:val="20"/>
              </w:rPr>
              <w:t xml:space="preserve"> </w:t>
            </w:r>
            <w:proofErr w:type="spellStart"/>
            <w:r>
              <w:rPr>
                <w:b/>
                <w:i/>
                <w:sz w:val="20"/>
                <w:szCs w:val="20"/>
              </w:rPr>
              <w:t>requises</w:t>
            </w:r>
            <w:proofErr w:type="spellEnd"/>
          </w:p>
        </w:tc>
        <w:tc>
          <w:tcPr>
            <w:tcW w:w="1890" w:type="dxa"/>
          </w:tcPr>
          <w:p w:rsidR="00857EF9" w:rsidRPr="00927D19" w:rsidRDefault="00857EF9" w:rsidP="009F130B">
            <w:pPr>
              <w:jc w:val="center"/>
              <w:rPr>
                <w:b/>
                <w:i/>
                <w:sz w:val="20"/>
                <w:szCs w:val="20"/>
                <w:lang w:val="fr-FR"/>
              </w:rPr>
            </w:pPr>
            <w:r w:rsidRPr="00927D19">
              <w:rPr>
                <w:b/>
                <w:i/>
                <w:sz w:val="20"/>
                <w:szCs w:val="20"/>
                <w:lang w:val="fr-FR"/>
              </w:rPr>
              <w:t>Nb de semaines de travail par exercice</w:t>
            </w:r>
          </w:p>
        </w:tc>
        <w:tc>
          <w:tcPr>
            <w:tcW w:w="2070" w:type="dxa"/>
          </w:tcPr>
          <w:p w:rsidR="00857EF9" w:rsidRPr="00927D19" w:rsidRDefault="00857EF9" w:rsidP="009F130B">
            <w:pPr>
              <w:jc w:val="center"/>
              <w:rPr>
                <w:b/>
                <w:i/>
                <w:sz w:val="20"/>
                <w:szCs w:val="20"/>
                <w:lang w:val="fr-FR"/>
              </w:rPr>
            </w:pPr>
            <w:r w:rsidRPr="00927D19">
              <w:rPr>
                <w:b/>
                <w:i/>
                <w:sz w:val="20"/>
                <w:szCs w:val="20"/>
                <w:lang w:val="fr-FR"/>
              </w:rPr>
              <w:t>Nb de voyages par an</w:t>
            </w:r>
          </w:p>
        </w:tc>
        <w:tc>
          <w:tcPr>
            <w:tcW w:w="2070" w:type="dxa"/>
          </w:tcPr>
          <w:p w:rsidR="00857EF9" w:rsidRPr="00414E07" w:rsidRDefault="00857EF9" w:rsidP="009F130B">
            <w:pPr>
              <w:jc w:val="both"/>
              <w:rPr>
                <w:b/>
                <w:i/>
                <w:sz w:val="20"/>
                <w:szCs w:val="20"/>
              </w:rPr>
            </w:pPr>
            <w:proofErr w:type="spellStart"/>
            <w:r>
              <w:rPr>
                <w:b/>
                <w:i/>
                <w:sz w:val="20"/>
                <w:szCs w:val="20"/>
              </w:rPr>
              <w:t>Commentaires</w:t>
            </w:r>
            <w:proofErr w:type="spellEnd"/>
          </w:p>
        </w:tc>
      </w:tr>
      <w:tr w:rsidR="00857EF9" w:rsidRPr="00414E07" w:rsidTr="009F130B">
        <w:tc>
          <w:tcPr>
            <w:tcW w:w="2970" w:type="dxa"/>
          </w:tcPr>
          <w:p w:rsidR="00857EF9" w:rsidRPr="00927D19" w:rsidRDefault="00857EF9" w:rsidP="009F130B">
            <w:pPr>
              <w:rPr>
                <w:sz w:val="20"/>
                <w:szCs w:val="20"/>
                <w:lang w:val="fr-FR"/>
              </w:rPr>
            </w:pPr>
            <w:r w:rsidRPr="00927D19">
              <w:rPr>
                <w:sz w:val="20"/>
                <w:szCs w:val="20"/>
                <w:lang w:val="fr-FR"/>
              </w:rPr>
              <w:t>Chef d’équipe du projet (Supervision)</w:t>
            </w:r>
          </w:p>
        </w:tc>
        <w:tc>
          <w:tcPr>
            <w:tcW w:w="1890" w:type="dxa"/>
          </w:tcPr>
          <w:p w:rsidR="00857EF9" w:rsidRPr="00414E07" w:rsidRDefault="00857EF9" w:rsidP="009F130B">
            <w:pPr>
              <w:jc w:val="center"/>
              <w:rPr>
                <w:sz w:val="20"/>
                <w:szCs w:val="20"/>
              </w:rPr>
            </w:pPr>
            <w:r>
              <w:rPr>
                <w:sz w:val="20"/>
                <w:szCs w:val="20"/>
              </w:rPr>
              <w:t>15</w:t>
            </w:r>
          </w:p>
        </w:tc>
        <w:tc>
          <w:tcPr>
            <w:tcW w:w="2070" w:type="dxa"/>
          </w:tcPr>
          <w:p w:rsidR="00857EF9" w:rsidRPr="00414E07" w:rsidRDefault="00857EF9" w:rsidP="009F130B">
            <w:pPr>
              <w:jc w:val="center"/>
              <w:rPr>
                <w:sz w:val="20"/>
                <w:szCs w:val="20"/>
              </w:rPr>
            </w:pPr>
            <w:r>
              <w:rPr>
                <w:sz w:val="20"/>
                <w:szCs w:val="20"/>
              </w:rPr>
              <w:t>4</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414E07" w:rsidRDefault="00857EF9" w:rsidP="009F130B">
            <w:pPr>
              <w:rPr>
                <w:sz w:val="20"/>
                <w:szCs w:val="20"/>
              </w:rPr>
            </w:pPr>
            <w:proofErr w:type="spellStart"/>
            <w:r>
              <w:rPr>
                <w:sz w:val="20"/>
                <w:szCs w:val="20"/>
              </w:rPr>
              <w:t>Responsable</w:t>
            </w:r>
            <w:proofErr w:type="spellEnd"/>
            <w:r>
              <w:rPr>
                <w:sz w:val="20"/>
                <w:szCs w:val="20"/>
              </w:rPr>
              <w:t xml:space="preserve"> des </w:t>
            </w:r>
            <w:proofErr w:type="spellStart"/>
            <w:r>
              <w:rPr>
                <w:sz w:val="20"/>
                <w:szCs w:val="20"/>
              </w:rPr>
              <w:t>opérations</w:t>
            </w:r>
            <w:proofErr w:type="spellEnd"/>
            <w:r>
              <w:rPr>
                <w:sz w:val="20"/>
                <w:szCs w:val="20"/>
              </w:rPr>
              <w:t xml:space="preserve"> </w:t>
            </w:r>
          </w:p>
        </w:tc>
        <w:tc>
          <w:tcPr>
            <w:tcW w:w="1890" w:type="dxa"/>
          </w:tcPr>
          <w:p w:rsidR="00857EF9" w:rsidRPr="00414E07" w:rsidRDefault="00857EF9" w:rsidP="009F130B">
            <w:pPr>
              <w:jc w:val="center"/>
              <w:rPr>
                <w:sz w:val="20"/>
                <w:szCs w:val="20"/>
              </w:rPr>
            </w:pPr>
            <w:r>
              <w:rPr>
                <w:sz w:val="20"/>
                <w:szCs w:val="20"/>
              </w:rPr>
              <w:t>17</w:t>
            </w:r>
          </w:p>
        </w:tc>
        <w:tc>
          <w:tcPr>
            <w:tcW w:w="2070" w:type="dxa"/>
          </w:tcPr>
          <w:p w:rsidR="00857EF9" w:rsidRPr="00414E07" w:rsidRDefault="00857EF9" w:rsidP="009F130B">
            <w:pPr>
              <w:jc w:val="center"/>
              <w:rPr>
                <w:sz w:val="20"/>
                <w:szCs w:val="20"/>
              </w:rPr>
            </w:pPr>
            <w:r>
              <w:rPr>
                <w:sz w:val="20"/>
                <w:szCs w:val="20"/>
              </w:rPr>
              <w:t>-</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w:t>
            </w:r>
            <w:proofErr w:type="spellStart"/>
            <w:r>
              <w:rPr>
                <w:sz w:val="20"/>
                <w:szCs w:val="20"/>
              </w:rPr>
              <w:t>dans</w:t>
            </w:r>
            <w:proofErr w:type="spellEnd"/>
            <w:r>
              <w:rPr>
                <w:sz w:val="20"/>
                <w:szCs w:val="20"/>
              </w:rPr>
              <w:t xml:space="preserve"> le pays</w:t>
            </w:r>
          </w:p>
        </w:tc>
      </w:tr>
      <w:tr w:rsidR="00857EF9" w:rsidRPr="00414E07" w:rsidTr="009F130B">
        <w:tc>
          <w:tcPr>
            <w:tcW w:w="2970" w:type="dxa"/>
          </w:tcPr>
          <w:p w:rsidR="00857EF9" w:rsidRPr="00927D19" w:rsidRDefault="00857EF9" w:rsidP="009F130B">
            <w:pPr>
              <w:rPr>
                <w:sz w:val="20"/>
                <w:szCs w:val="20"/>
                <w:lang w:val="fr-FR"/>
              </w:rPr>
            </w:pPr>
            <w:r w:rsidRPr="00927D19">
              <w:rPr>
                <w:sz w:val="20"/>
                <w:szCs w:val="20"/>
                <w:lang w:val="fr-FR"/>
              </w:rPr>
              <w:t>Spécialiste en passation des marchés</w:t>
            </w:r>
          </w:p>
        </w:tc>
        <w:tc>
          <w:tcPr>
            <w:tcW w:w="1890" w:type="dxa"/>
          </w:tcPr>
          <w:p w:rsidR="00857EF9" w:rsidRPr="00414E07" w:rsidRDefault="00857EF9" w:rsidP="009F130B">
            <w:pPr>
              <w:jc w:val="center"/>
              <w:rPr>
                <w:sz w:val="20"/>
                <w:szCs w:val="20"/>
              </w:rPr>
            </w:pPr>
            <w:r>
              <w:rPr>
                <w:sz w:val="20"/>
                <w:szCs w:val="20"/>
              </w:rPr>
              <w:t>4</w:t>
            </w:r>
          </w:p>
        </w:tc>
        <w:tc>
          <w:tcPr>
            <w:tcW w:w="2070" w:type="dxa"/>
          </w:tcPr>
          <w:p w:rsidR="00857EF9" w:rsidRPr="00414E07" w:rsidRDefault="00857EF9" w:rsidP="009F130B">
            <w:pPr>
              <w:jc w:val="center"/>
              <w:rPr>
                <w:sz w:val="20"/>
                <w:szCs w:val="20"/>
              </w:rPr>
            </w:pPr>
            <w:r>
              <w:rPr>
                <w:sz w:val="20"/>
                <w:szCs w:val="20"/>
              </w:rPr>
              <w:t>2</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r>
              <w:rPr>
                <w:sz w:val="20"/>
                <w:szCs w:val="20"/>
              </w:rPr>
              <w:t xml:space="preserve"> </w:t>
            </w:r>
          </w:p>
        </w:tc>
      </w:tr>
      <w:tr w:rsidR="00857EF9" w:rsidRPr="00414E07" w:rsidTr="009F130B">
        <w:tc>
          <w:tcPr>
            <w:tcW w:w="2970" w:type="dxa"/>
          </w:tcPr>
          <w:p w:rsidR="00857EF9" w:rsidRPr="00414E07" w:rsidRDefault="00857EF9" w:rsidP="009F130B">
            <w:pPr>
              <w:rPr>
                <w:sz w:val="20"/>
                <w:szCs w:val="20"/>
              </w:rPr>
            </w:pPr>
            <w:proofErr w:type="spellStart"/>
            <w:r>
              <w:rPr>
                <w:sz w:val="20"/>
                <w:szCs w:val="20"/>
              </w:rPr>
              <w:t>Spécialiste</w:t>
            </w:r>
            <w:proofErr w:type="spellEnd"/>
            <w:r>
              <w:rPr>
                <w:sz w:val="20"/>
                <w:szCs w:val="20"/>
              </w:rPr>
              <w:t xml:space="preserve"> en </w:t>
            </w:r>
            <w:proofErr w:type="spellStart"/>
            <w:r>
              <w:rPr>
                <w:sz w:val="20"/>
                <w:szCs w:val="20"/>
              </w:rPr>
              <w:t>gestion</w:t>
            </w:r>
            <w:proofErr w:type="spellEnd"/>
            <w:r>
              <w:rPr>
                <w:sz w:val="20"/>
                <w:szCs w:val="20"/>
              </w:rPr>
              <w:t xml:space="preserve"> </w:t>
            </w:r>
            <w:proofErr w:type="spellStart"/>
            <w:r>
              <w:rPr>
                <w:sz w:val="20"/>
                <w:szCs w:val="20"/>
              </w:rPr>
              <w:t>financière</w:t>
            </w:r>
            <w:proofErr w:type="spellEnd"/>
          </w:p>
        </w:tc>
        <w:tc>
          <w:tcPr>
            <w:tcW w:w="1890" w:type="dxa"/>
          </w:tcPr>
          <w:p w:rsidR="00857EF9" w:rsidRPr="00414E07" w:rsidRDefault="00857EF9" w:rsidP="009F130B">
            <w:pPr>
              <w:jc w:val="center"/>
              <w:rPr>
                <w:sz w:val="20"/>
                <w:szCs w:val="20"/>
              </w:rPr>
            </w:pPr>
            <w:r>
              <w:rPr>
                <w:sz w:val="20"/>
                <w:szCs w:val="20"/>
              </w:rPr>
              <w:t>4</w:t>
            </w:r>
          </w:p>
        </w:tc>
        <w:tc>
          <w:tcPr>
            <w:tcW w:w="2070" w:type="dxa"/>
          </w:tcPr>
          <w:p w:rsidR="00857EF9" w:rsidRPr="00414E07" w:rsidRDefault="00857EF9" w:rsidP="009F130B">
            <w:pPr>
              <w:jc w:val="center"/>
              <w:rPr>
                <w:sz w:val="20"/>
                <w:szCs w:val="20"/>
              </w:rPr>
            </w:pPr>
            <w:r>
              <w:rPr>
                <w:sz w:val="20"/>
                <w:szCs w:val="20"/>
              </w:rPr>
              <w:t>2</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r>
              <w:rPr>
                <w:sz w:val="20"/>
                <w:szCs w:val="20"/>
              </w:rPr>
              <w:t xml:space="preserve"> </w:t>
            </w:r>
          </w:p>
        </w:tc>
      </w:tr>
      <w:tr w:rsidR="00857EF9" w:rsidRPr="00414E07" w:rsidTr="009F130B">
        <w:tc>
          <w:tcPr>
            <w:tcW w:w="2970" w:type="dxa"/>
          </w:tcPr>
          <w:p w:rsidR="00857EF9" w:rsidRPr="00927D19" w:rsidRDefault="00857EF9" w:rsidP="009F130B">
            <w:pPr>
              <w:rPr>
                <w:sz w:val="20"/>
                <w:szCs w:val="20"/>
                <w:lang w:val="fr-FR"/>
              </w:rPr>
            </w:pPr>
            <w:r w:rsidRPr="00927D19">
              <w:rPr>
                <w:sz w:val="20"/>
                <w:szCs w:val="20"/>
                <w:lang w:val="fr-FR"/>
              </w:rPr>
              <w:t>Responsable en chef de la promotion des investissements (financé par l'IFC/CIC)</w:t>
            </w:r>
          </w:p>
        </w:tc>
        <w:tc>
          <w:tcPr>
            <w:tcW w:w="1890" w:type="dxa"/>
          </w:tcPr>
          <w:p w:rsidR="00857EF9" w:rsidRPr="00414E07" w:rsidRDefault="00857EF9" w:rsidP="009F130B">
            <w:pPr>
              <w:jc w:val="center"/>
              <w:rPr>
                <w:sz w:val="20"/>
                <w:szCs w:val="20"/>
              </w:rPr>
            </w:pPr>
            <w:r>
              <w:rPr>
                <w:sz w:val="20"/>
                <w:szCs w:val="20"/>
              </w:rPr>
              <w:t>8</w:t>
            </w:r>
          </w:p>
        </w:tc>
        <w:tc>
          <w:tcPr>
            <w:tcW w:w="2070" w:type="dxa"/>
          </w:tcPr>
          <w:p w:rsidR="00857EF9" w:rsidRPr="00414E07" w:rsidRDefault="00857EF9" w:rsidP="009F130B">
            <w:pPr>
              <w:jc w:val="center"/>
              <w:rPr>
                <w:sz w:val="20"/>
                <w:szCs w:val="20"/>
              </w:rPr>
            </w:pPr>
            <w:r>
              <w:rPr>
                <w:sz w:val="20"/>
                <w:szCs w:val="20"/>
              </w:rPr>
              <w:t>3</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927D19" w:rsidRDefault="00857EF9" w:rsidP="009F130B">
            <w:pPr>
              <w:rPr>
                <w:sz w:val="20"/>
                <w:szCs w:val="20"/>
                <w:lang w:val="fr-FR"/>
              </w:rPr>
            </w:pPr>
            <w:r w:rsidRPr="00927D19">
              <w:rPr>
                <w:sz w:val="20"/>
                <w:szCs w:val="20"/>
                <w:lang w:val="fr-FR"/>
              </w:rPr>
              <w:t>Spécialiste en développement du secteur privé – Réglementation des entreprises / du climat d'investissement (financé en partie par l'IFC/CIC)</w:t>
            </w:r>
          </w:p>
        </w:tc>
        <w:tc>
          <w:tcPr>
            <w:tcW w:w="1890" w:type="dxa"/>
          </w:tcPr>
          <w:p w:rsidR="00857EF9" w:rsidRPr="00414E07" w:rsidRDefault="00857EF9" w:rsidP="009F130B">
            <w:pPr>
              <w:jc w:val="center"/>
              <w:rPr>
                <w:sz w:val="20"/>
                <w:szCs w:val="20"/>
              </w:rPr>
            </w:pPr>
            <w:r>
              <w:rPr>
                <w:sz w:val="20"/>
                <w:szCs w:val="20"/>
              </w:rPr>
              <w:t>15</w:t>
            </w:r>
          </w:p>
        </w:tc>
        <w:tc>
          <w:tcPr>
            <w:tcW w:w="2070" w:type="dxa"/>
          </w:tcPr>
          <w:p w:rsidR="00857EF9" w:rsidRPr="00414E07" w:rsidRDefault="00857EF9" w:rsidP="009F130B">
            <w:pPr>
              <w:jc w:val="center"/>
              <w:rPr>
                <w:sz w:val="20"/>
                <w:szCs w:val="20"/>
              </w:rPr>
            </w:pPr>
            <w:r>
              <w:rPr>
                <w:sz w:val="20"/>
                <w:szCs w:val="20"/>
              </w:rPr>
              <w:t>3</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927D19" w:rsidRDefault="00857EF9" w:rsidP="009F130B">
            <w:pPr>
              <w:rPr>
                <w:sz w:val="20"/>
                <w:szCs w:val="20"/>
                <w:lang w:val="fr-FR"/>
              </w:rPr>
            </w:pPr>
            <w:r w:rsidRPr="00927D19">
              <w:rPr>
                <w:sz w:val="20"/>
                <w:szCs w:val="20"/>
                <w:lang w:val="fr-FR"/>
              </w:rPr>
              <w:t>Directeur de la politique d'investissement</w:t>
            </w:r>
          </w:p>
        </w:tc>
        <w:tc>
          <w:tcPr>
            <w:tcW w:w="1890" w:type="dxa"/>
          </w:tcPr>
          <w:p w:rsidR="00857EF9" w:rsidRPr="00414E07" w:rsidRDefault="00857EF9" w:rsidP="009F130B">
            <w:pPr>
              <w:jc w:val="center"/>
              <w:rPr>
                <w:sz w:val="20"/>
                <w:szCs w:val="20"/>
              </w:rPr>
            </w:pPr>
            <w:r>
              <w:rPr>
                <w:sz w:val="20"/>
                <w:szCs w:val="20"/>
              </w:rPr>
              <w:t>8</w:t>
            </w:r>
          </w:p>
        </w:tc>
        <w:tc>
          <w:tcPr>
            <w:tcW w:w="2070" w:type="dxa"/>
          </w:tcPr>
          <w:p w:rsidR="00857EF9" w:rsidRPr="00414E07" w:rsidRDefault="00857EF9" w:rsidP="009F130B">
            <w:pPr>
              <w:jc w:val="center"/>
              <w:rPr>
                <w:sz w:val="20"/>
                <w:szCs w:val="20"/>
              </w:rPr>
            </w:pPr>
            <w:r>
              <w:rPr>
                <w:sz w:val="20"/>
                <w:szCs w:val="20"/>
              </w:rPr>
              <w:t>2</w:t>
            </w:r>
          </w:p>
        </w:tc>
        <w:tc>
          <w:tcPr>
            <w:tcW w:w="2070" w:type="dxa"/>
          </w:tcPr>
          <w:p w:rsidR="00857EF9" w:rsidRPr="00414E07" w:rsidRDefault="00857EF9" w:rsidP="009F130B">
            <w:pPr>
              <w:rPr>
                <w:b/>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414E07" w:rsidRDefault="00857EF9" w:rsidP="009F130B">
            <w:pPr>
              <w:rPr>
                <w:sz w:val="20"/>
                <w:szCs w:val="20"/>
              </w:rPr>
            </w:pPr>
            <w:proofErr w:type="spellStart"/>
            <w:r>
              <w:rPr>
                <w:sz w:val="20"/>
                <w:szCs w:val="20"/>
              </w:rPr>
              <w:t>Spécialiste</w:t>
            </w:r>
            <w:proofErr w:type="spellEnd"/>
            <w:r>
              <w:rPr>
                <w:sz w:val="20"/>
                <w:szCs w:val="20"/>
              </w:rPr>
              <w:t xml:space="preserve"> SDE</w:t>
            </w:r>
          </w:p>
        </w:tc>
        <w:tc>
          <w:tcPr>
            <w:tcW w:w="1890" w:type="dxa"/>
          </w:tcPr>
          <w:p w:rsidR="00857EF9" w:rsidRPr="00414E07" w:rsidRDefault="00857EF9" w:rsidP="009F130B">
            <w:pPr>
              <w:jc w:val="center"/>
              <w:rPr>
                <w:sz w:val="20"/>
                <w:szCs w:val="20"/>
              </w:rPr>
            </w:pPr>
            <w:r>
              <w:rPr>
                <w:sz w:val="20"/>
                <w:szCs w:val="20"/>
              </w:rPr>
              <w:t>8</w:t>
            </w:r>
          </w:p>
        </w:tc>
        <w:tc>
          <w:tcPr>
            <w:tcW w:w="2070" w:type="dxa"/>
          </w:tcPr>
          <w:p w:rsidR="00857EF9" w:rsidRPr="00414E07" w:rsidRDefault="00857EF9" w:rsidP="009F130B">
            <w:pPr>
              <w:jc w:val="center"/>
              <w:rPr>
                <w:sz w:val="20"/>
                <w:szCs w:val="20"/>
              </w:rPr>
            </w:pPr>
            <w:r>
              <w:rPr>
                <w:sz w:val="20"/>
                <w:szCs w:val="20"/>
              </w:rPr>
              <w:t>2</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414E07" w:rsidRDefault="00857EF9" w:rsidP="009F130B">
            <w:pPr>
              <w:rPr>
                <w:sz w:val="20"/>
                <w:szCs w:val="20"/>
              </w:rPr>
            </w:pPr>
            <w:proofErr w:type="spellStart"/>
            <w:r>
              <w:rPr>
                <w:sz w:val="20"/>
                <w:szCs w:val="20"/>
              </w:rPr>
              <w:t>Spécialiste</w:t>
            </w:r>
            <w:proofErr w:type="spellEnd"/>
            <w:r>
              <w:rPr>
                <w:sz w:val="20"/>
                <w:szCs w:val="20"/>
              </w:rPr>
              <w:t xml:space="preserve"> de </w:t>
            </w:r>
            <w:proofErr w:type="spellStart"/>
            <w:r>
              <w:rPr>
                <w:sz w:val="20"/>
                <w:szCs w:val="20"/>
              </w:rPr>
              <w:t>l'environnement</w:t>
            </w:r>
            <w:proofErr w:type="spellEnd"/>
          </w:p>
        </w:tc>
        <w:tc>
          <w:tcPr>
            <w:tcW w:w="1890" w:type="dxa"/>
          </w:tcPr>
          <w:p w:rsidR="00857EF9" w:rsidRPr="00414E07" w:rsidRDefault="00857EF9" w:rsidP="009F130B">
            <w:pPr>
              <w:jc w:val="center"/>
              <w:rPr>
                <w:sz w:val="20"/>
                <w:szCs w:val="20"/>
              </w:rPr>
            </w:pPr>
            <w:r>
              <w:rPr>
                <w:sz w:val="20"/>
                <w:szCs w:val="20"/>
              </w:rPr>
              <w:t>1</w:t>
            </w:r>
          </w:p>
        </w:tc>
        <w:tc>
          <w:tcPr>
            <w:tcW w:w="2070" w:type="dxa"/>
          </w:tcPr>
          <w:p w:rsidR="00857EF9" w:rsidRPr="00414E07" w:rsidRDefault="00857EF9" w:rsidP="009F130B">
            <w:pPr>
              <w:jc w:val="center"/>
              <w:rPr>
                <w:sz w:val="20"/>
                <w:szCs w:val="20"/>
              </w:rPr>
            </w:pPr>
            <w:r>
              <w:rPr>
                <w:sz w:val="20"/>
                <w:szCs w:val="20"/>
              </w:rPr>
              <w:t>1</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414E07" w:rsidRDefault="00857EF9" w:rsidP="009F130B">
            <w:pPr>
              <w:rPr>
                <w:sz w:val="20"/>
                <w:szCs w:val="20"/>
              </w:rPr>
            </w:pPr>
            <w:proofErr w:type="spellStart"/>
            <w:r>
              <w:rPr>
                <w:sz w:val="20"/>
                <w:szCs w:val="20"/>
              </w:rPr>
              <w:t>Spécialiste</w:t>
            </w:r>
            <w:proofErr w:type="spellEnd"/>
            <w:r>
              <w:rPr>
                <w:sz w:val="20"/>
                <w:szCs w:val="20"/>
              </w:rPr>
              <w:t xml:space="preserve"> des questions </w:t>
            </w:r>
            <w:proofErr w:type="spellStart"/>
            <w:r>
              <w:rPr>
                <w:sz w:val="20"/>
                <w:szCs w:val="20"/>
              </w:rPr>
              <w:t>sociales</w:t>
            </w:r>
            <w:proofErr w:type="spellEnd"/>
          </w:p>
        </w:tc>
        <w:tc>
          <w:tcPr>
            <w:tcW w:w="1890" w:type="dxa"/>
          </w:tcPr>
          <w:p w:rsidR="00857EF9" w:rsidRPr="00414E07" w:rsidRDefault="00857EF9" w:rsidP="009F130B">
            <w:pPr>
              <w:jc w:val="center"/>
              <w:rPr>
                <w:sz w:val="20"/>
                <w:szCs w:val="20"/>
              </w:rPr>
            </w:pPr>
            <w:r>
              <w:rPr>
                <w:sz w:val="20"/>
                <w:szCs w:val="20"/>
              </w:rPr>
              <w:t>1</w:t>
            </w:r>
          </w:p>
        </w:tc>
        <w:tc>
          <w:tcPr>
            <w:tcW w:w="2070" w:type="dxa"/>
          </w:tcPr>
          <w:p w:rsidR="00857EF9" w:rsidRPr="00414E07" w:rsidRDefault="00857EF9" w:rsidP="009F130B">
            <w:pPr>
              <w:jc w:val="center"/>
              <w:rPr>
                <w:sz w:val="20"/>
                <w:szCs w:val="20"/>
              </w:rPr>
            </w:pPr>
            <w:r>
              <w:rPr>
                <w:sz w:val="20"/>
                <w:szCs w:val="20"/>
              </w:rPr>
              <w:t>1</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414E07" w:rsidRDefault="00857EF9" w:rsidP="009F130B">
            <w:pPr>
              <w:rPr>
                <w:sz w:val="20"/>
                <w:szCs w:val="20"/>
              </w:rPr>
            </w:pPr>
            <w:proofErr w:type="spellStart"/>
            <w:r>
              <w:rPr>
                <w:sz w:val="20"/>
                <w:szCs w:val="20"/>
              </w:rPr>
              <w:t>Spécialiste</w:t>
            </w:r>
            <w:proofErr w:type="spellEnd"/>
            <w:r>
              <w:rPr>
                <w:sz w:val="20"/>
                <w:szCs w:val="20"/>
              </w:rPr>
              <w:t xml:space="preserve"> du </w:t>
            </w:r>
            <w:proofErr w:type="spellStart"/>
            <w:r>
              <w:rPr>
                <w:sz w:val="20"/>
                <w:szCs w:val="20"/>
              </w:rPr>
              <w:t>suivi</w:t>
            </w:r>
            <w:proofErr w:type="spellEnd"/>
            <w:r>
              <w:rPr>
                <w:sz w:val="20"/>
                <w:szCs w:val="20"/>
              </w:rPr>
              <w:t>/</w:t>
            </w:r>
            <w:proofErr w:type="spellStart"/>
            <w:r>
              <w:rPr>
                <w:sz w:val="20"/>
                <w:szCs w:val="20"/>
              </w:rPr>
              <w:t>évaluation</w:t>
            </w:r>
            <w:proofErr w:type="spellEnd"/>
          </w:p>
        </w:tc>
        <w:tc>
          <w:tcPr>
            <w:tcW w:w="1890" w:type="dxa"/>
          </w:tcPr>
          <w:p w:rsidR="00857EF9" w:rsidRPr="00414E07" w:rsidRDefault="00857EF9" w:rsidP="009F130B">
            <w:pPr>
              <w:jc w:val="center"/>
              <w:rPr>
                <w:sz w:val="20"/>
                <w:szCs w:val="20"/>
              </w:rPr>
            </w:pPr>
            <w:r>
              <w:rPr>
                <w:sz w:val="20"/>
                <w:szCs w:val="20"/>
              </w:rPr>
              <w:t>4</w:t>
            </w:r>
          </w:p>
        </w:tc>
        <w:tc>
          <w:tcPr>
            <w:tcW w:w="2070" w:type="dxa"/>
          </w:tcPr>
          <w:p w:rsidR="00857EF9" w:rsidRPr="00414E07" w:rsidRDefault="00857EF9" w:rsidP="009F130B">
            <w:pPr>
              <w:jc w:val="center"/>
              <w:rPr>
                <w:sz w:val="20"/>
                <w:szCs w:val="20"/>
              </w:rPr>
            </w:pPr>
            <w:r>
              <w:rPr>
                <w:sz w:val="20"/>
                <w:szCs w:val="20"/>
              </w:rPr>
              <w:t>2</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r w:rsidR="00857EF9" w:rsidRPr="00414E07" w:rsidTr="009F130B">
        <w:tc>
          <w:tcPr>
            <w:tcW w:w="2970" w:type="dxa"/>
          </w:tcPr>
          <w:p w:rsidR="00857EF9" w:rsidRPr="00414E07" w:rsidRDefault="00857EF9" w:rsidP="009F130B">
            <w:pPr>
              <w:rPr>
                <w:sz w:val="20"/>
                <w:szCs w:val="20"/>
              </w:rPr>
            </w:pPr>
            <w:proofErr w:type="spellStart"/>
            <w:r>
              <w:rPr>
                <w:sz w:val="20"/>
                <w:szCs w:val="20"/>
              </w:rPr>
              <w:t>Conseiller</w:t>
            </w:r>
            <w:proofErr w:type="spellEnd"/>
            <w:r>
              <w:rPr>
                <w:sz w:val="20"/>
                <w:szCs w:val="20"/>
              </w:rPr>
              <w:t xml:space="preserve"> </w:t>
            </w:r>
            <w:proofErr w:type="spellStart"/>
            <w:r>
              <w:rPr>
                <w:sz w:val="20"/>
                <w:szCs w:val="20"/>
              </w:rPr>
              <w:t>juridique</w:t>
            </w:r>
            <w:proofErr w:type="spellEnd"/>
          </w:p>
        </w:tc>
        <w:tc>
          <w:tcPr>
            <w:tcW w:w="1890" w:type="dxa"/>
          </w:tcPr>
          <w:p w:rsidR="00857EF9" w:rsidRPr="00414E07" w:rsidRDefault="00857EF9" w:rsidP="009F130B">
            <w:pPr>
              <w:jc w:val="center"/>
              <w:rPr>
                <w:sz w:val="20"/>
                <w:szCs w:val="20"/>
              </w:rPr>
            </w:pPr>
            <w:r>
              <w:rPr>
                <w:sz w:val="20"/>
                <w:szCs w:val="20"/>
              </w:rPr>
              <w:t>1</w:t>
            </w:r>
          </w:p>
        </w:tc>
        <w:tc>
          <w:tcPr>
            <w:tcW w:w="2070" w:type="dxa"/>
          </w:tcPr>
          <w:p w:rsidR="00857EF9" w:rsidRPr="00414E07" w:rsidRDefault="00857EF9" w:rsidP="009F130B">
            <w:pPr>
              <w:jc w:val="center"/>
              <w:rPr>
                <w:sz w:val="20"/>
                <w:szCs w:val="20"/>
              </w:rPr>
            </w:pPr>
            <w:r>
              <w:rPr>
                <w:sz w:val="20"/>
                <w:szCs w:val="20"/>
              </w:rPr>
              <w:t>-</w:t>
            </w:r>
          </w:p>
        </w:tc>
        <w:tc>
          <w:tcPr>
            <w:tcW w:w="2070" w:type="dxa"/>
          </w:tcPr>
          <w:p w:rsidR="00857EF9" w:rsidRPr="00414E07" w:rsidRDefault="00857EF9" w:rsidP="009F130B">
            <w:pPr>
              <w:rPr>
                <w:sz w:val="20"/>
                <w:szCs w:val="20"/>
              </w:rPr>
            </w:pPr>
            <w:proofErr w:type="spellStart"/>
            <w:r>
              <w:rPr>
                <w:sz w:val="20"/>
                <w:szCs w:val="20"/>
              </w:rPr>
              <w:t>Basé</w:t>
            </w:r>
            <w:proofErr w:type="spellEnd"/>
            <w:r>
              <w:rPr>
                <w:sz w:val="20"/>
                <w:szCs w:val="20"/>
              </w:rPr>
              <w:t xml:space="preserve"> au </w:t>
            </w:r>
            <w:proofErr w:type="spellStart"/>
            <w:r>
              <w:rPr>
                <w:sz w:val="20"/>
                <w:szCs w:val="20"/>
              </w:rPr>
              <w:t>siège</w:t>
            </w:r>
            <w:proofErr w:type="spellEnd"/>
          </w:p>
        </w:tc>
      </w:tr>
    </w:tbl>
    <w:p w:rsidR="00857EF9" w:rsidRPr="00414E07" w:rsidRDefault="00857EF9" w:rsidP="00857EF9">
      <w:pPr>
        <w:pStyle w:val="ListParagraph"/>
        <w:ind w:left="0"/>
        <w:rPr>
          <w:color w:val="000000" w:themeColor="text1"/>
        </w:rPr>
      </w:pPr>
    </w:p>
    <w:p w:rsidR="00857EF9" w:rsidRPr="00414E07" w:rsidRDefault="00857EF9" w:rsidP="00B563F2">
      <w:pPr>
        <w:pStyle w:val="ListParagraph"/>
        <w:numPr>
          <w:ilvl w:val="0"/>
          <w:numId w:val="18"/>
        </w:numPr>
        <w:ind w:left="360"/>
        <w:rPr>
          <w:b/>
          <w:color w:val="000000" w:themeColor="text1"/>
        </w:rPr>
      </w:pPr>
      <w:proofErr w:type="spellStart"/>
      <w:r>
        <w:rPr>
          <w:b/>
          <w:color w:val="000000"/>
        </w:rPr>
        <w:t>Partenaires</w:t>
      </w:r>
      <w:proofErr w:type="spellEnd"/>
    </w:p>
    <w:p w:rsidR="00857EF9" w:rsidRPr="00414E07" w:rsidRDefault="00857EF9" w:rsidP="00857EF9">
      <w:pPr>
        <w:pStyle w:val="ListParagraph"/>
        <w:ind w:left="360"/>
        <w:rPr>
          <w:b/>
          <w:color w:val="000000" w:themeColor="text1"/>
        </w:rPr>
      </w:pP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5"/>
        <w:gridCol w:w="3238"/>
        <w:gridCol w:w="3957"/>
      </w:tblGrid>
      <w:tr w:rsidR="00857EF9" w:rsidRPr="00414E07" w:rsidTr="009F130B">
        <w:trPr>
          <w:trHeight w:val="125"/>
        </w:trPr>
        <w:tc>
          <w:tcPr>
            <w:tcW w:w="9000" w:type="dxa"/>
            <w:gridSpan w:val="3"/>
            <w:tcBorders>
              <w:top w:val="nil"/>
              <w:left w:val="nil"/>
              <w:right w:val="nil"/>
            </w:tcBorders>
          </w:tcPr>
          <w:p w:rsidR="0036404C" w:rsidRDefault="00857EF9" w:rsidP="009F130B">
            <w:pPr>
              <w:ind w:left="-15"/>
              <w:jc w:val="both"/>
            </w:pPr>
            <w:r>
              <w:rPr>
                <w:b/>
                <w:sz w:val="22"/>
                <w:szCs w:val="22"/>
              </w:rPr>
              <w:t> </w:t>
            </w:r>
          </w:p>
          <w:p w:rsidR="00857EF9" w:rsidRPr="0036404C" w:rsidRDefault="0036404C" w:rsidP="00141422">
            <w:pPr>
              <w:pStyle w:val="Caption"/>
              <w:keepNext/>
              <w:spacing w:after="0"/>
              <w:jc w:val="both"/>
              <w:rPr>
                <w:sz w:val="24"/>
                <w:szCs w:val="24"/>
              </w:rPr>
            </w:pPr>
            <w:bookmarkStart w:id="41" w:name="_Toc362269430"/>
            <w:r w:rsidRPr="0036404C">
              <w:rPr>
                <w:color w:val="auto"/>
                <w:sz w:val="24"/>
                <w:szCs w:val="24"/>
              </w:rPr>
              <w:t xml:space="preserve">Tableau </w:t>
            </w:r>
            <w:r w:rsidRPr="0036404C">
              <w:rPr>
                <w:color w:val="auto"/>
                <w:sz w:val="24"/>
                <w:szCs w:val="24"/>
              </w:rPr>
              <w:fldChar w:fldCharType="begin"/>
            </w:r>
            <w:r w:rsidRPr="0036404C">
              <w:rPr>
                <w:color w:val="auto"/>
                <w:sz w:val="24"/>
                <w:szCs w:val="24"/>
              </w:rPr>
              <w:instrText xml:space="preserve"> SEQ Tableau \* ARABIC </w:instrText>
            </w:r>
            <w:r w:rsidRPr="0036404C">
              <w:rPr>
                <w:color w:val="auto"/>
                <w:sz w:val="24"/>
                <w:szCs w:val="24"/>
              </w:rPr>
              <w:fldChar w:fldCharType="separate"/>
            </w:r>
            <w:r w:rsidRPr="0036404C">
              <w:rPr>
                <w:noProof/>
                <w:color w:val="auto"/>
                <w:sz w:val="24"/>
                <w:szCs w:val="24"/>
              </w:rPr>
              <w:t>9</w:t>
            </w:r>
            <w:r w:rsidRPr="0036404C">
              <w:rPr>
                <w:color w:val="auto"/>
                <w:sz w:val="24"/>
                <w:szCs w:val="24"/>
              </w:rPr>
              <w:fldChar w:fldCharType="end"/>
            </w:r>
            <w:r w:rsidRPr="0036404C">
              <w:rPr>
                <w:color w:val="auto"/>
                <w:sz w:val="24"/>
                <w:szCs w:val="24"/>
              </w:rPr>
              <w:t xml:space="preserve"> </w:t>
            </w:r>
            <w:r w:rsidR="00857EF9" w:rsidRPr="0036404C">
              <w:rPr>
                <w:color w:val="auto"/>
                <w:sz w:val="24"/>
                <w:szCs w:val="24"/>
              </w:rPr>
              <w:t xml:space="preserve">: </w:t>
            </w:r>
            <w:proofErr w:type="spellStart"/>
            <w:r w:rsidR="00857EF9" w:rsidRPr="0036404C">
              <w:rPr>
                <w:color w:val="auto"/>
                <w:sz w:val="24"/>
                <w:szCs w:val="24"/>
              </w:rPr>
              <w:t>Partenaires</w:t>
            </w:r>
            <w:bookmarkEnd w:id="41"/>
            <w:proofErr w:type="spellEnd"/>
          </w:p>
        </w:tc>
      </w:tr>
      <w:tr w:rsidR="00857EF9" w:rsidRPr="00414E07" w:rsidTr="009F130B">
        <w:trPr>
          <w:trHeight w:val="125"/>
        </w:trPr>
        <w:tc>
          <w:tcPr>
            <w:tcW w:w="1805" w:type="dxa"/>
          </w:tcPr>
          <w:p w:rsidR="00857EF9" w:rsidRPr="00414E07" w:rsidRDefault="00857EF9" w:rsidP="009F130B">
            <w:pPr>
              <w:jc w:val="both"/>
              <w:rPr>
                <w:b/>
                <w:i/>
                <w:sz w:val="20"/>
                <w:szCs w:val="20"/>
              </w:rPr>
            </w:pPr>
            <w:r>
              <w:rPr>
                <w:b/>
                <w:i/>
                <w:sz w:val="20"/>
                <w:szCs w:val="20"/>
              </w:rPr>
              <w:t>Nom</w:t>
            </w:r>
          </w:p>
        </w:tc>
        <w:tc>
          <w:tcPr>
            <w:tcW w:w="3238" w:type="dxa"/>
          </w:tcPr>
          <w:p w:rsidR="00857EF9" w:rsidRPr="00414E07" w:rsidRDefault="00857EF9" w:rsidP="009F130B">
            <w:pPr>
              <w:jc w:val="both"/>
              <w:rPr>
                <w:b/>
                <w:i/>
                <w:sz w:val="20"/>
                <w:szCs w:val="20"/>
              </w:rPr>
            </w:pPr>
            <w:r>
              <w:rPr>
                <w:b/>
                <w:i/>
                <w:sz w:val="20"/>
                <w:szCs w:val="20"/>
              </w:rPr>
              <w:t>Institution/pays</w:t>
            </w:r>
          </w:p>
        </w:tc>
        <w:tc>
          <w:tcPr>
            <w:tcW w:w="3957" w:type="dxa"/>
          </w:tcPr>
          <w:p w:rsidR="00857EF9" w:rsidRPr="00414E07" w:rsidRDefault="00857EF9" w:rsidP="009F130B">
            <w:pPr>
              <w:ind w:left="-15"/>
              <w:jc w:val="both"/>
              <w:rPr>
                <w:b/>
                <w:i/>
                <w:sz w:val="20"/>
                <w:szCs w:val="20"/>
              </w:rPr>
            </w:pPr>
            <w:proofErr w:type="spellStart"/>
            <w:r>
              <w:rPr>
                <w:b/>
                <w:i/>
                <w:sz w:val="20"/>
                <w:szCs w:val="20"/>
              </w:rPr>
              <w:t>Rôle</w:t>
            </w:r>
            <w:proofErr w:type="spellEnd"/>
          </w:p>
        </w:tc>
      </w:tr>
      <w:tr w:rsidR="00857EF9" w:rsidRPr="00113620" w:rsidTr="009F130B">
        <w:trPr>
          <w:trHeight w:val="125"/>
        </w:trPr>
        <w:tc>
          <w:tcPr>
            <w:tcW w:w="1805" w:type="dxa"/>
          </w:tcPr>
          <w:p w:rsidR="00857EF9" w:rsidRPr="00414E07" w:rsidRDefault="00857EF9" w:rsidP="009F130B">
            <w:pPr>
              <w:rPr>
                <w:sz w:val="20"/>
                <w:szCs w:val="20"/>
              </w:rPr>
            </w:pPr>
            <w:r>
              <w:rPr>
                <w:sz w:val="20"/>
                <w:szCs w:val="20"/>
              </w:rPr>
              <w:t>Client</w:t>
            </w:r>
          </w:p>
        </w:tc>
        <w:tc>
          <w:tcPr>
            <w:tcW w:w="3238" w:type="dxa"/>
          </w:tcPr>
          <w:p w:rsidR="00857EF9" w:rsidRPr="00414E07" w:rsidRDefault="00857EF9" w:rsidP="009F130B">
            <w:pPr>
              <w:jc w:val="both"/>
              <w:rPr>
                <w:sz w:val="20"/>
                <w:szCs w:val="20"/>
              </w:rPr>
            </w:pPr>
            <w:r>
              <w:rPr>
                <w:sz w:val="20"/>
                <w:szCs w:val="20"/>
              </w:rPr>
              <w:t>MCI</w:t>
            </w:r>
          </w:p>
        </w:tc>
        <w:tc>
          <w:tcPr>
            <w:tcW w:w="3957" w:type="dxa"/>
          </w:tcPr>
          <w:p w:rsidR="00857EF9" w:rsidRPr="00927D19" w:rsidRDefault="00857EF9" w:rsidP="009F130B">
            <w:pPr>
              <w:ind w:left="-15"/>
              <w:jc w:val="both"/>
              <w:rPr>
                <w:sz w:val="20"/>
                <w:szCs w:val="20"/>
                <w:lang w:val="fr-FR"/>
              </w:rPr>
            </w:pPr>
            <w:r w:rsidRPr="00927D19">
              <w:rPr>
                <w:sz w:val="20"/>
                <w:szCs w:val="20"/>
                <w:lang w:val="fr-FR"/>
              </w:rPr>
              <w:t xml:space="preserve">Contrepartie du projet, responsable de la coordination de l'appui du gouvernement </w:t>
            </w:r>
            <w:proofErr w:type="gramStart"/>
            <w:r w:rsidRPr="00927D19">
              <w:rPr>
                <w:sz w:val="20"/>
                <w:szCs w:val="20"/>
                <w:lang w:val="fr-FR"/>
              </w:rPr>
              <w:t>de Haïti</w:t>
            </w:r>
            <w:proofErr w:type="gramEnd"/>
            <w:r w:rsidRPr="00927D19">
              <w:rPr>
                <w:sz w:val="20"/>
                <w:szCs w:val="20"/>
                <w:lang w:val="fr-FR"/>
              </w:rPr>
              <w:t xml:space="preserve"> au projet</w:t>
            </w:r>
          </w:p>
        </w:tc>
      </w:tr>
      <w:tr w:rsidR="00857EF9" w:rsidRPr="00113620" w:rsidTr="009F130B">
        <w:trPr>
          <w:trHeight w:val="125"/>
        </w:trPr>
        <w:tc>
          <w:tcPr>
            <w:tcW w:w="1805" w:type="dxa"/>
          </w:tcPr>
          <w:p w:rsidR="00857EF9" w:rsidRPr="00414E07" w:rsidRDefault="00857EF9" w:rsidP="009F130B">
            <w:pPr>
              <w:rPr>
                <w:sz w:val="20"/>
                <w:szCs w:val="20"/>
              </w:rPr>
            </w:pPr>
            <w:r>
              <w:rPr>
                <w:sz w:val="20"/>
                <w:szCs w:val="20"/>
              </w:rPr>
              <w:t>UEP</w:t>
            </w:r>
          </w:p>
        </w:tc>
        <w:tc>
          <w:tcPr>
            <w:tcW w:w="3238" w:type="dxa"/>
          </w:tcPr>
          <w:p w:rsidR="00857EF9" w:rsidRPr="00927D19" w:rsidRDefault="00857EF9" w:rsidP="009F130B">
            <w:pPr>
              <w:jc w:val="both"/>
              <w:rPr>
                <w:sz w:val="20"/>
                <w:szCs w:val="20"/>
                <w:lang w:val="fr-FR"/>
              </w:rPr>
            </w:pPr>
            <w:r w:rsidRPr="00927D19">
              <w:rPr>
                <w:sz w:val="20"/>
                <w:szCs w:val="20"/>
                <w:lang w:val="fr-FR"/>
              </w:rPr>
              <w:t>UCP (unité du MEF), qui sera remplacée par le MCI</w:t>
            </w:r>
          </w:p>
        </w:tc>
        <w:tc>
          <w:tcPr>
            <w:tcW w:w="3957" w:type="dxa"/>
          </w:tcPr>
          <w:p w:rsidR="00857EF9" w:rsidRPr="00927D19" w:rsidRDefault="00857EF9" w:rsidP="009F130B">
            <w:pPr>
              <w:ind w:left="-15"/>
              <w:jc w:val="both"/>
              <w:rPr>
                <w:sz w:val="20"/>
                <w:szCs w:val="20"/>
                <w:lang w:val="fr-FR"/>
              </w:rPr>
            </w:pPr>
            <w:r w:rsidRPr="00927D19">
              <w:rPr>
                <w:sz w:val="20"/>
                <w:szCs w:val="20"/>
                <w:lang w:val="fr-FR"/>
              </w:rPr>
              <w:t>Responsable des aspects fiduciaires de l'exécution du projet</w:t>
            </w:r>
          </w:p>
        </w:tc>
      </w:tr>
      <w:tr w:rsidR="00857EF9" w:rsidRPr="00113620" w:rsidTr="009F130B">
        <w:trPr>
          <w:trHeight w:val="125"/>
        </w:trPr>
        <w:tc>
          <w:tcPr>
            <w:tcW w:w="1805" w:type="dxa"/>
          </w:tcPr>
          <w:p w:rsidR="00857EF9" w:rsidRPr="00414E07" w:rsidRDefault="00857EF9" w:rsidP="009F130B">
            <w:pPr>
              <w:rPr>
                <w:sz w:val="20"/>
                <w:szCs w:val="20"/>
              </w:rPr>
            </w:pPr>
            <w:proofErr w:type="spellStart"/>
            <w:r>
              <w:rPr>
                <w:sz w:val="20"/>
                <w:szCs w:val="20"/>
              </w:rPr>
              <w:t>Principales</w:t>
            </w:r>
            <w:proofErr w:type="spellEnd"/>
            <w:r>
              <w:rPr>
                <w:sz w:val="20"/>
                <w:szCs w:val="20"/>
              </w:rPr>
              <w:t xml:space="preserve"> institutions </w:t>
            </w:r>
            <w:proofErr w:type="spellStart"/>
            <w:r>
              <w:rPr>
                <w:sz w:val="20"/>
                <w:szCs w:val="20"/>
              </w:rPr>
              <w:t>gouvernementales</w:t>
            </w:r>
            <w:proofErr w:type="spellEnd"/>
            <w:r>
              <w:rPr>
                <w:sz w:val="20"/>
                <w:szCs w:val="20"/>
              </w:rPr>
              <w:t xml:space="preserve"> </w:t>
            </w:r>
            <w:proofErr w:type="spellStart"/>
            <w:r>
              <w:rPr>
                <w:sz w:val="20"/>
                <w:szCs w:val="20"/>
              </w:rPr>
              <w:t>partenaires</w:t>
            </w:r>
            <w:proofErr w:type="spellEnd"/>
          </w:p>
        </w:tc>
        <w:tc>
          <w:tcPr>
            <w:tcW w:w="3238" w:type="dxa"/>
          </w:tcPr>
          <w:p w:rsidR="00857EF9" w:rsidRPr="00927D19" w:rsidRDefault="00857EF9" w:rsidP="009F130B">
            <w:pPr>
              <w:rPr>
                <w:sz w:val="20"/>
                <w:szCs w:val="20"/>
                <w:lang w:val="fr-FR"/>
              </w:rPr>
            </w:pPr>
            <w:r w:rsidRPr="00927D19">
              <w:rPr>
                <w:sz w:val="20"/>
                <w:szCs w:val="20"/>
                <w:lang w:val="fr-FR"/>
              </w:rPr>
              <w:t xml:space="preserve">Ministère du Commerce et de l'Industrie, ministère de l'Économie et des Finances, ministère du Tourisme </w:t>
            </w:r>
          </w:p>
        </w:tc>
        <w:tc>
          <w:tcPr>
            <w:tcW w:w="3957" w:type="dxa"/>
          </w:tcPr>
          <w:p w:rsidR="00857EF9" w:rsidRPr="00927D19" w:rsidRDefault="00857EF9" w:rsidP="009F130B">
            <w:pPr>
              <w:rPr>
                <w:sz w:val="20"/>
                <w:szCs w:val="20"/>
                <w:lang w:val="fr-FR"/>
              </w:rPr>
            </w:pPr>
            <w:r w:rsidRPr="00927D19">
              <w:rPr>
                <w:sz w:val="20"/>
                <w:szCs w:val="20"/>
                <w:lang w:val="fr-FR"/>
              </w:rPr>
              <w:t>MCI : Responsabilité générale du projet et coordination avec les autres parties prenantes publiques et privées engagées dans des activités spécifiques du projet</w:t>
            </w:r>
          </w:p>
        </w:tc>
      </w:tr>
      <w:tr w:rsidR="00857EF9" w:rsidRPr="00927D19" w:rsidTr="009F130B">
        <w:trPr>
          <w:trHeight w:val="125"/>
        </w:trPr>
        <w:tc>
          <w:tcPr>
            <w:tcW w:w="1805" w:type="dxa"/>
          </w:tcPr>
          <w:p w:rsidR="00857EF9" w:rsidRPr="00414E07" w:rsidRDefault="00857EF9" w:rsidP="009F130B">
            <w:pPr>
              <w:rPr>
                <w:sz w:val="20"/>
                <w:szCs w:val="20"/>
              </w:rPr>
            </w:pPr>
            <w:r>
              <w:rPr>
                <w:sz w:val="20"/>
                <w:szCs w:val="20"/>
              </w:rPr>
              <w:t xml:space="preserve">Institutions </w:t>
            </w:r>
            <w:proofErr w:type="spellStart"/>
            <w:r>
              <w:rPr>
                <w:sz w:val="20"/>
                <w:szCs w:val="20"/>
              </w:rPr>
              <w:t>partenaires</w:t>
            </w:r>
            <w:proofErr w:type="spellEnd"/>
            <w:r>
              <w:rPr>
                <w:sz w:val="20"/>
                <w:szCs w:val="20"/>
              </w:rPr>
              <w:t xml:space="preserve"> (</w:t>
            </w:r>
            <w:proofErr w:type="spellStart"/>
            <w:r>
              <w:rPr>
                <w:sz w:val="20"/>
                <w:szCs w:val="20"/>
              </w:rPr>
              <w:t>gouvernementales</w:t>
            </w:r>
            <w:proofErr w:type="spellEnd"/>
            <w:r>
              <w:rPr>
                <w:sz w:val="20"/>
                <w:szCs w:val="20"/>
              </w:rPr>
              <w:t>)</w:t>
            </w:r>
          </w:p>
        </w:tc>
        <w:tc>
          <w:tcPr>
            <w:tcW w:w="3238" w:type="dxa"/>
          </w:tcPr>
          <w:p w:rsidR="00857EF9" w:rsidRPr="00927D19" w:rsidRDefault="00857EF9" w:rsidP="009F130B">
            <w:pPr>
              <w:jc w:val="both"/>
              <w:rPr>
                <w:sz w:val="20"/>
                <w:szCs w:val="20"/>
                <w:lang w:val="fr-FR"/>
              </w:rPr>
            </w:pPr>
            <w:r w:rsidRPr="00927D19">
              <w:rPr>
                <w:sz w:val="20"/>
                <w:szCs w:val="20"/>
                <w:lang w:val="fr-FR"/>
              </w:rPr>
              <w:t xml:space="preserve">MEF, CPRA ; CFI, CIAT, DZF, SONAPI, PIM, future autorité des ZEI, etc. </w:t>
            </w:r>
          </w:p>
        </w:tc>
        <w:tc>
          <w:tcPr>
            <w:tcW w:w="3957" w:type="dxa"/>
          </w:tcPr>
          <w:p w:rsidR="00857EF9" w:rsidRPr="00927D19" w:rsidRDefault="00857EF9" w:rsidP="009F130B">
            <w:pPr>
              <w:ind w:left="-15"/>
              <w:jc w:val="both"/>
              <w:rPr>
                <w:sz w:val="20"/>
                <w:szCs w:val="20"/>
                <w:lang w:val="fr-FR"/>
              </w:rPr>
            </w:pPr>
            <w:r w:rsidRPr="00927D19">
              <w:rPr>
                <w:sz w:val="20"/>
                <w:szCs w:val="20"/>
                <w:lang w:val="fr-FR"/>
              </w:rPr>
              <w:t>Chaque institution partenaire est responsable de certaines activités spécifiques du projet</w:t>
            </w:r>
          </w:p>
        </w:tc>
      </w:tr>
      <w:tr w:rsidR="00857EF9" w:rsidRPr="00113620" w:rsidTr="009F130B">
        <w:trPr>
          <w:trHeight w:val="125"/>
        </w:trPr>
        <w:tc>
          <w:tcPr>
            <w:tcW w:w="1805" w:type="dxa"/>
          </w:tcPr>
          <w:p w:rsidR="00857EF9" w:rsidRPr="00414E07" w:rsidRDefault="00857EF9" w:rsidP="009F130B">
            <w:pPr>
              <w:rPr>
                <w:sz w:val="20"/>
                <w:szCs w:val="20"/>
              </w:rPr>
            </w:pPr>
            <w:proofErr w:type="spellStart"/>
            <w:r>
              <w:rPr>
                <w:sz w:val="20"/>
                <w:szCs w:val="20"/>
              </w:rPr>
              <w:t>Partenaires</w:t>
            </w:r>
            <w:proofErr w:type="spellEnd"/>
            <w:r>
              <w:rPr>
                <w:sz w:val="20"/>
                <w:szCs w:val="20"/>
              </w:rPr>
              <w:t xml:space="preserve"> du </w:t>
            </w:r>
            <w:proofErr w:type="spellStart"/>
            <w:r>
              <w:rPr>
                <w:sz w:val="20"/>
                <w:szCs w:val="20"/>
              </w:rPr>
              <w:t>secteur</w:t>
            </w:r>
            <w:proofErr w:type="spellEnd"/>
            <w:r>
              <w:rPr>
                <w:sz w:val="20"/>
                <w:szCs w:val="20"/>
              </w:rPr>
              <w:t xml:space="preserve"> </w:t>
            </w:r>
            <w:proofErr w:type="spellStart"/>
            <w:r>
              <w:rPr>
                <w:sz w:val="20"/>
                <w:szCs w:val="20"/>
              </w:rPr>
              <w:t>privé</w:t>
            </w:r>
            <w:proofErr w:type="spellEnd"/>
          </w:p>
        </w:tc>
        <w:tc>
          <w:tcPr>
            <w:tcW w:w="3238" w:type="dxa"/>
          </w:tcPr>
          <w:p w:rsidR="00857EF9" w:rsidRPr="00927D19" w:rsidRDefault="00857EF9" w:rsidP="009F130B">
            <w:pPr>
              <w:jc w:val="both"/>
              <w:rPr>
                <w:sz w:val="20"/>
                <w:szCs w:val="20"/>
                <w:lang w:val="fr-FR"/>
              </w:rPr>
            </w:pPr>
            <w:r w:rsidRPr="00927D19">
              <w:rPr>
                <w:sz w:val="20"/>
                <w:szCs w:val="20"/>
                <w:lang w:val="fr-FR"/>
              </w:rPr>
              <w:t>Divers, dont le Forum économique du secteur privé, les Chambres de commerce, des associations et des entreprises)</w:t>
            </w:r>
          </w:p>
        </w:tc>
        <w:tc>
          <w:tcPr>
            <w:tcW w:w="3957" w:type="dxa"/>
          </w:tcPr>
          <w:p w:rsidR="00857EF9" w:rsidRPr="00927D19" w:rsidRDefault="00857EF9" w:rsidP="009F130B">
            <w:pPr>
              <w:ind w:left="-15"/>
              <w:jc w:val="both"/>
              <w:rPr>
                <w:sz w:val="20"/>
                <w:szCs w:val="20"/>
                <w:lang w:val="fr-FR"/>
              </w:rPr>
            </w:pPr>
            <w:r w:rsidRPr="00927D19">
              <w:rPr>
                <w:sz w:val="20"/>
                <w:szCs w:val="20"/>
                <w:lang w:val="fr-FR"/>
              </w:rPr>
              <w:t xml:space="preserve">Hormis leur rôle de consultation, les partenaires privés jouent un rôle crucial dans la durabilité du projet en perpétuant les activités par leurs investissements et en endossant la responsabilité de la prestation des services à l'issue du projet. </w:t>
            </w:r>
          </w:p>
        </w:tc>
      </w:tr>
    </w:tbl>
    <w:p w:rsidR="00857EF9" w:rsidRPr="00927D19" w:rsidRDefault="00857EF9" w:rsidP="00857EF9">
      <w:pPr>
        <w:pStyle w:val="PDSAnnexHeading"/>
        <w:rPr>
          <w:lang w:val="fr-FR"/>
        </w:rPr>
      </w:pPr>
    </w:p>
    <w:p w:rsidR="00857EF9" w:rsidRPr="00414E07" w:rsidRDefault="00857EF9" w:rsidP="00857EF9">
      <w:pPr>
        <w:pStyle w:val="PDSAnnexHeading"/>
      </w:pPr>
      <w:bookmarkStart w:id="42" w:name="_Toc362270241"/>
      <w:proofErr w:type="spellStart"/>
      <w:r>
        <w:t>Annexe</w:t>
      </w:r>
      <w:proofErr w:type="spellEnd"/>
      <w:r>
        <w:t xml:space="preserve"> 6 : </w:t>
      </w:r>
      <w:proofErr w:type="spellStart"/>
      <w:r>
        <w:t>Analyse</w:t>
      </w:r>
      <w:proofErr w:type="spellEnd"/>
      <w:r>
        <w:t xml:space="preserve"> </w:t>
      </w:r>
      <w:proofErr w:type="spellStart"/>
      <w:r>
        <w:t>économique</w:t>
      </w:r>
      <w:proofErr w:type="spellEnd"/>
      <w:r>
        <w:t xml:space="preserve"> et </w:t>
      </w:r>
      <w:proofErr w:type="spellStart"/>
      <w:r>
        <w:t>financière</w:t>
      </w:r>
      <w:bookmarkEnd w:id="42"/>
      <w:proofErr w:type="spellEnd"/>
      <w:r>
        <w:t xml:space="preserve"> </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Relations entre les composantes du projet et l'ODP</w:t>
      </w:r>
      <w:r w:rsidRPr="00927D19">
        <w:rPr>
          <w:lang w:val="fr-FR"/>
        </w:rPr>
        <w:t> : Au vu du contexte économique, ce projet vise en priorité à aider la République d'Haïti à améliorer les conditions d'investissement dans le secteur privé et la croissance inclusive</w:t>
      </w:r>
      <w:r w:rsidRPr="00927D19">
        <w:rPr>
          <w:bCs/>
          <w:lang w:val="fr-FR"/>
        </w:rPr>
        <w:t xml:space="preserve">. </w:t>
      </w:r>
      <w:r w:rsidRPr="00927D19">
        <w:rPr>
          <w:lang w:val="fr-FR"/>
        </w:rPr>
        <w:t>Pour y parvenir, il conviendra notamment d'améliorer le cadre juridique des affaires en Haïti et de l'appliquer, de soutenir le développement des ZEI, d'encourager une approche sectorielle du développement et d'offrir des SDE aux MPME. Tous ces ingrédients sont contenus dans les principales composantes du projet décrites dans la section III du DEP.</w:t>
      </w:r>
    </w:p>
    <w:p w:rsidR="00857EF9" w:rsidRPr="00927D19" w:rsidRDefault="00857EF9" w:rsidP="00B563F2">
      <w:pPr>
        <w:pStyle w:val="ListParagraph"/>
        <w:numPr>
          <w:ilvl w:val="0"/>
          <w:numId w:val="32"/>
        </w:numPr>
        <w:spacing w:after="120"/>
        <w:ind w:left="0"/>
        <w:contextualSpacing w:val="0"/>
        <w:jc w:val="both"/>
        <w:rPr>
          <w:b/>
          <w:lang w:val="fr-FR"/>
        </w:rPr>
      </w:pPr>
      <w:r w:rsidRPr="00927D19">
        <w:rPr>
          <w:b/>
          <w:lang w:val="fr-FR"/>
        </w:rPr>
        <w:t>Analyse économique </w:t>
      </w:r>
      <w:r w:rsidRPr="00927D19">
        <w:rPr>
          <w:lang w:val="fr-FR"/>
        </w:rPr>
        <w:t xml:space="preserve">: Pour être acceptable du point de vue économique, un projet financé par la Banque doit répondre à deux critères : (a) sa valeur actualisée nette escomptée doit être positive, et (b) sa valeur actualisée nette escomptée doit être supérieure ou égale à la valeur actualisée nette escomptée des alternatives au projet acceptables par toutes les parties. Le projet étant formé de plusieurs composantes, chacune de ces composantes doit faire l'objet d'une évaluation préliminaire comme s'il s'agissait d'une composante marginale, avant l'évaluation combinée de toutes les composantes. Toutefois, cette méthode standard ne peut être appliquée que partiellement au projet, puisque le succès de chaque composante dépend, entre autres, de l'existence d'autres composantes. Par exemple, des investissements accrus dans les zones sont en partie tributaires du succès des réformes du climat des affaires, lesquelles seront d'autant plus bénéfiques que les zones économiques intégrées se développeront de façon fructueuse). </w:t>
      </w:r>
    </w:p>
    <w:p w:rsidR="00857EF9" w:rsidRPr="00414E07" w:rsidRDefault="00857EF9" w:rsidP="00B563F2">
      <w:pPr>
        <w:pStyle w:val="ListParagraph"/>
        <w:numPr>
          <w:ilvl w:val="0"/>
          <w:numId w:val="32"/>
        </w:numPr>
        <w:spacing w:after="120"/>
        <w:ind w:left="0"/>
        <w:contextualSpacing w:val="0"/>
        <w:jc w:val="both"/>
      </w:pPr>
      <w:r w:rsidRPr="00927D19">
        <w:rPr>
          <w:lang w:val="fr-FR"/>
        </w:rPr>
        <w:t xml:space="preserve">En l'absence de modèles d'évaluation rigoureux pour calculer le taux de rentabilité de certaines activités du projet, la rentabilité économique et financière a été mesurée en fonction de la capacité des activités du projet à contribuer à la promotion de l'investissement et aux services de développement des entreprises, des domaines pour lesquels on dispose d'estimations raisonnables dans la documentation et par l'expérience. Si les activités de conseil concernant la promotion de l'investissement et l'étude de faisabilité des ZEI aboutissent à une demande de financement supplémentaire pour le développement d'une ou plusieurs ZEI, les taux de rentabilité économique et financière de ces ZEI proposées seront calculés également. Pour contourner la difficulté liée à l'établissement d'une relation directe entre l'appui apporté globalement par le projet aux réformes du climat des affaires et leur impact économique combiné, une analyse qualitative des résultats escomptés au titre de cette sous-composante, fondée sur une analyse documentaire, est exposée en détail ci-après. En outre, au moins une évaluation d'impact rigoureuse sera menée pour déterminer l'impact d'une réforme spécifique du climat des affaires, probablement celle portant sur la création d'un registre des garanties mobilières. Aucune analyse économique n'a été effectuée pour l'exécution, le suivi et l'évaluation du projet, ou pour la composante relative aux interventions d'urgence. En effet, il n'existe pas de méthodologie communément acceptée pour analyser les activités de renforcement des capacités sous l'angle économique. </w:t>
      </w:r>
      <w:proofErr w:type="spellStart"/>
      <w:r>
        <w:t>C'est</w:t>
      </w:r>
      <w:proofErr w:type="spellEnd"/>
      <w:r>
        <w:t xml:space="preserve"> </w:t>
      </w:r>
      <w:proofErr w:type="spellStart"/>
      <w:r>
        <w:t>pourquoi</w:t>
      </w:r>
      <w:proofErr w:type="spellEnd"/>
      <w:r>
        <w:t xml:space="preserve"> </w:t>
      </w:r>
      <w:proofErr w:type="spellStart"/>
      <w:r>
        <w:t>leur</w:t>
      </w:r>
      <w:proofErr w:type="spellEnd"/>
      <w:r>
        <w:t xml:space="preserve"> inclusion se </w:t>
      </w:r>
      <w:proofErr w:type="spellStart"/>
      <w:r>
        <w:t>justifie</w:t>
      </w:r>
      <w:proofErr w:type="spellEnd"/>
      <w:r>
        <w:t xml:space="preserve"> </w:t>
      </w:r>
      <w:proofErr w:type="spellStart"/>
      <w:r>
        <w:t>par</w:t>
      </w:r>
      <w:proofErr w:type="spellEnd"/>
      <w:r>
        <w:t xml:space="preserve"> la </w:t>
      </w:r>
      <w:proofErr w:type="spellStart"/>
      <w:r>
        <w:t>rentabilité</w:t>
      </w:r>
      <w:proofErr w:type="spellEnd"/>
      <w:r>
        <w:t>.</w:t>
      </w:r>
    </w:p>
    <w:p w:rsidR="00857EF9" w:rsidRPr="00927D19" w:rsidRDefault="00857EF9" w:rsidP="00B563F2">
      <w:pPr>
        <w:pStyle w:val="ListParagraph"/>
        <w:numPr>
          <w:ilvl w:val="0"/>
          <w:numId w:val="32"/>
        </w:numPr>
        <w:spacing w:after="120"/>
        <w:ind w:left="0"/>
        <w:contextualSpacing w:val="0"/>
        <w:jc w:val="both"/>
        <w:rPr>
          <w:rFonts w:eastAsiaTheme="minorHAnsi" w:cstheme="minorBidi"/>
          <w:szCs w:val="22"/>
          <w:lang w:val="fr-FR"/>
        </w:rPr>
      </w:pPr>
      <w:r w:rsidRPr="00927D19">
        <w:rPr>
          <w:szCs w:val="22"/>
          <w:lang w:val="fr-FR"/>
        </w:rPr>
        <w:t xml:space="preserve">Tous les calculs se fondent sur un horizon fixé à 2018 pour le projet. Cela signifie que les valeurs actualisées nettes et les taux de rentabilité économique sont calculés sur une période de cinq ans, de 2013 à 2018. Il est probable que les effets réels des investissements du projet se prolongent bien après 2018, mais ceux-ci ne sont pas pris en compte dans les calculs, afin de ne fournir qu'une estimation prudente des bénéfices du projet. Nous prenons pour hypothèse un taux </w:t>
      </w:r>
      <w:r w:rsidRPr="00927D19">
        <w:rPr>
          <w:szCs w:val="22"/>
          <w:lang w:val="fr-FR"/>
        </w:rPr>
        <w:lastRenderedPageBreak/>
        <w:t>prudent d'actualisation de 10 %, en gardant à l'esprit que les taux plafonds des obligations de l'État haïtien varient entre 1 % (obligation à 7 jours) et 3 % (obligation à 91 jours)</w:t>
      </w:r>
      <w:r w:rsidRPr="00414E07">
        <w:rPr>
          <w:rStyle w:val="FootnoteReference"/>
          <w:rFonts w:eastAsiaTheme="minorHAnsi" w:cstheme="minorBidi"/>
          <w:szCs w:val="22"/>
        </w:rPr>
        <w:footnoteReference w:id="73"/>
      </w:r>
      <w:r w:rsidRPr="00927D19">
        <w:rPr>
          <w:szCs w:val="22"/>
          <w:lang w:val="fr-FR"/>
        </w:rPr>
        <w:t xml:space="preserve">. </w:t>
      </w:r>
    </w:p>
    <w:p w:rsidR="00857EF9" w:rsidRPr="00927D19" w:rsidRDefault="00857EF9" w:rsidP="00B563F2">
      <w:pPr>
        <w:pStyle w:val="ListParagraph"/>
        <w:numPr>
          <w:ilvl w:val="0"/>
          <w:numId w:val="32"/>
        </w:numPr>
        <w:spacing w:after="120"/>
        <w:ind w:left="0"/>
        <w:contextualSpacing w:val="0"/>
        <w:jc w:val="both"/>
        <w:rPr>
          <w:lang w:val="fr-FR"/>
        </w:rPr>
      </w:pPr>
      <w:r w:rsidRPr="00927D19">
        <w:rPr>
          <w:lang w:val="fr-FR"/>
        </w:rPr>
        <w:t xml:space="preserve">Selon ces hypothèses modérées, on peut s'attendre à un taux de rentabilité économique du projet de 23 %, avec un bénéfice net de 2,6 millions de dollars (après déduction de 3 millions de dollars de frais de gestion) et une valeur actualisée nette de 1,03 million de dollars. Ces chiffres reposent sur une hausse de 2 % de l'IDE (par rapport à la valeur de référence de 2011) et un rendement de 5 % des activités SDE pendant les cinq ans du projet. Rappelons que le taux de rentabilité économique correspond à une comparaison entre les coûts et les bénéfices d'un projet. À la différence d'une analyse financière, les coûts et les bénéfices ne se limitent pas aux sommes payées par l'investisseur et engrangées par le bénéficiaire. En conséquence, ce taux de rentabilité économique du projet prend en compte les coûts du projet, la rentabilité escomptée des deux sous-composantes mentionnées, le taux d'actualisation de 10 % appliqué à la fois aux coûts et aux bénéfices ainsi que les effets supplémentaires attendus dans l'économie suite aux fonds investis initialement dans le projet et à l'augmentation de l'activité des entreprises ou des investissements dans les ZEI, notamment la hausse de la demande, la création d'emplois et la consommation résultant des salaires.  </w:t>
      </w:r>
    </w:p>
    <w:p w:rsidR="00857EF9" w:rsidRPr="00927D19" w:rsidRDefault="00857EF9" w:rsidP="00B563F2">
      <w:pPr>
        <w:pStyle w:val="ListParagraph"/>
        <w:numPr>
          <w:ilvl w:val="0"/>
          <w:numId w:val="32"/>
        </w:numPr>
        <w:spacing w:after="120"/>
        <w:ind w:left="0"/>
        <w:contextualSpacing w:val="0"/>
        <w:jc w:val="both"/>
        <w:rPr>
          <w:lang w:val="fr-FR"/>
        </w:rPr>
      </w:pPr>
      <w:r w:rsidRPr="00927D19">
        <w:rPr>
          <w:lang w:val="fr-FR"/>
        </w:rPr>
        <w:t>L'augmentation estimée de 2 % de l'IDE découlant des activités de promotion et de facilitation des investissements</w:t>
      </w:r>
      <w:r w:rsidRPr="00414E07">
        <w:rPr>
          <w:rStyle w:val="FootnoteReference"/>
        </w:rPr>
        <w:footnoteReference w:id="74"/>
      </w:r>
      <w:r w:rsidRPr="00927D19">
        <w:rPr>
          <w:lang w:val="fr-FR"/>
        </w:rPr>
        <w:t xml:space="preserve"> (par rapport à la valeur de référence de 2011) repose sur l'hypothèse d'une hausse progressive des bénéfices au fur et à mesure du déroulement du projet, avec zéro bénéfice en 2014 et 2015, 20 % de bénéfices en 2016, 50 % en 2017, et ainsi de suite jusqu'à ce que les bénéfices complets (hausse totale de 2 %) soient atteints en 2018. Des exemples nationaux de promotion et de facilitation de l'investissement, par exemple la création d'un guichet unique d'investissement en Slovaquie ou un mécanisme similaire au Zimbabwe, ont débouché sur des hausses des investissements bien plus importantes (entre 50 % et 200 %). Par ailleurs, une étude dans 58 pays a montré une corrélation positive entre la promotion de l'investissement et la hausse de l'IDE, avec un effet multiplicateur de l'amélioration du climat d'investissement sur l'IDE. Cette étude note en effet qu'une augmentation de 10 % (à partir d'un minimum de 2 millions de dollars) du budget d'un organisme de promotion de l'investissement s'accompagne d'une hausse de 7,5 % de l'IDE</w:t>
      </w:r>
      <w:r w:rsidRPr="00414E07">
        <w:rPr>
          <w:rStyle w:val="FootnoteReference"/>
        </w:rPr>
        <w:footnoteReference w:id="75"/>
      </w:r>
      <w:r w:rsidRPr="00927D19">
        <w:rPr>
          <w:lang w:val="fr-FR"/>
        </w:rPr>
        <w:t>. Ainsi, notre hypothèse de hausse de 2 % en cinq ans semble très prudente. Les activités de promotion de l'investissement devraient coûter 3 millions de dollars pendant l'ensemble du projet.</w:t>
      </w:r>
    </w:p>
    <w:p w:rsidR="00857EF9" w:rsidRPr="00927D19" w:rsidRDefault="00857EF9" w:rsidP="00B563F2">
      <w:pPr>
        <w:pStyle w:val="ListParagraph"/>
        <w:numPr>
          <w:ilvl w:val="0"/>
          <w:numId w:val="32"/>
        </w:numPr>
        <w:spacing w:after="120"/>
        <w:ind w:left="0"/>
        <w:contextualSpacing w:val="0"/>
        <w:jc w:val="both"/>
        <w:rPr>
          <w:lang w:val="fr-FR"/>
        </w:rPr>
      </w:pPr>
      <w:r w:rsidRPr="00927D19">
        <w:rPr>
          <w:lang w:val="fr-FR"/>
        </w:rPr>
        <w:t xml:space="preserve">S'agissant des activités SDE, nous prévoyons une rentabilité de 5 % avec un effet multiplicateur de 1,5 sur l'économie locale. Ce taux de rentabilité de 5 % du financement de la </w:t>
      </w:r>
      <w:r w:rsidRPr="00927D19">
        <w:rPr>
          <w:lang w:val="fr-FR"/>
        </w:rPr>
        <w:lastRenderedPageBreak/>
        <w:t>composante SDE repose sur des résultats observés dans d'autres pays, notamment au Bangladesh, en Bolivie, au Mexique et en Zambie</w:t>
      </w:r>
      <w:r w:rsidRPr="00414E07">
        <w:rPr>
          <w:rStyle w:val="FootnoteReference"/>
        </w:rPr>
        <w:footnoteReference w:id="76"/>
      </w:r>
      <w:r w:rsidRPr="00927D19">
        <w:rPr>
          <w:lang w:val="fr-FR"/>
        </w:rPr>
        <w:t xml:space="preserve"> où l'appui aux SDE a entraîné une hausse continue des revenus et des ventes des bénéficiaires (s'échelonnant entre 28 % et 120 % par rapport aux groupes de contrôle). Le coût de la composante SDE devrait s'élever à 7 millions de dollars au total.  </w:t>
      </w:r>
    </w:p>
    <w:p w:rsidR="00857EF9" w:rsidRPr="00927D19" w:rsidRDefault="00857EF9" w:rsidP="00B563F2">
      <w:pPr>
        <w:pStyle w:val="ListParagraph"/>
        <w:numPr>
          <w:ilvl w:val="0"/>
          <w:numId w:val="32"/>
        </w:numPr>
        <w:spacing w:after="120"/>
        <w:ind w:left="0"/>
        <w:contextualSpacing w:val="0"/>
        <w:jc w:val="both"/>
        <w:rPr>
          <w:lang w:val="fr-FR"/>
        </w:rPr>
      </w:pPr>
      <w:r w:rsidRPr="00927D19">
        <w:rPr>
          <w:lang w:val="fr-FR"/>
        </w:rPr>
        <w:t>Notons que le TRE calculé ici se place dans la limite basse, et que le projet pourra déboucher sur des résultats nettement supérieurs (voir plus loin). L'association des coûts et des bénéfices tout au long de la durée de vie du projet est illustrée par la représentation visuelle de l'estimation de l'évolution de la trésorerie pendant la mise en œuvre du projet présentée ci-dessous.</w:t>
      </w:r>
    </w:p>
    <w:p w:rsidR="00857EF9" w:rsidRPr="00414E07" w:rsidRDefault="00857EF9" w:rsidP="00857EF9">
      <w:pPr>
        <w:spacing w:after="120"/>
        <w:jc w:val="center"/>
        <w:rPr>
          <w:b/>
        </w:rPr>
      </w:pPr>
      <w:r w:rsidRPr="00414E07">
        <w:rPr>
          <w:noProof/>
        </w:rPr>
        <w:drawing>
          <wp:inline distT="0" distB="0" distL="0" distR="0" wp14:anchorId="179AF983" wp14:editId="2F62D575">
            <wp:extent cx="4062202" cy="230623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7EF9" w:rsidRPr="00927D19" w:rsidRDefault="00857EF9" w:rsidP="00857EF9">
      <w:pPr>
        <w:pStyle w:val="ListParagraph"/>
        <w:spacing w:after="120"/>
        <w:ind w:left="0"/>
        <w:contextualSpacing w:val="0"/>
        <w:jc w:val="both"/>
        <w:rPr>
          <w:lang w:val="fr-FR"/>
        </w:rPr>
      </w:pPr>
      <w:r w:rsidRPr="00927D19">
        <w:rPr>
          <w:lang w:val="fr-FR"/>
        </w:rPr>
        <w:t>Les principales hypothèses étayant ces calculs sont détaillées ci-après pour chaque composante.</w:t>
      </w:r>
    </w:p>
    <w:p w:rsidR="00857EF9" w:rsidRPr="00927D19" w:rsidRDefault="00857EF9" w:rsidP="00857EF9">
      <w:pPr>
        <w:pStyle w:val="ListParagraph"/>
        <w:shd w:val="clear" w:color="auto" w:fill="FFFFFF"/>
        <w:tabs>
          <w:tab w:val="left" w:pos="720"/>
          <w:tab w:val="left" w:pos="1170"/>
        </w:tabs>
        <w:spacing w:after="120"/>
        <w:ind w:left="0"/>
        <w:contextualSpacing w:val="0"/>
        <w:jc w:val="both"/>
        <w:rPr>
          <w:lang w:val="fr-FR"/>
        </w:rPr>
      </w:pPr>
      <w:r w:rsidRPr="00927D19">
        <w:rPr>
          <w:b/>
          <w:lang w:val="fr-FR"/>
        </w:rPr>
        <w:t xml:space="preserve">Composante 1 – Climat des affaires et promotion de l'investissement (10 millions USD au total)  </w:t>
      </w:r>
    </w:p>
    <w:p w:rsidR="00857EF9" w:rsidRPr="00927D19" w:rsidRDefault="00857EF9" w:rsidP="00B563F2">
      <w:pPr>
        <w:pStyle w:val="ListParagraph"/>
        <w:numPr>
          <w:ilvl w:val="0"/>
          <w:numId w:val="32"/>
        </w:numPr>
        <w:spacing w:after="120"/>
        <w:ind w:left="0"/>
        <w:contextualSpacing w:val="0"/>
        <w:jc w:val="both"/>
        <w:rPr>
          <w:lang w:val="fr-FR"/>
        </w:rPr>
      </w:pPr>
      <w:r w:rsidRPr="00927D19">
        <w:rPr>
          <w:lang w:val="fr-FR"/>
        </w:rPr>
        <w:t xml:space="preserve">Cette composante servira à améliorer le climat des affaires en Haïti ainsi qu'à faciliter et promouvoir les investissements. </w:t>
      </w:r>
    </w:p>
    <w:p w:rsidR="00857EF9" w:rsidRPr="00927D19" w:rsidRDefault="00857EF9" w:rsidP="00857EF9">
      <w:pPr>
        <w:pStyle w:val="ListParagraph"/>
        <w:keepNext/>
        <w:shd w:val="clear" w:color="auto" w:fill="FFFFFF"/>
        <w:spacing w:before="100" w:beforeAutospacing="1" w:after="120"/>
        <w:ind w:left="0"/>
        <w:contextualSpacing w:val="0"/>
        <w:jc w:val="both"/>
        <w:rPr>
          <w:b/>
          <w:i/>
          <w:lang w:val="fr-FR"/>
        </w:rPr>
      </w:pPr>
      <w:r w:rsidRPr="00927D19">
        <w:rPr>
          <w:i/>
          <w:lang w:val="fr-FR"/>
        </w:rPr>
        <w:t>Sous-composante 1.1. : Réforme du climat des affaires</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L'environnement réglementaire actuel en Haïti ne facilite pas les affaires. </w:t>
      </w:r>
      <w:r w:rsidRPr="00927D19">
        <w:rPr>
          <w:lang w:val="fr-FR"/>
        </w:rPr>
        <w:t>Selon le Forum économique mondial (FEM), qui classe Haïti au 141</w:t>
      </w:r>
      <w:r w:rsidRPr="00927D19">
        <w:rPr>
          <w:vertAlign w:val="superscript"/>
          <w:lang w:val="fr-FR"/>
        </w:rPr>
        <w:t>e</w:t>
      </w:r>
      <w:r w:rsidRPr="00927D19">
        <w:rPr>
          <w:lang w:val="fr-FR"/>
        </w:rPr>
        <w:t xml:space="preserve"> rang sur 142 dans son Indice </w:t>
      </w:r>
      <w:r w:rsidRPr="00927D19">
        <w:rPr>
          <w:lang w:val="fr-FR"/>
        </w:rPr>
        <w:lastRenderedPageBreak/>
        <w:t>mondial de compétitivité, le pays est l'un des moins compétitifs de la planète. La disponibilité et le caractère abordable des services financiers, ainsi que l'accès aux prêts figurent notamment parmi les pires au monde</w:t>
      </w:r>
      <w:r w:rsidRPr="00414E07">
        <w:rPr>
          <w:rStyle w:val="FootnoteReference"/>
        </w:rPr>
        <w:footnoteReference w:id="77"/>
      </w:r>
      <w:r w:rsidRPr="00927D19">
        <w:rPr>
          <w:lang w:val="fr-FR"/>
        </w:rPr>
        <w:t>. En conséquence, selon l'Indice d'inclusion financière de la Banque mondiale, 8 % seulement de la population adulte a bénéficié d'un prêt en 2011, et seuls 22 % disposent d'un compte dans une institution financière formelle</w:t>
      </w:r>
      <w:r w:rsidRPr="00414E07">
        <w:rPr>
          <w:rStyle w:val="FootnoteReference"/>
        </w:rPr>
        <w:footnoteReference w:id="78"/>
      </w:r>
      <w:r w:rsidRPr="00927D19">
        <w:rPr>
          <w:lang w:val="fr-FR"/>
        </w:rPr>
        <w:t>. Le cadre réglementaire est aussi particulièrement défavorable aux entreprises : à l'échelon mondial, Haïti se place au 174</w:t>
      </w:r>
      <w:r w:rsidRPr="00927D19">
        <w:rPr>
          <w:vertAlign w:val="superscript"/>
          <w:lang w:val="fr-FR"/>
        </w:rPr>
        <w:t>e</w:t>
      </w:r>
      <w:r w:rsidRPr="00927D19">
        <w:rPr>
          <w:lang w:val="fr-FR"/>
        </w:rPr>
        <w:t xml:space="preserve"> rang sur 185 pays pour la facilité de faire des affaires</w:t>
      </w:r>
      <w:r w:rsidRPr="00414E07">
        <w:rPr>
          <w:rStyle w:val="FootnoteReference"/>
        </w:rPr>
        <w:footnoteReference w:id="79"/>
      </w:r>
      <w:r w:rsidRPr="00927D19">
        <w:rPr>
          <w:lang w:val="fr-FR"/>
        </w:rPr>
        <w:t xml:space="preserve">. Par exemple, il faut compter entre 31 et 33 jours pour exporter ou importer des marchandises. Le coût des procédures de création d'entreprise représente 286 % du RNB par habitant, et il faut 105 jours pour les mener à bien.  </w:t>
      </w:r>
    </w:p>
    <w:p w:rsidR="00857EF9" w:rsidRPr="00927D19" w:rsidRDefault="00857EF9" w:rsidP="00857EF9">
      <w:pPr>
        <w:spacing w:after="120"/>
        <w:rPr>
          <w:i/>
          <w:lang w:val="fr-FR"/>
        </w:rPr>
      </w:pPr>
    </w:p>
    <w:p w:rsidR="00857EF9" w:rsidRPr="00414E07" w:rsidRDefault="00857EF9" w:rsidP="00857EF9">
      <w:pPr>
        <w:spacing w:after="120"/>
        <w:rPr>
          <w:i/>
        </w:rPr>
      </w:pPr>
      <w:proofErr w:type="spellStart"/>
      <w:r>
        <w:rPr>
          <w:i/>
        </w:rPr>
        <w:t>Bénéfices</w:t>
      </w:r>
      <w:proofErr w:type="spellEnd"/>
      <w:r>
        <w:rPr>
          <w:i/>
        </w:rPr>
        <w:t xml:space="preserve"> </w:t>
      </w:r>
      <w:proofErr w:type="spellStart"/>
      <w:r>
        <w:rPr>
          <w:i/>
        </w:rPr>
        <w:t>supplémentaires</w:t>
      </w:r>
      <w:proofErr w:type="spellEnd"/>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Des bénéfices substantiels peuvent être réalisés par le biais des réformes de la réglementation.  </w:t>
      </w:r>
      <w:r w:rsidRPr="00927D19">
        <w:rPr>
          <w:lang w:val="fr-FR"/>
        </w:rPr>
        <w:t xml:space="preserve"> Afin d'établir nos estimations sur l'impact potentiel de certaines réformes du climat des affaires, nous nous sommes tournés vers des études réalisées sur d'autres pays, tout en prenant en compte le fait que, par rapport à Haïti, ces pays sont bien plus stables politiquement, qu'ils disposent de revenus plus élevés et de capacités suffisantes sur le plan institutionnel. Il n'en reste pas moins que l'orientation de l'impact est </w:t>
      </w:r>
      <w:proofErr w:type="gramStart"/>
      <w:r w:rsidRPr="00927D19">
        <w:rPr>
          <w:lang w:val="fr-FR"/>
        </w:rPr>
        <w:t>cohérente</w:t>
      </w:r>
      <w:proofErr w:type="gramEnd"/>
      <w:r w:rsidRPr="00927D19">
        <w:rPr>
          <w:lang w:val="fr-FR"/>
        </w:rPr>
        <w:t>. Par exemple, les réformes des cadres des transactions sécurisées et de l'insolvabilité, notamment la création d'un registre des garanties mobilières et une modification du cadre légal, devraient élargir l'accès des PME au crédit et en abaisser le coût. Cette estimation est fondée sur des résultats enregistrés dans d'autres pays qui ont réformé leurs systèmes de gestion de l'insolvabilité et du règlement des dettes, comme le Brésil (coût de l'endettement en diminution de 22 %, crédit global en augmentation de 39 %</w:t>
      </w:r>
      <w:r w:rsidRPr="00414E07">
        <w:rPr>
          <w:rStyle w:val="FootnoteReference"/>
        </w:rPr>
        <w:footnoteReference w:id="80"/>
      </w:r>
      <w:r w:rsidRPr="00927D19">
        <w:rPr>
          <w:lang w:val="fr-FR"/>
        </w:rPr>
        <w:t>)</w:t>
      </w:r>
      <w:r w:rsidRPr="00414E07">
        <w:rPr>
          <w:rStyle w:val="FootnoteReference"/>
        </w:rPr>
        <w:footnoteReference w:id="81"/>
      </w:r>
      <w:r w:rsidRPr="00927D19">
        <w:rPr>
          <w:lang w:val="fr-FR"/>
        </w:rPr>
        <w:t> ; l'Inde (taux d’intérêt en baisse de 1,36 point de pourcentage</w:t>
      </w:r>
      <w:r w:rsidRPr="00414E07">
        <w:rPr>
          <w:rStyle w:val="FootnoteReference"/>
        </w:rPr>
        <w:footnoteReference w:id="82"/>
      </w:r>
      <w:r w:rsidRPr="00927D19">
        <w:rPr>
          <w:lang w:val="fr-FR"/>
        </w:rPr>
        <w:t>) et la Thaïlande (diminution des créances douteuses et des coûts prévus liés à de graves difficultés financières</w:t>
      </w:r>
      <w:r w:rsidRPr="00414E07">
        <w:rPr>
          <w:rStyle w:val="FootnoteReference"/>
        </w:rPr>
        <w:footnoteReference w:id="83"/>
      </w:r>
      <w:r w:rsidRPr="00927D19">
        <w:rPr>
          <w:lang w:val="fr-FR"/>
        </w:rPr>
        <w:t>.) Concernant plus précisément les registres des garanties, une étude transnationale de 73 économies a montré que la création de tels registres avait facilité l’accès des entreprises aux financements, avec des impacts quelque peu plus importants pour les petites entreprises</w:t>
      </w:r>
      <w:r w:rsidRPr="00414E07">
        <w:rPr>
          <w:rStyle w:val="FootnoteReference"/>
        </w:rPr>
        <w:footnoteReference w:id="84"/>
      </w:r>
      <w:r w:rsidRPr="00927D19">
        <w:rPr>
          <w:lang w:val="fr-FR"/>
        </w:rPr>
        <w:t xml:space="preserve">. Dans les pays qui ont instauré de tels registres – notamment le Guatemala et le Rwanda – l'accès des entreprises aux financements a augmenté de huit points de pourcentage, les fonds de roulement financés par des banques ont </w:t>
      </w:r>
      <w:r w:rsidRPr="00927D19">
        <w:rPr>
          <w:lang w:val="fr-FR"/>
        </w:rPr>
        <w:lastRenderedPageBreak/>
        <w:t>augmenté de dix points de pourcentage et les taux d'intérêt moyens ont baissé de trois points de pourcentage</w:t>
      </w:r>
      <w:r w:rsidRPr="00414E07">
        <w:rPr>
          <w:rStyle w:val="FootnoteReference"/>
        </w:rPr>
        <w:footnoteReference w:id="85"/>
      </w:r>
      <w:r w:rsidRPr="00927D19">
        <w:rPr>
          <w:lang w:val="fr-FR"/>
        </w:rPr>
        <w:t xml:space="preserve">. </w:t>
      </w:r>
    </w:p>
    <w:p w:rsidR="00857EF9" w:rsidRPr="00927D19" w:rsidRDefault="00857EF9" w:rsidP="00B563F2">
      <w:pPr>
        <w:pStyle w:val="ListParagraph"/>
        <w:numPr>
          <w:ilvl w:val="0"/>
          <w:numId w:val="32"/>
        </w:numPr>
        <w:spacing w:after="120"/>
        <w:ind w:left="0"/>
        <w:contextualSpacing w:val="0"/>
        <w:jc w:val="both"/>
        <w:rPr>
          <w:lang w:val="fr-FR"/>
        </w:rPr>
      </w:pPr>
      <w:r w:rsidRPr="00927D19">
        <w:rPr>
          <w:lang w:val="fr-FR"/>
        </w:rPr>
        <w:t>Dans un autre domaine des réformes du climat des affaires appuyées par ce projet – l'encadrement de la concurrence – les analyses sont tout aussi optimistes quant aux impacts positifs des réformes. Dans le secteur de l'agro-industrie, la suppression des contraintes de concurrence s'est soldée par des économies substantielles au profit des consommateurs et par une augmentation de la productivité globale des facteurs</w:t>
      </w:r>
      <w:r w:rsidRPr="00414E07">
        <w:rPr>
          <w:rStyle w:val="FootnoteReference"/>
        </w:rPr>
        <w:footnoteReference w:id="86"/>
      </w:r>
      <w:r w:rsidRPr="00927D19">
        <w:rPr>
          <w:lang w:val="fr-FR"/>
        </w:rPr>
        <w:t>. Par exemple au Kenya, l'ouverture du marché et la suppression du contrôle des prix du maïs ont permis aux consommateurs d'économiser 10,1 millions de dollars par an, grâce à la diminution du prix de mouture</w:t>
      </w:r>
      <w:r w:rsidRPr="00414E07">
        <w:rPr>
          <w:rStyle w:val="FootnoteReference"/>
        </w:rPr>
        <w:footnoteReference w:id="87"/>
      </w:r>
      <w:r w:rsidRPr="00927D19">
        <w:rPr>
          <w:lang w:val="fr-FR"/>
        </w:rPr>
        <w:t>. Dans le secteur des services de détail, la libéralisation des services en Ukraine a entraîné une augmentation de 3,6 % de la productivité globale des facteurs</w:t>
      </w:r>
      <w:r w:rsidRPr="00414E07">
        <w:rPr>
          <w:rStyle w:val="FootnoteReference"/>
        </w:rPr>
        <w:footnoteReference w:id="88"/>
      </w:r>
      <w:r w:rsidRPr="00927D19">
        <w:rPr>
          <w:lang w:val="fr-FR"/>
        </w:rPr>
        <w:t>. En Inde, une étude sur 1 948 boutiques de détail dans le pays a montré que des réformes favorables à la concurrence permettent d'augmenter de 87 % la productivité au travail</w:t>
      </w:r>
      <w:r w:rsidRPr="00414E07">
        <w:rPr>
          <w:rStyle w:val="FootnoteReference"/>
        </w:rPr>
        <w:footnoteReference w:id="89"/>
      </w:r>
      <w:r w:rsidRPr="00927D19">
        <w:rPr>
          <w:lang w:val="fr-FR"/>
        </w:rPr>
        <w:t xml:space="preserve">. Enfin, l'impact d'une loi ou d'une politique globale de la concurrence – actuellement inexistante en Haïti – semble très positif. Une étude de </w:t>
      </w:r>
      <w:proofErr w:type="spellStart"/>
      <w:r w:rsidRPr="00927D19">
        <w:rPr>
          <w:lang w:val="fr-FR"/>
        </w:rPr>
        <w:t>Kee</w:t>
      </w:r>
      <w:proofErr w:type="spellEnd"/>
      <w:r w:rsidRPr="00927D19">
        <w:rPr>
          <w:lang w:val="fr-FR"/>
        </w:rPr>
        <w:t xml:space="preserve"> et </w:t>
      </w:r>
      <w:proofErr w:type="spellStart"/>
      <w:r w:rsidRPr="00927D19">
        <w:rPr>
          <w:lang w:val="fr-FR"/>
        </w:rPr>
        <w:t>Hoekman</w:t>
      </w:r>
      <w:proofErr w:type="spellEnd"/>
      <w:r w:rsidRPr="00927D19">
        <w:rPr>
          <w:lang w:val="fr-FR"/>
        </w:rPr>
        <w:t xml:space="preserve"> sur plusieurs pays indique que cette réforme se traduit par une augmentation moyenne de 7,2 % pour les sociétés nationales</w:t>
      </w:r>
      <w:r w:rsidRPr="00414E07">
        <w:rPr>
          <w:rStyle w:val="FootnoteReference"/>
        </w:rPr>
        <w:footnoteReference w:id="90"/>
      </w:r>
      <w:r w:rsidRPr="00927D19">
        <w:rPr>
          <w:lang w:val="fr-FR"/>
        </w:rPr>
        <w:t>. Une autre étude portant sur l'application de ce type de politiques a constaté une hausse de la productivité globale des facteurs de 1 % associée à un accroissement de 20 % du niveau d'application (par exemple, du niveau de la République tchèque à celui du Royaume-Uni</w:t>
      </w:r>
      <w:r w:rsidRPr="00414E07">
        <w:rPr>
          <w:rStyle w:val="FootnoteReference"/>
        </w:rPr>
        <w:footnoteReference w:id="91"/>
      </w:r>
      <w:r w:rsidRPr="00927D19">
        <w:rPr>
          <w:lang w:val="fr-FR"/>
        </w:rPr>
        <w:t>).</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Le coût de la sous-composante 1.1 (Climat des affaires uniquement) est estimé à 2 millions de dollars pour l'ensemble du projet. </w:t>
      </w:r>
      <w:r w:rsidRPr="00927D19">
        <w:rPr>
          <w:lang w:val="fr-FR"/>
        </w:rPr>
        <w:t>Ces coûts sont détaillés dans la section III de ce document.</w:t>
      </w:r>
    </w:p>
    <w:p w:rsidR="00857EF9" w:rsidRPr="00927D19" w:rsidRDefault="00857EF9" w:rsidP="00857EF9">
      <w:pPr>
        <w:pStyle w:val="ListParagraph"/>
        <w:spacing w:after="120"/>
        <w:ind w:left="0"/>
        <w:contextualSpacing w:val="0"/>
        <w:jc w:val="both"/>
        <w:rPr>
          <w:i/>
          <w:lang w:val="fr-FR"/>
        </w:rPr>
      </w:pPr>
      <w:r w:rsidRPr="00927D19">
        <w:rPr>
          <w:i/>
          <w:lang w:val="fr-FR"/>
        </w:rPr>
        <w:t>Résultats de l'analyse des bénéfices et des coûts</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La valeur actualisée nette de cette composante est estimée à 5,25 millions, ce qui représente une rentabilité substantielle pour un coût de 2,2 millions de dollars pour l'ensemble du projet (ou 1,7 million de dollars en valeur actualisée). </w:t>
      </w:r>
      <w:r w:rsidRPr="00927D19">
        <w:rPr>
          <w:lang w:val="fr-FR"/>
        </w:rPr>
        <w:t xml:space="preserve">Le taux de rentabilité économique est estimé à 172 %. Il faut signaler toutefois que ces calculs reposent sur des </w:t>
      </w:r>
      <w:r w:rsidRPr="00927D19">
        <w:rPr>
          <w:lang w:val="fr-FR"/>
        </w:rPr>
        <w:lastRenderedPageBreak/>
        <w:t>créations d'emplois attendues suite à des réformes de la création des entreprises</w:t>
      </w:r>
      <w:r w:rsidRPr="00414E07">
        <w:rPr>
          <w:rStyle w:val="FootnoteReference"/>
        </w:rPr>
        <w:footnoteReference w:id="92"/>
      </w:r>
      <w:r w:rsidRPr="00927D19">
        <w:rPr>
          <w:lang w:val="fr-FR"/>
        </w:rPr>
        <w:t>. Cet aspect est utilisé ici comme indicateur des réformes générales de la réglementation des affaires en attendant que soient plus précisément définies les réformes spécifiques attachées à ce projet (telles qu'elles figureront dans les versions finales des législations, par exemple sur les transactions sécurisées, l'insolvabilité et la politique de la concurrence), à condition que des modèles d'estimation rigoureux soient disponibles.</w:t>
      </w:r>
    </w:p>
    <w:p w:rsidR="00857EF9" w:rsidRPr="00414E07" w:rsidRDefault="00857EF9" w:rsidP="00857EF9">
      <w:pPr>
        <w:pStyle w:val="ListParagraph"/>
        <w:spacing w:after="120"/>
        <w:ind w:left="0"/>
        <w:contextualSpacing w:val="0"/>
        <w:rPr>
          <w:i/>
        </w:rPr>
      </w:pPr>
      <w:proofErr w:type="spellStart"/>
      <w:r>
        <w:rPr>
          <w:i/>
        </w:rPr>
        <w:t>Analyse</w:t>
      </w:r>
      <w:proofErr w:type="spellEnd"/>
      <w:r>
        <w:rPr>
          <w:i/>
        </w:rPr>
        <w:t xml:space="preserve"> de </w:t>
      </w:r>
      <w:proofErr w:type="spellStart"/>
      <w:r>
        <w:rPr>
          <w:i/>
        </w:rPr>
        <w:t>sensibilité</w:t>
      </w:r>
      <w:proofErr w:type="spellEnd"/>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L'analyse de sensibilité révèle que cette sous-composante du projet aura une valeur actualisée nette positive à condition de créer au moins 1 234 emplois,  </w:t>
      </w:r>
      <w:r w:rsidRPr="00927D19">
        <w:rPr>
          <w:lang w:val="fr-FR"/>
        </w:rPr>
        <w:t>ce qui revient à créer 49 emplois pour 100 000 Haïtiens.</w:t>
      </w:r>
    </w:p>
    <w:p w:rsidR="00857EF9" w:rsidRPr="00927D19" w:rsidRDefault="00857EF9" w:rsidP="00857EF9">
      <w:pPr>
        <w:spacing w:after="120"/>
        <w:jc w:val="both"/>
        <w:rPr>
          <w:i/>
          <w:lang w:val="fr-FR"/>
        </w:rPr>
      </w:pPr>
      <w:r w:rsidRPr="00927D19">
        <w:rPr>
          <w:i/>
          <w:lang w:val="fr-FR"/>
        </w:rPr>
        <w:t>Sous-composante 1.2. </w:t>
      </w:r>
      <w:r w:rsidR="00113620" w:rsidRPr="00927D19">
        <w:rPr>
          <w:i/>
          <w:lang w:val="fr-FR"/>
        </w:rPr>
        <w:t>: Promotion</w:t>
      </w:r>
      <w:r w:rsidRPr="00927D19">
        <w:rPr>
          <w:i/>
          <w:lang w:val="fr-FR"/>
        </w:rPr>
        <w:t xml:space="preserve"> de l'investissement (promotion et ZEI). </w:t>
      </w:r>
    </w:p>
    <w:p w:rsidR="00857EF9" w:rsidRPr="00927D19" w:rsidRDefault="00857EF9" w:rsidP="00B563F2">
      <w:pPr>
        <w:pStyle w:val="ListParagraph"/>
        <w:numPr>
          <w:ilvl w:val="0"/>
          <w:numId w:val="32"/>
        </w:numPr>
        <w:spacing w:after="120"/>
        <w:ind w:left="0"/>
        <w:contextualSpacing w:val="0"/>
        <w:jc w:val="both"/>
        <w:rPr>
          <w:b/>
          <w:i/>
          <w:lang w:val="fr-FR"/>
        </w:rPr>
      </w:pPr>
      <w:r w:rsidRPr="00927D19">
        <w:rPr>
          <w:lang w:val="fr-FR"/>
        </w:rPr>
        <w:t>Cette composante appuiera des réformes de promotion de l'investissement dans l'ensemble de l'économie en vue d'attirer des investissements locaux et étrangers (dans l'agro-industrie, l'habillement, le tourisme et peut-être également l'industrie manufacturière légère).</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Nous avons effectué une analyse partielle des bénéfices et des coûts uniquement pour l'aspect promotion de l'investissement de cette sous-composante, en ignorant le côté consacré aux ZEI. </w:t>
      </w:r>
      <w:r w:rsidRPr="00927D19">
        <w:rPr>
          <w:lang w:val="fr-FR"/>
        </w:rPr>
        <w:t>Étant donné que la promotion de l'investissement a besoin pour réussir d'une réforme du climat des affaires, comme le montre la documentation existante</w:t>
      </w:r>
      <w:r w:rsidRPr="00414E07">
        <w:rPr>
          <w:rStyle w:val="FootnoteReference"/>
        </w:rPr>
        <w:footnoteReference w:id="93"/>
      </w:r>
      <w:r w:rsidRPr="00927D19">
        <w:rPr>
          <w:lang w:val="fr-FR"/>
        </w:rPr>
        <w:t xml:space="preserve">, nous calculons une valeur actualisée nette partielle pour les activités de promotion de l'investissement proprement dites uniquement (coût : 3 millions de dollars). Les activités de la sous-composante liées aux zones économiques intégrées (coût : 5 millions de dollars) sont destinées à identifier et mener des études de faisabilité pour deux sites au maximum. Une fois la ou les zones identifiées et leurs activités définies, nous pourrons éventuellement entreprendre une analyse complémentaire de leur impact économique. À présent, nous estimons la valeur actualisée nette et le taux de rentabilité interne de la sous-composante de promotion de l'investissement et, en escomptant une hausse totale de 2 % de l'IDE, nous définissons la valeur de seuil de l'augmentation en pourcentage de l'IDE requise pour compenser ces dépenses. Nous supposons que les bénéfices augmentent progressivement pendant toute la durée du projet, avec zéro bénéfice en 2014 et 2015, 20 % de bénéfices en 2016, 50 % en 2017, et ainsi de suite jusqu'à ce que les bénéfices complets (hausse totale de 2 % par rapport à la valeur de référence en 2011) soient atteints en 2018. </w:t>
      </w:r>
    </w:p>
    <w:p w:rsidR="00857EF9" w:rsidRPr="00927D19" w:rsidRDefault="00857EF9" w:rsidP="00857EF9">
      <w:pPr>
        <w:spacing w:after="120"/>
        <w:rPr>
          <w:i/>
          <w:lang w:val="fr-FR"/>
        </w:rPr>
      </w:pPr>
      <w:r w:rsidRPr="00927D19">
        <w:rPr>
          <w:i/>
          <w:lang w:val="fr-FR"/>
        </w:rPr>
        <w:t>Résultats de l'analyse des bénéfices et des coûts</w:t>
      </w:r>
    </w:p>
    <w:p w:rsidR="00857EF9" w:rsidRPr="009F130B" w:rsidRDefault="00857EF9" w:rsidP="00B563F2">
      <w:pPr>
        <w:pStyle w:val="ListParagraph"/>
        <w:numPr>
          <w:ilvl w:val="0"/>
          <w:numId w:val="32"/>
        </w:numPr>
        <w:spacing w:after="120"/>
        <w:ind w:left="0"/>
        <w:contextualSpacing w:val="0"/>
        <w:jc w:val="both"/>
        <w:rPr>
          <w:lang w:val="es-BO"/>
        </w:rPr>
      </w:pPr>
      <w:r w:rsidRPr="00927D19">
        <w:rPr>
          <w:b/>
          <w:lang w:val="fr-FR"/>
        </w:rPr>
        <w:t xml:space="preserve">La valeur actualisée nette de cette composante est estimée à 1,8 million. </w:t>
      </w:r>
      <w:r w:rsidRPr="009F130B">
        <w:rPr>
          <w:lang w:val="es-BO"/>
        </w:rPr>
        <w:t xml:space="preserve">Le </w:t>
      </w:r>
      <w:proofErr w:type="spellStart"/>
      <w:r w:rsidRPr="009F130B">
        <w:rPr>
          <w:lang w:val="es-BO"/>
        </w:rPr>
        <w:t>taux</w:t>
      </w:r>
      <w:proofErr w:type="spellEnd"/>
      <w:r w:rsidRPr="009F130B">
        <w:rPr>
          <w:lang w:val="es-BO"/>
        </w:rPr>
        <w:t xml:space="preserve"> de </w:t>
      </w:r>
      <w:proofErr w:type="spellStart"/>
      <w:r w:rsidRPr="009F130B">
        <w:rPr>
          <w:lang w:val="es-BO"/>
        </w:rPr>
        <w:t>rentabilité</w:t>
      </w:r>
      <w:proofErr w:type="spellEnd"/>
      <w:r w:rsidRPr="009F130B">
        <w:rPr>
          <w:lang w:val="es-BO"/>
        </w:rPr>
        <w:t xml:space="preserve"> </w:t>
      </w:r>
      <w:proofErr w:type="spellStart"/>
      <w:r w:rsidRPr="009F130B">
        <w:rPr>
          <w:lang w:val="es-BO"/>
        </w:rPr>
        <w:t>économique</w:t>
      </w:r>
      <w:proofErr w:type="spellEnd"/>
      <w:r w:rsidRPr="009F130B">
        <w:rPr>
          <w:lang w:val="es-BO"/>
        </w:rPr>
        <w:t xml:space="preserve"> </w:t>
      </w:r>
      <w:proofErr w:type="spellStart"/>
      <w:r w:rsidRPr="009F130B">
        <w:rPr>
          <w:lang w:val="es-BO"/>
        </w:rPr>
        <w:t>s'élève</w:t>
      </w:r>
      <w:proofErr w:type="spellEnd"/>
      <w:r w:rsidRPr="009F130B">
        <w:rPr>
          <w:lang w:val="es-BO"/>
        </w:rPr>
        <w:t xml:space="preserve"> à 56 %.</w:t>
      </w:r>
    </w:p>
    <w:p w:rsidR="00857EF9" w:rsidRPr="00414E07" w:rsidRDefault="00857EF9" w:rsidP="00857EF9">
      <w:pPr>
        <w:spacing w:after="120"/>
        <w:jc w:val="both"/>
        <w:rPr>
          <w:i/>
        </w:rPr>
      </w:pPr>
      <w:proofErr w:type="spellStart"/>
      <w:r>
        <w:rPr>
          <w:i/>
        </w:rPr>
        <w:t>Analyse</w:t>
      </w:r>
      <w:proofErr w:type="spellEnd"/>
      <w:r>
        <w:rPr>
          <w:i/>
        </w:rPr>
        <w:t xml:space="preserve"> de </w:t>
      </w:r>
      <w:proofErr w:type="spellStart"/>
      <w:r>
        <w:rPr>
          <w:i/>
        </w:rPr>
        <w:t>sensibilité</w:t>
      </w:r>
      <w:proofErr w:type="spellEnd"/>
    </w:p>
    <w:p w:rsidR="00857EF9" w:rsidRPr="00927D19" w:rsidRDefault="00857EF9" w:rsidP="00B563F2">
      <w:pPr>
        <w:pStyle w:val="ListParagraph"/>
        <w:numPr>
          <w:ilvl w:val="0"/>
          <w:numId w:val="32"/>
        </w:numPr>
        <w:spacing w:after="120"/>
        <w:ind w:left="0"/>
        <w:contextualSpacing w:val="0"/>
        <w:jc w:val="both"/>
        <w:rPr>
          <w:i/>
          <w:lang w:val="fr-FR"/>
        </w:rPr>
      </w:pPr>
      <w:r w:rsidRPr="00927D19">
        <w:rPr>
          <w:lang w:val="fr-FR"/>
        </w:rPr>
        <w:lastRenderedPageBreak/>
        <w:t xml:space="preserve">En se basant sur ces chiffres et sur les résultats d'une analyse de sensibilité, le pourcentage d'IDE supplémentaire requis annuellement d'ici à 2018 pour obtenir une valeur actualisée nette non négative est de 1,2 % par rapport à la valeur de référence de 2011.  </w:t>
      </w:r>
    </w:p>
    <w:p w:rsidR="00857EF9" w:rsidRPr="00927D19" w:rsidRDefault="00857EF9" w:rsidP="00857EF9">
      <w:pPr>
        <w:spacing w:after="120"/>
        <w:jc w:val="both"/>
        <w:rPr>
          <w:b/>
          <w:i/>
          <w:lang w:val="fr-FR"/>
        </w:rPr>
      </w:pPr>
      <w:r w:rsidRPr="00927D19">
        <w:rPr>
          <w:b/>
          <w:lang w:val="fr-FR"/>
        </w:rPr>
        <w:t>Composante 2 – Services de développement des entreprises (Coût : 7 millions de dollars)</w:t>
      </w:r>
    </w:p>
    <w:p w:rsidR="00857EF9" w:rsidRPr="00927D19" w:rsidRDefault="00857EF9" w:rsidP="00B563F2">
      <w:pPr>
        <w:pStyle w:val="ListParagraph"/>
        <w:numPr>
          <w:ilvl w:val="0"/>
          <w:numId w:val="32"/>
        </w:numPr>
        <w:spacing w:after="120"/>
        <w:ind w:left="0"/>
        <w:contextualSpacing w:val="0"/>
        <w:jc w:val="both"/>
        <w:rPr>
          <w:b/>
          <w:i/>
          <w:lang w:val="fr-FR"/>
        </w:rPr>
      </w:pPr>
      <w:r w:rsidRPr="00927D19">
        <w:rPr>
          <w:lang w:val="fr-FR"/>
        </w:rPr>
        <w:t xml:space="preserve">Cette composante vise à développer la capacité des MPME à contribuer à la chaîne de valeur du tourisme et à prendre place dans la chaîne d'approvisionnement des ZEI soutenues par le projet, essentiellement dans les secteurs de l'agro-industrie et de l'habillement, afin de contribuer à la mise en place d'un modèle de développement plus inclusif.  </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Le marché du crédit reste relativement peu développé en Haïti. </w:t>
      </w:r>
      <w:r w:rsidRPr="00927D19">
        <w:rPr>
          <w:lang w:val="fr-FR"/>
        </w:rPr>
        <w:t>Pour avoir une idée de l'accès au secteur financier en Haïti, on peut se fonder sur le nombre de comptes de dépôt dans les banques commerciales qui s'élève à 330 (et 42 dans des coopératives) pour 1 000 adultes, mais seulement 11 comptes de prêts dans les banques commerciales (19 dans les coopératives) pour 1 000 adultes</w:t>
      </w:r>
      <w:r w:rsidRPr="00414E07">
        <w:rPr>
          <w:rStyle w:val="FootnoteReference"/>
        </w:rPr>
        <w:footnoteReference w:id="94"/>
      </w:r>
      <w:r w:rsidRPr="00927D19">
        <w:rPr>
          <w:lang w:val="fr-FR"/>
        </w:rPr>
        <w:t xml:space="preserve">. </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La sous-composante SDE de ce projet sera axée sur l'élargissement de l'accès aux services financiers, surtout pour les MPME. </w:t>
      </w:r>
      <w:r w:rsidRPr="00927D19">
        <w:rPr>
          <w:lang w:val="fr-FR"/>
        </w:rPr>
        <w:t xml:space="preserve">Cet objectif sera réalisé en aidant les sociétés à préparer des plans de développement qui leur permettent d'accéder à des financements, y compris par des compétences d'entrepreneuriat et de gestion, des immobilisations réduites et une assistance technique. </w:t>
      </w:r>
    </w:p>
    <w:p w:rsidR="00857EF9" w:rsidRPr="00414E07" w:rsidRDefault="00857EF9" w:rsidP="00857EF9">
      <w:pPr>
        <w:spacing w:after="120"/>
        <w:jc w:val="both"/>
        <w:rPr>
          <w:i/>
        </w:rPr>
      </w:pPr>
      <w:proofErr w:type="spellStart"/>
      <w:r>
        <w:rPr>
          <w:i/>
        </w:rPr>
        <w:t>Bénéfices</w:t>
      </w:r>
      <w:proofErr w:type="spellEnd"/>
      <w:r>
        <w:rPr>
          <w:i/>
        </w:rPr>
        <w:t xml:space="preserve"> </w:t>
      </w:r>
      <w:proofErr w:type="spellStart"/>
      <w:r>
        <w:rPr>
          <w:i/>
        </w:rPr>
        <w:t>supplémentaires</w:t>
      </w:r>
      <w:proofErr w:type="spellEnd"/>
    </w:p>
    <w:p w:rsidR="00857EF9" w:rsidRPr="00927D19" w:rsidRDefault="00857EF9" w:rsidP="00B563F2">
      <w:pPr>
        <w:pStyle w:val="ListParagraph"/>
        <w:numPr>
          <w:ilvl w:val="0"/>
          <w:numId w:val="32"/>
        </w:numPr>
        <w:spacing w:after="120"/>
        <w:ind w:left="0"/>
        <w:contextualSpacing w:val="0"/>
        <w:jc w:val="both"/>
        <w:rPr>
          <w:b/>
          <w:lang w:val="fr-FR"/>
        </w:rPr>
      </w:pPr>
      <w:r w:rsidRPr="00927D19">
        <w:rPr>
          <w:b/>
          <w:lang w:val="fr-FR"/>
        </w:rPr>
        <w:t xml:space="preserve">Nous estimons les bénéfices supplémentaires de cette sous-composante du projet à partir d'une estimation prudente de taux de rentabilité des investissements de 5 %, associé à un effet multiplicateur de 1,5 fois la valeur générée sur l'économie locale. </w:t>
      </w:r>
      <w:r w:rsidRPr="00927D19">
        <w:rPr>
          <w:lang w:val="fr-FR"/>
        </w:rPr>
        <w:t>Nous supposons que les investissements sont rentabilisés avec une année de décalage (c'est-à-dire que les investissements effectués en 2013 ne deviendront rentables que l'année suivante). Le multiplicateur de 1,5 fois la valeur sur l'économie locale est calculé selon le principe que les retours des investissements seront versés sous forme de salaires aux employés des entreprises, ou à ceux des sociétés qui approvisionnent ces entreprises en biens et en services, et qu'une partie de ces revenus sera dépensée au profit de l'économie haïtienne. Le chiffre de 1,5 est une estimation basse de la valeur réelle du multiplic</w:t>
      </w:r>
      <w:r w:rsidR="00113620">
        <w:rPr>
          <w:lang w:val="fr-FR"/>
        </w:rPr>
        <w:t xml:space="preserve">ateur, car nous supposons </w:t>
      </w:r>
      <w:bookmarkStart w:id="43" w:name="_GoBack"/>
      <w:bookmarkEnd w:id="43"/>
      <w:r w:rsidR="00113620">
        <w:rPr>
          <w:lang w:val="fr-FR"/>
        </w:rPr>
        <w:t>qu’aux départs seuls</w:t>
      </w:r>
      <w:r w:rsidRPr="00927D19">
        <w:rPr>
          <w:lang w:val="fr-FR"/>
        </w:rPr>
        <w:t xml:space="preserve"> quelques rares biens et services seront fournis localement, ce qui fait que la partie des salaires ainsi dépensée profitera plutôt aux importations qu'à l'économie haïtienne. Si cette prédiction et les autres activités de la composante se concrétisent, et que le climat des affaires ainsi que la promotion de l'investissement s'améliorent, on peut espérer une hausse de l'investissement, y compris de l'approvisionnement intérieur de biens et de services.    </w:t>
      </w:r>
    </w:p>
    <w:p w:rsidR="00857EF9" w:rsidRPr="00927D19" w:rsidRDefault="00857EF9" w:rsidP="00857EF9">
      <w:pPr>
        <w:spacing w:after="120"/>
        <w:jc w:val="both"/>
        <w:rPr>
          <w:i/>
          <w:lang w:val="fr-FR"/>
        </w:rPr>
      </w:pPr>
      <w:r w:rsidRPr="00927D19">
        <w:rPr>
          <w:i/>
          <w:lang w:val="fr-FR"/>
        </w:rPr>
        <w:t>Résultats de l'analyse des bénéfices et des coûts</w:t>
      </w:r>
    </w:p>
    <w:p w:rsidR="00857EF9" w:rsidRPr="009F130B" w:rsidRDefault="00857EF9" w:rsidP="00B563F2">
      <w:pPr>
        <w:pStyle w:val="ListParagraph"/>
        <w:numPr>
          <w:ilvl w:val="0"/>
          <w:numId w:val="32"/>
        </w:numPr>
        <w:spacing w:after="120"/>
        <w:ind w:left="0"/>
        <w:contextualSpacing w:val="0"/>
        <w:jc w:val="both"/>
        <w:rPr>
          <w:lang w:val="es-BO"/>
        </w:rPr>
      </w:pPr>
      <w:r w:rsidRPr="00927D19">
        <w:rPr>
          <w:b/>
          <w:lang w:val="fr-FR"/>
        </w:rPr>
        <w:t xml:space="preserve">La valeur actualisée nette de cette composante est estimée à 1,5 million. </w:t>
      </w:r>
      <w:r w:rsidRPr="009F130B">
        <w:rPr>
          <w:lang w:val="es-BO"/>
        </w:rPr>
        <w:t xml:space="preserve">Le </w:t>
      </w:r>
      <w:proofErr w:type="spellStart"/>
      <w:r w:rsidRPr="009F130B">
        <w:rPr>
          <w:lang w:val="es-BO"/>
        </w:rPr>
        <w:t>taux</w:t>
      </w:r>
      <w:proofErr w:type="spellEnd"/>
      <w:r w:rsidRPr="009F130B">
        <w:rPr>
          <w:lang w:val="es-BO"/>
        </w:rPr>
        <w:t xml:space="preserve"> de </w:t>
      </w:r>
      <w:proofErr w:type="spellStart"/>
      <w:r w:rsidRPr="009F130B">
        <w:rPr>
          <w:lang w:val="es-BO"/>
        </w:rPr>
        <w:t>rentabilité</w:t>
      </w:r>
      <w:proofErr w:type="spellEnd"/>
      <w:r w:rsidRPr="009F130B">
        <w:rPr>
          <w:lang w:val="es-BO"/>
        </w:rPr>
        <w:t xml:space="preserve"> </w:t>
      </w:r>
      <w:proofErr w:type="spellStart"/>
      <w:r w:rsidRPr="009F130B">
        <w:rPr>
          <w:lang w:val="es-BO"/>
        </w:rPr>
        <w:t>économique</w:t>
      </w:r>
      <w:proofErr w:type="spellEnd"/>
      <w:r w:rsidRPr="009F130B">
        <w:rPr>
          <w:lang w:val="es-BO"/>
        </w:rPr>
        <w:t xml:space="preserve"> </w:t>
      </w:r>
      <w:proofErr w:type="spellStart"/>
      <w:r w:rsidRPr="009F130B">
        <w:rPr>
          <w:lang w:val="es-BO"/>
        </w:rPr>
        <w:t>s'élève</w:t>
      </w:r>
      <w:proofErr w:type="spellEnd"/>
      <w:r w:rsidRPr="009F130B">
        <w:rPr>
          <w:lang w:val="es-BO"/>
        </w:rPr>
        <w:t xml:space="preserve"> à 75 %.</w:t>
      </w:r>
    </w:p>
    <w:p w:rsidR="00857EF9" w:rsidRPr="00414E07" w:rsidRDefault="00857EF9" w:rsidP="00857EF9">
      <w:pPr>
        <w:spacing w:after="120"/>
        <w:jc w:val="both"/>
        <w:rPr>
          <w:i/>
        </w:rPr>
      </w:pPr>
      <w:proofErr w:type="spellStart"/>
      <w:r>
        <w:rPr>
          <w:i/>
        </w:rPr>
        <w:lastRenderedPageBreak/>
        <w:t>Analyse</w:t>
      </w:r>
      <w:proofErr w:type="spellEnd"/>
      <w:r>
        <w:rPr>
          <w:i/>
        </w:rPr>
        <w:t xml:space="preserve"> de </w:t>
      </w:r>
      <w:proofErr w:type="spellStart"/>
      <w:r>
        <w:rPr>
          <w:i/>
        </w:rPr>
        <w:t>sensibilité</w:t>
      </w:r>
      <w:proofErr w:type="spellEnd"/>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La première analyse de sensibilité révèle que cette sous-composante du projet aura une valeur actualisée nette positive même si les décaissements provoquent un taux de rentabilité </w:t>
      </w:r>
      <w:r w:rsidRPr="00927D19">
        <w:rPr>
          <w:b/>
          <w:i/>
          <w:lang w:val="fr-FR"/>
        </w:rPr>
        <w:t>négatif</w:t>
      </w:r>
      <w:r w:rsidRPr="00927D19">
        <w:rPr>
          <w:b/>
          <w:lang w:val="fr-FR"/>
        </w:rPr>
        <w:t xml:space="preserve"> de 21 %. </w:t>
      </w:r>
      <w:r w:rsidRPr="00927D19">
        <w:rPr>
          <w:lang w:val="fr-FR"/>
        </w:rPr>
        <w:t xml:space="preserve">Cette analyse de sensibilité a été effectuée en modifiant la valeur du taux de rentabilité des décaissements du projet tout en gardant constante la valeur du multiplicateur sur l'économie locale à 1,5. Ce résultat surprenant est dû au fait que l'existence d'un multiplicateur sur l'économie locale signifie que, même si les décaissements du projet génèrent une valeur </w:t>
      </w:r>
      <w:r w:rsidRPr="00927D19">
        <w:rPr>
          <w:i/>
          <w:lang w:val="fr-FR"/>
        </w:rPr>
        <w:t>inférieure</w:t>
      </w:r>
      <w:r w:rsidRPr="00927D19">
        <w:rPr>
          <w:lang w:val="fr-FR"/>
        </w:rPr>
        <w:t xml:space="preserve"> à la valeur monétaire des décaissements (jusqu'à un seuil de 14 % en moins), la valeur multipliée de ces décaissements sur l'économie haïtienne génèrera toujours une valeur actualisée nette positive.</w:t>
      </w:r>
    </w:p>
    <w:p w:rsidR="00857EF9" w:rsidRPr="00927D19" w:rsidRDefault="00857EF9" w:rsidP="00B563F2">
      <w:pPr>
        <w:pStyle w:val="ListParagraph"/>
        <w:numPr>
          <w:ilvl w:val="0"/>
          <w:numId w:val="32"/>
        </w:numPr>
        <w:spacing w:after="120"/>
        <w:ind w:left="0"/>
        <w:contextualSpacing w:val="0"/>
        <w:jc w:val="both"/>
        <w:rPr>
          <w:lang w:val="fr-FR"/>
        </w:rPr>
      </w:pPr>
      <w:r w:rsidRPr="00927D19">
        <w:rPr>
          <w:b/>
          <w:lang w:val="fr-FR"/>
        </w:rPr>
        <w:t xml:space="preserve">La seconde analyse de sensibilité révèle que cette sous-composante du projet aura une valeur actualisée nette positive même si le multiplicateur local n'est que de 1,13. </w:t>
      </w:r>
      <w:r w:rsidRPr="00927D19">
        <w:rPr>
          <w:lang w:val="fr-FR"/>
        </w:rPr>
        <w:t xml:space="preserve">Cette analyse de sensibilité a été effectuée en conservant une valeur constante de 5 % pour le taux de rentabilité des décaissements du projet tout en changeant uniquement le multiplicateur sur l'économie locale. </w:t>
      </w:r>
    </w:p>
    <w:p w:rsidR="00AE7702" w:rsidRPr="00857EF9" w:rsidRDefault="00AE7702" w:rsidP="00A7289C">
      <w:pPr>
        <w:rPr>
          <w:lang w:val="fr-FR"/>
        </w:rPr>
      </w:pPr>
    </w:p>
    <w:sectPr w:rsidR="00AE7702" w:rsidRPr="00857EF9" w:rsidSect="00857EF9">
      <w:headerReference w:type="even" r:id="rId28"/>
      <w:headerReference w:type="default" r:id="rId29"/>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53" w:rsidRDefault="005A4E53">
      <w:r>
        <w:separator/>
      </w:r>
    </w:p>
  </w:endnote>
  <w:endnote w:type="continuationSeparator" w:id="0">
    <w:p w:rsidR="005A4E53" w:rsidRDefault="005A4E53">
      <w:r>
        <w:continuationSeparator/>
      </w:r>
    </w:p>
  </w:endnote>
  <w:endnote w:type="continuationNotice" w:id="1">
    <w:p w:rsidR="005A4E53" w:rsidRDefault="005A4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90020"/>
      <w:docPartObj>
        <w:docPartGallery w:val="Page Numbers (Bottom of Page)"/>
        <w:docPartUnique/>
      </w:docPartObj>
    </w:sdtPr>
    <w:sdtEndPr>
      <w:rPr>
        <w:noProof/>
      </w:rPr>
    </w:sdtEndPr>
    <w:sdtContent>
      <w:p w:rsidR="005A4E53" w:rsidRDefault="005A4E53">
        <w:pPr>
          <w:pStyle w:val="Footer"/>
          <w:jc w:val="center"/>
        </w:pPr>
        <w:r>
          <w:fldChar w:fldCharType="begin"/>
        </w:r>
        <w:r>
          <w:instrText xml:space="preserve"> PAGE   \* MERGEFORMAT </w:instrText>
        </w:r>
        <w:r>
          <w:fldChar w:fldCharType="separate"/>
        </w:r>
        <w:r w:rsidR="00113620">
          <w:rPr>
            <w:noProof/>
          </w:rPr>
          <w:t>iv</w:t>
        </w:r>
        <w:r>
          <w:rPr>
            <w:noProof/>
          </w:rPr>
          <w:fldChar w:fldCharType="end"/>
        </w:r>
      </w:p>
    </w:sdtContent>
  </w:sdt>
  <w:p w:rsidR="005A4E53" w:rsidRPr="00BA00A7" w:rsidRDefault="005A4E53" w:rsidP="00BA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0444"/>
      <w:docPartObj>
        <w:docPartGallery w:val="Page Numbers (Bottom of Page)"/>
        <w:docPartUnique/>
      </w:docPartObj>
    </w:sdtPr>
    <w:sdtEndPr>
      <w:rPr>
        <w:noProof/>
      </w:rPr>
    </w:sdtEndPr>
    <w:sdtContent>
      <w:p w:rsidR="005A4E53" w:rsidRDefault="005A4E53">
        <w:pPr>
          <w:pStyle w:val="Footer"/>
          <w:jc w:val="center"/>
        </w:pPr>
        <w:r>
          <w:fldChar w:fldCharType="begin"/>
        </w:r>
        <w:r>
          <w:instrText xml:space="preserve"> PAGE   \* MERGEFORMAT </w:instrText>
        </w:r>
        <w:r>
          <w:fldChar w:fldCharType="separate"/>
        </w:r>
        <w:r w:rsidR="00113620">
          <w:rPr>
            <w:noProof/>
          </w:rPr>
          <w:t>24</w:t>
        </w:r>
        <w:r>
          <w:rPr>
            <w:noProof/>
          </w:rPr>
          <w:fldChar w:fldCharType="end"/>
        </w:r>
      </w:p>
    </w:sdtContent>
  </w:sdt>
  <w:p w:rsidR="005A4E53" w:rsidRPr="00BA00A7" w:rsidRDefault="005A4E53" w:rsidP="00BA0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49420"/>
      <w:docPartObj>
        <w:docPartGallery w:val="Page Numbers (Bottom of Page)"/>
        <w:docPartUnique/>
      </w:docPartObj>
    </w:sdtPr>
    <w:sdtEndPr>
      <w:rPr>
        <w:noProof/>
      </w:rPr>
    </w:sdtEndPr>
    <w:sdtContent>
      <w:p w:rsidR="005A4E53" w:rsidRDefault="005A4E53">
        <w:pPr>
          <w:pStyle w:val="Footer"/>
          <w:jc w:val="center"/>
        </w:pPr>
        <w:r>
          <w:fldChar w:fldCharType="begin"/>
        </w:r>
        <w:r>
          <w:instrText xml:space="preserve"> PAGE   \* MERGEFORMAT </w:instrText>
        </w:r>
        <w:r>
          <w:fldChar w:fldCharType="separate"/>
        </w:r>
        <w:r w:rsidR="00113620">
          <w:rPr>
            <w:noProof/>
          </w:rPr>
          <w:t>59</w:t>
        </w:r>
        <w:r>
          <w:rPr>
            <w:noProof/>
          </w:rPr>
          <w:fldChar w:fldCharType="end"/>
        </w:r>
      </w:p>
    </w:sdtContent>
  </w:sdt>
  <w:p w:rsidR="005A4E53" w:rsidRDefault="005A4E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53" w:rsidRDefault="005A4E53">
      <w:r>
        <w:separator/>
      </w:r>
    </w:p>
  </w:footnote>
  <w:footnote w:type="continuationSeparator" w:id="0">
    <w:p w:rsidR="005A4E53" w:rsidRDefault="005A4E53">
      <w:r>
        <w:continuationSeparator/>
      </w:r>
    </w:p>
  </w:footnote>
  <w:footnote w:type="continuationNotice" w:id="1">
    <w:p w:rsidR="005A4E53" w:rsidRDefault="005A4E53"/>
  </w:footnote>
  <w:footnote w:id="2">
    <w:p w:rsidR="005A4E53" w:rsidRPr="00857EF9" w:rsidRDefault="005A4E53">
      <w:pPr>
        <w:pStyle w:val="FootnoteText"/>
        <w:rPr>
          <w:lang w:val="fr-FR"/>
        </w:rPr>
      </w:pPr>
      <w:r w:rsidRPr="00A7289C">
        <w:rPr>
          <w:rStyle w:val="FootnoteReference"/>
        </w:rPr>
        <w:footnoteRef/>
      </w:r>
      <w:r w:rsidRPr="00857EF9">
        <w:rPr>
          <w:lang w:val="fr-FR"/>
        </w:rPr>
        <w:t xml:space="preserve"> Le projet a été préparé avec l'appui d'une avance pour la préparation du projet (APP), qui a pris effet le 24 juillet 2012.</w:t>
      </w:r>
    </w:p>
  </w:footnote>
  <w:footnote w:id="3">
    <w:p w:rsidR="005A4E53" w:rsidRPr="00857EF9" w:rsidRDefault="005A4E53" w:rsidP="00E15315">
      <w:pPr>
        <w:pStyle w:val="FootnoteText"/>
        <w:jc w:val="both"/>
        <w:rPr>
          <w:lang w:val="fr-FR"/>
        </w:rPr>
      </w:pPr>
      <w:r w:rsidRPr="00A7289C">
        <w:rPr>
          <w:rStyle w:val="FootnoteReference"/>
        </w:rPr>
        <w:footnoteRef/>
      </w:r>
      <w:r w:rsidRPr="00857EF9">
        <w:rPr>
          <w:lang w:val="fr-FR"/>
        </w:rPr>
        <w:t xml:space="preserve"> Sylvie </w:t>
      </w:r>
      <w:proofErr w:type="spellStart"/>
      <w:r w:rsidRPr="00857EF9">
        <w:rPr>
          <w:lang w:val="fr-FR"/>
        </w:rPr>
        <w:t>Debomy</w:t>
      </w:r>
      <w:proofErr w:type="spellEnd"/>
      <w:r w:rsidRPr="00857EF9">
        <w:rPr>
          <w:lang w:val="fr-FR"/>
        </w:rPr>
        <w:t xml:space="preserve">, Diego </w:t>
      </w:r>
      <w:proofErr w:type="spellStart"/>
      <w:r w:rsidRPr="00857EF9">
        <w:rPr>
          <w:lang w:val="fr-FR"/>
        </w:rPr>
        <w:t>Borrero</w:t>
      </w:r>
      <w:proofErr w:type="spellEnd"/>
      <w:r w:rsidRPr="00857EF9">
        <w:rPr>
          <w:lang w:val="fr-FR"/>
        </w:rPr>
        <w:t xml:space="preserve">, Bernard </w:t>
      </w:r>
      <w:proofErr w:type="spellStart"/>
      <w:r w:rsidRPr="00857EF9">
        <w:rPr>
          <w:lang w:val="fr-FR"/>
        </w:rPr>
        <w:t>Drum</w:t>
      </w:r>
      <w:proofErr w:type="spellEnd"/>
      <w:r w:rsidRPr="00857EF9">
        <w:rPr>
          <w:lang w:val="fr-FR"/>
        </w:rPr>
        <w:t xml:space="preserve">, </w:t>
      </w:r>
      <w:proofErr w:type="spellStart"/>
      <w:r w:rsidRPr="00857EF9">
        <w:rPr>
          <w:lang w:val="fr-FR"/>
        </w:rPr>
        <w:t>Shaun</w:t>
      </w:r>
      <w:proofErr w:type="spellEnd"/>
      <w:r w:rsidRPr="00857EF9">
        <w:rPr>
          <w:lang w:val="fr-FR"/>
        </w:rPr>
        <w:t xml:space="preserve"> Mann, Julius Thaler, James </w:t>
      </w:r>
      <w:proofErr w:type="spellStart"/>
      <w:r w:rsidRPr="00857EF9">
        <w:rPr>
          <w:lang w:val="fr-FR"/>
        </w:rPr>
        <w:t>Crittle</w:t>
      </w:r>
      <w:proofErr w:type="spellEnd"/>
      <w:r w:rsidRPr="00857EF9">
        <w:rPr>
          <w:lang w:val="fr-FR"/>
        </w:rPr>
        <w:t xml:space="preserve">, </w:t>
      </w:r>
      <w:proofErr w:type="spellStart"/>
      <w:r w:rsidRPr="00857EF9">
        <w:rPr>
          <w:lang w:val="fr-FR"/>
        </w:rPr>
        <w:t>Nidal</w:t>
      </w:r>
      <w:proofErr w:type="spellEnd"/>
      <w:r w:rsidRPr="00857EF9">
        <w:rPr>
          <w:lang w:val="fr-FR"/>
        </w:rPr>
        <w:t xml:space="preserve"> Mahmoud, Alois </w:t>
      </w:r>
      <w:proofErr w:type="spellStart"/>
      <w:r w:rsidRPr="00857EF9">
        <w:rPr>
          <w:lang w:val="fr-FR"/>
        </w:rPr>
        <w:t>Ndorere</w:t>
      </w:r>
      <w:proofErr w:type="spellEnd"/>
      <w:r w:rsidRPr="00857EF9">
        <w:rPr>
          <w:lang w:val="fr-FR"/>
        </w:rPr>
        <w:t xml:space="preserve">, Austin </w:t>
      </w:r>
      <w:proofErr w:type="spellStart"/>
      <w:r w:rsidRPr="00857EF9">
        <w:rPr>
          <w:lang w:val="fr-FR"/>
        </w:rPr>
        <w:t>Kilroy</w:t>
      </w:r>
      <w:proofErr w:type="spellEnd"/>
      <w:r w:rsidRPr="00857EF9">
        <w:rPr>
          <w:lang w:val="fr-FR"/>
        </w:rPr>
        <w:t xml:space="preserve"> et Patricia Melo ont fourni de précieuses contributions pendant la conception du projet et certains d'entre eux continueront à y contribuer au cours de sa mise en œuvre.</w:t>
      </w:r>
    </w:p>
  </w:footnote>
  <w:footnote w:id="4">
    <w:p w:rsidR="005A4E53" w:rsidRPr="00857EF9" w:rsidRDefault="005A4E53">
      <w:pPr>
        <w:pStyle w:val="FootnoteText"/>
        <w:rPr>
          <w:lang w:val="fr-FR"/>
        </w:rPr>
      </w:pPr>
      <w:r w:rsidRPr="00A7289C">
        <w:rPr>
          <w:rStyle w:val="FootnoteReference"/>
        </w:rPr>
        <w:footnoteRef/>
      </w:r>
      <w:r w:rsidRPr="00857EF9">
        <w:rPr>
          <w:lang w:val="fr-FR"/>
        </w:rPr>
        <w:t xml:space="preserve"> On estime que 30 % du volume total des envois de fonds ne figurent pas dans les statistiques officielles ; en effet, une portion importante des fonds transférés depuis la République dominicaine passe par des canaux informels.</w:t>
      </w:r>
    </w:p>
  </w:footnote>
  <w:footnote w:id="5">
    <w:p w:rsidR="005A4E53" w:rsidRPr="00857EF9" w:rsidRDefault="005A4E53" w:rsidP="00667A17">
      <w:pPr>
        <w:pStyle w:val="FootnoteText"/>
        <w:rPr>
          <w:lang w:val="fr-FR"/>
        </w:rPr>
      </w:pPr>
      <w:r w:rsidRPr="00A7289C">
        <w:rPr>
          <w:rStyle w:val="FootnoteReference"/>
        </w:rPr>
        <w:footnoteRef/>
      </w:r>
      <w:r w:rsidRPr="00857EF9">
        <w:rPr>
          <w:lang w:val="fr-FR"/>
        </w:rPr>
        <w:t xml:space="preserve"> Forum économique mondial. </w:t>
      </w:r>
      <w:r w:rsidRPr="00857EF9">
        <w:rPr>
          <w:u w:val="single"/>
          <w:lang w:val="fr-FR"/>
        </w:rPr>
        <w:t>Rapport 2012-2013 sur la compétitivité mondiale : Haïti</w:t>
      </w:r>
      <w:r w:rsidRPr="00857EF9">
        <w:rPr>
          <w:lang w:val="fr-FR"/>
        </w:rPr>
        <w:t>. Haïti est classé au 138e rang sur 144 pour la disponibilité des services financiers ; au 139e sur 144 pour le caractère abordable des services financiers ; et au 142e rang sur 144 pour la facilité d'accès aux crédits.</w:t>
      </w:r>
    </w:p>
  </w:footnote>
  <w:footnote w:id="6">
    <w:p w:rsidR="005A4E53" w:rsidRPr="00857EF9" w:rsidRDefault="005A4E53" w:rsidP="00667A17">
      <w:pPr>
        <w:pStyle w:val="FootnoteText"/>
        <w:rPr>
          <w:lang w:val="fr-FR"/>
        </w:rPr>
      </w:pPr>
      <w:r w:rsidRPr="00A7289C">
        <w:rPr>
          <w:rStyle w:val="FootnoteReference"/>
        </w:rPr>
        <w:footnoteRef/>
      </w:r>
      <w:r w:rsidRPr="00857EF9">
        <w:rPr>
          <w:lang w:val="fr-FR"/>
        </w:rPr>
        <w:t xml:space="preserve"> Banque mondiale. </w:t>
      </w:r>
      <w:r w:rsidRPr="00857EF9">
        <w:rPr>
          <w:u w:val="single"/>
          <w:lang w:val="fr-FR"/>
        </w:rPr>
        <w:t>Indice d'inclusion financière</w:t>
      </w:r>
      <w:r w:rsidRPr="00857EF9">
        <w:rPr>
          <w:lang w:val="fr-FR"/>
        </w:rPr>
        <w:t xml:space="preserve"> (données de 2011). </w:t>
      </w:r>
      <w:proofErr w:type="spellStart"/>
      <w:r w:rsidRPr="00857EF9">
        <w:rPr>
          <w:lang w:val="fr-FR"/>
        </w:rPr>
        <w:t>Asli</w:t>
      </w:r>
      <w:proofErr w:type="spellEnd"/>
      <w:r w:rsidRPr="00857EF9">
        <w:rPr>
          <w:lang w:val="fr-FR"/>
        </w:rPr>
        <w:t xml:space="preserve"> </w:t>
      </w:r>
      <w:proofErr w:type="spellStart"/>
      <w:r w:rsidRPr="00857EF9">
        <w:rPr>
          <w:lang w:val="fr-FR"/>
        </w:rPr>
        <w:t>Demirguc-Kunt</w:t>
      </w:r>
      <w:proofErr w:type="spellEnd"/>
      <w:r w:rsidRPr="00857EF9">
        <w:rPr>
          <w:lang w:val="fr-FR"/>
        </w:rPr>
        <w:t xml:space="preserve"> et </w:t>
      </w:r>
      <w:proofErr w:type="spellStart"/>
      <w:r w:rsidRPr="00857EF9">
        <w:rPr>
          <w:lang w:val="fr-FR"/>
        </w:rPr>
        <w:t>Leora</w:t>
      </w:r>
      <w:proofErr w:type="spellEnd"/>
      <w:r w:rsidRPr="00857EF9">
        <w:rPr>
          <w:lang w:val="fr-FR"/>
        </w:rPr>
        <w:t xml:space="preserve"> </w:t>
      </w:r>
      <w:proofErr w:type="spellStart"/>
      <w:r w:rsidRPr="00857EF9">
        <w:rPr>
          <w:lang w:val="fr-FR"/>
        </w:rPr>
        <w:t>Klapper</w:t>
      </w:r>
      <w:proofErr w:type="spellEnd"/>
      <w:r w:rsidRPr="00857EF9">
        <w:rPr>
          <w:lang w:val="fr-FR"/>
        </w:rPr>
        <w:t>, 2012.</w:t>
      </w:r>
    </w:p>
  </w:footnote>
  <w:footnote w:id="7">
    <w:p w:rsidR="005A4E53" w:rsidRPr="00857EF9" w:rsidRDefault="005A4E53" w:rsidP="00C13204">
      <w:pPr>
        <w:pStyle w:val="FootnoteText"/>
        <w:rPr>
          <w:lang w:val="fr-FR"/>
        </w:rPr>
      </w:pPr>
      <w:r w:rsidRPr="00A7289C">
        <w:rPr>
          <w:rStyle w:val="FootnoteReference"/>
        </w:rPr>
        <w:footnoteRef/>
      </w:r>
      <w:r w:rsidRPr="00857EF9">
        <w:rPr>
          <w:lang w:val="fr-FR"/>
        </w:rPr>
        <w:t xml:space="preserve"> </w:t>
      </w:r>
      <w:hyperlink r:id="rId1" w:history="1">
        <w:r w:rsidRPr="00857EF9">
          <w:rPr>
            <w:rStyle w:val="Hyperlink"/>
            <w:lang w:val="fr-FR"/>
          </w:rPr>
          <w:t>http://www.doingbusiness.org/</w:t>
        </w:r>
      </w:hyperlink>
      <w:r w:rsidRPr="00857EF9">
        <w:rPr>
          <w:lang w:val="fr-FR"/>
        </w:rPr>
        <w:t xml:space="preserve"> . Par exemple, les exportations et les importations nécessitent environ un mois. Le coût des procédures de création d'entreprise représente 286 % du RNB par habitant, et il faut 105 jours pour les mener à bien.</w:t>
      </w:r>
    </w:p>
  </w:footnote>
  <w:footnote w:id="8">
    <w:p w:rsidR="005A4E53" w:rsidRPr="00857EF9" w:rsidRDefault="005A4E53" w:rsidP="00C13204">
      <w:pPr>
        <w:pStyle w:val="FootnoteText"/>
        <w:rPr>
          <w:lang w:val="fr-FR"/>
        </w:rPr>
      </w:pPr>
      <w:r w:rsidRPr="00A7289C">
        <w:rPr>
          <w:rStyle w:val="FootnoteReference"/>
        </w:rPr>
        <w:footnoteRef/>
      </w:r>
      <w:r w:rsidRPr="00857EF9">
        <w:rPr>
          <w:lang w:val="fr-FR"/>
        </w:rPr>
        <w:t xml:space="preserve"> Forum économique mondial. </w:t>
      </w:r>
      <w:r w:rsidRPr="00857EF9">
        <w:rPr>
          <w:u w:val="single"/>
          <w:lang w:val="fr-FR"/>
        </w:rPr>
        <w:t>Rapport 2012-2013 sur la compétitivité mondiale : Haïti</w:t>
      </w:r>
      <w:r w:rsidRPr="00857EF9">
        <w:rPr>
          <w:lang w:val="fr-FR"/>
        </w:rPr>
        <w:t>. Haïti se place au 134e rang sur 144 pour l'intensité de la concurrence locale, au 144e rang sur 144 pour l'étendue de la domination du marché, et au 143e rang sur 144 pour l'efficacité de la politique de lutte contre les monopoles.</w:t>
      </w:r>
    </w:p>
  </w:footnote>
  <w:footnote w:id="9">
    <w:p w:rsidR="005A4E53" w:rsidRPr="00857EF9" w:rsidRDefault="005A4E53">
      <w:pPr>
        <w:pStyle w:val="FootnoteText"/>
        <w:rPr>
          <w:lang w:val="fr-FR"/>
        </w:rPr>
      </w:pPr>
      <w:r w:rsidRPr="00A7289C">
        <w:rPr>
          <w:rStyle w:val="FootnoteReference"/>
        </w:rPr>
        <w:footnoteRef/>
      </w:r>
      <w:r w:rsidRPr="00857EF9">
        <w:rPr>
          <w:lang w:val="fr-FR"/>
        </w:rPr>
        <w:t xml:space="preserve"> Institut haïtien de statistiques et de données (IHSI). Comptabilité économique 2012, estimations préliminaires. Selon les données les plus récentes disponibles, l'agriculture (y compris l'exploitation des forêts, les activités agricoles et la pêche) fournit 22,6 % du PIB, tandis que les industries manufacturières contribuent à hauteur de 8 %. Les recettes touristiques représentaient 8 % du PIB en 2009, selon les données de la Banque mondiale sur cette année-là.</w:t>
      </w:r>
    </w:p>
  </w:footnote>
  <w:footnote w:id="10">
    <w:p w:rsidR="005A4E53" w:rsidRPr="00857EF9" w:rsidRDefault="005A4E53">
      <w:pPr>
        <w:pStyle w:val="FootnoteText"/>
        <w:rPr>
          <w:lang w:val="fr-FR"/>
        </w:rPr>
      </w:pPr>
      <w:r w:rsidRPr="00A7289C">
        <w:rPr>
          <w:rStyle w:val="FootnoteReference"/>
        </w:rPr>
        <w:footnoteRef/>
      </w:r>
      <w:r w:rsidRPr="00857EF9">
        <w:rPr>
          <w:lang w:val="fr-FR"/>
        </w:rPr>
        <w:t xml:space="preserve"> Les ZEI sont une catégorie des ZES (zones économiques spéciales), dans lesquelles les opérateurs du site louent ou vendent des espaces aux investisseurs avec des titres de propriété clairement établis en fonction de certaines lois et réglementations spécifiques. Le terme « intégré » met en évidence les liens économiques avec l'économie locale supposés exister dans de telles zones, contrairement à certaines ZES qui fonctionnent comme des enclaves à l'écart de l'économie locale.</w:t>
      </w:r>
    </w:p>
  </w:footnote>
  <w:footnote w:id="11">
    <w:p w:rsidR="005A4E53" w:rsidRPr="00857EF9" w:rsidRDefault="005A4E53" w:rsidP="00F71497">
      <w:pPr>
        <w:pStyle w:val="FootnoteText"/>
        <w:rPr>
          <w:lang w:val="fr-FR"/>
        </w:rPr>
      </w:pPr>
      <w:r w:rsidRPr="00A7289C">
        <w:rPr>
          <w:rStyle w:val="FootnoteReference"/>
        </w:rPr>
        <w:footnoteRef/>
      </w:r>
      <w:r w:rsidRPr="00857EF9">
        <w:rPr>
          <w:lang w:val="fr-FR"/>
        </w:rPr>
        <w:t xml:space="preserve"> En général, les investissements des petites MPME ne dépassent pas 20 000 USD, un montant trop élevé pour les prêts consentis par les institutions de </w:t>
      </w:r>
      <w:proofErr w:type="spellStart"/>
      <w:r w:rsidRPr="00857EF9">
        <w:rPr>
          <w:lang w:val="fr-FR"/>
        </w:rPr>
        <w:t>microfinance</w:t>
      </w:r>
      <w:proofErr w:type="spellEnd"/>
      <w:r w:rsidRPr="00857EF9">
        <w:rPr>
          <w:lang w:val="fr-FR"/>
        </w:rPr>
        <w:t xml:space="preserve"> et les coopératives de financement, mais trop faible pour prétendre à des crédits bancaires.</w:t>
      </w:r>
    </w:p>
  </w:footnote>
  <w:footnote w:id="12">
    <w:p w:rsidR="005A4E53" w:rsidRPr="00857EF9" w:rsidRDefault="005A4E53">
      <w:pPr>
        <w:pStyle w:val="FootnoteText"/>
        <w:rPr>
          <w:lang w:val="fr-FR"/>
        </w:rPr>
      </w:pPr>
      <w:r w:rsidRPr="00A7289C">
        <w:rPr>
          <w:rStyle w:val="FootnoteReference"/>
        </w:rPr>
        <w:footnoteRef/>
      </w:r>
      <w:r w:rsidRPr="00857EF9">
        <w:rPr>
          <w:lang w:val="fr-FR"/>
        </w:rPr>
        <w:t xml:space="preserve"> Le mandat du CPRA a récemment été prolongé de six mois.</w:t>
      </w:r>
    </w:p>
  </w:footnote>
  <w:footnote w:id="13">
    <w:p w:rsidR="005A4E53" w:rsidRPr="00857EF9" w:rsidRDefault="005A4E53">
      <w:pPr>
        <w:pStyle w:val="FootnoteText"/>
        <w:rPr>
          <w:lang w:val="fr-FR"/>
        </w:rPr>
      </w:pPr>
      <w:r w:rsidRPr="00A7289C">
        <w:rPr>
          <w:rStyle w:val="FootnoteReference"/>
        </w:rPr>
        <w:footnoteRef/>
      </w:r>
      <w:r w:rsidRPr="00857EF9">
        <w:rPr>
          <w:lang w:val="fr-FR"/>
        </w:rPr>
        <w:t xml:space="preserve"> La nouvelle réglementation, qui prévoit notamment des mesures de sauvegarde sociale et environnementale, a déjà été appliquée pour développer une nouvelle zone franche à Palmiers.</w:t>
      </w:r>
    </w:p>
  </w:footnote>
  <w:footnote w:id="14">
    <w:p w:rsidR="005A4E53" w:rsidRPr="00857EF9" w:rsidRDefault="005A4E53">
      <w:pPr>
        <w:pStyle w:val="FootnoteText"/>
        <w:rPr>
          <w:lang w:val="fr-FR"/>
        </w:rPr>
      </w:pPr>
      <w:r w:rsidRPr="00A7289C">
        <w:rPr>
          <w:rStyle w:val="FootnoteReference"/>
        </w:rPr>
        <w:footnoteRef/>
      </w:r>
      <w:r w:rsidRPr="00857EF9">
        <w:rPr>
          <w:lang w:val="fr-FR"/>
        </w:rPr>
        <w:t xml:space="preserve"> Un nouveau parc industriel créé après le tremblement de terre à </w:t>
      </w:r>
      <w:proofErr w:type="spellStart"/>
      <w:r w:rsidRPr="00857EF9">
        <w:rPr>
          <w:lang w:val="fr-FR"/>
        </w:rPr>
        <w:t>Caracol</w:t>
      </w:r>
      <w:proofErr w:type="spellEnd"/>
      <w:r w:rsidRPr="00857EF9">
        <w:rPr>
          <w:lang w:val="fr-FR"/>
        </w:rPr>
        <w:t xml:space="preserve"> est déjà fonctionnel.</w:t>
      </w:r>
    </w:p>
  </w:footnote>
  <w:footnote w:id="15">
    <w:p w:rsidR="005A4E53" w:rsidRPr="00857EF9" w:rsidRDefault="005A4E53">
      <w:pPr>
        <w:pStyle w:val="FootnoteText"/>
        <w:rPr>
          <w:lang w:val="fr-FR"/>
        </w:rPr>
      </w:pPr>
      <w:r w:rsidRPr="00A7289C">
        <w:rPr>
          <w:rStyle w:val="FootnoteReference"/>
        </w:rPr>
        <w:footnoteRef/>
      </w:r>
      <w:r w:rsidRPr="00857EF9">
        <w:rPr>
          <w:lang w:val="fr-FR"/>
        </w:rPr>
        <w:t xml:space="preserve"> Le Fonds de garantie partielle du crédit bénéficie d'une subvention de l'IDA (P121391).</w:t>
      </w:r>
    </w:p>
  </w:footnote>
  <w:footnote w:id="16">
    <w:p w:rsidR="005A4E53" w:rsidRPr="00857EF9" w:rsidRDefault="005A4E53">
      <w:pPr>
        <w:pStyle w:val="FootnoteText"/>
        <w:rPr>
          <w:lang w:val="fr-FR"/>
        </w:rPr>
      </w:pPr>
      <w:r w:rsidRPr="00A7289C">
        <w:rPr>
          <w:rStyle w:val="FootnoteReference"/>
        </w:rPr>
        <w:footnoteRef/>
      </w:r>
      <w:r w:rsidRPr="00857EF9">
        <w:rPr>
          <w:lang w:val="fr-FR"/>
        </w:rPr>
        <w:t xml:space="preserve"> Il devra s'efforcer en priorité de simplifier les procédures liées à la création et la liquidation d'une entreprise, aux opérations (par ex. les systèmes d'accréditation et d'inspection), à la logistique des échanges commerciaux, à l'accès des MPME au financement, et se préoccuper de la protection des actionnaires minoritaires. Il faudra également établir des dispositions pour encadrer la concurrence dans certains secteurs comme l'agro-industrie et le tourisme.</w:t>
      </w:r>
    </w:p>
  </w:footnote>
  <w:footnote w:id="17">
    <w:p w:rsidR="005A4E53" w:rsidRPr="00857EF9" w:rsidRDefault="005A4E53">
      <w:pPr>
        <w:pStyle w:val="FootnoteText"/>
        <w:rPr>
          <w:lang w:val="fr-FR"/>
        </w:rPr>
      </w:pPr>
      <w:r w:rsidRPr="00A7289C">
        <w:rPr>
          <w:rStyle w:val="FootnoteReference"/>
        </w:rPr>
        <w:footnoteRef/>
      </w:r>
      <w:r w:rsidRPr="00857EF9">
        <w:rPr>
          <w:lang w:val="fr-FR"/>
        </w:rPr>
        <w:t xml:space="preserve"> Les réformes indispensables incluent la préparation d'une nouvelle loi sur la création des ZEI pour remplacer les trois régimes politiques et réglementaires actuels (loi sur les zones franches, loi sur les parcs industriels et code d'investissement) qui ont généré une grande confusion pour les investisseurs et des coûts élevés ; il conviendra aussi de définir un cadre d'incitation cohérent et incorruptible pour leur exploitation et de créer des institutions qui facilitent les investissements (par exemple, un guichet unique). </w:t>
      </w:r>
    </w:p>
  </w:footnote>
  <w:footnote w:id="18">
    <w:p w:rsidR="005A4E53" w:rsidRPr="00857EF9" w:rsidRDefault="005A4E53">
      <w:pPr>
        <w:pStyle w:val="FootnoteText"/>
        <w:rPr>
          <w:lang w:val="fr-FR"/>
        </w:rPr>
      </w:pPr>
      <w:r w:rsidRPr="00A7289C">
        <w:rPr>
          <w:rStyle w:val="FootnoteReference"/>
        </w:rPr>
        <w:footnoteRef/>
      </w:r>
      <w:r w:rsidRPr="00857EF9">
        <w:rPr>
          <w:lang w:val="fr-FR"/>
        </w:rPr>
        <w:t xml:space="preserve"> Il aidera ainsi le GH à appliquer, entre autres, les recommandations du rapport </w:t>
      </w:r>
      <w:proofErr w:type="spellStart"/>
      <w:r w:rsidRPr="00857EF9">
        <w:rPr>
          <w:lang w:val="fr-FR"/>
        </w:rPr>
        <w:t>Doing</w:t>
      </w:r>
      <w:proofErr w:type="spellEnd"/>
      <w:r w:rsidRPr="00857EF9">
        <w:rPr>
          <w:lang w:val="fr-FR"/>
        </w:rPr>
        <w:t xml:space="preserve"> Business.</w:t>
      </w:r>
    </w:p>
  </w:footnote>
  <w:footnote w:id="19">
    <w:p w:rsidR="005A4E53" w:rsidRPr="00857EF9" w:rsidRDefault="005A4E53">
      <w:pPr>
        <w:pStyle w:val="FootnoteText"/>
        <w:rPr>
          <w:lang w:val="fr-FR"/>
        </w:rPr>
      </w:pPr>
      <w:r w:rsidRPr="00A7289C">
        <w:rPr>
          <w:rStyle w:val="FootnoteReference"/>
        </w:rPr>
        <w:footnoteRef/>
      </w:r>
      <w:r w:rsidRPr="00857EF9">
        <w:rPr>
          <w:lang w:val="fr-FR"/>
        </w:rPr>
        <w:t xml:space="preserve"> Ces activités de conseil ont contribué à une évaluation de la réglementation des ZEI, à la préparation du décret présidentiel relatif aux zones franches évoqué plus haut, à une étude de 70 sites potentiels pour des ZEI ainsi qu'à élaboration de mesures destinées à faciliter l'investissement dans le nouveau parc industriel de </w:t>
      </w:r>
      <w:proofErr w:type="spellStart"/>
      <w:r w:rsidRPr="00857EF9">
        <w:rPr>
          <w:lang w:val="fr-FR"/>
        </w:rPr>
        <w:t>Caracol</w:t>
      </w:r>
      <w:proofErr w:type="spellEnd"/>
      <w:r w:rsidRPr="00857EF9">
        <w:rPr>
          <w:lang w:val="fr-FR"/>
        </w:rPr>
        <w:t>.</w:t>
      </w:r>
    </w:p>
  </w:footnote>
  <w:footnote w:id="20">
    <w:p w:rsidR="005A4E53" w:rsidRPr="00857EF9" w:rsidRDefault="005A4E53">
      <w:pPr>
        <w:pStyle w:val="FootnoteText"/>
        <w:rPr>
          <w:lang w:val="fr-FR"/>
        </w:rPr>
      </w:pPr>
      <w:r w:rsidRPr="00A7289C">
        <w:rPr>
          <w:rStyle w:val="FootnoteReference"/>
        </w:rPr>
        <w:footnoteRef/>
      </w:r>
      <w:r w:rsidRPr="00857EF9">
        <w:rPr>
          <w:lang w:val="fr-FR"/>
        </w:rPr>
        <w:t xml:space="preserve"> Les appuis à ce niveau incluent le mémorandum et le plan d'action sur la réforme de la façon de faire des affaires, ainsi que les contributions appropriées pour l'élaboration d'une proposition de loi sur les transactions sécurisées qui sera présentée au Parlement haïtien.</w:t>
      </w:r>
    </w:p>
  </w:footnote>
  <w:footnote w:id="21">
    <w:p w:rsidR="005A4E53" w:rsidRPr="00857EF9" w:rsidRDefault="005A4E53" w:rsidP="00BF29C3">
      <w:pPr>
        <w:pStyle w:val="FootnoteText"/>
        <w:rPr>
          <w:lang w:val="fr-FR"/>
        </w:rPr>
      </w:pPr>
      <w:r w:rsidRPr="00A7289C">
        <w:rPr>
          <w:rStyle w:val="FootnoteReference"/>
        </w:rPr>
        <w:footnoteRef/>
      </w:r>
      <w:r w:rsidRPr="00857EF9">
        <w:rPr>
          <w:lang w:val="fr-FR"/>
        </w:rPr>
        <w:t xml:space="preserve"> Par ex. le Forum économique du secteur privé, la Chambre de commerce et/ou le Conseil du développement social et économique.</w:t>
      </w:r>
    </w:p>
  </w:footnote>
  <w:footnote w:id="22">
    <w:p w:rsidR="005A4E53" w:rsidRPr="00857EF9" w:rsidRDefault="005A4E53" w:rsidP="00DB4E81">
      <w:pPr>
        <w:pStyle w:val="FootnoteText"/>
        <w:rPr>
          <w:lang w:val="fr-FR"/>
        </w:rPr>
      </w:pPr>
      <w:r w:rsidRPr="00A7289C">
        <w:rPr>
          <w:rStyle w:val="FootnoteReference"/>
        </w:rPr>
        <w:footnoteRef/>
      </w:r>
      <w:r w:rsidRPr="00BC7304">
        <w:t xml:space="preserve"> </w:t>
      </w:r>
      <w:proofErr w:type="spellStart"/>
      <w:r w:rsidRPr="00BC7304">
        <w:t>Voir</w:t>
      </w:r>
      <w:proofErr w:type="spellEnd"/>
      <w:r w:rsidRPr="00BC7304">
        <w:t xml:space="preserve"> </w:t>
      </w:r>
      <w:proofErr w:type="spellStart"/>
      <w:r w:rsidRPr="00BC7304">
        <w:t>Djankov</w:t>
      </w:r>
      <w:proofErr w:type="spellEnd"/>
      <w:r w:rsidRPr="00BC7304">
        <w:t xml:space="preserve">, Simeon et </w:t>
      </w:r>
      <w:proofErr w:type="gramStart"/>
      <w:r w:rsidRPr="00BC7304">
        <w:t>al :</w:t>
      </w:r>
      <w:proofErr w:type="gramEnd"/>
      <w:r w:rsidRPr="00BC7304">
        <w:t xml:space="preserve"> « Regulation and Growth. » </w:t>
      </w:r>
      <w:hyperlink r:id="rId2" w:history="1">
        <w:proofErr w:type="spellStart"/>
        <w:r w:rsidRPr="00857EF9">
          <w:rPr>
            <w:rStyle w:val="Hyperlink"/>
            <w:lang w:val="fr-FR"/>
          </w:rPr>
          <w:t>Economics</w:t>
        </w:r>
        <w:proofErr w:type="spellEnd"/>
        <w:r w:rsidRPr="00857EF9">
          <w:rPr>
            <w:rStyle w:val="Hyperlink"/>
            <w:lang w:val="fr-FR"/>
          </w:rPr>
          <w:t xml:space="preserve"> </w:t>
        </w:r>
        <w:proofErr w:type="spellStart"/>
        <w:r w:rsidRPr="00857EF9">
          <w:rPr>
            <w:rStyle w:val="Hyperlink"/>
            <w:lang w:val="fr-FR"/>
          </w:rPr>
          <w:t>Letters</w:t>
        </w:r>
        <w:proofErr w:type="spellEnd"/>
        <w:r w:rsidRPr="00857EF9">
          <w:rPr>
            <w:rStyle w:val="Hyperlink"/>
            <w:lang w:val="fr-FR"/>
          </w:rPr>
          <w:t xml:space="preserve"> 92 (3) : 395–401, 2006</w:t>
        </w:r>
      </w:hyperlink>
    </w:p>
  </w:footnote>
  <w:footnote w:id="23">
    <w:p w:rsidR="005A4E53" w:rsidRPr="00857EF9" w:rsidRDefault="005A4E53" w:rsidP="00BF4518">
      <w:pPr>
        <w:pStyle w:val="FootnoteText"/>
        <w:rPr>
          <w:lang w:val="fr-FR"/>
        </w:rPr>
      </w:pPr>
      <w:r w:rsidRPr="00A7289C">
        <w:rPr>
          <w:rStyle w:val="FootnoteReference"/>
        </w:rPr>
        <w:footnoteRef/>
      </w:r>
      <w:r w:rsidRPr="00857EF9">
        <w:rPr>
          <w:lang w:val="fr-FR"/>
        </w:rPr>
        <w:t xml:space="preserve"> Cette activité s'appuiera sur l'étude menée par les services de conseil de l'IFC/CIC en vue de définir les sites des ZEI, qui inclura une évaluation environnementale et sociale.</w:t>
      </w:r>
    </w:p>
  </w:footnote>
  <w:footnote w:id="24">
    <w:p w:rsidR="005A4E53" w:rsidRPr="00857EF9" w:rsidRDefault="005A4E53">
      <w:pPr>
        <w:pStyle w:val="FootnoteText"/>
        <w:rPr>
          <w:lang w:val="fr-FR"/>
        </w:rPr>
      </w:pPr>
      <w:r w:rsidRPr="00A7289C">
        <w:rPr>
          <w:rStyle w:val="FootnoteReference"/>
        </w:rPr>
        <w:footnoteRef/>
      </w:r>
      <w:r w:rsidRPr="00857EF9">
        <w:rPr>
          <w:lang w:val="fr-FR"/>
        </w:rPr>
        <w:t xml:space="preserve"> Déblaiement du site/terrassement, routes, approvisionnement en eau, rejet des eaux usées, raccordement électrique.</w:t>
      </w:r>
    </w:p>
  </w:footnote>
  <w:footnote w:id="25">
    <w:p w:rsidR="005A4E53" w:rsidRPr="00857EF9" w:rsidRDefault="005A4E53" w:rsidP="00DB4E81">
      <w:pPr>
        <w:pStyle w:val="FootnoteText"/>
        <w:rPr>
          <w:lang w:val="fr-FR"/>
        </w:rPr>
      </w:pPr>
      <w:r w:rsidRPr="00A7289C">
        <w:rPr>
          <w:rStyle w:val="FootnoteReference"/>
        </w:rPr>
        <w:footnoteRef/>
      </w:r>
      <w:r w:rsidRPr="00857EF9">
        <w:rPr>
          <w:lang w:val="fr-FR"/>
        </w:rPr>
        <w:t xml:space="preserve"> Le GBM mène une étude parallèle sur les mesures d'incitation pour les ZEI dans l'objectif de déterminer si les incitations actuelles génèrent des effets de distorsion. </w:t>
      </w:r>
    </w:p>
  </w:footnote>
  <w:footnote w:id="26">
    <w:p w:rsidR="005A4E53" w:rsidRPr="00857EF9" w:rsidRDefault="005A4E53" w:rsidP="00DB4E81">
      <w:pPr>
        <w:pStyle w:val="FootnoteText"/>
        <w:rPr>
          <w:lang w:val="fr-FR"/>
        </w:rPr>
      </w:pPr>
      <w:r w:rsidRPr="00A7289C">
        <w:rPr>
          <w:rStyle w:val="FootnoteReference"/>
        </w:rPr>
        <w:footnoteRef/>
      </w:r>
      <w:r w:rsidRPr="00857EF9">
        <w:rPr>
          <w:lang w:val="fr-FR"/>
        </w:rPr>
        <w:t xml:space="preserve"> Cette composante est en cours de définition. Elle se fonde sur une politique applicable à tous les nouveaux projets en Haïti pour permettre une réponse rapide et flexible à toute situation d'urgence imprévue.</w:t>
      </w:r>
    </w:p>
  </w:footnote>
  <w:footnote w:id="27">
    <w:p w:rsidR="005A4E53" w:rsidRPr="00857EF9" w:rsidRDefault="005A4E53" w:rsidP="00847E66">
      <w:pPr>
        <w:pStyle w:val="FootnoteText"/>
        <w:rPr>
          <w:lang w:val="fr-FR"/>
        </w:rPr>
      </w:pPr>
      <w:r w:rsidRPr="00A7289C">
        <w:rPr>
          <w:rStyle w:val="FootnoteReference"/>
        </w:rPr>
        <w:footnoteRef/>
      </w:r>
      <w:r w:rsidRPr="00857EF9">
        <w:rPr>
          <w:lang w:val="fr-FR"/>
        </w:rPr>
        <w:t xml:space="preserve"> Groupe indépendant d'évaluation de la Banque mondiale (2006), « </w:t>
      </w:r>
      <w:proofErr w:type="spellStart"/>
      <w:r w:rsidRPr="00857EF9">
        <w:rPr>
          <w:lang w:val="fr-FR"/>
        </w:rPr>
        <w:t>Engaging</w:t>
      </w:r>
      <w:proofErr w:type="spellEnd"/>
      <w:r w:rsidRPr="00857EF9">
        <w:rPr>
          <w:lang w:val="fr-FR"/>
        </w:rPr>
        <w:t xml:space="preserve"> </w:t>
      </w:r>
      <w:proofErr w:type="spellStart"/>
      <w:r w:rsidRPr="00857EF9">
        <w:rPr>
          <w:lang w:val="fr-FR"/>
        </w:rPr>
        <w:t>with</w:t>
      </w:r>
      <w:proofErr w:type="spellEnd"/>
      <w:r w:rsidRPr="00857EF9">
        <w:rPr>
          <w:lang w:val="fr-FR"/>
        </w:rPr>
        <w:t xml:space="preserve"> Fragile States: an IEG </w:t>
      </w:r>
      <w:proofErr w:type="spellStart"/>
      <w:r w:rsidRPr="00857EF9">
        <w:rPr>
          <w:lang w:val="fr-FR"/>
        </w:rPr>
        <w:t>Review</w:t>
      </w:r>
      <w:proofErr w:type="spellEnd"/>
      <w:r w:rsidRPr="00857EF9">
        <w:rPr>
          <w:lang w:val="fr-FR"/>
        </w:rPr>
        <w:t xml:space="preserve"> of World Bank Support to </w:t>
      </w:r>
      <w:proofErr w:type="spellStart"/>
      <w:r w:rsidRPr="00857EF9">
        <w:rPr>
          <w:lang w:val="fr-FR"/>
        </w:rPr>
        <w:t>Low-Income</w:t>
      </w:r>
      <w:proofErr w:type="spellEnd"/>
      <w:r w:rsidRPr="00857EF9">
        <w:rPr>
          <w:lang w:val="fr-FR"/>
        </w:rPr>
        <w:t xml:space="preserve"> Countries » ; et : Groupe d'évaluation indépendant de la Banque mondiale (2006), « </w:t>
      </w:r>
      <w:proofErr w:type="spellStart"/>
      <w:r w:rsidRPr="00857EF9">
        <w:rPr>
          <w:lang w:val="fr-FR"/>
        </w:rPr>
        <w:t>Restoring</w:t>
      </w:r>
      <w:proofErr w:type="spellEnd"/>
      <w:r w:rsidRPr="00857EF9">
        <w:rPr>
          <w:lang w:val="fr-FR"/>
        </w:rPr>
        <w:t xml:space="preserve"> Confidence and </w:t>
      </w:r>
      <w:proofErr w:type="spellStart"/>
      <w:r w:rsidRPr="00857EF9">
        <w:rPr>
          <w:lang w:val="fr-FR"/>
        </w:rPr>
        <w:t>Transforming</w:t>
      </w:r>
      <w:proofErr w:type="spellEnd"/>
      <w:r w:rsidRPr="00857EF9">
        <w:rPr>
          <w:lang w:val="fr-FR"/>
        </w:rPr>
        <w:t xml:space="preserve"> Institutions: </w:t>
      </w:r>
      <w:r>
        <w:rPr>
          <w:lang w:val="fr-FR"/>
        </w:rPr>
        <w:t>Une  Assistance du Groupe d’Evaluation Indépendant de la Banque Mondiale aux Pays Fragiles et en Situation de Conflits</w:t>
      </w:r>
      <w:r w:rsidRPr="00857EF9">
        <w:rPr>
          <w:lang w:val="fr-FR"/>
        </w:rPr>
        <w:t>», Document d'approche du Groupe indépendant d'évaluation de la Banque mondiale.</w:t>
      </w:r>
    </w:p>
  </w:footnote>
  <w:footnote w:id="28">
    <w:p w:rsidR="005A4E53" w:rsidRPr="00BC7304" w:rsidRDefault="005A4E53" w:rsidP="00111BB0">
      <w:pPr>
        <w:pStyle w:val="FootnoteText"/>
      </w:pPr>
      <w:r w:rsidRPr="00A7289C">
        <w:rPr>
          <w:rStyle w:val="FootnoteReference"/>
        </w:rPr>
        <w:footnoteRef/>
      </w:r>
      <w:r w:rsidRPr="00BC7304">
        <w:t xml:space="preserve"> Todd, David et Todd, Hazel (2011), « Natural Disaster Response: Lessons from Evaluations of the World Bank</w:t>
      </w:r>
    </w:p>
    <w:p w:rsidR="005A4E53" w:rsidRPr="00857EF9" w:rsidRDefault="005A4E53" w:rsidP="00111BB0">
      <w:pPr>
        <w:pStyle w:val="FootnoteText"/>
        <w:rPr>
          <w:lang w:val="fr-FR"/>
        </w:rPr>
      </w:pPr>
      <w:proofErr w:type="gramStart"/>
      <w:r w:rsidRPr="00857EF9">
        <w:rPr>
          <w:lang w:val="fr-FR"/>
        </w:rPr>
        <w:t>and</w:t>
      </w:r>
      <w:proofErr w:type="gramEnd"/>
      <w:r w:rsidRPr="00857EF9">
        <w:rPr>
          <w:lang w:val="fr-FR"/>
        </w:rPr>
        <w:t xml:space="preserve"> </w:t>
      </w:r>
      <w:proofErr w:type="spellStart"/>
      <w:r w:rsidRPr="00857EF9">
        <w:rPr>
          <w:lang w:val="fr-FR"/>
        </w:rPr>
        <w:t>Others</w:t>
      </w:r>
      <w:proofErr w:type="spellEnd"/>
      <w:r w:rsidRPr="00857EF9">
        <w:rPr>
          <w:lang w:val="fr-FR"/>
        </w:rPr>
        <w:t> », Note de synthèse du Groupe indépendant d'évaluation de la Banque mondiale.</w:t>
      </w:r>
    </w:p>
  </w:footnote>
  <w:footnote w:id="29">
    <w:p w:rsidR="005A4E53" w:rsidRPr="00857EF9" w:rsidRDefault="005A4E53" w:rsidP="0017230E">
      <w:pPr>
        <w:autoSpaceDE w:val="0"/>
        <w:autoSpaceDN w:val="0"/>
        <w:adjustRightInd w:val="0"/>
        <w:rPr>
          <w:lang w:val="fr-FR"/>
        </w:rPr>
      </w:pPr>
      <w:r w:rsidRPr="00A7289C">
        <w:rPr>
          <w:rStyle w:val="FootnoteReference"/>
        </w:rPr>
        <w:footnoteRef/>
      </w:r>
      <w:r w:rsidRPr="00857EF9">
        <w:rPr>
          <w:lang w:val="fr-FR"/>
        </w:rPr>
        <w:t xml:space="preserve"> </w:t>
      </w:r>
      <w:r w:rsidRPr="00857EF9">
        <w:rPr>
          <w:sz w:val="20"/>
          <w:szCs w:val="20"/>
          <w:lang w:val="fr-FR"/>
        </w:rPr>
        <w:t xml:space="preserve">Groupe indépendant d'évaluation de la Banque mondiale. Voir : </w:t>
      </w:r>
      <w:r w:rsidRPr="00857EF9">
        <w:rPr>
          <w:rStyle w:val="Hyperlink"/>
          <w:sz w:val="20"/>
          <w:szCs w:val="20"/>
          <w:lang w:val="fr-FR"/>
        </w:rPr>
        <w:t>http://lnweb90.worldbank.org/oed/oeddoclib.nsf/DocUNIDViewForJavaSearch/DE4527B2FDEC87928525717200799B96/$file/investment_climate_evaluation.pdf</w:t>
      </w:r>
    </w:p>
  </w:footnote>
  <w:footnote w:id="30">
    <w:p w:rsidR="005A4E53" w:rsidRPr="00857EF9" w:rsidRDefault="005A4E53">
      <w:pPr>
        <w:pStyle w:val="FootnoteText"/>
        <w:rPr>
          <w:lang w:val="fr-FR"/>
        </w:rPr>
      </w:pPr>
      <w:r w:rsidRPr="00A7289C">
        <w:rPr>
          <w:rStyle w:val="FootnoteReference"/>
        </w:rPr>
        <w:footnoteRef/>
      </w:r>
      <w:r w:rsidRPr="00857EF9">
        <w:rPr>
          <w:lang w:val="fr-FR"/>
        </w:rPr>
        <w:t xml:space="preserve"> FIAS, Groupe de la Banque mondiale « </w:t>
      </w:r>
      <w:proofErr w:type="spellStart"/>
      <w:r w:rsidRPr="00857EF9">
        <w:rPr>
          <w:lang w:val="fr-FR"/>
        </w:rPr>
        <w:t>Special</w:t>
      </w:r>
      <w:proofErr w:type="spellEnd"/>
      <w:r w:rsidRPr="00857EF9">
        <w:rPr>
          <w:lang w:val="fr-FR"/>
        </w:rPr>
        <w:t xml:space="preserve"> </w:t>
      </w:r>
      <w:proofErr w:type="spellStart"/>
      <w:r w:rsidRPr="00857EF9">
        <w:rPr>
          <w:lang w:val="fr-FR"/>
        </w:rPr>
        <w:t>Economic</w:t>
      </w:r>
      <w:proofErr w:type="spellEnd"/>
      <w:r w:rsidRPr="00857EF9">
        <w:rPr>
          <w:lang w:val="fr-FR"/>
        </w:rPr>
        <w:t xml:space="preserve"> Zones: Performance, </w:t>
      </w:r>
      <w:proofErr w:type="spellStart"/>
      <w:r w:rsidRPr="00857EF9">
        <w:rPr>
          <w:lang w:val="fr-FR"/>
        </w:rPr>
        <w:t>lessons</w:t>
      </w:r>
      <w:proofErr w:type="spellEnd"/>
      <w:r w:rsidRPr="00857EF9">
        <w:rPr>
          <w:lang w:val="fr-FR"/>
        </w:rPr>
        <w:t xml:space="preserve"> </w:t>
      </w:r>
      <w:proofErr w:type="spellStart"/>
      <w:r w:rsidRPr="00857EF9">
        <w:rPr>
          <w:lang w:val="fr-FR"/>
        </w:rPr>
        <w:t>learned</w:t>
      </w:r>
      <w:proofErr w:type="spellEnd"/>
      <w:r w:rsidRPr="00857EF9">
        <w:rPr>
          <w:lang w:val="fr-FR"/>
        </w:rPr>
        <w:t xml:space="preserve">, and implications for zone </w:t>
      </w:r>
      <w:proofErr w:type="spellStart"/>
      <w:r w:rsidRPr="00857EF9">
        <w:rPr>
          <w:lang w:val="fr-FR"/>
        </w:rPr>
        <w:t>development</w:t>
      </w:r>
      <w:proofErr w:type="spellEnd"/>
      <w:r w:rsidRPr="00857EF9">
        <w:rPr>
          <w:lang w:val="fr-FR"/>
        </w:rPr>
        <w:t xml:space="preserve">. » Avril 2008. Consulté sur : </w:t>
      </w:r>
      <w:r w:rsidR="00113620">
        <w:fldChar w:fldCharType="begin"/>
      </w:r>
      <w:r w:rsidR="00113620" w:rsidRPr="00113620">
        <w:rPr>
          <w:lang w:val="es-BO"/>
        </w:rPr>
        <w:instrText xml:space="preserve"> HYPERLINK "https://www.wbginvestmentclimate.org/uploads/SEZs%20-%20Performance,%20Lessons%20Learne</w:instrText>
      </w:r>
      <w:r w:rsidR="00113620" w:rsidRPr="00113620">
        <w:rPr>
          <w:lang w:val="es-BO"/>
        </w:rPr>
        <w:instrText xml:space="preserve">d%20and%20Implications%20for%20Zone%20Development.pdf" </w:instrText>
      </w:r>
      <w:r w:rsidR="00113620">
        <w:fldChar w:fldCharType="separate"/>
      </w:r>
      <w:r w:rsidRPr="00857EF9">
        <w:rPr>
          <w:rStyle w:val="Hyperlink"/>
          <w:lang w:val="fr-FR"/>
        </w:rPr>
        <w:t>https://www.wbginvestmentclimate.org/uploads/SEZs%20-%20Performance,%20Lessons%20Learned%20and%20Implications%20for%20Zone%20Development.pdf</w:t>
      </w:r>
      <w:r w:rsidR="00113620">
        <w:rPr>
          <w:rStyle w:val="Hyperlink"/>
          <w:lang w:val="fr-FR"/>
        </w:rPr>
        <w:fldChar w:fldCharType="end"/>
      </w:r>
    </w:p>
  </w:footnote>
  <w:footnote w:id="31">
    <w:p w:rsidR="005A4E53" w:rsidRPr="00A7289C" w:rsidRDefault="005A4E53" w:rsidP="00111BB0">
      <w:pPr>
        <w:pStyle w:val="FootnoteText"/>
      </w:pPr>
      <w:r w:rsidRPr="00A7289C">
        <w:rPr>
          <w:rStyle w:val="FootnoteReference"/>
        </w:rPr>
        <w:footnoteRef/>
      </w:r>
      <w:r>
        <w:t xml:space="preserve"> </w:t>
      </w:r>
      <w:proofErr w:type="spellStart"/>
      <w:proofErr w:type="gramStart"/>
      <w:r>
        <w:t>Groupe</w:t>
      </w:r>
      <w:proofErr w:type="spellEnd"/>
      <w:r>
        <w:t xml:space="preserve"> de la </w:t>
      </w:r>
      <w:proofErr w:type="spellStart"/>
      <w:r>
        <w:t>Banque</w:t>
      </w:r>
      <w:proofErr w:type="spellEnd"/>
      <w:r>
        <w:t xml:space="preserve"> </w:t>
      </w:r>
      <w:proofErr w:type="spellStart"/>
      <w:r>
        <w:t>mondiale</w:t>
      </w:r>
      <w:proofErr w:type="spellEnd"/>
      <w:r>
        <w:t xml:space="preserve"> / FIAS (2008), « Special Economic Zones Performance, Lessons Learned, and Implications for Zone Development ».</w:t>
      </w:r>
      <w:proofErr w:type="gramEnd"/>
    </w:p>
  </w:footnote>
  <w:footnote w:id="32">
    <w:p w:rsidR="005A4E53" w:rsidRPr="00A7289C" w:rsidRDefault="005A4E53" w:rsidP="00111BB0">
      <w:pPr>
        <w:pStyle w:val="FootnoteText"/>
      </w:pPr>
      <w:r w:rsidRPr="00A7289C">
        <w:rPr>
          <w:rStyle w:val="FootnoteReference"/>
        </w:rPr>
        <w:footnoteRef/>
      </w:r>
      <w:r>
        <w:t xml:space="preserve"> Francisco Campos, Aidan </w:t>
      </w:r>
      <w:proofErr w:type="spellStart"/>
      <w:r>
        <w:t>Coville</w:t>
      </w:r>
      <w:proofErr w:type="spellEnd"/>
      <w:r>
        <w:t xml:space="preserve">, Ana </w:t>
      </w:r>
      <w:proofErr w:type="spellStart"/>
      <w:r>
        <w:t>Fernandes</w:t>
      </w:r>
      <w:proofErr w:type="spellEnd"/>
      <w:r>
        <w:t xml:space="preserve">, Markus Goldstein </w:t>
      </w:r>
      <w:proofErr w:type="gramStart"/>
      <w:r>
        <w:t>et</w:t>
      </w:r>
      <w:proofErr w:type="gramEnd"/>
      <w:r>
        <w:t xml:space="preserve"> David McKenzie (2012) « Learning from the experiments that never happened: Lessons from trying to conduct randomized evaluations of matching grant programs in Africa » </w:t>
      </w:r>
      <w:proofErr w:type="spellStart"/>
      <w:r>
        <w:t>Banque</w:t>
      </w:r>
      <w:proofErr w:type="spellEnd"/>
      <w:r>
        <w:t xml:space="preserve"> </w:t>
      </w:r>
      <w:proofErr w:type="spellStart"/>
      <w:r>
        <w:t>mondiale</w:t>
      </w:r>
      <w:proofErr w:type="spellEnd"/>
      <w:r>
        <w:t xml:space="preserve">, Document de travail </w:t>
      </w:r>
      <w:proofErr w:type="spellStart"/>
      <w:r>
        <w:t>consacré</w:t>
      </w:r>
      <w:proofErr w:type="spellEnd"/>
      <w:r>
        <w:t xml:space="preserve"> à la </w:t>
      </w:r>
      <w:proofErr w:type="spellStart"/>
      <w:r>
        <w:t>recherche</w:t>
      </w:r>
      <w:proofErr w:type="spellEnd"/>
      <w:r>
        <w:t xml:space="preserve"> </w:t>
      </w:r>
      <w:proofErr w:type="spellStart"/>
      <w:r>
        <w:t>sur</w:t>
      </w:r>
      <w:proofErr w:type="spellEnd"/>
      <w:r>
        <w:t xml:space="preserve"> les </w:t>
      </w:r>
      <w:proofErr w:type="spellStart"/>
      <w:r>
        <w:t>politiques</w:t>
      </w:r>
      <w:proofErr w:type="spellEnd"/>
      <w:r>
        <w:t xml:space="preserve"> n° 6296.</w:t>
      </w:r>
    </w:p>
  </w:footnote>
  <w:footnote w:id="33">
    <w:p w:rsidR="005A4E53" w:rsidRPr="00857EF9" w:rsidRDefault="005A4E53" w:rsidP="001956C5">
      <w:pPr>
        <w:pStyle w:val="FootnoteText"/>
        <w:rPr>
          <w:lang w:val="fr-FR"/>
        </w:rPr>
      </w:pPr>
      <w:r w:rsidRPr="00A7289C">
        <w:rPr>
          <w:rStyle w:val="FootnoteReference"/>
        </w:rPr>
        <w:footnoteRef/>
      </w:r>
      <w:r w:rsidRPr="00857EF9">
        <w:rPr>
          <w:lang w:val="fr-FR"/>
        </w:rPr>
        <w:t xml:space="preserve"> Initialement, le projet devait être exécuté par le MEF puisqu'il impliquait également les ministères du Tourisme et de la Culture. Son exécution a été transférée au MCI en février 2013, après qu'il a été décidé de le limiter aux activités décrites dans ce document (voir aussi note 17). </w:t>
      </w:r>
    </w:p>
  </w:footnote>
  <w:footnote w:id="34">
    <w:p w:rsidR="005A4E53" w:rsidRPr="00857EF9" w:rsidRDefault="005A4E53" w:rsidP="001956C5">
      <w:pPr>
        <w:pStyle w:val="FootnoteText"/>
        <w:rPr>
          <w:lang w:val="fr-FR"/>
        </w:rPr>
      </w:pPr>
      <w:r w:rsidRPr="00A7289C">
        <w:rPr>
          <w:rStyle w:val="FootnoteReference"/>
        </w:rPr>
        <w:footnoteRef/>
      </w:r>
      <w:r w:rsidRPr="00857EF9">
        <w:rPr>
          <w:lang w:val="fr-FR"/>
        </w:rPr>
        <w:t xml:space="preserve"> Au départ, c'est l'Unité Technique d'Exécution (UTE) du MEF qui devait exécuter le projet. Mais début février 2013, le MEF a décidé de spécialiser ses unités d'exécution. En conséquence, les phases initiales du projet décrites ici seront mises en œuvre par l'UCP. La préparation du projet ayant été effectuée en grande partie par l'UTE, les responsabilités fiduciaires et les dispositions d'exécution ont été adaptées conformément à cette situation. L'UCP a notamment révisé et adapté les documents de sauvegarde en fonction de cette nouvelle réalité. L'UCP a déjà mis en œuvre avec succès plusieurs projets de l'IDA. </w:t>
      </w:r>
    </w:p>
  </w:footnote>
  <w:footnote w:id="35">
    <w:p w:rsidR="005A4E53" w:rsidRPr="00857EF9" w:rsidRDefault="005A4E53" w:rsidP="001956C5">
      <w:pPr>
        <w:pStyle w:val="FootnoteText"/>
        <w:jc w:val="both"/>
        <w:rPr>
          <w:lang w:val="fr-FR"/>
        </w:rPr>
      </w:pPr>
      <w:r w:rsidRPr="00A7289C">
        <w:rPr>
          <w:rStyle w:val="FootnoteReference"/>
        </w:rPr>
        <w:footnoteRef/>
      </w:r>
      <w:r w:rsidRPr="00857EF9">
        <w:rPr>
          <w:lang w:val="fr-FR"/>
        </w:rPr>
        <w:t xml:space="preserve"> Certaines activités ont déjà bien avancé, avec l'appui du GBM, au cours de la préparation du projet, et quelques-unes sont déjà en cours d'exécution dans le cadre d'une avance pour la préparation du projet (APP). Parmi les exemples d'activités avancées, citons le dialogue intensif autour des actions d'amélioration du climat des affaires, le projet d'une loi sur les transactions sécurisées préparée conjointement avec la CPRA ainsi que la publication d'un nouveau cadre pour les zones franches.</w:t>
      </w:r>
    </w:p>
  </w:footnote>
  <w:footnote w:id="36">
    <w:p w:rsidR="005A4E53" w:rsidRPr="00857EF9" w:rsidRDefault="005A4E53" w:rsidP="001956C5">
      <w:pPr>
        <w:pStyle w:val="FootnoteText"/>
        <w:rPr>
          <w:lang w:val="fr-FR"/>
        </w:rPr>
      </w:pPr>
      <w:r w:rsidRPr="00A7289C">
        <w:rPr>
          <w:rStyle w:val="FootnoteReference"/>
        </w:rPr>
        <w:footnoteRef/>
      </w:r>
      <w:r w:rsidRPr="00857EF9">
        <w:rPr>
          <w:lang w:val="fr-FR"/>
        </w:rPr>
        <w:t xml:space="preserve"> Depuis 2008, seuls 7 à 8 lois/amendements ont été passés (deux par an en moyenne) et pendant l'année 2012, au moins 19 projets de loi ont été soumis sans être approuvés ; des statistiques à ce propos sont disponibles sur le site </w:t>
      </w:r>
      <w:r w:rsidR="00113620">
        <w:fldChar w:fldCharType="begin"/>
      </w:r>
      <w:r w:rsidR="00113620" w:rsidRPr="00113620">
        <w:rPr>
          <w:lang w:val="fr-FR"/>
        </w:rPr>
        <w:instrText xml:space="preserve"> HYPERLINK "http://www.parlementhaitien.ht/" </w:instrText>
      </w:r>
      <w:r w:rsidR="00113620">
        <w:fldChar w:fldCharType="separate"/>
      </w:r>
      <w:r w:rsidRPr="00857EF9">
        <w:rPr>
          <w:rStyle w:val="Hyperlink"/>
          <w:lang w:val="fr-FR"/>
        </w:rPr>
        <w:t>http://www.parlementhaitien.ht/</w:t>
      </w:r>
      <w:r w:rsidR="00113620">
        <w:rPr>
          <w:rStyle w:val="Hyperlink"/>
          <w:lang w:val="fr-FR"/>
        </w:rPr>
        <w:fldChar w:fldCharType="end"/>
      </w:r>
      <w:r w:rsidRPr="00857EF9">
        <w:rPr>
          <w:color w:val="000000"/>
          <w:lang w:val="fr-FR"/>
        </w:rPr>
        <w:t>.</w:t>
      </w:r>
    </w:p>
  </w:footnote>
  <w:footnote w:id="37">
    <w:p w:rsidR="005A4E53" w:rsidRPr="00857EF9" w:rsidRDefault="005A4E53">
      <w:pPr>
        <w:pStyle w:val="FootnoteText"/>
        <w:rPr>
          <w:lang w:val="fr-FR"/>
        </w:rPr>
      </w:pPr>
      <w:r w:rsidRPr="00A7289C">
        <w:rPr>
          <w:rStyle w:val="FootnoteReference"/>
        </w:rPr>
        <w:footnoteRef/>
      </w:r>
      <w:r w:rsidRPr="00857EF9">
        <w:rPr>
          <w:lang w:val="fr-FR"/>
        </w:rPr>
        <w:t xml:space="preserve"> Projet de relèvement d’urgence des infrastructures et des institutions, et financement complémentaire : P130749 et P120895.</w:t>
      </w:r>
    </w:p>
  </w:footnote>
  <w:footnote w:id="38">
    <w:p w:rsidR="005A4E53" w:rsidRPr="00857EF9" w:rsidRDefault="005A4E53">
      <w:pPr>
        <w:pStyle w:val="FootnoteText"/>
        <w:rPr>
          <w:lang w:val="fr-FR"/>
        </w:rPr>
      </w:pPr>
      <w:r w:rsidRPr="00A7289C">
        <w:rPr>
          <w:rStyle w:val="FootnoteReference"/>
        </w:rPr>
        <w:footnoteRef/>
      </w:r>
      <w:r w:rsidRPr="00857EF9">
        <w:rPr>
          <w:lang w:val="fr-FR"/>
        </w:rPr>
        <w:t xml:space="preserve"> Si un site est désigné comme exploitable dans le cadre d'une ZEI, l'investissement requis pour le développer ne fera pas partie de ce projet mais d'un financement complémentaire. Il faudra alors que le plan de réinstallation approprié ait été préparé et mis en œuvre conformément aux spécifications de la Banque. </w:t>
      </w:r>
    </w:p>
  </w:footnote>
  <w:footnote w:id="39">
    <w:p w:rsidR="005A4E53" w:rsidRPr="00857EF9" w:rsidRDefault="005A4E53">
      <w:pPr>
        <w:pStyle w:val="FootnoteText"/>
        <w:rPr>
          <w:lang w:val="fr-FR"/>
        </w:rPr>
      </w:pPr>
      <w:r w:rsidRPr="00A7289C">
        <w:rPr>
          <w:rStyle w:val="FootnoteReference"/>
        </w:rPr>
        <w:footnoteRef/>
      </w:r>
      <w:r w:rsidRPr="00857EF9">
        <w:rPr>
          <w:lang w:val="fr-FR"/>
        </w:rPr>
        <w:t xml:space="preserve"> Cet outil d'évaluation détermine si les MPME risquent d'avoir un impact significatif sur l'environnement, par exemple celles qui utilisent beaucoup de bois ou d'autres ressources naturelles rares ou celles qui sont implantées dans des zones d'habitat naturel. L'outil permettra d'identifier et d'atténuer les risques concernant les MPME qui ne mettraient pas en place une politique de traitement de leurs déchets, ou qui n'assureraient pas la sécurité de leurs employés, ou d'autres risques relatifs à la construction des magasins.  </w:t>
      </w:r>
    </w:p>
  </w:footnote>
  <w:footnote w:id="40">
    <w:p w:rsidR="005A4E53" w:rsidRPr="00857EF9" w:rsidRDefault="005A4E53" w:rsidP="00C0684D">
      <w:pPr>
        <w:pStyle w:val="FootnoteText"/>
        <w:rPr>
          <w:sz w:val="16"/>
          <w:szCs w:val="16"/>
          <w:lang w:val="fr-FR"/>
        </w:rPr>
      </w:pPr>
      <w:r w:rsidRPr="00A7289C">
        <w:rPr>
          <w:rStyle w:val="FootnoteReference"/>
        </w:rPr>
        <w:footnoteRef/>
      </w:r>
      <w:r w:rsidRPr="00857EF9">
        <w:rPr>
          <w:lang w:val="fr-FR"/>
        </w:rPr>
        <w:t xml:space="preserve"> </w:t>
      </w:r>
      <w:r w:rsidRPr="00857EF9">
        <w:rPr>
          <w:sz w:val="16"/>
          <w:szCs w:val="16"/>
          <w:lang w:val="fr-FR"/>
        </w:rPr>
        <w:t xml:space="preserve">D'autres indicateurs seront ajoutés ultérieurement, en fonction des engagements spécifiques du projet dans d'autres domaines. </w:t>
      </w:r>
    </w:p>
  </w:footnote>
  <w:footnote w:id="41">
    <w:p w:rsidR="005A4E53" w:rsidRPr="00857EF9" w:rsidRDefault="005A4E53">
      <w:pPr>
        <w:pStyle w:val="FootnoteText"/>
        <w:rPr>
          <w:sz w:val="16"/>
          <w:szCs w:val="16"/>
          <w:lang w:val="fr-FR"/>
        </w:rPr>
      </w:pPr>
      <w:r w:rsidRPr="00A7289C">
        <w:rPr>
          <w:rStyle w:val="FootnoteReference"/>
        </w:rPr>
        <w:footnoteRef/>
      </w:r>
      <w:r w:rsidRPr="00857EF9">
        <w:rPr>
          <w:lang w:val="fr-FR"/>
        </w:rPr>
        <w:t xml:space="preserve"> </w:t>
      </w:r>
      <w:r w:rsidRPr="00857EF9">
        <w:rPr>
          <w:sz w:val="16"/>
          <w:szCs w:val="16"/>
          <w:lang w:val="fr-FR"/>
        </w:rPr>
        <w:t>À déterminer selon les priorités du GH</w:t>
      </w:r>
    </w:p>
  </w:footnote>
  <w:footnote w:id="42">
    <w:p w:rsidR="005A4E53" w:rsidRPr="00857EF9" w:rsidRDefault="005A4E53" w:rsidP="007471E9">
      <w:pPr>
        <w:pStyle w:val="FootnoteText"/>
        <w:rPr>
          <w:lang w:val="fr-FR"/>
        </w:rPr>
      </w:pPr>
      <w:r w:rsidRPr="00A7289C">
        <w:rPr>
          <w:rStyle w:val="FootnoteReference"/>
        </w:rPr>
        <w:footnoteRef/>
      </w:r>
      <w:r w:rsidRPr="00857EF9">
        <w:rPr>
          <w:lang w:val="fr-FR"/>
        </w:rPr>
        <w:t xml:space="preserve"> </w:t>
      </w:r>
      <w:r w:rsidRPr="00857EF9">
        <w:rPr>
          <w:sz w:val="16"/>
          <w:szCs w:val="16"/>
          <w:lang w:val="fr-FR"/>
        </w:rPr>
        <w:t>Estimations des emplois créés selon l'étude de l'IFC qui prévoit que 100 millions de dollars de nouveaux investissements se traduiraient par 28 000 nouveaux emplois, ce qui revient à un « coût » de 3 571 dollars d'investissement par emploi créé.</w:t>
      </w:r>
    </w:p>
  </w:footnote>
  <w:footnote w:id="43">
    <w:p w:rsidR="005A4E53" w:rsidRPr="00857EF9" w:rsidRDefault="005A4E53" w:rsidP="007471E9">
      <w:pPr>
        <w:pStyle w:val="FootnoteText"/>
        <w:rPr>
          <w:sz w:val="16"/>
          <w:szCs w:val="16"/>
          <w:lang w:val="fr-FR"/>
        </w:rPr>
      </w:pPr>
      <w:r w:rsidRPr="00A7289C">
        <w:rPr>
          <w:rStyle w:val="FootnoteReference"/>
        </w:rPr>
        <w:footnoteRef/>
      </w:r>
      <w:r w:rsidRPr="00857EF9">
        <w:rPr>
          <w:lang w:val="fr-FR"/>
        </w:rPr>
        <w:t xml:space="preserve"> </w:t>
      </w:r>
      <w:r w:rsidRPr="00857EF9">
        <w:rPr>
          <w:sz w:val="16"/>
          <w:szCs w:val="16"/>
          <w:lang w:val="fr-FR"/>
        </w:rPr>
        <w:t>Cette valeur pourrait croître fortement avec la création d'un site ZEI.</w:t>
      </w:r>
    </w:p>
  </w:footnote>
  <w:footnote w:id="44">
    <w:p w:rsidR="005A4E53" w:rsidRPr="00857EF9" w:rsidRDefault="005A4E53" w:rsidP="007471E9">
      <w:pPr>
        <w:pStyle w:val="FootnoteText"/>
        <w:rPr>
          <w:lang w:val="fr-FR"/>
        </w:rPr>
      </w:pPr>
      <w:r w:rsidRPr="00A7289C">
        <w:rPr>
          <w:rStyle w:val="FootnoteReference"/>
        </w:rPr>
        <w:footnoteRef/>
      </w:r>
      <w:r w:rsidRPr="00857EF9">
        <w:rPr>
          <w:rStyle w:val="FootnoteReference"/>
          <w:lang w:val="fr-FR"/>
        </w:rPr>
        <w:t xml:space="preserve"> </w:t>
      </w:r>
      <w:r w:rsidRPr="00857EF9">
        <w:rPr>
          <w:lang w:val="fr-FR"/>
        </w:rPr>
        <w:t xml:space="preserve"> </w:t>
      </w:r>
      <w:r w:rsidRPr="00857EF9">
        <w:rPr>
          <w:rStyle w:val="FootnoteReference"/>
          <w:sz w:val="16"/>
          <w:vertAlign w:val="baseline"/>
          <w:lang w:val="fr-FR"/>
        </w:rPr>
        <w:t>Idem</w:t>
      </w:r>
      <w:r w:rsidRPr="00857EF9">
        <w:rPr>
          <w:rStyle w:val="FootnoteReference"/>
          <w:sz w:val="16"/>
          <w:lang w:val="fr-FR"/>
        </w:rPr>
        <w:t>.</w:t>
      </w:r>
    </w:p>
  </w:footnote>
  <w:footnote w:id="45">
    <w:p w:rsidR="005A4E53" w:rsidRPr="00857EF9" w:rsidRDefault="005A4E53" w:rsidP="00C0684D">
      <w:pPr>
        <w:pStyle w:val="FootnoteText"/>
        <w:rPr>
          <w:lang w:val="fr-FR"/>
        </w:rPr>
      </w:pPr>
      <w:r w:rsidRPr="00A7289C">
        <w:rPr>
          <w:rStyle w:val="FootnoteReference"/>
        </w:rPr>
        <w:footnoteRef/>
      </w:r>
      <w:r w:rsidRPr="00857EF9">
        <w:rPr>
          <w:lang w:val="fr-FR"/>
        </w:rPr>
        <w:t xml:space="preserve"> </w:t>
      </w:r>
      <w:r w:rsidRPr="00857EF9">
        <w:rPr>
          <w:sz w:val="16"/>
          <w:szCs w:val="16"/>
          <w:lang w:val="fr-FR"/>
        </w:rPr>
        <w:t xml:space="preserve">D'autres indicateurs seront ajoutés ultérieurement, en fonction des engagements spécifiques du projet dans d'autres domaines. </w:t>
      </w:r>
    </w:p>
  </w:footnote>
  <w:footnote w:id="46">
    <w:p w:rsidR="005A4E53" w:rsidRPr="00857EF9" w:rsidRDefault="005A4E53" w:rsidP="00F66157">
      <w:pPr>
        <w:pStyle w:val="FootnoteText"/>
        <w:rPr>
          <w:lang w:val="fr-FR"/>
        </w:rPr>
      </w:pPr>
      <w:r w:rsidRPr="00A7289C">
        <w:rPr>
          <w:rStyle w:val="FootnoteReference"/>
        </w:rPr>
        <w:footnoteRef/>
      </w:r>
      <w:r w:rsidRPr="00857EF9">
        <w:rPr>
          <w:lang w:val="fr-FR"/>
        </w:rPr>
        <w:t xml:space="preserve"> Source : ADIH, Association des Industries d'Haïti</w:t>
      </w:r>
    </w:p>
  </w:footnote>
  <w:footnote w:id="47">
    <w:p w:rsidR="005A4E53" w:rsidRPr="00857EF9" w:rsidRDefault="005A4E53" w:rsidP="00F66157">
      <w:pPr>
        <w:pStyle w:val="FootnoteText"/>
        <w:rPr>
          <w:lang w:val="fr-FR"/>
        </w:rPr>
      </w:pPr>
      <w:r w:rsidRPr="00A7289C">
        <w:rPr>
          <w:rStyle w:val="FootnoteReference"/>
        </w:rPr>
        <w:footnoteRef/>
      </w:r>
      <w:r w:rsidRPr="00857EF9">
        <w:rPr>
          <w:lang w:val="fr-FR"/>
        </w:rPr>
        <w:t xml:space="preserve"> La loi américaine HELP prévoit l’accès au marché américain en franchise de droits jusqu’en 2020 pour les articles en maille/tissés dûment autorisés, produits en Haïti et en République dominicaine, quelle que soit l’origine des matières utilisées.</w:t>
      </w:r>
    </w:p>
  </w:footnote>
  <w:footnote w:id="48">
    <w:p w:rsidR="005A4E53" w:rsidRPr="00857EF9" w:rsidRDefault="005A4E53" w:rsidP="00F66157">
      <w:pPr>
        <w:pStyle w:val="FootnoteText"/>
        <w:rPr>
          <w:lang w:val="fr-FR"/>
        </w:rPr>
      </w:pPr>
      <w:r w:rsidRPr="00A7289C">
        <w:rPr>
          <w:rStyle w:val="FootnoteReference"/>
        </w:rPr>
        <w:footnoteRef/>
      </w:r>
      <w:r w:rsidRPr="00857EF9">
        <w:rPr>
          <w:lang w:val="fr-FR"/>
        </w:rPr>
        <w:t xml:space="preserve"> République d’Haïti. Ministère de l'Agriculture, des Ressources Naturelles et du Développement Rural. « Plan national d'investissement agricole ». 2010.  </w:t>
      </w:r>
    </w:p>
  </w:footnote>
  <w:footnote w:id="49">
    <w:p w:rsidR="005A4E53" w:rsidRPr="00857EF9" w:rsidRDefault="005A4E53" w:rsidP="00F66157">
      <w:pPr>
        <w:pStyle w:val="FootnoteText"/>
        <w:rPr>
          <w:lang w:val="fr-FR"/>
        </w:rPr>
      </w:pPr>
      <w:r w:rsidRPr="00A7289C">
        <w:rPr>
          <w:rStyle w:val="FootnoteReference"/>
        </w:rPr>
        <w:footnoteRef/>
      </w:r>
      <w:r w:rsidRPr="00857EF9">
        <w:rPr>
          <w:lang w:val="fr-FR"/>
        </w:rPr>
        <w:t xml:space="preserve"> Données de la Banque mondiale : Haïti.  </w:t>
      </w:r>
    </w:p>
  </w:footnote>
  <w:footnote w:id="50">
    <w:p w:rsidR="005A4E53" w:rsidRPr="00857EF9" w:rsidRDefault="005A4E53" w:rsidP="00F66157">
      <w:pPr>
        <w:pStyle w:val="FootnoteText"/>
        <w:rPr>
          <w:lang w:val="fr-FR"/>
        </w:rPr>
      </w:pPr>
      <w:r w:rsidRPr="00A7289C">
        <w:rPr>
          <w:rStyle w:val="FootnoteReference"/>
        </w:rPr>
        <w:footnoteRef/>
      </w:r>
      <w:r w:rsidRPr="00857EF9">
        <w:rPr>
          <w:lang w:val="fr-FR"/>
        </w:rPr>
        <w:t xml:space="preserve"> République d’Haïti. Ministère de l'Agriculture, des Ressources Naturelles et du Développement Rural. « Plan national d'investissement agricole ». 2010.  </w:t>
      </w:r>
    </w:p>
  </w:footnote>
  <w:footnote w:id="51">
    <w:p w:rsidR="005A4E53" w:rsidRPr="00857EF9" w:rsidRDefault="005A4E53" w:rsidP="00F66157">
      <w:pPr>
        <w:pStyle w:val="FootnoteText"/>
        <w:rPr>
          <w:lang w:val="fr-FR"/>
        </w:rPr>
      </w:pPr>
      <w:r w:rsidRPr="00A7289C">
        <w:rPr>
          <w:rStyle w:val="FootnoteReference"/>
        </w:rPr>
        <w:footnoteRef/>
      </w:r>
      <w:r w:rsidRPr="00857EF9">
        <w:rPr>
          <w:lang w:val="fr-FR"/>
        </w:rPr>
        <w:t xml:space="preserve"> http://data.worldbank.org</w:t>
      </w:r>
    </w:p>
  </w:footnote>
  <w:footnote w:id="52">
    <w:p w:rsidR="005A4E53" w:rsidRPr="00857EF9" w:rsidRDefault="005A4E53" w:rsidP="00F66157">
      <w:pPr>
        <w:pStyle w:val="FootnoteText"/>
        <w:rPr>
          <w:lang w:val="fr-FR"/>
        </w:rPr>
      </w:pPr>
      <w:r w:rsidRPr="00A7289C">
        <w:rPr>
          <w:rStyle w:val="FootnoteReference"/>
        </w:rPr>
        <w:footnoteRef/>
      </w:r>
      <w:r w:rsidRPr="00857EF9">
        <w:rPr>
          <w:lang w:val="fr-FR"/>
        </w:rPr>
        <w:t xml:space="preserve"> Le projet Tourisme et Héritage Culturel permettra de restaurer les monuments du Parc national historique et de Cap-Haïtien. Au départ, ces activités faisaient partie de la présente opération. Mais, face aux difficultés rencontrées au cours de la préparation du projet, l'IDA a décidé en décembre 2012 de les mener séparément.</w:t>
      </w:r>
    </w:p>
  </w:footnote>
  <w:footnote w:id="53">
    <w:p w:rsidR="005A4E53" w:rsidRPr="00857EF9" w:rsidRDefault="005A4E53" w:rsidP="00B74207">
      <w:pPr>
        <w:pStyle w:val="FootnoteText"/>
        <w:rPr>
          <w:lang w:val="fr-FR"/>
        </w:rPr>
      </w:pPr>
      <w:r w:rsidRPr="00A7289C">
        <w:rPr>
          <w:rStyle w:val="FootnoteReference"/>
        </w:rPr>
        <w:footnoteRef/>
      </w:r>
      <w:r w:rsidRPr="00857EF9">
        <w:rPr>
          <w:lang w:val="fr-FR"/>
        </w:rPr>
        <w:t xml:space="preserve"> Département du Commerce américain, Office of Trade and </w:t>
      </w:r>
      <w:proofErr w:type="spellStart"/>
      <w:r w:rsidRPr="00857EF9">
        <w:rPr>
          <w:lang w:val="fr-FR"/>
        </w:rPr>
        <w:t>Industry</w:t>
      </w:r>
      <w:proofErr w:type="spellEnd"/>
      <w:r w:rsidRPr="00857EF9">
        <w:rPr>
          <w:lang w:val="fr-FR"/>
        </w:rPr>
        <w:t xml:space="preserve"> Information</w:t>
      </w:r>
      <w:r w:rsidR="004B64B5">
        <w:rPr>
          <w:lang w:val="fr-FR"/>
        </w:rPr>
        <w:t xml:space="preserve"> </w:t>
      </w:r>
      <w:r w:rsidRPr="00857EF9">
        <w:rPr>
          <w:lang w:val="fr-FR"/>
        </w:rPr>
        <w:t>(http://tse.export.gov/TSE/TSEHome.aspx)</w:t>
      </w:r>
    </w:p>
  </w:footnote>
  <w:footnote w:id="54">
    <w:p w:rsidR="005A4E53" w:rsidRPr="00857EF9" w:rsidRDefault="005A4E53" w:rsidP="009412ED">
      <w:pPr>
        <w:pStyle w:val="FootnoteText"/>
        <w:rPr>
          <w:lang w:val="fr-FR"/>
        </w:rPr>
      </w:pPr>
      <w:r w:rsidRPr="00A7289C">
        <w:rPr>
          <w:rStyle w:val="FootnoteReference"/>
        </w:rPr>
        <w:footnoteRef/>
      </w:r>
      <w:r w:rsidRPr="00857EF9">
        <w:rPr>
          <w:lang w:val="fr-FR"/>
        </w:rPr>
        <w:t xml:space="preserve"> Le projet de Promotion de l'investissement en Haïti a été lancé en 2009 dans le but de créer des emplois et de mobiliser des investissements via l'appui à des activités de promotion de l'investissement, le développement de ZEI et de cadres réglementaires. </w:t>
      </w:r>
    </w:p>
  </w:footnote>
  <w:footnote w:id="55">
    <w:p w:rsidR="005A4E53" w:rsidRPr="00857EF9" w:rsidRDefault="005A4E53">
      <w:pPr>
        <w:pStyle w:val="FootnoteText"/>
        <w:rPr>
          <w:lang w:val="fr-FR"/>
        </w:rPr>
      </w:pPr>
      <w:r w:rsidRPr="00A7289C">
        <w:rPr>
          <w:rStyle w:val="FootnoteReference"/>
        </w:rPr>
        <w:footnoteRef/>
      </w:r>
      <w:r w:rsidRPr="00857EF9">
        <w:rPr>
          <w:lang w:val="fr-FR"/>
        </w:rPr>
        <w:t xml:space="preserve"> Il existe aussi trois types de zones économiques (au sens où l'entend le GBM) qui cohabitent en Haïti : des parcs industriels appartenant à l'État, dont le Parc Industriel Métropolitain (PIM) à Port-au-Prince et le Parc Industriel de </w:t>
      </w:r>
      <w:proofErr w:type="spellStart"/>
      <w:r w:rsidRPr="00857EF9">
        <w:rPr>
          <w:lang w:val="fr-FR"/>
        </w:rPr>
        <w:t>Caracol</w:t>
      </w:r>
      <w:proofErr w:type="spellEnd"/>
      <w:r w:rsidRPr="00857EF9">
        <w:rPr>
          <w:lang w:val="fr-FR"/>
        </w:rPr>
        <w:t xml:space="preserve">, un nouveau site industriel créé avec l'aide de la BID et d'USAID au nord d'Haïti, qui appartiennent et sont gérés tous deux par l'agence publique SONAPI ; des parcs industriels privés tels le Parc SHODECOSA ; et la zone franche privée CODEVI de </w:t>
      </w:r>
      <w:proofErr w:type="spellStart"/>
      <w:r w:rsidRPr="00857EF9">
        <w:rPr>
          <w:lang w:val="fr-FR"/>
        </w:rPr>
        <w:t>Ouanaminthe</w:t>
      </w:r>
      <w:proofErr w:type="spellEnd"/>
      <w:r w:rsidRPr="00857EF9">
        <w:rPr>
          <w:lang w:val="fr-FR"/>
        </w:rPr>
        <w:t>.</w:t>
      </w:r>
    </w:p>
  </w:footnote>
  <w:footnote w:id="56">
    <w:p w:rsidR="005A4E53" w:rsidRPr="00857EF9" w:rsidRDefault="005A4E53">
      <w:pPr>
        <w:pStyle w:val="FootnoteText"/>
        <w:rPr>
          <w:lang w:val="fr-FR"/>
        </w:rPr>
      </w:pPr>
      <w:r w:rsidRPr="00A7289C">
        <w:rPr>
          <w:rStyle w:val="FootnoteReference"/>
        </w:rPr>
        <w:footnoteRef/>
      </w:r>
      <w:r w:rsidRPr="00857EF9">
        <w:rPr>
          <w:lang w:val="fr-FR"/>
        </w:rPr>
        <w:t xml:space="preserve"> Dans le cas où la loi sur les ZEI n'est pas votée, le projet continuera à appuyer l'instance désignée par le MCI pour ce rôle.</w:t>
      </w:r>
    </w:p>
  </w:footnote>
  <w:footnote w:id="57">
    <w:p w:rsidR="005A4E53" w:rsidRPr="00857EF9" w:rsidRDefault="005A4E53" w:rsidP="009412ED">
      <w:pPr>
        <w:pStyle w:val="FIASfootnotetext"/>
        <w:spacing w:after="0" w:line="240" w:lineRule="auto"/>
        <w:jc w:val="both"/>
        <w:rPr>
          <w:lang w:val="fr-FR"/>
        </w:rPr>
      </w:pPr>
      <w:r w:rsidRPr="00A7289C">
        <w:rPr>
          <w:rStyle w:val="FootnoteReference"/>
          <w:rFonts w:eastAsia="Times New Roman"/>
        </w:rPr>
        <w:footnoteRef/>
      </w:r>
      <w:r w:rsidRPr="00857EF9">
        <w:rPr>
          <w:lang w:val="fr-FR"/>
        </w:rPr>
        <w:t xml:space="preserve"> </w:t>
      </w:r>
      <w:r w:rsidRPr="00857EF9">
        <w:rPr>
          <w:bCs/>
          <w:lang w:val="fr-FR"/>
        </w:rPr>
        <w:t xml:space="preserve">Les sept sites retenus sont </w:t>
      </w:r>
      <w:proofErr w:type="spellStart"/>
      <w:r w:rsidRPr="00857EF9">
        <w:rPr>
          <w:bCs/>
          <w:lang w:val="fr-FR"/>
        </w:rPr>
        <w:t>Ganthier</w:t>
      </w:r>
      <w:proofErr w:type="spellEnd"/>
      <w:r w:rsidRPr="00857EF9">
        <w:rPr>
          <w:bCs/>
          <w:lang w:val="fr-FR"/>
        </w:rPr>
        <w:t xml:space="preserve">, </w:t>
      </w:r>
      <w:proofErr w:type="spellStart"/>
      <w:r w:rsidRPr="00857EF9">
        <w:rPr>
          <w:bCs/>
          <w:lang w:val="fr-FR"/>
        </w:rPr>
        <w:t>Laffiteau</w:t>
      </w:r>
      <w:proofErr w:type="spellEnd"/>
      <w:r w:rsidRPr="00857EF9">
        <w:rPr>
          <w:bCs/>
          <w:lang w:val="fr-FR"/>
        </w:rPr>
        <w:t xml:space="preserve">, Corail (NABATEC), la zone franche de la société West </w:t>
      </w:r>
      <w:proofErr w:type="spellStart"/>
      <w:r w:rsidRPr="00857EF9">
        <w:rPr>
          <w:bCs/>
          <w:lang w:val="fr-FR"/>
        </w:rPr>
        <w:t>Indies</w:t>
      </w:r>
      <w:proofErr w:type="spellEnd"/>
      <w:r w:rsidRPr="00857EF9">
        <w:rPr>
          <w:bCs/>
          <w:lang w:val="fr-FR"/>
        </w:rPr>
        <w:t>, Fort-Liberté, Cap Haïtien et Park Hispaniola.</w:t>
      </w:r>
      <m:oMath>
        <m:r>
          <m:rPr>
            <m:sty m:val="p"/>
          </m:rPr>
          <w:rPr>
            <w:rFonts w:ascii="Cambria Math" w:hAnsi="Cambria Math"/>
            <w:lang w:val="fr-FR"/>
          </w:rPr>
          <m:t>ï</m:t>
        </m:r>
      </m:oMath>
      <w:r w:rsidRPr="00857EF9">
        <w:rPr>
          <w:bCs/>
          <w:lang w:val="fr-FR"/>
        </w:rPr>
        <w:t xml:space="preserve"> </w:t>
      </w:r>
      <w:r w:rsidRPr="00857EF9">
        <w:rPr>
          <w:lang w:val="fr-FR"/>
        </w:rPr>
        <w:t>Ces sites ont été proposés au gouvernement et aux autres parties prenantes en raison de leur potentiel de développement lors d'une rencontre à Port-au-Prince le 18 septembre 2010. Les participants, représentants de haut niveau de l'État haïtien, organisations du secteur privé, associations de la société civile et bailleurs de fonds, ont été invités à présenter leurs commentaires, à la fois oralement et par écrit. Leurs remarques confirmaient largement les principales conclusions de l'évaluation des sites. Les rapports finaux de l'IFC, y compris celui relatif à la sélection des sites, ont été publiés par le MCI dans le contexte de sa stratégie pour les ZEI en décembre 2011.</w:t>
      </w:r>
    </w:p>
  </w:footnote>
  <w:footnote w:id="58">
    <w:p w:rsidR="005A4E53" w:rsidRPr="00857EF9" w:rsidRDefault="005A4E53" w:rsidP="009412ED">
      <w:pPr>
        <w:pStyle w:val="FootnoteText"/>
        <w:jc w:val="both"/>
        <w:rPr>
          <w:lang w:val="fr-FR"/>
        </w:rPr>
      </w:pPr>
      <w:r w:rsidRPr="00A7289C">
        <w:rPr>
          <w:rStyle w:val="FootnoteReference"/>
        </w:rPr>
        <w:footnoteRef/>
      </w:r>
      <w:r w:rsidRPr="00857EF9">
        <w:rPr>
          <w:lang w:val="fr-FR"/>
        </w:rPr>
        <w:t xml:space="preserve"> L'équipe du GBM a déjà préparé les documents opérationnels appropriés, notamment les modalités et les demandes de proposition pour l'étude de faisabilité complète ainsi que pour la conception, l'exploitation, la gestion et la promotion de la zone.</w:t>
      </w:r>
    </w:p>
  </w:footnote>
  <w:footnote w:id="59">
    <w:p w:rsidR="005A4E53" w:rsidRPr="00857EF9" w:rsidRDefault="005A4E53" w:rsidP="00F66157">
      <w:pPr>
        <w:pStyle w:val="FootnoteText"/>
        <w:rPr>
          <w:lang w:val="fr-FR"/>
        </w:rPr>
      </w:pPr>
      <w:r w:rsidRPr="00A7289C">
        <w:rPr>
          <w:rStyle w:val="FootnoteReference"/>
        </w:rPr>
        <w:footnoteRef/>
      </w:r>
      <w:r w:rsidRPr="00857EF9">
        <w:rPr>
          <w:lang w:val="fr-FR"/>
        </w:rPr>
        <w:t xml:space="preserve"> Forum économique mondial. </w:t>
      </w:r>
      <w:r w:rsidRPr="00857EF9">
        <w:rPr>
          <w:u w:val="single"/>
          <w:lang w:val="fr-FR"/>
        </w:rPr>
        <w:t>Rapport 2012-2013 sur la compétitivité mondiale : Haïti</w:t>
      </w:r>
      <w:r w:rsidRPr="00857EF9">
        <w:rPr>
          <w:lang w:val="fr-FR"/>
        </w:rPr>
        <w:t>. Haïti est classé 142e/144 pour la sophistication des entreprises, qui inclut, entre autres, les composantes suivantes : qualité des fournisseurs locaux (141/144) ; sophistication des processus de production (144/144) ; et portée du marketing (140/144).</w:t>
      </w:r>
    </w:p>
  </w:footnote>
  <w:footnote w:id="60">
    <w:p w:rsidR="005A4E53" w:rsidRPr="00857EF9" w:rsidRDefault="005A4E53" w:rsidP="00F66157">
      <w:pPr>
        <w:pStyle w:val="FootnoteText"/>
        <w:rPr>
          <w:lang w:val="fr-FR"/>
        </w:rPr>
      </w:pPr>
      <w:r w:rsidRPr="00A7289C">
        <w:rPr>
          <w:rStyle w:val="FootnoteReference"/>
        </w:rPr>
        <w:footnoteRef/>
      </w:r>
      <w:r w:rsidRPr="00857EF9">
        <w:rPr>
          <w:lang w:val="fr-FR"/>
        </w:rPr>
        <w:t xml:space="preserve"> CECI, Haïti. Le CECI a effectué une enquête pour évaluer les besoins de quelques 200 petites entreprises du nord et du nord-est d'Haïti et a partagé quelques résultats préliminaires avec l'équipe de manière informelle en septembre 2012. </w:t>
      </w:r>
    </w:p>
  </w:footnote>
  <w:footnote w:id="61">
    <w:p w:rsidR="005A4E53" w:rsidRPr="00857EF9" w:rsidRDefault="005A4E53" w:rsidP="00F66157">
      <w:pPr>
        <w:pStyle w:val="FootnoteText"/>
        <w:rPr>
          <w:lang w:val="fr-FR"/>
        </w:rPr>
      </w:pPr>
      <w:r w:rsidRPr="00A7289C">
        <w:rPr>
          <w:rStyle w:val="FootnoteReference"/>
        </w:rPr>
        <w:footnoteRef/>
      </w:r>
      <w:r w:rsidRPr="00857EF9">
        <w:rPr>
          <w:lang w:val="fr-FR"/>
        </w:rPr>
        <w:t xml:space="preserve"> Institut haïtien de statistiques et de données (IHSI). Comptabilité économique 2012, estimations préliminaires. En 2012, les industries alimentaires (agro-industrie) et textiles ont contribué respectivement à hauteur de 14 % et 2 % à la croissance du secteur manufacturier. </w:t>
      </w:r>
    </w:p>
  </w:footnote>
  <w:footnote w:id="62">
    <w:p w:rsidR="005A4E53" w:rsidRPr="00857EF9" w:rsidRDefault="005A4E53" w:rsidP="000B16E3">
      <w:pPr>
        <w:pStyle w:val="FootnoteText"/>
        <w:rPr>
          <w:lang w:val="fr-FR"/>
        </w:rPr>
      </w:pPr>
      <w:r w:rsidRPr="00A7289C">
        <w:rPr>
          <w:rStyle w:val="FootnoteReference"/>
        </w:rPr>
        <w:footnoteRef/>
      </w:r>
      <w:r w:rsidRPr="00857EF9">
        <w:rPr>
          <w:lang w:val="fr-FR"/>
        </w:rPr>
        <w:t xml:space="preserve"> Les MPME éligibles sont des micro-entreprises et des PME totalement privées, qui n'appartiennent pas et ne sont pas contrôlées ni intégralement ni partiellement par l'État haïtien, qui ne bénéficient pas actuellement ni à l'avenir d'un appui financier de la part d'une autre source de financement gouvernementale pour les activités qui font l'objet de la demande de subvention de contrepartie.</w:t>
      </w:r>
    </w:p>
  </w:footnote>
  <w:footnote w:id="63">
    <w:p w:rsidR="005A4E53" w:rsidRPr="00857EF9" w:rsidRDefault="005A4E53">
      <w:pPr>
        <w:pStyle w:val="FootnoteText"/>
        <w:rPr>
          <w:lang w:val="fr-FR"/>
        </w:rPr>
      </w:pPr>
      <w:r w:rsidRPr="00A7289C">
        <w:rPr>
          <w:rStyle w:val="FootnoteReference"/>
        </w:rPr>
        <w:footnoteRef/>
      </w:r>
      <w:r w:rsidRPr="00857EF9">
        <w:rPr>
          <w:lang w:val="fr-FR"/>
        </w:rPr>
        <w:t xml:space="preserve"> Le travail d'analyse des MPME fournisseurs des ZEI s'appuiera sur les études de faisabilité de ces ZEI, lesquelles contiennent une évaluation des fournisseurs locaux potentiels.</w:t>
      </w:r>
    </w:p>
  </w:footnote>
  <w:footnote w:id="64">
    <w:p w:rsidR="005A4E53" w:rsidRPr="00857EF9" w:rsidRDefault="005A4E53" w:rsidP="00981F75">
      <w:pPr>
        <w:pStyle w:val="FootnoteText"/>
        <w:rPr>
          <w:lang w:val="fr-FR"/>
        </w:rPr>
      </w:pPr>
      <w:r w:rsidRPr="00A7289C">
        <w:rPr>
          <w:rStyle w:val="FootnoteReference"/>
        </w:rPr>
        <w:footnoteRef/>
      </w:r>
      <w:r w:rsidRPr="00857EF9">
        <w:rPr>
          <w:lang w:val="fr-FR"/>
        </w:rPr>
        <w:t xml:space="preserve"> La composante SDE finance des dons plutôt que des prêts, car les fonds requis pour ces types d'assistance sont plus importants que les </w:t>
      </w:r>
      <w:proofErr w:type="spellStart"/>
      <w:r w:rsidRPr="00857EF9">
        <w:rPr>
          <w:lang w:val="fr-FR"/>
        </w:rPr>
        <w:t>microprêts</w:t>
      </w:r>
      <w:proofErr w:type="spellEnd"/>
      <w:r w:rsidRPr="00857EF9">
        <w:rPr>
          <w:lang w:val="fr-FR"/>
        </w:rPr>
        <w:t xml:space="preserve"> classiques, mais inférieurs aux prêts bancaires habituels.  </w:t>
      </w:r>
    </w:p>
  </w:footnote>
  <w:footnote w:id="65">
    <w:p w:rsidR="005A4E53" w:rsidRPr="00857EF9" w:rsidRDefault="005A4E53">
      <w:pPr>
        <w:pStyle w:val="FootnoteText"/>
        <w:rPr>
          <w:lang w:val="fr-FR"/>
        </w:rPr>
      </w:pPr>
      <w:r w:rsidRPr="00A7289C">
        <w:rPr>
          <w:rStyle w:val="FootnoteReference"/>
        </w:rPr>
        <w:footnoteRef/>
      </w:r>
      <w:r w:rsidRPr="00857EF9">
        <w:rPr>
          <w:lang w:val="fr-FR"/>
        </w:rPr>
        <w:t xml:space="preserve"> Au départ, il était prévu que le MEF soit la principale contrepartie pour ce projet, puisqu'il concerne également d'autres ministères comme le ministère du Tourisme et le ministère de la Culture. Mais son envergure a ensuite été limitée aux seules activités décrites dans ce document et de ce fait, le MCI a été désigné comme la principale contrepartie par l'IDA.</w:t>
      </w:r>
    </w:p>
  </w:footnote>
  <w:footnote w:id="66">
    <w:p w:rsidR="005A4E53" w:rsidRPr="00857EF9" w:rsidRDefault="005A4E53">
      <w:pPr>
        <w:pStyle w:val="FootnoteText"/>
        <w:rPr>
          <w:lang w:val="fr-FR"/>
        </w:rPr>
      </w:pPr>
      <w:r w:rsidRPr="00A7289C">
        <w:rPr>
          <w:rStyle w:val="FootnoteReference"/>
        </w:rPr>
        <w:footnoteRef/>
      </w:r>
      <w:r w:rsidRPr="00857EF9">
        <w:rPr>
          <w:lang w:val="fr-FR"/>
        </w:rPr>
        <w:t xml:space="preserve"> Les documents relatifs aux mesures de sauvegarde (CGES) ont été préparés par le MEF pour l'UTE. La responsabilité de la gestion fiduciaire est transférée à l'UCP, le CGES a été mis à jour par l'UCP pour refléter la nouvelle organisation institutionnelle et a été publié avant l'évaluation préliminaire.</w:t>
      </w:r>
    </w:p>
  </w:footnote>
  <w:footnote w:id="67">
    <w:p w:rsidR="005A4E53" w:rsidRPr="00857EF9" w:rsidRDefault="005A4E53" w:rsidP="00C64A61">
      <w:pPr>
        <w:pStyle w:val="FootnoteText"/>
        <w:rPr>
          <w:lang w:val="fr-FR"/>
        </w:rPr>
      </w:pPr>
      <w:r w:rsidRPr="00A7289C">
        <w:rPr>
          <w:rStyle w:val="FootnoteReference"/>
        </w:rPr>
        <w:footnoteRef/>
      </w:r>
      <w:r w:rsidRPr="00857EF9">
        <w:rPr>
          <w:lang w:val="fr-FR"/>
        </w:rPr>
        <w:t xml:space="preserve"> Ou toute autre instance établie par le GH en vue de préparer et réviser les lois et les réglementations du commerce </w:t>
      </w:r>
    </w:p>
  </w:footnote>
  <w:footnote w:id="68">
    <w:p w:rsidR="005A4E53" w:rsidRPr="00857EF9" w:rsidRDefault="005A4E53" w:rsidP="006C2EA3">
      <w:pPr>
        <w:pStyle w:val="FootnoteText"/>
        <w:rPr>
          <w:lang w:val="fr-FR"/>
        </w:rPr>
      </w:pPr>
      <w:r w:rsidRPr="00A7289C">
        <w:rPr>
          <w:rStyle w:val="FootnoteReference"/>
        </w:rPr>
        <w:footnoteRef/>
      </w:r>
      <w:r w:rsidRPr="00857EF9">
        <w:rPr>
          <w:lang w:val="fr-FR"/>
        </w:rPr>
        <w:t xml:space="preserve"> La possibilité pour l'UCP d'élaborer un manuel unifié et non spécifiquement dédié au projet sera également examinée.</w:t>
      </w:r>
    </w:p>
  </w:footnote>
  <w:footnote w:id="69">
    <w:p w:rsidR="005A4E53" w:rsidRPr="00857EF9" w:rsidRDefault="005A4E53">
      <w:pPr>
        <w:pStyle w:val="FootnoteText"/>
        <w:rPr>
          <w:lang w:val="fr-FR"/>
        </w:rPr>
      </w:pPr>
      <w:r w:rsidRPr="00A7289C">
        <w:rPr>
          <w:rStyle w:val="FootnoteReference"/>
        </w:rPr>
        <w:footnoteRef/>
      </w:r>
      <w:r w:rsidRPr="00857EF9">
        <w:rPr>
          <w:lang w:val="fr-FR"/>
        </w:rPr>
        <w:t xml:space="preserve"> Taux de change : 1 DTS = 0,667 USD</w:t>
      </w:r>
    </w:p>
  </w:footnote>
  <w:footnote w:id="70">
    <w:p w:rsidR="005A4E53" w:rsidRPr="00857EF9" w:rsidRDefault="005A4E53">
      <w:pPr>
        <w:pStyle w:val="FootnoteText"/>
        <w:rPr>
          <w:lang w:val="fr-FR"/>
        </w:rPr>
      </w:pPr>
      <w:r w:rsidRPr="00A7289C">
        <w:rPr>
          <w:rStyle w:val="FootnoteReference"/>
        </w:rPr>
        <w:footnoteRef/>
      </w:r>
      <w:r w:rsidRPr="00857EF9">
        <w:rPr>
          <w:lang w:val="fr-FR"/>
        </w:rPr>
        <w:t xml:space="preserve"> Il est envisagé que l'UCP aide le MCI à recruter un spécialiste de la passation des marchés qui commencerait à travailler initialement dans les bureaux de l'UCP. Selon ce modèle, les tâches de passation des marchés seraient effectuées par le personnel recruté par le MCI tandis que l'UCP demeurerait responsable des dossiers de passation des marchés et de leur approbation.</w:t>
      </w:r>
    </w:p>
  </w:footnote>
  <w:footnote w:id="71">
    <w:p w:rsidR="005A4E53" w:rsidRPr="00927D19" w:rsidRDefault="005A4E53" w:rsidP="00857EF9">
      <w:pPr>
        <w:pStyle w:val="FootnoteText"/>
        <w:rPr>
          <w:lang w:val="fr-FR"/>
        </w:rPr>
      </w:pPr>
      <w:r>
        <w:rPr>
          <w:rStyle w:val="FootnoteReference"/>
        </w:rPr>
        <w:footnoteRef/>
      </w:r>
      <w:r w:rsidRPr="00927D19">
        <w:rPr>
          <w:lang w:val="fr-FR"/>
        </w:rPr>
        <w:t xml:space="preserve"> Les experts de la passation des marchés et de la gestion financière ainsi que le coordinateur du projet seront embauchés dans le cadre de l'avance pour la préparation du projet et poursuivront leur mission dans le cadre du projet.</w:t>
      </w:r>
    </w:p>
  </w:footnote>
  <w:footnote w:id="72">
    <w:p w:rsidR="005A4E53" w:rsidRPr="00927D19" w:rsidRDefault="005A4E53" w:rsidP="00857EF9">
      <w:pPr>
        <w:pStyle w:val="FootnoteText"/>
        <w:rPr>
          <w:lang w:val="fr-FR"/>
        </w:rPr>
      </w:pPr>
      <w:r>
        <w:rPr>
          <w:rStyle w:val="FootnoteReference"/>
        </w:rPr>
        <w:footnoteRef/>
      </w:r>
      <w:r w:rsidRPr="00927D19">
        <w:rPr>
          <w:lang w:val="fr-FR"/>
        </w:rPr>
        <w:t xml:space="preserve"> Les seuils et les règles d'approvisionnement définis ici sont en cours d'examen par l'unité de gestion-pays et le département régional de passation des marchés afin de les ajuster au mieux à l'environnement haïtien. </w:t>
      </w:r>
    </w:p>
  </w:footnote>
  <w:footnote w:id="73">
    <w:p w:rsidR="005A4E53" w:rsidRPr="00927D19" w:rsidRDefault="005A4E53" w:rsidP="00857EF9">
      <w:pPr>
        <w:pStyle w:val="FootnoteText"/>
        <w:rPr>
          <w:lang w:val="fr-FR"/>
        </w:rPr>
      </w:pPr>
      <w:r>
        <w:rPr>
          <w:rStyle w:val="FootnoteReference"/>
        </w:rPr>
        <w:footnoteRef/>
      </w:r>
      <w:r w:rsidRPr="00927D19">
        <w:rPr>
          <w:lang w:val="fr-FR"/>
        </w:rPr>
        <w:t xml:space="preserve"> Banque de la République d’Haïti. Information demandée par e-mail auprès de Christine </w:t>
      </w:r>
      <w:proofErr w:type="spellStart"/>
      <w:r w:rsidRPr="00927D19">
        <w:rPr>
          <w:lang w:val="fr-FR"/>
        </w:rPr>
        <w:t>Aimy</w:t>
      </w:r>
      <w:proofErr w:type="spellEnd"/>
      <w:r w:rsidRPr="00927D19">
        <w:rPr>
          <w:lang w:val="fr-FR"/>
        </w:rPr>
        <w:t xml:space="preserve"> Toussaint, Direction des Affaires Juridiques, le 5 novembre 2012. </w:t>
      </w:r>
    </w:p>
  </w:footnote>
  <w:footnote w:id="74">
    <w:p w:rsidR="005A4E53" w:rsidRPr="00927D19" w:rsidRDefault="005A4E53" w:rsidP="00857EF9">
      <w:pPr>
        <w:pStyle w:val="FootnoteText"/>
        <w:rPr>
          <w:lang w:val="fr-FR"/>
        </w:rPr>
      </w:pPr>
      <w:r>
        <w:rPr>
          <w:rStyle w:val="FootnoteReference"/>
        </w:rPr>
        <w:footnoteRef/>
      </w:r>
      <w:r w:rsidRPr="00927D19">
        <w:rPr>
          <w:lang w:val="fr-FR"/>
        </w:rPr>
        <w:t xml:space="preserve"> L'estimation de hausse de 5 % de l'IDE repose sur l'expérience d'autres pays qui ont déployé des activités de promotion et de facilitation de l'investissement telle que la création d'un guichet unique pour les investisseurs. Au Zimbabwe, ce guichet unique a eu pour effet de multiplier par quatre l'IDE (voir </w:t>
      </w:r>
      <w:r w:rsidR="00113620">
        <w:fldChar w:fldCharType="begin"/>
      </w:r>
      <w:r w:rsidR="00113620" w:rsidRPr="00113620">
        <w:rPr>
          <w:lang w:val="fr-FR"/>
        </w:rPr>
        <w:instrText xml:space="preserve"> HYPERLINK "http://allafrica.com/stories/2</w:instrText>
      </w:r>
      <w:r w:rsidR="00113620" w:rsidRPr="00113620">
        <w:rPr>
          <w:lang w:val="fr-FR"/>
        </w:rPr>
        <w:instrText xml:space="preserve">01012140018.html" </w:instrText>
      </w:r>
      <w:r w:rsidR="00113620">
        <w:fldChar w:fldCharType="separate"/>
      </w:r>
      <w:r w:rsidRPr="00927D19">
        <w:rPr>
          <w:rStyle w:val="Hyperlink"/>
          <w:lang w:val="fr-FR"/>
        </w:rPr>
        <w:t>http://allafrica.com/stories/201012140018.html</w:t>
      </w:r>
      <w:r w:rsidR="00113620">
        <w:rPr>
          <w:rStyle w:val="Hyperlink"/>
          <w:lang w:val="fr-FR"/>
        </w:rPr>
        <w:fldChar w:fldCharType="end"/>
      </w:r>
      <w:r w:rsidRPr="00927D19">
        <w:rPr>
          <w:lang w:val="fr-FR"/>
        </w:rPr>
        <w:t>). En Slovaquie, un mécanisme similaire a permis d'augmenter de près de 50 % l'IDE en cinq ans (voir http://spectator.sme.sk/articles/view/41069/3/investors_one_stop_shop_reflects_on_fdi_dynamics.html).</w:t>
      </w:r>
    </w:p>
  </w:footnote>
  <w:footnote w:id="75">
    <w:p w:rsidR="005A4E53" w:rsidRDefault="005A4E53" w:rsidP="00857EF9">
      <w:pPr>
        <w:pStyle w:val="FootnoteText"/>
      </w:pPr>
      <w:r>
        <w:rPr>
          <w:rStyle w:val="FootnoteReference"/>
        </w:rPr>
        <w:footnoteRef/>
      </w:r>
      <w:r w:rsidRPr="00927D19">
        <w:rPr>
          <w:lang w:val="fr-FR"/>
        </w:rPr>
        <w:t xml:space="preserve"> Morisset, Jacques. Document de travail consacré à la recherche sur </w:t>
      </w:r>
      <w:proofErr w:type="gramStart"/>
      <w:r w:rsidRPr="00927D19">
        <w:rPr>
          <w:lang w:val="fr-FR"/>
        </w:rPr>
        <w:t>les politiques</w:t>
      </w:r>
      <w:proofErr w:type="gramEnd"/>
      <w:r w:rsidRPr="00927D19">
        <w:rPr>
          <w:lang w:val="fr-FR"/>
        </w:rPr>
        <w:t xml:space="preserve"> n° 2038. </w:t>
      </w:r>
      <w:r>
        <w:t xml:space="preserve">« Does a country need a promotion agency to attract foreign direct investment? A small analytical model applied to 58 countries. » </w:t>
      </w:r>
      <w:proofErr w:type="spellStart"/>
      <w:r>
        <w:t>Voir</w:t>
      </w:r>
      <w:proofErr w:type="spellEnd"/>
      <w:r>
        <w:t> : http://imagebank.worldbank.org/servlet/WDSContentServer/IW3P/IB/2003/05/23/000094946_03051404103335/Rendered/PDF/multi0page.pdf</w:t>
      </w:r>
    </w:p>
  </w:footnote>
  <w:footnote w:id="76">
    <w:p w:rsidR="005A4E53" w:rsidRPr="00927D19" w:rsidRDefault="005A4E53" w:rsidP="00857EF9">
      <w:pPr>
        <w:pStyle w:val="FootnoteText"/>
        <w:rPr>
          <w:lang w:val="fr-FR"/>
        </w:rPr>
      </w:pPr>
      <w:r>
        <w:rPr>
          <w:rStyle w:val="FootnoteReference"/>
        </w:rPr>
        <w:footnoteRef/>
      </w:r>
      <w:r w:rsidRPr="00927D19">
        <w:rPr>
          <w:lang w:val="fr-FR"/>
        </w:rPr>
        <w:t xml:space="preserve"> </w:t>
      </w:r>
      <w:proofErr w:type="spellStart"/>
      <w:r w:rsidRPr="00927D19">
        <w:rPr>
          <w:lang w:val="fr-FR"/>
        </w:rPr>
        <w:t>Duflo</w:t>
      </w:r>
      <w:proofErr w:type="spellEnd"/>
      <w:r w:rsidRPr="00927D19">
        <w:rPr>
          <w:lang w:val="fr-FR"/>
        </w:rPr>
        <w:t xml:space="preserve">, Annie et Dean </w:t>
      </w:r>
      <w:proofErr w:type="spellStart"/>
      <w:r w:rsidRPr="00927D19">
        <w:rPr>
          <w:lang w:val="fr-FR"/>
        </w:rPr>
        <w:t>Karlan</w:t>
      </w:r>
      <w:proofErr w:type="spellEnd"/>
      <w:r w:rsidRPr="00927D19">
        <w:rPr>
          <w:lang w:val="fr-FR"/>
        </w:rPr>
        <w:t xml:space="preserve">. </w:t>
      </w:r>
      <w:r>
        <w:t xml:space="preserve">« Can management consulting help small firms grow? » </w:t>
      </w:r>
      <w:r w:rsidRPr="00927D19">
        <w:rPr>
          <w:lang w:val="fr-FR"/>
        </w:rPr>
        <w:t xml:space="preserve">Dans : </w:t>
      </w:r>
      <w:proofErr w:type="spellStart"/>
      <w:r w:rsidRPr="00927D19">
        <w:rPr>
          <w:lang w:val="fr-FR"/>
        </w:rPr>
        <w:t>Stanford</w:t>
      </w:r>
      <w:proofErr w:type="spellEnd"/>
      <w:r w:rsidRPr="00927D19">
        <w:rPr>
          <w:lang w:val="fr-FR"/>
        </w:rPr>
        <w:t xml:space="preserve"> Social Innovation </w:t>
      </w:r>
      <w:proofErr w:type="spellStart"/>
      <w:r w:rsidRPr="00927D19">
        <w:rPr>
          <w:lang w:val="fr-FR"/>
        </w:rPr>
        <w:t>Review</w:t>
      </w:r>
      <w:proofErr w:type="spellEnd"/>
      <w:r w:rsidRPr="00927D19">
        <w:rPr>
          <w:lang w:val="fr-FR"/>
        </w:rPr>
        <w:t xml:space="preserve">. Été 2012. Consulté sur : </w:t>
      </w:r>
      <w:hyperlink r:id="rId3" w:history="1">
        <w:r w:rsidRPr="00927D19">
          <w:rPr>
            <w:rStyle w:val="Hyperlink"/>
            <w:lang w:val="fr-FR"/>
          </w:rPr>
          <w:t>http://www.ssireview.org/articles/entry/can_management_consulting_help_small_firms_grow</w:t>
        </w:r>
      </w:hyperlink>
      <w:r w:rsidRPr="00927D19">
        <w:rPr>
          <w:lang w:val="fr-FR"/>
        </w:rPr>
        <w:t xml:space="preserve">.  </w:t>
      </w:r>
    </w:p>
    <w:p w:rsidR="005A4E53" w:rsidRPr="006B5D0E" w:rsidRDefault="005A4E53" w:rsidP="00857EF9">
      <w:pPr>
        <w:pStyle w:val="FootnoteText"/>
        <w:rPr>
          <w:rStyle w:val="Hyperlink"/>
        </w:rPr>
      </w:pPr>
      <w:proofErr w:type="spellStart"/>
      <w:r>
        <w:t>McKernan</w:t>
      </w:r>
      <w:proofErr w:type="spellEnd"/>
      <w:r>
        <w:t xml:space="preserve">, </w:t>
      </w:r>
      <w:proofErr w:type="gramStart"/>
      <w:r>
        <w:t>S.M..</w:t>
      </w:r>
      <w:proofErr w:type="gramEnd"/>
      <w:r>
        <w:t xml:space="preserve"> « The impact of microcredit programs on self-employment profits: Do noncredit program aspects matter</w:t>
      </w:r>
      <w:r>
        <w:rPr>
          <w:rStyle w:val="Hyperlink"/>
        </w:rPr>
        <w:t>? » Review of Economics and Statistics, 84 (1) (2002), pp. 93–115.</w:t>
      </w:r>
    </w:p>
    <w:p w:rsidR="005A4E53" w:rsidRPr="0058787C" w:rsidRDefault="005A4E53" w:rsidP="00857EF9">
      <w:pPr>
        <w:pStyle w:val="FootnoteText"/>
        <w:rPr>
          <w:rStyle w:val="Hyperlink"/>
        </w:rPr>
      </w:pPr>
      <w:proofErr w:type="spellStart"/>
      <w:r>
        <w:rPr>
          <w:rStyle w:val="Hyperlink"/>
        </w:rPr>
        <w:t>Copestake</w:t>
      </w:r>
      <w:proofErr w:type="spellEnd"/>
      <w:r>
        <w:rPr>
          <w:rStyle w:val="Hyperlink"/>
        </w:rPr>
        <w:t xml:space="preserve">, J. </w:t>
      </w:r>
      <w:proofErr w:type="gramStart"/>
      <w:r>
        <w:rPr>
          <w:rStyle w:val="Hyperlink"/>
        </w:rPr>
        <w:t>et</w:t>
      </w:r>
      <w:proofErr w:type="gramEnd"/>
      <w:r>
        <w:rPr>
          <w:rStyle w:val="Hyperlink"/>
        </w:rPr>
        <w:t xml:space="preserve"> S. </w:t>
      </w:r>
      <w:proofErr w:type="spellStart"/>
      <w:r>
        <w:rPr>
          <w:rStyle w:val="Hyperlink"/>
        </w:rPr>
        <w:t>Bhalotra</w:t>
      </w:r>
      <w:proofErr w:type="spellEnd"/>
      <w:r>
        <w:rPr>
          <w:rStyle w:val="Hyperlink"/>
        </w:rPr>
        <w:t xml:space="preserve">, S. Johnson. </w:t>
      </w:r>
      <w:proofErr w:type="gramStart"/>
      <w:r>
        <w:rPr>
          <w:rStyle w:val="Hyperlink"/>
        </w:rPr>
        <w:t>« Assessing the impact of microcredit: A Zambian case study. »</w:t>
      </w:r>
      <w:proofErr w:type="gramEnd"/>
      <w:r>
        <w:rPr>
          <w:rStyle w:val="Hyperlink"/>
        </w:rPr>
        <w:t xml:space="preserve"> Journal of Development Studies, 37 (4) (2001), pp. 81–100.</w:t>
      </w:r>
    </w:p>
    <w:p w:rsidR="005A4E53" w:rsidRPr="006B5D0E" w:rsidRDefault="005A4E53" w:rsidP="00857EF9">
      <w:pPr>
        <w:pStyle w:val="FootnoteText"/>
      </w:pPr>
      <w:proofErr w:type="spellStart"/>
      <w:r>
        <w:t>Nisttahusz</w:t>
      </w:r>
      <w:proofErr w:type="spellEnd"/>
      <w:r>
        <w:t xml:space="preserve">, S. </w:t>
      </w:r>
      <w:proofErr w:type="gramStart"/>
      <w:r>
        <w:t>et</w:t>
      </w:r>
      <w:proofErr w:type="gramEnd"/>
      <w:r>
        <w:t xml:space="preserve"> G. </w:t>
      </w:r>
      <w:proofErr w:type="spellStart"/>
      <w:r>
        <w:t>Montaño</w:t>
      </w:r>
      <w:proofErr w:type="spellEnd"/>
      <w:r>
        <w:t xml:space="preserve"> Hernandez, M. </w:t>
      </w:r>
      <w:proofErr w:type="spellStart"/>
      <w:r>
        <w:t>Lavayén</w:t>
      </w:r>
      <w:proofErr w:type="spellEnd"/>
      <w:r>
        <w:t xml:space="preserve">. </w:t>
      </w:r>
      <w:r w:rsidRPr="009F130B">
        <w:rPr>
          <w:lang w:val="es-BO"/>
        </w:rPr>
        <w:t xml:space="preserve">« La importancia de los servicios de desarrollo empresarial en el desarrollo de la micro y pequeña empresa y su relación con las microfinanzas. » </w:t>
      </w:r>
      <w:proofErr w:type="spellStart"/>
      <w:proofErr w:type="gramStart"/>
      <w:r>
        <w:t>Funda</w:t>
      </w:r>
      <w:proofErr w:type="spellEnd"/>
      <w:r>
        <w:t xml:space="preserve">-Pro, La Paz, </w:t>
      </w:r>
      <w:proofErr w:type="spellStart"/>
      <w:r>
        <w:t>Bolivie</w:t>
      </w:r>
      <w:proofErr w:type="spellEnd"/>
      <w:r>
        <w:t xml:space="preserve"> (2002).</w:t>
      </w:r>
      <w:proofErr w:type="gramEnd"/>
    </w:p>
    <w:p w:rsidR="005A4E53" w:rsidRPr="00927D19" w:rsidRDefault="005A4E53" w:rsidP="00857EF9">
      <w:pPr>
        <w:pStyle w:val="FootnoteText"/>
        <w:rPr>
          <w:lang w:val="fr-FR"/>
        </w:rPr>
      </w:pPr>
      <w:r>
        <w:t xml:space="preserve">S.R. </w:t>
      </w:r>
      <w:proofErr w:type="spellStart"/>
      <w:r>
        <w:t>Halder</w:t>
      </w:r>
      <w:proofErr w:type="spellEnd"/>
      <w:r>
        <w:t xml:space="preserve">. « BRAC’s business development services—do they pay? » </w:t>
      </w:r>
      <w:r w:rsidRPr="00927D19">
        <w:rPr>
          <w:lang w:val="fr-FR"/>
        </w:rPr>
        <w:t xml:space="preserve">Small Enterprise </w:t>
      </w:r>
      <w:proofErr w:type="spellStart"/>
      <w:r w:rsidRPr="00927D19">
        <w:rPr>
          <w:lang w:val="fr-FR"/>
        </w:rPr>
        <w:t>Development</w:t>
      </w:r>
      <w:proofErr w:type="spellEnd"/>
      <w:r w:rsidRPr="00927D19">
        <w:rPr>
          <w:lang w:val="fr-FR"/>
        </w:rPr>
        <w:t>, 14 (2) (2003), pp. 26–35.</w:t>
      </w:r>
    </w:p>
  </w:footnote>
  <w:footnote w:id="77">
    <w:p w:rsidR="005A4E53" w:rsidRPr="00927D19" w:rsidRDefault="005A4E53" w:rsidP="00857EF9">
      <w:pPr>
        <w:pStyle w:val="FootnoteText"/>
        <w:rPr>
          <w:lang w:val="fr-FR"/>
        </w:rPr>
      </w:pPr>
      <w:r>
        <w:rPr>
          <w:rStyle w:val="FootnoteReference"/>
        </w:rPr>
        <w:footnoteRef/>
      </w:r>
      <w:r w:rsidRPr="00927D19">
        <w:rPr>
          <w:lang w:val="fr-FR"/>
        </w:rPr>
        <w:t xml:space="preserve"> Forum économique mondial. </w:t>
      </w:r>
      <w:r w:rsidRPr="00927D19">
        <w:rPr>
          <w:u w:val="single"/>
          <w:lang w:val="fr-FR"/>
        </w:rPr>
        <w:t>Rapport 2012-2013 sur la compétitivité mondiale : Haïti</w:t>
      </w:r>
      <w:r w:rsidRPr="00927D19">
        <w:rPr>
          <w:lang w:val="fr-FR"/>
        </w:rPr>
        <w:t>. Haïti est classé au 138e rang sur 144 pour la disponibilité des services financiers ; au 139e sur 144 pour le caractère abordable des services financiers ; et au 142e rang sur 144 pour la facilité d'accès aux crédits.</w:t>
      </w:r>
    </w:p>
  </w:footnote>
  <w:footnote w:id="78">
    <w:p w:rsidR="005A4E53" w:rsidRPr="00927D19" w:rsidRDefault="005A4E53" w:rsidP="00857EF9">
      <w:pPr>
        <w:pStyle w:val="FootnoteText"/>
        <w:rPr>
          <w:lang w:val="fr-FR"/>
        </w:rPr>
      </w:pPr>
      <w:r>
        <w:rPr>
          <w:rStyle w:val="FootnoteReference"/>
        </w:rPr>
        <w:footnoteRef/>
      </w:r>
      <w:r w:rsidRPr="00927D19">
        <w:rPr>
          <w:lang w:val="fr-FR"/>
        </w:rPr>
        <w:t xml:space="preserve"> Banque mondiale. </w:t>
      </w:r>
      <w:r w:rsidRPr="00927D19">
        <w:rPr>
          <w:u w:val="single"/>
          <w:lang w:val="fr-FR"/>
        </w:rPr>
        <w:t>Indice d'inclusion financière</w:t>
      </w:r>
      <w:r w:rsidRPr="00927D19">
        <w:rPr>
          <w:lang w:val="fr-FR"/>
        </w:rPr>
        <w:t xml:space="preserve"> (données de 2011). </w:t>
      </w:r>
      <w:proofErr w:type="spellStart"/>
      <w:r w:rsidRPr="00927D19">
        <w:rPr>
          <w:lang w:val="fr-FR"/>
        </w:rPr>
        <w:t>Asli</w:t>
      </w:r>
      <w:proofErr w:type="spellEnd"/>
      <w:r w:rsidRPr="00927D19">
        <w:rPr>
          <w:lang w:val="fr-FR"/>
        </w:rPr>
        <w:t xml:space="preserve"> </w:t>
      </w:r>
      <w:proofErr w:type="spellStart"/>
      <w:r w:rsidRPr="00927D19">
        <w:rPr>
          <w:lang w:val="fr-FR"/>
        </w:rPr>
        <w:t>Demirguc-Kunt</w:t>
      </w:r>
      <w:proofErr w:type="spellEnd"/>
      <w:r w:rsidRPr="00927D19">
        <w:rPr>
          <w:lang w:val="fr-FR"/>
        </w:rPr>
        <w:t xml:space="preserve"> et </w:t>
      </w:r>
      <w:proofErr w:type="spellStart"/>
      <w:r w:rsidRPr="00927D19">
        <w:rPr>
          <w:lang w:val="fr-FR"/>
        </w:rPr>
        <w:t>Leora</w:t>
      </w:r>
      <w:proofErr w:type="spellEnd"/>
      <w:r w:rsidRPr="00927D19">
        <w:rPr>
          <w:lang w:val="fr-FR"/>
        </w:rPr>
        <w:t xml:space="preserve"> </w:t>
      </w:r>
      <w:proofErr w:type="spellStart"/>
      <w:r w:rsidRPr="00927D19">
        <w:rPr>
          <w:lang w:val="fr-FR"/>
        </w:rPr>
        <w:t>Klapper</w:t>
      </w:r>
      <w:proofErr w:type="spellEnd"/>
      <w:r w:rsidRPr="00927D19">
        <w:rPr>
          <w:lang w:val="fr-FR"/>
        </w:rPr>
        <w:t>, 2012.</w:t>
      </w:r>
    </w:p>
  </w:footnote>
  <w:footnote w:id="79">
    <w:p w:rsidR="005A4E53" w:rsidRPr="00927D19" w:rsidRDefault="005A4E53" w:rsidP="00857EF9">
      <w:pPr>
        <w:pStyle w:val="FootnoteText"/>
        <w:rPr>
          <w:lang w:val="fr-FR"/>
        </w:rPr>
      </w:pPr>
      <w:r>
        <w:rPr>
          <w:rStyle w:val="FootnoteReference"/>
        </w:rPr>
        <w:footnoteRef/>
      </w:r>
      <w:r w:rsidRPr="00927D19">
        <w:rPr>
          <w:lang w:val="fr-FR"/>
        </w:rPr>
        <w:t xml:space="preserve"> </w:t>
      </w:r>
      <w:hyperlink r:id="rId4" w:history="1">
        <w:r w:rsidRPr="00927D19">
          <w:rPr>
            <w:rStyle w:val="Hyperlink"/>
            <w:lang w:val="fr-FR"/>
          </w:rPr>
          <w:t>http://www.doingbusiness.org/</w:t>
        </w:r>
      </w:hyperlink>
      <w:r w:rsidRPr="00927D19">
        <w:rPr>
          <w:lang w:val="fr-FR"/>
        </w:rPr>
        <w:t xml:space="preserve"> </w:t>
      </w:r>
    </w:p>
  </w:footnote>
  <w:footnote w:id="80">
    <w:p w:rsidR="005A4E53" w:rsidRPr="00927D19" w:rsidRDefault="005A4E53" w:rsidP="00857EF9">
      <w:pPr>
        <w:autoSpaceDE w:val="0"/>
        <w:autoSpaceDN w:val="0"/>
        <w:adjustRightInd w:val="0"/>
        <w:rPr>
          <w:sz w:val="20"/>
          <w:szCs w:val="20"/>
          <w:lang w:val="fr-FR"/>
        </w:rPr>
      </w:pPr>
      <w:r w:rsidRPr="00967521">
        <w:rPr>
          <w:rStyle w:val="FootnoteReference"/>
          <w:sz w:val="20"/>
          <w:szCs w:val="20"/>
        </w:rPr>
        <w:footnoteRef/>
      </w:r>
      <w:r>
        <w:t xml:space="preserve"> </w:t>
      </w:r>
      <w:proofErr w:type="spellStart"/>
      <w:r>
        <w:rPr>
          <w:sz w:val="20"/>
          <w:szCs w:val="20"/>
        </w:rPr>
        <w:t>Funchal</w:t>
      </w:r>
      <w:proofErr w:type="spellEnd"/>
      <w:r>
        <w:rPr>
          <w:sz w:val="20"/>
          <w:szCs w:val="20"/>
        </w:rPr>
        <w:t xml:space="preserve">, Bruno. 2008. « The Effects of the 2005 Bankruptcy Reform in Brazil. » </w:t>
      </w:r>
      <w:proofErr w:type="spellStart"/>
      <w:r w:rsidRPr="00927D19">
        <w:rPr>
          <w:i/>
          <w:iCs/>
          <w:sz w:val="20"/>
          <w:szCs w:val="20"/>
          <w:lang w:val="fr-FR"/>
        </w:rPr>
        <w:t>Economics</w:t>
      </w:r>
      <w:proofErr w:type="spellEnd"/>
      <w:r w:rsidRPr="00927D19">
        <w:rPr>
          <w:i/>
          <w:iCs/>
          <w:sz w:val="20"/>
          <w:szCs w:val="20"/>
          <w:lang w:val="fr-FR"/>
        </w:rPr>
        <w:t xml:space="preserve"> </w:t>
      </w:r>
      <w:proofErr w:type="spellStart"/>
      <w:r w:rsidRPr="00927D19">
        <w:rPr>
          <w:i/>
          <w:iCs/>
          <w:sz w:val="20"/>
          <w:szCs w:val="20"/>
          <w:lang w:val="fr-FR"/>
        </w:rPr>
        <w:t>Letters</w:t>
      </w:r>
      <w:proofErr w:type="spellEnd"/>
      <w:r w:rsidRPr="00927D19">
        <w:rPr>
          <w:i/>
          <w:iCs/>
          <w:sz w:val="20"/>
          <w:szCs w:val="20"/>
          <w:lang w:val="fr-FR"/>
        </w:rPr>
        <w:t xml:space="preserve"> </w:t>
      </w:r>
      <w:r w:rsidRPr="00927D19">
        <w:rPr>
          <w:sz w:val="20"/>
          <w:szCs w:val="20"/>
          <w:lang w:val="fr-FR"/>
        </w:rPr>
        <w:t>101 (1): 84–86.</w:t>
      </w:r>
    </w:p>
  </w:footnote>
  <w:footnote w:id="81">
    <w:p w:rsidR="005A4E53" w:rsidRPr="00927D19" w:rsidRDefault="005A4E53" w:rsidP="00857EF9">
      <w:pPr>
        <w:pStyle w:val="FootnoteText"/>
        <w:rPr>
          <w:lang w:val="fr-FR"/>
        </w:rPr>
      </w:pPr>
      <w:r w:rsidRPr="00967521">
        <w:rPr>
          <w:rStyle w:val="FootnoteReference"/>
        </w:rPr>
        <w:footnoteRef/>
      </w:r>
      <w:r w:rsidRPr="00927D19">
        <w:rPr>
          <w:lang w:val="fr-FR"/>
        </w:rPr>
        <w:t xml:space="preserve"> Si un impact similaire se produisait en Haïti, le crédit intérieur brut pourrait augmenter de 17,4 % du PIB (2011) à 24,2 %. Cependant, il faut noter qu'au Brésil le crédit intérieur brut s'élève à 98,3 % du PIB (2011), rendant difficile la comparaison ou l'extrapolation d'une estimation précise avec l'effet prévu en Haïti.</w:t>
      </w:r>
    </w:p>
  </w:footnote>
  <w:footnote w:id="82">
    <w:p w:rsidR="005A4E53" w:rsidRPr="00F63D17" w:rsidRDefault="005A4E53" w:rsidP="00857EF9">
      <w:pPr>
        <w:autoSpaceDE w:val="0"/>
        <w:autoSpaceDN w:val="0"/>
        <w:adjustRightInd w:val="0"/>
        <w:rPr>
          <w:sz w:val="20"/>
          <w:szCs w:val="20"/>
        </w:rPr>
      </w:pPr>
      <w:r w:rsidRPr="00D70B81">
        <w:rPr>
          <w:rStyle w:val="FootnoteReference"/>
          <w:sz w:val="20"/>
          <w:szCs w:val="20"/>
        </w:rPr>
        <w:footnoteRef/>
      </w:r>
      <w:r>
        <w:t xml:space="preserve"> </w:t>
      </w:r>
      <w:proofErr w:type="spellStart"/>
      <w:r>
        <w:rPr>
          <w:sz w:val="20"/>
          <w:szCs w:val="20"/>
        </w:rPr>
        <w:t>Visaria</w:t>
      </w:r>
      <w:proofErr w:type="spellEnd"/>
      <w:r>
        <w:rPr>
          <w:sz w:val="20"/>
          <w:szCs w:val="20"/>
        </w:rPr>
        <w:t xml:space="preserve">, </w:t>
      </w:r>
      <w:proofErr w:type="spellStart"/>
      <w:r>
        <w:rPr>
          <w:sz w:val="20"/>
          <w:szCs w:val="20"/>
        </w:rPr>
        <w:t>Surata</w:t>
      </w:r>
      <w:proofErr w:type="spellEnd"/>
      <w:r>
        <w:rPr>
          <w:sz w:val="20"/>
          <w:szCs w:val="20"/>
        </w:rPr>
        <w:t xml:space="preserve">. 2009. « Legal Reform and Loan Repayment: The Microeconomic Impact of Debt Recovery Tribunals in India. » American Economic </w:t>
      </w:r>
      <w:proofErr w:type="gramStart"/>
      <w:r>
        <w:rPr>
          <w:sz w:val="20"/>
          <w:szCs w:val="20"/>
        </w:rPr>
        <w:t>Journal :</w:t>
      </w:r>
      <w:proofErr w:type="gramEnd"/>
      <w:r>
        <w:rPr>
          <w:sz w:val="20"/>
          <w:szCs w:val="20"/>
        </w:rPr>
        <w:t xml:space="preserve"> Applied Economics 1 (3) : 59–81.</w:t>
      </w:r>
    </w:p>
  </w:footnote>
  <w:footnote w:id="83">
    <w:p w:rsidR="005A4E53" w:rsidRPr="00F63D17" w:rsidRDefault="005A4E53" w:rsidP="00857EF9">
      <w:pPr>
        <w:autoSpaceDE w:val="0"/>
        <w:autoSpaceDN w:val="0"/>
        <w:adjustRightInd w:val="0"/>
        <w:rPr>
          <w:sz w:val="20"/>
          <w:szCs w:val="20"/>
        </w:rPr>
      </w:pPr>
      <w:r w:rsidRPr="003846B9">
        <w:rPr>
          <w:vertAlign w:val="superscript"/>
        </w:rPr>
        <w:footnoteRef/>
      </w:r>
      <w:r>
        <w:rPr>
          <w:sz w:val="20"/>
          <w:szCs w:val="20"/>
        </w:rPr>
        <w:t xml:space="preserve">Foley, C. Fritz. 1999. « Going Bust in Bangkok: Lessons from Bankruptcy Law Reform in Thailand. » </w:t>
      </w:r>
      <w:proofErr w:type="gramStart"/>
      <w:r>
        <w:rPr>
          <w:sz w:val="20"/>
          <w:szCs w:val="20"/>
        </w:rPr>
        <w:t>Harvard Business School, Cambridge, MA.</w:t>
      </w:r>
      <w:proofErr w:type="gramEnd"/>
    </w:p>
  </w:footnote>
  <w:footnote w:id="84">
    <w:p w:rsidR="005A4E53" w:rsidRPr="00927D19" w:rsidRDefault="005A4E53" w:rsidP="00857EF9">
      <w:pPr>
        <w:autoSpaceDE w:val="0"/>
        <w:autoSpaceDN w:val="0"/>
        <w:adjustRightInd w:val="0"/>
        <w:rPr>
          <w:lang w:val="fr-FR"/>
        </w:rPr>
      </w:pPr>
      <w:r w:rsidRPr="00D70B81">
        <w:rPr>
          <w:rStyle w:val="FootnoteReference"/>
          <w:sz w:val="20"/>
          <w:szCs w:val="20"/>
        </w:rPr>
        <w:footnoteRef/>
      </w:r>
      <w:r>
        <w:t xml:space="preserve"> </w:t>
      </w:r>
      <w:proofErr w:type="spellStart"/>
      <w:r>
        <w:rPr>
          <w:sz w:val="20"/>
          <w:szCs w:val="20"/>
        </w:rPr>
        <w:t>Inessa</w:t>
      </w:r>
      <w:proofErr w:type="spellEnd"/>
      <w:r>
        <w:rPr>
          <w:sz w:val="20"/>
          <w:szCs w:val="20"/>
        </w:rPr>
        <w:t xml:space="preserve"> Love, Maria Soledad Martinez </w:t>
      </w:r>
      <w:proofErr w:type="spellStart"/>
      <w:r>
        <w:rPr>
          <w:sz w:val="20"/>
          <w:szCs w:val="20"/>
        </w:rPr>
        <w:t>Peria</w:t>
      </w:r>
      <w:proofErr w:type="spellEnd"/>
      <w:r>
        <w:rPr>
          <w:sz w:val="20"/>
          <w:szCs w:val="20"/>
        </w:rPr>
        <w:t xml:space="preserve"> </w:t>
      </w:r>
      <w:proofErr w:type="gramStart"/>
      <w:r>
        <w:rPr>
          <w:sz w:val="20"/>
          <w:szCs w:val="20"/>
        </w:rPr>
        <w:t>et</w:t>
      </w:r>
      <w:proofErr w:type="gramEnd"/>
      <w:r>
        <w:rPr>
          <w:sz w:val="20"/>
          <w:szCs w:val="20"/>
        </w:rPr>
        <w:t xml:space="preserve"> </w:t>
      </w:r>
      <w:proofErr w:type="spellStart"/>
      <w:r>
        <w:rPr>
          <w:sz w:val="20"/>
          <w:szCs w:val="20"/>
        </w:rPr>
        <w:t>Sandeep</w:t>
      </w:r>
      <w:proofErr w:type="spellEnd"/>
      <w:r>
        <w:rPr>
          <w:sz w:val="20"/>
          <w:szCs w:val="20"/>
        </w:rPr>
        <w:t xml:space="preserve"> Singh.  « Collateral Registries for Movable Assets: Does Their Introduction Spur Firms’ Access to Finance? » </w:t>
      </w:r>
      <w:r w:rsidRPr="00927D19">
        <w:rPr>
          <w:sz w:val="20"/>
          <w:szCs w:val="20"/>
          <w:lang w:val="fr-FR"/>
        </w:rPr>
        <w:t xml:space="preserve">Prochainement, dans le Global Financial </w:t>
      </w:r>
      <w:proofErr w:type="spellStart"/>
      <w:r w:rsidRPr="00927D19">
        <w:rPr>
          <w:sz w:val="20"/>
          <w:szCs w:val="20"/>
          <w:lang w:val="fr-FR"/>
        </w:rPr>
        <w:t>Development</w:t>
      </w:r>
      <w:proofErr w:type="spellEnd"/>
      <w:r w:rsidRPr="00927D19">
        <w:rPr>
          <w:sz w:val="20"/>
          <w:szCs w:val="20"/>
          <w:lang w:val="fr-FR"/>
        </w:rPr>
        <w:t xml:space="preserve"> Report de la Banque mondiale.</w:t>
      </w:r>
    </w:p>
  </w:footnote>
  <w:footnote w:id="85">
    <w:p w:rsidR="005A4E53" w:rsidRPr="00927D19" w:rsidRDefault="005A4E53" w:rsidP="00857EF9">
      <w:pPr>
        <w:pStyle w:val="FootnoteText"/>
        <w:rPr>
          <w:lang w:val="fr-FR"/>
        </w:rPr>
      </w:pPr>
      <w:r>
        <w:rPr>
          <w:rStyle w:val="FootnoteReference"/>
        </w:rPr>
        <w:footnoteRef/>
      </w:r>
      <w:r>
        <w:t xml:space="preserve"> </w:t>
      </w:r>
      <w:proofErr w:type="spellStart"/>
      <w:r>
        <w:t>Inessa</w:t>
      </w:r>
      <w:proofErr w:type="spellEnd"/>
      <w:r>
        <w:t xml:space="preserve"> Love, Maria Soledad Martinez </w:t>
      </w:r>
      <w:proofErr w:type="spellStart"/>
      <w:r>
        <w:t>Peria</w:t>
      </w:r>
      <w:proofErr w:type="spellEnd"/>
      <w:r>
        <w:t xml:space="preserve"> </w:t>
      </w:r>
      <w:proofErr w:type="gramStart"/>
      <w:r>
        <w:t>et</w:t>
      </w:r>
      <w:proofErr w:type="gramEnd"/>
      <w:r>
        <w:t xml:space="preserve"> </w:t>
      </w:r>
      <w:proofErr w:type="spellStart"/>
      <w:r>
        <w:t>Sandeep</w:t>
      </w:r>
      <w:proofErr w:type="spellEnd"/>
      <w:r>
        <w:t xml:space="preserve"> Singh.  « Collateral Registries for Movable Assets: Does Their Introduction Spur Firms’ Access to Finance? » </w:t>
      </w:r>
      <w:r w:rsidRPr="00927D19">
        <w:rPr>
          <w:lang w:val="fr-FR"/>
        </w:rPr>
        <w:t xml:space="preserve">Prochainement, dans le Global Financial </w:t>
      </w:r>
      <w:proofErr w:type="spellStart"/>
      <w:r w:rsidRPr="00927D19">
        <w:rPr>
          <w:lang w:val="fr-FR"/>
        </w:rPr>
        <w:t>Development</w:t>
      </w:r>
      <w:proofErr w:type="spellEnd"/>
      <w:r w:rsidRPr="00927D19">
        <w:rPr>
          <w:lang w:val="fr-FR"/>
        </w:rPr>
        <w:t xml:space="preserve"> Report de la Banque mondiale.</w:t>
      </w:r>
    </w:p>
  </w:footnote>
  <w:footnote w:id="86">
    <w:p w:rsidR="005A4E53" w:rsidRPr="00967521" w:rsidRDefault="005A4E53" w:rsidP="00857EF9">
      <w:pPr>
        <w:autoSpaceDE w:val="0"/>
        <w:autoSpaceDN w:val="0"/>
        <w:adjustRightInd w:val="0"/>
      </w:pPr>
      <w:r w:rsidRPr="00D70B81">
        <w:rPr>
          <w:rStyle w:val="FootnoteReference"/>
          <w:sz w:val="20"/>
          <w:szCs w:val="20"/>
        </w:rPr>
        <w:footnoteRef/>
      </w:r>
      <w:r w:rsidRPr="00927D19">
        <w:rPr>
          <w:lang w:val="fr-FR"/>
        </w:rPr>
        <w:t xml:space="preserve"> </w:t>
      </w:r>
      <w:proofErr w:type="spellStart"/>
      <w:r w:rsidRPr="00927D19">
        <w:rPr>
          <w:sz w:val="20"/>
          <w:szCs w:val="20"/>
          <w:lang w:val="fr-FR"/>
        </w:rPr>
        <w:t>Kitzmuller</w:t>
      </w:r>
      <w:proofErr w:type="spellEnd"/>
      <w:r w:rsidRPr="00927D19">
        <w:rPr>
          <w:sz w:val="20"/>
          <w:szCs w:val="20"/>
          <w:lang w:val="fr-FR"/>
        </w:rPr>
        <w:t xml:space="preserve">, Markus et Martha Martinez </w:t>
      </w:r>
      <w:proofErr w:type="spellStart"/>
      <w:r w:rsidRPr="00927D19">
        <w:rPr>
          <w:sz w:val="20"/>
          <w:szCs w:val="20"/>
          <w:lang w:val="fr-FR"/>
        </w:rPr>
        <w:t>Licetti</w:t>
      </w:r>
      <w:proofErr w:type="spellEnd"/>
      <w:r w:rsidRPr="00927D19">
        <w:rPr>
          <w:sz w:val="20"/>
          <w:szCs w:val="20"/>
          <w:lang w:val="fr-FR"/>
        </w:rPr>
        <w:t xml:space="preserve">. </w:t>
      </w:r>
      <w:proofErr w:type="gramStart"/>
      <w:r>
        <w:rPr>
          <w:sz w:val="20"/>
          <w:szCs w:val="20"/>
        </w:rPr>
        <w:t>« World Bank Group: Financial and Private Sector Development Vice Presidency Viewpoint: Competition Policy, Note Number 331. »</w:t>
      </w:r>
      <w:proofErr w:type="gramEnd"/>
      <w:r>
        <w:rPr>
          <w:sz w:val="20"/>
          <w:szCs w:val="20"/>
        </w:rPr>
        <w:t xml:space="preserve">  </w:t>
      </w:r>
      <w:proofErr w:type="spellStart"/>
      <w:proofErr w:type="gramStart"/>
      <w:r>
        <w:rPr>
          <w:sz w:val="20"/>
          <w:szCs w:val="20"/>
        </w:rPr>
        <w:t>Septembre</w:t>
      </w:r>
      <w:proofErr w:type="spellEnd"/>
      <w:r>
        <w:rPr>
          <w:sz w:val="20"/>
          <w:szCs w:val="20"/>
        </w:rPr>
        <w:t xml:space="preserve"> 2012.</w:t>
      </w:r>
      <w:proofErr w:type="gramEnd"/>
    </w:p>
  </w:footnote>
  <w:footnote w:id="87">
    <w:p w:rsidR="005A4E53" w:rsidRPr="00967521" w:rsidRDefault="005A4E53" w:rsidP="00857EF9">
      <w:pPr>
        <w:autoSpaceDE w:val="0"/>
        <w:autoSpaceDN w:val="0"/>
        <w:adjustRightInd w:val="0"/>
      </w:pPr>
      <w:r w:rsidRPr="00D70B81">
        <w:rPr>
          <w:rStyle w:val="FootnoteReference"/>
          <w:sz w:val="20"/>
          <w:szCs w:val="20"/>
        </w:rPr>
        <w:footnoteRef/>
      </w:r>
      <w:r>
        <w:t xml:space="preserve"> </w:t>
      </w:r>
      <w:r>
        <w:rPr>
          <w:sz w:val="20"/>
          <w:szCs w:val="20"/>
        </w:rPr>
        <w:t xml:space="preserve">Jayne, T. S. </w:t>
      </w:r>
      <w:proofErr w:type="gramStart"/>
      <w:r>
        <w:rPr>
          <w:sz w:val="20"/>
          <w:szCs w:val="20"/>
        </w:rPr>
        <w:t>et</w:t>
      </w:r>
      <w:proofErr w:type="gramEnd"/>
      <w:r>
        <w:rPr>
          <w:sz w:val="20"/>
          <w:szCs w:val="20"/>
        </w:rPr>
        <w:t xml:space="preserve"> G. </w:t>
      </w:r>
      <w:proofErr w:type="spellStart"/>
      <w:r>
        <w:rPr>
          <w:sz w:val="20"/>
          <w:szCs w:val="20"/>
        </w:rPr>
        <w:t>Argwings-Kodhek</w:t>
      </w:r>
      <w:proofErr w:type="spellEnd"/>
      <w:r>
        <w:rPr>
          <w:sz w:val="20"/>
          <w:szCs w:val="20"/>
        </w:rPr>
        <w:t>. 1997. « Consumer Response to Maize Market Liberalization in Urban Kenya. » Food Policy 22 (5</w:t>
      </w:r>
      <w:proofErr w:type="gramStart"/>
      <w:r>
        <w:rPr>
          <w:sz w:val="20"/>
          <w:szCs w:val="20"/>
        </w:rPr>
        <w:t>) :</w:t>
      </w:r>
      <w:proofErr w:type="gramEnd"/>
      <w:r>
        <w:rPr>
          <w:sz w:val="20"/>
          <w:szCs w:val="20"/>
        </w:rPr>
        <w:t xml:space="preserve"> 447–58.</w:t>
      </w:r>
    </w:p>
  </w:footnote>
  <w:footnote w:id="88">
    <w:p w:rsidR="005A4E53" w:rsidRPr="00927D19" w:rsidRDefault="005A4E53" w:rsidP="00857EF9">
      <w:pPr>
        <w:autoSpaceDE w:val="0"/>
        <w:autoSpaceDN w:val="0"/>
        <w:adjustRightInd w:val="0"/>
        <w:rPr>
          <w:lang w:val="fr-FR"/>
        </w:rPr>
      </w:pPr>
      <w:r w:rsidRPr="00D70B81">
        <w:rPr>
          <w:rStyle w:val="FootnoteReference"/>
          <w:sz w:val="20"/>
          <w:szCs w:val="20"/>
        </w:rPr>
        <w:footnoteRef/>
      </w:r>
      <w:r>
        <w:t xml:space="preserve"> </w:t>
      </w:r>
      <w:proofErr w:type="spellStart"/>
      <w:r>
        <w:rPr>
          <w:sz w:val="20"/>
          <w:szCs w:val="20"/>
        </w:rPr>
        <w:t>Shepotylo</w:t>
      </w:r>
      <w:proofErr w:type="spellEnd"/>
      <w:r>
        <w:rPr>
          <w:sz w:val="20"/>
          <w:szCs w:val="20"/>
        </w:rPr>
        <w:t xml:space="preserve">, O. </w:t>
      </w:r>
      <w:proofErr w:type="gramStart"/>
      <w:r>
        <w:rPr>
          <w:sz w:val="20"/>
          <w:szCs w:val="20"/>
        </w:rPr>
        <w:t>et</w:t>
      </w:r>
      <w:proofErr w:type="gramEnd"/>
      <w:r>
        <w:rPr>
          <w:sz w:val="20"/>
          <w:szCs w:val="20"/>
        </w:rPr>
        <w:t xml:space="preserve"> V. </w:t>
      </w:r>
      <w:proofErr w:type="spellStart"/>
      <w:r>
        <w:rPr>
          <w:sz w:val="20"/>
          <w:szCs w:val="20"/>
        </w:rPr>
        <w:t>Vakhitov</w:t>
      </w:r>
      <w:proofErr w:type="spellEnd"/>
      <w:r>
        <w:rPr>
          <w:sz w:val="20"/>
          <w:szCs w:val="20"/>
        </w:rPr>
        <w:t xml:space="preserve">. 2012. « Services Liberalization and Productivity of Manufacturing Firms: Evidence from Ukraine. » </w:t>
      </w:r>
      <w:r w:rsidRPr="00927D19">
        <w:rPr>
          <w:sz w:val="20"/>
          <w:szCs w:val="20"/>
          <w:lang w:val="fr-FR"/>
        </w:rPr>
        <w:t xml:space="preserve">Document de travail consacré à la recherche sur </w:t>
      </w:r>
      <w:proofErr w:type="gramStart"/>
      <w:r w:rsidRPr="00927D19">
        <w:rPr>
          <w:sz w:val="20"/>
          <w:szCs w:val="20"/>
          <w:lang w:val="fr-FR"/>
        </w:rPr>
        <w:t>les politiques</w:t>
      </w:r>
      <w:proofErr w:type="gramEnd"/>
      <w:r w:rsidRPr="00927D19">
        <w:rPr>
          <w:sz w:val="20"/>
          <w:szCs w:val="20"/>
          <w:lang w:val="fr-FR"/>
        </w:rPr>
        <w:t> n° 5944, Banque mondiale, Washington, DC.</w:t>
      </w:r>
    </w:p>
  </w:footnote>
  <w:footnote w:id="89">
    <w:p w:rsidR="005A4E53" w:rsidRPr="00967521" w:rsidRDefault="005A4E53" w:rsidP="00857EF9">
      <w:pPr>
        <w:autoSpaceDE w:val="0"/>
        <w:autoSpaceDN w:val="0"/>
        <w:adjustRightInd w:val="0"/>
      </w:pPr>
      <w:r w:rsidRPr="00D70B81">
        <w:rPr>
          <w:vertAlign w:val="superscript"/>
        </w:rPr>
        <w:footnoteRef/>
      </w:r>
      <w:r>
        <w:t xml:space="preserve"> </w:t>
      </w:r>
      <w:r>
        <w:rPr>
          <w:sz w:val="20"/>
          <w:szCs w:val="20"/>
        </w:rPr>
        <w:t xml:space="preserve">Amin, Mohamed. </w:t>
      </w:r>
      <w:proofErr w:type="spellStart"/>
      <w:proofErr w:type="gramStart"/>
      <w:r>
        <w:rPr>
          <w:sz w:val="20"/>
          <w:szCs w:val="20"/>
        </w:rPr>
        <w:t>Prochainement</w:t>
      </w:r>
      <w:proofErr w:type="spellEnd"/>
      <w:r>
        <w:rPr>
          <w:sz w:val="20"/>
          <w:szCs w:val="20"/>
        </w:rPr>
        <w:t>.</w:t>
      </w:r>
      <w:proofErr w:type="gramEnd"/>
      <w:r>
        <w:rPr>
          <w:sz w:val="20"/>
          <w:szCs w:val="20"/>
        </w:rPr>
        <w:t xml:space="preserve"> </w:t>
      </w:r>
      <w:proofErr w:type="gramStart"/>
      <w:r>
        <w:rPr>
          <w:sz w:val="20"/>
          <w:szCs w:val="20"/>
        </w:rPr>
        <w:t>« Competition and Labor Productivity in India’s Retail Stores. »</w:t>
      </w:r>
      <w:proofErr w:type="gramEnd"/>
      <w:r>
        <w:rPr>
          <w:sz w:val="20"/>
          <w:szCs w:val="20"/>
        </w:rPr>
        <w:t xml:space="preserve"> </w:t>
      </w:r>
      <w:proofErr w:type="gramStart"/>
      <w:r>
        <w:rPr>
          <w:sz w:val="20"/>
          <w:szCs w:val="20"/>
        </w:rPr>
        <w:t>Journal of Comparative Economics.</w:t>
      </w:r>
      <w:proofErr w:type="gramEnd"/>
    </w:p>
  </w:footnote>
  <w:footnote w:id="90">
    <w:p w:rsidR="005A4E53" w:rsidRPr="00927D19" w:rsidRDefault="005A4E53" w:rsidP="00857EF9">
      <w:pPr>
        <w:autoSpaceDE w:val="0"/>
        <w:autoSpaceDN w:val="0"/>
        <w:adjustRightInd w:val="0"/>
        <w:rPr>
          <w:lang w:val="fr-FR"/>
        </w:rPr>
      </w:pPr>
      <w:r w:rsidRPr="00D70B81">
        <w:rPr>
          <w:vertAlign w:val="superscript"/>
        </w:rPr>
        <w:footnoteRef/>
      </w:r>
      <w:r>
        <w:t xml:space="preserve"> </w:t>
      </w:r>
      <w:proofErr w:type="spellStart"/>
      <w:r>
        <w:rPr>
          <w:sz w:val="20"/>
          <w:szCs w:val="20"/>
        </w:rPr>
        <w:t>Kee</w:t>
      </w:r>
      <w:proofErr w:type="spellEnd"/>
      <w:r>
        <w:rPr>
          <w:sz w:val="20"/>
          <w:szCs w:val="20"/>
        </w:rPr>
        <w:t xml:space="preserve">, H. L. </w:t>
      </w:r>
      <w:proofErr w:type="gramStart"/>
      <w:r>
        <w:rPr>
          <w:sz w:val="20"/>
          <w:szCs w:val="20"/>
        </w:rPr>
        <w:t>et</w:t>
      </w:r>
      <w:proofErr w:type="gramEnd"/>
      <w:r>
        <w:rPr>
          <w:sz w:val="20"/>
          <w:szCs w:val="20"/>
        </w:rPr>
        <w:t xml:space="preserve"> B. </w:t>
      </w:r>
      <w:proofErr w:type="spellStart"/>
      <w:r>
        <w:rPr>
          <w:sz w:val="20"/>
          <w:szCs w:val="20"/>
        </w:rPr>
        <w:t>Hoekman</w:t>
      </w:r>
      <w:proofErr w:type="spellEnd"/>
      <w:r>
        <w:rPr>
          <w:sz w:val="20"/>
          <w:szCs w:val="20"/>
        </w:rPr>
        <w:t xml:space="preserve">. 2007. « Imports, Entry and Competition Law as Market Disciplines ». </w:t>
      </w:r>
      <w:proofErr w:type="spellStart"/>
      <w:r w:rsidRPr="00927D19">
        <w:rPr>
          <w:sz w:val="20"/>
          <w:szCs w:val="20"/>
          <w:lang w:val="fr-FR"/>
        </w:rPr>
        <w:t>European</w:t>
      </w:r>
      <w:proofErr w:type="spellEnd"/>
      <w:r w:rsidRPr="00927D19">
        <w:rPr>
          <w:sz w:val="20"/>
          <w:szCs w:val="20"/>
          <w:lang w:val="fr-FR"/>
        </w:rPr>
        <w:t xml:space="preserve"> </w:t>
      </w:r>
      <w:proofErr w:type="spellStart"/>
      <w:r w:rsidRPr="00927D19">
        <w:rPr>
          <w:sz w:val="20"/>
          <w:szCs w:val="20"/>
          <w:lang w:val="fr-FR"/>
        </w:rPr>
        <w:t>Economic</w:t>
      </w:r>
      <w:proofErr w:type="spellEnd"/>
      <w:r w:rsidRPr="00927D19">
        <w:rPr>
          <w:sz w:val="20"/>
          <w:szCs w:val="20"/>
          <w:lang w:val="fr-FR"/>
        </w:rPr>
        <w:t xml:space="preserve"> </w:t>
      </w:r>
      <w:proofErr w:type="spellStart"/>
      <w:r w:rsidRPr="00927D19">
        <w:rPr>
          <w:sz w:val="20"/>
          <w:szCs w:val="20"/>
          <w:lang w:val="fr-FR"/>
        </w:rPr>
        <w:t>Review</w:t>
      </w:r>
      <w:proofErr w:type="spellEnd"/>
      <w:r w:rsidRPr="00927D19">
        <w:rPr>
          <w:sz w:val="20"/>
          <w:szCs w:val="20"/>
          <w:lang w:val="fr-FR"/>
        </w:rPr>
        <w:t xml:space="preserve"> 51 (4) : 831–58.  </w:t>
      </w:r>
    </w:p>
  </w:footnote>
  <w:footnote w:id="91">
    <w:p w:rsidR="005A4E53" w:rsidRPr="00927D19" w:rsidRDefault="005A4E53" w:rsidP="00857EF9">
      <w:pPr>
        <w:autoSpaceDE w:val="0"/>
        <w:autoSpaceDN w:val="0"/>
        <w:adjustRightInd w:val="0"/>
        <w:rPr>
          <w:lang w:val="fr-FR"/>
        </w:rPr>
      </w:pPr>
      <w:r w:rsidRPr="00D70B81">
        <w:rPr>
          <w:vertAlign w:val="superscript"/>
        </w:rPr>
        <w:footnoteRef/>
      </w:r>
      <w:r w:rsidRPr="00927D19">
        <w:rPr>
          <w:lang w:val="fr-FR"/>
        </w:rPr>
        <w:t xml:space="preserve"> </w:t>
      </w:r>
      <w:proofErr w:type="spellStart"/>
      <w:r w:rsidRPr="00927D19">
        <w:rPr>
          <w:sz w:val="20"/>
          <w:szCs w:val="20"/>
          <w:lang w:val="fr-FR"/>
        </w:rPr>
        <w:t>Buccirossi</w:t>
      </w:r>
      <w:proofErr w:type="spellEnd"/>
      <w:r w:rsidRPr="00927D19">
        <w:rPr>
          <w:sz w:val="20"/>
          <w:szCs w:val="20"/>
          <w:lang w:val="fr-FR"/>
        </w:rPr>
        <w:t xml:space="preserve">, P., L. </w:t>
      </w:r>
      <w:proofErr w:type="spellStart"/>
      <w:r w:rsidRPr="00927D19">
        <w:rPr>
          <w:sz w:val="20"/>
          <w:szCs w:val="20"/>
          <w:lang w:val="fr-FR"/>
        </w:rPr>
        <w:t>Ciari</w:t>
      </w:r>
      <w:proofErr w:type="spellEnd"/>
      <w:r w:rsidRPr="00927D19">
        <w:rPr>
          <w:sz w:val="20"/>
          <w:szCs w:val="20"/>
          <w:lang w:val="fr-FR"/>
        </w:rPr>
        <w:t xml:space="preserve">, T. </w:t>
      </w:r>
      <w:proofErr w:type="spellStart"/>
      <w:r w:rsidRPr="00927D19">
        <w:rPr>
          <w:sz w:val="20"/>
          <w:szCs w:val="20"/>
          <w:lang w:val="fr-FR"/>
        </w:rPr>
        <w:t>Duso</w:t>
      </w:r>
      <w:proofErr w:type="spellEnd"/>
      <w:r w:rsidRPr="00927D19">
        <w:rPr>
          <w:sz w:val="20"/>
          <w:szCs w:val="20"/>
          <w:lang w:val="fr-FR"/>
        </w:rPr>
        <w:t xml:space="preserve">, G. </w:t>
      </w:r>
      <w:proofErr w:type="spellStart"/>
      <w:r w:rsidRPr="00927D19">
        <w:rPr>
          <w:sz w:val="20"/>
          <w:szCs w:val="20"/>
          <w:lang w:val="fr-FR"/>
        </w:rPr>
        <w:t>Spagnolo</w:t>
      </w:r>
      <w:proofErr w:type="spellEnd"/>
      <w:r w:rsidRPr="00927D19">
        <w:rPr>
          <w:sz w:val="20"/>
          <w:szCs w:val="20"/>
          <w:lang w:val="fr-FR"/>
        </w:rPr>
        <w:t xml:space="preserve"> et C. Vitale. </w:t>
      </w:r>
      <w:proofErr w:type="spellStart"/>
      <w:proofErr w:type="gramStart"/>
      <w:r>
        <w:rPr>
          <w:sz w:val="20"/>
          <w:szCs w:val="20"/>
        </w:rPr>
        <w:t>Prochainement</w:t>
      </w:r>
      <w:proofErr w:type="spellEnd"/>
      <w:r>
        <w:rPr>
          <w:sz w:val="20"/>
          <w:szCs w:val="20"/>
        </w:rPr>
        <w:t>.</w:t>
      </w:r>
      <w:proofErr w:type="gramEnd"/>
      <w:r>
        <w:rPr>
          <w:sz w:val="20"/>
          <w:szCs w:val="20"/>
        </w:rPr>
        <w:t xml:space="preserve"> « Competition Policy and Productivity Growth: An Empirical Assessment. » </w:t>
      </w:r>
      <w:proofErr w:type="spellStart"/>
      <w:r w:rsidRPr="00927D19">
        <w:rPr>
          <w:sz w:val="20"/>
          <w:szCs w:val="20"/>
          <w:lang w:val="fr-FR"/>
        </w:rPr>
        <w:t>Review</w:t>
      </w:r>
      <w:proofErr w:type="spellEnd"/>
      <w:r w:rsidRPr="00927D19">
        <w:rPr>
          <w:sz w:val="20"/>
          <w:szCs w:val="20"/>
          <w:lang w:val="fr-FR"/>
        </w:rPr>
        <w:t xml:space="preserve"> of </w:t>
      </w:r>
      <w:proofErr w:type="spellStart"/>
      <w:r w:rsidRPr="00927D19">
        <w:rPr>
          <w:sz w:val="20"/>
          <w:szCs w:val="20"/>
          <w:lang w:val="fr-FR"/>
        </w:rPr>
        <w:t>Economics</w:t>
      </w:r>
      <w:proofErr w:type="spellEnd"/>
      <w:r w:rsidRPr="00927D19">
        <w:rPr>
          <w:sz w:val="20"/>
          <w:szCs w:val="20"/>
          <w:lang w:val="fr-FR"/>
        </w:rPr>
        <w:t xml:space="preserve"> and </w:t>
      </w:r>
      <w:proofErr w:type="spellStart"/>
      <w:r w:rsidRPr="00927D19">
        <w:rPr>
          <w:sz w:val="20"/>
          <w:szCs w:val="20"/>
          <w:lang w:val="fr-FR"/>
        </w:rPr>
        <w:t>Statistics</w:t>
      </w:r>
      <w:proofErr w:type="spellEnd"/>
      <w:r w:rsidRPr="00927D19">
        <w:rPr>
          <w:sz w:val="20"/>
          <w:szCs w:val="20"/>
          <w:lang w:val="fr-FR"/>
        </w:rPr>
        <w:t>.</w:t>
      </w:r>
    </w:p>
  </w:footnote>
  <w:footnote w:id="92">
    <w:p w:rsidR="005A4E53" w:rsidRPr="00927D19" w:rsidRDefault="005A4E53" w:rsidP="00857EF9">
      <w:pPr>
        <w:pStyle w:val="FootnoteText"/>
        <w:rPr>
          <w:lang w:val="fr-FR"/>
        </w:rPr>
      </w:pPr>
      <w:r>
        <w:rPr>
          <w:rStyle w:val="FootnoteReference"/>
        </w:rPr>
        <w:footnoteRef/>
      </w:r>
      <w:r w:rsidRPr="00927D19">
        <w:rPr>
          <w:lang w:val="fr-FR"/>
        </w:rPr>
        <w:t xml:space="preserve"> L'estimation repose sur la création d'un emploi sur 10 suite à des réformes de la création d'entreprise en Colombie, selon des recherches de Miriam </w:t>
      </w:r>
      <w:proofErr w:type="spellStart"/>
      <w:r w:rsidRPr="00927D19">
        <w:rPr>
          <w:lang w:val="fr-FR"/>
        </w:rPr>
        <w:t>Bruhn</w:t>
      </w:r>
      <w:proofErr w:type="spellEnd"/>
      <w:r w:rsidRPr="00927D19">
        <w:rPr>
          <w:lang w:val="fr-FR"/>
        </w:rPr>
        <w:t xml:space="preserve">, DECFP. </w:t>
      </w:r>
    </w:p>
  </w:footnote>
  <w:footnote w:id="93">
    <w:p w:rsidR="005A4E53" w:rsidRDefault="005A4E53" w:rsidP="00857EF9">
      <w:pPr>
        <w:pStyle w:val="FootnoteText"/>
      </w:pPr>
      <w:r>
        <w:rPr>
          <w:rStyle w:val="FootnoteReference"/>
        </w:rPr>
        <w:footnoteRef/>
      </w:r>
      <w:r w:rsidRPr="00927D19">
        <w:rPr>
          <w:lang w:val="fr-FR"/>
        </w:rPr>
        <w:t xml:space="preserve"> Morisset, Jacques. Document de travail consacré à la recherche sur </w:t>
      </w:r>
      <w:proofErr w:type="gramStart"/>
      <w:r w:rsidRPr="00927D19">
        <w:rPr>
          <w:lang w:val="fr-FR"/>
        </w:rPr>
        <w:t>les politiques</w:t>
      </w:r>
      <w:proofErr w:type="gramEnd"/>
      <w:r w:rsidRPr="00927D19">
        <w:rPr>
          <w:lang w:val="fr-FR"/>
        </w:rPr>
        <w:t xml:space="preserve"> n° 2038. </w:t>
      </w:r>
      <w:r>
        <w:t xml:space="preserve">« Does a country need a promotion agency to attract foreign direct investment? A small analytical model applied to 58 countries. » </w:t>
      </w:r>
      <w:proofErr w:type="spellStart"/>
      <w:r>
        <w:t>Voir</w:t>
      </w:r>
      <w:proofErr w:type="spellEnd"/>
      <w:r>
        <w:t> : http://imagebank.worldbank.org/servlet/WDSContentServer/IW3P/IB/2003/05/23/000094946_03051404103335/Rendered/PDF/multi0page.pdf</w:t>
      </w:r>
    </w:p>
  </w:footnote>
  <w:footnote w:id="94">
    <w:p w:rsidR="005A4E53" w:rsidRPr="009F130B" w:rsidRDefault="005A4E53" w:rsidP="00857EF9">
      <w:pPr>
        <w:pStyle w:val="FootnoteText"/>
        <w:rPr>
          <w:lang w:val="fr-FR"/>
        </w:rPr>
      </w:pPr>
      <w:r>
        <w:rPr>
          <w:rStyle w:val="FootnoteReference"/>
        </w:rPr>
        <w:footnoteRef/>
      </w:r>
      <w:r w:rsidRPr="00927D19">
        <w:rPr>
          <w:lang w:val="fr-FR"/>
        </w:rPr>
        <w:t xml:space="preserve"> </w:t>
      </w:r>
      <w:r w:rsidR="00113620">
        <w:fldChar w:fldCharType="begin"/>
      </w:r>
      <w:r w:rsidR="00113620" w:rsidRPr="00113620">
        <w:rPr>
          <w:lang w:val="es-BO"/>
        </w:rPr>
        <w:instrText xml:space="preserve"> HYPERLINK "http://data.worldbank.org/" </w:instrText>
      </w:r>
      <w:r w:rsidR="00113620">
        <w:fldChar w:fldCharType="separate"/>
      </w:r>
      <w:r w:rsidRPr="00927D19">
        <w:rPr>
          <w:rStyle w:val="Hyperlink"/>
          <w:lang w:val="fr-FR"/>
        </w:rPr>
        <w:t>http://data.worldbank.org/</w:t>
      </w:r>
      <w:r w:rsidR="00113620">
        <w:rPr>
          <w:rStyle w:val="Hyperlink"/>
          <w:lang w:val="fr-FR"/>
        </w:rPr>
        <w:fldChar w:fldCharType="end"/>
      </w:r>
      <w:r w:rsidRPr="00927D19">
        <w:rPr>
          <w:lang w:val="fr-FR"/>
        </w:rPr>
        <w:t xml:space="preserve">  En termes de volume des dépôts et des crédits, une étude de 2008/2009 a estimé la valeur totale des actifs du secteur à environ 172 millions de dollars. Le nombre estimé d'emprunteurs s'élevait à 233 000 personnes, dont 23 % auprès des coopératives. </w:t>
      </w:r>
      <w:hyperlink r:id="rId5" w:history="1">
        <w:r w:rsidRPr="009F130B">
          <w:rPr>
            <w:rStyle w:val="Hyperlink"/>
            <w:lang w:val="fr-FR"/>
          </w:rPr>
          <w:t>http://www.smghaiti.com/f/Le_Secteur_de_la_Microfinance_en_Haiti_Rapport_2008-2009.pdf</w:t>
        </w:r>
      </w:hyperlink>
      <w:r w:rsidRPr="009F130B">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Pr="00B822B4" w:rsidRDefault="005A4E53" w:rsidP="00622EA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Pr="00B822B4" w:rsidRDefault="005A4E53" w:rsidP="00622E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53" w:rsidRDefault="005A4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2D2609"/>
    <w:multiLevelType w:val="hybridMultilevel"/>
    <w:tmpl w:val="42C261DC"/>
    <w:lvl w:ilvl="0" w:tplc="BACA57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18E3"/>
    <w:multiLevelType w:val="hybridMultilevel"/>
    <w:tmpl w:val="2CE6FBF8"/>
    <w:lvl w:ilvl="0" w:tplc="25F46870">
      <w:start w:val="1"/>
      <w:numFmt w:val="upperLetter"/>
      <w:lvlText w:val="%1."/>
      <w:lvlJc w:val="left"/>
      <w:pPr>
        <w:tabs>
          <w:tab w:val="num" w:pos="630"/>
        </w:tabs>
        <w:ind w:left="270" w:firstLine="0"/>
      </w:pPr>
      <w:rPr>
        <w:rFonts w:hint="default"/>
        <w:b w:val="0"/>
      </w:rPr>
    </w:lvl>
    <w:lvl w:ilvl="1" w:tplc="E4B21D22">
      <w:start w:val="1"/>
      <w:numFmt w:val="lowerLetter"/>
      <w:lvlText w:val="(%2)"/>
      <w:lvlJc w:val="left"/>
      <w:pPr>
        <w:tabs>
          <w:tab w:val="num" w:pos="990"/>
        </w:tabs>
        <w:ind w:left="1350" w:firstLine="0"/>
      </w:pPr>
      <w:rPr>
        <w:rFonts w:hint="default"/>
      </w:rPr>
    </w:lvl>
    <w:lvl w:ilvl="2" w:tplc="981E48B0">
      <w:start w:val="1"/>
      <w:numFmt w:val="lowerRoman"/>
      <w:lvlText w:val="(%3)"/>
      <w:lvlJc w:val="left"/>
      <w:pPr>
        <w:tabs>
          <w:tab w:val="num" w:pos="1530"/>
        </w:tabs>
        <w:ind w:left="1530" w:hanging="360"/>
      </w:pPr>
      <w:rPr>
        <w:rFonts w:hint="default"/>
        <w:b w:val="0"/>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139F6170"/>
    <w:multiLevelType w:val="multilevel"/>
    <w:tmpl w:val="84124C30"/>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3BF2E40"/>
    <w:multiLevelType w:val="hybridMultilevel"/>
    <w:tmpl w:val="03680F66"/>
    <w:lvl w:ilvl="0" w:tplc="E4B21D22">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6F84F53"/>
    <w:multiLevelType w:val="hybridMultilevel"/>
    <w:tmpl w:val="217C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14288"/>
    <w:multiLevelType w:val="hybridMultilevel"/>
    <w:tmpl w:val="42C261DC"/>
    <w:lvl w:ilvl="0" w:tplc="BACA57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C3FCA"/>
    <w:multiLevelType w:val="hybridMultilevel"/>
    <w:tmpl w:val="D400B74E"/>
    <w:lvl w:ilvl="0" w:tplc="27DCA6F6">
      <w:start w:val="1"/>
      <w:numFmt w:val="lowerRoman"/>
      <w:lvlText w:val="%1."/>
      <w:lvlJc w:val="lef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CD37075"/>
    <w:multiLevelType w:val="hybridMultilevel"/>
    <w:tmpl w:val="51C68710"/>
    <w:lvl w:ilvl="0" w:tplc="16ECD552">
      <w:start w:val="1"/>
      <w:numFmt w:val="decimal"/>
      <w:lvlText w:val="%1."/>
      <w:lvlJc w:val="left"/>
      <w:pPr>
        <w:tabs>
          <w:tab w:val="num" w:pos="630"/>
        </w:tabs>
        <w:ind w:left="270" w:firstLine="0"/>
      </w:pPr>
      <w:rPr>
        <w:rFonts w:hint="default"/>
        <w:sz w:val="24"/>
        <w:szCs w:val="24"/>
      </w:rPr>
    </w:lvl>
    <w:lvl w:ilvl="1" w:tplc="E4B21D22">
      <w:start w:val="1"/>
      <w:numFmt w:val="lowerLetter"/>
      <w:lvlText w:val="(%2)"/>
      <w:lvlJc w:val="left"/>
      <w:pPr>
        <w:tabs>
          <w:tab w:val="num" w:pos="720"/>
        </w:tabs>
        <w:ind w:left="1080" w:firstLine="0"/>
      </w:pPr>
      <w:rPr>
        <w:rFonts w:hint="default"/>
      </w:rPr>
    </w:lvl>
    <w:lvl w:ilvl="2" w:tplc="981E48B0">
      <w:start w:val="1"/>
      <w:numFmt w:val="lowerRoman"/>
      <w:lvlText w:val="(%3)"/>
      <w:lvlJc w:val="left"/>
      <w:pPr>
        <w:tabs>
          <w:tab w:val="num" w:pos="1260"/>
        </w:tabs>
        <w:ind w:left="126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55706"/>
    <w:multiLevelType w:val="hybridMultilevel"/>
    <w:tmpl w:val="D400B74E"/>
    <w:lvl w:ilvl="0" w:tplc="27DCA6F6">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8A46914"/>
    <w:multiLevelType w:val="hybridMultilevel"/>
    <w:tmpl w:val="C7CA266A"/>
    <w:lvl w:ilvl="0" w:tplc="900EE756">
      <w:start w:val="1"/>
      <w:numFmt w:val="decimal"/>
      <w:lvlText w:val="%1."/>
      <w:lvlJc w:val="left"/>
      <w:pPr>
        <w:tabs>
          <w:tab w:val="num" w:pos="540"/>
        </w:tabs>
        <w:ind w:left="180" w:firstLine="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8C115FB"/>
    <w:multiLevelType w:val="multilevel"/>
    <w:tmpl w:val="FBF0C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A14C69"/>
    <w:multiLevelType w:val="hybridMultilevel"/>
    <w:tmpl w:val="E57C6F54"/>
    <w:lvl w:ilvl="0" w:tplc="81ECAE6A">
      <w:start w:val="6"/>
      <w:numFmt w:val="decimal"/>
      <w:lvlText w:val="%1."/>
      <w:lvlJc w:val="left"/>
      <w:pPr>
        <w:tabs>
          <w:tab w:val="num" w:pos="360"/>
        </w:tabs>
        <w:ind w:left="0" w:firstLine="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49A13F5"/>
    <w:multiLevelType w:val="hybridMultilevel"/>
    <w:tmpl w:val="4692CCCA"/>
    <w:lvl w:ilvl="0" w:tplc="FC9A40E2">
      <w:start w:val="1"/>
      <w:numFmt w:val="decimal"/>
      <w:lvlText w:val="%1."/>
      <w:lvlJc w:val="left"/>
      <w:pPr>
        <w:tabs>
          <w:tab w:val="num" w:pos="630"/>
        </w:tabs>
        <w:ind w:left="27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1260"/>
        </w:tabs>
        <w:ind w:left="1260" w:hanging="360"/>
      </w:pPr>
      <w:rPr>
        <w:rFonts w:hint="default"/>
      </w:rPr>
    </w:lvl>
    <w:lvl w:ilvl="3" w:tplc="EBFA742E">
      <w:start w:val="3"/>
      <w:numFmt w:val="upperRoman"/>
      <w:lvlText w:val="%4."/>
      <w:lvlJc w:val="left"/>
      <w:pPr>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7F2C42"/>
    <w:multiLevelType w:val="hybridMultilevel"/>
    <w:tmpl w:val="17FA356E"/>
    <w:lvl w:ilvl="0" w:tplc="2C1A59A2">
      <w:start w:val="6"/>
      <w:numFmt w:val="decimal"/>
      <w:lvlText w:val="%1."/>
      <w:lvlJc w:val="left"/>
      <w:pPr>
        <w:tabs>
          <w:tab w:val="num" w:pos="630"/>
        </w:tabs>
        <w:ind w:left="270" w:firstLine="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7249D"/>
    <w:multiLevelType w:val="hybridMultilevel"/>
    <w:tmpl w:val="89FC2106"/>
    <w:lvl w:ilvl="0" w:tplc="E4B21D22">
      <w:start w:val="1"/>
      <w:numFmt w:val="lowerLetter"/>
      <w:lvlText w:val="(%1)"/>
      <w:lvlJc w:val="left"/>
      <w:pPr>
        <w:ind w:left="648" w:hanging="360"/>
      </w:pPr>
      <w:rPr>
        <w:rFonts w:hint="default"/>
      </w:rPr>
    </w:lvl>
    <w:lvl w:ilvl="1" w:tplc="04090019" w:tentative="1">
      <w:start w:val="1"/>
      <w:numFmt w:val="bullet"/>
      <w:lvlText w:val="o"/>
      <w:lvlJc w:val="left"/>
      <w:pPr>
        <w:ind w:left="1368" w:hanging="360"/>
      </w:pPr>
      <w:rPr>
        <w:rFonts w:ascii="Courier New" w:hAnsi="Courier New" w:cs="Courier New" w:hint="default"/>
      </w:rPr>
    </w:lvl>
    <w:lvl w:ilvl="2" w:tplc="0409001B" w:tentative="1">
      <w:start w:val="1"/>
      <w:numFmt w:val="bullet"/>
      <w:lvlText w:val=""/>
      <w:lvlJc w:val="left"/>
      <w:pPr>
        <w:ind w:left="2088" w:hanging="360"/>
      </w:pPr>
      <w:rPr>
        <w:rFonts w:ascii="Wingdings" w:hAnsi="Wingdings" w:hint="default"/>
      </w:rPr>
    </w:lvl>
    <w:lvl w:ilvl="3" w:tplc="0409000F" w:tentative="1">
      <w:start w:val="1"/>
      <w:numFmt w:val="bullet"/>
      <w:lvlText w:val=""/>
      <w:lvlJc w:val="left"/>
      <w:pPr>
        <w:ind w:left="2808" w:hanging="360"/>
      </w:pPr>
      <w:rPr>
        <w:rFonts w:ascii="Symbol" w:hAnsi="Symbol" w:hint="default"/>
      </w:rPr>
    </w:lvl>
    <w:lvl w:ilvl="4" w:tplc="04090019" w:tentative="1">
      <w:start w:val="1"/>
      <w:numFmt w:val="bullet"/>
      <w:lvlText w:val="o"/>
      <w:lvlJc w:val="left"/>
      <w:pPr>
        <w:ind w:left="3528" w:hanging="360"/>
      </w:pPr>
      <w:rPr>
        <w:rFonts w:ascii="Courier New" w:hAnsi="Courier New" w:cs="Courier New" w:hint="default"/>
      </w:rPr>
    </w:lvl>
    <w:lvl w:ilvl="5" w:tplc="0409001B" w:tentative="1">
      <w:start w:val="1"/>
      <w:numFmt w:val="bullet"/>
      <w:lvlText w:val=""/>
      <w:lvlJc w:val="left"/>
      <w:pPr>
        <w:ind w:left="4248" w:hanging="360"/>
      </w:pPr>
      <w:rPr>
        <w:rFonts w:ascii="Wingdings" w:hAnsi="Wingdings" w:hint="default"/>
      </w:rPr>
    </w:lvl>
    <w:lvl w:ilvl="6" w:tplc="0409000F" w:tentative="1">
      <w:start w:val="1"/>
      <w:numFmt w:val="bullet"/>
      <w:lvlText w:val=""/>
      <w:lvlJc w:val="left"/>
      <w:pPr>
        <w:ind w:left="4968" w:hanging="360"/>
      </w:pPr>
      <w:rPr>
        <w:rFonts w:ascii="Symbol" w:hAnsi="Symbol" w:hint="default"/>
      </w:rPr>
    </w:lvl>
    <w:lvl w:ilvl="7" w:tplc="04090019" w:tentative="1">
      <w:start w:val="1"/>
      <w:numFmt w:val="bullet"/>
      <w:lvlText w:val="o"/>
      <w:lvlJc w:val="left"/>
      <w:pPr>
        <w:ind w:left="5688" w:hanging="360"/>
      </w:pPr>
      <w:rPr>
        <w:rFonts w:ascii="Courier New" w:hAnsi="Courier New" w:cs="Courier New" w:hint="default"/>
      </w:rPr>
    </w:lvl>
    <w:lvl w:ilvl="8" w:tplc="0409001B" w:tentative="1">
      <w:start w:val="1"/>
      <w:numFmt w:val="bullet"/>
      <w:lvlText w:val=""/>
      <w:lvlJc w:val="left"/>
      <w:pPr>
        <w:ind w:left="6408" w:hanging="360"/>
      </w:pPr>
      <w:rPr>
        <w:rFonts w:ascii="Wingdings" w:hAnsi="Wingdings" w:hint="default"/>
      </w:rPr>
    </w:lvl>
  </w:abstractNum>
  <w:abstractNum w:abstractNumId="17">
    <w:nsid w:val="57BF7E2E"/>
    <w:multiLevelType w:val="hybridMultilevel"/>
    <w:tmpl w:val="B8BCA7BA"/>
    <w:lvl w:ilvl="0" w:tplc="FAAE6672">
      <w:start w:val="1"/>
      <w:numFmt w:val="decimal"/>
      <w:lvlText w:val="%1."/>
      <w:lvlJc w:val="left"/>
      <w:pPr>
        <w:tabs>
          <w:tab w:val="num" w:pos="720"/>
        </w:tabs>
        <w:ind w:left="360" w:firstLine="0"/>
      </w:pPr>
      <w:rPr>
        <w:rFonts w:hint="default"/>
        <w:b w:val="0"/>
        <w:i w:val="0"/>
      </w:rPr>
    </w:lvl>
    <w:lvl w:ilvl="1" w:tplc="E4B21D22">
      <w:start w:val="1"/>
      <w:numFmt w:val="lowerLetter"/>
      <w:lvlText w:val="(%2)"/>
      <w:lvlJc w:val="left"/>
      <w:pPr>
        <w:tabs>
          <w:tab w:val="num" w:pos="720"/>
        </w:tabs>
        <w:ind w:left="1080" w:firstLine="0"/>
      </w:pPr>
      <w:rPr>
        <w:rFonts w:hint="default"/>
      </w:rPr>
    </w:lvl>
    <w:lvl w:ilvl="2" w:tplc="981E48B0">
      <w:start w:val="1"/>
      <w:numFmt w:val="lowerRoman"/>
      <w:lvlText w:val="(%3)"/>
      <w:lvlJc w:val="left"/>
      <w:pPr>
        <w:tabs>
          <w:tab w:val="num" w:pos="1260"/>
        </w:tabs>
        <w:ind w:left="126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B800FF"/>
    <w:multiLevelType w:val="multilevel"/>
    <w:tmpl w:val="CB1441E0"/>
    <w:lvl w:ilvl="0">
      <w:start w:val="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20">
    <w:nsid w:val="5EAF375A"/>
    <w:multiLevelType w:val="hybridMultilevel"/>
    <w:tmpl w:val="4FDC242E"/>
    <w:lvl w:ilvl="0" w:tplc="79B6D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9A19D3"/>
    <w:multiLevelType w:val="hybridMultilevel"/>
    <w:tmpl w:val="28D6FA42"/>
    <w:lvl w:ilvl="0" w:tplc="2490194A">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3935044"/>
    <w:multiLevelType w:val="hybridMultilevel"/>
    <w:tmpl w:val="4994007E"/>
    <w:lvl w:ilvl="0" w:tplc="FC9A40E2">
      <w:start w:val="1"/>
      <w:numFmt w:val="decimal"/>
      <w:lvlText w:val="%1."/>
      <w:lvlJc w:val="left"/>
      <w:pPr>
        <w:tabs>
          <w:tab w:val="num" w:pos="720"/>
        </w:tabs>
        <w:ind w:left="360" w:firstLine="0"/>
      </w:pPr>
      <w:rPr>
        <w:rFonts w:hint="default"/>
      </w:rPr>
    </w:lvl>
    <w:lvl w:ilvl="1" w:tplc="E4B21D22">
      <w:start w:val="1"/>
      <w:numFmt w:val="lowerLetter"/>
      <w:lvlText w:val="(%2)"/>
      <w:lvlJc w:val="left"/>
      <w:pPr>
        <w:tabs>
          <w:tab w:val="num" w:pos="720"/>
        </w:tabs>
        <w:ind w:left="1080" w:firstLine="0"/>
      </w:pPr>
      <w:rPr>
        <w:rFonts w:hint="default"/>
      </w:rPr>
    </w:lvl>
    <w:lvl w:ilvl="2" w:tplc="981E48B0">
      <w:start w:val="1"/>
      <w:numFmt w:val="lowerRoman"/>
      <w:lvlText w:val="(%3)"/>
      <w:lvlJc w:val="left"/>
      <w:pPr>
        <w:tabs>
          <w:tab w:val="num" w:pos="1260"/>
        </w:tabs>
        <w:ind w:left="126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63326"/>
    <w:multiLevelType w:val="hybridMultilevel"/>
    <w:tmpl w:val="D400B74E"/>
    <w:lvl w:ilvl="0" w:tplc="27DCA6F6">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69442D88"/>
    <w:multiLevelType w:val="hybridMultilevel"/>
    <w:tmpl w:val="E9109D40"/>
    <w:lvl w:ilvl="0" w:tplc="04090001">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6E656331"/>
    <w:multiLevelType w:val="hybridMultilevel"/>
    <w:tmpl w:val="529CBDC4"/>
    <w:lvl w:ilvl="0" w:tplc="FC9A40E2">
      <w:start w:val="1"/>
      <w:numFmt w:val="decimal"/>
      <w:lvlText w:val="%1."/>
      <w:lvlJc w:val="left"/>
      <w:pPr>
        <w:tabs>
          <w:tab w:val="num" w:pos="720"/>
        </w:tabs>
        <w:ind w:left="360" w:firstLine="0"/>
      </w:pPr>
      <w:rPr>
        <w:rFonts w:hint="default"/>
      </w:rPr>
    </w:lvl>
    <w:lvl w:ilvl="1" w:tplc="E4B21D22">
      <w:start w:val="1"/>
      <w:numFmt w:val="lowerLetter"/>
      <w:lvlText w:val="(%2)"/>
      <w:lvlJc w:val="left"/>
      <w:pPr>
        <w:tabs>
          <w:tab w:val="num" w:pos="720"/>
        </w:tabs>
        <w:ind w:left="1080" w:firstLine="0"/>
      </w:pPr>
      <w:rPr>
        <w:rFonts w:hint="default"/>
      </w:rPr>
    </w:lvl>
    <w:lvl w:ilvl="2" w:tplc="981E48B0">
      <w:start w:val="1"/>
      <w:numFmt w:val="lowerRoman"/>
      <w:lvlText w:val="(%3)"/>
      <w:lvlJc w:val="left"/>
      <w:pPr>
        <w:tabs>
          <w:tab w:val="num" w:pos="1260"/>
        </w:tabs>
        <w:ind w:left="126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7">
    <w:nsid w:val="74633877"/>
    <w:multiLevelType w:val="hybridMultilevel"/>
    <w:tmpl w:val="EBBC5382"/>
    <w:lvl w:ilvl="0" w:tplc="04090013">
      <w:start w:val="1"/>
      <w:numFmt w:val="upperRoman"/>
      <w:lvlText w:val="%1."/>
      <w:lvlJc w:val="right"/>
      <w:pPr>
        <w:ind w:left="1359" w:hanging="360"/>
      </w:p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28">
    <w:nsid w:val="7AF97282"/>
    <w:multiLevelType w:val="hybridMultilevel"/>
    <w:tmpl w:val="976CB0CE"/>
    <w:lvl w:ilvl="0" w:tplc="45A2BC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30505"/>
    <w:multiLevelType w:val="hybridMultilevel"/>
    <w:tmpl w:val="25E07446"/>
    <w:lvl w:ilvl="0" w:tplc="8E8AAACE">
      <w:start w:val="1"/>
      <w:numFmt w:val="bullet"/>
      <w:pStyle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6"/>
  </w:num>
  <w:num w:numId="4">
    <w:abstractNumId w:val="11"/>
  </w:num>
  <w:num w:numId="5">
    <w:abstractNumId w:val="11"/>
  </w:num>
  <w:num w:numId="6">
    <w:abstractNumId w:val="26"/>
  </w:num>
  <w:num w:numId="7">
    <w:abstractNumId w:val="11"/>
  </w:num>
  <w:num w:numId="8">
    <w:abstractNumId w:val="26"/>
  </w:num>
  <w:num w:numId="9">
    <w:abstractNumId w:val="11"/>
  </w:num>
  <w:num w:numId="10">
    <w:abstractNumId w:val="26"/>
  </w:num>
  <w:num w:numId="11">
    <w:abstractNumId w:val="11"/>
  </w:num>
  <w:num w:numId="12">
    <w:abstractNumId w:val="26"/>
  </w:num>
  <w:num w:numId="13">
    <w:abstractNumId w:val="29"/>
  </w:num>
  <w:num w:numId="14">
    <w:abstractNumId w:val="0"/>
  </w:num>
  <w:num w:numId="15">
    <w:abstractNumId w:val="19"/>
  </w:num>
  <w:num w:numId="16">
    <w:abstractNumId w:val="8"/>
  </w:num>
  <w:num w:numId="17">
    <w:abstractNumId w:val="3"/>
  </w:num>
  <w:num w:numId="18">
    <w:abstractNumId w:val="24"/>
  </w:num>
  <w:num w:numId="19">
    <w:abstractNumId w:val="28"/>
  </w:num>
  <w:num w:numId="20">
    <w:abstractNumId w:val="16"/>
  </w:num>
  <w:num w:numId="21">
    <w:abstractNumId w:val="14"/>
  </w:num>
  <w:num w:numId="22">
    <w:abstractNumId w:val="13"/>
  </w:num>
  <w:num w:numId="23">
    <w:abstractNumId w:val="12"/>
  </w:num>
  <w:num w:numId="24">
    <w:abstractNumId w:val="2"/>
  </w:num>
  <w:num w:numId="25">
    <w:abstractNumId w:val="10"/>
  </w:num>
  <w:num w:numId="26">
    <w:abstractNumId w:val="27"/>
  </w:num>
  <w:num w:numId="27">
    <w:abstractNumId w:val="22"/>
  </w:num>
  <w:num w:numId="28">
    <w:abstractNumId w:val="7"/>
  </w:num>
  <w:num w:numId="29">
    <w:abstractNumId w:val="9"/>
  </w:num>
  <w:num w:numId="30">
    <w:abstractNumId w:val="23"/>
  </w:num>
  <w:num w:numId="31">
    <w:abstractNumId w:val="25"/>
  </w:num>
  <w:num w:numId="32">
    <w:abstractNumId w:val="17"/>
  </w:num>
  <w:num w:numId="33">
    <w:abstractNumId w:val="5"/>
  </w:num>
  <w:num w:numId="34">
    <w:abstractNumId w:val="6"/>
  </w:num>
  <w:num w:numId="35">
    <w:abstractNumId w:val="20"/>
  </w:num>
  <w:num w:numId="36">
    <w:abstractNumId w:val="1"/>
  </w:num>
  <w:num w:numId="37">
    <w:abstractNumId w:val="15"/>
  </w:num>
  <w:num w:numId="38">
    <w:abstractNumId w:val="21"/>
  </w:num>
  <w:num w:numId="39">
    <w:abstractNumId w:val="4"/>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0"/>
    <w:rsid w:val="00002031"/>
    <w:rsid w:val="000023E0"/>
    <w:rsid w:val="00002CFA"/>
    <w:rsid w:val="00002DB9"/>
    <w:rsid w:val="000036E7"/>
    <w:rsid w:val="00004799"/>
    <w:rsid w:val="000050EF"/>
    <w:rsid w:val="0000688B"/>
    <w:rsid w:val="00007ACA"/>
    <w:rsid w:val="00010617"/>
    <w:rsid w:val="0001067F"/>
    <w:rsid w:val="00010CC2"/>
    <w:rsid w:val="00011481"/>
    <w:rsid w:val="00011CAB"/>
    <w:rsid w:val="0001205E"/>
    <w:rsid w:val="00012856"/>
    <w:rsid w:val="00012B45"/>
    <w:rsid w:val="00013B0A"/>
    <w:rsid w:val="00013FE2"/>
    <w:rsid w:val="0001451B"/>
    <w:rsid w:val="0001507E"/>
    <w:rsid w:val="00015152"/>
    <w:rsid w:val="00015376"/>
    <w:rsid w:val="00016198"/>
    <w:rsid w:val="00020195"/>
    <w:rsid w:val="00020D77"/>
    <w:rsid w:val="00020FC7"/>
    <w:rsid w:val="000214A6"/>
    <w:rsid w:val="00022285"/>
    <w:rsid w:val="00022548"/>
    <w:rsid w:val="000226EF"/>
    <w:rsid w:val="0002344C"/>
    <w:rsid w:val="00023836"/>
    <w:rsid w:val="00023962"/>
    <w:rsid w:val="00023C83"/>
    <w:rsid w:val="00024176"/>
    <w:rsid w:val="000245B9"/>
    <w:rsid w:val="00024819"/>
    <w:rsid w:val="000252D3"/>
    <w:rsid w:val="0002690E"/>
    <w:rsid w:val="00026996"/>
    <w:rsid w:val="00026CE2"/>
    <w:rsid w:val="00027EAB"/>
    <w:rsid w:val="000304C5"/>
    <w:rsid w:val="000309CD"/>
    <w:rsid w:val="00030E33"/>
    <w:rsid w:val="000310A9"/>
    <w:rsid w:val="00032E0A"/>
    <w:rsid w:val="00033DB1"/>
    <w:rsid w:val="000359A7"/>
    <w:rsid w:val="00035C40"/>
    <w:rsid w:val="00036867"/>
    <w:rsid w:val="0004024D"/>
    <w:rsid w:val="00040790"/>
    <w:rsid w:val="00040DBD"/>
    <w:rsid w:val="00041659"/>
    <w:rsid w:val="00042760"/>
    <w:rsid w:val="0004314A"/>
    <w:rsid w:val="00044B74"/>
    <w:rsid w:val="00044EA5"/>
    <w:rsid w:val="00044F09"/>
    <w:rsid w:val="000459F4"/>
    <w:rsid w:val="000465C7"/>
    <w:rsid w:val="0004696D"/>
    <w:rsid w:val="00046ABD"/>
    <w:rsid w:val="00046B74"/>
    <w:rsid w:val="00046BCB"/>
    <w:rsid w:val="00047563"/>
    <w:rsid w:val="000501E6"/>
    <w:rsid w:val="000505AF"/>
    <w:rsid w:val="00050739"/>
    <w:rsid w:val="0005095E"/>
    <w:rsid w:val="000514CB"/>
    <w:rsid w:val="00052EE5"/>
    <w:rsid w:val="00053735"/>
    <w:rsid w:val="00053C1A"/>
    <w:rsid w:val="000546FB"/>
    <w:rsid w:val="0005479C"/>
    <w:rsid w:val="000551E2"/>
    <w:rsid w:val="00055310"/>
    <w:rsid w:val="00057D90"/>
    <w:rsid w:val="00060082"/>
    <w:rsid w:val="00060901"/>
    <w:rsid w:val="0006177B"/>
    <w:rsid w:val="00061CB9"/>
    <w:rsid w:val="000620DA"/>
    <w:rsid w:val="0006303F"/>
    <w:rsid w:val="00063833"/>
    <w:rsid w:val="000639AF"/>
    <w:rsid w:val="00063AF2"/>
    <w:rsid w:val="0006402D"/>
    <w:rsid w:val="00064613"/>
    <w:rsid w:val="00064F13"/>
    <w:rsid w:val="0006521A"/>
    <w:rsid w:val="00065A75"/>
    <w:rsid w:val="000660B5"/>
    <w:rsid w:val="00066679"/>
    <w:rsid w:val="00067CD0"/>
    <w:rsid w:val="00070AC8"/>
    <w:rsid w:val="00071671"/>
    <w:rsid w:val="000716CF"/>
    <w:rsid w:val="00074295"/>
    <w:rsid w:val="00074856"/>
    <w:rsid w:val="00074B69"/>
    <w:rsid w:val="000757B2"/>
    <w:rsid w:val="000775E2"/>
    <w:rsid w:val="00077936"/>
    <w:rsid w:val="00077B4F"/>
    <w:rsid w:val="00077E03"/>
    <w:rsid w:val="0008019F"/>
    <w:rsid w:val="00080C94"/>
    <w:rsid w:val="00080F81"/>
    <w:rsid w:val="00081A0F"/>
    <w:rsid w:val="00081A5F"/>
    <w:rsid w:val="00081D74"/>
    <w:rsid w:val="00081FB8"/>
    <w:rsid w:val="0008248E"/>
    <w:rsid w:val="00082786"/>
    <w:rsid w:val="00082F36"/>
    <w:rsid w:val="00082FB9"/>
    <w:rsid w:val="00084045"/>
    <w:rsid w:val="00084670"/>
    <w:rsid w:val="00085077"/>
    <w:rsid w:val="00085FD7"/>
    <w:rsid w:val="0008755F"/>
    <w:rsid w:val="00087FAE"/>
    <w:rsid w:val="000906C0"/>
    <w:rsid w:val="000916E2"/>
    <w:rsid w:val="00091AD6"/>
    <w:rsid w:val="00091E92"/>
    <w:rsid w:val="000920D3"/>
    <w:rsid w:val="0009290C"/>
    <w:rsid w:val="000930A5"/>
    <w:rsid w:val="000930FB"/>
    <w:rsid w:val="0009319D"/>
    <w:rsid w:val="000938D5"/>
    <w:rsid w:val="00093FAF"/>
    <w:rsid w:val="00094C4F"/>
    <w:rsid w:val="0009532D"/>
    <w:rsid w:val="00095442"/>
    <w:rsid w:val="00095FAC"/>
    <w:rsid w:val="00096AF9"/>
    <w:rsid w:val="000971EC"/>
    <w:rsid w:val="000976E3"/>
    <w:rsid w:val="000A07A3"/>
    <w:rsid w:val="000A0DDD"/>
    <w:rsid w:val="000A0F59"/>
    <w:rsid w:val="000A1166"/>
    <w:rsid w:val="000A15F6"/>
    <w:rsid w:val="000A1DCB"/>
    <w:rsid w:val="000A2B3F"/>
    <w:rsid w:val="000A2EE6"/>
    <w:rsid w:val="000A2FFE"/>
    <w:rsid w:val="000A45E2"/>
    <w:rsid w:val="000A4DCA"/>
    <w:rsid w:val="000A5B2A"/>
    <w:rsid w:val="000A6032"/>
    <w:rsid w:val="000A652E"/>
    <w:rsid w:val="000A65B3"/>
    <w:rsid w:val="000A6810"/>
    <w:rsid w:val="000A6C88"/>
    <w:rsid w:val="000A6DA1"/>
    <w:rsid w:val="000A75D8"/>
    <w:rsid w:val="000A797C"/>
    <w:rsid w:val="000A79F7"/>
    <w:rsid w:val="000B0B3B"/>
    <w:rsid w:val="000B0D10"/>
    <w:rsid w:val="000B16E3"/>
    <w:rsid w:val="000B19F1"/>
    <w:rsid w:val="000B1DBE"/>
    <w:rsid w:val="000B21E3"/>
    <w:rsid w:val="000B2201"/>
    <w:rsid w:val="000B3ADA"/>
    <w:rsid w:val="000B44F4"/>
    <w:rsid w:val="000B4C75"/>
    <w:rsid w:val="000B5090"/>
    <w:rsid w:val="000B51C2"/>
    <w:rsid w:val="000B52D0"/>
    <w:rsid w:val="000B5C24"/>
    <w:rsid w:val="000B6884"/>
    <w:rsid w:val="000B6A27"/>
    <w:rsid w:val="000B6B20"/>
    <w:rsid w:val="000B7608"/>
    <w:rsid w:val="000B76A8"/>
    <w:rsid w:val="000B774B"/>
    <w:rsid w:val="000B77C1"/>
    <w:rsid w:val="000C010A"/>
    <w:rsid w:val="000C026F"/>
    <w:rsid w:val="000C088F"/>
    <w:rsid w:val="000C092E"/>
    <w:rsid w:val="000C09BA"/>
    <w:rsid w:val="000C1714"/>
    <w:rsid w:val="000C3876"/>
    <w:rsid w:val="000C4A17"/>
    <w:rsid w:val="000C6A0D"/>
    <w:rsid w:val="000C6F01"/>
    <w:rsid w:val="000C726C"/>
    <w:rsid w:val="000D034B"/>
    <w:rsid w:val="000D0DE5"/>
    <w:rsid w:val="000D193B"/>
    <w:rsid w:val="000D1AF0"/>
    <w:rsid w:val="000D3A19"/>
    <w:rsid w:val="000D3B15"/>
    <w:rsid w:val="000D41BB"/>
    <w:rsid w:val="000D456A"/>
    <w:rsid w:val="000D5D99"/>
    <w:rsid w:val="000D6EAB"/>
    <w:rsid w:val="000E125B"/>
    <w:rsid w:val="000E29AC"/>
    <w:rsid w:val="000E330D"/>
    <w:rsid w:val="000E3355"/>
    <w:rsid w:val="000E33C4"/>
    <w:rsid w:val="000E36D6"/>
    <w:rsid w:val="000E3789"/>
    <w:rsid w:val="000E41D5"/>
    <w:rsid w:val="000E4A5E"/>
    <w:rsid w:val="000E6BF6"/>
    <w:rsid w:val="000E70E0"/>
    <w:rsid w:val="000E7A26"/>
    <w:rsid w:val="000E7F85"/>
    <w:rsid w:val="000F00A0"/>
    <w:rsid w:val="000F0944"/>
    <w:rsid w:val="000F0D24"/>
    <w:rsid w:val="000F0E77"/>
    <w:rsid w:val="000F1D3A"/>
    <w:rsid w:val="000F351C"/>
    <w:rsid w:val="000F3A08"/>
    <w:rsid w:val="000F43F9"/>
    <w:rsid w:val="000F445D"/>
    <w:rsid w:val="000F548C"/>
    <w:rsid w:val="000F5C41"/>
    <w:rsid w:val="000F6A89"/>
    <w:rsid w:val="00101DE0"/>
    <w:rsid w:val="00103AB8"/>
    <w:rsid w:val="001044B7"/>
    <w:rsid w:val="001053C6"/>
    <w:rsid w:val="00105775"/>
    <w:rsid w:val="00105946"/>
    <w:rsid w:val="00105A3F"/>
    <w:rsid w:val="00105EFC"/>
    <w:rsid w:val="0010654D"/>
    <w:rsid w:val="00111899"/>
    <w:rsid w:val="00111A4C"/>
    <w:rsid w:val="00111BB0"/>
    <w:rsid w:val="00111C42"/>
    <w:rsid w:val="001122E7"/>
    <w:rsid w:val="001122EC"/>
    <w:rsid w:val="00112C86"/>
    <w:rsid w:val="00112D49"/>
    <w:rsid w:val="00113620"/>
    <w:rsid w:val="00113CA1"/>
    <w:rsid w:val="00113DD7"/>
    <w:rsid w:val="00113F22"/>
    <w:rsid w:val="00114411"/>
    <w:rsid w:val="001148CF"/>
    <w:rsid w:val="00114D90"/>
    <w:rsid w:val="00115016"/>
    <w:rsid w:val="00115807"/>
    <w:rsid w:val="00116293"/>
    <w:rsid w:val="00116923"/>
    <w:rsid w:val="00117232"/>
    <w:rsid w:val="0011725A"/>
    <w:rsid w:val="001176F6"/>
    <w:rsid w:val="00117981"/>
    <w:rsid w:val="00117A6C"/>
    <w:rsid w:val="001202EA"/>
    <w:rsid w:val="00120509"/>
    <w:rsid w:val="00120B22"/>
    <w:rsid w:val="0012181D"/>
    <w:rsid w:val="00121B53"/>
    <w:rsid w:val="00121C85"/>
    <w:rsid w:val="00122EF1"/>
    <w:rsid w:val="0012382F"/>
    <w:rsid w:val="001239E4"/>
    <w:rsid w:val="00123C77"/>
    <w:rsid w:val="00124AFF"/>
    <w:rsid w:val="00124BB6"/>
    <w:rsid w:val="00124C0B"/>
    <w:rsid w:val="00125BE9"/>
    <w:rsid w:val="001275A1"/>
    <w:rsid w:val="001277FD"/>
    <w:rsid w:val="0012788D"/>
    <w:rsid w:val="00130306"/>
    <w:rsid w:val="0013183C"/>
    <w:rsid w:val="00131B6C"/>
    <w:rsid w:val="00131D27"/>
    <w:rsid w:val="0013235A"/>
    <w:rsid w:val="00132882"/>
    <w:rsid w:val="00132F20"/>
    <w:rsid w:val="00133198"/>
    <w:rsid w:val="00133EC6"/>
    <w:rsid w:val="001342E8"/>
    <w:rsid w:val="0013472C"/>
    <w:rsid w:val="00135092"/>
    <w:rsid w:val="00135A33"/>
    <w:rsid w:val="00135C64"/>
    <w:rsid w:val="00135D5B"/>
    <w:rsid w:val="00136CC7"/>
    <w:rsid w:val="00137705"/>
    <w:rsid w:val="00137805"/>
    <w:rsid w:val="00137C54"/>
    <w:rsid w:val="001401C8"/>
    <w:rsid w:val="0014046B"/>
    <w:rsid w:val="001406EB"/>
    <w:rsid w:val="00140968"/>
    <w:rsid w:val="00140CA1"/>
    <w:rsid w:val="00141208"/>
    <w:rsid w:val="00141422"/>
    <w:rsid w:val="00141437"/>
    <w:rsid w:val="00141A20"/>
    <w:rsid w:val="00141AC0"/>
    <w:rsid w:val="00141DDF"/>
    <w:rsid w:val="001422D4"/>
    <w:rsid w:val="001428BE"/>
    <w:rsid w:val="0014358B"/>
    <w:rsid w:val="00143923"/>
    <w:rsid w:val="00143B42"/>
    <w:rsid w:val="00144930"/>
    <w:rsid w:val="0014497E"/>
    <w:rsid w:val="0014576B"/>
    <w:rsid w:val="00145F13"/>
    <w:rsid w:val="00146263"/>
    <w:rsid w:val="00146AB8"/>
    <w:rsid w:val="00147239"/>
    <w:rsid w:val="00147B64"/>
    <w:rsid w:val="00147F55"/>
    <w:rsid w:val="00150CCA"/>
    <w:rsid w:val="00150D1D"/>
    <w:rsid w:val="00150F4C"/>
    <w:rsid w:val="00151681"/>
    <w:rsid w:val="00152F9D"/>
    <w:rsid w:val="00153871"/>
    <w:rsid w:val="00153C45"/>
    <w:rsid w:val="00153C63"/>
    <w:rsid w:val="00154574"/>
    <w:rsid w:val="00154A22"/>
    <w:rsid w:val="00155A5F"/>
    <w:rsid w:val="00156114"/>
    <w:rsid w:val="0015674B"/>
    <w:rsid w:val="00156F4D"/>
    <w:rsid w:val="00157845"/>
    <w:rsid w:val="00157867"/>
    <w:rsid w:val="00157F1F"/>
    <w:rsid w:val="00160375"/>
    <w:rsid w:val="001608E9"/>
    <w:rsid w:val="00160A22"/>
    <w:rsid w:val="00160EAF"/>
    <w:rsid w:val="00161370"/>
    <w:rsid w:val="001617C2"/>
    <w:rsid w:val="001625A6"/>
    <w:rsid w:val="00162763"/>
    <w:rsid w:val="001629F9"/>
    <w:rsid w:val="00162A0F"/>
    <w:rsid w:val="00162A5B"/>
    <w:rsid w:val="001630CB"/>
    <w:rsid w:val="00163905"/>
    <w:rsid w:val="0016408B"/>
    <w:rsid w:val="001653B1"/>
    <w:rsid w:val="00165E6A"/>
    <w:rsid w:val="00165F9A"/>
    <w:rsid w:val="00166132"/>
    <w:rsid w:val="001670BD"/>
    <w:rsid w:val="001671CD"/>
    <w:rsid w:val="001676A7"/>
    <w:rsid w:val="00170E0D"/>
    <w:rsid w:val="001710CF"/>
    <w:rsid w:val="001718A0"/>
    <w:rsid w:val="0017230E"/>
    <w:rsid w:val="001725F6"/>
    <w:rsid w:val="00172890"/>
    <w:rsid w:val="00172CBF"/>
    <w:rsid w:val="001737F0"/>
    <w:rsid w:val="001741C3"/>
    <w:rsid w:val="0017455E"/>
    <w:rsid w:val="00175270"/>
    <w:rsid w:val="001759BD"/>
    <w:rsid w:val="00175F39"/>
    <w:rsid w:val="0017602A"/>
    <w:rsid w:val="00180C6E"/>
    <w:rsid w:val="00180E43"/>
    <w:rsid w:val="00180E97"/>
    <w:rsid w:val="001813A9"/>
    <w:rsid w:val="00182218"/>
    <w:rsid w:val="001823F4"/>
    <w:rsid w:val="001828DF"/>
    <w:rsid w:val="001828F0"/>
    <w:rsid w:val="00183898"/>
    <w:rsid w:val="0018597B"/>
    <w:rsid w:val="00185B10"/>
    <w:rsid w:val="00185E41"/>
    <w:rsid w:val="00185FC5"/>
    <w:rsid w:val="00190713"/>
    <w:rsid w:val="00190F60"/>
    <w:rsid w:val="00191C0F"/>
    <w:rsid w:val="001927F9"/>
    <w:rsid w:val="001933F3"/>
    <w:rsid w:val="0019370F"/>
    <w:rsid w:val="001938FD"/>
    <w:rsid w:val="00193903"/>
    <w:rsid w:val="00193A73"/>
    <w:rsid w:val="0019411F"/>
    <w:rsid w:val="00194928"/>
    <w:rsid w:val="0019492E"/>
    <w:rsid w:val="001955F0"/>
    <w:rsid w:val="001956C5"/>
    <w:rsid w:val="00195A7C"/>
    <w:rsid w:val="00195FC2"/>
    <w:rsid w:val="00196059"/>
    <w:rsid w:val="00197B6B"/>
    <w:rsid w:val="001A139A"/>
    <w:rsid w:val="001A26DA"/>
    <w:rsid w:val="001A2B16"/>
    <w:rsid w:val="001A2C42"/>
    <w:rsid w:val="001A5800"/>
    <w:rsid w:val="001A59E7"/>
    <w:rsid w:val="001A5B64"/>
    <w:rsid w:val="001A5F81"/>
    <w:rsid w:val="001A6034"/>
    <w:rsid w:val="001A6A51"/>
    <w:rsid w:val="001A6B34"/>
    <w:rsid w:val="001A744B"/>
    <w:rsid w:val="001A7D78"/>
    <w:rsid w:val="001B048F"/>
    <w:rsid w:val="001B0B8C"/>
    <w:rsid w:val="001B184E"/>
    <w:rsid w:val="001B2902"/>
    <w:rsid w:val="001B35E5"/>
    <w:rsid w:val="001B3864"/>
    <w:rsid w:val="001B3BE2"/>
    <w:rsid w:val="001B458E"/>
    <w:rsid w:val="001B50B4"/>
    <w:rsid w:val="001B7B32"/>
    <w:rsid w:val="001B7E2B"/>
    <w:rsid w:val="001C06AA"/>
    <w:rsid w:val="001C1FD9"/>
    <w:rsid w:val="001C283E"/>
    <w:rsid w:val="001C2A80"/>
    <w:rsid w:val="001C31CD"/>
    <w:rsid w:val="001C3E28"/>
    <w:rsid w:val="001C480D"/>
    <w:rsid w:val="001C4F0D"/>
    <w:rsid w:val="001C4F7D"/>
    <w:rsid w:val="001C5A77"/>
    <w:rsid w:val="001C7107"/>
    <w:rsid w:val="001C796B"/>
    <w:rsid w:val="001C7EED"/>
    <w:rsid w:val="001D0456"/>
    <w:rsid w:val="001D050E"/>
    <w:rsid w:val="001D1014"/>
    <w:rsid w:val="001D1265"/>
    <w:rsid w:val="001D14C4"/>
    <w:rsid w:val="001D14D9"/>
    <w:rsid w:val="001D1A06"/>
    <w:rsid w:val="001D1E93"/>
    <w:rsid w:val="001D225E"/>
    <w:rsid w:val="001D3668"/>
    <w:rsid w:val="001D3B5D"/>
    <w:rsid w:val="001D3EF9"/>
    <w:rsid w:val="001D62E6"/>
    <w:rsid w:val="001D6796"/>
    <w:rsid w:val="001D6CF2"/>
    <w:rsid w:val="001D6D65"/>
    <w:rsid w:val="001D7556"/>
    <w:rsid w:val="001D7990"/>
    <w:rsid w:val="001E01CD"/>
    <w:rsid w:val="001E0404"/>
    <w:rsid w:val="001E0E05"/>
    <w:rsid w:val="001E15F0"/>
    <w:rsid w:val="001E1C9B"/>
    <w:rsid w:val="001E2F39"/>
    <w:rsid w:val="001E422F"/>
    <w:rsid w:val="001E491A"/>
    <w:rsid w:val="001E4AB3"/>
    <w:rsid w:val="001E555C"/>
    <w:rsid w:val="001E58A6"/>
    <w:rsid w:val="001E64D6"/>
    <w:rsid w:val="001E684A"/>
    <w:rsid w:val="001E7132"/>
    <w:rsid w:val="001E7BAD"/>
    <w:rsid w:val="001F122D"/>
    <w:rsid w:val="001F1623"/>
    <w:rsid w:val="001F1736"/>
    <w:rsid w:val="001F17FC"/>
    <w:rsid w:val="001F1927"/>
    <w:rsid w:val="001F1C8A"/>
    <w:rsid w:val="001F2558"/>
    <w:rsid w:val="001F2A28"/>
    <w:rsid w:val="001F2D33"/>
    <w:rsid w:val="001F3AEB"/>
    <w:rsid w:val="001F43CA"/>
    <w:rsid w:val="001F4915"/>
    <w:rsid w:val="001F4B63"/>
    <w:rsid w:val="001F6474"/>
    <w:rsid w:val="001F7CBB"/>
    <w:rsid w:val="0020026B"/>
    <w:rsid w:val="002003EE"/>
    <w:rsid w:val="00200936"/>
    <w:rsid w:val="00200D36"/>
    <w:rsid w:val="00201BD4"/>
    <w:rsid w:val="0020300C"/>
    <w:rsid w:val="002030C1"/>
    <w:rsid w:val="0020383F"/>
    <w:rsid w:val="00204989"/>
    <w:rsid w:val="00204A0E"/>
    <w:rsid w:val="00205B56"/>
    <w:rsid w:val="00205ECC"/>
    <w:rsid w:val="0020605E"/>
    <w:rsid w:val="00206499"/>
    <w:rsid w:val="002068D9"/>
    <w:rsid w:val="00210105"/>
    <w:rsid w:val="00210C63"/>
    <w:rsid w:val="00211190"/>
    <w:rsid w:val="00212300"/>
    <w:rsid w:val="00212C8F"/>
    <w:rsid w:val="00213022"/>
    <w:rsid w:val="002133D0"/>
    <w:rsid w:val="00213A76"/>
    <w:rsid w:val="00213B8A"/>
    <w:rsid w:val="002142CF"/>
    <w:rsid w:val="00215200"/>
    <w:rsid w:val="0021540A"/>
    <w:rsid w:val="00215924"/>
    <w:rsid w:val="00215BF7"/>
    <w:rsid w:val="00215CC1"/>
    <w:rsid w:val="002168B3"/>
    <w:rsid w:val="00217232"/>
    <w:rsid w:val="00217FF8"/>
    <w:rsid w:val="002212A6"/>
    <w:rsid w:val="00221470"/>
    <w:rsid w:val="00221738"/>
    <w:rsid w:val="00221A70"/>
    <w:rsid w:val="00223833"/>
    <w:rsid w:val="00223E84"/>
    <w:rsid w:val="002243F0"/>
    <w:rsid w:val="0022572F"/>
    <w:rsid w:val="002260CE"/>
    <w:rsid w:val="002279E6"/>
    <w:rsid w:val="00227B9E"/>
    <w:rsid w:val="002305E7"/>
    <w:rsid w:val="002306AB"/>
    <w:rsid w:val="002309CC"/>
    <w:rsid w:val="00231E5B"/>
    <w:rsid w:val="0023335A"/>
    <w:rsid w:val="00234871"/>
    <w:rsid w:val="00235C76"/>
    <w:rsid w:val="00236A4E"/>
    <w:rsid w:val="00236D78"/>
    <w:rsid w:val="002400E0"/>
    <w:rsid w:val="0024265B"/>
    <w:rsid w:val="00242B1E"/>
    <w:rsid w:val="002436CE"/>
    <w:rsid w:val="00244555"/>
    <w:rsid w:val="002456AD"/>
    <w:rsid w:val="002456EE"/>
    <w:rsid w:val="00245D35"/>
    <w:rsid w:val="002462B6"/>
    <w:rsid w:val="002462FD"/>
    <w:rsid w:val="00246B98"/>
    <w:rsid w:val="00247EC8"/>
    <w:rsid w:val="00250A82"/>
    <w:rsid w:val="00251558"/>
    <w:rsid w:val="00251650"/>
    <w:rsid w:val="00251A41"/>
    <w:rsid w:val="00251B82"/>
    <w:rsid w:val="002523E0"/>
    <w:rsid w:val="002531E2"/>
    <w:rsid w:val="00253521"/>
    <w:rsid w:val="00254552"/>
    <w:rsid w:val="00254CA2"/>
    <w:rsid w:val="0025704E"/>
    <w:rsid w:val="00257186"/>
    <w:rsid w:val="0025749E"/>
    <w:rsid w:val="00260BB6"/>
    <w:rsid w:val="00260CCF"/>
    <w:rsid w:val="00260CDA"/>
    <w:rsid w:val="00260D4C"/>
    <w:rsid w:val="002613FD"/>
    <w:rsid w:val="00262701"/>
    <w:rsid w:val="00262FF1"/>
    <w:rsid w:val="002630CB"/>
    <w:rsid w:val="00263919"/>
    <w:rsid w:val="00264FEC"/>
    <w:rsid w:val="00265572"/>
    <w:rsid w:val="00265F16"/>
    <w:rsid w:val="002667A7"/>
    <w:rsid w:val="002678AD"/>
    <w:rsid w:val="002679AB"/>
    <w:rsid w:val="00267CFA"/>
    <w:rsid w:val="00270CB9"/>
    <w:rsid w:val="00271D3D"/>
    <w:rsid w:val="00272234"/>
    <w:rsid w:val="0027355B"/>
    <w:rsid w:val="00273DD2"/>
    <w:rsid w:val="00274352"/>
    <w:rsid w:val="00274477"/>
    <w:rsid w:val="0027489D"/>
    <w:rsid w:val="00274B7D"/>
    <w:rsid w:val="00274D36"/>
    <w:rsid w:val="00274FB5"/>
    <w:rsid w:val="00275329"/>
    <w:rsid w:val="00275D98"/>
    <w:rsid w:val="00275E4D"/>
    <w:rsid w:val="00275EC2"/>
    <w:rsid w:val="00276B40"/>
    <w:rsid w:val="00277946"/>
    <w:rsid w:val="00277965"/>
    <w:rsid w:val="00280030"/>
    <w:rsid w:val="00280B96"/>
    <w:rsid w:val="00280CED"/>
    <w:rsid w:val="00281A90"/>
    <w:rsid w:val="00281BE3"/>
    <w:rsid w:val="00282634"/>
    <w:rsid w:val="00284144"/>
    <w:rsid w:val="0028416C"/>
    <w:rsid w:val="0028422A"/>
    <w:rsid w:val="002842DE"/>
    <w:rsid w:val="002843B5"/>
    <w:rsid w:val="00285B9E"/>
    <w:rsid w:val="00286073"/>
    <w:rsid w:val="002865AC"/>
    <w:rsid w:val="00286902"/>
    <w:rsid w:val="00286903"/>
    <w:rsid w:val="00286D9D"/>
    <w:rsid w:val="00287F37"/>
    <w:rsid w:val="00290726"/>
    <w:rsid w:val="002907AC"/>
    <w:rsid w:val="0029095F"/>
    <w:rsid w:val="00290CD4"/>
    <w:rsid w:val="0029127E"/>
    <w:rsid w:val="00291617"/>
    <w:rsid w:val="00291F22"/>
    <w:rsid w:val="002922D0"/>
    <w:rsid w:val="00292305"/>
    <w:rsid w:val="002929AD"/>
    <w:rsid w:val="00295E20"/>
    <w:rsid w:val="002960FF"/>
    <w:rsid w:val="002965FA"/>
    <w:rsid w:val="00296CFD"/>
    <w:rsid w:val="00296D88"/>
    <w:rsid w:val="002973F3"/>
    <w:rsid w:val="00297E21"/>
    <w:rsid w:val="002A04C3"/>
    <w:rsid w:val="002A0F3A"/>
    <w:rsid w:val="002A186D"/>
    <w:rsid w:val="002A20CF"/>
    <w:rsid w:val="002A2C19"/>
    <w:rsid w:val="002A367A"/>
    <w:rsid w:val="002A37BC"/>
    <w:rsid w:val="002A3A42"/>
    <w:rsid w:val="002A4115"/>
    <w:rsid w:val="002A418A"/>
    <w:rsid w:val="002A4C72"/>
    <w:rsid w:val="002A4CCB"/>
    <w:rsid w:val="002A5B8D"/>
    <w:rsid w:val="002A5D11"/>
    <w:rsid w:val="002A631A"/>
    <w:rsid w:val="002A6505"/>
    <w:rsid w:val="002A7CBD"/>
    <w:rsid w:val="002B1B3A"/>
    <w:rsid w:val="002B1D14"/>
    <w:rsid w:val="002B2A82"/>
    <w:rsid w:val="002B364A"/>
    <w:rsid w:val="002B3BE8"/>
    <w:rsid w:val="002B6346"/>
    <w:rsid w:val="002B6422"/>
    <w:rsid w:val="002B6429"/>
    <w:rsid w:val="002B686C"/>
    <w:rsid w:val="002B70CC"/>
    <w:rsid w:val="002B7203"/>
    <w:rsid w:val="002B7736"/>
    <w:rsid w:val="002C0940"/>
    <w:rsid w:val="002C1AC5"/>
    <w:rsid w:val="002C1D74"/>
    <w:rsid w:val="002C2444"/>
    <w:rsid w:val="002C267C"/>
    <w:rsid w:val="002C34FE"/>
    <w:rsid w:val="002C37FA"/>
    <w:rsid w:val="002C4A43"/>
    <w:rsid w:val="002C4D33"/>
    <w:rsid w:val="002C5105"/>
    <w:rsid w:val="002C6351"/>
    <w:rsid w:val="002C6406"/>
    <w:rsid w:val="002C6CCB"/>
    <w:rsid w:val="002C6DE8"/>
    <w:rsid w:val="002D0210"/>
    <w:rsid w:val="002D0E3E"/>
    <w:rsid w:val="002D102B"/>
    <w:rsid w:val="002D106D"/>
    <w:rsid w:val="002D1EB6"/>
    <w:rsid w:val="002D26B4"/>
    <w:rsid w:val="002D2AD3"/>
    <w:rsid w:val="002D35B2"/>
    <w:rsid w:val="002D46E1"/>
    <w:rsid w:val="002D470E"/>
    <w:rsid w:val="002D4B2C"/>
    <w:rsid w:val="002D4D45"/>
    <w:rsid w:val="002D576D"/>
    <w:rsid w:val="002D5C27"/>
    <w:rsid w:val="002D7487"/>
    <w:rsid w:val="002D769E"/>
    <w:rsid w:val="002E145C"/>
    <w:rsid w:val="002E172D"/>
    <w:rsid w:val="002E2C7D"/>
    <w:rsid w:val="002E3418"/>
    <w:rsid w:val="002E362B"/>
    <w:rsid w:val="002E3EEC"/>
    <w:rsid w:val="002E49EF"/>
    <w:rsid w:val="002E776A"/>
    <w:rsid w:val="002E7D63"/>
    <w:rsid w:val="002F0313"/>
    <w:rsid w:val="002F0E5A"/>
    <w:rsid w:val="002F102A"/>
    <w:rsid w:val="002F14D7"/>
    <w:rsid w:val="002F1763"/>
    <w:rsid w:val="002F1C1C"/>
    <w:rsid w:val="002F2DAD"/>
    <w:rsid w:val="002F2E18"/>
    <w:rsid w:val="002F3893"/>
    <w:rsid w:val="002F3992"/>
    <w:rsid w:val="002F3BFF"/>
    <w:rsid w:val="002F4175"/>
    <w:rsid w:val="002F4935"/>
    <w:rsid w:val="002F4A28"/>
    <w:rsid w:val="002F4B65"/>
    <w:rsid w:val="002F54B7"/>
    <w:rsid w:val="002F5634"/>
    <w:rsid w:val="002F5E63"/>
    <w:rsid w:val="002F64AA"/>
    <w:rsid w:val="002F66F4"/>
    <w:rsid w:val="002F7076"/>
    <w:rsid w:val="00300386"/>
    <w:rsid w:val="00300B27"/>
    <w:rsid w:val="00300F05"/>
    <w:rsid w:val="0030121F"/>
    <w:rsid w:val="00301A2B"/>
    <w:rsid w:val="00301CA4"/>
    <w:rsid w:val="00301FBA"/>
    <w:rsid w:val="00302528"/>
    <w:rsid w:val="003030C7"/>
    <w:rsid w:val="003044AC"/>
    <w:rsid w:val="0030542C"/>
    <w:rsid w:val="00305C52"/>
    <w:rsid w:val="003060AE"/>
    <w:rsid w:val="003078CE"/>
    <w:rsid w:val="0031035F"/>
    <w:rsid w:val="003110BD"/>
    <w:rsid w:val="00311294"/>
    <w:rsid w:val="00311C2F"/>
    <w:rsid w:val="00311C9B"/>
    <w:rsid w:val="0031215C"/>
    <w:rsid w:val="003126AF"/>
    <w:rsid w:val="00312870"/>
    <w:rsid w:val="00312CA6"/>
    <w:rsid w:val="0031397B"/>
    <w:rsid w:val="00313E3E"/>
    <w:rsid w:val="00314984"/>
    <w:rsid w:val="00314E01"/>
    <w:rsid w:val="00314F15"/>
    <w:rsid w:val="003162A6"/>
    <w:rsid w:val="00317388"/>
    <w:rsid w:val="00320395"/>
    <w:rsid w:val="0032097D"/>
    <w:rsid w:val="00320AAE"/>
    <w:rsid w:val="0032140D"/>
    <w:rsid w:val="003215EB"/>
    <w:rsid w:val="0032163A"/>
    <w:rsid w:val="00321AB1"/>
    <w:rsid w:val="0032203A"/>
    <w:rsid w:val="0032240D"/>
    <w:rsid w:val="0032295E"/>
    <w:rsid w:val="00323434"/>
    <w:rsid w:val="00323866"/>
    <w:rsid w:val="00323C5B"/>
    <w:rsid w:val="00324414"/>
    <w:rsid w:val="003244A4"/>
    <w:rsid w:val="0032487F"/>
    <w:rsid w:val="00324E94"/>
    <w:rsid w:val="00325E0E"/>
    <w:rsid w:val="00325E1C"/>
    <w:rsid w:val="0032642D"/>
    <w:rsid w:val="00326A13"/>
    <w:rsid w:val="00327F3B"/>
    <w:rsid w:val="0033144E"/>
    <w:rsid w:val="00331D35"/>
    <w:rsid w:val="00331DD3"/>
    <w:rsid w:val="00332123"/>
    <w:rsid w:val="003324D6"/>
    <w:rsid w:val="00332760"/>
    <w:rsid w:val="00332E1D"/>
    <w:rsid w:val="00333069"/>
    <w:rsid w:val="0033349D"/>
    <w:rsid w:val="00333837"/>
    <w:rsid w:val="00333F8A"/>
    <w:rsid w:val="00334AAD"/>
    <w:rsid w:val="003357ED"/>
    <w:rsid w:val="00335E6A"/>
    <w:rsid w:val="003365A3"/>
    <w:rsid w:val="003370A8"/>
    <w:rsid w:val="003374E2"/>
    <w:rsid w:val="00337621"/>
    <w:rsid w:val="00340411"/>
    <w:rsid w:val="00340D84"/>
    <w:rsid w:val="00341979"/>
    <w:rsid w:val="00341F94"/>
    <w:rsid w:val="00342149"/>
    <w:rsid w:val="00342410"/>
    <w:rsid w:val="00342B1A"/>
    <w:rsid w:val="00342E84"/>
    <w:rsid w:val="00343125"/>
    <w:rsid w:val="0034395B"/>
    <w:rsid w:val="00344291"/>
    <w:rsid w:val="0034455C"/>
    <w:rsid w:val="00344A9A"/>
    <w:rsid w:val="00344C3E"/>
    <w:rsid w:val="00345D52"/>
    <w:rsid w:val="0034668A"/>
    <w:rsid w:val="003471BA"/>
    <w:rsid w:val="00347437"/>
    <w:rsid w:val="003475DB"/>
    <w:rsid w:val="0035005A"/>
    <w:rsid w:val="0035020D"/>
    <w:rsid w:val="0035035C"/>
    <w:rsid w:val="0035181F"/>
    <w:rsid w:val="00352D1D"/>
    <w:rsid w:val="00353201"/>
    <w:rsid w:val="00353BC5"/>
    <w:rsid w:val="00353F24"/>
    <w:rsid w:val="0035503E"/>
    <w:rsid w:val="00355118"/>
    <w:rsid w:val="00355271"/>
    <w:rsid w:val="003554B1"/>
    <w:rsid w:val="003559B3"/>
    <w:rsid w:val="00356E95"/>
    <w:rsid w:val="00357226"/>
    <w:rsid w:val="003601A6"/>
    <w:rsid w:val="003607F6"/>
    <w:rsid w:val="00360C84"/>
    <w:rsid w:val="00361A1B"/>
    <w:rsid w:val="00362498"/>
    <w:rsid w:val="003633A1"/>
    <w:rsid w:val="003638CD"/>
    <w:rsid w:val="0036404C"/>
    <w:rsid w:val="003647FA"/>
    <w:rsid w:val="0036585A"/>
    <w:rsid w:val="00365C77"/>
    <w:rsid w:val="00367A6B"/>
    <w:rsid w:val="00367A8A"/>
    <w:rsid w:val="003704BA"/>
    <w:rsid w:val="0037215C"/>
    <w:rsid w:val="00372347"/>
    <w:rsid w:val="003724FD"/>
    <w:rsid w:val="00372D6E"/>
    <w:rsid w:val="00373AC5"/>
    <w:rsid w:val="00374795"/>
    <w:rsid w:val="00374995"/>
    <w:rsid w:val="00374B3C"/>
    <w:rsid w:val="00374EDD"/>
    <w:rsid w:val="003751C7"/>
    <w:rsid w:val="00375A87"/>
    <w:rsid w:val="003777C4"/>
    <w:rsid w:val="0038015B"/>
    <w:rsid w:val="0038059F"/>
    <w:rsid w:val="0038083C"/>
    <w:rsid w:val="0038249D"/>
    <w:rsid w:val="00382EF3"/>
    <w:rsid w:val="003834D9"/>
    <w:rsid w:val="0038394D"/>
    <w:rsid w:val="00384150"/>
    <w:rsid w:val="0038435C"/>
    <w:rsid w:val="00384564"/>
    <w:rsid w:val="00384644"/>
    <w:rsid w:val="00384B81"/>
    <w:rsid w:val="00384CFC"/>
    <w:rsid w:val="00384E6C"/>
    <w:rsid w:val="0038539F"/>
    <w:rsid w:val="00385DEC"/>
    <w:rsid w:val="00386559"/>
    <w:rsid w:val="00386757"/>
    <w:rsid w:val="003867A1"/>
    <w:rsid w:val="00386936"/>
    <w:rsid w:val="0038696D"/>
    <w:rsid w:val="00386E32"/>
    <w:rsid w:val="00387717"/>
    <w:rsid w:val="00387FDF"/>
    <w:rsid w:val="00390080"/>
    <w:rsid w:val="00390E4A"/>
    <w:rsid w:val="00392395"/>
    <w:rsid w:val="00393E4B"/>
    <w:rsid w:val="00393FBB"/>
    <w:rsid w:val="00394259"/>
    <w:rsid w:val="003955B3"/>
    <w:rsid w:val="00395F2D"/>
    <w:rsid w:val="00397CCD"/>
    <w:rsid w:val="003A088D"/>
    <w:rsid w:val="003A0A08"/>
    <w:rsid w:val="003A0F1E"/>
    <w:rsid w:val="003A11AE"/>
    <w:rsid w:val="003A2611"/>
    <w:rsid w:val="003A2B3B"/>
    <w:rsid w:val="003A3405"/>
    <w:rsid w:val="003A3497"/>
    <w:rsid w:val="003A4DA1"/>
    <w:rsid w:val="003A5959"/>
    <w:rsid w:val="003A7074"/>
    <w:rsid w:val="003A7303"/>
    <w:rsid w:val="003A7308"/>
    <w:rsid w:val="003B05CA"/>
    <w:rsid w:val="003B1C95"/>
    <w:rsid w:val="003B2B33"/>
    <w:rsid w:val="003B2DC1"/>
    <w:rsid w:val="003B3BD0"/>
    <w:rsid w:val="003B3CA5"/>
    <w:rsid w:val="003B4B88"/>
    <w:rsid w:val="003B4E40"/>
    <w:rsid w:val="003B5724"/>
    <w:rsid w:val="003B5E44"/>
    <w:rsid w:val="003B61BB"/>
    <w:rsid w:val="003B78D7"/>
    <w:rsid w:val="003B7C82"/>
    <w:rsid w:val="003C03C4"/>
    <w:rsid w:val="003C03DC"/>
    <w:rsid w:val="003C1318"/>
    <w:rsid w:val="003C19A6"/>
    <w:rsid w:val="003C1BA8"/>
    <w:rsid w:val="003C20CE"/>
    <w:rsid w:val="003C3076"/>
    <w:rsid w:val="003C30DE"/>
    <w:rsid w:val="003C3179"/>
    <w:rsid w:val="003C32BF"/>
    <w:rsid w:val="003C4767"/>
    <w:rsid w:val="003C49E8"/>
    <w:rsid w:val="003C4F34"/>
    <w:rsid w:val="003C5D6C"/>
    <w:rsid w:val="003C5DB7"/>
    <w:rsid w:val="003C6511"/>
    <w:rsid w:val="003C6A56"/>
    <w:rsid w:val="003C6D5D"/>
    <w:rsid w:val="003C6DD6"/>
    <w:rsid w:val="003C79A8"/>
    <w:rsid w:val="003D3E06"/>
    <w:rsid w:val="003D54B3"/>
    <w:rsid w:val="003D68B8"/>
    <w:rsid w:val="003D6B5E"/>
    <w:rsid w:val="003D704E"/>
    <w:rsid w:val="003D7435"/>
    <w:rsid w:val="003E048D"/>
    <w:rsid w:val="003E07BE"/>
    <w:rsid w:val="003E0D01"/>
    <w:rsid w:val="003E0DC5"/>
    <w:rsid w:val="003E0E6B"/>
    <w:rsid w:val="003E109A"/>
    <w:rsid w:val="003E2CB8"/>
    <w:rsid w:val="003E2F88"/>
    <w:rsid w:val="003E348E"/>
    <w:rsid w:val="003E36D0"/>
    <w:rsid w:val="003E3842"/>
    <w:rsid w:val="003E3FEA"/>
    <w:rsid w:val="003E42E2"/>
    <w:rsid w:val="003E4882"/>
    <w:rsid w:val="003E519E"/>
    <w:rsid w:val="003E61DB"/>
    <w:rsid w:val="003E62B7"/>
    <w:rsid w:val="003E68EC"/>
    <w:rsid w:val="003E7D35"/>
    <w:rsid w:val="003F04EE"/>
    <w:rsid w:val="003F07EA"/>
    <w:rsid w:val="003F093A"/>
    <w:rsid w:val="003F1290"/>
    <w:rsid w:val="003F3109"/>
    <w:rsid w:val="003F3540"/>
    <w:rsid w:val="003F3932"/>
    <w:rsid w:val="003F3B1B"/>
    <w:rsid w:val="003F3FFE"/>
    <w:rsid w:val="003F4604"/>
    <w:rsid w:val="003F4768"/>
    <w:rsid w:val="003F4E44"/>
    <w:rsid w:val="003F5F31"/>
    <w:rsid w:val="003F69D3"/>
    <w:rsid w:val="003F6F97"/>
    <w:rsid w:val="004003B1"/>
    <w:rsid w:val="00400A13"/>
    <w:rsid w:val="00400D60"/>
    <w:rsid w:val="00400DBF"/>
    <w:rsid w:val="0040102D"/>
    <w:rsid w:val="00401692"/>
    <w:rsid w:val="004016AA"/>
    <w:rsid w:val="004019D9"/>
    <w:rsid w:val="00401E74"/>
    <w:rsid w:val="00402062"/>
    <w:rsid w:val="004023F1"/>
    <w:rsid w:val="004024C9"/>
    <w:rsid w:val="0040250E"/>
    <w:rsid w:val="004028A0"/>
    <w:rsid w:val="0040472D"/>
    <w:rsid w:val="0040569E"/>
    <w:rsid w:val="00406205"/>
    <w:rsid w:val="00406DE1"/>
    <w:rsid w:val="00407BA5"/>
    <w:rsid w:val="00410315"/>
    <w:rsid w:val="004109DE"/>
    <w:rsid w:val="004115BA"/>
    <w:rsid w:val="004122E4"/>
    <w:rsid w:val="00412FD1"/>
    <w:rsid w:val="00414AE6"/>
    <w:rsid w:val="004151A9"/>
    <w:rsid w:val="004157DE"/>
    <w:rsid w:val="00417AA6"/>
    <w:rsid w:val="00417D3F"/>
    <w:rsid w:val="00420418"/>
    <w:rsid w:val="004209F5"/>
    <w:rsid w:val="00420CED"/>
    <w:rsid w:val="00421E14"/>
    <w:rsid w:val="004234C9"/>
    <w:rsid w:val="00423DB5"/>
    <w:rsid w:val="0042491A"/>
    <w:rsid w:val="004258AB"/>
    <w:rsid w:val="00425AEC"/>
    <w:rsid w:val="00426095"/>
    <w:rsid w:val="00426EF0"/>
    <w:rsid w:val="00427E5A"/>
    <w:rsid w:val="004304F8"/>
    <w:rsid w:val="00430E18"/>
    <w:rsid w:val="004318BB"/>
    <w:rsid w:val="0043212D"/>
    <w:rsid w:val="004322D8"/>
    <w:rsid w:val="00432741"/>
    <w:rsid w:val="00432B28"/>
    <w:rsid w:val="004335C2"/>
    <w:rsid w:val="00433D57"/>
    <w:rsid w:val="0043561F"/>
    <w:rsid w:val="00435FC6"/>
    <w:rsid w:val="004364AC"/>
    <w:rsid w:val="004366BE"/>
    <w:rsid w:val="00436753"/>
    <w:rsid w:val="0043726C"/>
    <w:rsid w:val="004400C7"/>
    <w:rsid w:val="004402EF"/>
    <w:rsid w:val="00440BD1"/>
    <w:rsid w:val="00440EC7"/>
    <w:rsid w:val="00442261"/>
    <w:rsid w:val="00442340"/>
    <w:rsid w:val="0044248A"/>
    <w:rsid w:val="004431F6"/>
    <w:rsid w:val="00443ED7"/>
    <w:rsid w:val="004441BC"/>
    <w:rsid w:val="0044493E"/>
    <w:rsid w:val="00444D0F"/>
    <w:rsid w:val="0044507E"/>
    <w:rsid w:val="00445C5C"/>
    <w:rsid w:val="00446F1E"/>
    <w:rsid w:val="00447090"/>
    <w:rsid w:val="00447A56"/>
    <w:rsid w:val="00450BD5"/>
    <w:rsid w:val="00450CB6"/>
    <w:rsid w:val="00450E61"/>
    <w:rsid w:val="00450EEA"/>
    <w:rsid w:val="00451BF3"/>
    <w:rsid w:val="00453FEC"/>
    <w:rsid w:val="00454BB4"/>
    <w:rsid w:val="00455DD8"/>
    <w:rsid w:val="00456E58"/>
    <w:rsid w:val="00457CF8"/>
    <w:rsid w:val="00460297"/>
    <w:rsid w:val="00460385"/>
    <w:rsid w:val="00461B8E"/>
    <w:rsid w:val="00461C0E"/>
    <w:rsid w:val="0046297B"/>
    <w:rsid w:val="0046347A"/>
    <w:rsid w:val="00463AA8"/>
    <w:rsid w:val="00465500"/>
    <w:rsid w:val="00465D61"/>
    <w:rsid w:val="0046676D"/>
    <w:rsid w:val="00466C81"/>
    <w:rsid w:val="004671CC"/>
    <w:rsid w:val="00467568"/>
    <w:rsid w:val="00467771"/>
    <w:rsid w:val="00467B55"/>
    <w:rsid w:val="0047082E"/>
    <w:rsid w:val="00470AC4"/>
    <w:rsid w:val="00471BF8"/>
    <w:rsid w:val="00473917"/>
    <w:rsid w:val="00473B02"/>
    <w:rsid w:val="00473F5B"/>
    <w:rsid w:val="00473FC8"/>
    <w:rsid w:val="00475230"/>
    <w:rsid w:val="00475372"/>
    <w:rsid w:val="0047574A"/>
    <w:rsid w:val="004759DB"/>
    <w:rsid w:val="00475F4A"/>
    <w:rsid w:val="00476786"/>
    <w:rsid w:val="004773DB"/>
    <w:rsid w:val="004819F1"/>
    <w:rsid w:val="00483231"/>
    <w:rsid w:val="004838A1"/>
    <w:rsid w:val="004842C9"/>
    <w:rsid w:val="004851A2"/>
    <w:rsid w:val="00485A88"/>
    <w:rsid w:val="004871E9"/>
    <w:rsid w:val="00490013"/>
    <w:rsid w:val="00490515"/>
    <w:rsid w:val="004912CF"/>
    <w:rsid w:val="004915BF"/>
    <w:rsid w:val="00491A33"/>
    <w:rsid w:val="00492683"/>
    <w:rsid w:val="00492EC1"/>
    <w:rsid w:val="00493731"/>
    <w:rsid w:val="0049491D"/>
    <w:rsid w:val="00494FB9"/>
    <w:rsid w:val="00495E32"/>
    <w:rsid w:val="00496180"/>
    <w:rsid w:val="004962C8"/>
    <w:rsid w:val="004963B4"/>
    <w:rsid w:val="004966EA"/>
    <w:rsid w:val="00496823"/>
    <w:rsid w:val="004979C9"/>
    <w:rsid w:val="004A122C"/>
    <w:rsid w:val="004A123F"/>
    <w:rsid w:val="004A2BFE"/>
    <w:rsid w:val="004A44BC"/>
    <w:rsid w:val="004A44CB"/>
    <w:rsid w:val="004A477A"/>
    <w:rsid w:val="004A4C6B"/>
    <w:rsid w:val="004A506C"/>
    <w:rsid w:val="004A524D"/>
    <w:rsid w:val="004A685B"/>
    <w:rsid w:val="004A727E"/>
    <w:rsid w:val="004A7B91"/>
    <w:rsid w:val="004B011F"/>
    <w:rsid w:val="004B028C"/>
    <w:rsid w:val="004B0451"/>
    <w:rsid w:val="004B04DD"/>
    <w:rsid w:val="004B07FC"/>
    <w:rsid w:val="004B1769"/>
    <w:rsid w:val="004B2CF9"/>
    <w:rsid w:val="004B328A"/>
    <w:rsid w:val="004B33F7"/>
    <w:rsid w:val="004B3AB9"/>
    <w:rsid w:val="004B48FB"/>
    <w:rsid w:val="004B56F3"/>
    <w:rsid w:val="004B5CCB"/>
    <w:rsid w:val="004B643B"/>
    <w:rsid w:val="004B64B5"/>
    <w:rsid w:val="004B6AD7"/>
    <w:rsid w:val="004C0646"/>
    <w:rsid w:val="004C0ABA"/>
    <w:rsid w:val="004C16D9"/>
    <w:rsid w:val="004C29F2"/>
    <w:rsid w:val="004C3600"/>
    <w:rsid w:val="004C3A10"/>
    <w:rsid w:val="004C3ED8"/>
    <w:rsid w:val="004C5813"/>
    <w:rsid w:val="004C5F34"/>
    <w:rsid w:val="004C686C"/>
    <w:rsid w:val="004C6AB3"/>
    <w:rsid w:val="004C6CEA"/>
    <w:rsid w:val="004C701A"/>
    <w:rsid w:val="004C7270"/>
    <w:rsid w:val="004C72E2"/>
    <w:rsid w:val="004C7304"/>
    <w:rsid w:val="004C7983"/>
    <w:rsid w:val="004C7D32"/>
    <w:rsid w:val="004D01A3"/>
    <w:rsid w:val="004D0595"/>
    <w:rsid w:val="004D0B36"/>
    <w:rsid w:val="004D0C44"/>
    <w:rsid w:val="004D1AFA"/>
    <w:rsid w:val="004D29E3"/>
    <w:rsid w:val="004D37CD"/>
    <w:rsid w:val="004D5667"/>
    <w:rsid w:val="004D5C4D"/>
    <w:rsid w:val="004D604B"/>
    <w:rsid w:val="004D60B1"/>
    <w:rsid w:val="004D648E"/>
    <w:rsid w:val="004E0483"/>
    <w:rsid w:val="004E0510"/>
    <w:rsid w:val="004E054D"/>
    <w:rsid w:val="004E07E0"/>
    <w:rsid w:val="004E17C0"/>
    <w:rsid w:val="004E2429"/>
    <w:rsid w:val="004E2663"/>
    <w:rsid w:val="004E2F9B"/>
    <w:rsid w:val="004E360C"/>
    <w:rsid w:val="004E3DD6"/>
    <w:rsid w:val="004E5A58"/>
    <w:rsid w:val="004E71FF"/>
    <w:rsid w:val="004E7712"/>
    <w:rsid w:val="004E7A7F"/>
    <w:rsid w:val="004F0DC6"/>
    <w:rsid w:val="004F0E4B"/>
    <w:rsid w:val="004F11A0"/>
    <w:rsid w:val="004F153F"/>
    <w:rsid w:val="004F16BB"/>
    <w:rsid w:val="004F2161"/>
    <w:rsid w:val="004F26A0"/>
    <w:rsid w:val="004F2722"/>
    <w:rsid w:val="004F347A"/>
    <w:rsid w:val="004F3D90"/>
    <w:rsid w:val="004F4E92"/>
    <w:rsid w:val="004F52BC"/>
    <w:rsid w:val="004F6414"/>
    <w:rsid w:val="004F683F"/>
    <w:rsid w:val="004F6955"/>
    <w:rsid w:val="004F69D6"/>
    <w:rsid w:val="004F7254"/>
    <w:rsid w:val="004F7909"/>
    <w:rsid w:val="004F7D78"/>
    <w:rsid w:val="0050011E"/>
    <w:rsid w:val="0050136F"/>
    <w:rsid w:val="00501794"/>
    <w:rsid w:val="00501B16"/>
    <w:rsid w:val="00501DA0"/>
    <w:rsid w:val="00501E7E"/>
    <w:rsid w:val="00502A16"/>
    <w:rsid w:val="00504549"/>
    <w:rsid w:val="00504728"/>
    <w:rsid w:val="00505BE2"/>
    <w:rsid w:val="00506BD8"/>
    <w:rsid w:val="005070B0"/>
    <w:rsid w:val="005071B9"/>
    <w:rsid w:val="00510822"/>
    <w:rsid w:val="0051236A"/>
    <w:rsid w:val="00513406"/>
    <w:rsid w:val="00513753"/>
    <w:rsid w:val="00513BA5"/>
    <w:rsid w:val="0051421E"/>
    <w:rsid w:val="00514426"/>
    <w:rsid w:val="005149D6"/>
    <w:rsid w:val="00515677"/>
    <w:rsid w:val="0051647F"/>
    <w:rsid w:val="00517A7F"/>
    <w:rsid w:val="0052003F"/>
    <w:rsid w:val="005200F7"/>
    <w:rsid w:val="005214CD"/>
    <w:rsid w:val="00521ECA"/>
    <w:rsid w:val="00521FB8"/>
    <w:rsid w:val="005222AC"/>
    <w:rsid w:val="0052271F"/>
    <w:rsid w:val="005227E6"/>
    <w:rsid w:val="00522DAA"/>
    <w:rsid w:val="005231D6"/>
    <w:rsid w:val="00523407"/>
    <w:rsid w:val="005236D0"/>
    <w:rsid w:val="0052381F"/>
    <w:rsid w:val="0052399B"/>
    <w:rsid w:val="00523E7F"/>
    <w:rsid w:val="00524100"/>
    <w:rsid w:val="00524258"/>
    <w:rsid w:val="0052429E"/>
    <w:rsid w:val="00524618"/>
    <w:rsid w:val="0052488B"/>
    <w:rsid w:val="00524E60"/>
    <w:rsid w:val="00525E44"/>
    <w:rsid w:val="0052623B"/>
    <w:rsid w:val="00527752"/>
    <w:rsid w:val="00527A42"/>
    <w:rsid w:val="00527CA2"/>
    <w:rsid w:val="00530688"/>
    <w:rsid w:val="00530890"/>
    <w:rsid w:val="00530910"/>
    <w:rsid w:val="00531BB9"/>
    <w:rsid w:val="0053225F"/>
    <w:rsid w:val="0053261C"/>
    <w:rsid w:val="00532681"/>
    <w:rsid w:val="00532880"/>
    <w:rsid w:val="00532EA3"/>
    <w:rsid w:val="00533DB7"/>
    <w:rsid w:val="00533FA3"/>
    <w:rsid w:val="00534A7E"/>
    <w:rsid w:val="00535BDC"/>
    <w:rsid w:val="00535FA5"/>
    <w:rsid w:val="0053673A"/>
    <w:rsid w:val="0053692F"/>
    <w:rsid w:val="00536DF1"/>
    <w:rsid w:val="00540963"/>
    <w:rsid w:val="00540E05"/>
    <w:rsid w:val="005410DD"/>
    <w:rsid w:val="00542344"/>
    <w:rsid w:val="0054249C"/>
    <w:rsid w:val="005428AC"/>
    <w:rsid w:val="00543B7A"/>
    <w:rsid w:val="00544795"/>
    <w:rsid w:val="00544B51"/>
    <w:rsid w:val="005457E4"/>
    <w:rsid w:val="00545CF9"/>
    <w:rsid w:val="00545F85"/>
    <w:rsid w:val="00546305"/>
    <w:rsid w:val="00546333"/>
    <w:rsid w:val="0054690D"/>
    <w:rsid w:val="00546B92"/>
    <w:rsid w:val="00547CA6"/>
    <w:rsid w:val="005512FB"/>
    <w:rsid w:val="005513EA"/>
    <w:rsid w:val="0055184A"/>
    <w:rsid w:val="00552F7A"/>
    <w:rsid w:val="00553B05"/>
    <w:rsid w:val="00553EDB"/>
    <w:rsid w:val="005547F9"/>
    <w:rsid w:val="005548A7"/>
    <w:rsid w:val="00555584"/>
    <w:rsid w:val="00556DE3"/>
    <w:rsid w:val="0055751D"/>
    <w:rsid w:val="005576A3"/>
    <w:rsid w:val="005578E4"/>
    <w:rsid w:val="00557A27"/>
    <w:rsid w:val="00557A9F"/>
    <w:rsid w:val="00560509"/>
    <w:rsid w:val="0056050D"/>
    <w:rsid w:val="005606A7"/>
    <w:rsid w:val="005608AC"/>
    <w:rsid w:val="00560BDE"/>
    <w:rsid w:val="00560EA8"/>
    <w:rsid w:val="00561032"/>
    <w:rsid w:val="00561955"/>
    <w:rsid w:val="00561A65"/>
    <w:rsid w:val="00561DA9"/>
    <w:rsid w:val="0056251D"/>
    <w:rsid w:val="00565424"/>
    <w:rsid w:val="005658CE"/>
    <w:rsid w:val="005659CF"/>
    <w:rsid w:val="00566815"/>
    <w:rsid w:val="00567801"/>
    <w:rsid w:val="00567E7B"/>
    <w:rsid w:val="00570504"/>
    <w:rsid w:val="0057053B"/>
    <w:rsid w:val="0057078A"/>
    <w:rsid w:val="00570BB2"/>
    <w:rsid w:val="0057107B"/>
    <w:rsid w:val="005712B9"/>
    <w:rsid w:val="00571806"/>
    <w:rsid w:val="00571A5B"/>
    <w:rsid w:val="00571FDE"/>
    <w:rsid w:val="0057269C"/>
    <w:rsid w:val="00572DF2"/>
    <w:rsid w:val="005730AE"/>
    <w:rsid w:val="00574069"/>
    <w:rsid w:val="0057594F"/>
    <w:rsid w:val="005760B7"/>
    <w:rsid w:val="00576259"/>
    <w:rsid w:val="00576D51"/>
    <w:rsid w:val="00577671"/>
    <w:rsid w:val="00577991"/>
    <w:rsid w:val="00580005"/>
    <w:rsid w:val="00580639"/>
    <w:rsid w:val="00580E13"/>
    <w:rsid w:val="005812A6"/>
    <w:rsid w:val="00581F12"/>
    <w:rsid w:val="00582521"/>
    <w:rsid w:val="005827BD"/>
    <w:rsid w:val="0058283E"/>
    <w:rsid w:val="00582D95"/>
    <w:rsid w:val="00584B49"/>
    <w:rsid w:val="00585121"/>
    <w:rsid w:val="00585D58"/>
    <w:rsid w:val="00586344"/>
    <w:rsid w:val="00586752"/>
    <w:rsid w:val="005869B1"/>
    <w:rsid w:val="005869BB"/>
    <w:rsid w:val="00587252"/>
    <w:rsid w:val="005874C7"/>
    <w:rsid w:val="0058787C"/>
    <w:rsid w:val="00590741"/>
    <w:rsid w:val="00590ABB"/>
    <w:rsid w:val="00591719"/>
    <w:rsid w:val="00593580"/>
    <w:rsid w:val="00593658"/>
    <w:rsid w:val="0059376F"/>
    <w:rsid w:val="00593E67"/>
    <w:rsid w:val="00593FA8"/>
    <w:rsid w:val="005946DF"/>
    <w:rsid w:val="00594EE9"/>
    <w:rsid w:val="00595966"/>
    <w:rsid w:val="00596118"/>
    <w:rsid w:val="00596BBB"/>
    <w:rsid w:val="00597935"/>
    <w:rsid w:val="00597B25"/>
    <w:rsid w:val="00597C94"/>
    <w:rsid w:val="005A101B"/>
    <w:rsid w:val="005A2126"/>
    <w:rsid w:val="005A31A9"/>
    <w:rsid w:val="005A3D82"/>
    <w:rsid w:val="005A3F9F"/>
    <w:rsid w:val="005A4221"/>
    <w:rsid w:val="005A4255"/>
    <w:rsid w:val="005A46A3"/>
    <w:rsid w:val="005A4B1A"/>
    <w:rsid w:val="005A4B3B"/>
    <w:rsid w:val="005A4D4E"/>
    <w:rsid w:val="005A4E53"/>
    <w:rsid w:val="005A63B1"/>
    <w:rsid w:val="005A76C2"/>
    <w:rsid w:val="005B00A2"/>
    <w:rsid w:val="005B088A"/>
    <w:rsid w:val="005B410C"/>
    <w:rsid w:val="005B440D"/>
    <w:rsid w:val="005B5A13"/>
    <w:rsid w:val="005B60FB"/>
    <w:rsid w:val="005B6531"/>
    <w:rsid w:val="005B6556"/>
    <w:rsid w:val="005B7E77"/>
    <w:rsid w:val="005C13D9"/>
    <w:rsid w:val="005C17DC"/>
    <w:rsid w:val="005C1D4C"/>
    <w:rsid w:val="005C20D1"/>
    <w:rsid w:val="005C2B00"/>
    <w:rsid w:val="005C303F"/>
    <w:rsid w:val="005C3312"/>
    <w:rsid w:val="005C36A0"/>
    <w:rsid w:val="005C395F"/>
    <w:rsid w:val="005C3A26"/>
    <w:rsid w:val="005C3F10"/>
    <w:rsid w:val="005C41AC"/>
    <w:rsid w:val="005C4518"/>
    <w:rsid w:val="005C4DB4"/>
    <w:rsid w:val="005C5413"/>
    <w:rsid w:val="005C5998"/>
    <w:rsid w:val="005C5E3E"/>
    <w:rsid w:val="005C63E2"/>
    <w:rsid w:val="005C650D"/>
    <w:rsid w:val="005D07FE"/>
    <w:rsid w:val="005D116E"/>
    <w:rsid w:val="005D1261"/>
    <w:rsid w:val="005D2C59"/>
    <w:rsid w:val="005D32FD"/>
    <w:rsid w:val="005D38FD"/>
    <w:rsid w:val="005D3AD8"/>
    <w:rsid w:val="005D3FC8"/>
    <w:rsid w:val="005D5CC0"/>
    <w:rsid w:val="005D6B8F"/>
    <w:rsid w:val="005D7451"/>
    <w:rsid w:val="005D7570"/>
    <w:rsid w:val="005D794C"/>
    <w:rsid w:val="005E211B"/>
    <w:rsid w:val="005E28C4"/>
    <w:rsid w:val="005E29F4"/>
    <w:rsid w:val="005E321F"/>
    <w:rsid w:val="005E3CFE"/>
    <w:rsid w:val="005E5646"/>
    <w:rsid w:val="005E69D5"/>
    <w:rsid w:val="005E718C"/>
    <w:rsid w:val="005E751C"/>
    <w:rsid w:val="005E7F49"/>
    <w:rsid w:val="005F0619"/>
    <w:rsid w:val="005F188B"/>
    <w:rsid w:val="005F1B91"/>
    <w:rsid w:val="005F3772"/>
    <w:rsid w:val="005F4D94"/>
    <w:rsid w:val="005F4E96"/>
    <w:rsid w:val="005F532D"/>
    <w:rsid w:val="005F5794"/>
    <w:rsid w:val="005F5BCC"/>
    <w:rsid w:val="00600236"/>
    <w:rsid w:val="00600282"/>
    <w:rsid w:val="00600B80"/>
    <w:rsid w:val="00600E7A"/>
    <w:rsid w:val="00602C32"/>
    <w:rsid w:val="00602E33"/>
    <w:rsid w:val="00602F77"/>
    <w:rsid w:val="0060350C"/>
    <w:rsid w:val="00603560"/>
    <w:rsid w:val="006046E7"/>
    <w:rsid w:val="006047EF"/>
    <w:rsid w:val="00605289"/>
    <w:rsid w:val="0060573F"/>
    <w:rsid w:val="00605C49"/>
    <w:rsid w:val="006062D2"/>
    <w:rsid w:val="00606423"/>
    <w:rsid w:val="00606817"/>
    <w:rsid w:val="00606A81"/>
    <w:rsid w:val="00606DFD"/>
    <w:rsid w:val="00607DBA"/>
    <w:rsid w:val="006110C5"/>
    <w:rsid w:val="00611D2F"/>
    <w:rsid w:val="00612319"/>
    <w:rsid w:val="006128EF"/>
    <w:rsid w:val="0061468E"/>
    <w:rsid w:val="00614C47"/>
    <w:rsid w:val="006151AC"/>
    <w:rsid w:val="00616AB0"/>
    <w:rsid w:val="00616E3E"/>
    <w:rsid w:val="00617111"/>
    <w:rsid w:val="006208F7"/>
    <w:rsid w:val="00620E58"/>
    <w:rsid w:val="006212AC"/>
    <w:rsid w:val="00621443"/>
    <w:rsid w:val="0062168F"/>
    <w:rsid w:val="006217DD"/>
    <w:rsid w:val="00621B30"/>
    <w:rsid w:val="006223B6"/>
    <w:rsid w:val="0062291F"/>
    <w:rsid w:val="00622EA3"/>
    <w:rsid w:val="006244B0"/>
    <w:rsid w:val="00624FEF"/>
    <w:rsid w:val="006262BA"/>
    <w:rsid w:val="00627774"/>
    <w:rsid w:val="00630041"/>
    <w:rsid w:val="0063134A"/>
    <w:rsid w:val="00632437"/>
    <w:rsid w:val="00632B21"/>
    <w:rsid w:val="00632E08"/>
    <w:rsid w:val="006337A6"/>
    <w:rsid w:val="0063451D"/>
    <w:rsid w:val="00634B88"/>
    <w:rsid w:val="00634E22"/>
    <w:rsid w:val="006352EF"/>
    <w:rsid w:val="006372A7"/>
    <w:rsid w:val="00640CEA"/>
    <w:rsid w:val="0064161E"/>
    <w:rsid w:val="00641979"/>
    <w:rsid w:val="00641C07"/>
    <w:rsid w:val="00641C32"/>
    <w:rsid w:val="00641CE0"/>
    <w:rsid w:val="0064221E"/>
    <w:rsid w:val="0064246C"/>
    <w:rsid w:val="006427DF"/>
    <w:rsid w:val="00642B3F"/>
    <w:rsid w:val="00642E19"/>
    <w:rsid w:val="00643456"/>
    <w:rsid w:val="00643634"/>
    <w:rsid w:val="00644703"/>
    <w:rsid w:val="00645B26"/>
    <w:rsid w:val="006467CB"/>
    <w:rsid w:val="00646FD5"/>
    <w:rsid w:val="0065010E"/>
    <w:rsid w:val="006506C3"/>
    <w:rsid w:val="006511A0"/>
    <w:rsid w:val="006523DE"/>
    <w:rsid w:val="0065242D"/>
    <w:rsid w:val="00652DF2"/>
    <w:rsid w:val="00653E4F"/>
    <w:rsid w:val="006543E0"/>
    <w:rsid w:val="00654401"/>
    <w:rsid w:val="0065474A"/>
    <w:rsid w:val="00654859"/>
    <w:rsid w:val="006551E3"/>
    <w:rsid w:val="006552DD"/>
    <w:rsid w:val="006556F6"/>
    <w:rsid w:val="00655C0C"/>
    <w:rsid w:val="00656204"/>
    <w:rsid w:val="00656C88"/>
    <w:rsid w:val="00657664"/>
    <w:rsid w:val="00657C17"/>
    <w:rsid w:val="006611E9"/>
    <w:rsid w:val="006619E4"/>
    <w:rsid w:val="00662581"/>
    <w:rsid w:val="006629EB"/>
    <w:rsid w:val="00663169"/>
    <w:rsid w:val="0066378C"/>
    <w:rsid w:val="00663E53"/>
    <w:rsid w:val="00663F6A"/>
    <w:rsid w:val="00664184"/>
    <w:rsid w:val="006644EC"/>
    <w:rsid w:val="00664782"/>
    <w:rsid w:val="00664F67"/>
    <w:rsid w:val="006662E5"/>
    <w:rsid w:val="0066642B"/>
    <w:rsid w:val="00666D2B"/>
    <w:rsid w:val="0066724A"/>
    <w:rsid w:val="0066787E"/>
    <w:rsid w:val="00667A17"/>
    <w:rsid w:val="00667EF9"/>
    <w:rsid w:val="00670313"/>
    <w:rsid w:val="00670468"/>
    <w:rsid w:val="006704F7"/>
    <w:rsid w:val="006718CC"/>
    <w:rsid w:val="00671D4F"/>
    <w:rsid w:val="00672016"/>
    <w:rsid w:val="0067222A"/>
    <w:rsid w:val="0067242B"/>
    <w:rsid w:val="006725BA"/>
    <w:rsid w:val="00674344"/>
    <w:rsid w:val="006752C3"/>
    <w:rsid w:val="0067532B"/>
    <w:rsid w:val="00675C67"/>
    <w:rsid w:val="00675E9B"/>
    <w:rsid w:val="00676069"/>
    <w:rsid w:val="00676644"/>
    <w:rsid w:val="006766B3"/>
    <w:rsid w:val="00677A70"/>
    <w:rsid w:val="006814BF"/>
    <w:rsid w:val="0068185C"/>
    <w:rsid w:val="006830DC"/>
    <w:rsid w:val="006844D3"/>
    <w:rsid w:val="006846B3"/>
    <w:rsid w:val="006847F4"/>
    <w:rsid w:val="00684F3D"/>
    <w:rsid w:val="00685ADF"/>
    <w:rsid w:val="00685FD4"/>
    <w:rsid w:val="00686398"/>
    <w:rsid w:val="00686D5D"/>
    <w:rsid w:val="006902BA"/>
    <w:rsid w:val="006909D8"/>
    <w:rsid w:val="00690A40"/>
    <w:rsid w:val="00690CEE"/>
    <w:rsid w:val="006912E2"/>
    <w:rsid w:val="006917D3"/>
    <w:rsid w:val="00692675"/>
    <w:rsid w:val="00692A16"/>
    <w:rsid w:val="0069317F"/>
    <w:rsid w:val="006935B6"/>
    <w:rsid w:val="0069716F"/>
    <w:rsid w:val="006975F6"/>
    <w:rsid w:val="00697C2F"/>
    <w:rsid w:val="006A00B4"/>
    <w:rsid w:val="006A07FB"/>
    <w:rsid w:val="006A15DA"/>
    <w:rsid w:val="006A196B"/>
    <w:rsid w:val="006A2378"/>
    <w:rsid w:val="006A279B"/>
    <w:rsid w:val="006A29B8"/>
    <w:rsid w:val="006A4D41"/>
    <w:rsid w:val="006A5021"/>
    <w:rsid w:val="006A5161"/>
    <w:rsid w:val="006A5745"/>
    <w:rsid w:val="006A5BB4"/>
    <w:rsid w:val="006A6538"/>
    <w:rsid w:val="006A68AF"/>
    <w:rsid w:val="006A6DDA"/>
    <w:rsid w:val="006A7F8C"/>
    <w:rsid w:val="006B10EC"/>
    <w:rsid w:val="006B1163"/>
    <w:rsid w:val="006B1399"/>
    <w:rsid w:val="006B171D"/>
    <w:rsid w:val="006B2956"/>
    <w:rsid w:val="006B31B5"/>
    <w:rsid w:val="006B3752"/>
    <w:rsid w:val="006B412E"/>
    <w:rsid w:val="006B47A2"/>
    <w:rsid w:val="006B4A96"/>
    <w:rsid w:val="006B50C2"/>
    <w:rsid w:val="006B522D"/>
    <w:rsid w:val="006B5D0E"/>
    <w:rsid w:val="006B644A"/>
    <w:rsid w:val="006B6A1E"/>
    <w:rsid w:val="006B74C8"/>
    <w:rsid w:val="006B7842"/>
    <w:rsid w:val="006C01C8"/>
    <w:rsid w:val="006C0700"/>
    <w:rsid w:val="006C09D0"/>
    <w:rsid w:val="006C12B8"/>
    <w:rsid w:val="006C1C47"/>
    <w:rsid w:val="006C2761"/>
    <w:rsid w:val="006C2DF7"/>
    <w:rsid w:val="006C2EA3"/>
    <w:rsid w:val="006C3C68"/>
    <w:rsid w:val="006C410B"/>
    <w:rsid w:val="006C4435"/>
    <w:rsid w:val="006C498C"/>
    <w:rsid w:val="006C551D"/>
    <w:rsid w:val="006C599B"/>
    <w:rsid w:val="006C5FF2"/>
    <w:rsid w:val="006C68DF"/>
    <w:rsid w:val="006C6DA9"/>
    <w:rsid w:val="006C6E34"/>
    <w:rsid w:val="006D02BC"/>
    <w:rsid w:val="006D072A"/>
    <w:rsid w:val="006D0E45"/>
    <w:rsid w:val="006D13DC"/>
    <w:rsid w:val="006D1443"/>
    <w:rsid w:val="006D2980"/>
    <w:rsid w:val="006D2AA2"/>
    <w:rsid w:val="006D3A25"/>
    <w:rsid w:val="006D3D2B"/>
    <w:rsid w:val="006D3F1F"/>
    <w:rsid w:val="006D6872"/>
    <w:rsid w:val="006E0979"/>
    <w:rsid w:val="006E169F"/>
    <w:rsid w:val="006E16A3"/>
    <w:rsid w:val="006E17DA"/>
    <w:rsid w:val="006E1972"/>
    <w:rsid w:val="006E2CE9"/>
    <w:rsid w:val="006E2E0D"/>
    <w:rsid w:val="006E2ED3"/>
    <w:rsid w:val="006E5056"/>
    <w:rsid w:val="006E5150"/>
    <w:rsid w:val="006E6215"/>
    <w:rsid w:val="006E6B6B"/>
    <w:rsid w:val="006E6CBD"/>
    <w:rsid w:val="006E73C2"/>
    <w:rsid w:val="006E7591"/>
    <w:rsid w:val="006E759F"/>
    <w:rsid w:val="006F0005"/>
    <w:rsid w:val="006F098F"/>
    <w:rsid w:val="006F1627"/>
    <w:rsid w:val="006F1994"/>
    <w:rsid w:val="006F1B7B"/>
    <w:rsid w:val="006F1F72"/>
    <w:rsid w:val="006F22E1"/>
    <w:rsid w:val="006F2744"/>
    <w:rsid w:val="006F2C3D"/>
    <w:rsid w:val="006F2C71"/>
    <w:rsid w:val="006F3ABC"/>
    <w:rsid w:val="006F3B03"/>
    <w:rsid w:val="006F3DD4"/>
    <w:rsid w:val="006F4BA4"/>
    <w:rsid w:val="006F4F9B"/>
    <w:rsid w:val="006F54FD"/>
    <w:rsid w:val="006F57A4"/>
    <w:rsid w:val="006F59E6"/>
    <w:rsid w:val="006F5F0B"/>
    <w:rsid w:val="006F62C6"/>
    <w:rsid w:val="006F6D63"/>
    <w:rsid w:val="006F76E6"/>
    <w:rsid w:val="00700D8E"/>
    <w:rsid w:val="0070111D"/>
    <w:rsid w:val="007023A2"/>
    <w:rsid w:val="00702654"/>
    <w:rsid w:val="00702D1B"/>
    <w:rsid w:val="0070310A"/>
    <w:rsid w:val="00706B4C"/>
    <w:rsid w:val="0070733E"/>
    <w:rsid w:val="007077DC"/>
    <w:rsid w:val="007079BD"/>
    <w:rsid w:val="00710635"/>
    <w:rsid w:val="00710B36"/>
    <w:rsid w:val="00710CCA"/>
    <w:rsid w:val="0071276C"/>
    <w:rsid w:val="00712A98"/>
    <w:rsid w:val="00712D69"/>
    <w:rsid w:val="007133C0"/>
    <w:rsid w:val="00713AC0"/>
    <w:rsid w:val="007142A8"/>
    <w:rsid w:val="00715868"/>
    <w:rsid w:val="00716742"/>
    <w:rsid w:val="00716D8C"/>
    <w:rsid w:val="007200D4"/>
    <w:rsid w:val="00720E20"/>
    <w:rsid w:val="00721445"/>
    <w:rsid w:val="00721726"/>
    <w:rsid w:val="00721CAE"/>
    <w:rsid w:val="00722122"/>
    <w:rsid w:val="00722BE5"/>
    <w:rsid w:val="007238F8"/>
    <w:rsid w:val="0072402E"/>
    <w:rsid w:val="00724BA1"/>
    <w:rsid w:val="00724D08"/>
    <w:rsid w:val="00724F4A"/>
    <w:rsid w:val="00725658"/>
    <w:rsid w:val="00726099"/>
    <w:rsid w:val="007267D3"/>
    <w:rsid w:val="00727DBA"/>
    <w:rsid w:val="00730661"/>
    <w:rsid w:val="00730FFB"/>
    <w:rsid w:val="007321AE"/>
    <w:rsid w:val="007322C8"/>
    <w:rsid w:val="00733979"/>
    <w:rsid w:val="00734B53"/>
    <w:rsid w:val="00735F9C"/>
    <w:rsid w:val="0073635D"/>
    <w:rsid w:val="007367D5"/>
    <w:rsid w:val="00737CB4"/>
    <w:rsid w:val="007408BF"/>
    <w:rsid w:val="00740E1E"/>
    <w:rsid w:val="00742560"/>
    <w:rsid w:val="00742B89"/>
    <w:rsid w:val="00743684"/>
    <w:rsid w:val="00743893"/>
    <w:rsid w:val="0074548E"/>
    <w:rsid w:val="007459C2"/>
    <w:rsid w:val="0074662F"/>
    <w:rsid w:val="00746679"/>
    <w:rsid w:val="00746997"/>
    <w:rsid w:val="00746A44"/>
    <w:rsid w:val="00746BAB"/>
    <w:rsid w:val="007471E9"/>
    <w:rsid w:val="007478AC"/>
    <w:rsid w:val="007505EB"/>
    <w:rsid w:val="00750906"/>
    <w:rsid w:val="00752858"/>
    <w:rsid w:val="00752A33"/>
    <w:rsid w:val="00753DEE"/>
    <w:rsid w:val="00753DF0"/>
    <w:rsid w:val="00753E25"/>
    <w:rsid w:val="007546E9"/>
    <w:rsid w:val="00754816"/>
    <w:rsid w:val="00754943"/>
    <w:rsid w:val="00755BF3"/>
    <w:rsid w:val="00756260"/>
    <w:rsid w:val="00756CDA"/>
    <w:rsid w:val="0076070C"/>
    <w:rsid w:val="00761349"/>
    <w:rsid w:val="007614FC"/>
    <w:rsid w:val="007617C1"/>
    <w:rsid w:val="00762A1A"/>
    <w:rsid w:val="00762CC6"/>
    <w:rsid w:val="00763E04"/>
    <w:rsid w:val="007648FC"/>
    <w:rsid w:val="007648FD"/>
    <w:rsid w:val="007653DA"/>
    <w:rsid w:val="00765BA7"/>
    <w:rsid w:val="00765FE1"/>
    <w:rsid w:val="00766973"/>
    <w:rsid w:val="00766C3F"/>
    <w:rsid w:val="00767291"/>
    <w:rsid w:val="00767F58"/>
    <w:rsid w:val="00770234"/>
    <w:rsid w:val="0077077F"/>
    <w:rsid w:val="0077235E"/>
    <w:rsid w:val="00772965"/>
    <w:rsid w:val="00772E20"/>
    <w:rsid w:val="007737E5"/>
    <w:rsid w:val="007743BD"/>
    <w:rsid w:val="00774814"/>
    <w:rsid w:val="00774E18"/>
    <w:rsid w:val="00775019"/>
    <w:rsid w:val="0077504F"/>
    <w:rsid w:val="007750E0"/>
    <w:rsid w:val="0077511E"/>
    <w:rsid w:val="00775A7C"/>
    <w:rsid w:val="0077661E"/>
    <w:rsid w:val="007766B9"/>
    <w:rsid w:val="00776C36"/>
    <w:rsid w:val="00777754"/>
    <w:rsid w:val="00777DA1"/>
    <w:rsid w:val="00780541"/>
    <w:rsid w:val="007806DD"/>
    <w:rsid w:val="007806E7"/>
    <w:rsid w:val="00780B25"/>
    <w:rsid w:val="007817D8"/>
    <w:rsid w:val="007825E0"/>
    <w:rsid w:val="007830C2"/>
    <w:rsid w:val="00783963"/>
    <w:rsid w:val="00783AF8"/>
    <w:rsid w:val="00783B77"/>
    <w:rsid w:val="00783C59"/>
    <w:rsid w:val="00785046"/>
    <w:rsid w:val="0078529F"/>
    <w:rsid w:val="00785B23"/>
    <w:rsid w:val="00786D9A"/>
    <w:rsid w:val="00786DF7"/>
    <w:rsid w:val="00787611"/>
    <w:rsid w:val="007906C7"/>
    <w:rsid w:val="00791D92"/>
    <w:rsid w:val="00791E28"/>
    <w:rsid w:val="00791F3F"/>
    <w:rsid w:val="00792102"/>
    <w:rsid w:val="00792354"/>
    <w:rsid w:val="00793F67"/>
    <w:rsid w:val="00794409"/>
    <w:rsid w:val="00794992"/>
    <w:rsid w:val="00795761"/>
    <w:rsid w:val="00795C60"/>
    <w:rsid w:val="00797811"/>
    <w:rsid w:val="007978ED"/>
    <w:rsid w:val="00797DF0"/>
    <w:rsid w:val="00797F47"/>
    <w:rsid w:val="007A0BA0"/>
    <w:rsid w:val="007A0EBE"/>
    <w:rsid w:val="007A1659"/>
    <w:rsid w:val="007A267B"/>
    <w:rsid w:val="007A379C"/>
    <w:rsid w:val="007A4C55"/>
    <w:rsid w:val="007A4F32"/>
    <w:rsid w:val="007A5205"/>
    <w:rsid w:val="007A58FE"/>
    <w:rsid w:val="007A59BF"/>
    <w:rsid w:val="007A6327"/>
    <w:rsid w:val="007A6BF4"/>
    <w:rsid w:val="007A6C48"/>
    <w:rsid w:val="007A76C5"/>
    <w:rsid w:val="007A7BC3"/>
    <w:rsid w:val="007A7E17"/>
    <w:rsid w:val="007B05E1"/>
    <w:rsid w:val="007B0E39"/>
    <w:rsid w:val="007B0F29"/>
    <w:rsid w:val="007B2FBC"/>
    <w:rsid w:val="007B323D"/>
    <w:rsid w:val="007B3A33"/>
    <w:rsid w:val="007B3F1F"/>
    <w:rsid w:val="007B480B"/>
    <w:rsid w:val="007B54CB"/>
    <w:rsid w:val="007B6BA2"/>
    <w:rsid w:val="007B6F40"/>
    <w:rsid w:val="007B73D0"/>
    <w:rsid w:val="007B758D"/>
    <w:rsid w:val="007B77D8"/>
    <w:rsid w:val="007C1AB0"/>
    <w:rsid w:val="007C211C"/>
    <w:rsid w:val="007C3E08"/>
    <w:rsid w:val="007C5259"/>
    <w:rsid w:val="007C5861"/>
    <w:rsid w:val="007C62E9"/>
    <w:rsid w:val="007C6EB8"/>
    <w:rsid w:val="007C7CCC"/>
    <w:rsid w:val="007D12A7"/>
    <w:rsid w:val="007D1E0D"/>
    <w:rsid w:val="007D286D"/>
    <w:rsid w:val="007D2D5E"/>
    <w:rsid w:val="007D42D6"/>
    <w:rsid w:val="007D44D5"/>
    <w:rsid w:val="007D4926"/>
    <w:rsid w:val="007D4ABC"/>
    <w:rsid w:val="007D546C"/>
    <w:rsid w:val="007D6265"/>
    <w:rsid w:val="007D7A56"/>
    <w:rsid w:val="007E014A"/>
    <w:rsid w:val="007E0508"/>
    <w:rsid w:val="007E0C93"/>
    <w:rsid w:val="007E0D05"/>
    <w:rsid w:val="007E0F7B"/>
    <w:rsid w:val="007E1582"/>
    <w:rsid w:val="007E1F27"/>
    <w:rsid w:val="007E20F0"/>
    <w:rsid w:val="007E2346"/>
    <w:rsid w:val="007E26CE"/>
    <w:rsid w:val="007E26E0"/>
    <w:rsid w:val="007E3F29"/>
    <w:rsid w:val="007E5686"/>
    <w:rsid w:val="007E6372"/>
    <w:rsid w:val="007E68D1"/>
    <w:rsid w:val="007E6FD4"/>
    <w:rsid w:val="007E71EF"/>
    <w:rsid w:val="007E771B"/>
    <w:rsid w:val="007E7956"/>
    <w:rsid w:val="007F0ECF"/>
    <w:rsid w:val="007F161F"/>
    <w:rsid w:val="007F189E"/>
    <w:rsid w:val="007F1D72"/>
    <w:rsid w:val="007F1DCD"/>
    <w:rsid w:val="007F1FB4"/>
    <w:rsid w:val="007F20A6"/>
    <w:rsid w:val="007F26F0"/>
    <w:rsid w:val="007F29B7"/>
    <w:rsid w:val="007F35F2"/>
    <w:rsid w:val="007F3752"/>
    <w:rsid w:val="007F3DAC"/>
    <w:rsid w:val="007F473E"/>
    <w:rsid w:val="007F4E2A"/>
    <w:rsid w:val="007F5E3E"/>
    <w:rsid w:val="007F60C4"/>
    <w:rsid w:val="007F6676"/>
    <w:rsid w:val="007F69BF"/>
    <w:rsid w:val="007F78A8"/>
    <w:rsid w:val="007F7D53"/>
    <w:rsid w:val="008002D1"/>
    <w:rsid w:val="00800C26"/>
    <w:rsid w:val="00800C2D"/>
    <w:rsid w:val="008013BE"/>
    <w:rsid w:val="00802935"/>
    <w:rsid w:val="00803346"/>
    <w:rsid w:val="0080359F"/>
    <w:rsid w:val="00804446"/>
    <w:rsid w:val="008046D3"/>
    <w:rsid w:val="00804C6F"/>
    <w:rsid w:val="0080585A"/>
    <w:rsid w:val="00807B81"/>
    <w:rsid w:val="008112B8"/>
    <w:rsid w:val="0081133B"/>
    <w:rsid w:val="0081134F"/>
    <w:rsid w:val="00813FD0"/>
    <w:rsid w:val="008141D3"/>
    <w:rsid w:val="00814A44"/>
    <w:rsid w:val="00815001"/>
    <w:rsid w:val="00815476"/>
    <w:rsid w:val="00816B17"/>
    <w:rsid w:val="008207C8"/>
    <w:rsid w:val="00820930"/>
    <w:rsid w:val="00820B77"/>
    <w:rsid w:val="00821317"/>
    <w:rsid w:val="008214D8"/>
    <w:rsid w:val="00821792"/>
    <w:rsid w:val="00821A73"/>
    <w:rsid w:val="008224A0"/>
    <w:rsid w:val="00822652"/>
    <w:rsid w:val="00822D69"/>
    <w:rsid w:val="00822EA6"/>
    <w:rsid w:val="008236C9"/>
    <w:rsid w:val="008254FC"/>
    <w:rsid w:val="00825A77"/>
    <w:rsid w:val="00825A94"/>
    <w:rsid w:val="00826542"/>
    <w:rsid w:val="008267E4"/>
    <w:rsid w:val="00826E0E"/>
    <w:rsid w:val="008302BC"/>
    <w:rsid w:val="00830C6E"/>
    <w:rsid w:val="008313F4"/>
    <w:rsid w:val="008318B2"/>
    <w:rsid w:val="008318DF"/>
    <w:rsid w:val="00832064"/>
    <w:rsid w:val="0083228C"/>
    <w:rsid w:val="008326AF"/>
    <w:rsid w:val="00833069"/>
    <w:rsid w:val="00833C93"/>
    <w:rsid w:val="00834A86"/>
    <w:rsid w:val="00834B6F"/>
    <w:rsid w:val="00834F0F"/>
    <w:rsid w:val="00835BAF"/>
    <w:rsid w:val="0083757C"/>
    <w:rsid w:val="00837A90"/>
    <w:rsid w:val="00837B06"/>
    <w:rsid w:val="00837BE2"/>
    <w:rsid w:val="0084001D"/>
    <w:rsid w:val="00840151"/>
    <w:rsid w:val="0084097F"/>
    <w:rsid w:val="00841B03"/>
    <w:rsid w:val="00841C31"/>
    <w:rsid w:val="00842780"/>
    <w:rsid w:val="00842938"/>
    <w:rsid w:val="00842CC0"/>
    <w:rsid w:val="00843485"/>
    <w:rsid w:val="00844468"/>
    <w:rsid w:val="0084508D"/>
    <w:rsid w:val="008462AE"/>
    <w:rsid w:val="008462C1"/>
    <w:rsid w:val="008462FB"/>
    <w:rsid w:val="0084632A"/>
    <w:rsid w:val="0084663E"/>
    <w:rsid w:val="0084756A"/>
    <w:rsid w:val="00847E66"/>
    <w:rsid w:val="00850254"/>
    <w:rsid w:val="00850587"/>
    <w:rsid w:val="008507D5"/>
    <w:rsid w:val="00851722"/>
    <w:rsid w:val="00852232"/>
    <w:rsid w:val="0085290F"/>
    <w:rsid w:val="00852E45"/>
    <w:rsid w:val="00853219"/>
    <w:rsid w:val="00854007"/>
    <w:rsid w:val="008542EA"/>
    <w:rsid w:val="00854589"/>
    <w:rsid w:val="008545BC"/>
    <w:rsid w:val="00854742"/>
    <w:rsid w:val="0085502C"/>
    <w:rsid w:val="00855052"/>
    <w:rsid w:val="0085516F"/>
    <w:rsid w:val="008558A5"/>
    <w:rsid w:val="00857621"/>
    <w:rsid w:val="008576F2"/>
    <w:rsid w:val="008577C7"/>
    <w:rsid w:val="00857AD8"/>
    <w:rsid w:val="00857EF9"/>
    <w:rsid w:val="00857F82"/>
    <w:rsid w:val="008608D4"/>
    <w:rsid w:val="00860AB4"/>
    <w:rsid w:val="008610B5"/>
    <w:rsid w:val="00861130"/>
    <w:rsid w:val="008616BA"/>
    <w:rsid w:val="00861F8C"/>
    <w:rsid w:val="008621DF"/>
    <w:rsid w:val="00862A6B"/>
    <w:rsid w:val="00862EF4"/>
    <w:rsid w:val="0086308D"/>
    <w:rsid w:val="00864AC2"/>
    <w:rsid w:val="00865B5E"/>
    <w:rsid w:val="00867293"/>
    <w:rsid w:val="008678D6"/>
    <w:rsid w:val="00867F43"/>
    <w:rsid w:val="008702A6"/>
    <w:rsid w:val="00870930"/>
    <w:rsid w:val="00871272"/>
    <w:rsid w:val="00871D3F"/>
    <w:rsid w:val="00871DC1"/>
    <w:rsid w:val="00871F07"/>
    <w:rsid w:val="008721F2"/>
    <w:rsid w:val="0087268B"/>
    <w:rsid w:val="008728C1"/>
    <w:rsid w:val="00872E23"/>
    <w:rsid w:val="00872EAF"/>
    <w:rsid w:val="00873364"/>
    <w:rsid w:val="00873C15"/>
    <w:rsid w:val="00873E3C"/>
    <w:rsid w:val="00873E6A"/>
    <w:rsid w:val="008740A7"/>
    <w:rsid w:val="008745B7"/>
    <w:rsid w:val="008747A8"/>
    <w:rsid w:val="008752A0"/>
    <w:rsid w:val="0087536E"/>
    <w:rsid w:val="00875379"/>
    <w:rsid w:val="0087664C"/>
    <w:rsid w:val="00876BF7"/>
    <w:rsid w:val="00876EDF"/>
    <w:rsid w:val="0087703E"/>
    <w:rsid w:val="00877FCE"/>
    <w:rsid w:val="008801D6"/>
    <w:rsid w:val="008812FC"/>
    <w:rsid w:val="008813C5"/>
    <w:rsid w:val="00881BC3"/>
    <w:rsid w:val="008830B7"/>
    <w:rsid w:val="008834E9"/>
    <w:rsid w:val="008837A3"/>
    <w:rsid w:val="00883852"/>
    <w:rsid w:val="00883EFF"/>
    <w:rsid w:val="00884396"/>
    <w:rsid w:val="008853E3"/>
    <w:rsid w:val="0088615F"/>
    <w:rsid w:val="00886473"/>
    <w:rsid w:val="0088698F"/>
    <w:rsid w:val="00886D46"/>
    <w:rsid w:val="00886DFA"/>
    <w:rsid w:val="00886EE5"/>
    <w:rsid w:val="008876FB"/>
    <w:rsid w:val="00887F3D"/>
    <w:rsid w:val="008902E7"/>
    <w:rsid w:val="00890362"/>
    <w:rsid w:val="00890BB6"/>
    <w:rsid w:val="00891826"/>
    <w:rsid w:val="00891F52"/>
    <w:rsid w:val="00892321"/>
    <w:rsid w:val="00894BFE"/>
    <w:rsid w:val="00894D1F"/>
    <w:rsid w:val="00895D69"/>
    <w:rsid w:val="00895E86"/>
    <w:rsid w:val="008966F4"/>
    <w:rsid w:val="008972DD"/>
    <w:rsid w:val="00897729"/>
    <w:rsid w:val="008A020F"/>
    <w:rsid w:val="008A029A"/>
    <w:rsid w:val="008A1B7B"/>
    <w:rsid w:val="008A2225"/>
    <w:rsid w:val="008A356F"/>
    <w:rsid w:val="008A362C"/>
    <w:rsid w:val="008A391E"/>
    <w:rsid w:val="008A3D71"/>
    <w:rsid w:val="008A45B3"/>
    <w:rsid w:val="008A45C4"/>
    <w:rsid w:val="008A50E0"/>
    <w:rsid w:val="008A5908"/>
    <w:rsid w:val="008A61B6"/>
    <w:rsid w:val="008A62D1"/>
    <w:rsid w:val="008A6F6A"/>
    <w:rsid w:val="008B0EA2"/>
    <w:rsid w:val="008B0FBA"/>
    <w:rsid w:val="008B174E"/>
    <w:rsid w:val="008B2411"/>
    <w:rsid w:val="008B31D4"/>
    <w:rsid w:val="008B44D3"/>
    <w:rsid w:val="008B4EC7"/>
    <w:rsid w:val="008B692C"/>
    <w:rsid w:val="008B6B77"/>
    <w:rsid w:val="008B6B8F"/>
    <w:rsid w:val="008B7225"/>
    <w:rsid w:val="008B7628"/>
    <w:rsid w:val="008B76FF"/>
    <w:rsid w:val="008B781B"/>
    <w:rsid w:val="008C0C37"/>
    <w:rsid w:val="008C0DC1"/>
    <w:rsid w:val="008C10D6"/>
    <w:rsid w:val="008C11E8"/>
    <w:rsid w:val="008C151E"/>
    <w:rsid w:val="008C1914"/>
    <w:rsid w:val="008C2E31"/>
    <w:rsid w:val="008C331B"/>
    <w:rsid w:val="008C3EAA"/>
    <w:rsid w:val="008C5E74"/>
    <w:rsid w:val="008C6172"/>
    <w:rsid w:val="008C6183"/>
    <w:rsid w:val="008C6552"/>
    <w:rsid w:val="008C787C"/>
    <w:rsid w:val="008C7F7F"/>
    <w:rsid w:val="008D0156"/>
    <w:rsid w:val="008D0C56"/>
    <w:rsid w:val="008D0D42"/>
    <w:rsid w:val="008D298B"/>
    <w:rsid w:val="008D391E"/>
    <w:rsid w:val="008D4D60"/>
    <w:rsid w:val="008D5145"/>
    <w:rsid w:val="008D52EF"/>
    <w:rsid w:val="008D63A8"/>
    <w:rsid w:val="008D641F"/>
    <w:rsid w:val="008D6466"/>
    <w:rsid w:val="008D671A"/>
    <w:rsid w:val="008D6859"/>
    <w:rsid w:val="008D6C21"/>
    <w:rsid w:val="008D7B7D"/>
    <w:rsid w:val="008E1057"/>
    <w:rsid w:val="008E13C1"/>
    <w:rsid w:val="008E149A"/>
    <w:rsid w:val="008E1BAB"/>
    <w:rsid w:val="008E1BBE"/>
    <w:rsid w:val="008E1D7A"/>
    <w:rsid w:val="008E32B7"/>
    <w:rsid w:val="008E35E3"/>
    <w:rsid w:val="008E5ACF"/>
    <w:rsid w:val="008E5C4D"/>
    <w:rsid w:val="008E5D6A"/>
    <w:rsid w:val="008E5DFA"/>
    <w:rsid w:val="008F0A3D"/>
    <w:rsid w:val="008F2669"/>
    <w:rsid w:val="008F2F54"/>
    <w:rsid w:val="008F3216"/>
    <w:rsid w:val="008F32D2"/>
    <w:rsid w:val="008F404E"/>
    <w:rsid w:val="008F4065"/>
    <w:rsid w:val="008F424F"/>
    <w:rsid w:val="008F4838"/>
    <w:rsid w:val="008F4F49"/>
    <w:rsid w:val="008F60D8"/>
    <w:rsid w:val="008F6DDF"/>
    <w:rsid w:val="008F6F6D"/>
    <w:rsid w:val="008F7AF6"/>
    <w:rsid w:val="00900F3C"/>
    <w:rsid w:val="00903A62"/>
    <w:rsid w:val="00903F4E"/>
    <w:rsid w:val="00906D17"/>
    <w:rsid w:val="00906E6C"/>
    <w:rsid w:val="009079E6"/>
    <w:rsid w:val="009119A2"/>
    <w:rsid w:val="009122DC"/>
    <w:rsid w:val="00912D97"/>
    <w:rsid w:val="00912E8E"/>
    <w:rsid w:val="009130D6"/>
    <w:rsid w:val="00913893"/>
    <w:rsid w:val="00913C34"/>
    <w:rsid w:val="00913E1B"/>
    <w:rsid w:val="00914096"/>
    <w:rsid w:val="00914B23"/>
    <w:rsid w:val="009158E6"/>
    <w:rsid w:val="00916201"/>
    <w:rsid w:val="0091620D"/>
    <w:rsid w:val="00916641"/>
    <w:rsid w:val="00917D3E"/>
    <w:rsid w:val="009204BC"/>
    <w:rsid w:val="009211F0"/>
    <w:rsid w:val="00921A72"/>
    <w:rsid w:val="00922D7B"/>
    <w:rsid w:val="00922E28"/>
    <w:rsid w:val="00923604"/>
    <w:rsid w:val="00924B46"/>
    <w:rsid w:val="00925985"/>
    <w:rsid w:val="00927200"/>
    <w:rsid w:val="0092738C"/>
    <w:rsid w:val="00930294"/>
    <w:rsid w:val="009309BD"/>
    <w:rsid w:val="00930A57"/>
    <w:rsid w:val="009311C8"/>
    <w:rsid w:val="00931462"/>
    <w:rsid w:val="00931534"/>
    <w:rsid w:val="00931C35"/>
    <w:rsid w:val="009323CC"/>
    <w:rsid w:val="009346B4"/>
    <w:rsid w:val="009351B7"/>
    <w:rsid w:val="00936660"/>
    <w:rsid w:val="00936996"/>
    <w:rsid w:val="009370A5"/>
    <w:rsid w:val="00937748"/>
    <w:rsid w:val="0093774F"/>
    <w:rsid w:val="00937E83"/>
    <w:rsid w:val="00940021"/>
    <w:rsid w:val="00940589"/>
    <w:rsid w:val="00940CD2"/>
    <w:rsid w:val="00940ECF"/>
    <w:rsid w:val="00940F8C"/>
    <w:rsid w:val="009412ED"/>
    <w:rsid w:val="009420E9"/>
    <w:rsid w:val="009425E7"/>
    <w:rsid w:val="009432EC"/>
    <w:rsid w:val="00943394"/>
    <w:rsid w:val="00943A0D"/>
    <w:rsid w:val="00943FBF"/>
    <w:rsid w:val="0094447C"/>
    <w:rsid w:val="009449B1"/>
    <w:rsid w:val="009449CD"/>
    <w:rsid w:val="00944DE6"/>
    <w:rsid w:val="00944EF1"/>
    <w:rsid w:val="00945A54"/>
    <w:rsid w:val="00945F18"/>
    <w:rsid w:val="009472B4"/>
    <w:rsid w:val="00947474"/>
    <w:rsid w:val="00947BC7"/>
    <w:rsid w:val="00947E8B"/>
    <w:rsid w:val="00951806"/>
    <w:rsid w:val="00953775"/>
    <w:rsid w:val="00953AFD"/>
    <w:rsid w:val="00955849"/>
    <w:rsid w:val="009561AE"/>
    <w:rsid w:val="0095663B"/>
    <w:rsid w:val="009566C1"/>
    <w:rsid w:val="00956ACD"/>
    <w:rsid w:val="00956BCB"/>
    <w:rsid w:val="00956E5D"/>
    <w:rsid w:val="00957614"/>
    <w:rsid w:val="00957E72"/>
    <w:rsid w:val="00964170"/>
    <w:rsid w:val="00964BF8"/>
    <w:rsid w:val="009651E6"/>
    <w:rsid w:val="009659A1"/>
    <w:rsid w:val="00965F8D"/>
    <w:rsid w:val="009660C0"/>
    <w:rsid w:val="009660F3"/>
    <w:rsid w:val="00966525"/>
    <w:rsid w:val="009666B3"/>
    <w:rsid w:val="00966F26"/>
    <w:rsid w:val="0096763B"/>
    <w:rsid w:val="0096772D"/>
    <w:rsid w:val="009678E6"/>
    <w:rsid w:val="00970257"/>
    <w:rsid w:val="00970FBD"/>
    <w:rsid w:val="00971521"/>
    <w:rsid w:val="00971D02"/>
    <w:rsid w:val="00972C61"/>
    <w:rsid w:val="00972CF0"/>
    <w:rsid w:val="00973026"/>
    <w:rsid w:val="009735A9"/>
    <w:rsid w:val="009738B7"/>
    <w:rsid w:val="009739DF"/>
    <w:rsid w:val="00974321"/>
    <w:rsid w:val="00974574"/>
    <w:rsid w:val="0097459E"/>
    <w:rsid w:val="00975551"/>
    <w:rsid w:val="00975872"/>
    <w:rsid w:val="00975E46"/>
    <w:rsid w:val="0097631A"/>
    <w:rsid w:val="00976A10"/>
    <w:rsid w:val="009802FA"/>
    <w:rsid w:val="00980D00"/>
    <w:rsid w:val="00980F17"/>
    <w:rsid w:val="00981C63"/>
    <w:rsid w:val="00981F75"/>
    <w:rsid w:val="009825CD"/>
    <w:rsid w:val="00982943"/>
    <w:rsid w:val="00982F15"/>
    <w:rsid w:val="0098373A"/>
    <w:rsid w:val="00983D49"/>
    <w:rsid w:val="00983D54"/>
    <w:rsid w:val="00983F25"/>
    <w:rsid w:val="009843B2"/>
    <w:rsid w:val="00985482"/>
    <w:rsid w:val="00985B07"/>
    <w:rsid w:val="0098723F"/>
    <w:rsid w:val="009879E1"/>
    <w:rsid w:val="009907D1"/>
    <w:rsid w:val="009907F2"/>
    <w:rsid w:val="00991A0E"/>
    <w:rsid w:val="00991A83"/>
    <w:rsid w:val="00992089"/>
    <w:rsid w:val="0099209B"/>
    <w:rsid w:val="00992A3A"/>
    <w:rsid w:val="0099345D"/>
    <w:rsid w:val="009937F5"/>
    <w:rsid w:val="00993AF1"/>
    <w:rsid w:val="00993F4C"/>
    <w:rsid w:val="00995667"/>
    <w:rsid w:val="009958EC"/>
    <w:rsid w:val="00996546"/>
    <w:rsid w:val="00996C65"/>
    <w:rsid w:val="0099726F"/>
    <w:rsid w:val="0099732D"/>
    <w:rsid w:val="009A0040"/>
    <w:rsid w:val="009A01B6"/>
    <w:rsid w:val="009A1942"/>
    <w:rsid w:val="009A1E71"/>
    <w:rsid w:val="009A2076"/>
    <w:rsid w:val="009A2F8C"/>
    <w:rsid w:val="009A41C8"/>
    <w:rsid w:val="009A4629"/>
    <w:rsid w:val="009A4B68"/>
    <w:rsid w:val="009A5289"/>
    <w:rsid w:val="009A5858"/>
    <w:rsid w:val="009A598B"/>
    <w:rsid w:val="009A5F61"/>
    <w:rsid w:val="009A61AF"/>
    <w:rsid w:val="009A6311"/>
    <w:rsid w:val="009A686E"/>
    <w:rsid w:val="009A6ACB"/>
    <w:rsid w:val="009A7B64"/>
    <w:rsid w:val="009A7FB9"/>
    <w:rsid w:val="009B01C2"/>
    <w:rsid w:val="009B04F2"/>
    <w:rsid w:val="009B0B5E"/>
    <w:rsid w:val="009B1AB7"/>
    <w:rsid w:val="009B2598"/>
    <w:rsid w:val="009B2AEA"/>
    <w:rsid w:val="009B33C2"/>
    <w:rsid w:val="009B358D"/>
    <w:rsid w:val="009B414A"/>
    <w:rsid w:val="009B4B44"/>
    <w:rsid w:val="009B5950"/>
    <w:rsid w:val="009B5B98"/>
    <w:rsid w:val="009B5BB3"/>
    <w:rsid w:val="009B75B3"/>
    <w:rsid w:val="009B7FC8"/>
    <w:rsid w:val="009C027D"/>
    <w:rsid w:val="009C039D"/>
    <w:rsid w:val="009C09D6"/>
    <w:rsid w:val="009C0BCB"/>
    <w:rsid w:val="009C1243"/>
    <w:rsid w:val="009C1C0F"/>
    <w:rsid w:val="009C2063"/>
    <w:rsid w:val="009C257D"/>
    <w:rsid w:val="009C2D1F"/>
    <w:rsid w:val="009C2EB0"/>
    <w:rsid w:val="009C30CC"/>
    <w:rsid w:val="009C3B08"/>
    <w:rsid w:val="009C3FC2"/>
    <w:rsid w:val="009C4329"/>
    <w:rsid w:val="009C52E2"/>
    <w:rsid w:val="009C52FC"/>
    <w:rsid w:val="009C5EDA"/>
    <w:rsid w:val="009C62A6"/>
    <w:rsid w:val="009C687D"/>
    <w:rsid w:val="009D02BD"/>
    <w:rsid w:val="009D04A0"/>
    <w:rsid w:val="009D0B28"/>
    <w:rsid w:val="009D189E"/>
    <w:rsid w:val="009D18C0"/>
    <w:rsid w:val="009D1D96"/>
    <w:rsid w:val="009D2185"/>
    <w:rsid w:val="009D2568"/>
    <w:rsid w:val="009D2DC7"/>
    <w:rsid w:val="009D35BC"/>
    <w:rsid w:val="009D35DB"/>
    <w:rsid w:val="009D381E"/>
    <w:rsid w:val="009D3AFD"/>
    <w:rsid w:val="009D3D68"/>
    <w:rsid w:val="009D4474"/>
    <w:rsid w:val="009D4479"/>
    <w:rsid w:val="009D471A"/>
    <w:rsid w:val="009D504E"/>
    <w:rsid w:val="009D63D6"/>
    <w:rsid w:val="009D66C8"/>
    <w:rsid w:val="009E00A8"/>
    <w:rsid w:val="009E00E6"/>
    <w:rsid w:val="009E0671"/>
    <w:rsid w:val="009E113F"/>
    <w:rsid w:val="009E1A9C"/>
    <w:rsid w:val="009E1E7E"/>
    <w:rsid w:val="009E3BA2"/>
    <w:rsid w:val="009E3F65"/>
    <w:rsid w:val="009E462D"/>
    <w:rsid w:val="009E5BE3"/>
    <w:rsid w:val="009E61CD"/>
    <w:rsid w:val="009E763C"/>
    <w:rsid w:val="009E76BA"/>
    <w:rsid w:val="009E7DA5"/>
    <w:rsid w:val="009F02FD"/>
    <w:rsid w:val="009F03A2"/>
    <w:rsid w:val="009F0CB0"/>
    <w:rsid w:val="009F130B"/>
    <w:rsid w:val="009F219C"/>
    <w:rsid w:val="009F39A2"/>
    <w:rsid w:val="009F5A95"/>
    <w:rsid w:val="009F5C63"/>
    <w:rsid w:val="009F5D2E"/>
    <w:rsid w:val="009F5DAC"/>
    <w:rsid w:val="009F5FDD"/>
    <w:rsid w:val="009F61D3"/>
    <w:rsid w:val="009F683F"/>
    <w:rsid w:val="009F7C5C"/>
    <w:rsid w:val="00A0008B"/>
    <w:rsid w:val="00A00FE2"/>
    <w:rsid w:val="00A0206D"/>
    <w:rsid w:val="00A02724"/>
    <w:rsid w:val="00A02965"/>
    <w:rsid w:val="00A03EBD"/>
    <w:rsid w:val="00A0585E"/>
    <w:rsid w:val="00A0692E"/>
    <w:rsid w:val="00A06990"/>
    <w:rsid w:val="00A06DE2"/>
    <w:rsid w:val="00A106B7"/>
    <w:rsid w:val="00A112FD"/>
    <w:rsid w:val="00A119A2"/>
    <w:rsid w:val="00A11A70"/>
    <w:rsid w:val="00A11D58"/>
    <w:rsid w:val="00A1221F"/>
    <w:rsid w:val="00A129B3"/>
    <w:rsid w:val="00A12D21"/>
    <w:rsid w:val="00A13036"/>
    <w:rsid w:val="00A13B9A"/>
    <w:rsid w:val="00A13EB1"/>
    <w:rsid w:val="00A143AF"/>
    <w:rsid w:val="00A14925"/>
    <w:rsid w:val="00A14A36"/>
    <w:rsid w:val="00A14C67"/>
    <w:rsid w:val="00A14D4A"/>
    <w:rsid w:val="00A14DCB"/>
    <w:rsid w:val="00A15DD8"/>
    <w:rsid w:val="00A1647E"/>
    <w:rsid w:val="00A17A45"/>
    <w:rsid w:val="00A2017A"/>
    <w:rsid w:val="00A2100C"/>
    <w:rsid w:val="00A21110"/>
    <w:rsid w:val="00A21F96"/>
    <w:rsid w:val="00A22017"/>
    <w:rsid w:val="00A230E1"/>
    <w:rsid w:val="00A24758"/>
    <w:rsid w:val="00A24C7B"/>
    <w:rsid w:val="00A2509A"/>
    <w:rsid w:val="00A251DB"/>
    <w:rsid w:val="00A253A3"/>
    <w:rsid w:val="00A269E8"/>
    <w:rsid w:val="00A27229"/>
    <w:rsid w:val="00A31432"/>
    <w:rsid w:val="00A328E0"/>
    <w:rsid w:val="00A32907"/>
    <w:rsid w:val="00A3311A"/>
    <w:rsid w:val="00A3362B"/>
    <w:rsid w:val="00A35516"/>
    <w:rsid w:val="00A358C1"/>
    <w:rsid w:val="00A36170"/>
    <w:rsid w:val="00A36764"/>
    <w:rsid w:val="00A3792F"/>
    <w:rsid w:val="00A37C24"/>
    <w:rsid w:val="00A40118"/>
    <w:rsid w:val="00A411B8"/>
    <w:rsid w:val="00A411C1"/>
    <w:rsid w:val="00A41577"/>
    <w:rsid w:val="00A416D6"/>
    <w:rsid w:val="00A42066"/>
    <w:rsid w:val="00A429D1"/>
    <w:rsid w:val="00A43077"/>
    <w:rsid w:val="00A4346F"/>
    <w:rsid w:val="00A4367B"/>
    <w:rsid w:val="00A446F5"/>
    <w:rsid w:val="00A44B39"/>
    <w:rsid w:val="00A44F6D"/>
    <w:rsid w:val="00A451FB"/>
    <w:rsid w:val="00A462D7"/>
    <w:rsid w:val="00A465C2"/>
    <w:rsid w:val="00A47484"/>
    <w:rsid w:val="00A47866"/>
    <w:rsid w:val="00A47F52"/>
    <w:rsid w:val="00A50370"/>
    <w:rsid w:val="00A507DF"/>
    <w:rsid w:val="00A50B84"/>
    <w:rsid w:val="00A50E9D"/>
    <w:rsid w:val="00A51D43"/>
    <w:rsid w:val="00A5210B"/>
    <w:rsid w:val="00A52ED7"/>
    <w:rsid w:val="00A536C6"/>
    <w:rsid w:val="00A539D8"/>
    <w:rsid w:val="00A541C6"/>
    <w:rsid w:val="00A5453E"/>
    <w:rsid w:val="00A56686"/>
    <w:rsid w:val="00A5673D"/>
    <w:rsid w:val="00A56800"/>
    <w:rsid w:val="00A6010B"/>
    <w:rsid w:val="00A6058B"/>
    <w:rsid w:val="00A60B40"/>
    <w:rsid w:val="00A61719"/>
    <w:rsid w:val="00A6257C"/>
    <w:rsid w:val="00A6410C"/>
    <w:rsid w:val="00A6469A"/>
    <w:rsid w:val="00A64CC4"/>
    <w:rsid w:val="00A65956"/>
    <w:rsid w:val="00A65AEF"/>
    <w:rsid w:val="00A662D7"/>
    <w:rsid w:val="00A6639A"/>
    <w:rsid w:val="00A66D25"/>
    <w:rsid w:val="00A66D37"/>
    <w:rsid w:val="00A672F6"/>
    <w:rsid w:val="00A67478"/>
    <w:rsid w:val="00A713C0"/>
    <w:rsid w:val="00A71D65"/>
    <w:rsid w:val="00A71DAA"/>
    <w:rsid w:val="00A7289C"/>
    <w:rsid w:val="00A73150"/>
    <w:rsid w:val="00A74987"/>
    <w:rsid w:val="00A74C04"/>
    <w:rsid w:val="00A752C6"/>
    <w:rsid w:val="00A75E19"/>
    <w:rsid w:val="00A7619E"/>
    <w:rsid w:val="00A76DA5"/>
    <w:rsid w:val="00A77823"/>
    <w:rsid w:val="00A77852"/>
    <w:rsid w:val="00A77964"/>
    <w:rsid w:val="00A800E7"/>
    <w:rsid w:val="00A82C9D"/>
    <w:rsid w:val="00A830C3"/>
    <w:rsid w:val="00A830D6"/>
    <w:rsid w:val="00A86185"/>
    <w:rsid w:val="00A867BF"/>
    <w:rsid w:val="00A86B42"/>
    <w:rsid w:val="00A86E68"/>
    <w:rsid w:val="00A871B4"/>
    <w:rsid w:val="00A878B6"/>
    <w:rsid w:val="00A87B43"/>
    <w:rsid w:val="00A908FE"/>
    <w:rsid w:val="00A912A0"/>
    <w:rsid w:val="00A91B4C"/>
    <w:rsid w:val="00A9252D"/>
    <w:rsid w:val="00A92A0D"/>
    <w:rsid w:val="00A937BA"/>
    <w:rsid w:val="00A940BF"/>
    <w:rsid w:val="00A94BD2"/>
    <w:rsid w:val="00A9598A"/>
    <w:rsid w:val="00A961A6"/>
    <w:rsid w:val="00A967C7"/>
    <w:rsid w:val="00A96E0F"/>
    <w:rsid w:val="00A97A60"/>
    <w:rsid w:val="00A97C5F"/>
    <w:rsid w:val="00AA0267"/>
    <w:rsid w:val="00AA0500"/>
    <w:rsid w:val="00AA05C0"/>
    <w:rsid w:val="00AA0BE3"/>
    <w:rsid w:val="00AA127C"/>
    <w:rsid w:val="00AA1C3F"/>
    <w:rsid w:val="00AA3A5F"/>
    <w:rsid w:val="00AA455F"/>
    <w:rsid w:val="00AA4AC9"/>
    <w:rsid w:val="00AA5749"/>
    <w:rsid w:val="00AA57A1"/>
    <w:rsid w:val="00AA5884"/>
    <w:rsid w:val="00AA5A34"/>
    <w:rsid w:val="00AA6337"/>
    <w:rsid w:val="00AA65CD"/>
    <w:rsid w:val="00AA67D7"/>
    <w:rsid w:val="00AA6CCD"/>
    <w:rsid w:val="00AB05AA"/>
    <w:rsid w:val="00AB0DC2"/>
    <w:rsid w:val="00AB1AFB"/>
    <w:rsid w:val="00AB20D3"/>
    <w:rsid w:val="00AB2147"/>
    <w:rsid w:val="00AB268E"/>
    <w:rsid w:val="00AB55E8"/>
    <w:rsid w:val="00AB5A33"/>
    <w:rsid w:val="00AB5C54"/>
    <w:rsid w:val="00AB6085"/>
    <w:rsid w:val="00AB622C"/>
    <w:rsid w:val="00AB6A75"/>
    <w:rsid w:val="00AB6DA8"/>
    <w:rsid w:val="00AB6E11"/>
    <w:rsid w:val="00AB7EB2"/>
    <w:rsid w:val="00AC0316"/>
    <w:rsid w:val="00AC1AB8"/>
    <w:rsid w:val="00AC3A98"/>
    <w:rsid w:val="00AC3CAB"/>
    <w:rsid w:val="00AC3DB2"/>
    <w:rsid w:val="00AC46AC"/>
    <w:rsid w:val="00AC528C"/>
    <w:rsid w:val="00AC5534"/>
    <w:rsid w:val="00AC56D1"/>
    <w:rsid w:val="00AC5DDA"/>
    <w:rsid w:val="00AC6A96"/>
    <w:rsid w:val="00AC6FBB"/>
    <w:rsid w:val="00AC71C8"/>
    <w:rsid w:val="00AC73C4"/>
    <w:rsid w:val="00AC75F3"/>
    <w:rsid w:val="00AC7CA7"/>
    <w:rsid w:val="00AD03E8"/>
    <w:rsid w:val="00AD1062"/>
    <w:rsid w:val="00AD1B2E"/>
    <w:rsid w:val="00AD244F"/>
    <w:rsid w:val="00AD297E"/>
    <w:rsid w:val="00AD2A6E"/>
    <w:rsid w:val="00AD30FF"/>
    <w:rsid w:val="00AD34DA"/>
    <w:rsid w:val="00AD3B85"/>
    <w:rsid w:val="00AD41F8"/>
    <w:rsid w:val="00AD4C0E"/>
    <w:rsid w:val="00AD592A"/>
    <w:rsid w:val="00AD5D7F"/>
    <w:rsid w:val="00AD6240"/>
    <w:rsid w:val="00AD67A0"/>
    <w:rsid w:val="00AD6FAC"/>
    <w:rsid w:val="00AD6FC1"/>
    <w:rsid w:val="00AD72D8"/>
    <w:rsid w:val="00AE02DE"/>
    <w:rsid w:val="00AE0EA0"/>
    <w:rsid w:val="00AE125C"/>
    <w:rsid w:val="00AE303A"/>
    <w:rsid w:val="00AE37B1"/>
    <w:rsid w:val="00AE37F4"/>
    <w:rsid w:val="00AE40C8"/>
    <w:rsid w:val="00AE45B7"/>
    <w:rsid w:val="00AE4F26"/>
    <w:rsid w:val="00AE56E1"/>
    <w:rsid w:val="00AE6061"/>
    <w:rsid w:val="00AE6E07"/>
    <w:rsid w:val="00AE7702"/>
    <w:rsid w:val="00AE7CE7"/>
    <w:rsid w:val="00AF04E4"/>
    <w:rsid w:val="00AF07AC"/>
    <w:rsid w:val="00AF1474"/>
    <w:rsid w:val="00AF1586"/>
    <w:rsid w:val="00AF1A06"/>
    <w:rsid w:val="00AF1DF1"/>
    <w:rsid w:val="00AF1EC4"/>
    <w:rsid w:val="00AF3171"/>
    <w:rsid w:val="00AF3D9F"/>
    <w:rsid w:val="00AF4C8A"/>
    <w:rsid w:val="00AF5D22"/>
    <w:rsid w:val="00B01105"/>
    <w:rsid w:val="00B02A63"/>
    <w:rsid w:val="00B03059"/>
    <w:rsid w:val="00B03AC4"/>
    <w:rsid w:val="00B0453C"/>
    <w:rsid w:val="00B04775"/>
    <w:rsid w:val="00B04784"/>
    <w:rsid w:val="00B04A6A"/>
    <w:rsid w:val="00B04B70"/>
    <w:rsid w:val="00B0516B"/>
    <w:rsid w:val="00B057B0"/>
    <w:rsid w:val="00B06596"/>
    <w:rsid w:val="00B06840"/>
    <w:rsid w:val="00B069FE"/>
    <w:rsid w:val="00B06F2B"/>
    <w:rsid w:val="00B06F67"/>
    <w:rsid w:val="00B0735B"/>
    <w:rsid w:val="00B07738"/>
    <w:rsid w:val="00B108DA"/>
    <w:rsid w:val="00B109BC"/>
    <w:rsid w:val="00B10C78"/>
    <w:rsid w:val="00B10EB9"/>
    <w:rsid w:val="00B12909"/>
    <w:rsid w:val="00B1309D"/>
    <w:rsid w:val="00B13D70"/>
    <w:rsid w:val="00B14FD7"/>
    <w:rsid w:val="00B17AC3"/>
    <w:rsid w:val="00B17DA8"/>
    <w:rsid w:val="00B17FD0"/>
    <w:rsid w:val="00B20990"/>
    <w:rsid w:val="00B22607"/>
    <w:rsid w:val="00B226D4"/>
    <w:rsid w:val="00B226FC"/>
    <w:rsid w:val="00B23A9D"/>
    <w:rsid w:val="00B23C2B"/>
    <w:rsid w:val="00B2467C"/>
    <w:rsid w:val="00B24776"/>
    <w:rsid w:val="00B24902"/>
    <w:rsid w:val="00B24C0E"/>
    <w:rsid w:val="00B24F27"/>
    <w:rsid w:val="00B26212"/>
    <w:rsid w:val="00B26249"/>
    <w:rsid w:val="00B26D18"/>
    <w:rsid w:val="00B27201"/>
    <w:rsid w:val="00B27D0E"/>
    <w:rsid w:val="00B30179"/>
    <w:rsid w:val="00B30408"/>
    <w:rsid w:val="00B304D3"/>
    <w:rsid w:val="00B318FE"/>
    <w:rsid w:val="00B31C56"/>
    <w:rsid w:val="00B324C6"/>
    <w:rsid w:val="00B33CDB"/>
    <w:rsid w:val="00B340F0"/>
    <w:rsid w:val="00B35090"/>
    <w:rsid w:val="00B352EF"/>
    <w:rsid w:val="00B3627F"/>
    <w:rsid w:val="00B363AB"/>
    <w:rsid w:val="00B375CD"/>
    <w:rsid w:val="00B40515"/>
    <w:rsid w:val="00B4077E"/>
    <w:rsid w:val="00B40B34"/>
    <w:rsid w:val="00B40D4D"/>
    <w:rsid w:val="00B40F65"/>
    <w:rsid w:val="00B4180D"/>
    <w:rsid w:val="00B41A31"/>
    <w:rsid w:val="00B41E8F"/>
    <w:rsid w:val="00B43D20"/>
    <w:rsid w:val="00B43E9E"/>
    <w:rsid w:val="00B4527F"/>
    <w:rsid w:val="00B45662"/>
    <w:rsid w:val="00B45BD2"/>
    <w:rsid w:val="00B45DFA"/>
    <w:rsid w:val="00B4696F"/>
    <w:rsid w:val="00B46A8A"/>
    <w:rsid w:val="00B46F61"/>
    <w:rsid w:val="00B46FAB"/>
    <w:rsid w:val="00B47F5C"/>
    <w:rsid w:val="00B50366"/>
    <w:rsid w:val="00B50BBB"/>
    <w:rsid w:val="00B510BE"/>
    <w:rsid w:val="00B5152E"/>
    <w:rsid w:val="00B51FC3"/>
    <w:rsid w:val="00B527DF"/>
    <w:rsid w:val="00B52DC3"/>
    <w:rsid w:val="00B53372"/>
    <w:rsid w:val="00B5451C"/>
    <w:rsid w:val="00B549AD"/>
    <w:rsid w:val="00B55327"/>
    <w:rsid w:val="00B556AA"/>
    <w:rsid w:val="00B563F2"/>
    <w:rsid w:val="00B56A2C"/>
    <w:rsid w:val="00B56C84"/>
    <w:rsid w:val="00B578B1"/>
    <w:rsid w:val="00B600DE"/>
    <w:rsid w:val="00B60BD1"/>
    <w:rsid w:val="00B60C14"/>
    <w:rsid w:val="00B60F58"/>
    <w:rsid w:val="00B6204D"/>
    <w:rsid w:val="00B62BC0"/>
    <w:rsid w:val="00B64057"/>
    <w:rsid w:val="00B64F70"/>
    <w:rsid w:val="00B65352"/>
    <w:rsid w:val="00B65A41"/>
    <w:rsid w:val="00B674D6"/>
    <w:rsid w:val="00B67E67"/>
    <w:rsid w:val="00B67F2A"/>
    <w:rsid w:val="00B70145"/>
    <w:rsid w:val="00B70389"/>
    <w:rsid w:val="00B70CD8"/>
    <w:rsid w:val="00B71194"/>
    <w:rsid w:val="00B71905"/>
    <w:rsid w:val="00B71C8D"/>
    <w:rsid w:val="00B71F4D"/>
    <w:rsid w:val="00B72432"/>
    <w:rsid w:val="00B72B54"/>
    <w:rsid w:val="00B74207"/>
    <w:rsid w:val="00B74EBC"/>
    <w:rsid w:val="00B7508E"/>
    <w:rsid w:val="00B7560E"/>
    <w:rsid w:val="00B76698"/>
    <w:rsid w:val="00B76D4C"/>
    <w:rsid w:val="00B77180"/>
    <w:rsid w:val="00B77495"/>
    <w:rsid w:val="00B81333"/>
    <w:rsid w:val="00B84822"/>
    <w:rsid w:val="00B84F14"/>
    <w:rsid w:val="00B858CC"/>
    <w:rsid w:val="00B858DD"/>
    <w:rsid w:val="00B85A8F"/>
    <w:rsid w:val="00B86656"/>
    <w:rsid w:val="00B87586"/>
    <w:rsid w:val="00B902D4"/>
    <w:rsid w:val="00B9037A"/>
    <w:rsid w:val="00B90690"/>
    <w:rsid w:val="00B90CF7"/>
    <w:rsid w:val="00B9134A"/>
    <w:rsid w:val="00B91AA7"/>
    <w:rsid w:val="00B925BB"/>
    <w:rsid w:val="00B92865"/>
    <w:rsid w:val="00B94202"/>
    <w:rsid w:val="00B9433E"/>
    <w:rsid w:val="00B943C8"/>
    <w:rsid w:val="00B965E8"/>
    <w:rsid w:val="00B96643"/>
    <w:rsid w:val="00B9795B"/>
    <w:rsid w:val="00B97A5D"/>
    <w:rsid w:val="00B97D01"/>
    <w:rsid w:val="00BA00A7"/>
    <w:rsid w:val="00BA0D1B"/>
    <w:rsid w:val="00BA1372"/>
    <w:rsid w:val="00BA1503"/>
    <w:rsid w:val="00BA2680"/>
    <w:rsid w:val="00BA3261"/>
    <w:rsid w:val="00BA34C4"/>
    <w:rsid w:val="00BA42A2"/>
    <w:rsid w:val="00BA4746"/>
    <w:rsid w:val="00BA49DD"/>
    <w:rsid w:val="00BA4B32"/>
    <w:rsid w:val="00BA4D24"/>
    <w:rsid w:val="00BA519E"/>
    <w:rsid w:val="00BA680E"/>
    <w:rsid w:val="00BA6E26"/>
    <w:rsid w:val="00BA75EB"/>
    <w:rsid w:val="00BA7FCD"/>
    <w:rsid w:val="00BB0049"/>
    <w:rsid w:val="00BB0563"/>
    <w:rsid w:val="00BB14A2"/>
    <w:rsid w:val="00BB15D8"/>
    <w:rsid w:val="00BB16A8"/>
    <w:rsid w:val="00BB172E"/>
    <w:rsid w:val="00BB2C3F"/>
    <w:rsid w:val="00BB2D7E"/>
    <w:rsid w:val="00BB3543"/>
    <w:rsid w:val="00BB3702"/>
    <w:rsid w:val="00BB3C9B"/>
    <w:rsid w:val="00BB439C"/>
    <w:rsid w:val="00BB5F5F"/>
    <w:rsid w:val="00BB6375"/>
    <w:rsid w:val="00BB7129"/>
    <w:rsid w:val="00BB734C"/>
    <w:rsid w:val="00BB7CE2"/>
    <w:rsid w:val="00BB7F3C"/>
    <w:rsid w:val="00BC1D83"/>
    <w:rsid w:val="00BC2BE7"/>
    <w:rsid w:val="00BC2CB6"/>
    <w:rsid w:val="00BC2D95"/>
    <w:rsid w:val="00BC392A"/>
    <w:rsid w:val="00BC6A07"/>
    <w:rsid w:val="00BC6A71"/>
    <w:rsid w:val="00BC7304"/>
    <w:rsid w:val="00BC7517"/>
    <w:rsid w:val="00BC7940"/>
    <w:rsid w:val="00BD0498"/>
    <w:rsid w:val="00BD1783"/>
    <w:rsid w:val="00BD2DA4"/>
    <w:rsid w:val="00BD370D"/>
    <w:rsid w:val="00BD3849"/>
    <w:rsid w:val="00BD3C12"/>
    <w:rsid w:val="00BD447A"/>
    <w:rsid w:val="00BD4633"/>
    <w:rsid w:val="00BD53AF"/>
    <w:rsid w:val="00BD581E"/>
    <w:rsid w:val="00BD647D"/>
    <w:rsid w:val="00BD66A8"/>
    <w:rsid w:val="00BD66AE"/>
    <w:rsid w:val="00BD6C09"/>
    <w:rsid w:val="00BD73D3"/>
    <w:rsid w:val="00BD7648"/>
    <w:rsid w:val="00BE02B2"/>
    <w:rsid w:val="00BE225D"/>
    <w:rsid w:val="00BE23D5"/>
    <w:rsid w:val="00BE3028"/>
    <w:rsid w:val="00BE3497"/>
    <w:rsid w:val="00BE4F35"/>
    <w:rsid w:val="00BE52F7"/>
    <w:rsid w:val="00BE71A5"/>
    <w:rsid w:val="00BE7548"/>
    <w:rsid w:val="00BE7F99"/>
    <w:rsid w:val="00BF011D"/>
    <w:rsid w:val="00BF104F"/>
    <w:rsid w:val="00BF1987"/>
    <w:rsid w:val="00BF1EFF"/>
    <w:rsid w:val="00BF266E"/>
    <w:rsid w:val="00BF29A0"/>
    <w:rsid w:val="00BF29C3"/>
    <w:rsid w:val="00BF4518"/>
    <w:rsid w:val="00BF4861"/>
    <w:rsid w:val="00BF490A"/>
    <w:rsid w:val="00BF53CC"/>
    <w:rsid w:val="00BF59BA"/>
    <w:rsid w:val="00BF6898"/>
    <w:rsid w:val="00BF6BBC"/>
    <w:rsid w:val="00BF6CA5"/>
    <w:rsid w:val="00BF74B6"/>
    <w:rsid w:val="00BF7865"/>
    <w:rsid w:val="00C00723"/>
    <w:rsid w:val="00C00D30"/>
    <w:rsid w:val="00C01AB0"/>
    <w:rsid w:val="00C0352C"/>
    <w:rsid w:val="00C03725"/>
    <w:rsid w:val="00C03FE8"/>
    <w:rsid w:val="00C0432C"/>
    <w:rsid w:val="00C04642"/>
    <w:rsid w:val="00C04875"/>
    <w:rsid w:val="00C04C79"/>
    <w:rsid w:val="00C04CD8"/>
    <w:rsid w:val="00C04D1D"/>
    <w:rsid w:val="00C04F57"/>
    <w:rsid w:val="00C05685"/>
    <w:rsid w:val="00C061BE"/>
    <w:rsid w:val="00C0684D"/>
    <w:rsid w:val="00C06BD3"/>
    <w:rsid w:val="00C06BDE"/>
    <w:rsid w:val="00C0706A"/>
    <w:rsid w:val="00C071DE"/>
    <w:rsid w:val="00C10408"/>
    <w:rsid w:val="00C107D9"/>
    <w:rsid w:val="00C115EA"/>
    <w:rsid w:val="00C11990"/>
    <w:rsid w:val="00C11FF5"/>
    <w:rsid w:val="00C12A59"/>
    <w:rsid w:val="00C13204"/>
    <w:rsid w:val="00C1475B"/>
    <w:rsid w:val="00C14CD7"/>
    <w:rsid w:val="00C15818"/>
    <w:rsid w:val="00C158A9"/>
    <w:rsid w:val="00C15B5F"/>
    <w:rsid w:val="00C15E1E"/>
    <w:rsid w:val="00C15E8B"/>
    <w:rsid w:val="00C16273"/>
    <w:rsid w:val="00C1664E"/>
    <w:rsid w:val="00C1668E"/>
    <w:rsid w:val="00C16AC6"/>
    <w:rsid w:val="00C16C8A"/>
    <w:rsid w:val="00C170BE"/>
    <w:rsid w:val="00C170EE"/>
    <w:rsid w:val="00C1750E"/>
    <w:rsid w:val="00C1781A"/>
    <w:rsid w:val="00C17B20"/>
    <w:rsid w:val="00C17B2D"/>
    <w:rsid w:val="00C17FBA"/>
    <w:rsid w:val="00C20907"/>
    <w:rsid w:val="00C209A3"/>
    <w:rsid w:val="00C21422"/>
    <w:rsid w:val="00C21556"/>
    <w:rsid w:val="00C21B81"/>
    <w:rsid w:val="00C224DC"/>
    <w:rsid w:val="00C22C59"/>
    <w:rsid w:val="00C240C4"/>
    <w:rsid w:val="00C246D5"/>
    <w:rsid w:val="00C25067"/>
    <w:rsid w:val="00C2559F"/>
    <w:rsid w:val="00C25AB6"/>
    <w:rsid w:val="00C262F4"/>
    <w:rsid w:val="00C27328"/>
    <w:rsid w:val="00C3021F"/>
    <w:rsid w:val="00C30520"/>
    <w:rsid w:val="00C30D16"/>
    <w:rsid w:val="00C3135E"/>
    <w:rsid w:val="00C31D8C"/>
    <w:rsid w:val="00C326FA"/>
    <w:rsid w:val="00C32775"/>
    <w:rsid w:val="00C32E92"/>
    <w:rsid w:val="00C35126"/>
    <w:rsid w:val="00C3516F"/>
    <w:rsid w:val="00C35271"/>
    <w:rsid w:val="00C354DA"/>
    <w:rsid w:val="00C35694"/>
    <w:rsid w:val="00C357F0"/>
    <w:rsid w:val="00C35C25"/>
    <w:rsid w:val="00C35DA7"/>
    <w:rsid w:val="00C362D9"/>
    <w:rsid w:val="00C37A09"/>
    <w:rsid w:val="00C40A97"/>
    <w:rsid w:val="00C40D86"/>
    <w:rsid w:val="00C40E0A"/>
    <w:rsid w:val="00C41264"/>
    <w:rsid w:val="00C4247A"/>
    <w:rsid w:val="00C429A7"/>
    <w:rsid w:val="00C43356"/>
    <w:rsid w:val="00C445CD"/>
    <w:rsid w:val="00C460BF"/>
    <w:rsid w:val="00C4626D"/>
    <w:rsid w:val="00C474B2"/>
    <w:rsid w:val="00C47698"/>
    <w:rsid w:val="00C47D7B"/>
    <w:rsid w:val="00C50E1D"/>
    <w:rsid w:val="00C5115E"/>
    <w:rsid w:val="00C51218"/>
    <w:rsid w:val="00C51365"/>
    <w:rsid w:val="00C518B8"/>
    <w:rsid w:val="00C51AD9"/>
    <w:rsid w:val="00C52716"/>
    <w:rsid w:val="00C52D8A"/>
    <w:rsid w:val="00C533D8"/>
    <w:rsid w:val="00C54169"/>
    <w:rsid w:val="00C550AD"/>
    <w:rsid w:val="00C55762"/>
    <w:rsid w:val="00C56562"/>
    <w:rsid w:val="00C57F91"/>
    <w:rsid w:val="00C60274"/>
    <w:rsid w:val="00C60809"/>
    <w:rsid w:val="00C62508"/>
    <w:rsid w:val="00C6372D"/>
    <w:rsid w:val="00C6402C"/>
    <w:rsid w:val="00C642D7"/>
    <w:rsid w:val="00C64A61"/>
    <w:rsid w:val="00C655FA"/>
    <w:rsid w:val="00C656F1"/>
    <w:rsid w:val="00C66167"/>
    <w:rsid w:val="00C66B1C"/>
    <w:rsid w:val="00C66D3F"/>
    <w:rsid w:val="00C66EB3"/>
    <w:rsid w:val="00C66F12"/>
    <w:rsid w:val="00C67582"/>
    <w:rsid w:val="00C706B6"/>
    <w:rsid w:val="00C716C9"/>
    <w:rsid w:val="00C718C1"/>
    <w:rsid w:val="00C7205E"/>
    <w:rsid w:val="00C72620"/>
    <w:rsid w:val="00C72F4F"/>
    <w:rsid w:val="00C73D31"/>
    <w:rsid w:val="00C742E9"/>
    <w:rsid w:val="00C75047"/>
    <w:rsid w:val="00C75A34"/>
    <w:rsid w:val="00C75C01"/>
    <w:rsid w:val="00C7646E"/>
    <w:rsid w:val="00C76F8D"/>
    <w:rsid w:val="00C77361"/>
    <w:rsid w:val="00C776C6"/>
    <w:rsid w:val="00C80160"/>
    <w:rsid w:val="00C807E2"/>
    <w:rsid w:val="00C80B94"/>
    <w:rsid w:val="00C82557"/>
    <w:rsid w:val="00C82786"/>
    <w:rsid w:val="00C84469"/>
    <w:rsid w:val="00C8510C"/>
    <w:rsid w:val="00C8518A"/>
    <w:rsid w:val="00C86B69"/>
    <w:rsid w:val="00C877C0"/>
    <w:rsid w:val="00C87FB8"/>
    <w:rsid w:val="00C9052C"/>
    <w:rsid w:val="00C90E9D"/>
    <w:rsid w:val="00C9187D"/>
    <w:rsid w:val="00C923CD"/>
    <w:rsid w:val="00C92BB9"/>
    <w:rsid w:val="00C93A9F"/>
    <w:rsid w:val="00C94F1F"/>
    <w:rsid w:val="00C96ACC"/>
    <w:rsid w:val="00C9735F"/>
    <w:rsid w:val="00CA0214"/>
    <w:rsid w:val="00CA0282"/>
    <w:rsid w:val="00CA08AB"/>
    <w:rsid w:val="00CA169F"/>
    <w:rsid w:val="00CA16A3"/>
    <w:rsid w:val="00CA2069"/>
    <w:rsid w:val="00CA329D"/>
    <w:rsid w:val="00CA3897"/>
    <w:rsid w:val="00CA38D0"/>
    <w:rsid w:val="00CA3EA3"/>
    <w:rsid w:val="00CA4EF2"/>
    <w:rsid w:val="00CA4FE4"/>
    <w:rsid w:val="00CA5466"/>
    <w:rsid w:val="00CA56DC"/>
    <w:rsid w:val="00CA6112"/>
    <w:rsid w:val="00CA62FF"/>
    <w:rsid w:val="00CA7885"/>
    <w:rsid w:val="00CA7EDC"/>
    <w:rsid w:val="00CB14C7"/>
    <w:rsid w:val="00CB1B26"/>
    <w:rsid w:val="00CB34C0"/>
    <w:rsid w:val="00CB3DE9"/>
    <w:rsid w:val="00CB434A"/>
    <w:rsid w:val="00CB5B96"/>
    <w:rsid w:val="00CB5F3E"/>
    <w:rsid w:val="00CB620B"/>
    <w:rsid w:val="00CB6F7A"/>
    <w:rsid w:val="00CC03F4"/>
    <w:rsid w:val="00CC0BE0"/>
    <w:rsid w:val="00CC0D15"/>
    <w:rsid w:val="00CC0D74"/>
    <w:rsid w:val="00CC0DC4"/>
    <w:rsid w:val="00CC1718"/>
    <w:rsid w:val="00CC1865"/>
    <w:rsid w:val="00CC1990"/>
    <w:rsid w:val="00CC1BFC"/>
    <w:rsid w:val="00CC1FB6"/>
    <w:rsid w:val="00CC2422"/>
    <w:rsid w:val="00CC2CDA"/>
    <w:rsid w:val="00CC2EC8"/>
    <w:rsid w:val="00CC4FD2"/>
    <w:rsid w:val="00CC5257"/>
    <w:rsid w:val="00CC6194"/>
    <w:rsid w:val="00CC63AD"/>
    <w:rsid w:val="00CC6BDF"/>
    <w:rsid w:val="00CC6D8F"/>
    <w:rsid w:val="00CC6F21"/>
    <w:rsid w:val="00CC7253"/>
    <w:rsid w:val="00CC7260"/>
    <w:rsid w:val="00CD04DC"/>
    <w:rsid w:val="00CD081D"/>
    <w:rsid w:val="00CD18EA"/>
    <w:rsid w:val="00CD1DFB"/>
    <w:rsid w:val="00CD284C"/>
    <w:rsid w:val="00CD4759"/>
    <w:rsid w:val="00CD4D34"/>
    <w:rsid w:val="00CD5D33"/>
    <w:rsid w:val="00CD67F9"/>
    <w:rsid w:val="00CD6D7B"/>
    <w:rsid w:val="00CD6E2C"/>
    <w:rsid w:val="00CD74B9"/>
    <w:rsid w:val="00CD74F3"/>
    <w:rsid w:val="00CD7788"/>
    <w:rsid w:val="00CD77C2"/>
    <w:rsid w:val="00CE032A"/>
    <w:rsid w:val="00CE0774"/>
    <w:rsid w:val="00CE17D0"/>
    <w:rsid w:val="00CE1D98"/>
    <w:rsid w:val="00CE32FD"/>
    <w:rsid w:val="00CE3F3C"/>
    <w:rsid w:val="00CE4C39"/>
    <w:rsid w:val="00CE4CC8"/>
    <w:rsid w:val="00CE5C11"/>
    <w:rsid w:val="00CE6BD7"/>
    <w:rsid w:val="00CE73E6"/>
    <w:rsid w:val="00CE76BA"/>
    <w:rsid w:val="00CE7AB7"/>
    <w:rsid w:val="00CE7B1C"/>
    <w:rsid w:val="00CF0552"/>
    <w:rsid w:val="00CF05DD"/>
    <w:rsid w:val="00CF0C81"/>
    <w:rsid w:val="00CF1386"/>
    <w:rsid w:val="00CF1728"/>
    <w:rsid w:val="00CF1AEE"/>
    <w:rsid w:val="00CF32CE"/>
    <w:rsid w:val="00CF38FD"/>
    <w:rsid w:val="00CF3A5E"/>
    <w:rsid w:val="00CF3E9E"/>
    <w:rsid w:val="00CF4008"/>
    <w:rsid w:val="00CF572C"/>
    <w:rsid w:val="00CF5E66"/>
    <w:rsid w:val="00D00356"/>
    <w:rsid w:val="00D00DB4"/>
    <w:rsid w:val="00D00E68"/>
    <w:rsid w:val="00D00EF9"/>
    <w:rsid w:val="00D011E1"/>
    <w:rsid w:val="00D01493"/>
    <w:rsid w:val="00D014C6"/>
    <w:rsid w:val="00D01700"/>
    <w:rsid w:val="00D017AD"/>
    <w:rsid w:val="00D02283"/>
    <w:rsid w:val="00D0306C"/>
    <w:rsid w:val="00D04B78"/>
    <w:rsid w:val="00D04F74"/>
    <w:rsid w:val="00D05C09"/>
    <w:rsid w:val="00D0611E"/>
    <w:rsid w:val="00D06437"/>
    <w:rsid w:val="00D070BF"/>
    <w:rsid w:val="00D071C4"/>
    <w:rsid w:val="00D0742B"/>
    <w:rsid w:val="00D07A3F"/>
    <w:rsid w:val="00D103D6"/>
    <w:rsid w:val="00D11762"/>
    <w:rsid w:val="00D11F0B"/>
    <w:rsid w:val="00D126EB"/>
    <w:rsid w:val="00D13AD8"/>
    <w:rsid w:val="00D145B4"/>
    <w:rsid w:val="00D14FFB"/>
    <w:rsid w:val="00D15A4C"/>
    <w:rsid w:val="00D15AD7"/>
    <w:rsid w:val="00D15C03"/>
    <w:rsid w:val="00D15C80"/>
    <w:rsid w:val="00D1651B"/>
    <w:rsid w:val="00D16CDD"/>
    <w:rsid w:val="00D16D3C"/>
    <w:rsid w:val="00D201E8"/>
    <w:rsid w:val="00D2073E"/>
    <w:rsid w:val="00D21DD1"/>
    <w:rsid w:val="00D21E2E"/>
    <w:rsid w:val="00D2305D"/>
    <w:rsid w:val="00D2614B"/>
    <w:rsid w:val="00D2689C"/>
    <w:rsid w:val="00D27A32"/>
    <w:rsid w:val="00D27CC4"/>
    <w:rsid w:val="00D306EE"/>
    <w:rsid w:val="00D31155"/>
    <w:rsid w:val="00D3149C"/>
    <w:rsid w:val="00D3165E"/>
    <w:rsid w:val="00D316E0"/>
    <w:rsid w:val="00D31CBE"/>
    <w:rsid w:val="00D3305D"/>
    <w:rsid w:val="00D3326E"/>
    <w:rsid w:val="00D33C64"/>
    <w:rsid w:val="00D342DA"/>
    <w:rsid w:val="00D34A8D"/>
    <w:rsid w:val="00D34FD6"/>
    <w:rsid w:val="00D366FE"/>
    <w:rsid w:val="00D367AE"/>
    <w:rsid w:val="00D36969"/>
    <w:rsid w:val="00D36DE2"/>
    <w:rsid w:val="00D3722A"/>
    <w:rsid w:val="00D37264"/>
    <w:rsid w:val="00D40BC4"/>
    <w:rsid w:val="00D41154"/>
    <w:rsid w:val="00D4167A"/>
    <w:rsid w:val="00D42BAC"/>
    <w:rsid w:val="00D4382C"/>
    <w:rsid w:val="00D4391D"/>
    <w:rsid w:val="00D43CF7"/>
    <w:rsid w:val="00D43E9A"/>
    <w:rsid w:val="00D44341"/>
    <w:rsid w:val="00D44671"/>
    <w:rsid w:val="00D4541C"/>
    <w:rsid w:val="00D45599"/>
    <w:rsid w:val="00D46F98"/>
    <w:rsid w:val="00D4759F"/>
    <w:rsid w:val="00D51692"/>
    <w:rsid w:val="00D51764"/>
    <w:rsid w:val="00D526EC"/>
    <w:rsid w:val="00D52793"/>
    <w:rsid w:val="00D530DA"/>
    <w:rsid w:val="00D5367A"/>
    <w:rsid w:val="00D554E8"/>
    <w:rsid w:val="00D57656"/>
    <w:rsid w:val="00D6118A"/>
    <w:rsid w:val="00D622CD"/>
    <w:rsid w:val="00D626DC"/>
    <w:rsid w:val="00D6392D"/>
    <w:rsid w:val="00D6406A"/>
    <w:rsid w:val="00D64166"/>
    <w:rsid w:val="00D645C8"/>
    <w:rsid w:val="00D64683"/>
    <w:rsid w:val="00D660A5"/>
    <w:rsid w:val="00D67039"/>
    <w:rsid w:val="00D70B81"/>
    <w:rsid w:val="00D70EB2"/>
    <w:rsid w:val="00D71ED8"/>
    <w:rsid w:val="00D72A1C"/>
    <w:rsid w:val="00D72C37"/>
    <w:rsid w:val="00D74AE2"/>
    <w:rsid w:val="00D74FB3"/>
    <w:rsid w:val="00D75583"/>
    <w:rsid w:val="00D75DD8"/>
    <w:rsid w:val="00D75E9C"/>
    <w:rsid w:val="00D77754"/>
    <w:rsid w:val="00D77DF2"/>
    <w:rsid w:val="00D81621"/>
    <w:rsid w:val="00D81E15"/>
    <w:rsid w:val="00D823D7"/>
    <w:rsid w:val="00D82499"/>
    <w:rsid w:val="00D83453"/>
    <w:rsid w:val="00D834A6"/>
    <w:rsid w:val="00D83B4C"/>
    <w:rsid w:val="00D868FF"/>
    <w:rsid w:val="00D86AFF"/>
    <w:rsid w:val="00D876CC"/>
    <w:rsid w:val="00D877BD"/>
    <w:rsid w:val="00D87C3F"/>
    <w:rsid w:val="00D9031D"/>
    <w:rsid w:val="00D910ED"/>
    <w:rsid w:val="00D91544"/>
    <w:rsid w:val="00D91DAA"/>
    <w:rsid w:val="00D91EAD"/>
    <w:rsid w:val="00D9211A"/>
    <w:rsid w:val="00D92298"/>
    <w:rsid w:val="00D92974"/>
    <w:rsid w:val="00D92F8B"/>
    <w:rsid w:val="00D93368"/>
    <w:rsid w:val="00D93CC8"/>
    <w:rsid w:val="00D94D0A"/>
    <w:rsid w:val="00D95888"/>
    <w:rsid w:val="00D95D40"/>
    <w:rsid w:val="00D965A8"/>
    <w:rsid w:val="00DA10FA"/>
    <w:rsid w:val="00DA13F1"/>
    <w:rsid w:val="00DA1644"/>
    <w:rsid w:val="00DA17A9"/>
    <w:rsid w:val="00DA1840"/>
    <w:rsid w:val="00DA2711"/>
    <w:rsid w:val="00DA3099"/>
    <w:rsid w:val="00DA3C1B"/>
    <w:rsid w:val="00DA3C6E"/>
    <w:rsid w:val="00DA3D7E"/>
    <w:rsid w:val="00DA3EF0"/>
    <w:rsid w:val="00DA4B1F"/>
    <w:rsid w:val="00DA5A8A"/>
    <w:rsid w:val="00DA611D"/>
    <w:rsid w:val="00DA63C2"/>
    <w:rsid w:val="00DA6D35"/>
    <w:rsid w:val="00DA7659"/>
    <w:rsid w:val="00DB058B"/>
    <w:rsid w:val="00DB05FA"/>
    <w:rsid w:val="00DB0BCE"/>
    <w:rsid w:val="00DB1B76"/>
    <w:rsid w:val="00DB1BAA"/>
    <w:rsid w:val="00DB1E0E"/>
    <w:rsid w:val="00DB1F86"/>
    <w:rsid w:val="00DB2077"/>
    <w:rsid w:val="00DB213B"/>
    <w:rsid w:val="00DB28F1"/>
    <w:rsid w:val="00DB3946"/>
    <w:rsid w:val="00DB3963"/>
    <w:rsid w:val="00DB3F9A"/>
    <w:rsid w:val="00DB412A"/>
    <w:rsid w:val="00DB417C"/>
    <w:rsid w:val="00DB47CA"/>
    <w:rsid w:val="00DB4B9C"/>
    <w:rsid w:val="00DB4D7F"/>
    <w:rsid w:val="00DB4E81"/>
    <w:rsid w:val="00DB6026"/>
    <w:rsid w:val="00DB6A50"/>
    <w:rsid w:val="00DB79D7"/>
    <w:rsid w:val="00DC00D9"/>
    <w:rsid w:val="00DC13AA"/>
    <w:rsid w:val="00DC1B8E"/>
    <w:rsid w:val="00DC3EC4"/>
    <w:rsid w:val="00DC5562"/>
    <w:rsid w:val="00DC5ADD"/>
    <w:rsid w:val="00DC5F76"/>
    <w:rsid w:val="00DC64A3"/>
    <w:rsid w:val="00DC65EE"/>
    <w:rsid w:val="00DC68C3"/>
    <w:rsid w:val="00DC6DFE"/>
    <w:rsid w:val="00DC7618"/>
    <w:rsid w:val="00DC773F"/>
    <w:rsid w:val="00DC79E7"/>
    <w:rsid w:val="00DC7BE8"/>
    <w:rsid w:val="00DC7BFF"/>
    <w:rsid w:val="00DC7DE5"/>
    <w:rsid w:val="00DD0171"/>
    <w:rsid w:val="00DD0939"/>
    <w:rsid w:val="00DD0A87"/>
    <w:rsid w:val="00DD0EF0"/>
    <w:rsid w:val="00DD109A"/>
    <w:rsid w:val="00DD1814"/>
    <w:rsid w:val="00DD1B15"/>
    <w:rsid w:val="00DD208E"/>
    <w:rsid w:val="00DD2118"/>
    <w:rsid w:val="00DD2BA3"/>
    <w:rsid w:val="00DD2E0D"/>
    <w:rsid w:val="00DD3654"/>
    <w:rsid w:val="00DD4F2E"/>
    <w:rsid w:val="00DD5A0A"/>
    <w:rsid w:val="00DD645D"/>
    <w:rsid w:val="00DD69C8"/>
    <w:rsid w:val="00DD6EAB"/>
    <w:rsid w:val="00DE0260"/>
    <w:rsid w:val="00DE1368"/>
    <w:rsid w:val="00DE1419"/>
    <w:rsid w:val="00DE1BE2"/>
    <w:rsid w:val="00DE1F89"/>
    <w:rsid w:val="00DE2727"/>
    <w:rsid w:val="00DE2DCB"/>
    <w:rsid w:val="00DE4F66"/>
    <w:rsid w:val="00DE5B79"/>
    <w:rsid w:val="00DE6189"/>
    <w:rsid w:val="00DE6E5F"/>
    <w:rsid w:val="00DE7277"/>
    <w:rsid w:val="00DE7EBE"/>
    <w:rsid w:val="00DF01C2"/>
    <w:rsid w:val="00DF1725"/>
    <w:rsid w:val="00DF2840"/>
    <w:rsid w:val="00DF286C"/>
    <w:rsid w:val="00DF32FE"/>
    <w:rsid w:val="00DF339C"/>
    <w:rsid w:val="00DF4CD2"/>
    <w:rsid w:val="00DF58ED"/>
    <w:rsid w:val="00DF5A27"/>
    <w:rsid w:val="00DF60B1"/>
    <w:rsid w:val="00DF632C"/>
    <w:rsid w:val="00DF676E"/>
    <w:rsid w:val="00DF698F"/>
    <w:rsid w:val="00DF6F1A"/>
    <w:rsid w:val="00DF7AAD"/>
    <w:rsid w:val="00E0064F"/>
    <w:rsid w:val="00E01433"/>
    <w:rsid w:val="00E02247"/>
    <w:rsid w:val="00E0248C"/>
    <w:rsid w:val="00E02C1A"/>
    <w:rsid w:val="00E03E8F"/>
    <w:rsid w:val="00E04877"/>
    <w:rsid w:val="00E07C25"/>
    <w:rsid w:val="00E07E53"/>
    <w:rsid w:val="00E10C57"/>
    <w:rsid w:val="00E10F6F"/>
    <w:rsid w:val="00E1172E"/>
    <w:rsid w:val="00E118A6"/>
    <w:rsid w:val="00E11CF2"/>
    <w:rsid w:val="00E11EE3"/>
    <w:rsid w:val="00E12959"/>
    <w:rsid w:val="00E1309E"/>
    <w:rsid w:val="00E13836"/>
    <w:rsid w:val="00E13941"/>
    <w:rsid w:val="00E15315"/>
    <w:rsid w:val="00E1589F"/>
    <w:rsid w:val="00E16032"/>
    <w:rsid w:val="00E16493"/>
    <w:rsid w:val="00E1660F"/>
    <w:rsid w:val="00E166E6"/>
    <w:rsid w:val="00E16F8A"/>
    <w:rsid w:val="00E17E66"/>
    <w:rsid w:val="00E203E2"/>
    <w:rsid w:val="00E21092"/>
    <w:rsid w:val="00E21906"/>
    <w:rsid w:val="00E21BAC"/>
    <w:rsid w:val="00E2284E"/>
    <w:rsid w:val="00E22CB3"/>
    <w:rsid w:val="00E23448"/>
    <w:rsid w:val="00E23AC5"/>
    <w:rsid w:val="00E240C9"/>
    <w:rsid w:val="00E24BAF"/>
    <w:rsid w:val="00E250FC"/>
    <w:rsid w:val="00E25F74"/>
    <w:rsid w:val="00E269BE"/>
    <w:rsid w:val="00E26CE8"/>
    <w:rsid w:val="00E26EDE"/>
    <w:rsid w:val="00E2700F"/>
    <w:rsid w:val="00E274A5"/>
    <w:rsid w:val="00E27933"/>
    <w:rsid w:val="00E27A1E"/>
    <w:rsid w:val="00E308F9"/>
    <w:rsid w:val="00E30904"/>
    <w:rsid w:val="00E30E75"/>
    <w:rsid w:val="00E31A34"/>
    <w:rsid w:val="00E31B08"/>
    <w:rsid w:val="00E31F62"/>
    <w:rsid w:val="00E32458"/>
    <w:rsid w:val="00E32787"/>
    <w:rsid w:val="00E32EAA"/>
    <w:rsid w:val="00E32F34"/>
    <w:rsid w:val="00E33613"/>
    <w:rsid w:val="00E34179"/>
    <w:rsid w:val="00E35247"/>
    <w:rsid w:val="00E35CDB"/>
    <w:rsid w:val="00E3698F"/>
    <w:rsid w:val="00E3770B"/>
    <w:rsid w:val="00E40058"/>
    <w:rsid w:val="00E40687"/>
    <w:rsid w:val="00E42BF8"/>
    <w:rsid w:val="00E42DCE"/>
    <w:rsid w:val="00E4326F"/>
    <w:rsid w:val="00E434F9"/>
    <w:rsid w:val="00E43FA5"/>
    <w:rsid w:val="00E4481E"/>
    <w:rsid w:val="00E456E8"/>
    <w:rsid w:val="00E4590E"/>
    <w:rsid w:val="00E45C05"/>
    <w:rsid w:val="00E47593"/>
    <w:rsid w:val="00E47997"/>
    <w:rsid w:val="00E47E6B"/>
    <w:rsid w:val="00E5059D"/>
    <w:rsid w:val="00E509F7"/>
    <w:rsid w:val="00E50F0E"/>
    <w:rsid w:val="00E50F5D"/>
    <w:rsid w:val="00E51117"/>
    <w:rsid w:val="00E5277C"/>
    <w:rsid w:val="00E52FEC"/>
    <w:rsid w:val="00E53BCC"/>
    <w:rsid w:val="00E53CF7"/>
    <w:rsid w:val="00E543E3"/>
    <w:rsid w:val="00E55F36"/>
    <w:rsid w:val="00E562A8"/>
    <w:rsid w:val="00E5695E"/>
    <w:rsid w:val="00E57517"/>
    <w:rsid w:val="00E57F52"/>
    <w:rsid w:val="00E60114"/>
    <w:rsid w:val="00E6025F"/>
    <w:rsid w:val="00E6068D"/>
    <w:rsid w:val="00E60E0C"/>
    <w:rsid w:val="00E611A6"/>
    <w:rsid w:val="00E620D4"/>
    <w:rsid w:val="00E6234C"/>
    <w:rsid w:val="00E629F2"/>
    <w:rsid w:val="00E62A8E"/>
    <w:rsid w:val="00E63C39"/>
    <w:rsid w:val="00E64882"/>
    <w:rsid w:val="00E64C5F"/>
    <w:rsid w:val="00E65387"/>
    <w:rsid w:val="00E65393"/>
    <w:rsid w:val="00E653BF"/>
    <w:rsid w:val="00E65FED"/>
    <w:rsid w:val="00E66C5B"/>
    <w:rsid w:val="00E66D5F"/>
    <w:rsid w:val="00E66F7C"/>
    <w:rsid w:val="00E67947"/>
    <w:rsid w:val="00E7136E"/>
    <w:rsid w:val="00E71955"/>
    <w:rsid w:val="00E7293D"/>
    <w:rsid w:val="00E72D51"/>
    <w:rsid w:val="00E72DEB"/>
    <w:rsid w:val="00E734B8"/>
    <w:rsid w:val="00E73AD4"/>
    <w:rsid w:val="00E742C9"/>
    <w:rsid w:val="00E74A1F"/>
    <w:rsid w:val="00E75330"/>
    <w:rsid w:val="00E760A9"/>
    <w:rsid w:val="00E76C4A"/>
    <w:rsid w:val="00E76CE3"/>
    <w:rsid w:val="00E77687"/>
    <w:rsid w:val="00E80085"/>
    <w:rsid w:val="00E80478"/>
    <w:rsid w:val="00E80493"/>
    <w:rsid w:val="00E80A99"/>
    <w:rsid w:val="00E823B6"/>
    <w:rsid w:val="00E82FFA"/>
    <w:rsid w:val="00E83604"/>
    <w:rsid w:val="00E84300"/>
    <w:rsid w:val="00E850F6"/>
    <w:rsid w:val="00E8553C"/>
    <w:rsid w:val="00E86258"/>
    <w:rsid w:val="00E8656E"/>
    <w:rsid w:val="00E86A66"/>
    <w:rsid w:val="00E86C39"/>
    <w:rsid w:val="00E87DDD"/>
    <w:rsid w:val="00E87E9B"/>
    <w:rsid w:val="00E90201"/>
    <w:rsid w:val="00E91853"/>
    <w:rsid w:val="00E91A5C"/>
    <w:rsid w:val="00E91B85"/>
    <w:rsid w:val="00E91BA0"/>
    <w:rsid w:val="00E92F37"/>
    <w:rsid w:val="00E93564"/>
    <w:rsid w:val="00E93C0B"/>
    <w:rsid w:val="00E94707"/>
    <w:rsid w:val="00E95B3C"/>
    <w:rsid w:val="00E95B87"/>
    <w:rsid w:val="00E95D7D"/>
    <w:rsid w:val="00E95EC5"/>
    <w:rsid w:val="00E96D22"/>
    <w:rsid w:val="00E971E7"/>
    <w:rsid w:val="00E97600"/>
    <w:rsid w:val="00EA0B89"/>
    <w:rsid w:val="00EA1435"/>
    <w:rsid w:val="00EA146E"/>
    <w:rsid w:val="00EA22B8"/>
    <w:rsid w:val="00EA317A"/>
    <w:rsid w:val="00EA32BE"/>
    <w:rsid w:val="00EA4108"/>
    <w:rsid w:val="00EA4319"/>
    <w:rsid w:val="00EA44E9"/>
    <w:rsid w:val="00EA4BE7"/>
    <w:rsid w:val="00EA5033"/>
    <w:rsid w:val="00EA5DC1"/>
    <w:rsid w:val="00EA7C25"/>
    <w:rsid w:val="00EA7E72"/>
    <w:rsid w:val="00EB067A"/>
    <w:rsid w:val="00EB076B"/>
    <w:rsid w:val="00EB1735"/>
    <w:rsid w:val="00EB18DC"/>
    <w:rsid w:val="00EB1C30"/>
    <w:rsid w:val="00EB3E9C"/>
    <w:rsid w:val="00EB5F27"/>
    <w:rsid w:val="00EB5FF2"/>
    <w:rsid w:val="00EB7608"/>
    <w:rsid w:val="00EB7667"/>
    <w:rsid w:val="00EB7F72"/>
    <w:rsid w:val="00EB7F86"/>
    <w:rsid w:val="00EC0425"/>
    <w:rsid w:val="00EC157E"/>
    <w:rsid w:val="00EC24F1"/>
    <w:rsid w:val="00EC2A0B"/>
    <w:rsid w:val="00EC3083"/>
    <w:rsid w:val="00EC4773"/>
    <w:rsid w:val="00EC4B5B"/>
    <w:rsid w:val="00EC4DC0"/>
    <w:rsid w:val="00EC5013"/>
    <w:rsid w:val="00EC50DD"/>
    <w:rsid w:val="00EC5D3A"/>
    <w:rsid w:val="00EC5D65"/>
    <w:rsid w:val="00EC5E3B"/>
    <w:rsid w:val="00EC6400"/>
    <w:rsid w:val="00EC7503"/>
    <w:rsid w:val="00EC761C"/>
    <w:rsid w:val="00EC78CC"/>
    <w:rsid w:val="00ED048E"/>
    <w:rsid w:val="00ED3998"/>
    <w:rsid w:val="00ED40A7"/>
    <w:rsid w:val="00ED4661"/>
    <w:rsid w:val="00ED50CA"/>
    <w:rsid w:val="00ED6709"/>
    <w:rsid w:val="00ED7415"/>
    <w:rsid w:val="00EE02E2"/>
    <w:rsid w:val="00EE07B0"/>
    <w:rsid w:val="00EE11C1"/>
    <w:rsid w:val="00EE12DC"/>
    <w:rsid w:val="00EE188C"/>
    <w:rsid w:val="00EE3FB7"/>
    <w:rsid w:val="00EE42CF"/>
    <w:rsid w:val="00EE5F5A"/>
    <w:rsid w:val="00EE7082"/>
    <w:rsid w:val="00EE70F3"/>
    <w:rsid w:val="00EF07FD"/>
    <w:rsid w:val="00EF2D6A"/>
    <w:rsid w:val="00EF3637"/>
    <w:rsid w:val="00EF3B4A"/>
    <w:rsid w:val="00EF42A6"/>
    <w:rsid w:val="00EF4A1A"/>
    <w:rsid w:val="00EF65F3"/>
    <w:rsid w:val="00EF6680"/>
    <w:rsid w:val="00EF726F"/>
    <w:rsid w:val="00EF7469"/>
    <w:rsid w:val="00F00476"/>
    <w:rsid w:val="00F0106E"/>
    <w:rsid w:val="00F01642"/>
    <w:rsid w:val="00F01BBB"/>
    <w:rsid w:val="00F01DE8"/>
    <w:rsid w:val="00F01FB6"/>
    <w:rsid w:val="00F025C3"/>
    <w:rsid w:val="00F0374A"/>
    <w:rsid w:val="00F044A6"/>
    <w:rsid w:val="00F046BD"/>
    <w:rsid w:val="00F04812"/>
    <w:rsid w:val="00F0491F"/>
    <w:rsid w:val="00F04B8E"/>
    <w:rsid w:val="00F04C41"/>
    <w:rsid w:val="00F04CA6"/>
    <w:rsid w:val="00F056D1"/>
    <w:rsid w:val="00F05750"/>
    <w:rsid w:val="00F057D1"/>
    <w:rsid w:val="00F066D2"/>
    <w:rsid w:val="00F07278"/>
    <w:rsid w:val="00F0733A"/>
    <w:rsid w:val="00F07EAB"/>
    <w:rsid w:val="00F127D0"/>
    <w:rsid w:val="00F13D34"/>
    <w:rsid w:val="00F14B6E"/>
    <w:rsid w:val="00F15B78"/>
    <w:rsid w:val="00F1755E"/>
    <w:rsid w:val="00F203A9"/>
    <w:rsid w:val="00F20E38"/>
    <w:rsid w:val="00F20FE6"/>
    <w:rsid w:val="00F229E7"/>
    <w:rsid w:val="00F24AAF"/>
    <w:rsid w:val="00F253C7"/>
    <w:rsid w:val="00F254AA"/>
    <w:rsid w:val="00F255D7"/>
    <w:rsid w:val="00F25E21"/>
    <w:rsid w:val="00F25EA3"/>
    <w:rsid w:val="00F25EB7"/>
    <w:rsid w:val="00F26346"/>
    <w:rsid w:val="00F26535"/>
    <w:rsid w:val="00F2685D"/>
    <w:rsid w:val="00F27721"/>
    <w:rsid w:val="00F2786B"/>
    <w:rsid w:val="00F2786C"/>
    <w:rsid w:val="00F27C13"/>
    <w:rsid w:val="00F27C65"/>
    <w:rsid w:val="00F30722"/>
    <w:rsid w:val="00F30A16"/>
    <w:rsid w:val="00F3119E"/>
    <w:rsid w:val="00F323FF"/>
    <w:rsid w:val="00F32F44"/>
    <w:rsid w:val="00F32F48"/>
    <w:rsid w:val="00F33B6A"/>
    <w:rsid w:val="00F345BA"/>
    <w:rsid w:val="00F34B88"/>
    <w:rsid w:val="00F34BF8"/>
    <w:rsid w:val="00F36006"/>
    <w:rsid w:val="00F36881"/>
    <w:rsid w:val="00F377D7"/>
    <w:rsid w:val="00F4022F"/>
    <w:rsid w:val="00F404E0"/>
    <w:rsid w:val="00F412FB"/>
    <w:rsid w:val="00F41B8C"/>
    <w:rsid w:val="00F41BDC"/>
    <w:rsid w:val="00F41C4A"/>
    <w:rsid w:val="00F41DB3"/>
    <w:rsid w:val="00F424CD"/>
    <w:rsid w:val="00F424F4"/>
    <w:rsid w:val="00F4255A"/>
    <w:rsid w:val="00F428BC"/>
    <w:rsid w:val="00F43F8B"/>
    <w:rsid w:val="00F44D90"/>
    <w:rsid w:val="00F45012"/>
    <w:rsid w:val="00F46448"/>
    <w:rsid w:val="00F46C17"/>
    <w:rsid w:val="00F470AA"/>
    <w:rsid w:val="00F47510"/>
    <w:rsid w:val="00F47A2D"/>
    <w:rsid w:val="00F50315"/>
    <w:rsid w:val="00F50383"/>
    <w:rsid w:val="00F506C4"/>
    <w:rsid w:val="00F516EF"/>
    <w:rsid w:val="00F52291"/>
    <w:rsid w:val="00F5233E"/>
    <w:rsid w:val="00F52C5E"/>
    <w:rsid w:val="00F53218"/>
    <w:rsid w:val="00F533E6"/>
    <w:rsid w:val="00F53424"/>
    <w:rsid w:val="00F53669"/>
    <w:rsid w:val="00F537EB"/>
    <w:rsid w:val="00F54ABD"/>
    <w:rsid w:val="00F54C08"/>
    <w:rsid w:val="00F54D0F"/>
    <w:rsid w:val="00F55B63"/>
    <w:rsid w:val="00F56762"/>
    <w:rsid w:val="00F56C69"/>
    <w:rsid w:val="00F5728B"/>
    <w:rsid w:val="00F6023E"/>
    <w:rsid w:val="00F604D1"/>
    <w:rsid w:val="00F60CBB"/>
    <w:rsid w:val="00F60E22"/>
    <w:rsid w:val="00F61D9E"/>
    <w:rsid w:val="00F62744"/>
    <w:rsid w:val="00F6292A"/>
    <w:rsid w:val="00F62BF7"/>
    <w:rsid w:val="00F62DE2"/>
    <w:rsid w:val="00F63792"/>
    <w:rsid w:val="00F63F1B"/>
    <w:rsid w:val="00F64031"/>
    <w:rsid w:val="00F6554B"/>
    <w:rsid w:val="00F658E9"/>
    <w:rsid w:val="00F65904"/>
    <w:rsid w:val="00F66157"/>
    <w:rsid w:val="00F666A5"/>
    <w:rsid w:val="00F6794B"/>
    <w:rsid w:val="00F67C3A"/>
    <w:rsid w:val="00F702A2"/>
    <w:rsid w:val="00F70685"/>
    <w:rsid w:val="00F7135E"/>
    <w:rsid w:val="00F71497"/>
    <w:rsid w:val="00F71FCF"/>
    <w:rsid w:val="00F72306"/>
    <w:rsid w:val="00F72658"/>
    <w:rsid w:val="00F735DA"/>
    <w:rsid w:val="00F73A8E"/>
    <w:rsid w:val="00F73AC0"/>
    <w:rsid w:val="00F743F1"/>
    <w:rsid w:val="00F7450D"/>
    <w:rsid w:val="00F75451"/>
    <w:rsid w:val="00F75800"/>
    <w:rsid w:val="00F75EA7"/>
    <w:rsid w:val="00F75F64"/>
    <w:rsid w:val="00F76363"/>
    <w:rsid w:val="00F76701"/>
    <w:rsid w:val="00F76791"/>
    <w:rsid w:val="00F76B8C"/>
    <w:rsid w:val="00F776D3"/>
    <w:rsid w:val="00F77DF6"/>
    <w:rsid w:val="00F80191"/>
    <w:rsid w:val="00F80F84"/>
    <w:rsid w:val="00F81D99"/>
    <w:rsid w:val="00F81FF8"/>
    <w:rsid w:val="00F8246D"/>
    <w:rsid w:val="00F84920"/>
    <w:rsid w:val="00F8547C"/>
    <w:rsid w:val="00F86723"/>
    <w:rsid w:val="00F86A7C"/>
    <w:rsid w:val="00F86AE2"/>
    <w:rsid w:val="00F86BB9"/>
    <w:rsid w:val="00F87963"/>
    <w:rsid w:val="00F87BB3"/>
    <w:rsid w:val="00F87D5C"/>
    <w:rsid w:val="00F9119F"/>
    <w:rsid w:val="00F91F22"/>
    <w:rsid w:val="00F92654"/>
    <w:rsid w:val="00F926E7"/>
    <w:rsid w:val="00F96068"/>
    <w:rsid w:val="00F96A44"/>
    <w:rsid w:val="00F96C61"/>
    <w:rsid w:val="00F97ED1"/>
    <w:rsid w:val="00FA148F"/>
    <w:rsid w:val="00FA1AE7"/>
    <w:rsid w:val="00FA2323"/>
    <w:rsid w:val="00FA3F2F"/>
    <w:rsid w:val="00FA44F2"/>
    <w:rsid w:val="00FA4C13"/>
    <w:rsid w:val="00FA614D"/>
    <w:rsid w:val="00FA6406"/>
    <w:rsid w:val="00FA6922"/>
    <w:rsid w:val="00FA6AFA"/>
    <w:rsid w:val="00FA715B"/>
    <w:rsid w:val="00FA78B1"/>
    <w:rsid w:val="00FA79A1"/>
    <w:rsid w:val="00FA7AB1"/>
    <w:rsid w:val="00FA7D56"/>
    <w:rsid w:val="00FB00A7"/>
    <w:rsid w:val="00FB0605"/>
    <w:rsid w:val="00FB0B4D"/>
    <w:rsid w:val="00FB137A"/>
    <w:rsid w:val="00FB13DF"/>
    <w:rsid w:val="00FB16B0"/>
    <w:rsid w:val="00FB16E2"/>
    <w:rsid w:val="00FB18BD"/>
    <w:rsid w:val="00FB1AD3"/>
    <w:rsid w:val="00FB392F"/>
    <w:rsid w:val="00FB3E04"/>
    <w:rsid w:val="00FB4362"/>
    <w:rsid w:val="00FB44D9"/>
    <w:rsid w:val="00FB4D71"/>
    <w:rsid w:val="00FB4F8B"/>
    <w:rsid w:val="00FB7DB1"/>
    <w:rsid w:val="00FC039B"/>
    <w:rsid w:val="00FC114C"/>
    <w:rsid w:val="00FC254F"/>
    <w:rsid w:val="00FC3B74"/>
    <w:rsid w:val="00FC4331"/>
    <w:rsid w:val="00FC45D2"/>
    <w:rsid w:val="00FC5080"/>
    <w:rsid w:val="00FC5E04"/>
    <w:rsid w:val="00FC68F7"/>
    <w:rsid w:val="00FC6A63"/>
    <w:rsid w:val="00FC75E5"/>
    <w:rsid w:val="00FC7ACD"/>
    <w:rsid w:val="00FC7CCB"/>
    <w:rsid w:val="00FD056C"/>
    <w:rsid w:val="00FD068B"/>
    <w:rsid w:val="00FD2103"/>
    <w:rsid w:val="00FD28C4"/>
    <w:rsid w:val="00FD2C97"/>
    <w:rsid w:val="00FD32BE"/>
    <w:rsid w:val="00FD3EED"/>
    <w:rsid w:val="00FD3F9A"/>
    <w:rsid w:val="00FD400C"/>
    <w:rsid w:val="00FD487A"/>
    <w:rsid w:val="00FD4890"/>
    <w:rsid w:val="00FD4F0A"/>
    <w:rsid w:val="00FD5B42"/>
    <w:rsid w:val="00FD5C8B"/>
    <w:rsid w:val="00FD642E"/>
    <w:rsid w:val="00FD6494"/>
    <w:rsid w:val="00FD7B94"/>
    <w:rsid w:val="00FE0799"/>
    <w:rsid w:val="00FE1458"/>
    <w:rsid w:val="00FE1ACC"/>
    <w:rsid w:val="00FE1FE6"/>
    <w:rsid w:val="00FE21E9"/>
    <w:rsid w:val="00FE25AC"/>
    <w:rsid w:val="00FE3940"/>
    <w:rsid w:val="00FE3B84"/>
    <w:rsid w:val="00FE3FAC"/>
    <w:rsid w:val="00FE5C47"/>
    <w:rsid w:val="00FE7673"/>
    <w:rsid w:val="00FE7BB3"/>
    <w:rsid w:val="00FE7D0A"/>
    <w:rsid w:val="00FF101A"/>
    <w:rsid w:val="00FF23CE"/>
    <w:rsid w:val="00FF26F2"/>
    <w:rsid w:val="00FF2E5C"/>
    <w:rsid w:val="00FF2F07"/>
    <w:rsid w:val="00FF36D5"/>
    <w:rsid w:val="00FF3860"/>
    <w:rsid w:val="00FF4BBA"/>
    <w:rsid w:val="00FF5297"/>
    <w:rsid w:val="00FF5422"/>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8D9"/>
    <w:rPr>
      <w:sz w:val="24"/>
      <w:szCs w:val="24"/>
    </w:rPr>
  </w:style>
  <w:style w:type="paragraph" w:styleId="Heading1">
    <w:name w:val="heading 1"/>
    <w:basedOn w:val="Normal"/>
    <w:next w:val="Normal"/>
    <w:link w:val="Heading1Char"/>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link w:val="Heading2Char"/>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link w:val="Heading3Char"/>
    <w:qFormat/>
    <w:rsid w:val="00FC3B74"/>
    <w:pPr>
      <w:keepNext/>
      <w:keepLines/>
      <w:spacing w:before="120" w:after="240"/>
      <w:outlineLvl w:val="2"/>
    </w:pPr>
    <w:rPr>
      <w:rFonts w:cs="Arial"/>
      <w:b/>
      <w:bCs/>
      <w:szCs w:val="26"/>
    </w:rPr>
  </w:style>
  <w:style w:type="paragraph" w:styleId="Heading4">
    <w:name w:val="heading 4"/>
    <w:basedOn w:val="Normal"/>
    <w:next w:val="Normal"/>
    <w:link w:val="Heading4Char"/>
    <w:qFormat/>
    <w:rsid w:val="00FC3B74"/>
    <w:pPr>
      <w:keepNext/>
      <w:keepLines/>
      <w:spacing w:before="120" w:after="240"/>
      <w:outlineLvl w:val="3"/>
    </w:pPr>
    <w:rPr>
      <w:b/>
      <w:bCs/>
      <w:i/>
      <w:szCs w:val="28"/>
    </w:rPr>
  </w:style>
  <w:style w:type="paragraph" w:styleId="Heading5">
    <w:name w:val="heading 5"/>
    <w:basedOn w:val="Normal"/>
    <w:next w:val="Normal"/>
    <w:link w:val="Heading5Char"/>
    <w:qFormat/>
    <w:rsid w:val="00FC3B74"/>
    <w:pPr>
      <w:keepNext/>
      <w:outlineLvl w:val="4"/>
    </w:pPr>
    <w:rPr>
      <w:b/>
      <w:bCs/>
      <w:u w:val="single"/>
    </w:rPr>
  </w:style>
  <w:style w:type="paragraph" w:styleId="Heading9">
    <w:name w:val="heading 9"/>
    <w:basedOn w:val="Normal"/>
    <w:next w:val="Normal"/>
    <w:link w:val="Heading9Char"/>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A4E53"/>
    <w:pPr>
      <w:tabs>
        <w:tab w:val="left" w:pos="720"/>
        <w:tab w:val="right" w:leader="dot" w:pos="9360"/>
      </w:tabs>
      <w:spacing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uiPriority w:val="99"/>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uiPriority w:val="99"/>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uiPriority w:val="99"/>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uiPriority w:val="99"/>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uiPriority w:val="99"/>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uiPriority w:val="99"/>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ft,Geneva 9,Font: Geneva 9,Boston 10,f,ALTS FOOTNOTE,Footnote Text Char1 Char,Footnote Text Char Char Char,Footnote Text Char1 Char Char Char,Footnote Text Char Char Char Char Char,ADB"/>
    <w:basedOn w:val="Normal"/>
    <w:link w:val="FootnoteTextChar"/>
    <w:uiPriority w:val="99"/>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ftref,Footnote Reference Number,16 Point,Superscript 6 Point,Footnote,BVI fnr,Ref,de nota al pie, BVI fnr,Times 10 Point, Exposant 3 Point,Footnote symbol,Footnote reference number,Exposant 3 Point,EN Footnote Reference,note TESI"/>
    <w:basedOn w:val="DefaultParagraphFont"/>
    <w:uiPriority w:val="99"/>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link w:val="BodyTextChar"/>
    <w:rsid w:val="00FC3B74"/>
    <w:rPr>
      <w:b/>
      <w:bCs/>
      <w:color w:val="000000"/>
      <w:szCs w:val="20"/>
    </w:rPr>
  </w:style>
  <w:style w:type="paragraph" w:styleId="BodyText2">
    <w:name w:val="Body Text 2"/>
    <w:basedOn w:val="Normal"/>
    <w:link w:val="BodyText2Char"/>
    <w:rsid w:val="00FC3B74"/>
    <w:pPr>
      <w:autoSpaceDE w:val="0"/>
      <w:autoSpaceDN w:val="0"/>
      <w:adjustRightInd w:val="0"/>
      <w:spacing w:line="240" w:lineRule="atLeast"/>
    </w:pPr>
    <w:rPr>
      <w:color w:val="000000"/>
      <w:szCs w:val="20"/>
    </w:rPr>
  </w:style>
  <w:style w:type="paragraph" w:styleId="BalloonText">
    <w:name w:val="Balloon Text"/>
    <w:basedOn w:val="Normal"/>
    <w:link w:val="BalloonTextChar"/>
    <w:uiPriority w:val="99"/>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ListParagraph">
    <w:name w:val="List Paragraph"/>
    <w:aliases w:val="Bullets"/>
    <w:basedOn w:val="Normal"/>
    <w:link w:val="ListParagraphChar"/>
    <w:uiPriority w:val="99"/>
    <w:qFormat/>
    <w:rsid w:val="00727DBA"/>
    <w:pPr>
      <w:ind w:left="720"/>
      <w:contextualSpacing/>
    </w:pPr>
  </w:style>
  <w:style w:type="character" w:customStyle="1" w:styleId="FootnoteTextChar">
    <w:name w:val="Footnote Text Char"/>
    <w:aliases w:val="single space Char,footnote text Char,fn Char,FOOTNOTES Char,ft Char,Geneva 9 Char,Font: Geneva 9 Char,Boston 10 Char,f Char,ALTS FOOTNOTE Char,Footnote Text Char1 Char Char,Footnote Text Char Char Char Char,ADB Char"/>
    <w:basedOn w:val="DefaultParagraphFont"/>
    <w:link w:val="FootnoteText"/>
    <w:uiPriority w:val="99"/>
    <w:rsid w:val="000D6EAB"/>
  </w:style>
  <w:style w:type="character" w:styleId="CommentReference">
    <w:name w:val="annotation reference"/>
    <w:basedOn w:val="DefaultParagraphFont"/>
    <w:uiPriority w:val="99"/>
    <w:rsid w:val="00FE21E9"/>
    <w:rPr>
      <w:sz w:val="16"/>
      <w:szCs w:val="16"/>
    </w:rPr>
  </w:style>
  <w:style w:type="paragraph" w:styleId="CommentText">
    <w:name w:val="annotation text"/>
    <w:basedOn w:val="Normal"/>
    <w:link w:val="CommentTextChar"/>
    <w:uiPriority w:val="99"/>
    <w:rsid w:val="00FE21E9"/>
    <w:rPr>
      <w:sz w:val="20"/>
      <w:szCs w:val="20"/>
    </w:rPr>
  </w:style>
  <w:style w:type="character" w:customStyle="1" w:styleId="CommentTextChar">
    <w:name w:val="Comment Text Char"/>
    <w:basedOn w:val="DefaultParagraphFont"/>
    <w:link w:val="CommentText"/>
    <w:uiPriority w:val="99"/>
    <w:rsid w:val="00FE21E9"/>
  </w:style>
  <w:style w:type="paragraph" w:styleId="CommentSubject">
    <w:name w:val="annotation subject"/>
    <w:basedOn w:val="CommentText"/>
    <w:next w:val="CommentText"/>
    <w:link w:val="CommentSubjectChar"/>
    <w:rsid w:val="00FE21E9"/>
    <w:rPr>
      <w:b/>
      <w:bCs/>
    </w:rPr>
  </w:style>
  <w:style w:type="character" w:customStyle="1" w:styleId="CommentSubjectChar">
    <w:name w:val="Comment Subject Char"/>
    <w:basedOn w:val="CommentTextChar"/>
    <w:link w:val="CommentSubject"/>
    <w:rsid w:val="00FE21E9"/>
    <w:rPr>
      <w:b/>
      <w:bCs/>
    </w:rPr>
  </w:style>
  <w:style w:type="character" w:customStyle="1" w:styleId="ListParagraphChar">
    <w:name w:val="List Paragraph Char"/>
    <w:aliases w:val="Bullets Char"/>
    <w:basedOn w:val="DefaultParagraphFont"/>
    <w:link w:val="ListParagraph"/>
    <w:uiPriority w:val="99"/>
    <w:rsid w:val="004B48FB"/>
    <w:rPr>
      <w:sz w:val="24"/>
      <w:szCs w:val="24"/>
    </w:rPr>
  </w:style>
  <w:style w:type="paragraph" w:styleId="NoSpacing">
    <w:name w:val="No Spacing"/>
    <w:basedOn w:val="Normal"/>
    <w:link w:val="NoSpacingChar"/>
    <w:uiPriority w:val="1"/>
    <w:qFormat/>
    <w:rsid w:val="007077DC"/>
    <w:rPr>
      <w:rFonts w:ascii="Cambria" w:eastAsia="Calibri" w:hAnsi="Cambria"/>
      <w:sz w:val="22"/>
      <w:szCs w:val="22"/>
      <w:lang w:bidi="en-US"/>
    </w:rPr>
  </w:style>
  <w:style w:type="character" w:customStyle="1" w:styleId="NoSpacingChar">
    <w:name w:val="No Spacing Char"/>
    <w:basedOn w:val="DefaultParagraphFont"/>
    <w:link w:val="NoSpacing"/>
    <w:uiPriority w:val="1"/>
    <w:rsid w:val="007077DC"/>
    <w:rPr>
      <w:rFonts w:ascii="Cambria" w:eastAsia="Calibri" w:hAnsi="Cambria"/>
      <w:sz w:val="22"/>
      <w:szCs w:val="22"/>
      <w:lang w:bidi="en-US"/>
    </w:rPr>
  </w:style>
  <w:style w:type="paragraph" w:styleId="Revision">
    <w:name w:val="Revision"/>
    <w:hidden/>
    <w:uiPriority w:val="99"/>
    <w:semiHidden/>
    <w:rsid w:val="00BF7865"/>
    <w:rPr>
      <w:sz w:val="24"/>
      <w:szCs w:val="24"/>
    </w:rPr>
  </w:style>
  <w:style w:type="paragraph" w:customStyle="1" w:styleId="Style10">
    <w:name w:val="Style 1"/>
    <w:basedOn w:val="Normal"/>
    <w:rsid w:val="00BF104F"/>
    <w:pPr>
      <w:widowControl w:val="0"/>
      <w:autoSpaceDE w:val="0"/>
      <w:autoSpaceDN w:val="0"/>
      <w:adjustRightInd w:val="0"/>
    </w:pPr>
  </w:style>
  <w:style w:type="character" w:customStyle="1" w:styleId="HeaderChar">
    <w:name w:val="Header Char"/>
    <w:basedOn w:val="DefaultParagraphFont"/>
    <w:link w:val="Header"/>
    <w:uiPriority w:val="99"/>
    <w:rsid w:val="0067222A"/>
    <w:rPr>
      <w:sz w:val="24"/>
      <w:szCs w:val="24"/>
    </w:rPr>
  </w:style>
  <w:style w:type="paragraph" w:customStyle="1" w:styleId="ChapterNumber">
    <w:name w:val="ChapterNumber"/>
    <w:basedOn w:val="Normal"/>
    <w:next w:val="Normal"/>
    <w:rsid w:val="0067222A"/>
    <w:pPr>
      <w:autoSpaceDE w:val="0"/>
      <w:autoSpaceDN w:val="0"/>
      <w:spacing w:after="360"/>
      <w:ind w:left="720" w:hanging="720"/>
      <w:jc w:val="both"/>
    </w:pPr>
    <w:rPr>
      <w:rFonts w:eastAsia="Calibri"/>
      <w:sz w:val="20"/>
      <w:lang w:bidi="en-US"/>
    </w:rPr>
  </w:style>
  <w:style w:type="paragraph" w:styleId="Caption">
    <w:name w:val="caption"/>
    <w:aliases w:val="Légende Car Car"/>
    <w:basedOn w:val="Normal"/>
    <w:next w:val="Normal"/>
    <w:link w:val="CaptionChar"/>
    <w:unhideWhenUsed/>
    <w:qFormat/>
    <w:rsid w:val="00606DFD"/>
    <w:pPr>
      <w:spacing w:after="200"/>
    </w:pPr>
    <w:rPr>
      <w:b/>
      <w:bCs/>
      <w:color w:val="4F81BD" w:themeColor="accent1"/>
      <w:sz w:val="18"/>
      <w:szCs w:val="18"/>
    </w:rPr>
  </w:style>
  <w:style w:type="paragraph" w:styleId="TableofFigures">
    <w:name w:val="table of figures"/>
    <w:basedOn w:val="Normal"/>
    <w:next w:val="Normal"/>
    <w:uiPriority w:val="99"/>
    <w:rsid w:val="0036404C"/>
    <w:pPr>
      <w:spacing w:before="240" w:after="240"/>
    </w:pPr>
  </w:style>
  <w:style w:type="character" w:customStyle="1" w:styleId="profilename2">
    <w:name w:val="profilename2"/>
    <w:basedOn w:val="DefaultParagraphFont"/>
    <w:rsid w:val="00B925BB"/>
  </w:style>
  <w:style w:type="paragraph" w:styleId="EndnoteText">
    <w:name w:val="endnote text"/>
    <w:basedOn w:val="Normal"/>
    <w:link w:val="EndnoteTextChar"/>
    <w:uiPriority w:val="99"/>
    <w:rsid w:val="00156114"/>
    <w:rPr>
      <w:sz w:val="20"/>
      <w:szCs w:val="20"/>
    </w:rPr>
  </w:style>
  <w:style w:type="character" w:customStyle="1" w:styleId="EndnoteTextChar">
    <w:name w:val="Endnote Text Char"/>
    <w:basedOn w:val="DefaultParagraphFont"/>
    <w:link w:val="EndnoteText"/>
    <w:uiPriority w:val="99"/>
    <w:rsid w:val="00156114"/>
  </w:style>
  <w:style w:type="character" w:styleId="EndnoteReference">
    <w:name w:val="endnote reference"/>
    <w:basedOn w:val="DefaultParagraphFont"/>
    <w:rsid w:val="00156114"/>
    <w:rPr>
      <w:vertAlign w:val="superscript"/>
    </w:rPr>
  </w:style>
  <w:style w:type="character" w:customStyle="1" w:styleId="FooterChar">
    <w:name w:val="Footer Char"/>
    <w:basedOn w:val="DefaultParagraphFont"/>
    <w:link w:val="Footer"/>
    <w:uiPriority w:val="99"/>
    <w:rsid w:val="00906E6C"/>
    <w:rPr>
      <w:sz w:val="24"/>
      <w:szCs w:val="24"/>
    </w:rPr>
  </w:style>
  <w:style w:type="paragraph" w:customStyle="1" w:styleId="FIASfootnotetext">
    <w:name w:val="FIAS footnote text"/>
    <w:basedOn w:val="Normal"/>
    <w:rsid w:val="00834F0F"/>
    <w:pPr>
      <w:spacing w:after="200" w:line="276" w:lineRule="auto"/>
    </w:pPr>
    <w:rPr>
      <w:rFonts w:eastAsia="Calibri"/>
      <w:sz w:val="20"/>
      <w:szCs w:val="20"/>
    </w:rPr>
  </w:style>
  <w:style w:type="paragraph" w:customStyle="1" w:styleId="FIASRpttext">
    <w:name w:val="FIAS Rpt text"/>
    <w:basedOn w:val="Normal"/>
    <w:link w:val="FIASRpttextChar"/>
    <w:qFormat/>
    <w:rsid w:val="00A465C2"/>
    <w:pPr>
      <w:keepLines/>
      <w:spacing w:before="120" w:after="240" w:line="276" w:lineRule="auto"/>
    </w:pPr>
    <w:rPr>
      <w:rFonts w:eastAsia="Calibri"/>
      <w:sz w:val="22"/>
      <w:szCs w:val="22"/>
    </w:rPr>
  </w:style>
  <w:style w:type="paragraph" w:customStyle="1" w:styleId="FIASRptheading2">
    <w:name w:val="FIAS Rpt heading 2"/>
    <w:basedOn w:val="Normal"/>
    <w:next w:val="FIASRpttext"/>
    <w:rsid w:val="00A465C2"/>
    <w:pPr>
      <w:spacing w:before="360" w:after="360"/>
    </w:pPr>
    <w:rPr>
      <w:rFonts w:ascii="Verdana" w:hAnsi="Verdana"/>
      <w:b/>
      <w:lang w:val="en-AU"/>
    </w:rPr>
  </w:style>
  <w:style w:type="character" w:customStyle="1" w:styleId="FIASRpttextChar">
    <w:name w:val="FIAS Rpt text Char"/>
    <w:link w:val="FIASRpttext"/>
    <w:rsid w:val="00A465C2"/>
    <w:rPr>
      <w:rFonts w:eastAsia="Calibri"/>
      <w:sz w:val="22"/>
      <w:szCs w:val="22"/>
    </w:rPr>
  </w:style>
  <w:style w:type="paragraph" w:customStyle="1" w:styleId="FIASRptheading1">
    <w:name w:val="FIAS Rpt heading 1"/>
    <w:basedOn w:val="Normal"/>
    <w:next w:val="FIASRpttext"/>
    <w:rsid w:val="00622EA3"/>
    <w:pPr>
      <w:spacing w:before="360" w:after="360"/>
    </w:pPr>
    <w:rPr>
      <w:rFonts w:ascii="Verdana" w:hAnsi="Verdana"/>
      <w:b/>
      <w:sz w:val="28"/>
      <w:lang w:val="en-AU"/>
    </w:rPr>
  </w:style>
  <w:style w:type="paragraph" w:customStyle="1" w:styleId="FIASRptheading3">
    <w:name w:val="FIAS Rpt heading 3"/>
    <w:basedOn w:val="FIASRpttext"/>
    <w:next w:val="FIASRpttext"/>
    <w:rsid w:val="00622EA3"/>
    <w:pPr>
      <w:spacing w:before="360" w:after="360"/>
    </w:pPr>
    <w:rPr>
      <w:rFonts w:ascii="Verdana" w:hAnsi="Verdana"/>
      <w:b/>
      <w:i/>
    </w:rPr>
  </w:style>
  <w:style w:type="character" w:customStyle="1" w:styleId="CaptionChar">
    <w:name w:val="Caption Char"/>
    <w:aliases w:val="Légende Car Car Char"/>
    <w:link w:val="Caption"/>
    <w:rsid w:val="00622EA3"/>
    <w:rPr>
      <w:b/>
      <w:bCs/>
      <w:color w:val="4F81BD" w:themeColor="accent1"/>
      <w:sz w:val="18"/>
      <w:szCs w:val="18"/>
    </w:rPr>
  </w:style>
  <w:style w:type="paragraph" w:styleId="NormalWeb">
    <w:name w:val="Normal (Web)"/>
    <w:basedOn w:val="Normal"/>
    <w:uiPriority w:val="99"/>
    <w:unhideWhenUsed/>
    <w:rsid w:val="00622EA3"/>
    <w:pPr>
      <w:spacing w:before="100" w:beforeAutospacing="1" w:after="100" w:afterAutospacing="1"/>
    </w:pPr>
    <w:rPr>
      <w:rFonts w:eastAsiaTheme="minorEastAsia"/>
      <w:lang w:val="en-GB" w:eastAsia="en-GB"/>
    </w:rPr>
  </w:style>
  <w:style w:type="character" w:customStyle="1" w:styleId="BalloonTextChar">
    <w:name w:val="Balloon Text Char"/>
    <w:basedOn w:val="DefaultParagraphFont"/>
    <w:link w:val="BalloonText"/>
    <w:uiPriority w:val="99"/>
    <w:semiHidden/>
    <w:rsid w:val="00622EA3"/>
    <w:rPr>
      <w:rFonts w:ascii="Tahoma" w:hAnsi="Tahoma" w:cs="Tahoma"/>
      <w:sz w:val="16"/>
      <w:szCs w:val="16"/>
    </w:rPr>
  </w:style>
  <w:style w:type="character" w:styleId="PlaceholderText">
    <w:name w:val="Placeholder Text"/>
    <w:basedOn w:val="DefaultParagraphFont"/>
    <w:uiPriority w:val="99"/>
    <w:semiHidden/>
    <w:rsid w:val="000A797C"/>
    <w:rPr>
      <w:color w:val="808080"/>
    </w:rPr>
  </w:style>
  <w:style w:type="character" w:customStyle="1" w:styleId="Heading1Char">
    <w:name w:val="Heading 1 Char"/>
    <w:basedOn w:val="DefaultParagraphFont"/>
    <w:link w:val="Heading1"/>
    <w:rsid w:val="00AB2147"/>
    <w:rPr>
      <w:rFonts w:cs="Arial"/>
      <w:b/>
      <w:bCs/>
      <w:caps/>
      <w:kern w:val="32"/>
      <w:sz w:val="32"/>
      <w:szCs w:val="32"/>
    </w:rPr>
  </w:style>
  <w:style w:type="character" w:customStyle="1" w:styleId="Heading2Char">
    <w:name w:val="Heading 2 Char"/>
    <w:basedOn w:val="DefaultParagraphFont"/>
    <w:link w:val="Heading2"/>
    <w:rsid w:val="00AB2147"/>
    <w:rPr>
      <w:rFonts w:cs="Arial"/>
      <w:b/>
      <w:bCs/>
      <w:iCs/>
      <w:smallCaps/>
      <w:sz w:val="24"/>
      <w:szCs w:val="28"/>
    </w:rPr>
  </w:style>
  <w:style w:type="character" w:customStyle="1" w:styleId="Heading3Char">
    <w:name w:val="Heading 3 Char"/>
    <w:basedOn w:val="DefaultParagraphFont"/>
    <w:link w:val="Heading3"/>
    <w:rsid w:val="00AB2147"/>
    <w:rPr>
      <w:rFonts w:cs="Arial"/>
      <w:b/>
      <w:bCs/>
      <w:sz w:val="24"/>
      <w:szCs w:val="26"/>
    </w:rPr>
  </w:style>
  <w:style w:type="character" w:customStyle="1" w:styleId="Heading4Char">
    <w:name w:val="Heading 4 Char"/>
    <w:basedOn w:val="DefaultParagraphFont"/>
    <w:link w:val="Heading4"/>
    <w:rsid w:val="00AB2147"/>
    <w:rPr>
      <w:b/>
      <w:bCs/>
      <w:i/>
      <w:sz w:val="24"/>
      <w:szCs w:val="28"/>
    </w:rPr>
  </w:style>
  <w:style w:type="character" w:customStyle="1" w:styleId="Heading5Char">
    <w:name w:val="Heading 5 Char"/>
    <w:basedOn w:val="DefaultParagraphFont"/>
    <w:link w:val="Heading5"/>
    <w:rsid w:val="00AB2147"/>
    <w:rPr>
      <w:b/>
      <w:bCs/>
      <w:sz w:val="24"/>
      <w:szCs w:val="24"/>
      <w:u w:val="single"/>
    </w:rPr>
  </w:style>
  <w:style w:type="character" w:customStyle="1" w:styleId="Heading9Char">
    <w:name w:val="Heading 9 Char"/>
    <w:basedOn w:val="DefaultParagraphFont"/>
    <w:link w:val="Heading9"/>
    <w:rsid w:val="00AB2147"/>
    <w:rPr>
      <w:rFonts w:ascii="Arial" w:hAnsi="Arial" w:cs="Arial"/>
      <w:sz w:val="22"/>
      <w:szCs w:val="22"/>
    </w:rPr>
  </w:style>
  <w:style w:type="character" w:customStyle="1" w:styleId="BodyTextChar">
    <w:name w:val="Body Text Char"/>
    <w:basedOn w:val="DefaultParagraphFont"/>
    <w:link w:val="BodyText"/>
    <w:rsid w:val="00AB2147"/>
    <w:rPr>
      <w:b/>
      <w:bCs/>
      <w:color w:val="000000"/>
      <w:sz w:val="24"/>
    </w:rPr>
  </w:style>
  <w:style w:type="character" w:customStyle="1" w:styleId="BodyText2Char">
    <w:name w:val="Body Text 2 Char"/>
    <w:basedOn w:val="DefaultParagraphFont"/>
    <w:link w:val="BodyText2"/>
    <w:rsid w:val="00AB2147"/>
    <w:rPr>
      <w:color w:val="000000"/>
      <w:sz w:val="24"/>
    </w:rPr>
  </w:style>
  <w:style w:type="paragraph" w:customStyle="1" w:styleId="maintext">
    <w:name w:val="main_text"/>
    <w:basedOn w:val="Normal"/>
    <w:rsid w:val="007A59BF"/>
    <w:pPr>
      <w:spacing w:before="100" w:beforeAutospacing="1" w:after="100" w:afterAutospacing="1"/>
    </w:pPr>
  </w:style>
  <w:style w:type="character" w:styleId="Strong">
    <w:name w:val="Strong"/>
    <w:basedOn w:val="DefaultParagraphFont"/>
    <w:uiPriority w:val="22"/>
    <w:qFormat/>
    <w:rsid w:val="007A59BF"/>
    <w:rPr>
      <w:b/>
      <w:bCs/>
    </w:rPr>
  </w:style>
  <w:style w:type="character" w:styleId="Emphasis">
    <w:name w:val="Emphasis"/>
    <w:basedOn w:val="DefaultParagraphFont"/>
    <w:uiPriority w:val="20"/>
    <w:qFormat/>
    <w:rsid w:val="007A59BF"/>
    <w:rPr>
      <w:i/>
      <w:iCs/>
    </w:rPr>
  </w:style>
  <w:style w:type="paragraph" w:styleId="Title">
    <w:name w:val="Title"/>
    <w:basedOn w:val="Normal"/>
    <w:next w:val="Normal"/>
    <w:link w:val="TitleChar"/>
    <w:qFormat/>
    <w:rsid w:val="004B01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011F"/>
    <w:rPr>
      <w:rFonts w:asciiTheme="majorHAnsi" w:eastAsiaTheme="majorEastAsia" w:hAnsiTheme="majorHAnsi" w:cstheme="majorBidi"/>
      <w:color w:val="17365D" w:themeColor="text2" w:themeShade="BF"/>
      <w:spacing w:val="5"/>
      <w:kern w:val="28"/>
      <w:sz w:val="52"/>
      <w:szCs w:val="52"/>
    </w:rPr>
  </w:style>
  <w:style w:type="character" w:customStyle="1" w:styleId="field-content4">
    <w:name w:val="field-content4"/>
    <w:basedOn w:val="DefaultParagraphFont"/>
    <w:rsid w:val="00C4247A"/>
  </w:style>
  <w:style w:type="character" w:customStyle="1" w:styleId="hps">
    <w:name w:val="hps"/>
    <w:basedOn w:val="DefaultParagraphFont"/>
    <w:rsid w:val="00C40D86"/>
  </w:style>
  <w:style w:type="paragraph" w:customStyle="1" w:styleId="Default">
    <w:name w:val="Default"/>
    <w:rsid w:val="00CA6112"/>
    <w:pPr>
      <w:autoSpaceDE w:val="0"/>
      <w:autoSpaceDN w:val="0"/>
      <w:adjustRightInd w:val="0"/>
    </w:pPr>
    <w:rPr>
      <w:color w:val="000000"/>
      <w:sz w:val="24"/>
      <w:szCs w:val="24"/>
    </w:rPr>
  </w:style>
  <w:style w:type="paragraph" w:customStyle="1" w:styleId="ModelNrmlSingle">
    <w:name w:val="ModelNrmlSingle"/>
    <w:basedOn w:val="Normal"/>
    <w:link w:val="ModelNrmlSingleChar"/>
    <w:rsid w:val="00414AE6"/>
    <w:pPr>
      <w:spacing w:after="240"/>
      <w:ind w:firstLine="720"/>
      <w:jc w:val="both"/>
    </w:pPr>
    <w:rPr>
      <w:sz w:val="22"/>
      <w:szCs w:val="20"/>
    </w:rPr>
  </w:style>
  <w:style w:type="character" w:customStyle="1" w:styleId="ModelNrmlSingleChar">
    <w:name w:val="ModelNrmlSingle Char"/>
    <w:link w:val="ModelNrmlSingle"/>
    <w:rsid w:val="00414AE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8D9"/>
    <w:rPr>
      <w:sz w:val="24"/>
      <w:szCs w:val="24"/>
    </w:rPr>
  </w:style>
  <w:style w:type="paragraph" w:styleId="Heading1">
    <w:name w:val="heading 1"/>
    <w:basedOn w:val="Normal"/>
    <w:next w:val="Normal"/>
    <w:link w:val="Heading1Char"/>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link w:val="Heading2Char"/>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link w:val="Heading3Char"/>
    <w:qFormat/>
    <w:rsid w:val="00FC3B74"/>
    <w:pPr>
      <w:keepNext/>
      <w:keepLines/>
      <w:spacing w:before="120" w:after="240"/>
      <w:outlineLvl w:val="2"/>
    </w:pPr>
    <w:rPr>
      <w:rFonts w:cs="Arial"/>
      <w:b/>
      <w:bCs/>
      <w:szCs w:val="26"/>
    </w:rPr>
  </w:style>
  <w:style w:type="paragraph" w:styleId="Heading4">
    <w:name w:val="heading 4"/>
    <w:basedOn w:val="Normal"/>
    <w:next w:val="Normal"/>
    <w:link w:val="Heading4Char"/>
    <w:qFormat/>
    <w:rsid w:val="00FC3B74"/>
    <w:pPr>
      <w:keepNext/>
      <w:keepLines/>
      <w:spacing w:before="120" w:after="240"/>
      <w:outlineLvl w:val="3"/>
    </w:pPr>
    <w:rPr>
      <w:b/>
      <w:bCs/>
      <w:i/>
      <w:szCs w:val="28"/>
    </w:rPr>
  </w:style>
  <w:style w:type="paragraph" w:styleId="Heading5">
    <w:name w:val="heading 5"/>
    <w:basedOn w:val="Normal"/>
    <w:next w:val="Normal"/>
    <w:link w:val="Heading5Char"/>
    <w:qFormat/>
    <w:rsid w:val="00FC3B74"/>
    <w:pPr>
      <w:keepNext/>
      <w:outlineLvl w:val="4"/>
    </w:pPr>
    <w:rPr>
      <w:b/>
      <w:bCs/>
      <w:u w:val="single"/>
    </w:rPr>
  </w:style>
  <w:style w:type="paragraph" w:styleId="Heading9">
    <w:name w:val="heading 9"/>
    <w:basedOn w:val="Normal"/>
    <w:next w:val="Normal"/>
    <w:link w:val="Heading9Char"/>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A4E53"/>
    <w:pPr>
      <w:tabs>
        <w:tab w:val="left" w:pos="720"/>
        <w:tab w:val="right" w:leader="dot" w:pos="9360"/>
      </w:tabs>
      <w:spacing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uiPriority w:val="99"/>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uiPriority w:val="99"/>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uiPriority w:val="99"/>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uiPriority w:val="99"/>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uiPriority w:val="99"/>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uiPriority w:val="99"/>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ft,Geneva 9,Font: Geneva 9,Boston 10,f,ALTS FOOTNOTE,Footnote Text Char1 Char,Footnote Text Char Char Char,Footnote Text Char1 Char Char Char,Footnote Text Char Char Char Char Char,ADB"/>
    <w:basedOn w:val="Normal"/>
    <w:link w:val="FootnoteTextChar"/>
    <w:uiPriority w:val="99"/>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ftref,Footnote Reference Number,16 Point,Superscript 6 Point,Footnote,BVI fnr,Ref,de nota al pie, BVI fnr,Times 10 Point, Exposant 3 Point,Footnote symbol,Footnote reference number,Exposant 3 Point,EN Footnote Reference,note TESI"/>
    <w:basedOn w:val="DefaultParagraphFont"/>
    <w:uiPriority w:val="99"/>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link w:val="BodyTextChar"/>
    <w:rsid w:val="00FC3B74"/>
    <w:rPr>
      <w:b/>
      <w:bCs/>
      <w:color w:val="000000"/>
      <w:szCs w:val="20"/>
    </w:rPr>
  </w:style>
  <w:style w:type="paragraph" w:styleId="BodyText2">
    <w:name w:val="Body Text 2"/>
    <w:basedOn w:val="Normal"/>
    <w:link w:val="BodyText2Char"/>
    <w:rsid w:val="00FC3B74"/>
    <w:pPr>
      <w:autoSpaceDE w:val="0"/>
      <w:autoSpaceDN w:val="0"/>
      <w:adjustRightInd w:val="0"/>
      <w:spacing w:line="240" w:lineRule="atLeast"/>
    </w:pPr>
    <w:rPr>
      <w:color w:val="000000"/>
      <w:szCs w:val="20"/>
    </w:rPr>
  </w:style>
  <w:style w:type="paragraph" w:styleId="BalloonText">
    <w:name w:val="Balloon Text"/>
    <w:basedOn w:val="Normal"/>
    <w:link w:val="BalloonTextChar"/>
    <w:uiPriority w:val="99"/>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ListParagraph">
    <w:name w:val="List Paragraph"/>
    <w:aliases w:val="Bullets"/>
    <w:basedOn w:val="Normal"/>
    <w:link w:val="ListParagraphChar"/>
    <w:uiPriority w:val="99"/>
    <w:qFormat/>
    <w:rsid w:val="00727DBA"/>
    <w:pPr>
      <w:ind w:left="720"/>
      <w:contextualSpacing/>
    </w:pPr>
  </w:style>
  <w:style w:type="character" w:customStyle="1" w:styleId="FootnoteTextChar">
    <w:name w:val="Footnote Text Char"/>
    <w:aliases w:val="single space Char,footnote text Char,fn Char,FOOTNOTES Char,ft Char,Geneva 9 Char,Font: Geneva 9 Char,Boston 10 Char,f Char,ALTS FOOTNOTE Char,Footnote Text Char1 Char Char,Footnote Text Char Char Char Char,ADB Char"/>
    <w:basedOn w:val="DefaultParagraphFont"/>
    <w:link w:val="FootnoteText"/>
    <w:uiPriority w:val="99"/>
    <w:rsid w:val="000D6EAB"/>
  </w:style>
  <w:style w:type="character" w:styleId="CommentReference">
    <w:name w:val="annotation reference"/>
    <w:basedOn w:val="DefaultParagraphFont"/>
    <w:uiPriority w:val="99"/>
    <w:rsid w:val="00FE21E9"/>
    <w:rPr>
      <w:sz w:val="16"/>
      <w:szCs w:val="16"/>
    </w:rPr>
  </w:style>
  <w:style w:type="paragraph" w:styleId="CommentText">
    <w:name w:val="annotation text"/>
    <w:basedOn w:val="Normal"/>
    <w:link w:val="CommentTextChar"/>
    <w:uiPriority w:val="99"/>
    <w:rsid w:val="00FE21E9"/>
    <w:rPr>
      <w:sz w:val="20"/>
      <w:szCs w:val="20"/>
    </w:rPr>
  </w:style>
  <w:style w:type="character" w:customStyle="1" w:styleId="CommentTextChar">
    <w:name w:val="Comment Text Char"/>
    <w:basedOn w:val="DefaultParagraphFont"/>
    <w:link w:val="CommentText"/>
    <w:uiPriority w:val="99"/>
    <w:rsid w:val="00FE21E9"/>
  </w:style>
  <w:style w:type="paragraph" w:styleId="CommentSubject">
    <w:name w:val="annotation subject"/>
    <w:basedOn w:val="CommentText"/>
    <w:next w:val="CommentText"/>
    <w:link w:val="CommentSubjectChar"/>
    <w:rsid w:val="00FE21E9"/>
    <w:rPr>
      <w:b/>
      <w:bCs/>
    </w:rPr>
  </w:style>
  <w:style w:type="character" w:customStyle="1" w:styleId="CommentSubjectChar">
    <w:name w:val="Comment Subject Char"/>
    <w:basedOn w:val="CommentTextChar"/>
    <w:link w:val="CommentSubject"/>
    <w:rsid w:val="00FE21E9"/>
    <w:rPr>
      <w:b/>
      <w:bCs/>
    </w:rPr>
  </w:style>
  <w:style w:type="character" w:customStyle="1" w:styleId="ListParagraphChar">
    <w:name w:val="List Paragraph Char"/>
    <w:aliases w:val="Bullets Char"/>
    <w:basedOn w:val="DefaultParagraphFont"/>
    <w:link w:val="ListParagraph"/>
    <w:uiPriority w:val="99"/>
    <w:rsid w:val="004B48FB"/>
    <w:rPr>
      <w:sz w:val="24"/>
      <w:szCs w:val="24"/>
    </w:rPr>
  </w:style>
  <w:style w:type="paragraph" w:styleId="NoSpacing">
    <w:name w:val="No Spacing"/>
    <w:basedOn w:val="Normal"/>
    <w:link w:val="NoSpacingChar"/>
    <w:uiPriority w:val="1"/>
    <w:qFormat/>
    <w:rsid w:val="007077DC"/>
    <w:rPr>
      <w:rFonts w:ascii="Cambria" w:eastAsia="Calibri" w:hAnsi="Cambria"/>
      <w:sz w:val="22"/>
      <w:szCs w:val="22"/>
      <w:lang w:bidi="en-US"/>
    </w:rPr>
  </w:style>
  <w:style w:type="character" w:customStyle="1" w:styleId="NoSpacingChar">
    <w:name w:val="No Spacing Char"/>
    <w:basedOn w:val="DefaultParagraphFont"/>
    <w:link w:val="NoSpacing"/>
    <w:uiPriority w:val="1"/>
    <w:rsid w:val="007077DC"/>
    <w:rPr>
      <w:rFonts w:ascii="Cambria" w:eastAsia="Calibri" w:hAnsi="Cambria"/>
      <w:sz w:val="22"/>
      <w:szCs w:val="22"/>
      <w:lang w:bidi="en-US"/>
    </w:rPr>
  </w:style>
  <w:style w:type="paragraph" w:styleId="Revision">
    <w:name w:val="Revision"/>
    <w:hidden/>
    <w:uiPriority w:val="99"/>
    <w:semiHidden/>
    <w:rsid w:val="00BF7865"/>
    <w:rPr>
      <w:sz w:val="24"/>
      <w:szCs w:val="24"/>
    </w:rPr>
  </w:style>
  <w:style w:type="paragraph" w:customStyle="1" w:styleId="Style10">
    <w:name w:val="Style 1"/>
    <w:basedOn w:val="Normal"/>
    <w:rsid w:val="00BF104F"/>
    <w:pPr>
      <w:widowControl w:val="0"/>
      <w:autoSpaceDE w:val="0"/>
      <w:autoSpaceDN w:val="0"/>
      <w:adjustRightInd w:val="0"/>
    </w:pPr>
  </w:style>
  <w:style w:type="character" w:customStyle="1" w:styleId="HeaderChar">
    <w:name w:val="Header Char"/>
    <w:basedOn w:val="DefaultParagraphFont"/>
    <w:link w:val="Header"/>
    <w:uiPriority w:val="99"/>
    <w:rsid w:val="0067222A"/>
    <w:rPr>
      <w:sz w:val="24"/>
      <w:szCs w:val="24"/>
    </w:rPr>
  </w:style>
  <w:style w:type="paragraph" w:customStyle="1" w:styleId="ChapterNumber">
    <w:name w:val="ChapterNumber"/>
    <w:basedOn w:val="Normal"/>
    <w:next w:val="Normal"/>
    <w:rsid w:val="0067222A"/>
    <w:pPr>
      <w:autoSpaceDE w:val="0"/>
      <w:autoSpaceDN w:val="0"/>
      <w:spacing w:after="360"/>
      <w:ind w:left="720" w:hanging="720"/>
      <w:jc w:val="both"/>
    </w:pPr>
    <w:rPr>
      <w:rFonts w:eastAsia="Calibri"/>
      <w:sz w:val="20"/>
      <w:lang w:bidi="en-US"/>
    </w:rPr>
  </w:style>
  <w:style w:type="paragraph" w:styleId="Caption">
    <w:name w:val="caption"/>
    <w:aliases w:val="Légende Car Car"/>
    <w:basedOn w:val="Normal"/>
    <w:next w:val="Normal"/>
    <w:link w:val="CaptionChar"/>
    <w:unhideWhenUsed/>
    <w:qFormat/>
    <w:rsid w:val="00606DFD"/>
    <w:pPr>
      <w:spacing w:after="200"/>
    </w:pPr>
    <w:rPr>
      <w:b/>
      <w:bCs/>
      <w:color w:val="4F81BD" w:themeColor="accent1"/>
      <w:sz w:val="18"/>
      <w:szCs w:val="18"/>
    </w:rPr>
  </w:style>
  <w:style w:type="paragraph" w:styleId="TableofFigures">
    <w:name w:val="table of figures"/>
    <w:basedOn w:val="Normal"/>
    <w:next w:val="Normal"/>
    <w:uiPriority w:val="99"/>
    <w:rsid w:val="0036404C"/>
    <w:pPr>
      <w:spacing w:before="240" w:after="240"/>
    </w:pPr>
  </w:style>
  <w:style w:type="character" w:customStyle="1" w:styleId="profilename2">
    <w:name w:val="profilename2"/>
    <w:basedOn w:val="DefaultParagraphFont"/>
    <w:rsid w:val="00B925BB"/>
  </w:style>
  <w:style w:type="paragraph" w:styleId="EndnoteText">
    <w:name w:val="endnote text"/>
    <w:basedOn w:val="Normal"/>
    <w:link w:val="EndnoteTextChar"/>
    <w:uiPriority w:val="99"/>
    <w:rsid w:val="00156114"/>
    <w:rPr>
      <w:sz w:val="20"/>
      <w:szCs w:val="20"/>
    </w:rPr>
  </w:style>
  <w:style w:type="character" w:customStyle="1" w:styleId="EndnoteTextChar">
    <w:name w:val="Endnote Text Char"/>
    <w:basedOn w:val="DefaultParagraphFont"/>
    <w:link w:val="EndnoteText"/>
    <w:uiPriority w:val="99"/>
    <w:rsid w:val="00156114"/>
  </w:style>
  <w:style w:type="character" w:styleId="EndnoteReference">
    <w:name w:val="endnote reference"/>
    <w:basedOn w:val="DefaultParagraphFont"/>
    <w:rsid w:val="00156114"/>
    <w:rPr>
      <w:vertAlign w:val="superscript"/>
    </w:rPr>
  </w:style>
  <w:style w:type="character" w:customStyle="1" w:styleId="FooterChar">
    <w:name w:val="Footer Char"/>
    <w:basedOn w:val="DefaultParagraphFont"/>
    <w:link w:val="Footer"/>
    <w:uiPriority w:val="99"/>
    <w:rsid w:val="00906E6C"/>
    <w:rPr>
      <w:sz w:val="24"/>
      <w:szCs w:val="24"/>
    </w:rPr>
  </w:style>
  <w:style w:type="paragraph" w:customStyle="1" w:styleId="FIASfootnotetext">
    <w:name w:val="FIAS footnote text"/>
    <w:basedOn w:val="Normal"/>
    <w:rsid w:val="00834F0F"/>
    <w:pPr>
      <w:spacing w:after="200" w:line="276" w:lineRule="auto"/>
    </w:pPr>
    <w:rPr>
      <w:rFonts w:eastAsia="Calibri"/>
      <w:sz w:val="20"/>
      <w:szCs w:val="20"/>
    </w:rPr>
  </w:style>
  <w:style w:type="paragraph" w:customStyle="1" w:styleId="FIASRpttext">
    <w:name w:val="FIAS Rpt text"/>
    <w:basedOn w:val="Normal"/>
    <w:link w:val="FIASRpttextChar"/>
    <w:qFormat/>
    <w:rsid w:val="00A465C2"/>
    <w:pPr>
      <w:keepLines/>
      <w:spacing w:before="120" w:after="240" w:line="276" w:lineRule="auto"/>
    </w:pPr>
    <w:rPr>
      <w:rFonts w:eastAsia="Calibri"/>
      <w:sz w:val="22"/>
      <w:szCs w:val="22"/>
    </w:rPr>
  </w:style>
  <w:style w:type="paragraph" w:customStyle="1" w:styleId="FIASRptheading2">
    <w:name w:val="FIAS Rpt heading 2"/>
    <w:basedOn w:val="Normal"/>
    <w:next w:val="FIASRpttext"/>
    <w:rsid w:val="00A465C2"/>
    <w:pPr>
      <w:spacing w:before="360" w:after="360"/>
    </w:pPr>
    <w:rPr>
      <w:rFonts w:ascii="Verdana" w:hAnsi="Verdana"/>
      <w:b/>
      <w:lang w:val="en-AU"/>
    </w:rPr>
  </w:style>
  <w:style w:type="character" w:customStyle="1" w:styleId="FIASRpttextChar">
    <w:name w:val="FIAS Rpt text Char"/>
    <w:link w:val="FIASRpttext"/>
    <w:rsid w:val="00A465C2"/>
    <w:rPr>
      <w:rFonts w:eastAsia="Calibri"/>
      <w:sz w:val="22"/>
      <w:szCs w:val="22"/>
    </w:rPr>
  </w:style>
  <w:style w:type="paragraph" w:customStyle="1" w:styleId="FIASRptheading1">
    <w:name w:val="FIAS Rpt heading 1"/>
    <w:basedOn w:val="Normal"/>
    <w:next w:val="FIASRpttext"/>
    <w:rsid w:val="00622EA3"/>
    <w:pPr>
      <w:spacing w:before="360" w:after="360"/>
    </w:pPr>
    <w:rPr>
      <w:rFonts w:ascii="Verdana" w:hAnsi="Verdana"/>
      <w:b/>
      <w:sz w:val="28"/>
      <w:lang w:val="en-AU"/>
    </w:rPr>
  </w:style>
  <w:style w:type="paragraph" w:customStyle="1" w:styleId="FIASRptheading3">
    <w:name w:val="FIAS Rpt heading 3"/>
    <w:basedOn w:val="FIASRpttext"/>
    <w:next w:val="FIASRpttext"/>
    <w:rsid w:val="00622EA3"/>
    <w:pPr>
      <w:spacing w:before="360" w:after="360"/>
    </w:pPr>
    <w:rPr>
      <w:rFonts w:ascii="Verdana" w:hAnsi="Verdana"/>
      <w:b/>
      <w:i/>
    </w:rPr>
  </w:style>
  <w:style w:type="character" w:customStyle="1" w:styleId="CaptionChar">
    <w:name w:val="Caption Char"/>
    <w:aliases w:val="Légende Car Car Char"/>
    <w:link w:val="Caption"/>
    <w:rsid w:val="00622EA3"/>
    <w:rPr>
      <w:b/>
      <w:bCs/>
      <w:color w:val="4F81BD" w:themeColor="accent1"/>
      <w:sz w:val="18"/>
      <w:szCs w:val="18"/>
    </w:rPr>
  </w:style>
  <w:style w:type="paragraph" w:styleId="NormalWeb">
    <w:name w:val="Normal (Web)"/>
    <w:basedOn w:val="Normal"/>
    <w:uiPriority w:val="99"/>
    <w:unhideWhenUsed/>
    <w:rsid w:val="00622EA3"/>
    <w:pPr>
      <w:spacing w:before="100" w:beforeAutospacing="1" w:after="100" w:afterAutospacing="1"/>
    </w:pPr>
    <w:rPr>
      <w:rFonts w:eastAsiaTheme="minorEastAsia"/>
      <w:lang w:val="en-GB" w:eastAsia="en-GB"/>
    </w:rPr>
  </w:style>
  <w:style w:type="character" w:customStyle="1" w:styleId="BalloonTextChar">
    <w:name w:val="Balloon Text Char"/>
    <w:basedOn w:val="DefaultParagraphFont"/>
    <w:link w:val="BalloonText"/>
    <w:uiPriority w:val="99"/>
    <w:semiHidden/>
    <w:rsid w:val="00622EA3"/>
    <w:rPr>
      <w:rFonts w:ascii="Tahoma" w:hAnsi="Tahoma" w:cs="Tahoma"/>
      <w:sz w:val="16"/>
      <w:szCs w:val="16"/>
    </w:rPr>
  </w:style>
  <w:style w:type="character" w:styleId="PlaceholderText">
    <w:name w:val="Placeholder Text"/>
    <w:basedOn w:val="DefaultParagraphFont"/>
    <w:uiPriority w:val="99"/>
    <w:semiHidden/>
    <w:rsid w:val="000A797C"/>
    <w:rPr>
      <w:color w:val="808080"/>
    </w:rPr>
  </w:style>
  <w:style w:type="character" w:customStyle="1" w:styleId="Heading1Char">
    <w:name w:val="Heading 1 Char"/>
    <w:basedOn w:val="DefaultParagraphFont"/>
    <w:link w:val="Heading1"/>
    <w:rsid w:val="00AB2147"/>
    <w:rPr>
      <w:rFonts w:cs="Arial"/>
      <w:b/>
      <w:bCs/>
      <w:caps/>
      <w:kern w:val="32"/>
      <w:sz w:val="32"/>
      <w:szCs w:val="32"/>
    </w:rPr>
  </w:style>
  <w:style w:type="character" w:customStyle="1" w:styleId="Heading2Char">
    <w:name w:val="Heading 2 Char"/>
    <w:basedOn w:val="DefaultParagraphFont"/>
    <w:link w:val="Heading2"/>
    <w:rsid w:val="00AB2147"/>
    <w:rPr>
      <w:rFonts w:cs="Arial"/>
      <w:b/>
      <w:bCs/>
      <w:iCs/>
      <w:smallCaps/>
      <w:sz w:val="24"/>
      <w:szCs w:val="28"/>
    </w:rPr>
  </w:style>
  <w:style w:type="character" w:customStyle="1" w:styleId="Heading3Char">
    <w:name w:val="Heading 3 Char"/>
    <w:basedOn w:val="DefaultParagraphFont"/>
    <w:link w:val="Heading3"/>
    <w:rsid w:val="00AB2147"/>
    <w:rPr>
      <w:rFonts w:cs="Arial"/>
      <w:b/>
      <w:bCs/>
      <w:sz w:val="24"/>
      <w:szCs w:val="26"/>
    </w:rPr>
  </w:style>
  <w:style w:type="character" w:customStyle="1" w:styleId="Heading4Char">
    <w:name w:val="Heading 4 Char"/>
    <w:basedOn w:val="DefaultParagraphFont"/>
    <w:link w:val="Heading4"/>
    <w:rsid w:val="00AB2147"/>
    <w:rPr>
      <w:b/>
      <w:bCs/>
      <w:i/>
      <w:sz w:val="24"/>
      <w:szCs w:val="28"/>
    </w:rPr>
  </w:style>
  <w:style w:type="character" w:customStyle="1" w:styleId="Heading5Char">
    <w:name w:val="Heading 5 Char"/>
    <w:basedOn w:val="DefaultParagraphFont"/>
    <w:link w:val="Heading5"/>
    <w:rsid w:val="00AB2147"/>
    <w:rPr>
      <w:b/>
      <w:bCs/>
      <w:sz w:val="24"/>
      <w:szCs w:val="24"/>
      <w:u w:val="single"/>
    </w:rPr>
  </w:style>
  <w:style w:type="character" w:customStyle="1" w:styleId="Heading9Char">
    <w:name w:val="Heading 9 Char"/>
    <w:basedOn w:val="DefaultParagraphFont"/>
    <w:link w:val="Heading9"/>
    <w:rsid w:val="00AB2147"/>
    <w:rPr>
      <w:rFonts w:ascii="Arial" w:hAnsi="Arial" w:cs="Arial"/>
      <w:sz w:val="22"/>
      <w:szCs w:val="22"/>
    </w:rPr>
  </w:style>
  <w:style w:type="character" w:customStyle="1" w:styleId="BodyTextChar">
    <w:name w:val="Body Text Char"/>
    <w:basedOn w:val="DefaultParagraphFont"/>
    <w:link w:val="BodyText"/>
    <w:rsid w:val="00AB2147"/>
    <w:rPr>
      <w:b/>
      <w:bCs/>
      <w:color w:val="000000"/>
      <w:sz w:val="24"/>
    </w:rPr>
  </w:style>
  <w:style w:type="character" w:customStyle="1" w:styleId="BodyText2Char">
    <w:name w:val="Body Text 2 Char"/>
    <w:basedOn w:val="DefaultParagraphFont"/>
    <w:link w:val="BodyText2"/>
    <w:rsid w:val="00AB2147"/>
    <w:rPr>
      <w:color w:val="000000"/>
      <w:sz w:val="24"/>
    </w:rPr>
  </w:style>
  <w:style w:type="paragraph" w:customStyle="1" w:styleId="maintext">
    <w:name w:val="main_text"/>
    <w:basedOn w:val="Normal"/>
    <w:rsid w:val="007A59BF"/>
    <w:pPr>
      <w:spacing w:before="100" w:beforeAutospacing="1" w:after="100" w:afterAutospacing="1"/>
    </w:pPr>
  </w:style>
  <w:style w:type="character" w:styleId="Strong">
    <w:name w:val="Strong"/>
    <w:basedOn w:val="DefaultParagraphFont"/>
    <w:uiPriority w:val="22"/>
    <w:qFormat/>
    <w:rsid w:val="007A59BF"/>
    <w:rPr>
      <w:b/>
      <w:bCs/>
    </w:rPr>
  </w:style>
  <w:style w:type="character" w:styleId="Emphasis">
    <w:name w:val="Emphasis"/>
    <w:basedOn w:val="DefaultParagraphFont"/>
    <w:uiPriority w:val="20"/>
    <w:qFormat/>
    <w:rsid w:val="007A59BF"/>
    <w:rPr>
      <w:i/>
      <w:iCs/>
    </w:rPr>
  </w:style>
  <w:style w:type="paragraph" w:styleId="Title">
    <w:name w:val="Title"/>
    <w:basedOn w:val="Normal"/>
    <w:next w:val="Normal"/>
    <w:link w:val="TitleChar"/>
    <w:qFormat/>
    <w:rsid w:val="004B01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011F"/>
    <w:rPr>
      <w:rFonts w:asciiTheme="majorHAnsi" w:eastAsiaTheme="majorEastAsia" w:hAnsiTheme="majorHAnsi" w:cstheme="majorBidi"/>
      <w:color w:val="17365D" w:themeColor="text2" w:themeShade="BF"/>
      <w:spacing w:val="5"/>
      <w:kern w:val="28"/>
      <w:sz w:val="52"/>
      <w:szCs w:val="52"/>
    </w:rPr>
  </w:style>
  <w:style w:type="character" w:customStyle="1" w:styleId="field-content4">
    <w:name w:val="field-content4"/>
    <w:basedOn w:val="DefaultParagraphFont"/>
    <w:rsid w:val="00C4247A"/>
  </w:style>
  <w:style w:type="character" w:customStyle="1" w:styleId="hps">
    <w:name w:val="hps"/>
    <w:basedOn w:val="DefaultParagraphFont"/>
    <w:rsid w:val="00C40D86"/>
  </w:style>
  <w:style w:type="paragraph" w:customStyle="1" w:styleId="Default">
    <w:name w:val="Default"/>
    <w:rsid w:val="00CA6112"/>
    <w:pPr>
      <w:autoSpaceDE w:val="0"/>
      <w:autoSpaceDN w:val="0"/>
      <w:adjustRightInd w:val="0"/>
    </w:pPr>
    <w:rPr>
      <w:color w:val="000000"/>
      <w:sz w:val="24"/>
      <w:szCs w:val="24"/>
    </w:rPr>
  </w:style>
  <w:style w:type="paragraph" w:customStyle="1" w:styleId="ModelNrmlSingle">
    <w:name w:val="ModelNrmlSingle"/>
    <w:basedOn w:val="Normal"/>
    <w:link w:val="ModelNrmlSingleChar"/>
    <w:rsid w:val="00414AE6"/>
    <w:pPr>
      <w:spacing w:after="240"/>
      <w:ind w:firstLine="720"/>
      <w:jc w:val="both"/>
    </w:pPr>
    <w:rPr>
      <w:sz w:val="22"/>
      <w:szCs w:val="20"/>
    </w:rPr>
  </w:style>
  <w:style w:type="character" w:customStyle="1" w:styleId="ModelNrmlSingleChar">
    <w:name w:val="ModelNrmlSingle Char"/>
    <w:link w:val="ModelNrmlSingle"/>
    <w:rsid w:val="00414A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294602424">
      <w:bodyDiv w:val="1"/>
      <w:marLeft w:val="0"/>
      <w:marRight w:val="0"/>
      <w:marTop w:val="0"/>
      <w:marBottom w:val="0"/>
      <w:divBdr>
        <w:top w:val="none" w:sz="0" w:space="0" w:color="auto"/>
        <w:left w:val="none" w:sz="0" w:space="0" w:color="auto"/>
        <w:bottom w:val="none" w:sz="0" w:space="0" w:color="auto"/>
        <w:right w:val="none" w:sz="0" w:space="0" w:color="auto"/>
      </w:divBdr>
    </w:div>
    <w:div w:id="312026050">
      <w:bodyDiv w:val="1"/>
      <w:marLeft w:val="0"/>
      <w:marRight w:val="0"/>
      <w:marTop w:val="0"/>
      <w:marBottom w:val="0"/>
      <w:divBdr>
        <w:top w:val="none" w:sz="0" w:space="0" w:color="auto"/>
        <w:left w:val="none" w:sz="0" w:space="0" w:color="auto"/>
        <w:bottom w:val="none" w:sz="0" w:space="0" w:color="auto"/>
        <w:right w:val="none" w:sz="0" w:space="0" w:color="auto"/>
      </w:divBdr>
    </w:div>
    <w:div w:id="421143574">
      <w:bodyDiv w:val="1"/>
      <w:marLeft w:val="0"/>
      <w:marRight w:val="0"/>
      <w:marTop w:val="0"/>
      <w:marBottom w:val="0"/>
      <w:divBdr>
        <w:top w:val="none" w:sz="0" w:space="0" w:color="auto"/>
        <w:left w:val="none" w:sz="0" w:space="0" w:color="auto"/>
        <w:bottom w:val="none" w:sz="0" w:space="0" w:color="auto"/>
        <w:right w:val="none" w:sz="0" w:space="0" w:color="auto"/>
      </w:divBdr>
    </w:div>
    <w:div w:id="457769764">
      <w:bodyDiv w:val="1"/>
      <w:marLeft w:val="0"/>
      <w:marRight w:val="0"/>
      <w:marTop w:val="0"/>
      <w:marBottom w:val="0"/>
      <w:divBdr>
        <w:top w:val="none" w:sz="0" w:space="0" w:color="auto"/>
        <w:left w:val="none" w:sz="0" w:space="0" w:color="auto"/>
        <w:bottom w:val="none" w:sz="0" w:space="0" w:color="auto"/>
        <w:right w:val="none" w:sz="0" w:space="0" w:color="auto"/>
      </w:divBdr>
    </w:div>
    <w:div w:id="502356782">
      <w:bodyDiv w:val="1"/>
      <w:marLeft w:val="0"/>
      <w:marRight w:val="0"/>
      <w:marTop w:val="0"/>
      <w:marBottom w:val="0"/>
      <w:divBdr>
        <w:top w:val="none" w:sz="0" w:space="0" w:color="auto"/>
        <w:left w:val="none" w:sz="0" w:space="0" w:color="auto"/>
        <w:bottom w:val="none" w:sz="0" w:space="0" w:color="auto"/>
        <w:right w:val="none" w:sz="0" w:space="0" w:color="auto"/>
      </w:divBdr>
    </w:div>
    <w:div w:id="521011575">
      <w:bodyDiv w:val="1"/>
      <w:marLeft w:val="0"/>
      <w:marRight w:val="0"/>
      <w:marTop w:val="0"/>
      <w:marBottom w:val="0"/>
      <w:divBdr>
        <w:top w:val="none" w:sz="0" w:space="0" w:color="auto"/>
        <w:left w:val="none" w:sz="0" w:space="0" w:color="auto"/>
        <w:bottom w:val="none" w:sz="0" w:space="0" w:color="auto"/>
        <w:right w:val="none" w:sz="0" w:space="0" w:color="auto"/>
      </w:divBdr>
    </w:div>
    <w:div w:id="564025654">
      <w:bodyDiv w:val="1"/>
      <w:marLeft w:val="0"/>
      <w:marRight w:val="0"/>
      <w:marTop w:val="0"/>
      <w:marBottom w:val="0"/>
      <w:divBdr>
        <w:top w:val="none" w:sz="0" w:space="0" w:color="auto"/>
        <w:left w:val="none" w:sz="0" w:space="0" w:color="auto"/>
        <w:bottom w:val="none" w:sz="0" w:space="0" w:color="auto"/>
        <w:right w:val="none" w:sz="0" w:space="0" w:color="auto"/>
      </w:divBdr>
    </w:div>
    <w:div w:id="578903627">
      <w:bodyDiv w:val="1"/>
      <w:marLeft w:val="0"/>
      <w:marRight w:val="0"/>
      <w:marTop w:val="0"/>
      <w:marBottom w:val="0"/>
      <w:divBdr>
        <w:top w:val="none" w:sz="0" w:space="0" w:color="auto"/>
        <w:left w:val="none" w:sz="0" w:space="0" w:color="auto"/>
        <w:bottom w:val="none" w:sz="0" w:space="0" w:color="auto"/>
        <w:right w:val="none" w:sz="0" w:space="0" w:color="auto"/>
      </w:divBdr>
    </w:div>
    <w:div w:id="656424630">
      <w:bodyDiv w:val="1"/>
      <w:marLeft w:val="0"/>
      <w:marRight w:val="0"/>
      <w:marTop w:val="0"/>
      <w:marBottom w:val="0"/>
      <w:divBdr>
        <w:top w:val="none" w:sz="0" w:space="0" w:color="auto"/>
        <w:left w:val="none" w:sz="0" w:space="0" w:color="auto"/>
        <w:bottom w:val="none" w:sz="0" w:space="0" w:color="auto"/>
        <w:right w:val="none" w:sz="0" w:space="0" w:color="auto"/>
      </w:divBdr>
    </w:div>
    <w:div w:id="689723986">
      <w:bodyDiv w:val="1"/>
      <w:marLeft w:val="0"/>
      <w:marRight w:val="0"/>
      <w:marTop w:val="0"/>
      <w:marBottom w:val="0"/>
      <w:divBdr>
        <w:top w:val="none" w:sz="0" w:space="0" w:color="auto"/>
        <w:left w:val="none" w:sz="0" w:space="0" w:color="auto"/>
        <w:bottom w:val="none" w:sz="0" w:space="0" w:color="auto"/>
        <w:right w:val="none" w:sz="0" w:space="0" w:color="auto"/>
      </w:divBdr>
    </w:div>
    <w:div w:id="705838785">
      <w:bodyDiv w:val="1"/>
      <w:marLeft w:val="0"/>
      <w:marRight w:val="0"/>
      <w:marTop w:val="0"/>
      <w:marBottom w:val="0"/>
      <w:divBdr>
        <w:top w:val="none" w:sz="0" w:space="0" w:color="auto"/>
        <w:left w:val="none" w:sz="0" w:space="0" w:color="auto"/>
        <w:bottom w:val="none" w:sz="0" w:space="0" w:color="auto"/>
        <w:right w:val="none" w:sz="0" w:space="0" w:color="auto"/>
      </w:divBdr>
    </w:div>
    <w:div w:id="749235751">
      <w:bodyDiv w:val="1"/>
      <w:marLeft w:val="0"/>
      <w:marRight w:val="0"/>
      <w:marTop w:val="0"/>
      <w:marBottom w:val="0"/>
      <w:divBdr>
        <w:top w:val="none" w:sz="0" w:space="0" w:color="auto"/>
        <w:left w:val="none" w:sz="0" w:space="0" w:color="auto"/>
        <w:bottom w:val="none" w:sz="0" w:space="0" w:color="auto"/>
        <w:right w:val="none" w:sz="0" w:space="0" w:color="auto"/>
      </w:divBdr>
    </w:div>
    <w:div w:id="777874635">
      <w:bodyDiv w:val="1"/>
      <w:marLeft w:val="0"/>
      <w:marRight w:val="0"/>
      <w:marTop w:val="0"/>
      <w:marBottom w:val="0"/>
      <w:divBdr>
        <w:top w:val="none" w:sz="0" w:space="0" w:color="auto"/>
        <w:left w:val="none" w:sz="0" w:space="0" w:color="auto"/>
        <w:bottom w:val="none" w:sz="0" w:space="0" w:color="auto"/>
        <w:right w:val="none" w:sz="0" w:space="0" w:color="auto"/>
      </w:divBdr>
    </w:div>
    <w:div w:id="822500816">
      <w:bodyDiv w:val="1"/>
      <w:marLeft w:val="0"/>
      <w:marRight w:val="0"/>
      <w:marTop w:val="0"/>
      <w:marBottom w:val="0"/>
      <w:divBdr>
        <w:top w:val="none" w:sz="0" w:space="0" w:color="auto"/>
        <w:left w:val="none" w:sz="0" w:space="0" w:color="auto"/>
        <w:bottom w:val="none" w:sz="0" w:space="0" w:color="auto"/>
        <w:right w:val="none" w:sz="0" w:space="0" w:color="auto"/>
      </w:divBdr>
    </w:div>
    <w:div w:id="874997954">
      <w:bodyDiv w:val="1"/>
      <w:marLeft w:val="0"/>
      <w:marRight w:val="0"/>
      <w:marTop w:val="0"/>
      <w:marBottom w:val="0"/>
      <w:divBdr>
        <w:top w:val="none" w:sz="0" w:space="0" w:color="auto"/>
        <w:left w:val="none" w:sz="0" w:space="0" w:color="auto"/>
        <w:bottom w:val="none" w:sz="0" w:space="0" w:color="auto"/>
        <w:right w:val="none" w:sz="0" w:space="0" w:color="auto"/>
      </w:divBdr>
    </w:div>
    <w:div w:id="1106775081">
      <w:bodyDiv w:val="1"/>
      <w:marLeft w:val="0"/>
      <w:marRight w:val="0"/>
      <w:marTop w:val="0"/>
      <w:marBottom w:val="0"/>
      <w:divBdr>
        <w:top w:val="none" w:sz="0" w:space="0" w:color="auto"/>
        <w:left w:val="none" w:sz="0" w:space="0" w:color="auto"/>
        <w:bottom w:val="none" w:sz="0" w:space="0" w:color="auto"/>
        <w:right w:val="none" w:sz="0" w:space="0" w:color="auto"/>
      </w:divBdr>
    </w:div>
    <w:div w:id="1127743766">
      <w:bodyDiv w:val="1"/>
      <w:marLeft w:val="0"/>
      <w:marRight w:val="0"/>
      <w:marTop w:val="0"/>
      <w:marBottom w:val="0"/>
      <w:divBdr>
        <w:top w:val="none" w:sz="0" w:space="0" w:color="auto"/>
        <w:left w:val="none" w:sz="0" w:space="0" w:color="auto"/>
        <w:bottom w:val="none" w:sz="0" w:space="0" w:color="auto"/>
        <w:right w:val="none" w:sz="0" w:space="0" w:color="auto"/>
      </w:divBdr>
    </w:div>
    <w:div w:id="1131706067">
      <w:bodyDiv w:val="1"/>
      <w:marLeft w:val="0"/>
      <w:marRight w:val="0"/>
      <w:marTop w:val="0"/>
      <w:marBottom w:val="0"/>
      <w:divBdr>
        <w:top w:val="none" w:sz="0" w:space="0" w:color="auto"/>
        <w:left w:val="none" w:sz="0" w:space="0" w:color="auto"/>
        <w:bottom w:val="none" w:sz="0" w:space="0" w:color="auto"/>
        <w:right w:val="none" w:sz="0" w:space="0" w:color="auto"/>
      </w:divBdr>
    </w:div>
    <w:div w:id="1176001277">
      <w:bodyDiv w:val="1"/>
      <w:marLeft w:val="0"/>
      <w:marRight w:val="0"/>
      <w:marTop w:val="0"/>
      <w:marBottom w:val="0"/>
      <w:divBdr>
        <w:top w:val="none" w:sz="0" w:space="0" w:color="auto"/>
        <w:left w:val="none" w:sz="0" w:space="0" w:color="auto"/>
        <w:bottom w:val="none" w:sz="0" w:space="0" w:color="auto"/>
        <w:right w:val="none" w:sz="0" w:space="0" w:color="auto"/>
      </w:divBdr>
    </w:div>
    <w:div w:id="1401173478">
      <w:bodyDiv w:val="1"/>
      <w:marLeft w:val="0"/>
      <w:marRight w:val="0"/>
      <w:marTop w:val="0"/>
      <w:marBottom w:val="0"/>
      <w:divBdr>
        <w:top w:val="none" w:sz="0" w:space="0" w:color="auto"/>
        <w:left w:val="none" w:sz="0" w:space="0" w:color="auto"/>
        <w:bottom w:val="none" w:sz="0" w:space="0" w:color="auto"/>
        <w:right w:val="none" w:sz="0" w:space="0" w:color="auto"/>
      </w:divBdr>
    </w:div>
    <w:div w:id="1408764400">
      <w:bodyDiv w:val="1"/>
      <w:marLeft w:val="0"/>
      <w:marRight w:val="0"/>
      <w:marTop w:val="0"/>
      <w:marBottom w:val="0"/>
      <w:divBdr>
        <w:top w:val="none" w:sz="0" w:space="0" w:color="auto"/>
        <w:left w:val="none" w:sz="0" w:space="0" w:color="auto"/>
        <w:bottom w:val="none" w:sz="0" w:space="0" w:color="auto"/>
        <w:right w:val="none" w:sz="0" w:space="0" w:color="auto"/>
      </w:divBdr>
    </w:div>
    <w:div w:id="1447193742">
      <w:bodyDiv w:val="1"/>
      <w:marLeft w:val="0"/>
      <w:marRight w:val="0"/>
      <w:marTop w:val="0"/>
      <w:marBottom w:val="0"/>
      <w:divBdr>
        <w:top w:val="none" w:sz="0" w:space="0" w:color="auto"/>
        <w:left w:val="none" w:sz="0" w:space="0" w:color="auto"/>
        <w:bottom w:val="none" w:sz="0" w:space="0" w:color="auto"/>
        <w:right w:val="none" w:sz="0" w:space="0" w:color="auto"/>
      </w:divBdr>
    </w:div>
    <w:div w:id="1458523242">
      <w:bodyDiv w:val="1"/>
      <w:marLeft w:val="0"/>
      <w:marRight w:val="0"/>
      <w:marTop w:val="0"/>
      <w:marBottom w:val="0"/>
      <w:divBdr>
        <w:top w:val="none" w:sz="0" w:space="0" w:color="auto"/>
        <w:left w:val="none" w:sz="0" w:space="0" w:color="auto"/>
        <w:bottom w:val="none" w:sz="0" w:space="0" w:color="auto"/>
        <w:right w:val="none" w:sz="0" w:space="0" w:color="auto"/>
      </w:divBdr>
    </w:div>
    <w:div w:id="1499997812">
      <w:bodyDiv w:val="1"/>
      <w:marLeft w:val="0"/>
      <w:marRight w:val="0"/>
      <w:marTop w:val="0"/>
      <w:marBottom w:val="0"/>
      <w:divBdr>
        <w:top w:val="none" w:sz="0" w:space="0" w:color="auto"/>
        <w:left w:val="none" w:sz="0" w:space="0" w:color="auto"/>
        <w:bottom w:val="none" w:sz="0" w:space="0" w:color="auto"/>
        <w:right w:val="none" w:sz="0" w:space="0" w:color="auto"/>
      </w:divBdr>
    </w:div>
    <w:div w:id="1653673576">
      <w:bodyDiv w:val="1"/>
      <w:marLeft w:val="0"/>
      <w:marRight w:val="0"/>
      <w:marTop w:val="0"/>
      <w:marBottom w:val="0"/>
      <w:divBdr>
        <w:top w:val="none" w:sz="0" w:space="0" w:color="auto"/>
        <w:left w:val="none" w:sz="0" w:space="0" w:color="auto"/>
        <w:bottom w:val="none" w:sz="0" w:space="0" w:color="auto"/>
        <w:right w:val="none" w:sz="0" w:space="0" w:color="auto"/>
      </w:divBdr>
    </w:div>
    <w:div w:id="1702826555">
      <w:bodyDiv w:val="1"/>
      <w:marLeft w:val="0"/>
      <w:marRight w:val="0"/>
      <w:marTop w:val="0"/>
      <w:marBottom w:val="0"/>
      <w:divBdr>
        <w:top w:val="none" w:sz="0" w:space="0" w:color="auto"/>
        <w:left w:val="none" w:sz="0" w:space="0" w:color="auto"/>
        <w:bottom w:val="none" w:sz="0" w:space="0" w:color="auto"/>
        <w:right w:val="none" w:sz="0" w:space="0" w:color="auto"/>
      </w:divBdr>
    </w:div>
    <w:div w:id="1764648542">
      <w:bodyDiv w:val="1"/>
      <w:marLeft w:val="0"/>
      <w:marRight w:val="0"/>
      <w:marTop w:val="0"/>
      <w:marBottom w:val="0"/>
      <w:divBdr>
        <w:top w:val="none" w:sz="0" w:space="0" w:color="auto"/>
        <w:left w:val="none" w:sz="0" w:space="0" w:color="auto"/>
        <w:bottom w:val="none" w:sz="0" w:space="0" w:color="auto"/>
        <w:right w:val="none" w:sz="0" w:space="0" w:color="auto"/>
      </w:divBdr>
    </w:div>
    <w:div w:id="1769619367">
      <w:bodyDiv w:val="1"/>
      <w:marLeft w:val="0"/>
      <w:marRight w:val="0"/>
      <w:marTop w:val="0"/>
      <w:marBottom w:val="0"/>
      <w:divBdr>
        <w:top w:val="none" w:sz="0" w:space="0" w:color="auto"/>
        <w:left w:val="none" w:sz="0" w:space="0" w:color="auto"/>
        <w:bottom w:val="none" w:sz="0" w:space="0" w:color="auto"/>
        <w:right w:val="none" w:sz="0" w:space="0" w:color="auto"/>
      </w:divBdr>
      <w:divsChild>
        <w:div w:id="1690787889">
          <w:marLeft w:val="0"/>
          <w:marRight w:val="0"/>
          <w:marTop w:val="0"/>
          <w:marBottom w:val="0"/>
          <w:divBdr>
            <w:top w:val="none" w:sz="0" w:space="0" w:color="auto"/>
            <w:left w:val="none" w:sz="0" w:space="0" w:color="auto"/>
            <w:bottom w:val="none" w:sz="0" w:space="0" w:color="auto"/>
            <w:right w:val="none" w:sz="0" w:space="0" w:color="auto"/>
          </w:divBdr>
          <w:divsChild>
            <w:div w:id="299700434">
              <w:marLeft w:val="0"/>
              <w:marRight w:val="0"/>
              <w:marTop w:val="0"/>
              <w:marBottom w:val="0"/>
              <w:divBdr>
                <w:top w:val="none" w:sz="0" w:space="0" w:color="auto"/>
                <w:left w:val="none" w:sz="0" w:space="0" w:color="auto"/>
                <w:bottom w:val="none" w:sz="0" w:space="0" w:color="auto"/>
                <w:right w:val="none" w:sz="0" w:space="0" w:color="auto"/>
              </w:divBdr>
              <w:divsChild>
                <w:div w:id="1998651462">
                  <w:marLeft w:val="2651"/>
                  <w:marRight w:val="127"/>
                  <w:marTop w:val="0"/>
                  <w:marBottom w:val="0"/>
                  <w:divBdr>
                    <w:top w:val="none" w:sz="0" w:space="0" w:color="auto"/>
                    <w:left w:val="none" w:sz="0" w:space="0" w:color="auto"/>
                    <w:bottom w:val="none" w:sz="0" w:space="0" w:color="auto"/>
                    <w:right w:val="none" w:sz="0" w:space="0" w:color="auto"/>
                  </w:divBdr>
                  <w:divsChild>
                    <w:div w:id="1516770999">
                      <w:marLeft w:val="0"/>
                      <w:marRight w:val="0"/>
                      <w:marTop w:val="153"/>
                      <w:marBottom w:val="0"/>
                      <w:divBdr>
                        <w:top w:val="none" w:sz="0" w:space="0" w:color="auto"/>
                        <w:left w:val="none" w:sz="0" w:space="0" w:color="auto"/>
                        <w:bottom w:val="none" w:sz="0" w:space="0" w:color="auto"/>
                        <w:right w:val="none" w:sz="0" w:space="0" w:color="auto"/>
                      </w:divBdr>
                      <w:divsChild>
                        <w:div w:id="1448813312">
                          <w:marLeft w:val="0"/>
                          <w:marRight w:val="0"/>
                          <w:marTop w:val="0"/>
                          <w:marBottom w:val="0"/>
                          <w:divBdr>
                            <w:top w:val="none" w:sz="0" w:space="0" w:color="auto"/>
                            <w:left w:val="none" w:sz="0" w:space="0" w:color="auto"/>
                            <w:bottom w:val="none" w:sz="0" w:space="0" w:color="auto"/>
                            <w:right w:val="none" w:sz="0" w:space="0" w:color="auto"/>
                          </w:divBdr>
                          <w:divsChild>
                            <w:div w:id="1769545048">
                              <w:marLeft w:val="0"/>
                              <w:marRight w:val="0"/>
                              <w:marTop w:val="0"/>
                              <w:marBottom w:val="0"/>
                              <w:divBdr>
                                <w:top w:val="none" w:sz="0" w:space="0" w:color="auto"/>
                                <w:left w:val="none" w:sz="0" w:space="0" w:color="auto"/>
                                <w:bottom w:val="none" w:sz="0" w:space="0" w:color="auto"/>
                                <w:right w:val="none" w:sz="0" w:space="0" w:color="auto"/>
                              </w:divBdr>
                              <w:divsChild>
                                <w:div w:id="1536038779">
                                  <w:marLeft w:val="0"/>
                                  <w:marRight w:val="0"/>
                                  <w:marTop w:val="0"/>
                                  <w:marBottom w:val="0"/>
                                  <w:divBdr>
                                    <w:top w:val="none" w:sz="0" w:space="0" w:color="auto"/>
                                    <w:left w:val="single" w:sz="4" w:space="6" w:color="C0CAD5"/>
                                    <w:bottom w:val="none" w:sz="0" w:space="0" w:color="auto"/>
                                    <w:right w:val="single" w:sz="4" w:space="6" w:color="C0CAD5"/>
                                  </w:divBdr>
                                  <w:divsChild>
                                    <w:div w:id="843252542">
                                      <w:marLeft w:val="0"/>
                                      <w:marRight w:val="0"/>
                                      <w:marTop w:val="0"/>
                                      <w:marBottom w:val="0"/>
                                      <w:divBdr>
                                        <w:top w:val="none" w:sz="0" w:space="0" w:color="auto"/>
                                        <w:left w:val="none" w:sz="0" w:space="0" w:color="auto"/>
                                        <w:bottom w:val="none" w:sz="0" w:space="0" w:color="auto"/>
                                        <w:right w:val="none" w:sz="0" w:space="0" w:color="auto"/>
                                      </w:divBdr>
                                      <w:divsChild>
                                        <w:div w:id="915044545">
                                          <w:marLeft w:val="0"/>
                                          <w:marRight w:val="0"/>
                                          <w:marTop w:val="0"/>
                                          <w:marBottom w:val="0"/>
                                          <w:divBdr>
                                            <w:top w:val="none" w:sz="0" w:space="0" w:color="auto"/>
                                            <w:left w:val="none" w:sz="0" w:space="0" w:color="auto"/>
                                            <w:bottom w:val="none" w:sz="0" w:space="0" w:color="auto"/>
                                            <w:right w:val="none" w:sz="0" w:space="0" w:color="auto"/>
                                          </w:divBdr>
                                          <w:divsChild>
                                            <w:div w:id="738790315">
                                              <w:marLeft w:val="127"/>
                                              <w:marRight w:val="127"/>
                                              <w:marTop w:val="0"/>
                                              <w:marBottom w:val="0"/>
                                              <w:divBdr>
                                                <w:top w:val="none" w:sz="0" w:space="0" w:color="auto"/>
                                                <w:left w:val="none" w:sz="0" w:space="0" w:color="auto"/>
                                                <w:bottom w:val="none" w:sz="0" w:space="0" w:color="auto"/>
                                                <w:right w:val="none" w:sz="0" w:space="0" w:color="auto"/>
                                              </w:divBdr>
                                              <w:divsChild>
                                                <w:div w:id="1881476885">
                                                  <w:marLeft w:val="1644"/>
                                                  <w:marRight w:val="0"/>
                                                  <w:marTop w:val="0"/>
                                                  <w:marBottom w:val="0"/>
                                                  <w:divBdr>
                                                    <w:top w:val="none" w:sz="0" w:space="0" w:color="auto"/>
                                                    <w:left w:val="none" w:sz="0" w:space="0" w:color="auto"/>
                                                    <w:bottom w:val="none" w:sz="0" w:space="0" w:color="auto"/>
                                                    <w:right w:val="none" w:sz="0" w:space="0" w:color="auto"/>
                                                  </w:divBdr>
                                                  <w:divsChild>
                                                    <w:div w:id="324823978">
                                                      <w:marLeft w:val="0"/>
                                                      <w:marRight w:val="0"/>
                                                      <w:marTop w:val="0"/>
                                                      <w:marBottom w:val="0"/>
                                                      <w:divBdr>
                                                        <w:top w:val="none" w:sz="0" w:space="0" w:color="auto"/>
                                                        <w:left w:val="none" w:sz="0" w:space="0" w:color="auto"/>
                                                        <w:bottom w:val="none" w:sz="0" w:space="0" w:color="auto"/>
                                                        <w:right w:val="none" w:sz="0" w:space="0" w:color="auto"/>
                                                      </w:divBdr>
                                                      <w:divsChild>
                                                        <w:div w:id="1893930183">
                                                          <w:marLeft w:val="0"/>
                                                          <w:marRight w:val="0"/>
                                                          <w:marTop w:val="0"/>
                                                          <w:marBottom w:val="0"/>
                                                          <w:divBdr>
                                                            <w:top w:val="none" w:sz="0" w:space="0" w:color="auto"/>
                                                            <w:left w:val="none" w:sz="0" w:space="0" w:color="auto"/>
                                                            <w:bottom w:val="none" w:sz="0" w:space="0" w:color="auto"/>
                                                            <w:right w:val="none" w:sz="0" w:space="0" w:color="auto"/>
                                                          </w:divBdr>
                                                          <w:divsChild>
                                                            <w:div w:id="242105711">
                                                              <w:marLeft w:val="0"/>
                                                              <w:marRight w:val="0"/>
                                                              <w:marTop w:val="0"/>
                                                              <w:marBottom w:val="0"/>
                                                              <w:divBdr>
                                                                <w:top w:val="none" w:sz="0" w:space="0" w:color="auto"/>
                                                                <w:left w:val="none" w:sz="0" w:space="0" w:color="auto"/>
                                                                <w:bottom w:val="none" w:sz="0" w:space="0" w:color="auto"/>
                                                                <w:right w:val="none" w:sz="0" w:space="0" w:color="auto"/>
                                                              </w:divBdr>
                                                              <w:divsChild>
                                                                <w:div w:id="702173687">
                                                                  <w:marLeft w:val="1975"/>
                                                                  <w:marRight w:val="127"/>
                                                                  <w:marTop w:val="0"/>
                                                                  <w:marBottom w:val="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189490">
      <w:bodyDiv w:val="1"/>
      <w:marLeft w:val="0"/>
      <w:marRight w:val="0"/>
      <w:marTop w:val="0"/>
      <w:marBottom w:val="0"/>
      <w:divBdr>
        <w:top w:val="none" w:sz="0" w:space="0" w:color="auto"/>
        <w:left w:val="none" w:sz="0" w:space="0" w:color="auto"/>
        <w:bottom w:val="none" w:sz="0" w:space="0" w:color="auto"/>
        <w:right w:val="none" w:sz="0" w:space="0" w:color="auto"/>
      </w:divBdr>
    </w:div>
    <w:div w:id="1871918172">
      <w:bodyDiv w:val="1"/>
      <w:marLeft w:val="0"/>
      <w:marRight w:val="0"/>
      <w:marTop w:val="0"/>
      <w:marBottom w:val="0"/>
      <w:divBdr>
        <w:top w:val="none" w:sz="0" w:space="0" w:color="auto"/>
        <w:left w:val="none" w:sz="0" w:space="0" w:color="auto"/>
        <w:bottom w:val="none" w:sz="0" w:space="0" w:color="auto"/>
        <w:right w:val="none" w:sz="0" w:space="0" w:color="auto"/>
      </w:divBdr>
    </w:div>
    <w:div w:id="1922761166">
      <w:bodyDiv w:val="1"/>
      <w:marLeft w:val="0"/>
      <w:marRight w:val="0"/>
      <w:marTop w:val="0"/>
      <w:marBottom w:val="0"/>
      <w:divBdr>
        <w:top w:val="none" w:sz="0" w:space="0" w:color="auto"/>
        <w:left w:val="none" w:sz="0" w:space="0" w:color="auto"/>
        <w:bottom w:val="none" w:sz="0" w:space="0" w:color="auto"/>
        <w:right w:val="none" w:sz="0" w:space="0" w:color="auto"/>
      </w:divBdr>
    </w:div>
    <w:div w:id="1930192604">
      <w:bodyDiv w:val="1"/>
      <w:marLeft w:val="0"/>
      <w:marRight w:val="0"/>
      <w:marTop w:val="0"/>
      <w:marBottom w:val="0"/>
      <w:divBdr>
        <w:top w:val="none" w:sz="0" w:space="0" w:color="auto"/>
        <w:left w:val="none" w:sz="0" w:space="0" w:color="auto"/>
        <w:bottom w:val="none" w:sz="0" w:space="0" w:color="auto"/>
        <w:right w:val="none" w:sz="0" w:space="0" w:color="auto"/>
      </w:divBdr>
    </w:div>
    <w:div w:id="1946227757">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 w:id="19803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chart" Target="charts/chart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www.ssireview.org/articles/entry/can_management_consulting_help_small_firms_grow" TargetMode="External"/><Relationship Id="rId2" Type="http://schemas.openxmlformats.org/officeDocument/2006/relationships/hyperlink" Target="http://papers.ssrn.com/sol3/papers.cfm?abstract_id=893321" TargetMode="External"/><Relationship Id="rId1" Type="http://schemas.openxmlformats.org/officeDocument/2006/relationships/hyperlink" Target="http://www.doingbusiness.org/" TargetMode="External"/><Relationship Id="rId5" Type="http://schemas.openxmlformats.org/officeDocument/2006/relationships/hyperlink" Target="http://www.smghaiti.com/f/Le_Secteur_de_la_Microfinance_en_Haiti_Rapport_2008-2009.pdf" TargetMode="External"/><Relationship Id="rId4" Type="http://schemas.openxmlformats.org/officeDocument/2006/relationships/hyperlink" Target="http://www.doingbusines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79759\Documents\Haiti%20mission\Draft%20of%20Economic%20Analysis_NEW%20BD&amp;IG%20project_BDS%20&amp;%20IEG%20only_March%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9803254842259"/>
          <c:y val="2.739515019439321E-2"/>
          <c:w val="0.63250454174595916"/>
          <c:h val="0.93317120866923065"/>
        </c:manualLayout>
      </c:layout>
      <c:lineChart>
        <c:grouping val="standard"/>
        <c:varyColors val="0"/>
        <c:ser>
          <c:idx val="0"/>
          <c:order val="0"/>
          <c:tx>
            <c:strRef>
              <c:f>Analysis!$B$173</c:f>
              <c:strCache>
                <c:ptCount val="1"/>
                <c:pt idx="0">
                  <c:v>Total Net Benefits (all project components)</c:v>
                </c:pt>
              </c:strCache>
            </c:strRef>
          </c:tx>
          <c:marker>
            <c:symbol val="none"/>
          </c:marker>
          <c:cat>
            <c:numRef>
              <c:f>Analysis!$D$174:$H$174</c:f>
              <c:numCache>
                <c:formatCode>General</c:formatCode>
                <c:ptCount val="5"/>
                <c:pt idx="0">
                  <c:v>2014</c:v>
                </c:pt>
                <c:pt idx="1">
                  <c:v>2015</c:v>
                </c:pt>
                <c:pt idx="2">
                  <c:v>2016</c:v>
                </c:pt>
                <c:pt idx="3">
                  <c:v>2017</c:v>
                </c:pt>
                <c:pt idx="4">
                  <c:v>2018</c:v>
                </c:pt>
              </c:numCache>
            </c:numRef>
          </c:cat>
          <c:val>
            <c:numRef>
              <c:f>Analysis!$C$173:$I$173</c:f>
              <c:numCache>
                <c:formatCode>General</c:formatCode>
                <c:ptCount val="7"/>
              </c:numCache>
            </c:numRef>
          </c:val>
          <c:smooth val="0"/>
        </c:ser>
        <c:ser>
          <c:idx val="2"/>
          <c:order val="1"/>
          <c:tx>
            <c:strRef>
              <c:f>Analysis!$B$175</c:f>
              <c:strCache>
                <c:ptCount val="1"/>
                <c:pt idx="0">
                  <c:v>Net Benefits (Cash Flow)</c:v>
                </c:pt>
              </c:strCache>
            </c:strRef>
          </c:tx>
          <c:spPr>
            <a:ln w="50800"/>
          </c:spPr>
          <c:marker>
            <c:symbol val="none"/>
          </c:marker>
          <c:cat>
            <c:numRef>
              <c:f>Analysis!$D$174:$H$174</c:f>
              <c:numCache>
                <c:formatCode>General</c:formatCode>
                <c:ptCount val="5"/>
                <c:pt idx="0">
                  <c:v>2014</c:v>
                </c:pt>
                <c:pt idx="1">
                  <c:v>2015</c:v>
                </c:pt>
                <c:pt idx="2">
                  <c:v>2016</c:v>
                </c:pt>
                <c:pt idx="3">
                  <c:v>2017</c:v>
                </c:pt>
                <c:pt idx="4">
                  <c:v>2018</c:v>
                </c:pt>
              </c:numCache>
            </c:numRef>
          </c:cat>
          <c:val>
            <c:numRef>
              <c:f>Analysis!$D$179:$H$179</c:f>
              <c:numCache>
                <c:formatCode>"$"#,##0</c:formatCode>
                <c:ptCount val="5"/>
                <c:pt idx="0">
                  <c:v>-1650350</c:v>
                </c:pt>
                <c:pt idx="1">
                  <c:v>-904173.75</c:v>
                </c:pt>
                <c:pt idx="2">
                  <c:v>-33498.75</c:v>
                </c:pt>
                <c:pt idx="3">
                  <c:v>1473482.5</c:v>
                </c:pt>
                <c:pt idx="4">
                  <c:v>3692432.5</c:v>
                </c:pt>
              </c:numCache>
            </c:numRef>
          </c:val>
          <c:smooth val="0"/>
        </c:ser>
        <c:dLbls>
          <c:showLegendKey val="0"/>
          <c:showVal val="0"/>
          <c:showCatName val="0"/>
          <c:showSerName val="0"/>
          <c:showPercent val="0"/>
          <c:showBubbleSize val="0"/>
        </c:dLbls>
        <c:marker val="1"/>
        <c:smooth val="0"/>
        <c:axId val="312331264"/>
        <c:axId val="312337920"/>
      </c:lineChart>
      <c:catAx>
        <c:axId val="312331264"/>
        <c:scaling>
          <c:orientation val="minMax"/>
        </c:scaling>
        <c:delete val="0"/>
        <c:axPos val="b"/>
        <c:numFmt formatCode="General" sourceLinked="1"/>
        <c:majorTickMark val="out"/>
        <c:minorTickMark val="none"/>
        <c:tickLblPos val="nextTo"/>
        <c:crossAx val="312337920"/>
        <c:crosses val="autoZero"/>
        <c:auto val="1"/>
        <c:lblAlgn val="ctr"/>
        <c:lblOffset val="100"/>
        <c:noMultiLvlLbl val="0"/>
      </c:catAx>
      <c:valAx>
        <c:axId val="312337920"/>
        <c:scaling>
          <c:orientation val="minMax"/>
        </c:scaling>
        <c:delete val="0"/>
        <c:axPos val="l"/>
        <c:numFmt formatCode="&quot;$&quot;#,##0" sourceLinked="0"/>
        <c:majorTickMark val="out"/>
        <c:minorTickMark val="none"/>
        <c:tickLblPos val="nextTo"/>
        <c:crossAx val="312331264"/>
        <c:crosses val="autoZero"/>
        <c:crossBetween val="between"/>
      </c:valAx>
    </c:plotArea>
    <c:legend>
      <c:legendPos val="r"/>
      <c:legendEntry>
        <c:idx val="0"/>
        <c:delete val="1"/>
      </c:legendEntry>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SType xmlns="4f665c86-b6e3-4427-8f26-07c07c084871">Project Appraisal Package</DSType>
    <OPSTaskID xmlns="http://schemas.microsoft.com/sharepoint/v3">TSK0750363</OPSTask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3AA11A9B6034F97A6CF7ABC6DDAE0" ma:contentTypeVersion="2" ma:contentTypeDescription="Create a new document." ma:contentTypeScope="" ma:versionID="a6cac25d1a2abf76eac04042b45ba504">
  <xsd:schema xmlns:xsd="http://www.w3.org/2001/XMLSchema" xmlns:xs="http://www.w3.org/2001/XMLSchema" xmlns:p="http://schemas.microsoft.com/office/2006/metadata/properties" xmlns:ns1="http://schemas.microsoft.com/sharepoint/v3" xmlns:ns2="4f665c86-b6e3-4427-8f26-07c07c084871" targetNamespace="http://schemas.microsoft.com/office/2006/metadata/properties" ma:root="true" ma:fieldsID="0f97df3b75d57337595e4a3bee230c68" ns1:_="" ns2:_="">
    <xsd:import namespace="http://schemas.microsoft.com/sharepoint/v3"/>
    <xsd:import namespace="4f665c86-b6e3-4427-8f26-07c07c084871"/>
    <xsd:element name="properties">
      <xsd:complexType>
        <xsd:sequence>
          <xsd:element name="documentManagement">
            <xsd:complexType>
              <xsd:all>
                <xsd:element ref="ns1:OPSTaskID" minOccurs="0"/>
                <xsd:element ref="ns2:D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STaskID" ma:index="8" nillable="true" ma:displayName="Task ID" ma:internalName="OPSTaskID"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65c86-b6e3-4427-8f26-07c07c084871" elementFormDefault="qualified">
    <xsd:import namespace="http://schemas.microsoft.com/office/2006/documentManagement/types"/>
    <xsd:import namespace="http://schemas.microsoft.com/office/infopath/2007/PartnerControls"/>
    <xsd:element name="DSType" ma:index="9" nillable="true" ma:displayName="Package Type" ma:default="Project Concept Package" ma:format="Dropdown" ma:internalName="DSType" ma:readOnly="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E66A-E12A-4177-94B2-7A085E1D560A}">
  <ds:schemaRefs>
    <ds:schemaRef ds:uri="http://schemas.microsoft.com/sharepoint/v3/contenttype/forms"/>
  </ds:schemaRefs>
</ds:datastoreItem>
</file>

<file path=customXml/itemProps2.xml><?xml version="1.0" encoding="utf-8"?>
<ds:datastoreItem xmlns:ds="http://schemas.openxmlformats.org/officeDocument/2006/customXml" ds:itemID="{F575354D-1282-4AB6-86F8-97ED340466DE}">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4f665c86-b6e3-4427-8f26-07c07c084871"/>
    <ds:schemaRef ds:uri="http://schemas.microsoft.com/sharepoint/v3"/>
  </ds:schemaRefs>
</ds:datastoreItem>
</file>

<file path=customXml/itemProps3.xml><?xml version="1.0" encoding="utf-8"?>
<ds:datastoreItem xmlns:ds="http://schemas.openxmlformats.org/officeDocument/2006/customXml" ds:itemID="{E2D8DCB9-9439-49BC-BBD8-AF076C1F6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665c86-b6e3-4427-8f26-07c07c08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DE6D6-1FDE-43F5-A33E-DFBBA85EFBC0}">
  <ds:schemaRefs>
    <ds:schemaRef ds:uri="http://schemas.openxmlformats.org/officeDocument/2006/bibliography"/>
  </ds:schemaRefs>
</ds:datastoreItem>
</file>

<file path=customXml/itemProps5.xml><?xml version="1.0" encoding="utf-8"?>
<ds:datastoreItem xmlns:ds="http://schemas.openxmlformats.org/officeDocument/2006/customXml" ds:itemID="{E58219A0-1CB5-4166-9043-D8893847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79</Pages>
  <Words>31801</Words>
  <Characters>178949</Characters>
  <Application>Microsoft Office Word</Application>
  <DocSecurity>0</DocSecurity>
  <Lines>1491</Lines>
  <Paragraphs>420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Project Appraisal Document</vt:lpstr>
    </vt:vector>
  </TitlesOfParts>
  <Company>The World Bank Group</Company>
  <LinksUpToDate>false</LinksUpToDate>
  <CharactersWithSpaces>210330</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Cynthia Villamil</dc:creator>
  <cp:lastModifiedBy>Monica Patricia Rivero Riveros</cp:lastModifiedBy>
  <cp:revision>11</cp:revision>
  <cp:lastPrinted>2013-04-22T20:39:00Z</cp:lastPrinted>
  <dcterms:created xsi:type="dcterms:W3CDTF">2013-07-22T16:32:00Z</dcterms:created>
  <dcterms:modified xsi:type="dcterms:W3CDTF">2013-07-29T16:49:00Z</dcterms:modified>
</cp:coreProperties>
</file>